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775906977"/>
        <w:docPartObj>
          <w:docPartGallery w:val="Cover Pages"/>
          <w:docPartUnique/>
        </w:docPartObj>
      </w:sdtPr>
      <w:sdtEndPr>
        <w:rPr>
          <w:b/>
          <w:sz w:val="24"/>
          <w:szCs w:val="24"/>
        </w:rPr>
      </w:sdtEndPr>
      <w:sdtContent>
        <w:p w14:paraId="5C29D348" w14:textId="2BEB0CFB" w:rsidR="008748BB" w:rsidRDefault="008748BB"/>
        <w:p w14:paraId="003715BB" w14:textId="4254257F" w:rsidR="0021060C" w:rsidRDefault="00D94217">
          <w:pPr>
            <w:rPr>
              <w:b/>
              <w:sz w:val="24"/>
              <w:szCs w:val="24"/>
            </w:rPr>
          </w:pPr>
          <w:r>
            <w:rPr>
              <w:noProof/>
              <w:lang w:eastAsia="en-AU"/>
            </w:rPr>
            <mc:AlternateContent>
              <mc:Choice Requires="wps">
                <w:drawing>
                  <wp:anchor distT="0" distB="0" distL="114300" distR="114300" simplePos="0" relativeHeight="251663360" behindDoc="1" locked="0" layoutInCell="1" allowOverlap="0" wp14:anchorId="169CFD87" wp14:editId="385CC6BC">
                    <wp:simplePos x="0" y="0"/>
                    <wp:positionH relativeFrom="margin">
                      <wp:posOffset>-561975</wp:posOffset>
                    </wp:positionH>
                    <wp:positionV relativeFrom="margin">
                      <wp:posOffset>647700</wp:posOffset>
                    </wp:positionV>
                    <wp:extent cx="6877050" cy="8601075"/>
                    <wp:effectExtent l="0" t="0" r="0" b="9525"/>
                    <wp:wrapNone/>
                    <wp:docPr id="40" name="Text Box 40" descr="Cover page layout"/>
                    <wp:cNvGraphicFramePr/>
                    <a:graphic xmlns:a="http://schemas.openxmlformats.org/drawingml/2006/main">
                      <a:graphicData uri="http://schemas.microsoft.com/office/word/2010/wordprocessingShape">
                        <wps:wsp>
                          <wps:cNvSpPr txBox="1"/>
                          <wps:spPr>
                            <a:xfrm>
                              <a:off x="0" y="0"/>
                              <a:ext cx="6877050" cy="860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35"/>
                                </w:tblGrid>
                                <w:tr w:rsidR="004D3B28" w14:paraId="0526DF6F" w14:textId="77777777" w:rsidTr="00C50DA8">
                                  <w:trPr>
                                    <w:trHeight w:hRule="exact" w:val="284"/>
                                  </w:trPr>
                                  <w:tc>
                                    <w:tcPr>
                                      <w:tcW w:w="9350" w:type="dxa"/>
                                    </w:tcPr>
                                    <w:p w14:paraId="5C495AA2" w14:textId="1BF2B132" w:rsidR="004D3B28" w:rsidRDefault="004D3B28"/>
                                  </w:tc>
                                </w:tr>
                                <w:tr w:rsidR="004D3B28" w14:paraId="1DE94E8A" w14:textId="77777777">
                                  <w:trPr>
                                    <w:trHeight w:hRule="exact" w:val="4320"/>
                                  </w:trPr>
                                  <w:tc>
                                    <w:tcPr>
                                      <w:tcW w:w="9350" w:type="dxa"/>
                                      <w:shd w:val="clear" w:color="auto" w:fill="44546A" w:themeFill="text2"/>
                                      <w:vAlign w:val="center"/>
                                    </w:tcPr>
                                    <w:p w14:paraId="3F565A60" w14:textId="00CDECD2" w:rsidR="004D3B28" w:rsidRPr="002640E2" w:rsidRDefault="004D3B28">
                                      <w:pPr>
                                        <w:pStyle w:val="NoSpacing"/>
                                        <w:spacing w:before="200" w:line="216" w:lineRule="auto"/>
                                        <w:ind w:left="720" w:right="720"/>
                                        <w:rPr>
                                          <w:rFonts w:asciiTheme="majorHAnsi" w:hAnsiTheme="majorHAnsi"/>
                                          <w:b/>
                                          <w:color w:val="FFFFFF" w:themeColor="background1"/>
                                          <w:sz w:val="96"/>
                                          <w:szCs w:val="96"/>
                                        </w:rPr>
                                      </w:pPr>
                                      <w:r w:rsidRPr="002640E2">
                                        <w:rPr>
                                          <w:rFonts w:asciiTheme="majorHAnsi" w:hAnsiTheme="majorHAnsi"/>
                                          <w:b/>
                                          <w:color w:val="FFFFFF" w:themeColor="background1"/>
                                          <w:sz w:val="72"/>
                                          <w:szCs w:val="72"/>
                                          <w:lang w:val="en-AU"/>
                                        </w:rPr>
                                        <w:t xml:space="preserve">AUSTRALIA-INDONESIA </w:t>
                                      </w:r>
                                      <w:r>
                                        <w:rPr>
                                          <w:rFonts w:asciiTheme="majorHAnsi" w:hAnsiTheme="majorHAnsi"/>
                                          <w:b/>
                                          <w:color w:val="FFFFFF" w:themeColor="background1"/>
                                          <w:sz w:val="72"/>
                                          <w:szCs w:val="72"/>
                                          <w:lang w:val="en-AU"/>
                                        </w:rPr>
                                        <w:t>FACILITY FOR DISASTER REDUCTION: Review of Phase 1</w:t>
                                      </w:r>
                                    </w:p>
                                    <w:p w14:paraId="6ED5DF6D" w14:textId="09825F1A" w:rsidR="004D3B28" w:rsidRPr="002640E2" w:rsidRDefault="004D3B28" w:rsidP="000A5406">
                                      <w:pPr>
                                        <w:pStyle w:val="NoSpacing"/>
                                        <w:spacing w:before="240"/>
                                        <w:ind w:left="720" w:right="720"/>
                                        <w:rPr>
                                          <w:color w:val="FFFFFF" w:themeColor="background1"/>
                                          <w:sz w:val="72"/>
                                          <w:szCs w:val="72"/>
                                        </w:rPr>
                                      </w:pPr>
                                      <w:r w:rsidRPr="002640E2">
                                        <w:rPr>
                                          <w:color w:val="FFFFFF" w:themeColor="background1"/>
                                          <w:sz w:val="72"/>
                                          <w:szCs w:val="72"/>
                                          <w:lang w:val="en-AU"/>
                                        </w:rPr>
                                        <w:t>August 2014</w:t>
                                      </w:r>
                                    </w:p>
                                  </w:tc>
                                </w:tr>
                                <w:tr w:rsidR="004D3B28" w14:paraId="60F5F4EA" w14:textId="77777777">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11"/>
                                        <w:gridCol w:w="3612"/>
                                        <w:gridCol w:w="3612"/>
                                      </w:tblGrid>
                                      <w:tr w:rsidR="004D3B28" w14:paraId="2135A7EB" w14:textId="77777777">
                                        <w:trPr>
                                          <w:trHeight w:hRule="exact" w:val="720"/>
                                        </w:trPr>
                                        <w:tc>
                                          <w:tcPr>
                                            <w:tcW w:w="3590" w:type="dxa"/>
                                            <w:vAlign w:val="center"/>
                                          </w:tcPr>
                                          <w:p w14:paraId="1A76B404" w14:textId="7E167DB9" w:rsidR="004D3B28" w:rsidRDefault="004D3B28" w:rsidP="002640E2">
                                            <w:pPr>
                                              <w:pStyle w:val="NoSpacing"/>
                                              <w:ind w:left="720" w:right="144"/>
                                              <w:rPr>
                                                <w:color w:val="FFFFFF" w:themeColor="background1"/>
                                              </w:rPr>
                                            </w:pPr>
                                          </w:p>
                                        </w:tc>
                                        <w:tc>
                                          <w:tcPr>
                                            <w:tcW w:w="3591" w:type="dxa"/>
                                            <w:vAlign w:val="center"/>
                                          </w:tcPr>
                                          <w:p w14:paraId="56E4B38D" w14:textId="3E69BA2C" w:rsidR="004D3B28" w:rsidRDefault="004D3B28">
                                            <w:pPr>
                                              <w:pStyle w:val="NoSpacing"/>
                                              <w:ind w:left="144" w:right="144"/>
                                              <w:jc w:val="center"/>
                                              <w:rPr>
                                                <w:color w:val="FFFFFF" w:themeColor="background1"/>
                                              </w:rPr>
                                            </w:pPr>
                                          </w:p>
                                        </w:tc>
                                        <w:tc>
                                          <w:tcPr>
                                            <w:tcW w:w="3591" w:type="dxa"/>
                                            <w:vAlign w:val="center"/>
                                          </w:tcPr>
                                          <w:p w14:paraId="1EC9079C" w14:textId="38798D0A" w:rsidR="004D3B28" w:rsidRDefault="004D3B28">
                                            <w:pPr>
                                              <w:pStyle w:val="NoSpacing"/>
                                              <w:ind w:left="144" w:right="720"/>
                                              <w:jc w:val="right"/>
                                              <w:rPr>
                                                <w:color w:val="FFFFFF" w:themeColor="background1"/>
                                              </w:rPr>
                                            </w:pPr>
                                          </w:p>
                                        </w:tc>
                                      </w:tr>
                                    </w:tbl>
                                    <w:p w14:paraId="22779759" w14:textId="77777777" w:rsidR="004D3B28" w:rsidRDefault="004D3B28"/>
                                  </w:tc>
                                </w:tr>
                              </w:tbl>
                              <w:p w14:paraId="56C1AF11" w14:textId="77777777" w:rsidR="004D3B28" w:rsidRDefault="004D3B28" w:rsidP="002640E2"/>
                              <w:p w14:paraId="0ACDC0C2" w14:textId="77777777" w:rsidR="004D3B28" w:rsidRDefault="004D3B28" w:rsidP="002640E2"/>
                              <w:p w14:paraId="59E51746" w14:textId="77777777" w:rsidR="004D3B28" w:rsidRDefault="004D3B28" w:rsidP="002640E2"/>
                              <w:p w14:paraId="617F3842" w14:textId="13CBE3B2" w:rsidR="004D3B28" w:rsidRPr="00C54922" w:rsidRDefault="004D3B28" w:rsidP="00C54922">
                                <w:pPr>
                                  <w:spacing w:after="0"/>
                                  <w:rPr>
                                    <w:i/>
                                    <w:sz w:val="28"/>
                                    <w:szCs w:val="28"/>
                                  </w:rPr>
                                </w:pPr>
                                <w:r w:rsidRPr="00C54922">
                                  <w:rPr>
                                    <w:i/>
                                    <w:sz w:val="28"/>
                                    <w:szCs w:val="28"/>
                                  </w:rPr>
                                  <w:t xml:space="preserve">Prepared for </w:t>
                                </w:r>
                              </w:p>
                              <w:p w14:paraId="689E1657" w14:textId="40A8221A" w:rsidR="004D3B28" w:rsidRPr="00C54922" w:rsidRDefault="004D3B28" w:rsidP="00C54922">
                                <w:pPr>
                                  <w:spacing w:after="0"/>
                                  <w:rPr>
                                    <w:sz w:val="28"/>
                                    <w:szCs w:val="28"/>
                                  </w:rPr>
                                </w:pPr>
                                <w:r w:rsidRPr="00C54922">
                                  <w:rPr>
                                    <w:sz w:val="28"/>
                                    <w:szCs w:val="28"/>
                                  </w:rPr>
                                  <w:t xml:space="preserve">AIFDR </w:t>
                                </w:r>
                              </w:p>
                              <w:p w14:paraId="0FEAE036" w14:textId="2F9577D7" w:rsidR="004D3B28" w:rsidRPr="00C54922" w:rsidRDefault="004D3B28" w:rsidP="00C54922">
                                <w:pPr>
                                  <w:spacing w:after="0"/>
                                  <w:rPr>
                                    <w:sz w:val="28"/>
                                    <w:szCs w:val="28"/>
                                  </w:rPr>
                                </w:pPr>
                                <w:r w:rsidRPr="00C54922">
                                  <w:rPr>
                                    <w:sz w:val="28"/>
                                    <w:szCs w:val="28"/>
                                  </w:rPr>
                                  <w:t>Australia Indonesia Facility for Disaster Reduction</w:t>
                                </w:r>
                              </w:p>
                              <w:p w14:paraId="3F8B0EB3" w14:textId="77777777" w:rsidR="004D3B28" w:rsidRDefault="004D3B28" w:rsidP="00C54922">
                                <w:pPr>
                                  <w:spacing w:after="0"/>
                                  <w:rPr>
                                    <w:sz w:val="28"/>
                                    <w:szCs w:val="28"/>
                                  </w:rPr>
                                </w:pPr>
                                <w:r w:rsidRPr="00C54922">
                                  <w:rPr>
                                    <w:sz w:val="28"/>
                                    <w:szCs w:val="28"/>
                                  </w:rPr>
                                  <w:t>Menara Thamrin</w:t>
                                </w:r>
                                <w:r>
                                  <w:rPr>
                                    <w:sz w:val="28"/>
                                    <w:szCs w:val="28"/>
                                  </w:rPr>
                                  <w:t xml:space="preserve"> Suite 1505</w:t>
                                </w:r>
                              </w:p>
                              <w:p w14:paraId="591FAD4A" w14:textId="77777777" w:rsidR="004D3B28" w:rsidRDefault="004D3B28" w:rsidP="00C54922">
                                <w:pPr>
                                  <w:spacing w:after="0"/>
                                  <w:rPr>
                                    <w:sz w:val="28"/>
                                    <w:szCs w:val="28"/>
                                  </w:rPr>
                                </w:pPr>
                                <w:r>
                                  <w:rPr>
                                    <w:sz w:val="28"/>
                                    <w:szCs w:val="28"/>
                                  </w:rPr>
                                  <w:t>Jalan M H Thamrin Kav. 3</w:t>
                                </w:r>
                              </w:p>
                              <w:p w14:paraId="705D4C84" w14:textId="77777777" w:rsidR="004D3B28" w:rsidRDefault="004D3B28" w:rsidP="00C54922">
                                <w:pPr>
                                  <w:spacing w:after="0"/>
                                  <w:rPr>
                                    <w:sz w:val="28"/>
                                    <w:szCs w:val="28"/>
                                  </w:rPr>
                                </w:pPr>
                                <w:r>
                                  <w:rPr>
                                    <w:sz w:val="28"/>
                                    <w:szCs w:val="28"/>
                                  </w:rPr>
                                  <w:t>Jakarta 10250</w:t>
                                </w:r>
                              </w:p>
                              <w:p w14:paraId="0D3118EA" w14:textId="1D67D990" w:rsidR="004D3B28" w:rsidRDefault="004D3B28" w:rsidP="00C54922">
                                <w:pPr>
                                  <w:spacing w:after="0"/>
                                  <w:rPr>
                                    <w:sz w:val="28"/>
                                    <w:szCs w:val="28"/>
                                  </w:rPr>
                                </w:pPr>
                                <w:r>
                                  <w:rPr>
                                    <w:sz w:val="28"/>
                                    <w:szCs w:val="28"/>
                                  </w:rPr>
                                  <w:t>Indonesia</w:t>
                                </w:r>
                                <w:r w:rsidRPr="00C54922">
                                  <w:rPr>
                                    <w:sz w:val="28"/>
                                    <w:szCs w:val="28"/>
                                  </w:rPr>
                                  <w:t xml:space="preserve"> </w:t>
                                </w:r>
                              </w:p>
                              <w:p w14:paraId="4DB98AF8" w14:textId="77777777" w:rsidR="004D3B28" w:rsidRDefault="004D3B28" w:rsidP="00C54922">
                                <w:pPr>
                                  <w:spacing w:after="0"/>
                                  <w:rPr>
                                    <w:sz w:val="28"/>
                                    <w:szCs w:val="28"/>
                                  </w:rPr>
                                </w:pPr>
                              </w:p>
                              <w:p w14:paraId="62152EB3" w14:textId="77777777" w:rsidR="004D3B28" w:rsidRDefault="004D3B28" w:rsidP="00C54922">
                                <w:pPr>
                                  <w:spacing w:after="0"/>
                                  <w:rPr>
                                    <w:sz w:val="28"/>
                                    <w:szCs w:val="28"/>
                                  </w:rPr>
                                </w:pPr>
                              </w:p>
                              <w:p w14:paraId="61AD72C0" w14:textId="53E57C67" w:rsidR="004D3B28" w:rsidRPr="00C54922" w:rsidRDefault="004D3B28" w:rsidP="00C54922">
                                <w:pPr>
                                  <w:spacing w:after="0"/>
                                  <w:rPr>
                                    <w:i/>
                                    <w:sz w:val="28"/>
                                    <w:szCs w:val="28"/>
                                  </w:rPr>
                                </w:pPr>
                                <w:r w:rsidRPr="00C54922">
                                  <w:rPr>
                                    <w:i/>
                                    <w:sz w:val="28"/>
                                    <w:szCs w:val="28"/>
                                  </w:rPr>
                                  <w:t>Prepared by</w:t>
                                </w:r>
                              </w:p>
                              <w:p w14:paraId="44BABC89" w14:textId="4CF124D0" w:rsidR="004D3B28" w:rsidRPr="00C54922" w:rsidRDefault="004D3B28" w:rsidP="00C54922">
                                <w:pPr>
                                  <w:rPr>
                                    <w:sz w:val="28"/>
                                    <w:szCs w:val="28"/>
                                  </w:rPr>
                                </w:pPr>
                                <w:proofErr w:type="gramStart"/>
                                <w:r w:rsidRPr="00C54922">
                                  <w:rPr>
                                    <w:sz w:val="28"/>
                                    <w:szCs w:val="28"/>
                                  </w:rPr>
                                  <w:t>Steve Darvill (DFAT’s Director for Disaster Risk Reduction and Humanitarian Adviser) and Lisa Roberts (an independent consultant).</w:t>
                                </w:r>
                                <w:proofErr w:type="gramEnd"/>
                                <w:r w:rsidRPr="00C54922">
                                  <w:rPr>
                                    <w:sz w:val="28"/>
                                    <w:szCs w:val="28"/>
                                  </w:rPr>
                                  <w:t xml:space="preserve"> The views and opinions expressed are those of the authors.</w:t>
                                </w:r>
                              </w:p>
                              <w:p w14:paraId="4ADFA105" w14:textId="77777777" w:rsidR="004D3B28" w:rsidRDefault="004D3B28" w:rsidP="002640E2"/>
                              <w:p w14:paraId="00312113" w14:textId="77777777" w:rsidR="004D3B28" w:rsidRDefault="004D3B28" w:rsidP="002640E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alt="Cover page layout" style="position:absolute;margin-left:-44.25pt;margin-top:51pt;width:541.5pt;height:677.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35"/>
                          </w:tblGrid>
                          <w:tr w:rsidR="004D3B28" w14:paraId="0526DF6F" w14:textId="77777777" w:rsidTr="00C50DA8">
                            <w:trPr>
                              <w:trHeight w:hRule="exact" w:val="284"/>
                            </w:trPr>
                            <w:tc>
                              <w:tcPr>
                                <w:tcW w:w="9350" w:type="dxa"/>
                              </w:tcPr>
                              <w:p w14:paraId="5C495AA2" w14:textId="1BF2B132" w:rsidR="004D3B28" w:rsidRDefault="004D3B28"/>
                            </w:tc>
                          </w:tr>
                          <w:tr w:rsidR="004D3B28" w14:paraId="1DE94E8A" w14:textId="77777777">
                            <w:trPr>
                              <w:trHeight w:hRule="exact" w:val="4320"/>
                            </w:trPr>
                            <w:tc>
                              <w:tcPr>
                                <w:tcW w:w="9350" w:type="dxa"/>
                                <w:shd w:val="clear" w:color="auto" w:fill="44546A" w:themeFill="text2"/>
                                <w:vAlign w:val="center"/>
                              </w:tcPr>
                              <w:p w14:paraId="3F565A60" w14:textId="00CDECD2" w:rsidR="004D3B28" w:rsidRPr="002640E2" w:rsidRDefault="004D3B28">
                                <w:pPr>
                                  <w:pStyle w:val="NoSpacing"/>
                                  <w:spacing w:before="200" w:line="216" w:lineRule="auto"/>
                                  <w:ind w:left="720" w:right="720"/>
                                  <w:rPr>
                                    <w:rFonts w:asciiTheme="majorHAnsi" w:hAnsiTheme="majorHAnsi"/>
                                    <w:b/>
                                    <w:color w:val="FFFFFF" w:themeColor="background1"/>
                                    <w:sz w:val="96"/>
                                    <w:szCs w:val="96"/>
                                  </w:rPr>
                                </w:pPr>
                                <w:r w:rsidRPr="002640E2">
                                  <w:rPr>
                                    <w:rFonts w:asciiTheme="majorHAnsi" w:hAnsiTheme="majorHAnsi"/>
                                    <w:b/>
                                    <w:color w:val="FFFFFF" w:themeColor="background1"/>
                                    <w:sz w:val="72"/>
                                    <w:szCs w:val="72"/>
                                    <w:lang w:val="en-AU"/>
                                  </w:rPr>
                                  <w:t xml:space="preserve">AUSTRALIA-INDONESIA </w:t>
                                </w:r>
                                <w:r>
                                  <w:rPr>
                                    <w:rFonts w:asciiTheme="majorHAnsi" w:hAnsiTheme="majorHAnsi"/>
                                    <w:b/>
                                    <w:color w:val="FFFFFF" w:themeColor="background1"/>
                                    <w:sz w:val="72"/>
                                    <w:szCs w:val="72"/>
                                    <w:lang w:val="en-AU"/>
                                  </w:rPr>
                                  <w:t>FACILITY FOR DISASTER REDUCTION: Review of Phase 1</w:t>
                                </w:r>
                              </w:p>
                              <w:p w14:paraId="6ED5DF6D" w14:textId="09825F1A" w:rsidR="004D3B28" w:rsidRPr="002640E2" w:rsidRDefault="004D3B28" w:rsidP="000A5406">
                                <w:pPr>
                                  <w:pStyle w:val="NoSpacing"/>
                                  <w:spacing w:before="240"/>
                                  <w:ind w:left="720" w:right="720"/>
                                  <w:rPr>
                                    <w:color w:val="FFFFFF" w:themeColor="background1"/>
                                    <w:sz w:val="72"/>
                                    <w:szCs w:val="72"/>
                                  </w:rPr>
                                </w:pPr>
                                <w:r w:rsidRPr="002640E2">
                                  <w:rPr>
                                    <w:color w:val="FFFFFF" w:themeColor="background1"/>
                                    <w:sz w:val="72"/>
                                    <w:szCs w:val="72"/>
                                    <w:lang w:val="en-AU"/>
                                  </w:rPr>
                                  <w:t>August 2014</w:t>
                                </w:r>
                              </w:p>
                            </w:tc>
                          </w:tr>
                          <w:tr w:rsidR="004D3B28" w14:paraId="60F5F4EA" w14:textId="77777777">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11"/>
                                  <w:gridCol w:w="3612"/>
                                  <w:gridCol w:w="3612"/>
                                </w:tblGrid>
                                <w:tr w:rsidR="004D3B28" w14:paraId="2135A7EB" w14:textId="77777777">
                                  <w:trPr>
                                    <w:trHeight w:hRule="exact" w:val="720"/>
                                  </w:trPr>
                                  <w:tc>
                                    <w:tcPr>
                                      <w:tcW w:w="3590" w:type="dxa"/>
                                      <w:vAlign w:val="center"/>
                                    </w:tcPr>
                                    <w:p w14:paraId="1A76B404" w14:textId="7E167DB9" w:rsidR="004D3B28" w:rsidRDefault="004D3B28" w:rsidP="002640E2">
                                      <w:pPr>
                                        <w:pStyle w:val="NoSpacing"/>
                                        <w:ind w:left="720" w:right="144"/>
                                        <w:rPr>
                                          <w:color w:val="FFFFFF" w:themeColor="background1"/>
                                        </w:rPr>
                                      </w:pPr>
                                    </w:p>
                                  </w:tc>
                                  <w:tc>
                                    <w:tcPr>
                                      <w:tcW w:w="3591" w:type="dxa"/>
                                      <w:vAlign w:val="center"/>
                                    </w:tcPr>
                                    <w:p w14:paraId="56E4B38D" w14:textId="3E69BA2C" w:rsidR="004D3B28" w:rsidRDefault="004D3B28">
                                      <w:pPr>
                                        <w:pStyle w:val="NoSpacing"/>
                                        <w:ind w:left="144" w:right="144"/>
                                        <w:jc w:val="center"/>
                                        <w:rPr>
                                          <w:color w:val="FFFFFF" w:themeColor="background1"/>
                                        </w:rPr>
                                      </w:pPr>
                                    </w:p>
                                  </w:tc>
                                  <w:tc>
                                    <w:tcPr>
                                      <w:tcW w:w="3591" w:type="dxa"/>
                                      <w:vAlign w:val="center"/>
                                    </w:tcPr>
                                    <w:p w14:paraId="1EC9079C" w14:textId="38798D0A" w:rsidR="004D3B28" w:rsidRDefault="004D3B28">
                                      <w:pPr>
                                        <w:pStyle w:val="NoSpacing"/>
                                        <w:ind w:left="144" w:right="720"/>
                                        <w:jc w:val="right"/>
                                        <w:rPr>
                                          <w:color w:val="FFFFFF" w:themeColor="background1"/>
                                        </w:rPr>
                                      </w:pPr>
                                    </w:p>
                                  </w:tc>
                                </w:tr>
                              </w:tbl>
                              <w:p w14:paraId="22779759" w14:textId="77777777" w:rsidR="004D3B28" w:rsidRDefault="004D3B28"/>
                            </w:tc>
                          </w:tr>
                        </w:tbl>
                        <w:p w14:paraId="56C1AF11" w14:textId="77777777" w:rsidR="004D3B28" w:rsidRDefault="004D3B28" w:rsidP="002640E2"/>
                        <w:p w14:paraId="0ACDC0C2" w14:textId="77777777" w:rsidR="004D3B28" w:rsidRDefault="004D3B28" w:rsidP="002640E2"/>
                        <w:p w14:paraId="59E51746" w14:textId="77777777" w:rsidR="004D3B28" w:rsidRDefault="004D3B28" w:rsidP="002640E2"/>
                        <w:p w14:paraId="617F3842" w14:textId="13CBE3B2" w:rsidR="004D3B28" w:rsidRPr="00C54922" w:rsidRDefault="004D3B28" w:rsidP="00C54922">
                          <w:pPr>
                            <w:spacing w:after="0"/>
                            <w:rPr>
                              <w:i/>
                              <w:sz w:val="28"/>
                              <w:szCs w:val="28"/>
                            </w:rPr>
                          </w:pPr>
                          <w:r w:rsidRPr="00C54922">
                            <w:rPr>
                              <w:i/>
                              <w:sz w:val="28"/>
                              <w:szCs w:val="28"/>
                            </w:rPr>
                            <w:t xml:space="preserve">Prepared for </w:t>
                          </w:r>
                        </w:p>
                        <w:p w14:paraId="689E1657" w14:textId="40A8221A" w:rsidR="004D3B28" w:rsidRPr="00C54922" w:rsidRDefault="004D3B28" w:rsidP="00C54922">
                          <w:pPr>
                            <w:spacing w:after="0"/>
                            <w:rPr>
                              <w:sz w:val="28"/>
                              <w:szCs w:val="28"/>
                            </w:rPr>
                          </w:pPr>
                          <w:r w:rsidRPr="00C54922">
                            <w:rPr>
                              <w:sz w:val="28"/>
                              <w:szCs w:val="28"/>
                            </w:rPr>
                            <w:t xml:space="preserve">AIFDR </w:t>
                          </w:r>
                        </w:p>
                        <w:p w14:paraId="0FEAE036" w14:textId="2F9577D7" w:rsidR="004D3B28" w:rsidRPr="00C54922" w:rsidRDefault="004D3B28" w:rsidP="00C54922">
                          <w:pPr>
                            <w:spacing w:after="0"/>
                            <w:rPr>
                              <w:sz w:val="28"/>
                              <w:szCs w:val="28"/>
                            </w:rPr>
                          </w:pPr>
                          <w:r w:rsidRPr="00C54922">
                            <w:rPr>
                              <w:sz w:val="28"/>
                              <w:szCs w:val="28"/>
                            </w:rPr>
                            <w:t>Australia Indonesia Facility for Disaster Reduction</w:t>
                          </w:r>
                        </w:p>
                        <w:p w14:paraId="3F8B0EB3" w14:textId="77777777" w:rsidR="004D3B28" w:rsidRDefault="004D3B28" w:rsidP="00C54922">
                          <w:pPr>
                            <w:spacing w:after="0"/>
                            <w:rPr>
                              <w:sz w:val="28"/>
                              <w:szCs w:val="28"/>
                            </w:rPr>
                          </w:pPr>
                          <w:r w:rsidRPr="00C54922">
                            <w:rPr>
                              <w:sz w:val="28"/>
                              <w:szCs w:val="28"/>
                            </w:rPr>
                            <w:t>Menara Thamrin</w:t>
                          </w:r>
                          <w:r>
                            <w:rPr>
                              <w:sz w:val="28"/>
                              <w:szCs w:val="28"/>
                            </w:rPr>
                            <w:t xml:space="preserve"> Suite 1505</w:t>
                          </w:r>
                        </w:p>
                        <w:p w14:paraId="591FAD4A" w14:textId="77777777" w:rsidR="004D3B28" w:rsidRDefault="004D3B28" w:rsidP="00C54922">
                          <w:pPr>
                            <w:spacing w:after="0"/>
                            <w:rPr>
                              <w:sz w:val="28"/>
                              <w:szCs w:val="28"/>
                            </w:rPr>
                          </w:pPr>
                          <w:r>
                            <w:rPr>
                              <w:sz w:val="28"/>
                              <w:szCs w:val="28"/>
                            </w:rPr>
                            <w:t>Jalan M H Thamrin Kav. 3</w:t>
                          </w:r>
                        </w:p>
                        <w:p w14:paraId="705D4C84" w14:textId="77777777" w:rsidR="004D3B28" w:rsidRDefault="004D3B28" w:rsidP="00C54922">
                          <w:pPr>
                            <w:spacing w:after="0"/>
                            <w:rPr>
                              <w:sz w:val="28"/>
                              <w:szCs w:val="28"/>
                            </w:rPr>
                          </w:pPr>
                          <w:r>
                            <w:rPr>
                              <w:sz w:val="28"/>
                              <w:szCs w:val="28"/>
                            </w:rPr>
                            <w:t>Jakarta 10250</w:t>
                          </w:r>
                        </w:p>
                        <w:p w14:paraId="0D3118EA" w14:textId="1D67D990" w:rsidR="004D3B28" w:rsidRDefault="004D3B28" w:rsidP="00C54922">
                          <w:pPr>
                            <w:spacing w:after="0"/>
                            <w:rPr>
                              <w:sz w:val="28"/>
                              <w:szCs w:val="28"/>
                            </w:rPr>
                          </w:pPr>
                          <w:r>
                            <w:rPr>
                              <w:sz w:val="28"/>
                              <w:szCs w:val="28"/>
                            </w:rPr>
                            <w:t>Indonesia</w:t>
                          </w:r>
                          <w:r w:rsidRPr="00C54922">
                            <w:rPr>
                              <w:sz w:val="28"/>
                              <w:szCs w:val="28"/>
                            </w:rPr>
                            <w:t xml:space="preserve"> </w:t>
                          </w:r>
                        </w:p>
                        <w:p w14:paraId="4DB98AF8" w14:textId="77777777" w:rsidR="004D3B28" w:rsidRDefault="004D3B28" w:rsidP="00C54922">
                          <w:pPr>
                            <w:spacing w:after="0"/>
                            <w:rPr>
                              <w:sz w:val="28"/>
                              <w:szCs w:val="28"/>
                            </w:rPr>
                          </w:pPr>
                        </w:p>
                        <w:p w14:paraId="62152EB3" w14:textId="77777777" w:rsidR="004D3B28" w:rsidRDefault="004D3B28" w:rsidP="00C54922">
                          <w:pPr>
                            <w:spacing w:after="0"/>
                            <w:rPr>
                              <w:sz w:val="28"/>
                              <w:szCs w:val="28"/>
                            </w:rPr>
                          </w:pPr>
                        </w:p>
                        <w:p w14:paraId="61AD72C0" w14:textId="53E57C67" w:rsidR="004D3B28" w:rsidRPr="00C54922" w:rsidRDefault="004D3B28" w:rsidP="00C54922">
                          <w:pPr>
                            <w:spacing w:after="0"/>
                            <w:rPr>
                              <w:i/>
                              <w:sz w:val="28"/>
                              <w:szCs w:val="28"/>
                            </w:rPr>
                          </w:pPr>
                          <w:r w:rsidRPr="00C54922">
                            <w:rPr>
                              <w:i/>
                              <w:sz w:val="28"/>
                              <w:szCs w:val="28"/>
                            </w:rPr>
                            <w:t>Prepared by</w:t>
                          </w:r>
                        </w:p>
                        <w:p w14:paraId="44BABC89" w14:textId="4CF124D0" w:rsidR="004D3B28" w:rsidRPr="00C54922" w:rsidRDefault="004D3B28" w:rsidP="00C54922">
                          <w:pPr>
                            <w:rPr>
                              <w:sz w:val="28"/>
                              <w:szCs w:val="28"/>
                            </w:rPr>
                          </w:pPr>
                          <w:proofErr w:type="gramStart"/>
                          <w:r w:rsidRPr="00C54922">
                            <w:rPr>
                              <w:sz w:val="28"/>
                              <w:szCs w:val="28"/>
                            </w:rPr>
                            <w:t>Steve Darvill (DFAT’s Director for Disaster Risk Reduction and Humanitarian Adviser) and Lisa Roberts (an independent consultant).</w:t>
                          </w:r>
                          <w:proofErr w:type="gramEnd"/>
                          <w:r w:rsidRPr="00C54922">
                            <w:rPr>
                              <w:sz w:val="28"/>
                              <w:szCs w:val="28"/>
                            </w:rPr>
                            <w:t xml:space="preserve"> The views and opinions expressed are those of the authors.</w:t>
                          </w:r>
                        </w:p>
                        <w:p w14:paraId="4ADFA105" w14:textId="77777777" w:rsidR="004D3B28" w:rsidRDefault="004D3B28" w:rsidP="002640E2"/>
                        <w:p w14:paraId="00312113" w14:textId="77777777" w:rsidR="004D3B28" w:rsidRDefault="004D3B28" w:rsidP="002640E2"/>
                      </w:txbxContent>
                    </v:textbox>
                    <w10:wrap anchorx="margin" anchory="margin"/>
                  </v:shape>
                </w:pict>
              </mc:Fallback>
            </mc:AlternateContent>
          </w:r>
          <w:r w:rsidR="0021060C">
            <w:rPr>
              <w:b/>
              <w:sz w:val="24"/>
              <w:szCs w:val="24"/>
            </w:rPr>
            <w:br w:type="page"/>
          </w:r>
        </w:p>
      </w:sdtContent>
    </w:sdt>
    <w:p w14:paraId="4090D737" w14:textId="18FEAFEC" w:rsidR="001C4E5F" w:rsidRPr="00122911" w:rsidRDefault="00D94217" w:rsidP="00E96D13">
      <w:pPr>
        <w:rPr>
          <w:b/>
          <w:sz w:val="24"/>
          <w:szCs w:val="24"/>
        </w:rPr>
      </w:pPr>
      <w:r>
        <w:rPr>
          <w:b/>
          <w:sz w:val="24"/>
          <w:szCs w:val="24"/>
        </w:rPr>
        <w:lastRenderedPageBreak/>
        <w:t xml:space="preserve">Review of </w:t>
      </w:r>
      <w:r w:rsidR="0042761A">
        <w:rPr>
          <w:b/>
          <w:sz w:val="24"/>
          <w:szCs w:val="24"/>
        </w:rPr>
        <w:t xml:space="preserve">Phase 1 of the </w:t>
      </w:r>
      <w:r>
        <w:rPr>
          <w:b/>
          <w:sz w:val="24"/>
          <w:szCs w:val="24"/>
        </w:rPr>
        <w:t xml:space="preserve">Australia-Indonesia Facility for Disaster Reduction </w:t>
      </w:r>
      <w:r w:rsidR="0042761A">
        <w:rPr>
          <w:b/>
          <w:sz w:val="24"/>
          <w:szCs w:val="24"/>
        </w:rPr>
        <w:t>was c</w:t>
      </w:r>
      <w:r>
        <w:rPr>
          <w:b/>
          <w:sz w:val="24"/>
          <w:szCs w:val="24"/>
        </w:rPr>
        <w:t>ommissioned by</w:t>
      </w:r>
      <w:r w:rsidR="0042761A">
        <w:rPr>
          <w:b/>
          <w:sz w:val="24"/>
          <w:szCs w:val="24"/>
        </w:rPr>
        <w:t>:</w:t>
      </w:r>
    </w:p>
    <w:p w14:paraId="15CFE8A8" w14:textId="1F17B86B" w:rsidR="00E96D13" w:rsidRPr="00122911" w:rsidRDefault="00E96D13" w:rsidP="00E96D13">
      <w:pPr>
        <w:rPr>
          <w:sz w:val="24"/>
          <w:szCs w:val="24"/>
        </w:rPr>
      </w:pPr>
      <w:r w:rsidRPr="00122911">
        <w:rPr>
          <w:sz w:val="24"/>
          <w:szCs w:val="24"/>
        </w:rPr>
        <w:t xml:space="preserve">The Australian Department of </w:t>
      </w:r>
      <w:r w:rsidR="001C4E5F" w:rsidRPr="00122911">
        <w:rPr>
          <w:sz w:val="24"/>
          <w:szCs w:val="24"/>
        </w:rPr>
        <w:t>Foreign Affairs and Trade (DFAT)</w:t>
      </w:r>
    </w:p>
    <w:p w14:paraId="7CBD3071" w14:textId="5E7A186E" w:rsidR="00E96D13" w:rsidRPr="00122911" w:rsidRDefault="000A5406">
      <w:pPr>
        <w:rPr>
          <w:b/>
          <w:sz w:val="24"/>
          <w:szCs w:val="24"/>
        </w:rPr>
      </w:pPr>
      <w:r>
        <w:rPr>
          <w:b/>
          <w:sz w:val="24"/>
          <w:szCs w:val="24"/>
        </w:rPr>
        <w:t>Review</w:t>
      </w:r>
      <w:r w:rsidR="001C4E5F" w:rsidRPr="00122911">
        <w:rPr>
          <w:b/>
          <w:sz w:val="24"/>
          <w:szCs w:val="24"/>
        </w:rPr>
        <w:t xml:space="preserve"> Team:</w:t>
      </w:r>
    </w:p>
    <w:p w14:paraId="68FA613E" w14:textId="1CD37515" w:rsidR="001C4E5F" w:rsidRPr="0042761A" w:rsidRDefault="0042761A" w:rsidP="001C4E5F">
      <w:pPr>
        <w:pStyle w:val="ecxmsonormal"/>
        <w:rPr>
          <w:rFonts w:asciiTheme="minorHAnsi" w:hAnsiTheme="minorHAnsi"/>
        </w:rPr>
      </w:pPr>
      <w:r w:rsidRPr="0042761A">
        <w:rPr>
          <w:rFonts w:asciiTheme="minorHAnsi" w:hAnsiTheme="minorHAnsi"/>
        </w:rPr>
        <w:t xml:space="preserve">This </w:t>
      </w:r>
      <w:r w:rsidR="000A5406">
        <w:rPr>
          <w:rFonts w:asciiTheme="minorHAnsi" w:hAnsiTheme="minorHAnsi"/>
        </w:rPr>
        <w:t>review</w:t>
      </w:r>
      <w:r w:rsidRPr="0042761A">
        <w:rPr>
          <w:rFonts w:asciiTheme="minorHAnsi" w:hAnsiTheme="minorHAnsi"/>
        </w:rPr>
        <w:t xml:space="preserve"> was undertaken by a two person team of sectoral </w:t>
      </w:r>
      <w:r w:rsidR="003A5B82" w:rsidRPr="0042761A">
        <w:rPr>
          <w:rFonts w:asciiTheme="minorHAnsi" w:hAnsiTheme="minorHAnsi"/>
        </w:rPr>
        <w:t>specialists (</w:t>
      </w:r>
      <w:r w:rsidRPr="0042761A">
        <w:rPr>
          <w:rFonts w:asciiTheme="minorHAnsi" w:hAnsiTheme="minorHAnsi"/>
        </w:rPr>
        <w:t>also with significant evaluation experience), namely: Steve Darvill (DFAT’s Humanitarian Adviser and Director for Disaster Risk Reduction); and Lisa Roberts (an independent consultant</w:t>
      </w:r>
      <w:r w:rsidR="000F66B5" w:rsidRPr="0042761A">
        <w:rPr>
          <w:rFonts w:asciiTheme="minorHAnsi" w:hAnsiTheme="minorHAnsi"/>
        </w:rPr>
        <w:t xml:space="preserve"> engaged </w:t>
      </w:r>
      <w:r w:rsidRPr="0042761A">
        <w:rPr>
          <w:rFonts w:asciiTheme="minorHAnsi" w:hAnsiTheme="minorHAnsi"/>
        </w:rPr>
        <w:t xml:space="preserve">from </w:t>
      </w:r>
      <w:r w:rsidR="000F66B5" w:rsidRPr="0042761A">
        <w:rPr>
          <w:rFonts w:asciiTheme="minorHAnsi" w:hAnsiTheme="minorHAnsi"/>
        </w:rPr>
        <w:t>DFAT’s Aid Advisory Services Panel).</w:t>
      </w:r>
      <w:r w:rsidR="00D94217" w:rsidRPr="0042761A">
        <w:rPr>
          <w:rFonts w:asciiTheme="minorHAnsi" w:hAnsiTheme="minorHAnsi"/>
        </w:rPr>
        <w:t xml:space="preserve"> </w:t>
      </w:r>
    </w:p>
    <w:p w14:paraId="4478B116" w14:textId="3062A358" w:rsidR="001C4E5F" w:rsidRPr="00122911" w:rsidRDefault="001C4E5F" w:rsidP="001C4E5F">
      <w:pPr>
        <w:rPr>
          <w:b/>
          <w:sz w:val="24"/>
          <w:szCs w:val="24"/>
        </w:rPr>
      </w:pPr>
      <w:r w:rsidRPr="00122911">
        <w:rPr>
          <w:b/>
          <w:sz w:val="24"/>
          <w:szCs w:val="24"/>
        </w:rPr>
        <w:t>Acknowledgements</w:t>
      </w:r>
      <w:r w:rsidR="00D94217">
        <w:rPr>
          <w:b/>
          <w:sz w:val="24"/>
          <w:szCs w:val="24"/>
        </w:rPr>
        <w:t>:</w:t>
      </w:r>
    </w:p>
    <w:p w14:paraId="00F85A9D" w14:textId="471B3302" w:rsidR="00E96D13" w:rsidRPr="006E7616" w:rsidRDefault="001C4E5F" w:rsidP="001C4E5F">
      <w:pPr>
        <w:pStyle w:val="ecxmsonormal"/>
        <w:rPr>
          <w:rFonts w:asciiTheme="minorHAnsi" w:hAnsiTheme="minorHAnsi"/>
        </w:rPr>
      </w:pPr>
      <w:r w:rsidRPr="006E7616">
        <w:rPr>
          <w:rFonts w:asciiTheme="minorHAnsi" w:hAnsiTheme="minorHAnsi"/>
        </w:rPr>
        <w:t xml:space="preserve">The </w:t>
      </w:r>
      <w:r w:rsidR="000A5406">
        <w:rPr>
          <w:rFonts w:asciiTheme="minorHAnsi" w:hAnsiTheme="minorHAnsi"/>
        </w:rPr>
        <w:t>review</w:t>
      </w:r>
      <w:r w:rsidRPr="006E7616">
        <w:rPr>
          <w:rFonts w:asciiTheme="minorHAnsi" w:hAnsiTheme="minorHAnsi"/>
        </w:rPr>
        <w:t xml:space="preserve"> team would like to express their gratitude to AIFDR </w:t>
      </w:r>
      <w:r w:rsidR="00D94217" w:rsidRPr="006E7616">
        <w:rPr>
          <w:rFonts w:asciiTheme="minorHAnsi" w:hAnsiTheme="minorHAnsi"/>
        </w:rPr>
        <w:t>staff</w:t>
      </w:r>
      <w:r w:rsidR="0042761A" w:rsidRPr="006E7616">
        <w:rPr>
          <w:rFonts w:asciiTheme="minorHAnsi" w:hAnsiTheme="minorHAnsi"/>
        </w:rPr>
        <w:t xml:space="preserve">, </w:t>
      </w:r>
      <w:r w:rsidRPr="006E7616">
        <w:rPr>
          <w:rFonts w:asciiTheme="minorHAnsi" w:hAnsiTheme="minorHAnsi"/>
        </w:rPr>
        <w:t xml:space="preserve">BNBP Officials, </w:t>
      </w:r>
      <w:r w:rsidR="0042761A" w:rsidRPr="006E7616">
        <w:rPr>
          <w:rFonts w:asciiTheme="minorHAnsi" w:hAnsiTheme="minorHAnsi"/>
        </w:rPr>
        <w:t xml:space="preserve">and </w:t>
      </w:r>
      <w:r w:rsidRPr="006E7616">
        <w:rPr>
          <w:rFonts w:asciiTheme="minorHAnsi" w:hAnsiTheme="minorHAnsi"/>
        </w:rPr>
        <w:t xml:space="preserve">all </w:t>
      </w:r>
      <w:r w:rsidR="00D94217" w:rsidRPr="006E7616">
        <w:rPr>
          <w:rFonts w:asciiTheme="minorHAnsi" w:hAnsiTheme="minorHAnsi"/>
        </w:rPr>
        <w:t xml:space="preserve">AIFDR </w:t>
      </w:r>
      <w:r w:rsidR="0042761A" w:rsidRPr="006E7616">
        <w:rPr>
          <w:rFonts w:asciiTheme="minorHAnsi" w:hAnsiTheme="minorHAnsi"/>
        </w:rPr>
        <w:t xml:space="preserve">project </w:t>
      </w:r>
      <w:r w:rsidRPr="006E7616">
        <w:rPr>
          <w:rFonts w:asciiTheme="minorHAnsi" w:hAnsiTheme="minorHAnsi"/>
        </w:rPr>
        <w:t xml:space="preserve">partners for their time and </w:t>
      </w:r>
      <w:r w:rsidR="00914E14" w:rsidRPr="006E7616">
        <w:rPr>
          <w:rFonts w:asciiTheme="minorHAnsi" w:hAnsiTheme="minorHAnsi"/>
        </w:rPr>
        <w:t>openness</w:t>
      </w:r>
      <w:r w:rsidRPr="006E7616">
        <w:rPr>
          <w:rFonts w:asciiTheme="minorHAnsi" w:hAnsiTheme="minorHAnsi"/>
        </w:rPr>
        <w:t xml:space="preserve">. While we cannot thank everyone individually we would like to say a special thanks to </w:t>
      </w:r>
      <w:r w:rsidR="00914E14" w:rsidRPr="006E7616">
        <w:rPr>
          <w:rFonts w:asciiTheme="minorHAnsi" w:hAnsiTheme="minorHAnsi"/>
        </w:rPr>
        <w:t xml:space="preserve">Mr </w:t>
      </w:r>
      <w:r w:rsidRPr="006E7616">
        <w:rPr>
          <w:rFonts w:asciiTheme="minorHAnsi" w:hAnsiTheme="minorHAnsi"/>
        </w:rPr>
        <w:t xml:space="preserve">Dominic Morice (AIFDR’s Partnership Manager), for coordinating </w:t>
      </w:r>
      <w:r w:rsidR="00914E14" w:rsidRPr="006E7616">
        <w:rPr>
          <w:rFonts w:asciiTheme="minorHAnsi" w:hAnsiTheme="minorHAnsi"/>
        </w:rPr>
        <w:t xml:space="preserve">all </w:t>
      </w:r>
      <w:r w:rsidR="0042761A" w:rsidRPr="006E7616">
        <w:rPr>
          <w:rFonts w:asciiTheme="minorHAnsi" w:hAnsiTheme="minorHAnsi"/>
        </w:rPr>
        <w:t xml:space="preserve">meetings and </w:t>
      </w:r>
      <w:r w:rsidRPr="006E7616">
        <w:rPr>
          <w:rFonts w:asciiTheme="minorHAnsi" w:hAnsiTheme="minorHAnsi"/>
        </w:rPr>
        <w:t>logistic</w:t>
      </w:r>
      <w:r w:rsidR="00914E14" w:rsidRPr="006E7616">
        <w:rPr>
          <w:rFonts w:asciiTheme="minorHAnsi" w:hAnsiTheme="minorHAnsi"/>
        </w:rPr>
        <w:t xml:space="preserve">s </w:t>
      </w:r>
      <w:r w:rsidRPr="006E7616">
        <w:rPr>
          <w:rFonts w:asciiTheme="minorHAnsi" w:hAnsiTheme="minorHAnsi"/>
        </w:rPr>
        <w:t>during the</w:t>
      </w:r>
      <w:r w:rsidR="00914E14" w:rsidRPr="006E7616">
        <w:rPr>
          <w:rFonts w:asciiTheme="minorHAnsi" w:hAnsiTheme="minorHAnsi"/>
        </w:rPr>
        <w:t xml:space="preserve"> evaluation teams </w:t>
      </w:r>
      <w:r w:rsidR="0042761A" w:rsidRPr="006E7616">
        <w:rPr>
          <w:rFonts w:asciiTheme="minorHAnsi" w:hAnsiTheme="minorHAnsi"/>
        </w:rPr>
        <w:t xml:space="preserve">one week </w:t>
      </w:r>
      <w:r w:rsidR="00914E14" w:rsidRPr="006E7616">
        <w:rPr>
          <w:rFonts w:asciiTheme="minorHAnsi" w:hAnsiTheme="minorHAnsi"/>
        </w:rPr>
        <w:t>visit to Indonesia, and for overall management of th</w:t>
      </w:r>
      <w:r w:rsidR="00CC613D" w:rsidRPr="006E7616">
        <w:rPr>
          <w:rFonts w:asciiTheme="minorHAnsi" w:hAnsiTheme="minorHAnsi"/>
        </w:rPr>
        <w:t>is</w:t>
      </w:r>
      <w:r w:rsidR="00914E14" w:rsidRPr="006E7616">
        <w:rPr>
          <w:rFonts w:asciiTheme="minorHAnsi" w:hAnsiTheme="minorHAnsi"/>
        </w:rPr>
        <w:t xml:space="preserve"> evaluation. Secondly, </w:t>
      </w:r>
      <w:r w:rsidR="000C4468">
        <w:rPr>
          <w:rFonts w:asciiTheme="minorHAnsi" w:hAnsiTheme="minorHAnsi"/>
        </w:rPr>
        <w:t xml:space="preserve">we would also like to say a special thank you </w:t>
      </w:r>
      <w:r w:rsidRPr="006E7616">
        <w:rPr>
          <w:rFonts w:asciiTheme="minorHAnsi" w:hAnsiTheme="minorHAnsi"/>
        </w:rPr>
        <w:t xml:space="preserve">to Mr Jason Brown (AIFDR’s Training </w:t>
      </w:r>
      <w:r w:rsidR="00914E14" w:rsidRPr="006E7616">
        <w:rPr>
          <w:rFonts w:asciiTheme="minorHAnsi" w:hAnsiTheme="minorHAnsi"/>
        </w:rPr>
        <w:t xml:space="preserve">and Outreach </w:t>
      </w:r>
      <w:r w:rsidRPr="006E7616">
        <w:rPr>
          <w:rFonts w:asciiTheme="minorHAnsi" w:hAnsiTheme="minorHAnsi"/>
        </w:rPr>
        <w:t>Manager) for his willingness to share his knowledge of th</w:t>
      </w:r>
      <w:r w:rsidR="00914E14" w:rsidRPr="006E7616">
        <w:rPr>
          <w:rFonts w:asciiTheme="minorHAnsi" w:hAnsiTheme="minorHAnsi"/>
        </w:rPr>
        <w:t>e ‘AIFDR story’ from its political genesis</w:t>
      </w:r>
      <w:r w:rsidRPr="006E7616">
        <w:rPr>
          <w:rFonts w:asciiTheme="minorHAnsi" w:hAnsiTheme="minorHAnsi"/>
        </w:rPr>
        <w:t xml:space="preserve"> </w:t>
      </w:r>
      <w:r w:rsidR="00914E14" w:rsidRPr="006E7616">
        <w:rPr>
          <w:rFonts w:asciiTheme="minorHAnsi" w:hAnsiTheme="minorHAnsi"/>
        </w:rPr>
        <w:t xml:space="preserve">in 2009 through its evolution </w:t>
      </w:r>
      <w:r w:rsidR="00CC613D" w:rsidRPr="006E7616">
        <w:rPr>
          <w:rFonts w:asciiTheme="minorHAnsi" w:hAnsiTheme="minorHAnsi"/>
        </w:rPr>
        <w:t xml:space="preserve">to a </w:t>
      </w:r>
      <w:r w:rsidR="006E7616" w:rsidRPr="006E7616">
        <w:rPr>
          <w:rFonts w:asciiTheme="minorHAnsi" w:hAnsiTheme="minorHAnsi"/>
        </w:rPr>
        <w:t xml:space="preserve">credible disaster risk </w:t>
      </w:r>
      <w:r w:rsidR="00CA2C7A">
        <w:rPr>
          <w:rFonts w:asciiTheme="minorHAnsi" w:hAnsiTheme="minorHAnsi"/>
        </w:rPr>
        <w:t xml:space="preserve">reduction </w:t>
      </w:r>
      <w:r w:rsidR="006E7616" w:rsidRPr="006E7616">
        <w:rPr>
          <w:rFonts w:asciiTheme="minorHAnsi" w:hAnsiTheme="minorHAnsi"/>
        </w:rPr>
        <w:t>(D</w:t>
      </w:r>
      <w:r w:rsidR="00CA2C7A">
        <w:rPr>
          <w:rFonts w:asciiTheme="minorHAnsi" w:hAnsiTheme="minorHAnsi"/>
        </w:rPr>
        <w:t>R</w:t>
      </w:r>
      <w:r w:rsidR="006E7616" w:rsidRPr="006E7616">
        <w:rPr>
          <w:rFonts w:asciiTheme="minorHAnsi" w:hAnsiTheme="minorHAnsi"/>
        </w:rPr>
        <w:t>R) facility</w:t>
      </w:r>
      <w:r w:rsidR="000A5406">
        <w:rPr>
          <w:rFonts w:asciiTheme="minorHAnsi" w:hAnsiTheme="minorHAnsi"/>
        </w:rPr>
        <w:t>.</w:t>
      </w:r>
      <w:r w:rsidRPr="006E7616">
        <w:rPr>
          <w:rFonts w:asciiTheme="minorHAnsi" w:hAnsiTheme="minorHAnsi"/>
        </w:rPr>
        <w:t xml:space="preserve"> To the entire AIFDR Program Team </w:t>
      </w:r>
      <w:r w:rsidR="00914E14" w:rsidRPr="006E7616">
        <w:rPr>
          <w:rFonts w:asciiTheme="minorHAnsi" w:hAnsiTheme="minorHAnsi"/>
        </w:rPr>
        <w:t>and DFAT’s Disaster Risk Unit (DRU)</w:t>
      </w:r>
      <w:r w:rsidR="00CA2C7A">
        <w:rPr>
          <w:rFonts w:asciiTheme="minorHAnsi" w:hAnsiTheme="minorHAnsi"/>
        </w:rPr>
        <w:t xml:space="preserve"> </w:t>
      </w:r>
      <w:r w:rsidRPr="006E7616">
        <w:rPr>
          <w:rFonts w:asciiTheme="minorHAnsi" w:hAnsiTheme="minorHAnsi"/>
        </w:rPr>
        <w:t>– a huge thank you</w:t>
      </w:r>
      <w:r w:rsidR="00AE252C" w:rsidRPr="006E7616">
        <w:rPr>
          <w:rFonts w:asciiTheme="minorHAnsi" w:hAnsiTheme="minorHAnsi"/>
        </w:rPr>
        <w:t xml:space="preserve"> for your support and constructive inputs throughout the </w:t>
      </w:r>
      <w:r w:rsidR="00CA2C7A">
        <w:rPr>
          <w:rFonts w:asciiTheme="minorHAnsi" w:hAnsiTheme="minorHAnsi"/>
        </w:rPr>
        <w:t xml:space="preserve">review </w:t>
      </w:r>
      <w:r w:rsidR="00AE252C" w:rsidRPr="006E7616">
        <w:rPr>
          <w:rFonts w:asciiTheme="minorHAnsi" w:hAnsiTheme="minorHAnsi"/>
        </w:rPr>
        <w:t>process.</w:t>
      </w:r>
    </w:p>
    <w:p w14:paraId="6C0A9877" w14:textId="77777777" w:rsidR="001C4E5F" w:rsidRDefault="001C4E5F">
      <w:pPr>
        <w:rPr>
          <w:b/>
        </w:rPr>
      </w:pPr>
    </w:p>
    <w:p w14:paraId="370352C7" w14:textId="77777777" w:rsidR="00C40F2B" w:rsidRPr="00122911" w:rsidRDefault="00B60004">
      <w:pPr>
        <w:rPr>
          <w:b/>
          <w:sz w:val="24"/>
          <w:szCs w:val="24"/>
        </w:rPr>
      </w:pPr>
      <w:r w:rsidRPr="00122911">
        <w:rPr>
          <w:b/>
          <w:sz w:val="24"/>
          <w:szCs w:val="24"/>
        </w:rPr>
        <w:t xml:space="preserve">Aid Activity Summary </w:t>
      </w:r>
    </w:p>
    <w:tbl>
      <w:tblPr>
        <w:tblStyle w:val="TableGrid"/>
        <w:tblW w:w="0" w:type="auto"/>
        <w:tblLook w:val="04A0" w:firstRow="1" w:lastRow="0" w:firstColumn="1" w:lastColumn="0" w:noHBand="0" w:noVBand="1"/>
      </w:tblPr>
      <w:tblGrid>
        <w:gridCol w:w="2689"/>
        <w:gridCol w:w="6327"/>
      </w:tblGrid>
      <w:tr w:rsidR="00B60004" w:rsidRPr="00122911" w14:paraId="77E47DA6" w14:textId="77777777" w:rsidTr="00B60004">
        <w:tc>
          <w:tcPr>
            <w:tcW w:w="2689" w:type="dxa"/>
          </w:tcPr>
          <w:p w14:paraId="158B7E4D" w14:textId="77777777" w:rsidR="00B60004" w:rsidRPr="00122911" w:rsidRDefault="00B60004">
            <w:pPr>
              <w:rPr>
                <w:sz w:val="24"/>
                <w:szCs w:val="24"/>
              </w:rPr>
            </w:pPr>
            <w:r w:rsidRPr="00122911">
              <w:rPr>
                <w:sz w:val="24"/>
                <w:szCs w:val="24"/>
              </w:rPr>
              <w:t xml:space="preserve">Aid Activity Name </w:t>
            </w:r>
          </w:p>
        </w:tc>
        <w:tc>
          <w:tcPr>
            <w:tcW w:w="6327" w:type="dxa"/>
          </w:tcPr>
          <w:p w14:paraId="237919EE" w14:textId="2DD8A2CD" w:rsidR="00B60004" w:rsidRPr="00122911" w:rsidRDefault="00B60004" w:rsidP="00AE252C">
            <w:pPr>
              <w:rPr>
                <w:sz w:val="24"/>
                <w:szCs w:val="24"/>
              </w:rPr>
            </w:pPr>
            <w:r w:rsidRPr="00122911">
              <w:rPr>
                <w:sz w:val="24"/>
                <w:szCs w:val="24"/>
              </w:rPr>
              <w:t>Australia</w:t>
            </w:r>
            <w:r w:rsidR="00AE252C">
              <w:rPr>
                <w:sz w:val="24"/>
                <w:szCs w:val="24"/>
              </w:rPr>
              <w:t>-</w:t>
            </w:r>
            <w:r w:rsidRPr="00122911">
              <w:rPr>
                <w:sz w:val="24"/>
                <w:szCs w:val="24"/>
              </w:rPr>
              <w:t xml:space="preserve">Indonesia Facility for Disaster Reduction </w:t>
            </w:r>
            <w:r w:rsidR="00531875" w:rsidRPr="00122911">
              <w:rPr>
                <w:sz w:val="24"/>
                <w:szCs w:val="24"/>
              </w:rPr>
              <w:t>(Phase 1)</w:t>
            </w:r>
          </w:p>
        </w:tc>
      </w:tr>
      <w:tr w:rsidR="00B60004" w:rsidRPr="00122911" w14:paraId="7AE2A727" w14:textId="77777777" w:rsidTr="00B60004">
        <w:tc>
          <w:tcPr>
            <w:tcW w:w="2689" w:type="dxa"/>
          </w:tcPr>
          <w:p w14:paraId="13B5405E" w14:textId="77777777" w:rsidR="00B60004" w:rsidRPr="00122911" w:rsidRDefault="00B60004">
            <w:pPr>
              <w:rPr>
                <w:sz w:val="24"/>
                <w:szCs w:val="24"/>
              </w:rPr>
            </w:pPr>
            <w:r w:rsidRPr="00122911">
              <w:rPr>
                <w:sz w:val="24"/>
                <w:szCs w:val="24"/>
              </w:rPr>
              <w:t>Aid Works Initiative Number</w:t>
            </w:r>
          </w:p>
        </w:tc>
        <w:tc>
          <w:tcPr>
            <w:tcW w:w="6327" w:type="dxa"/>
          </w:tcPr>
          <w:p w14:paraId="2B7321C1" w14:textId="77777777" w:rsidR="00B60004" w:rsidRPr="00122911" w:rsidRDefault="00B60004">
            <w:pPr>
              <w:rPr>
                <w:sz w:val="24"/>
                <w:szCs w:val="24"/>
              </w:rPr>
            </w:pPr>
            <w:r w:rsidRPr="00122911">
              <w:rPr>
                <w:sz w:val="24"/>
                <w:szCs w:val="24"/>
              </w:rPr>
              <w:t>Initiative: INI422</w:t>
            </w:r>
          </w:p>
        </w:tc>
      </w:tr>
      <w:tr w:rsidR="00B60004" w:rsidRPr="00122911" w14:paraId="3C704F03" w14:textId="77777777" w:rsidTr="00B60004">
        <w:tc>
          <w:tcPr>
            <w:tcW w:w="2689" w:type="dxa"/>
          </w:tcPr>
          <w:p w14:paraId="64336C4A" w14:textId="77777777" w:rsidR="00B60004" w:rsidRPr="00122911" w:rsidRDefault="00B60004">
            <w:pPr>
              <w:rPr>
                <w:sz w:val="24"/>
                <w:szCs w:val="24"/>
              </w:rPr>
            </w:pPr>
            <w:r w:rsidRPr="00122911">
              <w:rPr>
                <w:sz w:val="24"/>
                <w:szCs w:val="24"/>
              </w:rPr>
              <w:t xml:space="preserve">Timeline </w:t>
            </w:r>
          </w:p>
        </w:tc>
        <w:tc>
          <w:tcPr>
            <w:tcW w:w="6327" w:type="dxa"/>
          </w:tcPr>
          <w:p w14:paraId="23CE4D18" w14:textId="77777777" w:rsidR="00B60004" w:rsidRPr="00122911" w:rsidRDefault="00B60004">
            <w:pPr>
              <w:rPr>
                <w:sz w:val="24"/>
                <w:szCs w:val="24"/>
              </w:rPr>
            </w:pPr>
            <w:r w:rsidRPr="00122911">
              <w:rPr>
                <w:sz w:val="24"/>
                <w:szCs w:val="24"/>
              </w:rPr>
              <w:t>July 2008 – June 2013</w:t>
            </w:r>
          </w:p>
        </w:tc>
      </w:tr>
      <w:tr w:rsidR="00B60004" w:rsidRPr="00122911" w14:paraId="4AB0B024" w14:textId="77777777" w:rsidTr="00B60004">
        <w:tc>
          <w:tcPr>
            <w:tcW w:w="2689" w:type="dxa"/>
          </w:tcPr>
          <w:p w14:paraId="3B93EFE5" w14:textId="594F28F5" w:rsidR="00B60004" w:rsidRPr="00122911" w:rsidRDefault="006E0BB4" w:rsidP="00AE252C">
            <w:pPr>
              <w:rPr>
                <w:sz w:val="24"/>
                <w:szCs w:val="24"/>
              </w:rPr>
            </w:pPr>
            <w:r w:rsidRPr="00122911">
              <w:rPr>
                <w:sz w:val="24"/>
                <w:szCs w:val="24"/>
              </w:rPr>
              <w:t>E</w:t>
            </w:r>
            <w:r w:rsidR="00AE252C">
              <w:rPr>
                <w:sz w:val="24"/>
                <w:szCs w:val="24"/>
              </w:rPr>
              <w:t>stimated</w:t>
            </w:r>
            <w:r w:rsidRPr="00122911">
              <w:rPr>
                <w:sz w:val="24"/>
                <w:szCs w:val="24"/>
              </w:rPr>
              <w:t xml:space="preserve"> </w:t>
            </w:r>
            <w:r w:rsidR="00B60004" w:rsidRPr="00122911">
              <w:rPr>
                <w:sz w:val="24"/>
                <w:szCs w:val="24"/>
              </w:rPr>
              <w:t xml:space="preserve"> </w:t>
            </w:r>
          </w:p>
        </w:tc>
        <w:tc>
          <w:tcPr>
            <w:tcW w:w="6327" w:type="dxa"/>
          </w:tcPr>
          <w:p w14:paraId="3566FACF" w14:textId="2D8E4761" w:rsidR="00B60004" w:rsidRPr="00122911" w:rsidRDefault="00B60004" w:rsidP="00C73DC2">
            <w:pPr>
              <w:rPr>
                <w:sz w:val="24"/>
                <w:szCs w:val="24"/>
              </w:rPr>
            </w:pPr>
            <w:r w:rsidRPr="00122911">
              <w:rPr>
                <w:sz w:val="24"/>
                <w:szCs w:val="24"/>
              </w:rPr>
              <w:t>$</w:t>
            </w:r>
            <w:r w:rsidR="00531875" w:rsidRPr="00122911">
              <w:rPr>
                <w:sz w:val="24"/>
                <w:szCs w:val="24"/>
              </w:rPr>
              <w:t>6</w:t>
            </w:r>
            <w:r w:rsidR="00C73DC2" w:rsidRPr="00122911">
              <w:rPr>
                <w:sz w:val="24"/>
                <w:szCs w:val="24"/>
              </w:rPr>
              <w:t>7</w:t>
            </w:r>
            <w:r w:rsidR="00531875" w:rsidRPr="00122911">
              <w:rPr>
                <w:sz w:val="24"/>
                <w:szCs w:val="24"/>
              </w:rPr>
              <w:t xml:space="preserve">,000,000 AUD </w:t>
            </w:r>
          </w:p>
        </w:tc>
      </w:tr>
      <w:tr w:rsidR="00B60004" w:rsidRPr="00122911" w14:paraId="119ABE71" w14:textId="77777777" w:rsidTr="00B60004">
        <w:tc>
          <w:tcPr>
            <w:tcW w:w="2689" w:type="dxa"/>
          </w:tcPr>
          <w:p w14:paraId="77621FDA" w14:textId="77777777" w:rsidR="00B60004" w:rsidRPr="00122911" w:rsidRDefault="00B60004">
            <w:pPr>
              <w:rPr>
                <w:sz w:val="24"/>
                <w:szCs w:val="24"/>
              </w:rPr>
            </w:pPr>
            <w:r w:rsidRPr="00122911">
              <w:rPr>
                <w:sz w:val="24"/>
                <w:szCs w:val="24"/>
              </w:rPr>
              <w:t>Delivery Organisation</w:t>
            </w:r>
          </w:p>
        </w:tc>
        <w:tc>
          <w:tcPr>
            <w:tcW w:w="6327" w:type="dxa"/>
          </w:tcPr>
          <w:p w14:paraId="0A6CF90B" w14:textId="77777777" w:rsidR="00B60004" w:rsidRPr="00122911" w:rsidRDefault="00B60004">
            <w:pPr>
              <w:rPr>
                <w:sz w:val="24"/>
                <w:szCs w:val="24"/>
              </w:rPr>
            </w:pPr>
            <w:r w:rsidRPr="00122911">
              <w:rPr>
                <w:sz w:val="24"/>
                <w:szCs w:val="24"/>
              </w:rPr>
              <w:t>AusAID, BNBP and Geoscience Australia</w:t>
            </w:r>
          </w:p>
        </w:tc>
      </w:tr>
      <w:tr w:rsidR="00B60004" w:rsidRPr="00122911" w14:paraId="3771C0A6" w14:textId="77777777" w:rsidTr="00B60004">
        <w:tc>
          <w:tcPr>
            <w:tcW w:w="2689" w:type="dxa"/>
          </w:tcPr>
          <w:p w14:paraId="7888A54D" w14:textId="77777777" w:rsidR="00B60004" w:rsidRPr="00122911" w:rsidRDefault="00B60004">
            <w:pPr>
              <w:rPr>
                <w:sz w:val="24"/>
                <w:szCs w:val="24"/>
              </w:rPr>
            </w:pPr>
            <w:r w:rsidRPr="00122911">
              <w:rPr>
                <w:sz w:val="24"/>
                <w:szCs w:val="24"/>
              </w:rPr>
              <w:t>Implementing Partner(s)</w:t>
            </w:r>
          </w:p>
        </w:tc>
        <w:tc>
          <w:tcPr>
            <w:tcW w:w="6327" w:type="dxa"/>
          </w:tcPr>
          <w:p w14:paraId="2D3A7A47" w14:textId="4CE32CD9" w:rsidR="00B60004" w:rsidRPr="00122911" w:rsidRDefault="00B60004">
            <w:pPr>
              <w:rPr>
                <w:sz w:val="24"/>
                <w:szCs w:val="24"/>
              </w:rPr>
            </w:pPr>
            <w:r w:rsidRPr="00122911">
              <w:rPr>
                <w:sz w:val="24"/>
                <w:szCs w:val="24"/>
              </w:rPr>
              <w:t xml:space="preserve">Regional BPBDs, BMKG, Bandan Geologi, LIPI, ITB, NU, Oxfam, RedCross, IOM, UNDP, ASEAN Secretariat and AHA Centre and </w:t>
            </w:r>
            <w:r w:rsidR="00AE252C">
              <w:rPr>
                <w:sz w:val="24"/>
                <w:szCs w:val="24"/>
              </w:rPr>
              <w:t xml:space="preserve">a range of </w:t>
            </w:r>
            <w:r w:rsidRPr="00122911">
              <w:rPr>
                <w:sz w:val="24"/>
                <w:szCs w:val="24"/>
              </w:rPr>
              <w:t>civil society organisations</w:t>
            </w:r>
          </w:p>
        </w:tc>
      </w:tr>
      <w:tr w:rsidR="00B60004" w:rsidRPr="00122911" w14:paraId="7C843135" w14:textId="77777777" w:rsidTr="00B60004">
        <w:tc>
          <w:tcPr>
            <w:tcW w:w="2689" w:type="dxa"/>
          </w:tcPr>
          <w:p w14:paraId="21F86564" w14:textId="77777777" w:rsidR="00B60004" w:rsidRPr="00122911" w:rsidRDefault="00B60004">
            <w:pPr>
              <w:rPr>
                <w:sz w:val="24"/>
                <w:szCs w:val="24"/>
              </w:rPr>
            </w:pPr>
            <w:r w:rsidRPr="00122911">
              <w:rPr>
                <w:sz w:val="24"/>
                <w:szCs w:val="24"/>
              </w:rPr>
              <w:t xml:space="preserve">Country/Region </w:t>
            </w:r>
          </w:p>
        </w:tc>
        <w:tc>
          <w:tcPr>
            <w:tcW w:w="6327" w:type="dxa"/>
          </w:tcPr>
          <w:p w14:paraId="515672F0" w14:textId="77777777" w:rsidR="00B60004" w:rsidRPr="00122911" w:rsidRDefault="00B60004">
            <w:pPr>
              <w:rPr>
                <w:sz w:val="24"/>
                <w:szCs w:val="24"/>
              </w:rPr>
            </w:pPr>
            <w:r w:rsidRPr="00122911">
              <w:rPr>
                <w:sz w:val="24"/>
                <w:szCs w:val="24"/>
              </w:rPr>
              <w:t>Indonesia and ASEAN</w:t>
            </w:r>
          </w:p>
        </w:tc>
      </w:tr>
      <w:tr w:rsidR="00B60004" w:rsidRPr="00122911" w14:paraId="5D9AB01E" w14:textId="77777777" w:rsidTr="00B60004">
        <w:tc>
          <w:tcPr>
            <w:tcW w:w="2689" w:type="dxa"/>
          </w:tcPr>
          <w:p w14:paraId="7660BE27" w14:textId="77777777" w:rsidR="00B60004" w:rsidRPr="00122911" w:rsidRDefault="00B60004">
            <w:pPr>
              <w:rPr>
                <w:sz w:val="24"/>
                <w:szCs w:val="24"/>
              </w:rPr>
            </w:pPr>
            <w:r w:rsidRPr="00122911">
              <w:rPr>
                <w:sz w:val="24"/>
                <w:szCs w:val="24"/>
              </w:rPr>
              <w:t xml:space="preserve">Primary Sector </w:t>
            </w:r>
          </w:p>
        </w:tc>
        <w:tc>
          <w:tcPr>
            <w:tcW w:w="6327" w:type="dxa"/>
          </w:tcPr>
          <w:p w14:paraId="786BE0C4" w14:textId="0F505CFF" w:rsidR="00B60004" w:rsidRPr="00122911" w:rsidRDefault="00B60004" w:rsidP="00AE252C">
            <w:pPr>
              <w:rPr>
                <w:sz w:val="24"/>
                <w:szCs w:val="24"/>
              </w:rPr>
            </w:pPr>
            <w:r w:rsidRPr="00122911">
              <w:rPr>
                <w:sz w:val="24"/>
                <w:szCs w:val="24"/>
              </w:rPr>
              <w:t xml:space="preserve">Disaster </w:t>
            </w:r>
            <w:r w:rsidR="00AE252C">
              <w:rPr>
                <w:sz w:val="24"/>
                <w:szCs w:val="24"/>
              </w:rPr>
              <w:t>Risk Management</w:t>
            </w:r>
            <w:r w:rsidRPr="00122911">
              <w:rPr>
                <w:sz w:val="24"/>
                <w:szCs w:val="24"/>
              </w:rPr>
              <w:t xml:space="preserve"> </w:t>
            </w:r>
            <w:r w:rsidR="00AE252C">
              <w:rPr>
                <w:sz w:val="24"/>
                <w:szCs w:val="24"/>
              </w:rPr>
              <w:t>(DRM)</w:t>
            </w:r>
          </w:p>
        </w:tc>
      </w:tr>
    </w:tbl>
    <w:p w14:paraId="126364EA" w14:textId="77777777" w:rsidR="00B60004" w:rsidRDefault="00B60004"/>
    <w:p w14:paraId="5EC8A066" w14:textId="77777777" w:rsidR="00E96D13" w:rsidRDefault="00E96D13">
      <w:pPr>
        <w:rPr>
          <w:b/>
        </w:rPr>
      </w:pPr>
    </w:p>
    <w:p w14:paraId="00030EBF" w14:textId="74686E24" w:rsidR="00EE109D" w:rsidRDefault="00EE109D">
      <w:pPr>
        <w:rPr>
          <w:b/>
        </w:rPr>
      </w:pPr>
      <w:r>
        <w:rPr>
          <w:b/>
        </w:rPr>
        <w:br w:type="page"/>
      </w:r>
    </w:p>
    <w:sdt>
      <w:sdtPr>
        <w:rPr>
          <w:rFonts w:asciiTheme="minorHAnsi" w:eastAsiaTheme="minorHAnsi" w:hAnsiTheme="minorHAnsi" w:cstheme="minorBidi"/>
          <w:color w:val="auto"/>
          <w:sz w:val="22"/>
          <w:szCs w:val="22"/>
          <w:lang w:val="en-AU"/>
        </w:rPr>
        <w:id w:val="-821659545"/>
        <w:docPartObj>
          <w:docPartGallery w:val="Table of Contents"/>
          <w:docPartUnique/>
        </w:docPartObj>
      </w:sdtPr>
      <w:sdtEndPr>
        <w:rPr>
          <w:b/>
          <w:bCs/>
          <w:noProof/>
          <w:sz w:val="24"/>
          <w:szCs w:val="24"/>
        </w:rPr>
      </w:sdtEndPr>
      <w:sdtContent>
        <w:p w14:paraId="059D8B98" w14:textId="25D13FA6" w:rsidR="00B114FA" w:rsidRDefault="00B114FA">
          <w:pPr>
            <w:pStyle w:val="TOCHeading"/>
          </w:pPr>
          <w:r>
            <w:t>Contents</w:t>
          </w:r>
        </w:p>
        <w:p w14:paraId="181D33BD" w14:textId="77777777" w:rsidR="000A5BE6" w:rsidRPr="006E248F" w:rsidRDefault="00B114FA">
          <w:pPr>
            <w:pStyle w:val="TOC1"/>
            <w:tabs>
              <w:tab w:val="right" w:leader="dot" w:pos="9016"/>
            </w:tabs>
            <w:rPr>
              <w:rFonts w:eastAsiaTheme="minorEastAsia"/>
              <w:noProof/>
              <w:sz w:val="24"/>
              <w:szCs w:val="24"/>
              <w:lang w:eastAsia="en-AU"/>
            </w:rPr>
          </w:pPr>
          <w:r w:rsidRPr="00C34567">
            <w:rPr>
              <w:sz w:val="24"/>
              <w:szCs w:val="24"/>
            </w:rPr>
            <w:fldChar w:fldCharType="begin"/>
          </w:r>
          <w:r w:rsidRPr="00C34567">
            <w:rPr>
              <w:sz w:val="24"/>
              <w:szCs w:val="24"/>
            </w:rPr>
            <w:instrText xml:space="preserve"> TOC \o "1-3" \h \z \u </w:instrText>
          </w:r>
          <w:r w:rsidRPr="00C34567">
            <w:rPr>
              <w:sz w:val="24"/>
              <w:szCs w:val="24"/>
            </w:rPr>
            <w:fldChar w:fldCharType="separate"/>
          </w:r>
          <w:hyperlink w:anchor="_Toc402431241" w:history="1">
            <w:r w:rsidR="000A5BE6" w:rsidRPr="00F2676F">
              <w:rPr>
                <w:rStyle w:val="Hyperlink"/>
                <w:b/>
                <w:noProof/>
                <w:sz w:val="24"/>
                <w:szCs w:val="24"/>
              </w:rPr>
              <w:t>Executive Summary</w:t>
            </w:r>
            <w:r w:rsidR="000A5BE6" w:rsidRPr="006E248F">
              <w:rPr>
                <w:noProof/>
                <w:webHidden/>
                <w:sz w:val="24"/>
                <w:szCs w:val="24"/>
              </w:rPr>
              <w:tab/>
            </w:r>
            <w:r w:rsidR="000A5BE6" w:rsidRPr="006E248F">
              <w:rPr>
                <w:noProof/>
                <w:webHidden/>
                <w:sz w:val="24"/>
                <w:szCs w:val="24"/>
              </w:rPr>
              <w:fldChar w:fldCharType="begin"/>
            </w:r>
            <w:r w:rsidR="000A5BE6" w:rsidRPr="006E248F">
              <w:rPr>
                <w:noProof/>
                <w:webHidden/>
                <w:sz w:val="24"/>
                <w:szCs w:val="24"/>
              </w:rPr>
              <w:instrText xml:space="preserve"> PAGEREF _Toc402431241 \h </w:instrText>
            </w:r>
            <w:r w:rsidR="000A5BE6" w:rsidRPr="006E248F">
              <w:rPr>
                <w:noProof/>
                <w:webHidden/>
                <w:sz w:val="24"/>
                <w:szCs w:val="24"/>
              </w:rPr>
            </w:r>
            <w:r w:rsidR="000A5BE6" w:rsidRPr="006E248F">
              <w:rPr>
                <w:noProof/>
                <w:webHidden/>
                <w:sz w:val="24"/>
                <w:szCs w:val="24"/>
              </w:rPr>
              <w:fldChar w:fldCharType="separate"/>
            </w:r>
            <w:r w:rsidR="004D3B28">
              <w:rPr>
                <w:noProof/>
                <w:webHidden/>
                <w:sz w:val="24"/>
                <w:szCs w:val="24"/>
              </w:rPr>
              <w:t>4</w:t>
            </w:r>
            <w:r w:rsidR="000A5BE6" w:rsidRPr="006E248F">
              <w:rPr>
                <w:noProof/>
                <w:webHidden/>
                <w:sz w:val="24"/>
                <w:szCs w:val="24"/>
              </w:rPr>
              <w:fldChar w:fldCharType="end"/>
            </w:r>
          </w:hyperlink>
        </w:p>
        <w:p w14:paraId="33569DC5" w14:textId="41E02D4C" w:rsidR="000A5BE6" w:rsidRPr="006E248F" w:rsidRDefault="00E867D0">
          <w:pPr>
            <w:pStyle w:val="TOC1"/>
            <w:tabs>
              <w:tab w:val="right" w:leader="dot" w:pos="9016"/>
            </w:tabs>
            <w:rPr>
              <w:rFonts w:eastAsiaTheme="minorEastAsia"/>
              <w:noProof/>
              <w:sz w:val="24"/>
              <w:szCs w:val="24"/>
              <w:lang w:eastAsia="en-AU"/>
            </w:rPr>
          </w:pPr>
          <w:hyperlink w:anchor="_Toc402431242" w:history="1">
            <w:r w:rsidR="000A5BE6" w:rsidRPr="006E248F">
              <w:rPr>
                <w:rStyle w:val="Hyperlink"/>
                <w:noProof/>
                <w:sz w:val="24"/>
                <w:szCs w:val="24"/>
              </w:rPr>
              <w:t>List of Abbreviations</w:t>
            </w:r>
            <w:r w:rsidR="000A5BE6" w:rsidRPr="006E248F">
              <w:rPr>
                <w:noProof/>
                <w:webHidden/>
                <w:sz w:val="24"/>
                <w:szCs w:val="24"/>
              </w:rPr>
              <w:tab/>
            </w:r>
            <w:r w:rsidR="000A5BE6" w:rsidRPr="006E248F">
              <w:rPr>
                <w:noProof/>
                <w:webHidden/>
                <w:sz w:val="24"/>
                <w:szCs w:val="24"/>
              </w:rPr>
              <w:fldChar w:fldCharType="begin"/>
            </w:r>
            <w:r w:rsidR="000A5BE6" w:rsidRPr="006E248F">
              <w:rPr>
                <w:noProof/>
                <w:webHidden/>
                <w:sz w:val="24"/>
                <w:szCs w:val="24"/>
              </w:rPr>
              <w:instrText xml:space="preserve"> PAGEREF _Toc402431242 \h </w:instrText>
            </w:r>
            <w:r w:rsidR="000A5BE6" w:rsidRPr="006E248F">
              <w:rPr>
                <w:noProof/>
                <w:webHidden/>
                <w:sz w:val="24"/>
                <w:szCs w:val="24"/>
              </w:rPr>
            </w:r>
            <w:r w:rsidR="000A5BE6" w:rsidRPr="006E248F">
              <w:rPr>
                <w:noProof/>
                <w:webHidden/>
                <w:sz w:val="24"/>
                <w:szCs w:val="24"/>
              </w:rPr>
              <w:fldChar w:fldCharType="separate"/>
            </w:r>
            <w:r w:rsidR="004D3B28">
              <w:rPr>
                <w:noProof/>
                <w:webHidden/>
                <w:sz w:val="24"/>
                <w:szCs w:val="24"/>
              </w:rPr>
              <w:t>7</w:t>
            </w:r>
            <w:r w:rsidR="000A5BE6" w:rsidRPr="006E248F">
              <w:rPr>
                <w:noProof/>
                <w:webHidden/>
                <w:sz w:val="24"/>
                <w:szCs w:val="24"/>
              </w:rPr>
              <w:fldChar w:fldCharType="end"/>
            </w:r>
          </w:hyperlink>
        </w:p>
        <w:p w14:paraId="28290815" w14:textId="77777777" w:rsidR="000A5BE6" w:rsidRPr="006E248F" w:rsidRDefault="00E867D0">
          <w:pPr>
            <w:pStyle w:val="TOC1"/>
            <w:tabs>
              <w:tab w:val="left" w:pos="440"/>
              <w:tab w:val="right" w:leader="dot" w:pos="9016"/>
            </w:tabs>
            <w:rPr>
              <w:rFonts w:eastAsiaTheme="minorEastAsia"/>
              <w:noProof/>
              <w:sz w:val="24"/>
              <w:szCs w:val="24"/>
              <w:lang w:eastAsia="en-AU"/>
            </w:rPr>
          </w:pPr>
          <w:hyperlink w:anchor="_Toc402431244" w:history="1">
            <w:r w:rsidR="000A5BE6" w:rsidRPr="006E248F">
              <w:rPr>
                <w:rStyle w:val="Hyperlink"/>
                <w:noProof/>
                <w:sz w:val="24"/>
                <w:szCs w:val="24"/>
              </w:rPr>
              <w:t>1.</w:t>
            </w:r>
            <w:r w:rsidR="000A5BE6" w:rsidRPr="006E248F">
              <w:rPr>
                <w:rFonts w:eastAsiaTheme="minorEastAsia"/>
                <w:noProof/>
                <w:sz w:val="24"/>
                <w:szCs w:val="24"/>
                <w:lang w:eastAsia="en-AU"/>
              </w:rPr>
              <w:tab/>
            </w:r>
            <w:r w:rsidR="000A5BE6" w:rsidRPr="00F2676F">
              <w:rPr>
                <w:rStyle w:val="Hyperlink"/>
                <w:b/>
                <w:noProof/>
                <w:sz w:val="24"/>
                <w:szCs w:val="24"/>
              </w:rPr>
              <w:t>Introduction</w:t>
            </w:r>
            <w:r w:rsidR="000A5BE6" w:rsidRPr="006E248F">
              <w:rPr>
                <w:noProof/>
                <w:webHidden/>
                <w:sz w:val="24"/>
                <w:szCs w:val="24"/>
              </w:rPr>
              <w:tab/>
            </w:r>
            <w:r w:rsidR="000A5BE6" w:rsidRPr="006E248F">
              <w:rPr>
                <w:noProof/>
                <w:webHidden/>
                <w:sz w:val="24"/>
                <w:szCs w:val="24"/>
              </w:rPr>
              <w:fldChar w:fldCharType="begin"/>
            </w:r>
            <w:r w:rsidR="000A5BE6" w:rsidRPr="006E248F">
              <w:rPr>
                <w:noProof/>
                <w:webHidden/>
                <w:sz w:val="24"/>
                <w:szCs w:val="24"/>
              </w:rPr>
              <w:instrText xml:space="preserve"> PAGEREF _Toc402431244 \h </w:instrText>
            </w:r>
            <w:r w:rsidR="000A5BE6" w:rsidRPr="006E248F">
              <w:rPr>
                <w:noProof/>
                <w:webHidden/>
                <w:sz w:val="24"/>
                <w:szCs w:val="24"/>
              </w:rPr>
            </w:r>
            <w:r w:rsidR="000A5BE6" w:rsidRPr="006E248F">
              <w:rPr>
                <w:noProof/>
                <w:webHidden/>
                <w:sz w:val="24"/>
                <w:szCs w:val="24"/>
              </w:rPr>
              <w:fldChar w:fldCharType="separate"/>
            </w:r>
            <w:r w:rsidR="004D3B28">
              <w:rPr>
                <w:noProof/>
                <w:webHidden/>
                <w:sz w:val="24"/>
                <w:szCs w:val="24"/>
              </w:rPr>
              <w:t>10</w:t>
            </w:r>
            <w:r w:rsidR="000A5BE6" w:rsidRPr="006E248F">
              <w:rPr>
                <w:noProof/>
                <w:webHidden/>
                <w:sz w:val="24"/>
                <w:szCs w:val="24"/>
              </w:rPr>
              <w:fldChar w:fldCharType="end"/>
            </w:r>
          </w:hyperlink>
        </w:p>
        <w:p w14:paraId="4927E24C" w14:textId="77777777" w:rsidR="000A5BE6" w:rsidRPr="006E248F" w:rsidRDefault="00E867D0">
          <w:pPr>
            <w:pStyle w:val="TOC2"/>
            <w:tabs>
              <w:tab w:val="left" w:pos="880"/>
              <w:tab w:val="right" w:leader="dot" w:pos="9016"/>
            </w:tabs>
            <w:rPr>
              <w:rFonts w:eastAsiaTheme="minorEastAsia"/>
              <w:noProof/>
              <w:sz w:val="24"/>
              <w:szCs w:val="24"/>
              <w:lang w:eastAsia="en-AU"/>
            </w:rPr>
          </w:pPr>
          <w:hyperlink w:anchor="_Toc402431245" w:history="1">
            <w:r w:rsidR="000A5BE6" w:rsidRPr="006E248F">
              <w:rPr>
                <w:rStyle w:val="Hyperlink"/>
                <w:noProof/>
                <w:sz w:val="24"/>
                <w:szCs w:val="24"/>
              </w:rPr>
              <w:t>1.1</w:t>
            </w:r>
            <w:r w:rsidR="000A5BE6" w:rsidRPr="006E248F">
              <w:rPr>
                <w:rFonts w:eastAsiaTheme="minorEastAsia"/>
                <w:noProof/>
                <w:sz w:val="24"/>
                <w:szCs w:val="24"/>
                <w:lang w:eastAsia="en-AU"/>
              </w:rPr>
              <w:tab/>
            </w:r>
            <w:r w:rsidR="000A5BE6" w:rsidRPr="006E248F">
              <w:rPr>
                <w:rStyle w:val="Hyperlink"/>
                <w:noProof/>
                <w:sz w:val="24"/>
                <w:szCs w:val="24"/>
              </w:rPr>
              <w:t>Indonesia’s Disaster Profile and Disaster Management Arrangements</w:t>
            </w:r>
            <w:r w:rsidR="000A5BE6" w:rsidRPr="006E248F">
              <w:rPr>
                <w:noProof/>
                <w:webHidden/>
                <w:sz w:val="24"/>
                <w:szCs w:val="24"/>
              </w:rPr>
              <w:tab/>
            </w:r>
            <w:r w:rsidR="000A5BE6" w:rsidRPr="006E248F">
              <w:rPr>
                <w:noProof/>
                <w:webHidden/>
                <w:sz w:val="24"/>
                <w:szCs w:val="24"/>
              </w:rPr>
              <w:fldChar w:fldCharType="begin"/>
            </w:r>
            <w:r w:rsidR="000A5BE6" w:rsidRPr="006E248F">
              <w:rPr>
                <w:noProof/>
                <w:webHidden/>
                <w:sz w:val="24"/>
                <w:szCs w:val="24"/>
              </w:rPr>
              <w:instrText xml:space="preserve"> PAGEREF _Toc402431245 \h </w:instrText>
            </w:r>
            <w:r w:rsidR="000A5BE6" w:rsidRPr="006E248F">
              <w:rPr>
                <w:noProof/>
                <w:webHidden/>
                <w:sz w:val="24"/>
                <w:szCs w:val="24"/>
              </w:rPr>
            </w:r>
            <w:r w:rsidR="000A5BE6" w:rsidRPr="006E248F">
              <w:rPr>
                <w:noProof/>
                <w:webHidden/>
                <w:sz w:val="24"/>
                <w:szCs w:val="24"/>
              </w:rPr>
              <w:fldChar w:fldCharType="separate"/>
            </w:r>
            <w:r w:rsidR="004D3B28">
              <w:rPr>
                <w:noProof/>
                <w:webHidden/>
                <w:sz w:val="24"/>
                <w:szCs w:val="24"/>
              </w:rPr>
              <w:t>11</w:t>
            </w:r>
            <w:r w:rsidR="000A5BE6" w:rsidRPr="006E248F">
              <w:rPr>
                <w:noProof/>
                <w:webHidden/>
                <w:sz w:val="24"/>
                <w:szCs w:val="24"/>
              </w:rPr>
              <w:fldChar w:fldCharType="end"/>
            </w:r>
          </w:hyperlink>
        </w:p>
        <w:p w14:paraId="1A216131" w14:textId="77777777" w:rsidR="000A5BE6" w:rsidRPr="006E248F" w:rsidRDefault="00E867D0">
          <w:pPr>
            <w:pStyle w:val="TOC2"/>
            <w:tabs>
              <w:tab w:val="left" w:pos="880"/>
              <w:tab w:val="right" w:leader="dot" w:pos="9016"/>
            </w:tabs>
            <w:rPr>
              <w:rFonts w:eastAsiaTheme="minorEastAsia"/>
              <w:noProof/>
              <w:sz w:val="24"/>
              <w:szCs w:val="24"/>
              <w:lang w:eastAsia="en-AU"/>
            </w:rPr>
          </w:pPr>
          <w:hyperlink w:anchor="_Toc402431246" w:history="1">
            <w:r w:rsidR="000A5BE6" w:rsidRPr="006E248F">
              <w:rPr>
                <w:rStyle w:val="Hyperlink"/>
                <w:noProof/>
                <w:sz w:val="24"/>
                <w:szCs w:val="24"/>
              </w:rPr>
              <w:t>1.2</w:t>
            </w:r>
            <w:r w:rsidR="000A5BE6" w:rsidRPr="006E248F">
              <w:rPr>
                <w:rFonts w:eastAsiaTheme="minorEastAsia"/>
                <w:noProof/>
                <w:sz w:val="24"/>
                <w:szCs w:val="24"/>
                <w:lang w:eastAsia="en-AU"/>
              </w:rPr>
              <w:tab/>
            </w:r>
            <w:r w:rsidR="000A5BE6" w:rsidRPr="006E248F">
              <w:rPr>
                <w:rStyle w:val="Hyperlink"/>
                <w:noProof/>
                <w:sz w:val="24"/>
                <w:szCs w:val="24"/>
              </w:rPr>
              <w:t>History of AIFDR</w:t>
            </w:r>
            <w:r w:rsidR="000A5BE6" w:rsidRPr="006E248F">
              <w:rPr>
                <w:noProof/>
                <w:webHidden/>
                <w:sz w:val="24"/>
                <w:szCs w:val="24"/>
              </w:rPr>
              <w:tab/>
            </w:r>
            <w:r w:rsidR="000A5BE6" w:rsidRPr="006E248F">
              <w:rPr>
                <w:noProof/>
                <w:webHidden/>
                <w:sz w:val="24"/>
                <w:szCs w:val="24"/>
              </w:rPr>
              <w:fldChar w:fldCharType="begin"/>
            </w:r>
            <w:r w:rsidR="000A5BE6" w:rsidRPr="006E248F">
              <w:rPr>
                <w:noProof/>
                <w:webHidden/>
                <w:sz w:val="24"/>
                <w:szCs w:val="24"/>
              </w:rPr>
              <w:instrText xml:space="preserve"> PAGEREF _Toc402431246 \h </w:instrText>
            </w:r>
            <w:r w:rsidR="000A5BE6" w:rsidRPr="006E248F">
              <w:rPr>
                <w:noProof/>
                <w:webHidden/>
                <w:sz w:val="24"/>
                <w:szCs w:val="24"/>
              </w:rPr>
            </w:r>
            <w:r w:rsidR="000A5BE6" w:rsidRPr="006E248F">
              <w:rPr>
                <w:noProof/>
                <w:webHidden/>
                <w:sz w:val="24"/>
                <w:szCs w:val="24"/>
              </w:rPr>
              <w:fldChar w:fldCharType="separate"/>
            </w:r>
            <w:r w:rsidR="004D3B28">
              <w:rPr>
                <w:noProof/>
                <w:webHidden/>
                <w:sz w:val="24"/>
                <w:szCs w:val="24"/>
              </w:rPr>
              <w:t>13</w:t>
            </w:r>
            <w:r w:rsidR="000A5BE6" w:rsidRPr="006E248F">
              <w:rPr>
                <w:noProof/>
                <w:webHidden/>
                <w:sz w:val="24"/>
                <w:szCs w:val="24"/>
              </w:rPr>
              <w:fldChar w:fldCharType="end"/>
            </w:r>
          </w:hyperlink>
        </w:p>
        <w:p w14:paraId="0D9A57A4" w14:textId="77777777" w:rsidR="000A5BE6" w:rsidRPr="006E248F" w:rsidRDefault="00E867D0">
          <w:pPr>
            <w:pStyle w:val="TOC2"/>
            <w:tabs>
              <w:tab w:val="left" w:pos="880"/>
              <w:tab w:val="right" w:leader="dot" w:pos="9016"/>
            </w:tabs>
            <w:rPr>
              <w:rFonts w:eastAsiaTheme="minorEastAsia"/>
              <w:noProof/>
              <w:sz w:val="24"/>
              <w:szCs w:val="24"/>
              <w:lang w:eastAsia="en-AU"/>
            </w:rPr>
          </w:pPr>
          <w:hyperlink w:anchor="_Toc402431247" w:history="1">
            <w:r w:rsidR="000A5BE6" w:rsidRPr="006E248F">
              <w:rPr>
                <w:rStyle w:val="Hyperlink"/>
                <w:noProof/>
                <w:sz w:val="24"/>
                <w:szCs w:val="24"/>
              </w:rPr>
              <w:t>1.3.</w:t>
            </w:r>
            <w:r w:rsidR="000A5BE6" w:rsidRPr="006E248F">
              <w:rPr>
                <w:rFonts w:eastAsiaTheme="minorEastAsia"/>
                <w:noProof/>
                <w:sz w:val="24"/>
                <w:szCs w:val="24"/>
                <w:lang w:eastAsia="en-AU"/>
              </w:rPr>
              <w:tab/>
            </w:r>
            <w:r w:rsidR="000A5BE6" w:rsidRPr="006E248F">
              <w:rPr>
                <w:rStyle w:val="Hyperlink"/>
                <w:noProof/>
                <w:sz w:val="24"/>
                <w:szCs w:val="24"/>
              </w:rPr>
              <w:t>Evaluation purpose</w:t>
            </w:r>
            <w:r w:rsidR="000A5BE6" w:rsidRPr="006E248F">
              <w:rPr>
                <w:noProof/>
                <w:webHidden/>
                <w:sz w:val="24"/>
                <w:szCs w:val="24"/>
              </w:rPr>
              <w:tab/>
            </w:r>
            <w:r w:rsidR="000A5BE6" w:rsidRPr="006E248F">
              <w:rPr>
                <w:noProof/>
                <w:webHidden/>
                <w:sz w:val="24"/>
                <w:szCs w:val="24"/>
              </w:rPr>
              <w:fldChar w:fldCharType="begin"/>
            </w:r>
            <w:r w:rsidR="000A5BE6" w:rsidRPr="006E248F">
              <w:rPr>
                <w:noProof/>
                <w:webHidden/>
                <w:sz w:val="24"/>
                <w:szCs w:val="24"/>
              </w:rPr>
              <w:instrText xml:space="preserve"> PAGEREF _Toc402431247 \h </w:instrText>
            </w:r>
            <w:r w:rsidR="000A5BE6" w:rsidRPr="006E248F">
              <w:rPr>
                <w:noProof/>
                <w:webHidden/>
                <w:sz w:val="24"/>
                <w:szCs w:val="24"/>
              </w:rPr>
            </w:r>
            <w:r w:rsidR="000A5BE6" w:rsidRPr="006E248F">
              <w:rPr>
                <w:noProof/>
                <w:webHidden/>
                <w:sz w:val="24"/>
                <w:szCs w:val="24"/>
              </w:rPr>
              <w:fldChar w:fldCharType="separate"/>
            </w:r>
            <w:r w:rsidR="004D3B28">
              <w:rPr>
                <w:noProof/>
                <w:webHidden/>
                <w:sz w:val="24"/>
                <w:szCs w:val="24"/>
              </w:rPr>
              <w:t>15</w:t>
            </w:r>
            <w:r w:rsidR="000A5BE6" w:rsidRPr="006E248F">
              <w:rPr>
                <w:noProof/>
                <w:webHidden/>
                <w:sz w:val="24"/>
                <w:szCs w:val="24"/>
              </w:rPr>
              <w:fldChar w:fldCharType="end"/>
            </w:r>
          </w:hyperlink>
        </w:p>
        <w:p w14:paraId="7520E2F3" w14:textId="77777777" w:rsidR="000A5BE6" w:rsidRPr="006E248F" w:rsidRDefault="00E867D0">
          <w:pPr>
            <w:pStyle w:val="TOC2"/>
            <w:tabs>
              <w:tab w:val="left" w:pos="880"/>
              <w:tab w:val="right" w:leader="dot" w:pos="9016"/>
            </w:tabs>
            <w:rPr>
              <w:rFonts w:eastAsiaTheme="minorEastAsia"/>
              <w:noProof/>
              <w:sz w:val="24"/>
              <w:szCs w:val="24"/>
              <w:lang w:eastAsia="en-AU"/>
            </w:rPr>
          </w:pPr>
          <w:hyperlink w:anchor="_Toc402431248" w:history="1">
            <w:r w:rsidR="000A5BE6" w:rsidRPr="006E248F">
              <w:rPr>
                <w:rStyle w:val="Hyperlink"/>
                <w:noProof/>
                <w:sz w:val="24"/>
                <w:szCs w:val="24"/>
              </w:rPr>
              <w:t>1.4</w:t>
            </w:r>
            <w:r w:rsidR="000A5BE6" w:rsidRPr="006E248F">
              <w:rPr>
                <w:rFonts w:eastAsiaTheme="minorEastAsia"/>
                <w:noProof/>
                <w:sz w:val="24"/>
                <w:szCs w:val="24"/>
                <w:lang w:eastAsia="en-AU"/>
              </w:rPr>
              <w:tab/>
            </w:r>
            <w:r w:rsidR="000A5BE6" w:rsidRPr="006E248F">
              <w:rPr>
                <w:rStyle w:val="Hyperlink"/>
                <w:noProof/>
                <w:sz w:val="24"/>
                <w:szCs w:val="24"/>
              </w:rPr>
              <w:t>Methodology</w:t>
            </w:r>
            <w:r w:rsidR="000A5BE6" w:rsidRPr="006E248F">
              <w:rPr>
                <w:noProof/>
                <w:webHidden/>
                <w:sz w:val="24"/>
                <w:szCs w:val="24"/>
              </w:rPr>
              <w:tab/>
            </w:r>
            <w:r w:rsidR="000A5BE6" w:rsidRPr="006E248F">
              <w:rPr>
                <w:noProof/>
                <w:webHidden/>
                <w:sz w:val="24"/>
                <w:szCs w:val="24"/>
              </w:rPr>
              <w:fldChar w:fldCharType="begin"/>
            </w:r>
            <w:r w:rsidR="000A5BE6" w:rsidRPr="006E248F">
              <w:rPr>
                <w:noProof/>
                <w:webHidden/>
                <w:sz w:val="24"/>
                <w:szCs w:val="24"/>
              </w:rPr>
              <w:instrText xml:space="preserve"> PAGEREF _Toc402431248 \h </w:instrText>
            </w:r>
            <w:r w:rsidR="000A5BE6" w:rsidRPr="006E248F">
              <w:rPr>
                <w:noProof/>
                <w:webHidden/>
                <w:sz w:val="24"/>
                <w:szCs w:val="24"/>
              </w:rPr>
            </w:r>
            <w:r w:rsidR="000A5BE6" w:rsidRPr="006E248F">
              <w:rPr>
                <w:noProof/>
                <w:webHidden/>
                <w:sz w:val="24"/>
                <w:szCs w:val="24"/>
              </w:rPr>
              <w:fldChar w:fldCharType="separate"/>
            </w:r>
            <w:r w:rsidR="004D3B28">
              <w:rPr>
                <w:noProof/>
                <w:webHidden/>
                <w:sz w:val="24"/>
                <w:szCs w:val="24"/>
              </w:rPr>
              <w:t>16</w:t>
            </w:r>
            <w:r w:rsidR="000A5BE6" w:rsidRPr="006E248F">
              <w:rPr>
                <w:noProof/>
                <w:webHidden/>
                <w:sz w:val="24"/>
                <w:szCs w:val="24"/>
              </w:rPr>
              <w:fldChar w:fldCharType="end"/>
            </w:r>
          </w:hyperlink>
        </w:p>
        <w:p w14:paraId="09AF8336" w14:textId="77777777" w:rsidR="000A5BE6" w:rsidRPr="006E248F" w:rsidRDefault="00E867D0">
          <w:pPr>
            <w:pStyle w:val="TOC2"/>
            <w:tabs>
              <w:tab w:val="left" w:pos="880"/>
              <w:tab w:val="right" w:leader="dot" w:pos="9016"/>
            </w:tabs>
            <w:rPr>
              <w:rFonts w:eastAsiaTheme="minorEastAsia"/>
              <w:noProof/>
              <w:sz w:val="24"/>
              <w:szCs w:val="24"/>
              <w:lang w:eastAsia="en-AU"/>
            </w:rPr>
          </w:pPr>
          <w:hyperlink w:anchor="_Toc402431249" w:history="1">
            <w:r w:rsidR="000A5BE6" w:rsidRPr="006E248F">
              <w:rPr>
                <w:rStyle w:val="Hyperlink"/>
                <w:noProof/>
                <w:sz w:val="24"/>
                <w:szCs w:val="24"/>
              </w:rPr>
              <w:t>1.5</w:t>
            </w:r>
            <w:r w:rsidR="000A5BE6" w:rsidRPr="006E248F">
              <w:rPr>
                <w:rFonts w:eastAsiaTheme="minorEastAsia"/>
                <w:noProof/>
                <w:sz w:val="24"/>
                <w:szCs w:val="24"/>
                <w:lang w:eastAsia="en-AU"/>
              </w:rPr>
              <w:tab/>
            </w:r>
            <w:r w:rsidR="000A5BE6" w:rsidRPr="006E248F">
              <w:rPr>
                <w:rStyle w:val="Hyperlink"/>
                <w:noProof/>
                <w:sz w:val="24"/>
                <w:szCs w:val="24"/>
              </w:rPr>
              <w:t>AIFDR Program Logic</w:t>
            </w:r>
            <w:r w:rsidR="000A5BE6" w:rsidRPr="006E248F">
              <w:rPr>
                <w:noProof/>
                <w:webHidden/>
                <w:sz w:val="24"/>
                <w:szCs w:val="24"/>
              </w:rPr>
              <w:tab/>
            </w:r>
            <w:r w:rsidR="000A5BE6" w:rsidRPr="006E248F">
              <w:rPr>
                <w:noProof/>
                <w:webHidden/>
                <w:sz w:val="24"/>
                <w:szCs w:val="24"/>
              </w:rPr>
              <w:fldChar w:fldCharType="begin"/>
            </w:r>
            <w:r w:rsidR="000A5BE6" w:rsidRPr="006E248F">
              <w:rPr>
                <w:noProof/>
                <w:webHidden/>
                <w:sz w:val="24"/>
                <w:szCs w:val="24"/>
              </w:rPr>
              <w:instrText xml:space="preserve"> PAGEREF _Toc402431249 \h </w:instrText>
            </w:r>
            <w:r w:rsidR="000A5BE6" w:rsidRPr="006E248F">
              <w:rPr>
                <w:noProof/>
                <w:webHidden/>
                <w:sz w:val="24"/>
                <w:szCs w:val="24"/>
              </w:rPr>
            </w:r>
            <w:r w:rsidR="000A5BE6" w:rsidRPr="006E248F">
              <w:rPr>
                <w:noProof/>
                <w:webHidden/>
                <w:sz w:val="24"/>
                <w:szCs w:val="24"/>
              </w:rPr>
              <w:fldChar w:fldCharType="separate"/>
            </w:r>
            <w:r w:rsidR="004D3B28">
              <w:rPr>
                <w:noProof/>
                <w:webHidden/>
                <w:sz w:val="24"/>
                <w:szCs w:val="24"/>
              </w:rPr>
              <w:t>17</w:t>
            </w:r>
            <w:r w:rsidR="000A5BE6" w:rsidRPr="006E248F">
              <w:rPr>
                <w:noProof/>
                <w:webHidden/>
                <w:sz w:val="24"/>
                <w:szCs w:val="24"/>
              </w:rPr>
              <w:fldChar w:fldCharType="end"/>
            </w:r>
          </w:hyperlink>
        </w:p>
        <w:p w14:paraId="2D4956B5" w14:textId="77777777" w:rsidR="000A5BE6" w:rsidRPr="006E248F" w:rsidRDefault="00E867D0">
          <w:pPr>
            <w:pStyle w:val="TOC1"/>
            <w:tabs>
              <w:tab w:val="left" w:pos="440"/>
              <w:tab w:val="right" w:leader="dot" w:pos="9016"/>
            </w:tabs>
            <w:rPr>
              <w:rFonts w:eastAsiaTheme="minorEastAsia"/>
              <w:noProof/>
              <w:sz w:val="24"/>
              <w:szCs w:val="24"/>
              <w:lang w:eastAsia="en-AU"/>
            </w:rPr>
          </w:pPr>
          <w:hyperlink w:anchor="_Toc402431250" w:history="1">
            <w:r w:rsidR="000A5BE6" w:rsidRPr="006E248F">
              <w:rPr>
                <w:rStyle w:val="Hyperlink"/>
                <w:noProof/>
                <w:sz w:val="24"/>
                <w:szCs w:val="24"/>
              </w:rPr>
              <w:t>2</w:t>
            </w:r>
            <w:r w:rsidR="000A5BE6" w:rsidRPr="006E248F">
              <w:rPr>
                <w:rFonts w:eastAsiaTheme="minorEastAsia"/>
                <w:noProof/>
                <w:sz w:val="24"/>
                <w:szCs w:val="24"/>
                <w:lang w:eastAsia="en-AU"/>
              </w:rPr>
              <w:tab/>
            </w:r>
            <w:r w:rsidR="000A5BE6" w:rsidRPr="00F2676F">
              <w:rPr>
                <w:rStyle w:val="Hyperlink"/>
                <w:b/>
                <w:noProof/>
                <w:sz w:val="24"/>
                <w:szCs w:val="24"/>
              </w:rPr>
              <w:t>Evaluation Findings</w:t>
            </w:r>
            <w:r w:rsidR="000A5BE6" w:rsidRPr="006E248F">
              <w:rPr>
                <w:noProof/>
                <w:webHidden/>
                <w:sz w:val="24"/>
                <w:szCs w:val="24"/>
              </w:rPr>
              <w:tab/>
            </w:r>
            <w:r w:rsidR="000A5BE6" w:rsidRPr="006E248F">
              <w:rPr>
                <w:noProof/>
                <w:webHidden/>
                <w:sz w:val="24"/>
                <w:szCs w:val="24"/>
              </w:rPr>
              <w:fldChar w:fldCharType="begin"/>
            </w:r>
            <w:r w:rsidR="000A5BE6" w:rsidRPr="006E248F">
              <w:rPr>
                <w:noProof/>
                <w:webHidden/>
                <w:sz w:val="24"/>
                <w:szCs w:val="24"/>
              </w:rPr>
              <w:instrText xml:space="preserve"> PAGEREF _Toc402431250 \h </w:instrText>
            </w:r>
            <w:r w:rsidR="000A5BE6" w:rsidRPr="006E248F">
              <w:rPr>
                <w:noProof/>
                <w:webHidden/>
                <w:sz w:val="24"/>
                <w:szCs w:val="24"/>
              </w:rPr>
            </w:r>
            <w:r w:rsidR="000A5BE6" w:rsidRPr="006E248F">
              <w:rPr>
                <w:noProof/>
                <w:webHidden/>
                <w:sz w:val="24"/>
                <w:szCs w:val="24"/>
              </w:rPr>
              <w:fldChar w:fldCharType="separate"/>
            </w:r>
            <w:r w:rsidR="004D3B28">
              <w:rPr>
                <w:noProof/>
                <w:webHidden/>
                <w:sz w:val="24"/>
                <w:szCs w:val="24"/>
              </w:rPr>
              <w:t>18</w:t>
            </w:r>
            <w:r w:rsidR="000A5BE6" w:rsidRPr="006E248F">
              <w:rPr>
                <w:noProof/>
                <w:webHidden/>
                <w:sz w:val="24"/>
                <w:szCs w:val="24"/>
              </w:rPr>
              <w:fldChar w:fldCharType="end"/>
            </w:r>
          </w:hyperlink>
        </w:p>
        <w:p w14:paraId="7190180C" w14:textId="77777777" w:rsidR="000A5BE6" w:rsidRPr="006E248F" w:rsidRDefault="00E867D0">
          <w:pPr>
            <w:pStyle w:val="TOC2"/>
            <w:tabs>
              <w:tab w:val="left" w:pos="880"/>
              <w:tab w:val="right" w:leader="dot" w:pos="9016"/>
            </w:tabs>
            <w:rPr>
              <w:rFonts w:eastAsiaTheme="minorEastAsia"/>
              <w:noProof/>
              <w:sz w:val="24"/>
              <w:szCs w:val="24"/>
              <w:lang w:eastAsia="en-AU"/>
            </w:rPr>
          </w:pPr>
          <w:hyperlink w:anchor="_Toc402431251" w:history="1">
            <w:r w:rsidR="000A5BE6" w:rsidRPr="006E248F">
              <w:rPr>
                <w:rStyle w:val="Hyperlink"/>
                <w:noProof/>
                <w:sz w:val="24"/>
                <w:szCs w:val="24"/>
              </w:rPr>
              <w:t>2.1</w:t>
            </w:r>
            <w:r w:rsidR="000A5BE6" w:rsidRPr="006E248F">
              <w:rPr>
                <w:rFonts w:eastAsiaTheme="minorEastAsia"/>
                <w:noProof/>
                <w:sz w:val="24"/>
                <w:szCs w:val="24"/>
                <w:lang w:eastAsia="en-AU"/>
              </w:rPr>
              <w:tab/>
            </w:r>
            <w:r w:rsidR="000A5BE6" w:rsidRPr="006E248F">
              <w:rPr>
                <w:rStyle w:val="Hyperlink"/>
                <w:noProof/>
                <w:sz w:val="24"/>
                <w:szCs w:val="24"/>
              </w:rPr>
              <w:t>Relevance</w:t>
            </w:r>
            <w:r w:rsidR="000A5BE6" w:rsidRPr="006E248F">
              <w:rPr>
                <w:noProof/>
                <w:webHidden/>
                <w:sz w:val="24"/>
                <w:szCs w:val="24"/>
              </w:rPr>
              <w:tab/>
            </w:r>
            <w:r w:rsidR="000A5BE6" w:rsidRPr="006E248F">
              <w:rPr>
                <w:noProof/>
                <w:webHidden/>
                <w:sz w:val="24"/>
                <w:szCs w:val="24"/>
              </w:rPr>
              <w:fldChar w:fldCharType="begin"/>
            </w:r>
            <w:r w:rsidR="000A5BE6" w:rsidRPr="006E248F">
              <w:rPr>
                <w:noProof/>
                <w:webHidden/>
                <w:sz w:val="24"/>
                <w:szCs w:val="24"/>
              </w:rPr>
              <w:instrText xml:space="preserve"> PAGEREF _Toc402431251 \h </w:instrText>
            </w:r>
            <w:r w:rsidR="000A5BE6" w:rsidRPr="006E248F">
              <w:rPr>
                <w:noProof/>
                <w:webHidden/>
                <w:sz w:val="24"/>
                <w:szCs w:val="24"/>
              </w:rPr>
            </w:r>
            <w:r w:rsidR="000A5BE6" w:rsidRPr="006E248F">
              <w:rPr>
                <w:noProof/>
                <w:webHidden/>
                <w:sz w:val="24"/>
                <w:szCs w:val="24"/>
              </w:rPr>
              <w:fldChar w:fldCharType="separate"/>
            </w:r>
            <w:r w:rsidR="004D3B28">
              <w:rPr>
                <w:noProof/>
                <w:webHidden/>
                <w:sz w:val="24"/>
                <w:szCs w:val="24"/>
              </w:rPr>
              <w:t>18</w:t>
            </w:r>
            <w:r w:rsidR="000A5BE6" w:rsidRPr="006E248F">
              <w:rPr>
                <w:noProof/>
                <w:webHidden/>
                <w:sz w:val="24"/>
                <w:szCs w:val="24"/>
              </w:rPr>
              <w:fldChar w:fldCharType="end"/>
            </w:r>
          </w:hyperlink>
        </w:p>
        <w:p w14:paraId="3FF76A56" w14:textId="77777777" w:rsidR="000A5BE6" w:rsidRPr="006E248F" w:rsidRDefault="00E867D0">
          <w:pPr>
            <w:pStyle w:val="TOC2"/>
            <w:tabs>
              <w:tab w:val="left" w:pos="880"/>
              <w:tab w:val="right" w:leader="dot" w:pos="9016"/>
            </w:tabs>
            <w:rPr>
              <w:rFonts w:eastAsiaTheme="minorEastAsia"/>
              <w:noProof/>
              <w:sz w:val="24"/>
              <w:szCs w:val="24"/>
              <w:lang w:eastAsia="en-AU"/>
            </w:rPr>
          </w:pPr>
          <w:hyperlink w:anchor="_Toc402431252" w:history="1">
            <w:r w:rsidR="000A5BE6" w:rsidRPr="006E248F">
              <w:rPr>
                <w:rStyle w:val="Hyperlink"/>
                <w:noProof/>
                <w:sz w:val="24"/>
                <w:szCs w:val="24"/>
              </w:rPr>
              <w:t>2.2</w:t>
            </w:r>
            <w:r w:rsidR="000A5BE6" w:rsidRPr="006E248F">
              <w:rPr>
                <w:rFonts w:eastAsiaTheme="minorEastAsia"/>
                <w:noProof/>
                <w:sz w:val="24"/>
                <w:szCs w:val="24"/>
                <w:lang w:eastAsia="en-AU"/>
              </w:rPr>
              <w:tab/>
            </w:r>
            <w:r w:rsidR="000A5BE6" w:rsidRPr="006E248F">
              <w:rPr>
                <w:rStyle w:val="Hyperlink"/>
                <w:noProof/>
                <w:sz w:val="24"/>
                <w:szCs w:val="24"/>
              </w:rPr>
              <w:t>Effectiveness</w:t>
            </w:r>
            <w:r w:rsidR="000A5BE6" w:rsidRPr="006E248F">
              <w:rPr>
                <w:noProof/>
                <w:webHidden/>
                <w:sz w:val="24"/>
                <w:szCs w:val="24"/>
              </w:rPr>
              <w:tab/>
            </w:r>
            <w:r w:rsidR="000A5BE6" w:rsidRPr="006E248F">
              <w:rPr>
                <w:noProof/>
                <w:webHidden/>
                <w:sz w:val="24"/>
                <w:szCs w:val="24"/>
              </w:rPr>
              <w:fldChar w:fldCharType="begin"/>
            </w:r>
            <w:r w:rsidR="000A5BE6" w:rsidRPr="006E248F">
              <w:rPr>
                <w:noProof/>
                <w:webHidden/>
                <w:sz w:val="24"/>
                <w:szCs w:val="24"/>
              </w:rPr>
              <w:instrText xml:space="preserve"> PAGEREF _Toc402431252 \h </w:instrText>
            </w:r>
            <w:r w:rsidR="000A5BE6" w:rsidRPr="006E248F">
              <w:rPr>
                <w:noProof/>
                <w:webHidden/>
                <w:sz w:val="24"/>
                <w:szCs w:val="24"/>
              </w:rPr>
            </w:r>
            <w:r w:rsidR="000A5BE6" w:rsidRPr="006E248F">
              <w:rPr>
                <w:noProof/>
                <w:webHidden/>
                <w:sz w:val="24"/>
                <w:szCs w:val="24"/>
              </w:rPr>
              <w:fldChar w:fldCharType="separate"/>
            </w:r>
            <w:r w:rsidR="004D3B28">
              <w:rPr>
                <w:noProof/>
                <w:webHidden/>
                <w:sz w:val="24"/>
                <w:szCs w:val="24"/>
              </w:rPr>
              <w:t>22</w:t>
            </w:r>
            <w:r w:rsidR="000A5BE6" w:rsidRPr="006E248F">
              <w:rPr>
                <w:noProof/>
                <w:webHidden/>
                <w:sz w:val="24"/>
                <w:szCs w:val="24"/>
              </w:rPr>
              <w:fldChar w:fldCharType="end"/>
            </w:r>
          </w:hyperlink>
        </w:p>
        <w:p w14:paraId="11B74754" w14:textId="77777777" w:rsidR="000A5BE6" w:rsidRPr="006E248F" w:rsidRDefault="00E867D0">
          <w:pPr>
            <w:pStyle w:val="TOC2"/>
            <w:tabs>
              <w:tab w:val="left" w:pos="880"/>
              <w:tab w:val="right" w:leader="dot" w:pos="9016"/>
            </w:tabs>
            <w:rPr>
              <w:rFonts w:eastAsiaTheme="minorEastAsia"/>
              <w:noProof/>
              <w:sz w:val="24"/>
              <w:szCs w:val="24"/>
              <w:lang w:eastAsia="en-AU"/>
            </w:rPr>
          </w:pPr>
          <w:hyperlink w:anchor="_Toc402431253" w:history="1">
            <w:r w:rsidR="000A5BE6" w:rsidRPr="006E248F">
              <w:rPr>
                <w:rStyle w:val="Hyperlink"/>
                <w:noProof/>
                <w:sz w:val="24"/>
                <w:szCs w:val="24"/>
              </w:rPr>
              <w:t>2.3</w:t>
            </w:r>
            <w:r w:rsidR="000A5BE6" w:rsidRPr="006E248F">
              <w:rPr>
                <w:rFonts w:eastAsiaTheme="minorEastAsia"/>
                <w:noProof/>
                <w:sz w:val="24"/>
                <w:szCs w:val="24"/>
                <w:lang w:eastAsia="en-AU"/>
              </w:rPr>
              <w:tab/>
            </w:r>
            <w:r w:rsidR="000A5BE6" w:rsidRPr="006E248F">
              <w:rPr>
                <w:rStyle w:val="Hyperlink"/>
                <w:noProof/>
                <w:sz w:val="24"/>
                <w:szCs w:val="24"/>
              </w:rPr>
              <w:t>Efficiency</w:t>
            </w:r>
            <w:r w:rsidR="000A5BE6" w:rsidRPr="006E248F">
              <w:rPr>
                <w:noProof/>
                <w:webHidden/>
                <w:sz w:val="24"/>
                <w:szCs w:val="24"/>
              </w:rPr>
              <w:tab/>
            </w:r>
            <w:r w:rsidR="000A5BE6" w:rsidRPr="006E248F">
              <w:rPr>
                <w:noProof/>
                <w:webHidden/>
                <w:sz w:val="24"/>
                <w:szCs w:val="24"/>
              </w:rPr>
              <w:fldChar w:fldCharType="begin"/>
            </w:r>
            <w:r w:rsidR="000A5BE6" w:rsidRPr="006E248F">
              <w:rPr>
                <w:noProof/>
                <w:webHidden/>
                <w:sz w:val="24"/>
                <w:szCs w:val="24"/>
              </w:rPr>
              <w:instrText xml:space="preserve"> PAGEREF _Toc402431253 \h </w:instrText>
            </w:r>
            <w:r w:rsidR="000A5BE6" w:rsidRPr="006E248F">
              <w:rPr>
                <w:noProof/>
                <w:webHidden/>
                <w:sz w:val="24"/>
                <w:szCs w:val="24"/>
              </w:rPr>
            </w:r>
            <w:r w:rsidR="000A5BE6" w:rsidRPr="006E248F">
              <w:rPr>
                <w:noProof/>
                <w:webHidden/>
                <w:sz w:val="24"/>
                <w:szCs w:val="24"/>
              </w:rPr>
              <w:fldChar w:fldCharType="separate"/>
            </w:r>
            <w:r w:rsidR="004D3B28">
              <w:rPr>
                <w:noProof/>
                <w:webHidden/>
                <w:sz w:val="24"/>
                <w:szCs w:val="24"/>
              </w:rPr>
              <w:t>35</w:t>
            </w:r>
            <w:r w:rsidR="000A5BE6" w:rsidRPr="006E248F">
              <w:rPr>
                <w:noProof/>
                <w:webHidden/>
                <w:sz w:val="24"/>
                <w:szCs w:val="24"/>
              </w:rPr>
              <w:fldChar w:fldCharType="end"/>
            </w:r>
          </w:hyperlink>
        </w:p>
        <w:p w14:paraId="3F380C13" w14:textId="77777777" w:rsidR="000A5BE6" w:rsidRPr="006E248F" w:rsidRDefault="00E867D0">
          <w:pPr>
            <w:pStyle w:val="TOC2"/>
            <w:tabs>
              <w:tab w:val="left" w:pos="880"/>
              <w:tab w:val="right" w:leader="dot" w:pos="9016"/>
            </w:tabs>
            <w:rPr>
              <w:rFonts w:eastAsiaTheme="minorEastAsia"/>
              <w:noProof/>
              <w:sz w:val="24"/>
              <w:szCs w:val="24"/>
              <w:lang w:eastAsia="en-AU"/>
            </w:rPr>
          </w:pPr>
          <w:hyperlink w:anchor="_Toc402431254" w:history="1">
            <w:r w:rsidR="000A5BE6" w:rsidRPr="006E248F">
              <w:rPr>
                <w:rStyle w:val="Hyperlink"/>
                <w:noProof/>
                <w:sz w:val="24"/>
                <w:szCs w:val="24"/>
              </w:rPr>
              <w:t>2.2</w:t>
            </w:r>
            <w:r w:rsidR="000A5BE6" w:rsidRPr="006E248F">
              <w:rPr>
                <w:rFonts w:eastAsiaTheme="minorEastAsia"/>
                <w:noProof/>
                <w:sz w:val="24"/>
                <w:szCs w:val="24"/>
                <w:lang w:eastAsia="en-AU"/>
              </w:rPr>
              <w:tab/>
            </w:r>
            <w:r w:rsidR="000A5BE6" w:rsidRPr="006E248F">
              <w:rPr>
                <w:rStyle w:val="Hyperlink"/>
                <w:noProof/>
                <w:sz w:val="24"/>
                <w:szCs w:val="24"/>
              </w:rPr>
              <w:t>Monitoring and Evaluation</w:t>
            </w:r>
            <w:r w:rsidR="000A5BE6" w:rsidRPr="006E248F">
              <w:rPr>
                <w:noProof/>
                <w:webHidden/>
                <w:sz w:val="24"/>
                <w:szCs w:val="24"/>
              </w:rPr>
              <w:tab/>
            </w:r>
            <w:r w:rsidR="000A5BE6" w:rsidRPr="006E248F">
              <w:rPr>
                <w:noProof/>
                <w:webHidden/>
                <w:sz w:val="24"/>
                <w:szCs w:val="24"/>
              </w:rPr>
              <w:fldChar w:fldCharType="begin"/>
            </w:r>
            <w:r w:rsidR="000A5BE6" w:rsidRPr="006E248F">
              <w:rPr>
                <w:noProof/>
                <w:webHidden/>
                <w:sz w:val="24"/>
                <w:szCs w:val="24"/>
              </w:rPr>
              <w:instrText xml:space="preserve"> PAGEREF _Toc402431254 \h </w:instrText>
            </w:r>
            <w:r w:rsidR="000A5BE6" w:rsidRPr="006E248F">
              <w:rPr>
                <w:noProof/>
                <w:webHidden/>
                <w:sz w:val="24"/>
                <w:szCs w:val="24"/>
              </w:rPr>
            </w:r>
            <w:r w:rsidR="000A5BE6" w:rsidRPr="006E248F">
              <w:rPr>
                <w:noProof/>
                <w:webHidden/>
                <w:sz w:val="24"/>
                <w:szCs w:val="24"/>
              </w:rPr>
              <w:fldChar w:fldCharType="separate"/>
            </w:r>
            <w:r w:rsidR="004D3B28">
              <w:rPr>
                <w:noProof/>
                <w:webHidden/>
                <w:sz w:val="24"/>
                <w:szCs w:val="24"/>
              </w:rPr>
              <w:t>37</w:t>
            </w:r>
            <w:r w:rsidR="000A5BE6" w:rsidRPr="006E248F">
              <w:rPr>
                <w:noProof/>
                <w:webHidden/>
                <w:sz w:val="24"/>
                <w:szCs w:val="24"/>
              </w:rPr>
              <w:fldChar w:fldCharType="end"/>
            </w:r>
          </w:hyperlink>
        </w:p>
        <w:p w14:paraId="64341555" w14:textId="77777777" w:rsidR="000A5BE6" w:rsidRPr="006E248F" w:rsidRDefault="00E867D0">
          <w:pPr>
            <w:pStyle w:val="TOC2"/>
            <w:tabs>
              <w:tab w:val="left" w:pos="880"/>
              <w:tab w:val="right" w:leader="dot" w:pos="9016"/>
            </w:tabs>
            <w:rPr>
              <w:rFonts w:eastAsiaTheme="minorEastAsia"/>
              <w:noProof/>
              <w:sz w:val="24"/>
              <w:szCs w:val="24"/>
              <w:lang w:eastAsia="en-AU"/>
            </w:rPr>
          </w:pPr>
          <w:hyperlink w:anchor="_Toc402431255" w:history="1">
            <w:r w:rsidR="000A5BE6" w:rsidRPr="006E248F">
              <w:rPr>
                <w:rStyle w:val="Hyperlink"/>
                <w:noProof/>
                <w:sz w:val="24"/>
                <w:szCs w:val="24"/>
              </w:rPr>
              <w:t>2.4</w:t>
            </w:r>
            <w:r w:rsidR="000A5BE6" w:rsidRPr="006E248F">
              <w:rPr>
                <w:rFonts w:eastAsiaTheme="minorEastAsia"/>
                <w:noProof/>
                <w:sz w:val="24"/>
                <w:szCs w:val="24"/>
                <w:lang w:eastAsia="en-AU"/>
              </w:rPr>
              <w:tab/>
            </w:r>
            <w:r w:rsidR="000A5BE6" w:rsidRPr="006E248F">
              <w:rPr>
                <w:rStyle w:val="Hyperlink"/>
                <w:noProof/>
                <w:sz w:val="24"/>
                <w:szCs w:val="24"/>
              </w:rPr>
              <w:t>Knowledge Management</w:t>
            </w:r>
            <w:r w:rsidR="000A5BE6" w:rsidRPr="006E248F">
              <w:rPr>
                <w:noProof/>
                <w:webHidden/>
                <w:sz w:val="24"/>
                <w:szCs w:val="24"/>
              </w:rPr>
              <w:tab/>
            </w:r>
            <w:r w:rsidR="000A5BE6" w:rsidRPr="006E248F">
              <w:rPr>
                <w:noProof/>
                <w:webHidden/>
                <w:sz w:val="24"/>
                <w:szCs w:val="24"/>
              </w:rPr>
              <w:fldChar w:fldCharType="begin"/>
            </w:r>
            <w:r w:rsidR="000A5BE6" w:rsidRPr="006E248F">
              <w:rPr>
                <w:noProof/>
                <w:webHidden/>
                <w:sz w:val="24"/>
                <w:szCs w:val="24"/>
              </w:rPr>
              <w:instrText xml:space="preserve"> PAGEREF _Toc402431255 \h </w:instrText>
            </w:r>
            <w:r w:rsidR="000A5BE6" w:rsidRPr="006E248F">
              <w:rPr>
                <w:noProof/>
                <w:webHidden/>
                <w:sz w:val="24"/>
                <w:szCs w:val="24"/>
              </w:rPr>
            </w:r>
            <w:r w:rsidR="000A5BE6" w:rsidRPr="006E248F">
              <w:rPr>
                <w:noProof/>
                <w:webHidden/>
                <w:sz w:val="24"/>
                <w:szCs w:val="24"/>
              </w:rPr>
              <w:fldChar w:fldCharType="separate"/>
            </w:r>
            <w:r w:rsidR="004D3B28">
              <w:rPr>
                <w:noProof/>
                <w:webHidden/>
                <w:sz w:val="24"/>
                <w:szCs w:val="24"/>
              </w:rPr>
              <w:t>38</w:t>
            </w:r>
            <w:r w:rsidR="000A5BE6" w:rsidRPr="006E248F">
              <w:rPr>
                <w:noProof/>
                <w:webHidden/>
                <w:sz w:val="24"/>
                <w:szCs w:val="24"/>
              </w:rPr>
              <w:fldChar w:fldCharType="end"/>
            </w:r>
          </w:hyperlink>
        </w:p>
        <w:p w14:paraId="3D235551" w14:textId="77777777" w:rsidR="000A5BE6" w:rsidRPr="006E248F" w:rsidRDefault="00E867D0">
          <w:pPr>
            <w:pStyle w:val="TOC1"/>
            <w:tabs>
              <w:tab w:val="left" w:pos="440"/>
              <w:tab w:val="right" w:leader="dot" w:pos="9016"/>
            </w:tabs>
            <w:rPr>
              <w:rFonts w:eastAsiaTheme="minorEastAsia"/>
              <w:noProof/>
              <w:sz w:val="24"/>
              <w:szCs w:val="24"/>
              <w:lang w:eastAsia="en-AU"/>
            </w:rPr>
          </w:pPr>
          <w:hyperlink w:anchor="_Toc402431256" w:history="1">
            <w:r w:rsidR="000A5BE6" w:rsidRPr="006E248F">
              <w:rPr>
                <w:rStyle w:val="Hyperlink"/>
                <w:noProof/>
                <w:sz w:val="24"/>
                <w:szCs w:val="24"/>
              </w:rPr>
              <w:t>3.</w:t>
            </w:r>
            <w:r w:rsidR="000A5BE6" w:rsidRPr="006E248F">
              <w:rPr>
                <w:rFonts w:eastAsiaTheme="minorEastAsia"/>
                <w:noProof/>
                <w:sz w:val="24"/>
                <w:szCs w:val="24"/>
                <w:lang w:eastAsia="en-AU"/>
              </w:rPr>
              <w:tab/>
            </w:r>
            <w:r w:rsidR="000A5BE6" w:rsidRPr="00F2676F">
              <w:rPr>
                <w:rStyle w:val="Hyperlink"/>
                <w:b/>
                <w:noProof/>
                <w:sz w:val="24"/>
                <w:szCs w:val="24"/>
              </w:rPr>
              <w:t>Evaluation Criteria Ratings</w:t>
            </w:r>
            <w:r w:rsidR="000A5BE6" w:rsidRPr="006E248F">
              <w:rPr>
                <w:noProof/>
                <w:webHidden/>
                <w:sz w:val="24"/>
                <w:szCs w:val="24"/>
              </w:rPr>
              <w:tab/>
            </w:r>
            <w:r w:rsidR="000A5BE6" w:rsidRPr="006E248F">
              <w:rPr>
                <w:noProof/>
                <w:webHidden/>
                <w:sz w:val="24"/>
                <w:szCs w:val="24"/>
              </w:rPr>
              <w:fldChar w:fldCharType="begin"/>
            </w:r>
            <w:r w:rsidR="000A5BE6" w:rsidRPr="006E248F">
              <w:rPr>
                <w:noProof/>
                <w:webHidden/>
                <w:sz w:val="24"/>
                <w:szCs w:val="24"/>
              </w:rPr>
              <w:instrText xml:space="preserve"> PAGEREF _Toc402431256 \h </w:instrText>
            </w:r>
            <w:r w:rsidR="000A5BE6" w:rsidRPr="006E248F">
              <w:rPr>
                <w:noProof/>
                <w:webHidden/>
                <w:sz w:val="24"/>
                <w:szCs w:val="24"/>
              </w:rPr>
            </w:r>
            <w:r w:rsidR="000A5BE6" w:rsidRPr="006E248F">
              <w:rPr>
                <w:noProof/>
                <w:webHidden/>
                <w:sz w:val="24"/>
                <w:szCs w:val="24"/>
              </w:rPr>
              <w:fldChar w:fldCharType="separate"/>
            </w:r>
            <w:r w:rsidR="004D3B28">
              <w:rPr>
                <w:noProof/>
                <w:webHidden/>
                <w:sz w:val="24"/>
                <w:szCs w:val="24"/>
              </w:rPr>
              <w:t>38</w:t>
            </w:r>
            <w:r w:rsidR="000A5BE6" w:rsidRPr="006E248F">
              <w:rPr>
                <w:noProof/>
                <w:webHidden/>
                <w:sz w:val="24"/>
                <w:szCs w:val="24"/>
              </w:rPr>
              <w:fldChar w:fldCharType="end"/>
            </w:r>
          </w:hyperlink>
        </w:p>
        <w:p w14:paraId="0F8CCC6F" w14:textId="77777777" w:rsidR="000A5BE6" w:rsidRPr="006E248F" w:rsidRDefault="00E867D0">
          <w:pPr>
            <w:pStyle w:val="TOC1"/>
            <w:tabs>
              <w:tab w:val="left" w:pos="440"/>
              <w:tab w:val="right" w:leader="dot" w:pos="9016"/>
            </w:tabs>
            <w:rPr>
              <w:rFonts w:eastAsiaTheme="minorEastAsia"/>
              <w:noProof/>
              <w:sz w:val="24"/>
              <w:szCs w:val="24"/>
              <w:lang w:eastAsia="en-AU"/>
            </w:rPr>
          </w:pPr>
          <w:hyperlink w:anchor="_Toc402431257" w:history="1">
            <w:r w:rsidR="000A5BE6" w:rsidRPr="006E248F">
              <w:rPr>
                <w:rStyle w:val="Hyperlink"/>
                <w:noProof/>
                <w:sz w:val="24"/>
                <w:szCs w:val="24"/>
              </w:rPr>
              <w:t>4.</w:t>
            </w:r>
            <w:r w:rsidR="000A5BE6" w:rsidRPr="006E248F">
              <w:rPr>
                <w:rFonts w:eastAsiaTheme="minorEastAsia"/>
                <w:noProof/>
                <w:sz w:val="24"/>
                <w:szCs w:val="24"/>
                <w:lang w:eastAsia="en-AU"/>
              </w:rPr>
              <w:tab/>
            </w:r>
            <w:r w:rsidR="000A5BE6" w:rsidRPr="00F2676F">
              <w:rPr>
                <w:rStyle w:val="Hyperlink"/>
                <w:b/>
                <w:noProof/>
                <w:sz w:val="24"/>
                <w:szCs w:val="24"/>
              </w:rPr>
              <w:t>Lessons Learnt</w:t>
            </w:r>
            <w:r w:rsidR="000A5BE6" w:rsidRPr="006E248F">
              <w:rPr>
                <w:noProof/>
                <w:webHidden/>
                <w:sz w:val="24"/>
                <w:szCs w:val="24"/>
              </w:rPr>
              <w:tab/>
            </w:r>
            <w:r w:rsidR="000A5BE6" w:rsidRPr="006E248F">
              <w:rPr>
                <w:noProof/>
                <w:webHidden/>
                <w:sz w:val="24"/>
                <w:szCs w:val="24"/>
              </w:rPr>
              <w:fldChar w:fldCharType="begin"/>
            </w:r>
            <w:r w:rsidR="000A5BE6" w:rsidRPr="006E248F">
              <w:rPr>
                <w:noProof/>
                <w:webHidden/>
                <w:sz w:val="24"/>
                <w:szCs w:val="24"/>
              </w:rPr>
              <w:instrText xml:space="preserve"> PAGEREF _Toc402431257 \h </w:instrText>
            </w:r>
            <w:r w:rsidR="000A5BE6" w:rsidRPr="006E248F">
              <w:rPr>
                <w:noProof/>
                <w:webHidden/>
                <w:sz w:val="24"/>
                <w:szCs w:val="24"/>
              </w:rPr>
            </w:r>
            <w:r w:rsidR="000A5BE6" w:rsidRPr="006E248F">
              <w:rPr>
                <w:noProof/>
                <w:webHidden/>
                <w:sz w:val="24"/>
                <w:szCs w:val="24"/>
              </w:rPr>
              <w:fldChar w:fldCharType="separate"/>
            </w:r>
            <w:r w:rsidR="004D3B28">
              <w:rPr>
                <w:noProof/>
                <w:webHidden/>
                <w:sz w:val="24"/>
                <w:szCs w:val="24"/>
              </w:rPr>
              <w:t>40</w:t>
            </w:r>
            <w:r w:rsidR="000A5BE6" w:rsidRPr="006E248F">
              <w:rPr>
                <w:noProof/>
                <w:webHidden/>
                <w:sz w:val="24"/>
                <w:szCs w:val="24"/>
              </w:rPr>
              <w:fldChar w:fldCharType="end"/>
            </w:r>
          </w:hyperlink>
        </w:p>
        <w:p w14:paraId="6BF750FA" w14:textId="432FC68F" w:rsidR="000A5BE6" w:rsidRPr="006E248F" w:rsidRDefault="00E867D0" w:rsidP="006E248F">
          <w:pPr>
            <w:pStyle w:val="TOC1"/>
            <w:tabs>
              <w:tab w:val="left" w:pos="440"/>
              <w:tab w:val="right" w:leader="dot" w:pos="9016"/>
            </w:tabs>
            <w:rPr>
              <w:rStyle w:val="Hyperlink"/>
              <w:rFonts w:eastAsiaTheme="minorEastAsia"/>
              <w:noProof/>
              <w:color w:val="auto"/>
              <w:sz w:val="24"/>
              <w:szCs w:val="24"/>
              <w:u w:val="none"/>
              <w:lang w:eastAsia="en-AU"/>
            </w:rPr>
          </w:pPr>
          <w:hyperlink w:anchor="_Toc402431258" w:history="1">
            <w:r w:rsidR="000A5BE6" w:rsidRPr="006E248F">
              <w:rPr>
                <w:rStyle w:val="Hyperlink"/>
                <w:noProof/>
                <w:sz w:val="24"/>
                <w:szCs w:val="24"/>
              </w:rPr>
              <w:t>5.</w:t>
            </w:r>
            <w:r w:rsidR="000A5BE6" w:rsidRPr="006E248F">
              <w:rPr>
                <w:rFonts w:eastAsiaTheme="minorEastAsia"/>
                <w:noProof/>
                <w:sz w:val="24"/>
                <w:szCs w:val="24"/>
                <w:lang w:eastAsia="en-AU"/>
              </w:rPr>
              <w:tab/>
            </w:r>
            <w:r w:rsidR="000A5BE6" w:rsidRPr="00F2676F">
              <w:rPr>
                <w:rStyle w:val="Hyperlink"/>
                <w:b/>
                <w:noProof/>
                <w:sz w:val="24"/>
                <w:szCs w:val="24"/>
              </w:rPr>
              <w:t>Moving Forward</w:t>
            </w:r>
            <w:r w:rsidR="000A5BE6" w:rsidRPr="006E248F">
              <w:rPr>
                <w:noProof/>
                <w:webHidden/>
                <w:sz w:val="24"/>
                <w:szCs w:val="24"/>
              </w:rPr>
              <w:tab/>
            </w:r>
            <w:r w:rsidR="000A5BE6" w:rsidRPr="006E248F">
              <w:rPr>
                <w:noProof/>
                <w:webHidden/>
                <w:sz w:val="24"/>
                <w:szCs w:val="24"/>
              </w:rPr>
              <w:fldChar w:fldCharType="begin"/>
            </w:r>
            <w:r w:rsidR="000A5BE6" w:rsidRPr="006E248F">
              <w:rPr>
                <w:noProof/>
                <w:webHidden/>
                <w:sz w:val="24"/>
                <w:szCs w:val="24"/>
              </w:rPr>
              <w:instrText xml:space="preserve"> PAGEREF _Toc402431258 \h </w:instrText>
            </w:r>
            <w:r w:rsidR="000A5BE6" w:rsidRPr="006E248F">
              <w:rPr>
                <w:noProof/>
                <w:webHidden/>
                <w:sz w:val="24"/>
                <w:szCs w:val="24"/>
              </w:rPr>
            </w:r>
            <w:r w:rsidR="000A5BE6" w:rsidRPr="006E248F">
              <w:rPr>
                <w:noProof/>
                <w:webHidden/>
                <w:sz w:val="24"/>
                <w:szCs w:val="24"/>
              </w:rPr>
              <w:fldChar w:fldCharType="separate"/>
            </w:r>
            <w:r w:rsidR="004D3B28">
              <w:rPr>
                <w:noProof/>
                <w:webHidden/>
                <w:sz w:val="24"/>
                <w:szCs w:val="24"/>
              </w:rPr>
              <w:t>41</w:t>
            </w:r>
            <w:r w:rsidR="000A5BE6" w:rsidRPr="006E248F">
              <w:rPr>
                <w:noProof/>
                <w:webHidden/>
                <w:sz w:val="24"/>
                <w:szCs w:val="24"/>
              </w:rPr>
              <w:fldChar w:fldCharType="end"/>
            </w:r>
          </w:hyperlink>
        </w:p>
        <w:p w14:paraId="46D393EB" w14:textId="77777777" w:rsidR="000A5BE6" w:rsidRPr="006E248F" w:rsidRDefault="000A5BE6" w:rsidP="006E248F">
          <w:pPr>
            <w:rPr>
              <w:noProof/>
              <w:sz w:val="24"/>
              <w:szCs w:val="24"/>
            </w:rPr>
          </w:pPr>
        </w:p>
        <w:p w14:paraId="1AE1460D" w14:textId="107689DB" w:rsidR="000A5BE6" w:rsidRPr="00F2676F" w:rsidRDefault="000A5BE6" w:rsidP="006E248F">
          <w:pPr>
            <w:spacing w:after="0"/>
            <w:jc w:val="center"/>
            <w:rPr>
              <w:b/>
              <w:noProof/>
              <w:sz w:val="24"/>
              <w:szCs w:val="24"/>
            </w:rPr>
          </w:pPr>
          <w:r w:rsidRPr="00F2676F">
            <w:rPr>
              <w:b/>
              <w:noProof/>
              <w:sz w:val="24"/>
              <w:szCs w:val="24"/>
            </w:rPr>
            <w:t>Charts</w:t>
          </w:r>
        </w:p>
        <w:p w14:paraId="1AC4E0A5" w14:textId="0EE9A8EF" w:rsidR="000A5BE6" w:rsidRPr="006E248F" w:rsidRDefault="00113767" w:rsidP="006E248F">
          <w:pPr>
            <w:spacing w:after="0"/>
            <w:rPr>
              <w:noProof/>
              <w:sz w:val="24"/>
              <w:szCs w:val="24"/>
            </w:rPr>
          </w:pPr>
          <w:r w:rsidRPr="006E248F">
            <w:rPr>
              <w:noProof/>
              <w:sz w:val="24"/>
              <w:szCs w:val="24"/>
            </w:rPr>
            <w:t>Chart 1: Percentage of people killed by disaster type in Indonesia 1980-2010</w:t>
          </w:r>
          <w:r w:rsidR="004C0EB4">
            <w:rPr>
              <w:noProof/>
              <w:sz w:val="24"/>
              <w:szCs w:val="24"/>
            </w:rPr>
            <w:t>……………………11</w:t>
          </w:r>
        </w:p>
        <w:p w14:paraId="270D9FB7" w14:textId="4182A44C" w:rsidR="00113767" w:rsidRPr="006E248F" w:rsidRDefault="00113767" w:rsidP="006E248F">
          <w:pPr>
            <w:spacing w:after="0"/>
            <w:rPr>
              <w:noProof/>
              <w:sz w:val="24"/>
              <w:szCs w:val="24"/>
            </w:rPr>
          </w:pPr>
          <w:r w:rsidRPr="006E248F">
            <w:rPr>
              <w:noProof/>
              <w:sz w:val="24"/>
              <w:szCs w:val="24"/>
            </w:rPr>
            <w:t>Chart 2: Estimated economic damages reported by disaster type in Indones</w:t>
          </w:r>
          <w:r w:rsidR="00963E02" w:rsidRPr="006E248F">
            <w:rPr>
              <w:noProof/>
              <w:sz w:val="24"/>
              <w:szCs w:val="24"/>
            </w:rPr>
            <w:t>ia 1980-2010</w:t>
          </w:r>
          <w:r w:rsidR="004C0EB4">
            <w:rPr>
              <w:noProof/>
              <w:sz w:val="24"/>
              <w:szCs w:val="24"/>
            </w:rPr>
            <w:t>…12</w:t>
          </w:r>
        </w:p>
        <w:p w14:paraId="4722FAC9" w14:textId="6F3669EA" w:rsidR="00113767" w:rsidRPr="006E248F" w:rsidRDefault="00963E02" w:rsidP="006E248F">
          <w:pPr>
            <w:spacing w:after="0"/>
            <w:rPr>
              <w:noProof/>
              <w:sz w:val="24"/>
              <w:szCs w:val="24"/>
            </w:rPr>
          </w:pPr>
          <w:r w:rsidRPr="006E248F">
            <w:rPr>
              <w:noProof/>
              <w:sz w:val="24"/>
              <w:szCs w:val="24"/>
            </w:rPr>
            <w:t>Chart 3: AIFDR Timeline</w:t>
          </w:r>
          <w:r w:rsidR="004C0EB4">
            <w:rPr>
              <w:noProof/>
              <w:sz w:val="24"/>
              <w:szCs w:val="24"/>
            </w:rPr>
            <w:t>……………………………………………….........................................................15</w:t>
          </w:r>
        </w:p>
        <w:p w14:paraId="7D537CB4" w14:textId="77777777" w:rsidR="00AD635A" w:rsidRPr="006E248F" w:rsidRDefault="00AD635A" w:rsidP="006E248F">
          <w:pPr>
            <w:spacing w:after="0"/>
            <w:rPr>
              <w:noProof/>
              <w:sz w:val="24"/>
              <w:szCs w:val="24"/>
            </w:rPr>
          </w:pPr>
        </w:p>
        <w:p w14:paraId="066F55AC" w14:textId="089F91CF" w:rsidR="000A5BE6" w:rsidRPr="006E248F" w:rsidRDefault="00113767" w:rsidP="006E248F">
          <w:pPr>
            <w:spacing w:after="0"/>
            <w:jc w:val="center"/>
            <w:rPr>
              <w:b/>
              <w:noProof/>
              <w:sz w:val="24"/>
              <w:szCs w:val="24"/>
            </w:rPr>
          </w:pPr>
          <w:r w:rsidRPr="006E248F">
            <w:rPr>
              <w:b/>
              <w:noProof/>
              <w:sz w:val="24"/>
              <w:szCs w:val="24"/>
            </w:rPr>
            <w:t>Boxes</w:t>
          </w:r>
        </w:p>
        <w:p w14:paraId="0373B2D0" w14:textId="421736CD" w:rsidR="00113767" w:rsidRPr="006E248F" w:rsidRDefault="00113767" w:rsidP="006E248F">
          <w:pPr>
            <w:spacing w:after="0"/>
            <w:rPr>
              <w:noProof/>
              <w:sz w:val="24"/>
              <w:szCs w:val="24"/>
            </w:rPr>
          </w:pPr>
          <w:r w:rsidRPr="006E248F">
            <w:rPr>
              <w:noProof/>
              <w:sz w:val="24"/>
              <w:szCs w:val="24"/>
            </w:rPr>
            <w:t>Box 1: Definitions</w:t>
          </w:r>
          <w:r w:rsidR="004C0EB4">
            <w:rPr>
              <w:noProof/>
              <w:sz w:val="24"/>
              <w:szCs w:val="24"/>
            </w:rPr>
            <w:t>……………………………………………………………………</w:t>
          </w:r>
          <w:r w:rsidR="00E23BDA">
            <w:rPr>
              <w:noProof/>
              <w:sz w:val="24"/>
              <w:szCs w:val="24"/>
            </w:rPr>
            <w:t>…………………………………………...9</w:t>
          </w:r>
        </w:p>
        <w:p w14:paraId="6CA9672C" w14:textId="28020286" w:rsidR="00113767" w:rsidRPr="006E248F" w:rsidRDefault="008363CB" w:rsidP="006E248F">
          <w:pPr>
            <w:spacing w:after="0"/>
            <w:rPr>
              <w:noProof/>
              <w:sz w:val="24"/>
              <w:szCs w:val="24"/>
            </w:rPr>
          </w:pPr>
          <w:r w:rsidRPr="006E248F">
            <w:rPr>
              <w:noProof/>
              <w:sz w:val="24"/>
              <w:szCs w:val="24"/>
            </w:rPr>
            <w:t>Box 2: Tools for Assessing Disaster Risk</w:t>
          </w:r>
          <w:r w:rsidR="00E23BDA">
            <w:rPr>
              <w:noProof/>
              <w:sz w:val="24"/>
              <w:szCs w:val="24"/>
            </w:rPr>
            <w:t>………………………………………………………………………………26</w:t>
          </w:r>
        </w:p>
        <w:p w14:paraId="465C202A" w14:textId="70278DD7" w:rsidR="008363CB" w:rsidRPr="006E248F" w:rsidRDefault="008363CB" w:rsidP="006E248F">
          <w:pPr>
            <w:spacing w:after="0"/>
            <w:rPr>
              <w:noProof/>
              <w:sz w:val="24"/>
              <w:szCs w:val="24"/>
            </w:rPr>
          </w:pPr>
          <w:r w:rsidRPr="006E248F">
            <w:rPr>
              <w:noProof/>
              <w:sz w:val="24"/>
              <w:szCs w:val="24"/>
            </w:rPr>
            <w:t>Box 3:</w:t>
          </w:r>
          <w:r w:rsidR="00D5120A" w:rsidRPr="006E248F">
            <w:rPr>
              <w:noProof/>
              <w:sz w:val="24"/>
              <w:szCs w:val="24"/>
            </w:rPr>
            <w:t xml:space="preserve"> Innovative Programming</w:t>
          </w:r>
          <w:r w:rsidR="00E23BDA">
            <w:rPr>
              <w:noProof/>
              <w:sz w:val="24"/>
              <w:szCs w:val="24"/>
            </w:rPr>
            <w:t>………………………………………………………………………………………….27</w:t>
          </w:r>
        </w:p>
        <w:p w14:paraId="3EECCA38" w14:textId="1F803957" w:rsidR="00D5120A" w:rsidRPr="006E248F" w:rsidRDefault="00D5120A" w:rsidP="006E248F">
          <w:pPr>
            <w:spacing w:after="0"/>
            <w:rPr>
              <w:noProof/>
              <w:sz w:val="24"/>
              <w:szCs w:val="24"/>
            </w:rPr>
          </w:pPr>
          <w:r w:rsidRPr="006E248F">
            <w:rPr>
              <w:noProof/>
              <w:sz w:val="24"/>
              <w:szCs w:val="24"/>
            </w:rPr>
            <w:t>Box 4: Increasing the Participation of Women and Children with Disabilities in Community-Focused DRM</w:t>
          </w:r>
          <w:r w:rsidR="00E23BDA">
            <w:rPr>
              <w:noProof/>
              <w:sz w:val="24"/>
              <w:szCs w:val="24"/>
            </w:rPr>
            <w:t>……………………………………………………………………………………………………………………..29</w:t>
          </w:r>
        </w:p>
        <w:p w14:paraId="4D3B9194" w14:textId="5521F364" w:rsidR="00AD635A" w:rsidRPr="006E248F" w:rsidRDefault="00AD635A" w:rsidP="006E248F">
          <w:pPr>
            <w:spacing w:after="0"/>
            <w:rPr>
              <w:noProof/>
              <w:sz w:val="24"/>
              <w:szCs w:val="24"/>
            </w:rPr>
          </w:pPr>
          <w:r w:rsidRPr="006E248F">
            <w:rPr>
              <w:noProof/>
              <w:sz w:val="24"/>
              <w:szCs w:val="24"/>
            </w:rPr>
            <w:t>Box 5: Examples of Partnership Principles</w:t>
          </w:r>
          <w:r w:rsidR="00E23BDA">
            <w:rPr>
              <w:noProof/>
              <w:sz w:val="24"/>
              <w:szCs w:val="24"/>
            </w:rPr>
            <w:t>…………………………………………………………………………..31</w:t>
          </w:r>
        </w:p>
        <w:p w14:paraId="16947178" w14:textId="77777777" w:rsidR="008363CB" w:rsidRPr="006E248F" w:rsidRDefault="008363CB" w:rsidP="006E248F">
          <w:pPr>
            <w:spacing w:after="0"/>
            <w:rPr>
              <w:noProof/>
              <w:sz w:val="24"/>
              <w:szCs w:val="24"/>
            </w:rPr>
          </w:pPr>
        </w:p>
        <w:p w14:paraId="7DED95F7" w14:textId="58FA0659" w:rsidR="00963E02" w:rsidRPr="006E248F" w:rsidRDefault="00963E02" w:rsidP="006E248F">
          <w:pPr>
            <w:spacing w:after="0"/>
            <w:jc w:val="center"/>
            <w:rPr>
              <w:b/>
              <w:noProof/>
              <w:sz w:val="24"/>
              <w:szCs w:val="24"/>
            </w:rPr>
          </w:pPr>
          <w:r w:rsidRPr="006E248F">
            <w:rPr>
              <w:b/>
              <w:noProof/>
              <w:sz w:val="24"/>
              <w:szCs w:val="24"/>
            </w:rPr>
            <w:t>Tables</w:t>
          </w:r>
        </w:p>
        <w:p w14:paraId="1E9F1BCB" w14:textId="38797607" w:rsidR="00963E02" w:rsidRPr="006E248F" w:rsidRDefault="00963E02" w:rsidP="006E248F">
          <w:pPr>
            <w:spacing w:after="0"/>
            <w:rPr>
              <w:noProof/>
              <w:sz w:val="24"/>
              <w:szCs w:val="24"/>
            </w:rPr>
          </w:pPr>
          <w:r w:rsidRPr="006E248F">
            <w:rPr>
              <w:noProof/>
              <w:sz w:val="24"/>
              <w:szCs w:val="24"/>
            </w:rPr>
            <w:t xml:space="preserve">Table 1: Evaluation Criteria </w:t>
          </w:r>
          <w:r w:rsidR="00E23BDA" w:rsidRPr="006E248F">
            <w:rPr>
              <w:noProof/>
              <w:sz w:val="24"/>
              <w:szCs w:val="24"/>
            </w:rPr>
            <w:t>Ratings</w:t>
          </w:r>
          <w:r w:rsidR="00E23BDA">
            <w:rPr>
              <w:noProof/>
              <w:sz w:val="24"/>
              <w:szCs w:val="24"/>
            </w:rPr>
            <w:t>………………………………………………………………………………………5</w:t>
          </w:r>
        </w:p>
        <w:p w14:paraId="00234C02" w14:textId="2A1EFB14" w:rsidR="00963E02" w:rsidRPr="006E248F" w:rsidRDefault="00963E02" w:rsidP="006E248F">
          <w:pPr>
            <w:spacing w:after="0"/>
            <w:rPr>
              <w:noProof/>
              <w:sz w:val="24"/>
              <w:szCs w:val="24"/>
            </w:rPr>
          </w:pPr>
          <w:r w:rsidRPr="006E248F">
            <w:rPr>
              <w:noProof/>
              <w:sz w:val="24"/>
              <w:szCs w:val="24"/>
            </w:rPr>
            <w:t xml:space="preserve">Table 2: </w:t>
          </w:r>
          <w:r w:rsidRPr="006E248F">
            <w:rPr>
              <w:noProof/>
              <w:sz w:val="24"/>
              <w:szCs w:val="24"/>
              <w:lang w:val="en" w:eastAsia="en-AU"/>
            </w:rPr>
            <w:t>Data related to human and economic losses from disasters in Indonesia that have occurred between 1980 and 2010</w:t>
          </w:r>
          <w:r w:rsidR="00E23BDA">
            <w:rPr>
              <w:noProof/>
              <w:sz w:val="24"/>
              <w:szCs w:val="24"/>
              <w:lang w:val="en" w:eastAsia="en-AU"/>
            </w:rPr>
            <w:t>………………………………………………………………………………………19</w:t>
          </w:r>
        </w:p>
        <w:p w14:paraId="0C1574E0" w14:textId="77777777" w:rsidR="00963E02" w:rsidRPr="006E248F" w:rsidRDefault="00963E02" w:rsidP="006E248F">
          <w:pPr>
            <w:rPr>
              <w:noProof/>
              <w:sz w:val="24"/>
              <w:szCs w:val="24"/>
            </w:rPr>
          </w:pPr>
        </w:p>
        <w:p w14:paraId="055EE21A" w14:textId="2E933DBF" w:rsidR="000A5BE6" w:rsidRPr="006E248F" w:rsidRDefault="000A5BE6" w:rsidP="006E248F">
          <w:pPr>
            <w:spacing w:after="0"/>
            <w:jc w:val="center"/>
            <w:rPr>
              <w:rStyle w:val="Hyperlink"/>
              <w:b/>
              <w:noProof/>
              <w:sz w:val="24"/>
              <w:szCs w:val="24"/>
            </w:rPr>
          </w:pPr>
          <w:r w:rsidRPr="006E248F">
            <w:rPr>
              <w:b/>
              <w:noProof/>
              <w:sz w:val="24"/>
              <w:szCs w:val="24"/>
            </w:rPr>
            <w:t>Annexes</w:t>
          </w:r>
        </w:p>
        <w:p w14:paraId="2ECCD24A" w14:textId="604EDD05" w:rsidR="000A5BE6" w:rsidRPr="006E248F" w:rsidRDefault="00E867D0" w:rsidP="006E248F">
          <w:pPr>
            <w:pStyle w:val="TOC1"/>
            <w:tabs>
              <w:tab w:val="right" w:leader="dot" w:pos="9016"/>
            </w:tabs>
            <w:spacing w:after="0"/>
            <w:rPr>
              <w:rFonts w:eastAsiaTheme="minorEastAsia"/>
              <w:noProof/>
              <w:sz w:val="24"/>
              <w:szCs w:val="24"/>
              <w:lang w:eastAsia="en-AU"/>
            </w:rPr>
          </w:pPr>
          <w:hyperlink w:anchor="_Toc402431259" w:history="1">
            <w:r w:rsidR="000A5BE6" w:rsidRPr="006E248F">
              <w:rPr>
                <w:rStyle w:val="Hyperlink"/>
                <w:noProof/>
                <w:sz w:val="24"/>
                <w:szCs w:val="24"/>
              </w:rPr>
              <w:t>Annex 1: Terms of Reference</w:t>
            </w:r>
            <w:r w:rsidR="000A5BE6" w:rsidRPr="006E248F">
              <w:rPr>
                <w:noProof/>
                <w:webHidden/>
                <w:sz w:val="24"/>
                <w:szCs w:val="24"/>
              </w:rPr>
              <w:tab/>
            </w:r>
          </w:hyperlink>
        </w:p>
        <w:p w14:paraId="02AC22AD" w14:textId="5F3A72B1" w:rsidR="000A5BE6" w:rsidRPr="006E248F" w:rsidRDefault="00E867D0" w:rsidP="006E248F">
          <w:pPr>
            <w:pStyle w:val="TOC1"/>
            <w:tabs>
              <w:tab w:val="right" w:leader="dot" w:pos="9016"/>
            </w:tabs>
            <w:spacing w:after="0"/>
            <w:rPr>
              <w:rFonts w:eastAsiaTheme="minorEastAsia"/>
              <w:noProof/>
              <w:sz w:val="24"/>
              <w:szCs w:val="24"/>
              <w:lang w:eastAsia="en-AU"/>
            </w:rPr>
          </w:pPr>
          <w:hyperlink w:anchor="_Toc402431260" w:history="1">
            <w:r w:rsidR="000A5BE6" w:rsidRPr="006E248F">
              <w:rPr>
                <w:rStyle w:val="Hyperlink"/>
                <w:noProof/>
                <w:sz w:val="24"/>
                <w:szCs w:val="24"/>
              </w:rPr>
              <w:t>Annex 2: Evaluation Plan</w:t>
            </w:r>
            <w:r w:rsidR="000A5BE6" w:rsidRPr="006E248F">
              <w:rPr>
                <w:noProof/>
                <w:webHidden/>
                <w:sz w:val="24"/>
                <w:szCs w:val="24"/>
              </w:rPr>
              <w:tab/>
            </w:r>
          </w:hyperlink>
        </w:p>
        <w:p w14:paraId="20BAE665" w14:textId="44BF17D7" w:rsidR="000A5BE6" w:rsidRPr="006E248F" w:rsidRDefault="00E867D0" w:rsidP="006E248F">
          <w:pPr>
            <w:pStyle w:val="TOC1"/>
            <w:tabs>
              <w:tab w:val="right" w:leader="dot" w:pos="9016"/>
            </w:tabs>
            <w:spacing w:after="0"/>
            <w:rPr>
              <w:rFonts w:eastAsiaTheme="minorEastAsia"/>
              <w:noProof/>
              <w:sz w:val="24"/>
              <w:szCs w:val="24"/>
              <w:lang w:eastAsia="en-AU"/>
            </w:rPr>
          </w:pPr>
          <w:hyperlink w:anchor="_Toc402431261" w:history="1">
            <w:r w:rsidR="000A5BE6" w:rsidRPr="006E248F">
              <w:rPr>
                <w:rStyle w:val="Hyperlink"/>
                <w:noProof/>
                <w:sz w:val="24"/>
                <w:szCs w:val="24"/>
              </w:rPr>
              <w:t>Annex 3: List of People and Organisations Consulted</w:t>
            </w:r>
            <w:r w:rsidR="000A5BE6" w:rsidRPr="006E248F">
              <w:rPr>
                <w:noProof/>
                <w:webHidden/>
                <w:sz w:val="24"/>
                <w:szCs w:val="24"/>
              </w:rPr>
              <w:tab/>
            </w:r>
          </w:hyperlink>
        </w:p>
        <w:p w14:paraId="3D25763A" w14:textId="720259C3" w:rsidR="000A5BE6" w:rsidRDefault="00E867D0" w:rsidP="006E248F">
          <w:pPr>
            <w:pStyle w:val="TOC1"/>
            <w:tabs>
              <w:tab w:val="right" w:leader="dot" w:pos="9016"/>
            </w:tabs>
            <w:spacing w:after="0"/>
            <w:rPr>
              <w:rFonts w:eastAsiaTheme="minorEastAsia"/>
              <w:noProof/>
              <w:lang w:eastAsia="en-AU"/>
            </w:rPr>
          </w:pPr>
          <w:hyperlink w:anchor="_Toc402431262" w:history="1">
            <w:r w:rsidR="000A5BE6" w:rsidRPr="006E248F">
              <w:rPr>
                <w:rStyle w:val="Hyperlink"/>
                <w:noProof/>
                <w:sz w:val="24"/>
                <w:szCs w:val="24"/>
              </w:rPr>
              <w:t>Annex 4: List of Documents Reviewed</w:t>
            </w:r>
            <w:r w:rsidR="000A5BE6" w:rsidRPr="006E248F">
              <w:rPr>
                <w:noProof/>
                <w:webHidden/>
                <w:sz w:val="24"/>
                <w:szCs w:val="24"/>
              </w:rPr>
              <w:tab/>
            </w:r>
          </w:hyperlink>
        </w:p>
        <w:p w14:paraId="0800FDAB" w14:textId="3226E64D" w:rsidR="00B114FA" w:rsidRPr="00067625" w:rsidRDefault="00B114FA">
          <w:pPr>
            <w:rPr>
              <w:sz w:val="24"/>
              <w:szCs w:val="24"/>
            </w:rPr>
          </w:pPr>
          <w:r w:rsidRPr="00C34567">
            <w:rPr>
              <w:b/>
              <w:bCs/>
              <w:noProof/>
              <w:sz w:val="24"/>
              <w:szCs w:val="24"/>
            </w:rPr>
            <w:fldChar w:fldCharType="end"/>
          </w:r>
        </w:p>
      </w:sdtContent>
    </w:sdt>
    <w:p w14:paraId="3E7D2AE8" w14:textId="35AC622F" w:rsidR="00782352" w:rsidRDefault="00782352">
      <w:pPr>
        <w:rPr>
          <w:b/>
        </w:rPr>
      </w:pPr>
      <w:r>
        <w:rPr>
          <w:b/>
        </w:rPr>
        <w:br w:type="page"/>
      </w:r>
    </w:p>
    <w:p w14:paraId="4EA6EF35" w14:textId="129BB5D1" w:rsidR="007B48B3" w:rsidRPr="009705F2" w:rsidRDefault="007B48B3" w:rsidP="007B48B3">
      <w:pPr>
        <w:pStyle w:val="Heading1"/>
      </w:pPr>
      <w:bookmarkStart w:id="1" w:name="_Toc402431241"/>
      <w:r w:rsidRPr="009705F2">
        <w:t>Executive Summary</w:t>
      </w:r>
      <w:bookmarkEnd w:id="1"/>
      <w:r w:rsidRPr="009705F2">
        <w:t xml:space="preserve"> </w:t>
      </w:r>
    </w:p>
    <w:p w14:paraId="75339553" w14:textId="77777777" w:rsidR="007B48B3" w:rsidRDefault="007B48B3" w:rsidP="001322D7">
      <w:pPr>
        <w:spacing w:after="0"/>
      </w:pPr>
    </w:p>
    <w:p w14:paraId="7E501A13" w14:textId="4EB839AB" w:rsidR="00685887" w:rsidRPr="001322D7" w:rsidRDefault="00685887" w:rsidP="007B48B3">
      <w:pPr>
        <w:rPr>
          <w:b/>
          <w:sz w:val="24"/>
          <w:szCs w:val="24"/>
        </w:rPr>
      </w:pPr>
      <w:r w:rsidRPr="001322D7">
        <w:rPr>
          <w:b/>
          <w:sz w:val="24"/>
          <w:szCs w:val="24"/>
        </w:rPr>
        <w:t>Background</w:t>
      </w:r>
    </w:p>
    <w:p w14:paraId="56F47F85" w14:textId="54A5DF33" w:rsidR="007B48B3" w:rsidRDefault="00F2676F" w:rsidP="007B48B3">
      <w:pPr>
        <w:rPr>
          <w:rFonts w:cs="Arial"/>
          <w:color w:val="000000" w:themeColor="text1"/>
          <w:sz w:val="24"/>
          <w:szCs w:val="24"/>
          <w:lang w:val="en-US"/>
        </w:rPr>
      </w:pPr>
      <w:r>
        <w:rPr>
          <w:rFonts w:cs="Arial"/>
          <w:color w:val="000000" w:themeColor="text1"/>
          <w:sz w:val="24"/>
          <w:szCs w:val="24"/>
          <w:lang w:val="en-US"/>
        </w:rPr>
        <w:t>The Australia Indonesia Facility for Disaster Reduction (</w:t>
      </w:r>
      <w:r w:rsidR="007B48B3" w:rsidRPr="000B586F">
        <w:rPr>
          <w:rFonts w:cs="Arial"/>
          <w:color w:val="000000" w:themeColor="text1"/>
          <w:sz w:val="24"/>
          <w:szCs w:val="24"/>
          <w:lang w:val="en-US"/>
        </w:rPr>
        <w:t>AIFDR</w:t>
      </w:r>
      <w:r>
        <w:rPr>
          <w:rFonts w:cs="Arial"/>
          <w:color w:val="000000" w:themeColor="text1"/>
          <w:sz w:val="24"/>
          <w:szCs w:val="24"/>
          <w:lang w:val="en-US"/>
        </w:rPr>
        <w:t>)</w:t>
      </w:r>
      <w:r w:rsidR="007B48B3" w:rsidRPr="000B586F">
        <w:rPr>
          <w:rFonts w:cs="Arial"/>
          <w:color w:val="000000" w:themeColor="text1"/>
          <w:sz w:val="24"/>
          <w:szCs w:val="24"/>
          <w:lang w:val="en-US"/>
        </w:rPr>
        <w:t xml:space="preserve"> represents Australia’s largest investment in disaster risk reduction (DRR) and is a core component of Australia’s bi-lateral development program in Indonesia. </w:t>
      </w:r>
      <w:r w:rsidR="007B48B3" w:rsidRPr="00C45ABF">
        <w:rPr>
          <w:rFonts w:cs="Arial"/>
          <w:color w:val="000000" w:themeColor="text1"/>
          <w:sz w:val="24"/>
          <w:szCs w:val="24"/>
          <w:lang w:val="en-US"/>
        </w:rPr>
        <w:t xml:space="preserve">AIFDR is co-managed by </w:t>
      </w:r>
      <w:r w:rsidR="007B48B3" w:rsidRPr="00C45ABF">
        <w:rPr>
          <w:sz w:val="24"/>
          <w:szCs w:val="24"/>
        </w:rPr>
        <w:t>the Department of Foreign Affairs and Trade (DFAT</w:t>
      </w:r>
      <w:r w:rsidR="007B48B3" w:rsidRPr="00C45ABF">
        <w:rPr>
          <w:rFonts w:cs="Arial"/>
          <w:color w:val="000000" w:themeColor="text1"/>
          <w:sz w:val="24"/>
          <w:szCs w:val="24"/>
          <w:lang w:val="en-US"/>
        </w:rPr>
        <w:t xml:space="preserve">) and </w:t>
      </w:r>
      <w:r w:rsidR="00E36ECC">
        <w:rPr>
          <w:rFonts w:cs="Arial"/>
          <w:color w:val="000000" w:themeColor="text1"/>
          <w:sz w:val="24"/>
          <w:szCs w:val="24"/>
          <w:lang w:val="en-US"/>
        </w:rPr>
        <w:t xml:space="preserve">Indonesia’s </w:t>
      </w:r>
      <w:r w:rsidR="00E36ECC">
        <w:rPr>
          <w:rFonts w:cs="Century"/>
          <w:sz w:val="24"/>
          <w:szCs w:val="24"/>
        </w:rPr>
        <w:t xml:space="preserve">national disaster management agency, </w:t>
      </w:r>
      <w:r w:rsidR="00E36ECC" w:rsidRPr="009475DD">
        <w:rPr>
          <w:rFonts w:cs="Century"/>
          <w:i/>
          <w:sz w:val="24"/>
          <w:szCs w:val="24"/>
        </w:rPr>
        <w:t xml:space="preserve">Badan Nasional Penanggulangan Bencane </w:t>
      </w:r>
      <w:r w:rsidR="00E36ECC">
        <w:rPr>
          <w:rFonts w:cs="Century"/>
          <w:sz w:val="24"/>
          <w:szCs w:val="24"/>
        </w:rPr>
        <w:t>(BNPB)</w:t>
      </w:r>
      <w:r w:rsidR="007B48B3" w:rsidRPr="00C45ABF">
        <w:rPr>
          <w:rFonts w:cs="Arial"/>
          <w:color w:val="000000" w:themeColor="text1"/>
          <w:sz w:val="24"/>
          <w:szCs w:val="24"/>
          <w:lang w:val="en-US"/>
        </w:rPr>
        <w:t xml:space="preserve">. </w:t>
      </w:r>
    </w:p>
    <w:p w14:paraId="247839C2" w14:textId="478E39BE" w:rsidR="00FD1435" w:rsidRDefault="007B48B3" w:rsidP="006E248F">
      <w:pPr>
        <w:rPr>
          <w:rFonts w:cs="Arial"/>
          <w:color w:val="000000" w:themeColor="text1"/>
          <w:sz w:val="24"/>
          <w:szCs w:val="24"/>
          <w:lang w:val="en-US"/>
        </w:rPr>
      </w:pPr>
      <w:r w:rsidRPr="00C45ABF">
        <w:rPr>
          <w:sz w:val="24"/>
          <w:szCs w:val="24"/>
        </w:rPr>
        <w:t xml:space="preserve">The goal of AIFDR is to </w:t>
      </w:r>
      <w:r w:rsidRPr="00A44987">
        <w:rPr>
          <w:i/>
          <w:sz w:val="24"/>
          <w:szCs w:val="24"/>
        </w:rPr>
        <w:t>“strengthen national and local capacity in disaster management in Indonesia, and promotion of a more disaster resilient region”</w:t>
      </w:r>
      <w:r w:rsidRPr="00C45ABF">
        <w:rPr>
          <w:sz w:val="24"/>
          <w:szCs w:val="24"/>
        </w:rPr>
        <w:t xml:space="preserve">. </w:t>
      </w:r>
      <w:r w:rsidRPr="00C45ABF">
        <w:rPr>
          <w:rFonts w:cs="Arial"/>
          <w:color w:val="000000" w:themeColor="text1"/>
          <w:sz w:val="24"/>
          <w:szCs w:val="24"/>
          <w:lang w:val="en-US"/>
        </w:rPr>
        <w:t xml:space="preserve">AIFDR commenced operations in April 2009 and formally concluded on the 30 June 2013. AIFDR is currently in a transition phase prior to an anticipated second phase commencing in </w:t>
      </w:r>
      <w:r w:rsidRPr="006E248F">
        <w:rPr>
          <w:rFonts w:cs="Arial"/>
          <w:color w:val="000000" w:themeColor="text1"/>
          <w:sz w:val="24"/>
          <w:szCs w:val="24"/>
          <w:lang w:val="en-US"/>
        </w:rPr>
        <w:t xml:space="preserve">2015. </w:t>
      </w:r>
    </w:p>
    <w:p w14:paraId="09D80403" w14:textId="6A102E8D" w:rsidR="007B48B3" w:rsidRPr="006E248F" w:rsidRDefault="00FD1435" w:rsidP="006E248F">
      <w:pPr>
        <w:rPr>
          <w:rFonts w:cs="Arial"/>
          <w:color w:val="000000" w:themeColor="text1"/>
          <w:sz w:val="24"/>
          <w:szCs w:val="24"/>
          <w:lang w:val="en-US"/>
        </w:rPr>
      </w:pPr>
      <w:r>
        <w:rPr>
          <w:rFonts w:cs="Arial"/>
          <w:color w:val="000000" w:themeColor="text1"/>
          <w:sz w:val="24"/>
          <w:szCs w:val="24"/>
          <w:lang w:val="en-US"/>
        </w:rPr>
        <w:t>AIFDR’s e</w:t>
      </w:r>
      <w:r w:rsidR="007B48B3" w:rsidRPr="006E248F">
        <w:rPr>
          <w:rFonts w:cs="Arial"/>
          <w:color w:val="000000" w:themeColor="text1"/>
          <w:sz w:val="24"/>
          <w:szCs w:val="24"/>
          <w:lang w:val="en-US"/>
        </w:rPr>
        <w:t>xpected-end-of-facility outcomes for Phase</w:t>
      </w:r>
      <w:r w:rsidR="00F25587">
        <w:rPr>
          <w:rFonts w:cs="Arial"/>
          <w:color w:val="000000" w:themeColor="text1"/>
          <w:sz w:val="24"/>
          <w:szCs w:val="24"/>
          <w:lang w:val="en-US"/>
        </w:rPr>
        <w:t xml:space="preserve"> </w:t>
      </w:r>
      <w:r w:rsidR="007B48B3" w:rsidRPr="006E248F">
        <w:rPr>
          <w:rFonts w:cs="Arial"/>
          <w:color w:val="000000" w:themeColor="text1"/>
          <w:sz w:val="24"/>
          <w:szCs w:val="24"/>
          <w:lang w:val="en-US"/>
        </w:rPr>
        <w:t xml:space="preserve">1 </w:t>
      </w:r>
      <w:r>
        <w:rPr>
          <w:rFonts w:cs="Arial"/>
          <w:color w:val="000000" w:themeColor="text1"/>
          <w:sz w:val="24"/>
          <w:szCs w:val="24"/>
          <w:lang w:val="en-US"/>
        </w:rPr>
        <w:t xml:space="preserve">that are the subject of review </w:t>
      </w:r>
      <w:r w:rsidR="007B48B3" w:rsidRPr="006E248F">
        <w:rPr>
          <w:rFonts w:cs="Arial"/>
          <w:color w:val="000000" w:themeColor="text1"/>
          <w:sz w:val="24"/>
          <w:szCs w:val="24"/>
          <w:lang w:val="en-US"/>
        </w:rPr>
        <w:t>are:</w:t>
      </w:r>
    </w:p>
    <w:p w14:paraId="3F1EAD5F" w14:textId="77777777" w:rsidR="007B48B3" w:rsidRPr="006E248F" w:rsidRDefault="007B48B3" w:rsidP="007B48B3">
      <w:pPr>
        <w:rPr>
          <w:sz w:val="24"/>
          <w:szCs w:val="24"/>
        </w:rPr>
      </w:pPr>
      <w:r w:rsidRPr="006E248F">
        <w:rPr>
          <w:b/>
          <w:sz w:val="24"/>
          <w:szCs w:val="24"/>
        </w:rPr>
        <w:t>Outcome 1 – Better understanding of risk and vulnerability:</w:t>
      </w:r>
      <w:r w:rsidRPr="006E248F">
        <w:rPr>
          <w:sz w:val="24"/>
          <w:szCs w:val="24"/>
        </w:rPr>
        <w:t xml:space="preserve"> Disaster managers in priority areas of Indonesia and the region have an improved understanding of disaster risk and vulnerability. </w:t>
      </w:r>
    </w:p>
    <w:p w14:paraId="16EDFDE4" w14:textId="77777777" w:rsidR="007B48B3" w:rsidRPr="006E248F" w:rsidRDefault="007B48B3" w:rsidP="007B48B3">
      <w:pPr>
        <w:rPr>
          <w:sz w:val="24"/>
          <w:szCs w:val="24"/>
        </w:rPr>
      </w:pPr>
      <w:r w:rsidRPr="006E248F">
        <w:rPr>
          <w:b/>
          <w:sz w:val="24"/>
          <w:szCs w:val="24"/>
        </w:rPr>
        <w:t>Outcome 2 – Better able to reduce disaster risk in practice:</w:t>
      </w:r>
      <w:r w:rsidRPr="006E248F">
        <w:rPr>
          <w:sz w:val="24"/>
          <w:szCs w:val="24"/>
        </w:rPr>
        <w:t xml:space="preserve"> Disaster managers and vulnerable communities in demonstration provinces of Indonesia are better prepared to reduce impacts through disaster management planning and practice. </w:t>
      </w:r>
    </w:p>
    <w:p w14:paraId="4331C847" w14:textId="77777777" w:rsidR="007B48B3" w:rsidRPr="006E248F" w:rsidRDefault="007B48B3" w:rsidP="007B48B3">
      <w:pPr>
        <w:rPr>
          <w:sz w:val="24"/>
          <w:szCs w:val="24"/>
        </w:rPr>
      </w:pPr>
      <w:r w:rsidRPr="006E248F">
        <w:rPr>
          <w:b/>
          <w:sz w:val="24"/>
          <w:szCs w:val="24"/>
        </w:rPr>
        <w:t>Outcome 3 – Partnership with national and international organisations:</w:t>
      </w:r>
      <w:r w:rsidRPr="006E248F">
        <w:rPr>
          <w:sz w:val="24"/>
          <w:szCs w:val="24"/>
        </w:rPr>
        <w:t xml:space="preserve"> Partnerships enable sustainable disaster reduction in Indonesia and the region. </w:t>
      </w:r>
    </w:p>
    <w:p w14:paraId="0893CAD4" w14:textId="28D8DDF1" w:rsidR="004C0224" w:rsidRPr="001322D7" w:rsidRDefault="004C0224" w:rsidP="004C0224">
      <w:pPr>
        <w:rPr>
          <w:b/>
          <w:sz w:val="24"/>
          <w:szCs w:val="24"/>
        </w:rPr>
      </w:pPr>
      <w:r w:rsidRPr="001322D7">
        <w:rPr>
          <w:b/>
          <w:sz w:val="24"/>
          <w:szCs w:val="24"/>
        </w:rPr>
        <w:t>Review activities</w:t>
      </w:r>
    </w:p>
    <w:p w14:paraId="5AED9595" w14:textId="77777777" w:rsidR="004C0224" w:rsidRDefault="004C0224" w:rsidP="004C0224">
      <w:pPr>
        <w:rPr>
          <w:sz w:val="24"/>
          <w:szCs w:val="24"/>
        </w:rPr>
      </w:pPr>
      <w:r>
        <w:rPr>
          <w:sz w:val="24"/>
          <w:szCs w:val="24"/>
        </w:rPr>
        <w:t xml:space="preserve">This review of AIFDR Phase 1 has been commissioned by DFAT, and there are two key drivers behind it: (Driver 1) to provide a </w:t>
      </w:r>
      <w:r w:rsidRPr="006E248F">
        <w:rPr>
          <w:sz w:val="24"/>
          <w:szCs w:val="24"/>
        </w:rPr>
        <w:t>performance review of Phase 1 of AIFDR</w:t>
      </w:r>
      <w:r>
        <w:rPr>
          <w:sz w:val="24"/>
          <w:szCs w:val="24"/>
        </w:rPr>
        <w:t>;</w:t>
      </w:r>
      <w:r w:rsidRPr="006E248F">
        <w:rPr>
          <w:sz w:val="24"/>
          <w:szCs w:val="24"/>
        </w:rPr>
        <w:t xml:space="preserve"> </w:t>
      </w:r>
      <w:r>
        <w:rPr>
          <w:sz w:val="24"/>
          <w:szCs w:val="24"/>
        </w:rPr>
        <w:t>and (Driver 2) to draw</w:t>
      </w:r>
      <w:r w:rsidRPr="005A1D9F">
        <w:rPr>
          <w:sz w:val="24"/>
          <w:szCs w:val="24"/>
        </w:rPr>
        <w:t xml:space="preserve"> out lessons learnt from Phase 1 that are relevant to facility learning to inform Phase 2. </w:t>
      </w:r>
    </w:p>
    <w:p w14:paraId="705FD5AF" w14:textId="759AC49F" w:rsidR="00FC0D78" w:rsidRDefault="00FC0D78" w:rsidP="00FC0D78">
      <w:pPr>
        <w:rPr>
          <w:sz w:val="24"/>
          <w:szCs w:val="24"/>
        </w:rPr>
      </w:pPr>
      <w:r>
        <w:rPr>
          <w:sz w:val="24"/>
          <w:szCs w:val="24"/>
        </w:rPr>
        <w:t xml:space="preserve">The focus of this review is primarily on AIFDR’s performance post-2011 given a detailed independent Mid-Term Progress Review (MTR) was completed in that year. With that said, the review team has </w:t>
      </w:r>
      <w:r w:rsidRPr="00053907">
        <w:rPr>
          <w:sz w:val="24"/>
          <w:szCs w:val="24"/>
        </w:rPr>
        <w:t>also reviewed operations before the MTR so as to understand the genesis and early years of the facility.</w:t>
      </w:r>
      <w:r>
        <w:rPr>
          <w:sz w:val="24"/>
          <w:szCs w:val="24"/>
        </w:rPr>
        <w:t xml:space="preserve"> Outside the scope of this review is AIFDR’s performance during the facility’s transition phase, and an assessment of DFAT’s investments in disaster response managed by the Disaster Risk Unit (DRU).</w:t>
      </w:r>
    </w:p>
    <w:p w14:paraId="2A97C6DF" w14:textId="576E4BD2" w:rsidR="007B48B3" w:rsidRDefault="007B48B3" w:rsidP="007B48B3">
      <w:pPr>
        <w:rPr>
          <w:sz w:val="24"/>
          <w:szCs w:val="24"/>
        </w:rPr>
      </w:pPr>
      <w:r w:rsidRPr="00FC541E">
        <w:rPr>
          <w:sz w:val="24"/>
          <w:szCs w:val="24"/>
        </w:rPr>
        <w:t xml:space="preserve">The </w:t>
      </w:r>
      <w:r>
        <w:rPr>
          <w:sz w:val="24"/>
          <w:szCs w:val="24"/>
        </w:rPr>
        <w:t xml:space="preserve">review was </w:t>
      </w:r>
      <w:r w:rsidRPr="00FC541E">
        <w:rPr>
          <w:sz w:val="24"/>
          <w:szCs w:val="24"/>
        </w:rPr>
        <w:t>conducted</w:t>
      </w:r>
      <w:r>
        <w:rPr>
          <w:sz w:val="24"/>
          <w:szCs w:val="24"/>
        </w:rPr>
        <w:t xml:space="preserve"> over a relatively short time frame with a small </w:t>
      </w:r>
      <w:r w:rsidR="00952EA1">
        <w:rPr>
          <w:sz w:val="24"/>
          <w:szCs w:val="24"/>
        </w:rPr>
        <w:t>two person team</w:t>
      </w:r>
      <w:r w:rsidR="00FD1435">
        <w:rPr>
          <w:sz w:val="24"/>
          <w:szCs w:val="24"/>
        </w:rPr>
        <w:t xml:space="preserve">. </w:t>
      </w:r>
      <w:r>
        <w:rPr>
          <w:sz w:val="24"/>
          <w:szCs w:val="24"/>
        </w:rPr>
        <w:t xml:space="preserve">AIFDR’s </w:t>
      </w:r>
      <w:r w:rsidRPr="006870D9">
        <w:rPr>
          <w:sz w:val="24"/>
          <w:szCs w:val="24"/>
        </w:rPr>
        <w:t xml:space="preserve">performance </w:t>
      </w:r>
      <w:r w:rsidR="00952EA1">
        <w:rPr>
          <w:sz w:val="24"/>
          <w:szCs w:val="24"/>
        </w:rPr>
        <w:t xml:space="preserve">was assessed </w:t>
      </w:r>
      <w:r>
        <w:rPr>
          <w:sz w:val="24"/>
          <w:szCs w:val="24"/>
        </w:rPr>
        <w:t>with reference to three</w:t>
      </w:r>
      <w:r w:rsidRPr="006870D9">
        <w:rPr>
          <w:sz w:val="24"/>
          <w:szCs w:val="24"/>
        </w:rPr>
        <w:t xml:space="preserve"> evaluation criteria, namely</w:t>
      </w:r>
      <w:r>
        <w:rPr>
          <w:sz w:val="24"/>
          <w:szCs w:val="24"/>
        </w:rPr>
        <w:t>:</w:t>
      </w:r>
      <w:r w:rsidRPr="006870D9">
        <w:rPr>
          <w:sz w:val="24"/>
          <w:szCs w:val="24"/>
        </w:rPr>
        <w:t xml:space="preserve"> relevance, effectiveness and efficiency.</w:t>
      </w:r>
      <w:r>
        <w:rPr>
          <w:sz w:val="24"/>
          <w:szCs w:val="24"/>
        </w:rPr>
        <w:t xml:space="preserve"> AIFDR’s monitoring and evaluation and knowledge management arrangements have also been reviewed and rated.</w:t>
      </w:r>
      <w:r w:rsidRPr="003D59ED">
        <w:rPr>
          <w:sz w:val="24"/>
          <w:szCs w:val="24"/>
        </w:rPr>
        <w:t xml:space="preserve"> </w:t>
      </w:r>
      <w:r w:rsidR="00FD1435">
        <w:rPr>
          <w:sz w:val="24"/>
          <w:szCs w:val="24"/>
        </w:rPr>
        <w:t>The review team has not assessed i</w:t>
      </w:r>
      <w:r w:rsidR="00FD1435" w:rsidRPr="00AF3B9C">
        <w:rPr>
          <w:sz w:val="24"/>
          <w:szCs w:val="24"/>
        </w:rPr>
        <w:t xml:space="preserve">mpact </w:t>
      </w:r>
      <w:r w:rsidR="00FD1435">
        <w:rPr>
          <w:sz w:val="24"/>
          <w:szCs w:val="24"/>
        </w:rPr>
        <w:t xml:space="preserve">as it </w:t>
      </w:r>
      <w:r w:rsidR="00FD1435" w:rsidRPr="00AF3B9C">
        <w:rPr>
          <w:sz w:val="24"/>
          <w:szCs w:val="24"/>
        </w:rPr>
        <w:t xml:space="preserve">was outside the scope of this </w:t>
      </w:r>
      <w:r w:rsidR="00FD1435">
        <w:rPr>
          <w:sz w:val="24"/>
          <w:szCs w:val="24"/>
        </w:rPr>
        <w:t>review and is, in any case, probably immeasurable at this stage.</w:t>
      </w:r>
    </w:p>
    <w:p w14:paraId="054A208E" w14:textId="48F2600E" w:rsidR="004C0224" w:rsidRDefault="004C0224" w:rsidP="007B48B3">
      <w:pPr>
        <w:rPr>
          <w:b/>
          <w:sz w:val="24"/>
          <w:szCs w:val="24"/>
        </w:rPr>
      </w:pPr>
      <w:r w:rsidRPr="006E248F">
        <w:rPr>
          <w:b/>
          <w:sz w:val="24"/>
          <w:szCs w:val="24"/>
        </w:rPr>
        <w:t xml:space="preserve">Evaluation </w:t>
      </w:r>
      <w:r w:rsidR="00F765CE">
        <w:rPr>
          <w:b/>
          <w:sz w:val="24"/>
          <w:szCs w:val="24"/>
        </w:rPr>
        <w:t>c</w:t>
      </w:r>
      <w:r w:rsidRPr="006E248F">
        <w:rPr>
          <w:b/>
          <w:sz w:val="24"/>
          <w:szCs w:val="24"/>
        </w:rPr>
        <w:t xml:space="preserve">riteria </w:t>
      </w:r>
      <w:r w:rsidR="00F765CE">
        <w:rPr>
          <w:b/>
          <w:sz w:val="24"/>
          <w:szCs w:val="24"/>
        </w:rPr>
        <w:t>r</w:t>
      </w:r>
      <w:r w:rsidRPr="006E248F">
        <w:rPr>
          <w:b/>
          <w:sz w:val="24"/>
          <w:szCs w:val="24"/>
        </w:rPr>
        <w:t xml:space="preserve">atings </w:t>
      </w:r>
    </w:p>
    <w:p w14:paraId="422898E9" w14:textId="07CFA003" w:rsidR="007B48B3" w:rsidRDefault="007B48B3" w:rsidP="007B48B3">
      <w:pPr>
        <w:rPr>
          <w:sz w:val="24"/>
          <w:szCs w:val="24"/>
        </w:rPr>
      </w:pPr>
      <w:r>
        <w:rPr>
          <w:sz w:val="24"/>
          <w:szCs w:val="24"/>
        </w:rPr>
        <w:t>The review team</w:t>
      </w:r>
      <w:r w:rsidR="00FD1435">
        <w:rPr>
          <w:sz w:val="24"/>
          <w:szCs w:val="24"/>
        </w:rPr>
        <w:t>’</w:t>
      </w:r>
      <w:r>
        <w:rPr>
          <w:sz w:val="24"/>
          <w:szCs w:val="24"/>
        </w:rPr>
        <w:t>s ratings of AIFDR’s performance against the evaluation criteria are included in the table below.</w:t>
      </w:r>
    </w:p>
    <w:p w14:paraId="5E234045" w14:textId="77777777" w:rsidR="00FD1435" w:rsidRDefault="00FD1435" w:rsidP="00F2676F">
      <w:pPr>
        <w:spacing w:after="0"/>
        <w:rPr>
          <w:b/>
          <w:sz w:val="24"/>
          <w:szCs w:val="24"/>
        </w:rPr>
      </w:pPr>
    </w:p>
    <w:p w14:paraId="3F62EFBE" w14:textId="4508DD6C" w:rsidR="007B48B3" w:rsidRPr="006E248F" w:rsidRDefault="007B48B3" w:rsidP="007B48B3">
      <w:pPr>
        <w:rPr>
          <w:b/>
          <w:sz w:val="24"/>
          <w:szCs w:val="24"/>
        </w:rPr>
      </w:pPr>
      <w:r w:rsidRPr="006E248F">
        <w:rPr>
          <w:b/>
          <w:sz w:val="24"/>
          <w:szCs w:val="24"/>
        </w:rPr>
        <w:t>Table</w:t>
      </w:r>
      <w:r w:rsidR="00963E02">
        <w:rPr>
          <w:b/>
          <w:sz w:val="24"/>
          <w:szCs w:val="24"/>
        </w:rPr>
        <w:t xml:space="preserve"> 1</w:t>
      </w:r>
      <w:r w:rsidRPr="006E248F">
        <w:rPr>
          <w:b/>
          <w:sz w:val="24"/>
          <w:szCs w:val="24"/>
        </w:rPr>
        <w:t xml:space="preserve">: Evaluation Criteria Ratings </w:t>
      </w:r>
    </w:p>
    <w:tbl>
      <w:tblPr>
        <w:tblStyle w:val="TableGrid"/>
        <w:tblW w:w="0" w:type="auto"/>
        <w:tblLook w:val="04A0" w:firstRow="1" w:lastRow="0" w:firstColumn="1" w:lastColumn="0" w:noHBand="0" w:noVBand="1"/>
      </w:tblPr>
      <w:tblGrid>
        <w:gridCol w:w="1980"/>
        <w:gridCol w:w="1417"/>
        <w:gridCol w:w="5619"/>
      </w:tblGrid>
      <w:tr w:rsidR="007B48B3" w:rsidRPr="00AF3B9C" w14:paraId="15833F72" w14:textId="77777777" w:rsidTr="00FC0D78">
        <w:tc>
          <w:tcPr>
            <w:tcW w:w="1980" w:type="dxa"/>
          </w:tcPr>
          <w:p w14:paraId="2A7EECC0" w14:textId="77777777" w:rsidR="007B48B3" w:rsidRPr="00AF3B9C" w:rsidRDefault="007B48B3" w:rsidP="00FC0D78">
            <w:pPr>
              <w:rPr>
                <w:b/>
                <w:sz w:val="24"/>
                <w:szCs w:val="24"/>
              </w:rPr>
            </w:pPr>
            <w:r w:rsidRPr="00AF3B9C">
              <w:rPr>
                <w:b/>
                <w:sz w:val="24"/>
                <w:szCs w:val="24"/>
              </w:rPr>
              <w:t xml:space="preserve">Evaluation Criteria </w:t>
            </w:r>
          </w:p>
        </w:tc>
        <w:tc>
          <w:tcPr>
            <w:tcW w:w="1417" w:type="dxa"/>
          </w:tcPr>
          <w:p w14:paraId="624D4DE0" w14:textId="77777777" w:rsidR="007B48B3" w:rsidRPr="00AF3B9C" w:rsidRDefault="007B48B3" w:rsidP="00FC0D78">
            <w:pPr>
              <w:rPr>
                <w:b/>
                <w:sz w:val="24"/>
                <w:szCs w:val="24"/>
              </w:rPr>
            </w:pPr>
            <w:r w:rsidRPr="00AF3B9C">
              <w:rPr>
                <w:b/>
                <w:sz w:val="24"/>
                <w:szCs w:val="24"/>
              </w:rPr>
              <w:t>Rating (1-6)</w:t>
            </w:r>
          </w:p>
        </w:tc>
        <w:tc>
          <w:tcPr>
            <w:tcW w:w="5619" w:type="dxa"/>
          </w:tcPr>
          <w:p w14:paraId="4AB17932" w14:textId="77777777" w:rsidR="007B48B3" w:rsidRPr="00AF3B9C" w:rsidRDefault="007B48B3" w:rsidP="00FC0D78">
            <w:pPr>
              <w:rPr>
                <w:b/>
                <w:sz w:val="24"/>
                <w:szCs w:val="24"/>
              </w:rPr>
            </w:pPr>
            <w:r w:rsidRPr="00AF3B9C">
              <w:rPr>
                <w:b/>
                <w:sz w:val="24"/>
                <w:szCs w:val="24"/>
              </w:rPr>
              <w:t xml:space="preserve">Comments </w:t>
            </w:r>
          </w:p>
        </w:tc>
      </w:tr>
      <w:tr w:rsidR="007B48B3" w:rsidRPr="00AF3B9C" w14:paraId="0D694DBB" w14:textId="77777777" w:rsidTr="00FC0D78">
        <w:tc>
          <w:tcPr>
            <w:tcW w:w="1980" w:type="dxa"/>
          </w:tcPr>
          <w:p w14:paraId="6725A871" w14:textId="77777777" w:rsidR="007B48B3" w:rsidRPr="00AF3B9C" w:rsidRDefault="007B48B3" w:rsidP="00FC0D78">
            <w:pPr>
              <w:rPr>
                <w:b/>
                <w:sz w:val="24"/>
                <w:szCs w:val="24"/>
              </w:rPr>
            </w:pPr>
            <w:r w:rsidRPr="00AF3B9C">
              <w:rPr>
                <w:b/>
                <w:sz w:val="24"/>
                <w:szCs w:val="24"/>
              </w:rPr>
              <w:t xml:space="preserve">Relevance </w:t>
            </w:r>
          </w:p>
        </w:tc>
        <w:tc>
          <w:tcPr>
            <w:tcW w:w="1417" w:type="dxa"/>
          </w:tcPr>
          <w:p w14:paraId="2ABBE173" w14:textId="77777777" w:rsidR="007B48B3" w:rsidRPr="00AF3B9C" w:rsidRDefault="007B48B3" w:rsidP="00FC0D78">
            <w:pPr>
              <w:rPr>
                <w:b/>
                <w:sz w:val="24"/>
                <w:szCs w:val="24"/>
              </w:rPr>
            </w:pPr>
            <w:r w:rsidRPr="00AF3B9C">
              <w:rPr>
                <w:b/>
                <w:sz w:val="24"/>
                <w:szCs w:val="24"/>
              </w:rPr>
              <w:t>5</w:t>
            </w:r>
          </w:p>
        </w:tc>
        <w:tc>
          <w:tcPr>
            <w:tcW w:w="5619" w:type="dxa"/>
          </w:tcPr>
          <w:p w14:paraId="04C4CFEC" w14:textId="77777777" w:rsidR="007B48B3" w:rsidRPr="00AF3B9C" w:rsidRDefault="007B48B3" w:rsidP="00FC0D78">
            <w:pPr>
              <w:rPr>
                <w:b/>
                <w:sz w:val="24"/>
                <w:szCs w:val="24"/>
              </w:rPr>
            </w:pPr>
            <w:r w:rsidRPr="00AF3B9C">
              <w:rPr>
                <w:b/>
                <w:sz w:val="24"/>
                <w:szCs w:val="24"/>
              </w:rPr>
              <w:t xml:space="preserve">High relevance against development goals. </w:t>
            </w:r>
            <w:r w:rsidRPr="00AF3B9C">
              <w:rPr>
                <w:rFonts w:cs="Century"/>
                <w:sz w:val="24"/>
                <w:szCs w:val="24"/>
              </w:rPr>
              <w:t xml:space="preserve">The impacts of natural disasters in Indonesia have time and time again reversed economic and social development gains. Consequently, investing in reducing disaster </w:t>
            </w:r>
            <w:proofErr w:type="gramStart"/>
            <w:r w:rsidRPr="00AF3B9C">
              <w:rPr>
                <w:rFonts w:cs="Century"/>
                <w:sz w:val="24"/>
                <w:szCs w:val="24"/>
              </w:rPr>
              <w:t>risk,</w:t>
            </w:r>
            <w:proofErr w:type="gramEnd"/>
            <w:r w:rsidRPr="00AF3B9C">
              <w:rPr>
                <w:rFonts w:cs="Century"/>
                <w:sz w:val="24"/>
                <w:szCs w:val="24"/>
              </w:rPr>
              <w:t xml:space="preserve"> and strengthening community preparedness capacities to respond to disasters makes good development sense. Reducing disaster risk is one of the 11 priorities of GoI’s medium-term development plan (2010-2014). AIFDR has supported the genesis and early years of Indonesia establishing its national system for DRM. Australian support has been deployed at a critically important time when other donors were only providing relatively minor support. </w:t>
            </w:r>
          </w:p>
        </w:tc>
      </w:tr>
      <w:tr w:rsidR="007B48B3" w:rsidRPr="00AF3B9C" w14:paraId="694190A5" w14:textId="77777777" w:rsidTr="00FC0D78">
        <w:tc>
          <w:tcPr>
            <w:tcW w:w="1980" w:type="dxa"/>
          </w:tcPr>
          <w:p w14:paraId="1BD7ACDE" w14:textId="77777777" w:rsidR="007B48B3" w:rsidRPr="00AF3B9C" w:rsidRDefault="007B48B3" w:rsidP="00FC0D78">
            <w:pPr>
              <w:rPr>
                <w:b/>
                <w:sz w:val="24"/>
                <w:szCs w:val="24"/>
              </w:rPr>
            </w:pPr>
            <w:r w:rsidRPr="00AF3B9C">
              <w:rPr>
                <w:b/>
                <w:sz w:val="24"/>
                <w:szCs w:val="24"/>
              </w:rPr>
              <w:t xml:space="preserve">Effectiveness </w:t>
            </w:r>
          </w:p>
        </w:tc>
        <w:tc>
          <w:tcPr>
            <w:tcW w:w="1417" w:type="dxa"/>
          </w:tcPr>
          <w:p w14:paraId="3C0F8163" w14:textId="77777777" w:rsidR="007B48B3" w:rsidRPr="00AF3B9C" w:rsidRDefault="007B48B3" w:rsidP="00FC0D78">
            <w:pPr>
              <w:rPr>
                <w:b/>
                <w:sz w:val="24"/>
                <w:szCs w:val="24"/>
              </w:rPr>
            </w:pPr>
            <w:r w:rsidRPr="00AF3B9C">
              <w:rPr>
                <w:b/>
                <w:sz w:val="24"/>
                <w:szCs w:val="24"/>
              </w:rPr>
              <w:t>5</w:t>
            </w:r>
          </w:p>
        </w:tc>
        <w:tc>
          <w:tcPr>
            <w:tcW w:w="5619" w:type="dxa"/>
          </w:tcPr>
          <w:p w14:paraId="39E38A68" w14:textId="1BFD0452" w:rsidR="007B48B3" w:rsidRPr="00AF3B9C" w:rsidRDefault="007B48B3" w:rsidP="00A44987">
            <w:pPr>
              <w:rPr>
                <w:b/>
                <w:sz w:val="24"/>
                <w:szCs w:val="24"/>
              </w:rPr>
            </w:pPr>
            <w:r w:rsidRPr="00AF3B9C">
              <w:rPr>
                <w:b/>
                <w:sz w:val="24"/>
                <w:szCs w:val="24"/>
              </w:rPr>
              <w:t>High</w:t>
            </w:r>
            <w:r>
              <w:rPr>
                <w:b/>
                <w:sz w:val="24"/>
                <w:szCs w:val="24"/>
              </w:rPr>
              <w:t>ly effective</w:t>
            </w:r>
            <w:r w:rsidRPr="00AF3B9C">
              <w:rPr>
                <w:b/>
                <w:sz w:val="24"/>
                <w:szCs w:val="24"/>
              </w:rPr>
              <w:t xml:space="preserve">. </w:t>
            </w:r>
            <w:r w:rsidRPr="00AF3B9C">
              <w:rPr>
                <w:sz w:val="24"/>
                <w:szCs w:val="24"/>
              </w:rPr>
              <w:t xml:space="preserve">Despite the enormous challenges the </w:t>
            </w:r>
            <w:r w:rsidR="008A417D">
              <w:rPr>
                <w:sz w:val="24"/>
                <w:szCs w:val="24"/>
              </w:rPr>
              <w:t>review</w:t>
            </w:r>
            <w:r w:rsidR="008A417D" w:rsidRPr="00AF3B9C">
              <w:rPr>
                <w:sz w:val="24"/>
                <w:szCs w:val="24"/>
              </w:rPr>
              <w:t xml:space="preserve"> </w:t>
            </w:r>
            <w:r w:rsidRPr="00AF3B9C">
              <w:rPr>
                <w:sz w:val="24"/>
                <w:szCs w:val="24"/>
              </w:rPr>
              <w:t xml:space="preserve">team has had pinning down </w:t>
            </w:r>
            <w:proofErr w:type="gramStart"/>
            <w:r w:rsidRPr="00AF3B9C">
              <w:rPr>
                <w:sz w:val="24"/>
                <w:szCs w:val="24"/>
              </w:rPr>
              <w:t>a program</w:t>
            </w:r>
            <w:proofErr w:type="gramEnd"/>
            <w:r w:rsidRPr="00AF3B9C">
              <w:rPr>
                <w:sz w:val="24"/>
                <w:szCs w:val="24"/>
              </w:rPr>
              <w:t xml:space="preserve"> logic. AIFDR’s portfolio post MTR appears well defined, targeted and its focus on capacity development and sub-national level engagement highly appropriate. AIFDR appears to have had a ‘rocky’ start but has evolved into a credible DRM facility with solid achievements made across all of its core components: risk and vulnerability; partnerships; and training and outreach. There is now evidence of ‘genuine’ interconnectivity between components.</w:t>
            </w:r>
            <w:r>
              <w:rPr>
                <w:sz w:val="24"/>
                <w:szCs w:val="24"/>
              </w:rPr>
              <w:t xml:space="preserve"> </w:t>
            </w:r>
            <w:r w:rsidRPr="00174C42">
              <w:rPr>
                <w:rFonts w:cs="Times New Roman"/>
                <w:sz w:val="24"/>
                <w:szCs w:val="24"/>
              </w:rPr>
              <w:t xml:space="preserve">The evidence suggests AIFDR can claim to have made a significant contribution to increasing BNPB’s capacity to perform its mandated function, and a contribution (albeit less conclusive) to increasing community and local government capacities in the five demonstration provinces (West Sumatra; East Java; West Java; South Sulawesi; Nusa Tenggara Timur). </w:t>
            </w:r>
          </w:p>
        </w:tc>
      </w:tr>
      <w:tr w:rsidR="007B48B3" w:rsidRPr="00AF3B9C" w14:paraId="05A83AB7" w14:textId="77777777" w:rsidTr="00FC0D78">
        <w:tc>
          <w:tcPr>
            <w:tcW w:w="1980" w:type="dxa"/>
          </w:tcPr>
          <w:p w14:paraId="1356F41E" w14:textId="77777777" w:rsidR="007B48B3" w:rsidRPr="00AF3B9C" w:rsidRDefault="007B48B3" w:rsidP="00FC0D78">
            <w:pPr>
              <w:rPr>
                <w:b/>
                <w:sz w:val="24"/>
                <w:szCs w:val="24"/>
              </w:rPr>
            </w:pPr>
            <w:r w:rsidRPr="00AF3B9C">
              <w:rPr>
                <w:b/>
                <w:sz w:val="24"/>
                <w:szCs w:val="24"/>
              </w:rPr>
              <w:t xml:space="preserve">Efficiency </w:t>
            </w:r>
          </w:p>
        </w:tc>
        <w:tc>
          <w:tcPr>
            <w:tcW w:w="1417" w:type="dxa"/>
          </w:tcPr>
          <w:p w14:paraId="09DFE524" w14:textId="77777777" w:rsidR="007B48B3" w:rsidRPr="00AF3B9C" w:rsidRDefault="007B48B3" w:rsidP="00FC0D78">
            <w:pPr>
              <w:rPr>
                <w:b/>
                <w:sz w:val="24"/>
                <w:szCs w:val="24"/>
              </w:rPr>
            </w:pPr>
            <w:r>
              <w:rPr>
                <w:b/>
                <w:sz w:val="24"/>
                <w:szCs w:val="24"/>
              </w:rPr>
              <w:t>4</w:t>
            </w:r>
          </w:p>
        </w:tc>
        <w:tc>
          <w:tcPr>
            <w:tcW w:w="5619" w:type="dxa"/>
          </w:tcPr>
          <w:p w14:paraId="6D663911" w14:textId="3BDF35B9" w:rsidR="007B48B3" w:rsidRPr="00AF3B9C" w:rsidRDefault="007B48B3" w:rsidP="00DE3B33">
            <w:pPr>
              <w:rPr>
                <w:b/>
                <w:sz w:val="24"/>
                <w:szCs w:val="24"/>
              </w:rPr>
            </w:pPr>
            <w:r>
              <w:rPr>
                <w:b/>
                <w:sz w:val="24"/>
                <w:szCs w:val="24"/>
              </w:rPr>
              <w:t xml:space="preserve">Adequate efficiency. </w:t>
            </w:r>
            <w:r>
              <w:rPr>
                <w:rFonts w:cs="Times New Roman"/>
                <w:sz w:val="24"/>
                <w:szCs w:val="24"/>
              </w:rPr>
              <w:t>The review team notes the political imperative to showcase Australian expertise, and efforts made to address issues regarding AIFDR’s efficiency raised in the MTR. Rating is based on efforts made post MTR to consolidate the facility’s</w:t>
            </w:r>
            <w:r w:rsidRPr="006B0CFC">
              <w:rPr>
                <w:rFonts w:cs="Times New Roman"/>
                <w:sz w:val="24"/>
                <w:szCs w:val="24"/>
              </w:rPr>
              <w:t xml:space="preserve"> </w:t>
            </w:r>
            <w:r>
              <w:rPr>
                <w:rFonts w:cs="Times New Roman"/>
                <w:sz w:val="24"/>
                <w:szCs w:val="24"/>
              </w:rPr>
              <w:t>portfolio</w:t>
            </w:r>
            <w:r w:rsidRPr="006B0CFC">
              <w:rPr>
                <w:rFonts w:cs="Times New Roman"/>
                <w:sz w:val="24"/>
                <w:szCs w:val="24"/>
              </w:rPr>
              <w:t xml:space="preserve"> </w:t>
            </w:r>
            <w:r>
              <w:rPr>
                <w:rFonts w:cs="Times New Roman"/>
                <w:sz w:val="24"/>
                <w:szCs w:val="24"/>
              </w:rPr>
              <w:t xml:space="preserve">of activities by </w:t>
            </w:r>
            <w:r w:rsidRPr="006B0CFC">
              <w:rPr>
                <w:rFonts w:cs="Times New Roman"/>
                <w:sz w:val="24"/>
                <w:szCs w:val="24"/>
              </w:rPr>
              <w:t>reducing the number of partners and contracts</w:t>
            </w:r>
            <w:r>
              <w:rPr>
                <w:rFonts w:cs="Times New Roman"/>
                <w:sz w:val="24"/>
                <w:szCs w:val="24"/>
              </w:rPr>
              <w:t xml:space="preserve">; and </w:t>
            </w:r>
            <w:r w:rsidR="00DE3B33">
              <w:rPr>
                <w:rFonts w:cs="Times New Roman"/>
                <w:sz w:val="24"/>
                <w:szCs w:val="24"/>
              </w:rPr>
              <w:t xml:space="preserve">tightening </w:t>
            </w:r>
            <w:r>
              <w:rPr>
                <w:rFonts w:cs="Times New Roman"/>
                <w:sz w:val="24"/>
                <w:szCs w:val="24"/>
              </w:rPr>
              <w:t xml:space="preserve">its geographic focus through the selection of </w:t>
            </w:r>
            <w:r w:rsidRPr="00D10DB8">
              <w:rPr>
                <w:rFonts w:cs="Times New Roman"/>
                <w:sz w:val="24"/>
                <w:szCs w:val="24"/>
              </w:rPr>
              <w:t xml:space="preserve">5 </w:t>
            </w:r>
            <w:r>
              <w:rPr>
                <w:rFonts w:cs="Times New Roman"/>
                <w:sz w:val="24"/>
                <w:szCs w:val="24"/>
              </w:rPr>
              <w:t xml:space="preserve">target </w:t>
            </w:r>
            <w:r w:rsidRPr="00D10DB8">
              <w:rPr>
                <w:rFonts w:cs="Times New Roman"/>
                <w:sz w:val="24"/>
                <w:szCs w:val="24"/>
              </w:rPr>
              <w:t>provinces</w:t>
            </w:r>
            <w:r>
              <w:rPr>
                <w:rFonts w:cs="Times New Roman"/>
                <w:sz w:val="24"/>
                <w:szCs w:val="24"/>
              </w:rPr>
              <w:t>.</w:t>
            </w:r>
            <w:r w:rsidRPr="00D10DB8">
              <w:rPr>
                <w:rFonts w:cs="Times New Roman"/>
                <w:sz w:val="24"/>
                <w:szCs w:val="24"/>
              </w:rPr>
              <w:t xml:space="preserve"> </w:t>
            </w:r>
          </w:p>
        </w:tc>
      </w:tr>
      <w:tr w:rsidR="007B48B3" w:rsidRPr="00AF3B9C" w14:paraId="5420DB84" w14:textId="77777777" w:rsidTr="00FC0D78">
        <w:tc>
          <w:tcPr>
            <w:tcW w:w="1980" w:type="dxa"/>
          </w:tcPr>
          <w:p w14:paraId="0B823C3C" w14:textId="77777777" w:rsidR="007B48B3" w:rsidRPr="00AF3B9C" w:rsidRDefault="007B48B3" w:rsidP="00FC0D78">
            <w:pPr>
              <w:rPr>
                <w:b/>
                <w:sz w:val="24"/>
                <w:szCs w:val="24"/>
              </w:rPr>
            </w:pPr>
            <w:r w:rsidRPr="00AF3B9C">
              <w:rPr>
                <w:b/>
                <w:sz w:val="24"/>
                <w:szCs w:val="24"/>
              </w:rPr>
              <w:t xml:space="preserve">Monitoring and Evaluation </w:t>
            </w:r>
          </w:p>
        </w:tc>
        <w:tc>
          <w:tcPr>
            <w:tcW w:w="1417" w:type="dxa"/>
          </w:tcPr>
          <w:p w14:paraId="1E4D7675" w14:textId="77777777" w:rsidR="007B48B3" w:rsidRPr="00AF3B9C" w:rsidRDefault="007B48B3" w:rsidP="00FC0D78">
            <w:pPr>
              <w:rPr>
                <w:b/>
                <w:sz w:val="24"/>
                <w:szCs w:val="24"/>
              </w:rPr>
            </w:pPr>
            <w:r>
              <w:rPr>
                <w:b/>
                <w:sz w:val="24"/>
                <w:szCs w:val="24"/>
              </w:rPr>
              <w:t>2</w:t>
            </w:r>
          </w:p>
        </w:tc>
        <w:tc>
          <w:tcPr>
            <w:tcW w:w="5619" w:type="dxa"/>
          </w:tcPr>
          <w:p w14:paraId="1CC623DF" w14:textId="77777777" w:rsidR="007B48B3" w:rsidRPr="00AF3B9C" w:rsidRDefault="007B48B3" w:rsidP="00FC0D78">
            <w:pPr>
              <w:rPr>
                <w:rFonts w:cs="Times New Roman"/>
                <w:sz w:val="24"/>
                <w:szCs w:val="24"/>
              </w:rPr>
            </w:pPr>
            <w:r w:rsidRPr="00AF3B9C">
              <w:rPr>
                <w:b/>
                <w:sz w:val="24"/>
                <w:szCs w:val="24"/>
              </w:rPr>
              <w:t>Less than adequate</w:t>
            </w:r>
            <w:r>
              <w:rPr>
                <w:b/>
                <w:sz w:val="24"/>
                <w:szCs w:val="24"/>
              </w:rPr>
              <w:t xml:space="preserve"> standard of facility level M&amp;E</w:t>
            </w:r>
            <w:r w:rsidRPr="00AF3B9C">
              <w:rPr>
                <w:b/>
                <w:sz w:val="24"/>
                <w:szCs w:val="24"/>
              </w:rPr>
              <w:t xml:space="preserve">. </w:t>
            </w:r>
            <w:r w:rsidRPr="00AF3B9C">
              <w:rPr>
                <w:sz w:val="24"/>
                <w:szCs w:val="24"/>
              </w:rPr>
              <w:t xml:space="preserve">AIFDR’s facility level M&amp;E system is weak, and is considered by the evaluation team as not particularly helpful for accountability or learning. The system has not been updated by all AIFDR work streams as indicators reportedly were superseded in some cases. </w:t>
            </w:r>
            <w:r w:rsidRPr="00AF3B9C">
              <w:rPr>
                <w:rFonts w:cs="Times New Roman"/>
                <w:sz w:val="24"/>
                <w:szCs w:val="24"/>
              </w:rPr>
              <w:t>AIFDR’s weak facility level M&amp;E should have been addressed by AIFDR’s Senior Management Team.</w:t>
            </w:r>
          </w:p>
          <w:p w14:paraId="785AF2C8" w14:textId="77777777" w:rsidR="007B48B3" w:rsidRPr="00AF3B9C" w:rsidRDefault="007B48B3" w:rsidP="00FC0D78">
            <w:pPr>
              <w:rPr>
                <w:b/>
                <w:sz w:val="24"/>
                <w:szCs w:val="24"/>
              </w:rPr>
            </w:pPr>
            <w:r w:rsidRPr="00AF3B9C">
              <w:rPr>
                <w:rFonts w:cs="Times New Roman"/>
                <w:sz w:val="24"/>
                <w:szCs w:val="24"/>
              </w:rPr>
              <w:t xml:space="preserve">AIFDR’s project level M&amp;E was solid with individual mid-term and final evaluations conducted on all programs supported by AIFDR.  </w:t>
            </w:r>
          </w:p>
        </w:tc>
      </w:tr>
      <w:tr w:rsidR="007B48B3" w:rsidRPr="00AF3B9C" w14:paraId="6DADE659" w14:textId="77777777" w:rsidTr="00FC0D78">
        <w:tc>
          <w:tcPr>
            <w:tcW w:w="1980" w:type="dxa"/>
          </w:tcPr>
          <w:p w14:paraId="0B923059" w14:textId="77777777" w:rsidR="007B48B3" w:rsidRPr="00AF3B9C" w:rsidRDefault="007B48B3" w:rsidP="00FC0D78">
            <w:pPr>
              <w:rPr>
                <w:b/>
                <w:sz w:val="24"/>
                <w:szCs w:val="24"/>
              </w:rPr>
            </w:pPr>
            <w:r w:rsidRPr="00AF3B9C">
              <w:rPr>
                <w:b/>
                <w:sz w:val="24"/>
                <w:szCs w:val="24"/>
              </w:rPr>
              <w:t xml:space="preserve">Knowledge Management </w:t>
            </w:r>
          </w:p>
        </w:tc>
        <w:tc>
          <w:tcPr>
            <w:tcW w:w="1417" w:type="dxa"/>
          </w:tcPr>
          <w:p w14:paraId="02556E33" w14:textId="77777777" w:rsidR="007B48B3" w:rsidRPr="00AF3B9C" w:rsidRDefault="007B48B3" w:rsidP="00FC0D78">
            <w:pPr>
              <w:rPr>
                <w:b/>
                <w:sz w:val="24"/>
                <w:szCs w:val="24"/>
              </w:rPr>
            </w:pPr>
            <w:r>
              <w:rPr>
                <w:b/>
                <w:sz w:val="24"/>
                <w:szCs w:val="24"/>
              </w:rPr>
              <w:t>2</w:t>
            </w:r>
          </w:p>
        </w:tc>
        <w:tc>
          <w:tcPr>
            <w:tcW w:w="5619" w:type="dxa"/>
          </w:tcPr>
          <w:p w14:paraId="22713FEB" w14:textId="77777777" w:rsidR="007B48B3" w:rsidRPr="00AF3B9C" w:rsidRDefault="007B48B3" w:rsidP="00FC0D78">
            <w:pPr>
              <w:rPr>
                <w:b/>
                <w:sz w:val="24"/>
                <w:szCs w:val="24"/>
              </w:rPr>
            </w:pPr>
            <w:r w:rsidRPr="00AF3B9C">
              <w:rPr>
                <w:b/>
                <w:sz w:val="24"/>
                <w:szCs w:val="24"/>
              </w:rPr>
              <w:t xml:space="preserve">Less than adequate </w:t>
            </w:r>
            <w:r>
              <w:rPr>
                <w:b/>
                <w:sz w:val="24"/>
                <w:szCs w:val="24"/>
              </w:rPr>
              <w:t>standard of knowledge management</w:t>
            </w:r>
            <w:r w:rsidRPr="00AF3B9C">
              <w:rPr>
                <w:b/>
                <w:sz w:val="24"/>
                <w:szCs w:val="24"/>
              </w:rPr>
              <w:t xml:space="preserve">.  </w:t>
            </w:r>
            <w:r w:rsidRPr="00AF3B9C">
              <w:rPr>
                <w:sz w:val="24"/>
                <w:szCs w:val="24"/>
              </w:rPr>
              <w:t xml:space="preserve">AIFDR had no formal knowledge management system in place and therefore missed opportunities for facility learning. AIFDR appears to have been better at facilitating the sharing of knowledge between its partners than </w:t>
            </w:r>
            <w:r w:rsidRPr="00AF3B9C">
              <w:rPr>
                <w:color w:val="000000" w:themeColor="text1"/>
                <w:sz w:val="24"/>
                <w:szCs w:val="24"/>
              </w:rPr>
              <w:t>incorporating facility learning appropriately internally.</w:t>
            </w:r>
          </w:p>
        </w:tc>
      </w:tr>
    </w:tbl>
    <w:p w14:paraId="436ADC38" w14:textId="77777777" w:rsidR="007B48B3" w:rsidRDefault="007B48B3" w:rsidP="007B48B3">
      <w:pPr>
        <w:rPr>
          <w:color w:val="C00000"/>
        </w:rPr>
      </w:pPr>
    </w:p>
    <w:p w14:paraId="758F1BCB" w14:textId="77777777" w:rsidR="007B48B3" w:rsidRDefault="007B48B3" w:rsidP="007B48B3">
      <w:pPr>
        <w:rPr>
          <w:color w:val="C00000"/>
        </w:rPr>
      </w:pPr>
    </w:p>
    <w:p w14:paraId="530FB25C" w14:textId="1C3A5727" w:rsidR="007B48B3" w:rsidRDefault="007B48B3">
      <w:pPr>
        <w:rPr>
          <w:rFonts w:asciiTheme="majorHAnsi" w:eastAsiaTheme="majorEastAsia" w:hAnsiTheme="majorHAnsi" w:cstheme="majorBidi"/>
          <w:color w:val="2E74B5" w:themeColor="accent1" w:themeShade="BF"/>
          <w:sz w:val="32"/>
          <w:szCs w:val="32"/>
        </w:rPr>
      </w:pPr>
      <w:r>
        <w:br w:type="page"/>
      </w:r>
    </w:p>
    <w:p w14:paraId="37EA727B" w14:textId="77777777" w:rsidR="00531509" w:rsidRPr="009705F2" w:rsidRDefault="00531509" w:rsidP="00AE252C">
      <w:pPr>
        <w:pStyle w:val="Heading1"/>
      </w:pPr>
      <w:bookmarkStart w:id="2" w:name="_Toc402431242"/>
      <w:r w:rsidRPr="009705F2">
        <w:t>List of Abbreviations</w:t>
      </w:r>
      <w:bookmarkEnd w:id="2"/>
      <w:r w:rsidRPr="009705F2">
        <w:t xml:space="preserve"> </w:t>
      </w:r>
    </w:p>
    <w:p w14:paraId="7C831FB7" w14:textId="77777777" w:rsidR="00355386" w:rsidRDefault="00355386" w:rsidP="00355386">
      <w:pPr>
        <w:autoSpaceDE w:val="0"/>
        <w:autoSpaceDN w:val="0"/>
        <w:adjustRightInd w:val="0"/>
        <w:spacing w:after="0" w:line="240" w:lineRule="auto"/>
        <w:rPr>
          <w:rFonts w:ascii="Cambria" w:hAnsi="Cambria" w:cs="Cambria"/>
          <w:b/>
          <w:bCs/>
          <w:color w:val="000000"/>
          <w:sz w:val="26"/>
          <w:szCs w:val="26"/>
        </w:rPr>
      </w:pPr>
    </w:p>
    <w:p w14:paraId="0B273685" w14:textId="004B6C3A" w:rsidR="005B2C09" w:rsidRDefault="005B2C09" w:rsidP="00531509">
      <w:pPr>
        <w:autoSpaceDE w:val="0"/>
        <w:autoSpaceDN w:val="0"/>
        <w:adjustRightInd w:val="0"/>
        <w:spacing w:after="120" w:line="240" w:lineRule="auto"/>
        <w:rPr>
          <w:rFonts w:ascii="Calibri" w:hAnsi="Calibri" w:cs="Calibri"/>
          <w:b/>
          <w:color w:val="000000"/>
          <w:sz w:val="24"/>
          <w:szCs w:val="24"/>
        </w:rPr>
      </w:pPr>
      <w:r>
        <w:rPr>
          <w:rFonts w:ascii="Calibri" w:hAnsi="Calibri" w:cs="Calibri"/>
          <w:b/>
          <w:color w:val="000000"/>
          <w:sz w:val="24"/>
          <w:szCs w:val="24"/>
        </w:rPr>
        <w:t xml:space="preserve">AADMER </w:t>
      </w:r>
      <w:r w:rsidR="003E48CF" w:rsidRPr="006E248F">
        <w:rPr>
          <w:rFonts w:ascii="Calibri" w:hAnsi="Calibri" w:cs="Calibri"/>
          <w:color w:val="000000"/>
          <w:sz w:val="24"/>
          <w:szCs w:val="24"/>
        </w:rPr>
        <w:t>ASEAN Agreement on Disaster Management and Emergency Response</w:t>
      </w:r>
    </w:p>
    <w:p w14:paraId="4BD0B14D" w14:textId="59969C50" w:rsidR="00214950" w:rsidRPr="00B31B1F" w:rsidRDefault="00214950" w:rsidP="00531509">
      <w:pPr>
        <w:autoSpaceDE w:val="0"/>
        <w:autoSpaceDN w:val="0"/>
        <w:adjustRightInd w:val="0"/>
        <w:spacing w:after="120" w:line="240" w:lineRule="auto"/>
        <w:rPr>
          <w:rFonts w:ascii="Calibri" w:hAnsi="Calibri" w:cs="Calibri"/>
          <w:b/>
          <w:color w:val="000000"/>
          <w:sz w:val="24"/>
          <w:szCs w:val="24"/>
        </w:rPr>
      </w:pPr>
      <w:r w:rsidRPr="00B31B1F">
        <w:rPr>
          <w:rFonts w:ascii="Calibri" w:hAnsi="Calibri" w:cs="Calibri"/>
          <w:b/>
          <w:color w:val="000000"/>
          <w:sz w:val="24"/>
          <w:szCs w:val="24"/>
        </w:rPr>
        <w:t xml:space="preserve">AHA Centre </w:t>
      </w:r>
      <w:r w:rsidRPr="00B31B1F">
        <w:rPr>
          <w:rStyle w:val="st"/>
          <w:rFonts w:ascii="Calibri" w:hAnsi="Calibri" w:cs="Calibri"/>
          <w:color w:val="222222"/>
          <w:sz w:val="24"/>
          <w:szCs w:val="24"/>
        </w:rPr>
        <w:t xml:space="preserve">ASEAN Coordinating Centre for Humanitarian Assistance on </w:t>
      </w:r>
      <w:r w:rsidR="003E48CF">
        <w:rPr>
          <w:rStyle w:val="st"/>
          <w:rFonts w:ascii="Calibri" w:hAnsi="Calibri" w:cs="Calibri"/>
          <w:color w:val="222222"/>
          <w:sz w:val="24"/>
          <w:szCs w:val="24"/>
        </w:rPr>
        <w:t>D</w:t>
      </w:r>
      <w:r w:rsidR="003E48CF" w:rsidRPr="00B31B1F">
        <w:rPr>
          <w:rStyle w:val="st"/>
          <w:rFonts w:ascii="Calibri" w:hAnsi="Calibri" w:cs="Calibri"/>
          <w:color w:val="222222"/>
          <w:sz w:val="24"/>
          <w:szCs w:val="24"/>
        </w:rPr>
        <w:t xml:space="preserve">isaster </w:t>
      </w:r>
      <w:r w:rsidR="003E48CF">
        <w:rPr>
          <w:rStyle w:val="st"/>
          <w:rFonts w:ascii="Calibri" w:hAnsi="Calibri" w:cs="Calibri"/>
          <w:color w:val="222222"/>
          <w:sz w:val="24"/>
          <w:szCs w:val="24"/>
        </w:rPr>
        <w:t>M</w:t>
      </w:r>
      <w:r w:rsidR="003E48CF" w:rsidRPr="00B31B1F">
        <w:rPr>
          <w:rStyle w:val="st"/>
          <w:rFonts w:ascii="Calibri" w:hAnsi="Calibri" w:cs="Calibri"/>
          <w:color w:val="222222"/>
          <w:sz w:val="24"/>
          <w:szCs w:val="24"/>
        </w:rPr>
        <w:t>anagement</w:t>
      </w:r>
      <w:r w:rsidRPr="00B31B1F">
        <w:rPr>
          <w:rStyle w:val="st"/>
          <w:rFonts w:ascii="Calibri" w:hAnsi="Calibri" w:cs="Calibri"/>
          <w:color w:val="222222"/>
          <w:sz w:val="24"/>
          <w:szCs w:val="24"/>
        </w:rPr>
        <w:t>.</w:t>
      </w:r>
    </w:p>
    <w:p w14:paraId="2515543C" w14:textId="77777777" w:rsidR="00531509" w:rsidRPr="00531509" w:rsidRDefault="00531509" w:rsidP="00531509">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AIFDR</w:t>
      </w:r>
      <w:r w:rsidRPr="00531509">
        <w:rPr>
          <w:rFonts w:cs="Calibri"/>
          <w:color w:val="000000"/>
          <w:sz w:val="24"/>
          <w:szCs w:val="24"/>
        </w:rPr>
        <w:t xml:space="preserve"> Australia Indonesia Facility for Disaster Reduction </w:t>
      </w:r>
    </w:p>
    <w:p w14:paraId="3E4D3D5E" w14:textId="77777777" w:rsidR="00531509" w:rsidRPr="00531509" w:rsidRDefault="00531509" w:rsidP="00531509">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AIPD</w:t>
      </w:r>
      <w:r w:rsidRPr="00531509">
        <w:rPr>
          <w:rFonts w:cs="Calibri"/>
          <w:color w:val="000000"/>
          <w:sz w:val="24"/>
          <w:szCs w:val="24"/>
        </w:rPr>
        <w:t xml:space="preserve"> Australia-Indonesia Partnership for Decentralisation </w:t>
      </w:r>
    </w:p>
    <w:p w14:paraId="7431CBDD" w14:textId="77777777" w:rsidR="00531509" w:rsidRPr="00531509" w:rsidRDefault="00531509" w:rsidP="00531509">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 xml:space="preserve">APEC </w:t>
      </w:r>
      <w:r w:rsidRPr="00531509">
        <w:rPr>
          <w:rFonts w:cs="Calibri"/>
          <w:color w:val="000000"/>
          <w:sz w:val="24"/>
          <w:szCs w:val="24"/>
        </w:rPr>
        <w:t xml:space="preserve">Asia Pacific Economic Cooperation </w:t>
      </w:r>
    </w:p>
    <w:p w14:paraId="3566D2B3" w14:textId="77777777" w:rsidR="00531509" w:rsidRPr="00531509" w:rsidRDefault="00531509" w:rsidP="00531509">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ASEAN</w:t>
      </w:r>
      <w:r w:rsidRPr="00531509">
        <w:rPr>
          <w:rFonts w:cs="Calibri"/>
          <w:color w:val="000000"/>
          <w:sz w:val="24"/>
          <w:szCs w:val="24"/>
        </w:rPr>
        <w:t xml:space="preserve"> Association of South East Asian Nations </w:t>
      </w:r>
    </w:p>
    <w:p w14:paraId="698A4A4B" w14:textId="141BBA25" w:rsidR="00244509" w:rsidRPr="00C50DA8" w:rsidRDefault="00244509" w:rsidP="00531509">
      <w:pPr>
        <w:autoSpaceDE w:val="0"/>
        <w:autoSpaceDN w:val="0"/>
        <w:adjustRightInd w:val="0"/>
        <w:spacing w:after="120" w:line="240" w:lineRule="auto"/>
        <w:rPr>
          <w:rFonts w:cs="Calibri"/>
          <w:b/>
          <w:color w:val="000000" w:themeColor="text1"/>
          <w:sz w:val="24"/>
          <w:szCs w:val="24"/>
        </w:rPr>
      </w:pPr>
      <w:r w:rsidRPr="00C50DA8">
        <w:rPr>
          <w:rFonts w:cs="Calibri"/>
          <w:b/>
          <w:color w:val="000000"/>
          <w:sz w:val="24"/>
          <w:szCs w:val="24"/>
        </w:rPr>
        <w:t>Bappenas</w:t>
      </w:r>
      <w:r w:rsidR="000E7F40" w:rsidRPr="000E7F40">
        <w:rPr>
          <w:rFonts w:cs="Calibri"/>
          <w:b/>
          <w:color w:val="000000"/>
          <w:sz w:val="24"/>
          <w:szCs w:val="24"/>
        </w:rPr>
        <w:t xml:space="preserve"> </w:t>
      </w:r>
      <w:r w:rsidR="000E7F40" w:rsidRPr="00C50DA8">
        <w:rPr>
          <w:rStyle w:val="st1"/>
          <w:rFonts w:cs="Arial"/>
          <w:color w:val="000000" w:themeColor="text1"/>
          <w:sz w:val="24"/>
          <w:szCs w:val="24"/>
        </w:rPr>
        <w:t>Ministry of National Development Planning (Badan Perencanaan Pembangunan Nasional)</w:t>
      </w:r>
    </w:p>
    <w:p w14:paraId="5EC80CA2" w14:textId="77777777" w:rsidR="00531509" w:rsidRDefault="00531509" w:rsidP="00531509">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 xml:space="preserve">BIG </w:t>
      </w:r>
      <w:r w:rsidRPr="00531509">
        <w:rPr>
          <w:rFonts w:cs="Calibri"/>
          <w:color w:val="000000"/>
          <w:sz w:val="24"/>
          <w:szCs w:val="24"/>
        </w:rPr>
        <w:t xml:space="preserve">Geospatial Information Agency (Badan Informasi Geospatial) </w:t>
      </w:r>
    </w:p>
    <w:p w14:paraId="61B4E009" w14:textId="7B45C0B4" w:rsidR="0003035E" w:rsidRDefault="0003035E" w:rsidP="00531509">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BMKG</w:t>
      </w:r>
      <w:r w:rsidRPr="00531509">
        <w:rPr>
          <w:rFonts w:cs="Calibri"/>
          <w:color w:val="000000"/>
          <w:sz w:val="24"/>
          <w:szCs w:val="24"/>
        </w:rPr>
        <w:t xml:space="preserve"> Meteorology, Climatology and</w:t>
      </w:r>
      <w:r>
        <w:rPr>
          <w:rFonts w:cs="Calibri"/>
          <w:color w:val="000000"/>
          <w:sz w:val="24"/>
          <w:szCs w:val="24"/>
        </w:rPr>
        <w:t xml:space="preserve"> Geophysics Agency (Badan Meteorogi, Klimatologi dan Geofisika)</w:t>
      </w:r>
    </w:p>
    <w:p w14:paraId="31349E9D" w14:textId="41AC9BDF" w:rsidR="0003035E" w:rsidRDefault="0003035E" w:rsidP="00531509">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BNPB</w:t>
      </w:r>
      <w:r w:rsidRPr="00531509">
        <w:rPr>
          <w:rFonts w:cs="Calibri"/>
          <w:color w:val="000000"/>
          <w:sz w:val="24"/>
          <w:szCs w:val="24"/>
        </w:rPr>
        <w:t xml:space="preserve"> Indonesian National Disaster Management Agency </w:t>
      </w:r>
      <w:r>
        <w:rPr>
          <w:rFonts w:cs="Calibri"/>
          <w:color w:val="000000"/>
          <w:sz w:val="24"/>
          <w:szCs w:val="24"/>
        </w:rPr>
        <w:t>(Badan Nasional Penganggulangan Bencana)</w:t>
      </w:r>
    </w:p>
    <w:p w14:paraId="6D500291" w14:textId="77777777" w:rsidR="00531509" w:rsidRDefault="00531509">
      <w:pPr>
        <w:autoSpaceDE w:val="0"/>
        <w:autoSpaceDN w:val="0"/>
        <w:adjustRightInd w:val="0"/>
        <w:spacing w:after="120" w:line="240" w:lineRule="auto"/>
        <w:ind w:left="1440" w:hanging="1440"/>
        <w:rPr>
          <w:rFonts w:cs="Calibri"/>
          <w:color w:val="000000"/>
          <w:sz w:val="24"/>
          <w:szCs w:val="24"/>
        </w:rPr>
      </w:pPr>
      <w:r w:rsidRPr="00B43451">
        <w:rPr>
          <w:rFonts w:cs="Calibri"/>
          <w:b/>
          <w:color w:val="000000"/>
          <w:sz w:val="24"/>
          <w:szCs w:val="24"/>
        </w:rPr>
        <w:t>BPBD</w:t>
      </w:r>
      <w:r w:rsidRPr="00531509">
        <w:rPr>
          <w:rFonts w:cs="Calibri"/>
          <w:color w:val="000000"/>
          <w:sz w:val="24"/>
          <w:szCs w:val="24"/>
        </w:rPr>
        <w:t xml:space="preserve"> Sub-national Disaster Management Agency (Badan Penanggulangan Bencana Daerah) </w:t>
      </w:r>
    </w:p>
    <w:p w14:paraId="0725F6A5" w14:textId="77777777" w:rsidR="0003035E" w:rsidRPr="006E248F" w:rsidRDefault="0003035E" w:rsidP="0003035E">
      <w:pPr>
        <w:rPr>
          <w:sz w:val="24"/>
          <w:szCs w:val="24"/>
        </w:rPr>
      </w:pPr>
      <w:r w:rsidRPr="006E248F">
        <w:rPr>
          <w:b/>
          <w:sz w:val="24"/>
          <w:szCs w:val="24"/>
        </w:rPr>
        <w:t>BPPT</w:t>
      </w:r>
      <w:r w:rsidRPr="006E248F">
        <w:rPr>
          <w:sz w:val="24"/>
          <w:szCs w:val="24"/>
        </w:rPr>
        <w:t xml:space="preserve"> Agency for Assessment and Application of Technology (Badan Pengkajian dan Penerapan Teknologi)</w:t>
      </w:r>
    </w:p>
    <w:p w14:paraId="7F7D6709" w14:textId="77777777" w:rsidR="00531509" w:rsidRPr="00531509" w:rsidRDefault="00531509" w:rsidP="00531509">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CBDRM</w:t>
      </w:r>
      <w:r w:rsidRPr="00531509">
        <w:rPr>
          <w:rFonts w:cs="Calibri"/>
          <w:color w:val="000000"/>
          <w:sz w:val="24"/>
          <w:szCs w:val="24"/>
        </w:rPr>
        <w:t xml:space="preserve"> Community-Based Disaster Risk Management </w:t>
      </w:r>
    </w:p>
    <w:p w14:paraId="09975DB9" w14:textId="02C12313" w:rsidR="00214950" w:rsidRDefault="00214950" w:rsidP="00531509">
      <w:pPr>
        <w:autoSpaceDE w:val="0"/>
        <w:autoSpaceDN w:val="0"/>
        <w:adjustRightInd w:val="0"/>
        <w:spacing w:after="120" w:line="240" w:lineRule="auto"/>
        <w:rPr>
          <w:rFonts w:cs="Calibri"/>
          <w:b/>
          <w:color w:val="000000"/>
          <w:sz w:val="24"/>
          <w:szCs w:val="24"/>
        </w:rPr>
      </w:pPr>
      <w:r>
        <w:rPr>
          <w:rFonts w:cs="Calibri"/>
          <w:b/>
          <w:color w:val="000000"/>
          <w:sz w:val="24"/>
          <w:szCs w:val="24"/>
        </w:rPr>
        <w:t xml:space="preserve">CDSP </w:t>
      </w:r>
      <w:r>
        <w:rPr>
          <w:sz w:val="24"/>
          <w:szCs w:val="24"/>
        </w:rPr>
        <w:t>Capacity Development Support Program</w:t>
      </w:r>
    </w:p>
    <w:p w14:paraId="08E6B1D2" w14:textId="77777777" w:rsidR="00531509" w:rsidRPr="00531509" w:rsidRDefault="00531509" w:rsidP="00531509">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CSO</w:t>
      </w:r>
      <w:r w:rsidRPr="00531509">
        <w:rPr>
          <w:rFonts w:cs="Calibri"/>
          <w:color w:val="000000"/>
          <w:sz w:val="24"/>
          <w:szCs w:val="24"/>
        </w:rPr>
        <w:t xml:space="preserve"> Civil Society Organisation </w:t>
      </w:r>
    </w:p>
    <w:p w14:paraId="154067FC" w14:textId="77777777" w:rsidR="00531509" w:rsidRPr="00531509" w:rsidRDefault="00531509" w:rsidP="00531509">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 xml:space="preserve">DFAT </w:t>
      </w:r>
      <w:r w:rsidRPr="00531509">
        <w:rPr>
          <w:rFonts w:cs="Calibri"/>
          <w:color w:val="000000"/>
          <w:sz w:val="24"/>
          <w:szCs w:val="24"/>
        </w:rPr>
        <w:t xml:space="preserve">Department of Foreign Affairs and Trade </w:t>
      </w:r>
    </w:p>
    <w:p w14:paraId="0F3B6B42" w14:textId="77777777" w:rsidR="00531509" w:rsidRPr="00531509" w:rsidRDefault="00531509" w:rsidP="00531509">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DRM</w:t>
      </w:r>
      <w:r w:rsidRPr="00531509">
        <w:rPr>
          <w:rFonts w:cs="Calibri"/>
          <w:color w:val="000000"/>
          <w:sz w:val="24"/>
          <w:szCs w:val="24"/>
        </w:rPr>
        <w:t xml:space="preserve"> Disaster Risk Management </w:t>
      </w:r>
    </w:p>
    <w:p w14:paraId="758E8A01" w14:textId="7EA5EE03" w:rsidR="00531509" w:rsidRPr="00531509" w:rsidRDefault="00531509" w:rsidP="00531509">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DRR</w:t>
      </w:r>
      <w:r w:rsidRPr="00531509">
        <w:rPr>
          <w:rFonts w:cs="Calibri"/>
          <w:color w:val="000000"/>
          <w:sz w:val="24"/>
          <w:szCs w:val="24"/>
        </w:rPr>
        <w:t xml:space="preserve"> Disaster </w:t>
      </w:r>
      <w:r w:rsidRPr="00355386">
        <w:rPr>
          <w:rFonts w:cs="Calibri"/>
          <w:color w:val="000000"/>
          <w:sz w:val="24"/>
          <w:szCs w:val="24"/>
        </w:rPr>
        <w:t xml:space="preserve">Risk Reduction </w:t>
      </w:r>
    </w:p>
    <w:p w14:paraId="25AE92F1" w14:textId="2553578C" w:rsidR="006932C1" w:rsidRDefault="006932C1" w:rsidP="00531509">
      <w:pPr>
        <w:autoSpaceDE w:val="0"/>
        <w:autoSpaceDN w:val="0"/>
        <w:adjustRightInd w:val="0"/>
        <w:spacing w:after="120" w:line="240" w:lineRule="auto"/>
        <w:rPr>
          <w:rFonts w:cs="Calibri"/>
          <w:b/>
          <w:color w:val="000000"/>
          <w:sz w:val="24"/>
          <w:szCs w:val="24"/>
        </w:rPr>
      </w:pPr>
      <w:r>
        <w:rPr>
          <w:rFonts w:cs="Calibri"/>
          <w:b/>
          <w:color w:val="000000"/>
          <w:sz w:val="24"/>
          <w:szCs w:val="24"/>
        </w:rPr>
        <w:t xml:space="preserve">DRU </w:t>
      </w:r>
      <w:r w:rsidRPr="00B31B1F">
        <w:rPr>
          <w:rFonts w:cs="Calibri"/>
          <w:color w:val="000000"/>
          <w:sz w:val="24"/>
          <w:szCs w:val="24"/>
        </w:rPr>
        <w:t>Disaster Response Unit</w:t>
      </w:r>
    </w:p>
    <w:p w14:paraId="5CECD0BB" w14:textId="77777777" w:rsidR="00531509" w:rsidRPr="00531509" w:rsidRDefault="00531509" w:rsidP="00531509">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EOC</w:t>
      </w:r>
      <w:r w:rsidRPr="00531509">
        <w:rPr>
          <w:rFonts w:cs="Calibri"/>
          <w:color w:val="000000"/>
          <w:sz w:val="24"/>
          <w:szCs w:val="24"/>
        </w:rPr>
        <w:t xml:space="preserve"> Emergency Operation Centre </w:t>
      </w:r>
    </w:p>
    <w:p w14:paraId="09E9BF13" w14:textId="77777777" w:rsidR="00531509" w:rsidRPr="00531509" w:rsidRDefault="00531509" w:rsidP="00531509">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GFDRR</w:t>
      </w:r>
      <w:r w:rsidRPr="00531509">
        <w:rPr>
          <w:rFonts w:cs="Calibri"/>
          <w:color w:val="000000"/>
          <w:sz w:val="24"/>
          <w:szCs w:val="24"/>
        </w:rPr>
        <w:t xml:space="preserve"> Global Fund for Disaster Reduction and Recovery </w:t>
      </w:r>
    </w:p>
    <w:p w14:paraId="651A6FAB" w14:textId="77777777" w:rsidR="00531509" w:rsidRPr="00531509" w:rsidRDefault="00531509" w:rsidP="00531509">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GoA</w:t>
      </w:r>
      <w:r w:rsidRPr="00531509">
        <w:rPr>
          <w:rFonts w:cs="Calibri"/>
          <w:color w:val="000000"/>
          <w:sz w:val="24"/>
          <w:szCs w:val="24"/>
        </w:rPr>
        <w:t xml:space="preserve"> Government of Australia </w:t>
      </w:r>
    </w:p>
    <w:p w14:paraId="423AF07A" w14:textId="77777777" w:rsidR="00531509" w:rsidRPr="00531509" w:rsidRDefault="00531509" w:rsidP="00531509">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GoI</w:t>
      </w:r>
      <w:r w:rsidRPr="00531509">
        <w:rPr>
          <w:rFonts w:cs="Calibri"/>
          <w:color w:val="000000"/>
          <w:sz w:val="24"/>
          <w:szCs w:val="24"/>
        </w:rPr>
        <w:t xml:space="preserve"> Government of Indonesia </w:t>
      </w:r>
    </w:p>
    <w:p w14:paraId="0E9B8BF0" w14:textId="00542326" w:rsidR="00B762D4" w:rsidRDefault="00B762D4" w:rsidP="00531509">
      <w:pPr>
        <w:rPr>
          <w:rFonts w:cs="Calibri"/>
          <w:b/>
          <w:color w:val="000000"/>
          <w:sz w:val="24"/>
          <w:szCs w:val="24"/>
        </w:rPr>
      </w:pPr>
      <w:r>
        <w:rPr>
          <w:rFonts w:cs="Calibri"/>
          <w:b/>
          <w:color w:val="000000"/>
          <w:sz w:val="24"/>
          <w:szCs w:val="24"/>
        </w:rPr>
        <w:t xml:space="preserve">HFA </w:t>
      </w:r>
      <w:r w:rsidRPr="00B31B1F">
        <w:rPr>
          <w:rFonts w:cs="Calibri"/>
          <w:color w:val="000000"/>
          <w:sz w:val="24"/>
          <w:szCs w:val="24"/>
        </w:rPr>
        <w:t>Hyogo Framework for Action</w:t>
      </w:r>
    </w:p>
    <w:p w14:paraId="3EA8D643" w14:textId="77777777" w:rsidR="00531509" w:rsidRPr="00355386" w:rsidRDefault="00531509" w:rsidP="00531509">
      <w:pPr>
        <w:rPr>
          <w:rFonts w:cs="Calibri"/>
          <w:color w:val="000000"/>
          <w:sz w:val="24"/>
          <w:szCs w:val="24"/>
        </w:rPr>
      </w:pPr>
      <w:r w:rsidRPr="00B43451">
        <w:rPr>
          <w:rFonts w:cs="Calibri"/>
          <w:b/>
          <w:color w:val="000000"/>
          <w:sz w:val="24"/>
          <w:szCs w:val="24"/>
        </w:rPr>
        <w:t>ICR</w:t>
      </w:r>
      <w:r w:rsidRPr="00355386">
        <w:rPr>
          <w:rFonts w:cs="Calibri"/>
          <w:color w:val="000000"/>
          <w:sz w:val="24"/>
          <w:szCs w:val="24"/>
        </w:rPr>
        <w:t xml:space="preserve"> Independent Completion Report </w:t>
      </w:r>
    </w:p>
    <w:p w14:paraId="6DC4A07D" w14:textId="77777777" w:rsidR="00355386" w:rsidRPr="00355386" w:rsidRDefault="00355386" w:rsidP="00355386">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INGO</w:t>
      </w:r>
      <w:r w:rsidRPr="00355386">
        <w:rPr>
          <w:rFonts w:cs="Calibri"/>
          <w:color w:val="000000"/>
          <w:sz w:val="24"/>
          <w:szCs w:val="24"/>
        </w:rPr>
        <w:t xml:space="preserve"> International Non-Governmental Organisation </w:t>
      </w:r>
    </w:p>
    <w:p w14:paraId="2B4DC56F" w14:textId="77777777" w:rsidR="00355386" w:rsidRPr="00355386" w:rsidRDefault="00355386" w:rsidP="00355386">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 xml:space="preserve">IOM </w:t>
      </w:r>
      <w:r w:rsidRPr="00355386">
        <w:rPr>
          <w:rFonts w:cs="Calibri"/>
          <w:color w:val="000000"/>
          <w:sz w:val="24"/>
          <w:szCs w:val="24"/>
        </w:rPr>
        <w:t xml:space="preserve">International Organisation for Migration </w:t>
      </w:r>
    </w:p>
    <w:p w14:paraId="3AD45461" w14:textId="77777777" w:rsidR="00355386" w:rsidRPr="00355386" w:rsidRDefault="00355386" w:rsidP="00355386">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ITB</w:t>
      </w:r>
      <w:r w:rsidRPr="00355386">
        <w:rPr>
          <w:rFonts w:cs="Calibri"/>
          <w:color w:val="000000"/>
          <w:sz w:val="24"/>
          <w:szCs w:val="24"/>
        </w:rPr>
        <w:t xml:space="preserve"> Bandung Institute of Technology (Institut Teknologi Bandung) </w:t>
      </w:r>
    </w:p>
    <w:p w14:paraId="3BC7FB3C" w14:textId="77777777" w:rsidR="00355386" w:rsidRPr="00355386" w:rsidRDefault="00355386" w:rsidP="00355386">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M&amp;E</w:t>
      </w:r>
      <w:r w:rsidRPr="00355386">
        <w:rPr>
          <w:rFonts w:cs="Calibri"/>
          <w:color w:val="000000"/>
          <w:sz w:val="24"/>
          <w:szCs w:val="24"/>
        </w:rPr>
        <w:t xml:space="preserve"> Monitoring and Evaluation </w:t>
      </w:r>
    </w:p>
    <w:p w14:paraId="01FE01C6" w14:textId="478EF942" w:rsidR="00355386" w:rsidRPr="00355386" w:rsidRDefault="00355386" w:rsidP="00355386">
      <w:pPr>
        <w:autoSpaceDE w:val="0"/>
        <w:autoSpaceDN w:val="0"/>
        <w:adjustRightInd w:val="0"/>
        <w:spacing w:after="120" w:line="240" w:lineRule="auto"/>
        <w:ind w:left="1440" w:hanging="1440"/>
        <w:rPr>
          <w:rFonts w:cs="Calibri"/>
          <w:color w:val="000000"/>
          <w:sz w:val="24"/>
          <w:szCs w:val="24"/>
        </w:rPr>
      </w:pPr>
      <w:r w:rsidRPr="00B43451">
        <w:rPr>
          <w:rFonts w:cs="Calibri"/>
          <w:b/>
          <w:color w:val="000000"/>
          <w:sz w:val="24"/>
          <w:szCs w:val="24"/>
        </w:rPr>
        <w:t>MAMPU</w:t>
      </w:r>
      <w:r w:rsidRPr="00355386">
        <w:rPr>
          <w:rFonts w:cs="Calibri"/>
          <w:color w:val="000000"/>
          <w:sz w:val="24"/>
          <w:szCs w:val="24"/>
        </w:rPr>
        <w:t xml:space="preserve"> Empowering Indonesian Women for Poverty Reduction </w:t>
      </w:r>
    </w:p>
    <w:p w14:paraId="10534ED9" w14:textId="67049679" w:rsidR="00692A07" w:rsidRDefault="00692A07" w:rsidP="00355386">
      <w:pPr>
        <w:autoSpaceDE w:val="0"/>
        <w:autoSpaceDN w:val="0"/>
        <w:adjustRightInd w:val="0"/>
        <w:spacing w:after="120" w:line="240" w:lineRule="auto"/>
        <w:rPr>
          <w:rFonts w:cs="Calibri"/>
          <w:b/>
          <w:color w:val="000000"/>
          <w:sz w:val="24"/>
          <w:szCs w:val="24"/>
        </w:rPr>
      </w:pPr>
      <w:r>
        <w:rPr>
          <w:rFonts w:cs="Calibri"/>
          <w:b/>
          <w:color w:val="000000"/>
          <w:sz w:val="24"/>
          <w:szCs w:val="24"/>
        </w:rPr>
        <w:t xml:space="preserve">MTR </w:t>
      </w:r>
      <w:r w:rsidRPr="006E248F">
        <w:rPr>
          <w:rFonts w:cs="Calibri"/>
          <w:color w:val="000000"/>
          <w:sz w:val="24"/>
          <w:szCs w:val="24"/>
        </w:rPr>
        <w:t>Mid-Term Progress Review</w:t>
      </w:r>
    </w:p>
    <w:p w14:paraId="2C62EA5C" w14:textId="77777777" w:rsidR="00355386" w:rsidRPr="00355386" w:rsidRDefault="00355386" w:rsidP="00355386">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NGO</w:t>
      </w:r>
      <w:r w:rsidRPr="00355386">
        <w:rPr>
          <w:rFonts w:cs="Calibri"/>
          <w:color w:val="000000"/>
          <w:sz w:val="24"/>
          <w:szCs w:val="24"/>
        </w:rPr>
        <w:t xml:space="preserve"> Non-Government Organisation </w:t>
      </w:r>
    </w:p>
    <w:p w14:paraId="69C5A27C" w14:textId="77777777" w:rsidR="00355386" w:rsidRPr="00355386" w:rsidRDefault="00355386" w:rsidP="00355386">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NTT</w:t>
      </w:r>
      <w:r w:rsidRPr="00355386">
        <w:rPr>
          <w:rFonts w:cs="Calibri"/>
          <w:color w:val="000000"/>
          <w:sz w:val="24"/>
          <w:szCs w:val="24"/>
        </w:rPr>
        <w:t xml:space="preserve"> East Nusa Tenggara Province (Nusa Tenggara Timur) </w:t>
      </w:r>
    </w:p>
    <w:p w14:paraId="5DF771CC" w14:textId="77777777" w:rsidR="00355386" w:rsidRPr="00355386" w:rsidRDefault="00355386" w:rsidP="00355386">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NU</w:t>
      </w:r>
      <w:r w:rsidRPr="00355386">
        <w:rPr>
          <w:rFonts w:cs="Calibri"/>
          <w:color w:val="000000"/>
          <w:sz w:val="24"/>
          <w:szCs w:val="24"/>
        </w:rPr>
        <w:t xml:space="preserve"> Nahdlatul Ulama </w:t>
      </w:r>
    </w:p>
    <w:p w14:paraId="399398EF" w14:textId="4E785C5D" w:rsidR="00EE109D" w:rsidRDefault="00355386" w:rsidP="00355386">
      <w:pPr>
        <w:rPr>
          <w:rFonts w:cs="Calibri"/>
          <w:color w:val="000000"/>
          <w:sz w:val="24"/>
          <w:szCs w:val="24"/>
        </w:rPr>
      </w:pPr>
      <w:r w:rsidRPr="00B43451">
        <w:rPr>
          <w:rFonts w:cs="Calibri"/>
          <w:b/>
          <w:color w:val="000000"/>
          <w:sz w:val="24"/>
          <w:szCs w:val="24"/>
        </w:rPr>
        <w:t>OCHA</w:t>
      </w:r>
      <w:r w:rsidRPr="00355386">
        <w:rPr>
          <w:rFonts w:cs="Calibri"/>
          <w:color w:val="000000"/>
          <w:sz w:val="24"/>
          <w:szCs w:val="24"/>
        </w:rPr>
        <w:t xml:space="preserve"> Office for the Coordination for Humanitarian Affairs </w:t>
      </w:r>
    </w:p>
    <w:p w14:paraId="324C77AD" w14:textId="7DA84DD6" w:rsidR="004C6D0A" w:rsidRPr="00355386" w:rsidRDefault="004C6D0A" w:rsidP="00355386">
      <w:pPr>
        <w:rPr>
          <w:b/>
          <w:sz w:val="24"/>
          <w:szCs w:val="24"/>
        </w:rPr>
      </w:pPr>
      <w:r w:rsidRPr="00B31B1F">
        <w:rPr>
          <w:rFonts w:cs="Calibri"/>
          <w:b/>
          <w:color w:val="000000"/>
          <w:sz w:val="24"/>
          <w:szCs w:val="24"/>
        </w:rPr>
        <w:t>OSM</w:t>
      </w:r>
      <w:r>
        <w:rPr>
          <w:rFonts w:cs="Calibri"/>
          <w:color w:val="000000"/>
          <w:sz w:val="24"/>
          <w:szCs w:val="24"/>
        </w:rPr>
        <w:t xml:space="preserve"> Open Street Map</w:t>
      </w:r>
    </w:p>
    <w:p w14:paraId="6A1B5E26" w14:textId="77777777" w:rsidR="00355386" w:rsidRPr="00355386" w:rsidRDefault="00355386" w:rsidP="00355386">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 xml:space="preserve">Perda </w:t>
      </w:r>
      <w:r w:rsidRPr="00355386">
        <w:rPr>
          <w:rFonts w:cs="Calibri"/>
          <w:color w:val="000000"/>
          <w:sz w:val="24"/>
          <w:szCs w:val="24"/>
        </w:rPr>
        <w:t xml:space="preserve">Sub-national Regulation (Peraturan Daerah) </w:t>
      </w:r>
    </w:p>
    <w:p w14:paraId="36F7BD69" w14:textId="77777777" w:rsidR="00355386" w:rsidRPr="00355386" w:rsidRDefault="00355386" w:rsidP="00355386">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Perka</w:t>
      </w:r>
      <w:r w:rsidRPr="00355386">
        <w:rPr>
          <w:rFonts w:cs="Calibri"/>
          <w:color w:val="000000"/>
          <w:sz w:val="24"/>
          <w:szCs w:val="24"/>
        </w:rPr>
        <w:t xml:space="preserve"> Head of Agency Regulation (Peraturan Kepala) </w:t>
      </w:r>
    </w:p>
    <w:p w14:paraId="40BFC942" w14:textId="77777777" w:rsidR="00355386" w:rsidRPr="00355386" w:rsidRDefault="00355386" w:rsidP="00355386">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 xml:space="preserve">PMI </w:t>
      </w:r>
      <w:r w:rsidRPr="00355386">
        <w:rPr>
          <w:rFonts w:cs="Calibri"/>
          <w:color w:val="000000"/>
          <w:sz w:val="24"/>
          <w:szCs w:val="24"/>
        </w:rPr>
        <w:t xml:space="preserve">Indonesian Red Cross (Palang Merah Indonesia) </w:t>
      </w:r>
    </w:p>
    <w:p w14:paraId="30FD9F12" w14:textId="0325113B" w:rsidR="00355386" w:rsidRPr="00355386" w:rsidRDefault="00355386" w:rsidP="00355386">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SCDRR</w:t>
      </w:r>
      <w:r w:rsidRPr="00355386">
        <w:rPr>
          <w:rFonts w:cs="Calibri"/>
          <w:color w:val="000000"/>
          <w:sz w:val="24"/>
          <w:szCs w:val="24"/>
        </w:rPr>
        <w:t xml:space="preserve"> Safer </w:t>
      </w:r>
      <w:r w:rsidR="00AC37E3">
        <w:rPr>
          <w:rFonts w:cs="Calibri"/>
          <w:color w:val="000000"/>
          <w:sz w:val="24"/>
          <w:szCs w:val="24"/>
        </w:rPr>
        <w:t>C</w:t>
      </w:r>
      <w:r w:rsidRPr="00355386">
        <w:rPr>
          <w:rFonts w:cs="Calibri"/>
          <w:color w:val="000000"/>
          <w:sz w:val="24"/>
          <w:szCs w:val="24"/>
        </w:rPr>
        <w:t xml:space="preserve">ommunities through Disaster Risk Reduction </w:t>
      </w:r>
    </w:p>
    <w:p w14:paraId="6F23FCD9" w14:textId="77777777" w:rsidR="00355386" w:rsidRPr="00355386" w:rsidRDefault="00355386" w:rsidP="00355386">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UN</w:t>
      </w:r>
      <w:r w:rsidRPr="00355386">
        <w:rPr>
          <w:rFonts w:cs="Calibri"/>
          <w:color w:val="000000"/>
          <w:sz w:val="24"/>
          <w:szCs w:val="24"/>
        </w:rPr>
        <w:t xml:space="preserve"> United Nations </w:t>
      </w:r>
    </w:p>
    <w:p w14:paraId="52A7FB14" w14:textId="403FD6D4" w:rsidR="00355386" w:rsidRPr="00355386" w:rsidRDefault="00355386" w:rsidP="00355386">
      <w:pPr>
        <w:autoSpaceDE w:val="0"/>
        <w:autoSpaceDN w:val="0"/>
        <w:adjustRightInd w:val="0"/>
        <w:spacing w:after="120" w:line="240" w:lineRule="auto"/>
        <w:rPr>
          <w:rFonts w:cs="Calibri"/>
          <w:color w:val="000000"/>
          <w:sz w:val="24"/>
          <w:szCs w:val="24"/>
        </w:rPr>
      </w:pPr>
      <w:r w:rsidRPr="00B43451">
        <w:rPr>
          <w:rFonts w:cs="Calibri"/>
          <w:b/>
          <w:color w:val="000000"/>
          <w:sz w:val="24"/>
          <w:szCs w:val="24"/>
        </w:rPr>
        <w:t xml:space="preserve">UNDP </w:t>
      </w:r>
      <w:r w:rsidRPr="00355386">
        <w:rPr>
          <w:rFonts w:cs="Calibri"/>
          <w:color w:val="000000"/>
          <w:sz w:val="24"/>
          <w:szCs w:val="24"/>
        </w:rPr>
        <w:t>United Nation</w:t>
      </w:r>
      <w:r w:rsidR="004C6D0A">
        <w:rPr>
          <w:rFonts w:cs="Calibri"/>
          <w:color w:val="000000"/>
          <w:sz w:val="24"/>
          <w:szCs w:val="24"/>
        </w:rPr>
        <w:t>s</w:t>
      </w:r>
      <w:r w:rsidRPr="00355386">
        <w:rPr>
          <w:rFonts w:cs="Calibri"/>
          <w:color w:val="000000"/>
          <w:sz w:val="24"/>
          <w:szCs w:val="24"/>
        </w:rPr>
        <w:t xml:space="preserve"> Development Program </w:t>
      </w:r>
    </w:p>
    <w:p w14:paraId="1430B7DF" w14:textId="11581DFD" w:rsidR="00355386" w:rsidRDefault="00355386" w:rsidP="00D12349">
      <w:pPr>
        <w:spacing w:after="0" w:line="240" w:lineRule="auto"/>
        <w:rPr>
          <w:rFonts w:cs="Calibri"/>
          <w:color w:val="000000"/>
          <w:sz w:val="24"/>
          <w:szCs w:val="24"/>
        </w:rPr>
      </w:pPr>
      <w:r w:rsidRPr="00B43451">
        <w:rPr>
          <w:rFonts w:cs="Calibri"/>
          <w:b/>
          <w:color w:val="000000"/>
          <w:sz w:val="24"/>
          <w:szCs w:val="24"/>
        </w:rPr>
        <w:t>USAID</w:t>
      </w:r>
      <w:r w:rsidRPr="00355386">
        <w:rPr>
          <w:rFonts w:cs="Calibri"/>
          <w:color w:val="000000"/>
          <w:sz w:val="24"/>
          <w:szCs w:val="24"/>
        </w:rPr>
        <w:t xml:space="preserve"> United States Agency for International Development</w:t>
      </w:r>
    </w:p>
    <w:p w14:paraId="140B9318" w14:textId="77777777" w:rsidR="00D12349" w:rsidRPr="00D12349" w:rsidRDefault="00D12349" w:rsidP="00D12349">
      <w:pPr>
        <w:spacing w:after="0" w:line="240" w:lineRule="auto"/>
        <w:rPr>
          <w:b/>
          <w:sz w:val="16"/>
          <w:szCs w:val="16"/>
        </w:rPr>
      </w:pPr>
    </w:p>
    <w:p w14:paraId="68ABAA15" w14:textId="2D45745D" w:rsidR="00B114FA" w:rsidRPr="00D12349" w:rsidRDefault="00841C16" w:rsidP="00D12349">
      <w:pPr>
        <w:spacing w:after="0" w:line="240" w:lineRule="auto"/>
        <w:rPr>
          <w:sz w:val="24"/>
          <w:szCs w:val="24"/>
        </w:rPr>
      </w:pPr>
      <w:r w:rsidRPr="00D12349">
        <w:rPr>
          <w:b/>
          <w:sz w:val="24"/>
          <w:szCs w:val="24"/>
        </w:rPr>
        <w:t xml:space="preserve">VfM </w:t>
      </w:r>
      <w:r w:rsidRPr="00D12349">
        <w:rPr>
          <w:sz w:val="24"/>
          <w:szCs w:val="24"/>
        </w:rPr>
        <w:t>Value for money</w:t>
      </w:r>
    </w:p>
    <w:p w14:paraId="1409C820" w14:textId="77777777" w:rsidR="00B114FA" w:rsidRDefault="00B114FA">
      <w:pPr>
        <w:rPr>
          <w:b/>
        </w:rPr>
      </w:pPr>
      <w:r>
        <w:rPr>
          <w:b/>
        </w:rPr>
        <w:br w:type="page"/>
      </w:r>
    </w:p>
    <w:p w14:paraId="54A21E3A" w14:textId="383DABB6" w:rsidR="00C50DA8" w:rsidRDefault="00C50DA8">
      <w:pPr>
        <w:rPr>
          <w:rFonts w:asciiTheme="majorHAnsi" w:eastAsiaTheme="majorEastAsia" w:hAnsiTheme="majorHAnsi" w:cstheme="majorBidi"/>
          <w:color w:val="2E74B5" w:themeColor="accent1" w:themeShade="BF"/>
          <w:sz w:val="32"/>
          <w:szCs w:val="32"/>
        </w:rPr>
      </w:pPr>
      <w:r>
        <w:rPr>
          <w:noProof/>
          <w:lang w:eastAsia="en-AU"/>
        </w:rPr>
        <mc:AlternateContent>
          <mc:Choice Requires="wps">
            <w:drawing>
              <wp:anchor distT="45720" distB="45720" distL="114300" distR="114300" simplePos="0" relativeHeight="251686912" behindDoc="0" locked="0" layoutInCell="1" allowOverlap="1" wp14:anchorId="76EBBFB1" wp14:editId="33254A66">
                <wp:simplePos x="0" y="0"/>
                <wp:positionH relativeFrom="column">
                  <wp:posOffset>57150</wp:posOffset>
                </wp:positionH>
                <wp:positionV relativeFrom="paragraph">
                  <wp:posOffset>1238250</wp:posOffset>
                </wp:positionV>
                <wp:extent cx="5810250" cy="54197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419725"/>
                        </a:xfrm>
                        <a:prstGeom prst="rect">
                          <a:avLst/>
                        </a:prstGeom>
                        <a:solidFill>
                          <a:schemeClr val="bg2"/>
                        </a:solidFill>
                        <a:ln w="9525">
                          <a:solidFill>
                            <a:schemeClr val="tx2">
                              <a:lumMod val="40000"/>
                              <a:lumOff val="60000"/>
                            </a:schemeClr>
                          </a:solidFill>
                          <a:miter lim="800000"/>
                          <a:headEnd/>
                          <a:tailEnd/>
                        </a:ln>
                      </wps:spPr>
                      <wps:txbx>
                        <w:txbxContent>
                          <w:p w14:paraId="034A8CF3" w14:textId="4164B1FC" w:rsidR="004D3B28" w:rsidRPr="006E248F" w:rsidRDefault="004D3B28" w:rsidP="006E248F">
                            <w:pPr>
                              <w:rPr>
                                <w:rFonts w:eastAsia="Times New Roman" w:cs="Arial"/>
                                <w:bCs/>
                                <w:color w:val="003366"/>
                                <w:lang w:eastAsia="en-AU"/>
                              </w:rPr>
                            </w:pPr>
                            <w:bookmarkStart w:id="3" w:name="_Toc402344089"/>
                            <w:bookmarkStart w:id="4" w:name="_Toc402431243"/>
                            <w:r w:rsidRPr="006E248F">
                              <w:rPr>
                                <w:rStyle w:val="Heading1Char"/>
                                <w:rFonts w:asciiTheme="minorHAnsi" w:hAnsiTheme="minorHAnsi"/>
                                <w:b/>
                                <w:sz w:val="24"/>
                                <w:szCs w:val="24"/>
                              </w:rPr>
                              <w:t>Box</w:t>
                            </w:r>
                            <w:r w:rsidRPr="00692A07">
                              <w:rPr>
                                <w:rStyle w:val="Heading1Char"/>
                                <w:rFonts w:asciiTheme="minorHAnsi" w:hAnsiTheme="minorHAnsi"/>
                                <w:b/>
                                <w:sz w:val="24"/>
                                <w:szCs w:val="24"/>
                              </w:rPr>
                              <w:t xml:space="preserve"> 1</w:t>
                            </w:r>
                            <w:r w:rsidRPr="006E248F">
                              <w:rPr>
                                <w:rStyle w:val="Heading1Char"/>
                                <w:rFonts w:asciiTheme="minorHAnsi" w:hAnsiTheme="minorHAnsi"/>
                                <w:b/>
                                <w:sz w:val="24"/>
                                <w:szCs w:val="24"/>
                              </w:rPr>
                              <w:t xml:space="preserve">: </w:t>
                            </w:r>
                            <w:r w:rsidRPr="006E248F">
                              <w:rPr>
                                <w:rStyle w:val="Heading1Char"/>
                                <w:rFonts w:asciiTheme="minorHAnsi" w:hAnsiTheme="minorHAnsi"/>
                                <w:b/>
                                <w:sz w:val="24"/>
                                <w:szCs w:val="24"/>
                              </w:rPr>
                              <w:tab/>
                              <w:t>Definitions</w:t>
                            </w:r>
                            <w:bookmarkEnd w:id="3"/>
                            <w:bookmarkEnd w:id="4"/>
                            <w:r w:rsidRPr="006E248F">
                              <w:rPr>
                                <w:rFonts w:eastAsia="Times New Roman" w:cs="Arial"/>
                                <w:bCs/>
                                <w:color w:val="003366"/>
                                <w:lang w:eastAsia="en-AU"/>
                              </w:rPr>
                              <w:t xml:space="preserve"> </w:t>
                            </w:r>
                          </w:p>
                          <w:p w14:paraId="5657C233" w14:textId="45477BAF" w:rsidR="004D3B28" w:rsidRPr="00653F28" w:rsidRDefault="004D3B28" w:rsidP="006E248F">
                            <w:pPr>
                              <w:rPr>
                                <w:rFonts w:eastAsia="Times New Roman" w:cs="Arial"/>
                                <w:bCs/>
                                <w:color w:val="003366"/>
                                <w:sz w:val="24"/>
                                <w:szCs w:val="24"/>
                                <w:lang w:eastAsia="en-AU"/>
                              </w:rPr>
                            </w:pPr>
                            <w:r w:rsidRPr="00653F28">
                              <w:rPr>
                                <w:rFonts w:eastAsia="Times New Roman" w:cs="Arial"/>
                                <w:bCs/>
                                <w:color w:val="003366"/>
                                <w:sz w:val="24"/>
                                <w:szCs w:val="24"/>
                                <w:lang w:eastAsia="en-AU"/>
                              </w:rPr>
                              <w:t>The following definitions for key terms used in this report are provided for clarity.</w:t>
                            </w:r>
                          </w:p>
                          <w:p w14:paraId="1BD8367C" w14:textId="37284D9F" w:rsidR="004D3B28" w:rsidRPr="001C10F8" w:rsidRDefault="004D3B28" w:rsidP="006E248F">
                            <w:pPr>
                              <w:rPr>
                                <w:rFonts w:eastAsia="Times New Roman" w:cs="Arial"/>
                                <w:i/>
                                <w:color w:val="000000"/>
                                <w:sz w:val="24"/>
                                <w:szCs w:val="24"/>
                                <w:lang w:eastAsia="en-AU"/>
                              </w:rPr>
                            </w:pPr>
                            <w:r w:rsidRPr="001C10F8">
                              <w:rPr>
                                <w:rFonts w:eastAsia="Times New Roman" w:cs="Arial"/>
                                <w:bCs/>
                                <w:color w:val="003366"/>
                                <w:sz w:val="24"/>
                                <w:szCs w:val="24"/>
                                <w:lang w:eastAsia="en-AU"/>
                              </w:rPr>
                              <w:t>Disaster risk</w:t>
                            </w:r>
                            <w:r>
                              <w:rPr>
                                <w:rFonts w:eastAsia="Times New Roman" w:cs="Arial"/>
                                <w:bCs/>
                                <w:color w:val="003366"/>
                                <w:sz w:val="24"/>
                                <w:szCs w:val="24"/>
                                <w:lang w:eastAsia="en-AU"/>
                              </w:rPr>
                              <w:t xml:space="preserve">: </w:t>
                            </w:r>
                            <w:r w:rsidRPr="001C10F8">
                              <w:rPr>
                                <w:rFonts w:eastAsia="Times New Roman" w:cs="Arial"/>
                                <w:i/>
                                <w:color w:val="000000"/>
                                <w:sz w:val="24"/>
                                <w:szCs w:val="24"/>
                                <w:lang w:eastAsia="en-AU"/>
                              </w:rPr>
                              <w:t xml:space="preserve">The potential disaster losses, in lives, health status, livelihoods, assets and services, which could occur to a particular community or a society over some specified future time period. </w:t>
                            </w:r>
                          </w:p>
                          <w:p w14:paraId="066F6769" w14:textId="47AE3A46" w:rsidR="004D3B28" w:rsidRPr="001C10F8" w:rsidRDefault="004D3B28" w:rsidP="006E248F">
                            <w:pPr>
                              <w:rPr>
                                <w:rFonts w:eastAsia="Times New Roman" w:cs="Arial"/>
                                <w:i/>
                                <w:color w:val="000000"/>
                                <w:sz w:val="24"/>
                                <w:szCs w:val="24"/>
                                <w:lang w:eastAsia="en-AU"/>
                              </w:rPr>
                            </w:pPr>
                            <w:r w:rsidRPr="001C10F8">
                              <w:rPr>
                                <w:rFonts w:eastAsia="Times New Roman" w:cs="Arial"/>
                                <w:bCs/>
                                <w:color w:val="003366"/>
                                <w:sz w:val="24"/>
                                <w:szCs w:val="24"/>
                                <w:lang w:eastAsia="en-AU"/>
                              </w:rPr>
                              <w:t>Disaster risk management</w:t>
                            </w:r>
                            <w:r>
                              <w:rPr>
                                <w:rFonts w:eastAsia="Times New Roman" w:cs="Arial"/>
                                <w:bCs/>
                                <w:color w:val="003366"/>
                                <w:sz w:val="24"/>
                                <w:szCs w:val="24"/>
                                <w:lang w:eastAsia="en-AU"/>
                              </w:rPr>
                              <w:t xml:space="preserve">: </w:t>
                            </w:r>
                            <w:r w:rsidRPr="001C10F8">
                              <w:rPr>
                                <w:rFonts w:eastAsia="Times New Roman" w:cs="Arial"/>
                                <w:i/>
                                <w:color w:val="000000"/>
                                <w:sz w:val="24"/>
                                <w:szCs w:val="24"/>
                                <w:lang w:eastAsia="en-AU"/>
                              </w:rPr>
                              <w:t xml:space="preserve">The systematic process of using administrative directives, organizations, and operational skills and capacities to implement strategies, policies and improved coping capacities in order to lessen the adverse impacts of hazards and the possibility of disaster. </w:t>
                            </w:r>
                            <w:r w:rsidRPr="001C10F8">
                              <w:rPr>
                                <w:rFonts w:eastAsia="Times New Roman" w:cs="Arial"/>
                                <w:i/>
                                <w:color w:val="000000"/>
                                <w:sz w:val="24"/>
                                <w:szCs w:val="24"/>
                                <w:lang w:eastAsia="en-AU"/>
                              </w:rPr>
                              <w:br/>
                            </w:r>
                            <w:r w:rsidRPr="001C10F8">
                              <w:rPr>
                                <w:rFonts w:eastAsia="Times New Roman" w:cs="Arial"/>
                                <w:i/>
                                <w:color w:val="000000"/>
                                <w:sz w:val="24"/>
                                <w:szCs w:val="24"/>
                                <w:lang w:eastAsia="en-AU"/>
                              </w:rPr>
                              <w:br/>
                              <w:t>Comment: This term is an extension of the more general term “risk management” to address the specific issue of disaster risks. Disaster risk management aims to avoid, lessen or transfer the adverse effects of hazards through activities and measures for prevention, mitigation and preparedness.</w:t>
                            </w:r>
                          </w:p>
                          <w:p w14:paraId="2747BB00" w14:textId="30816791" w:rsidR="004D3B28" w:rsidRDefault="004D3B28" w:rsidP="006E248F">
                            <w:pPr>
                              <w:rPr>
                                <w:rFonts w:eastAsia="Times New Roman" w:cs="Arial"/>
                                <w:i/>
                                <w:color w:val="000000"/>
                                <w:sz w:val="24"/>
                                <w:szCs w:val="24"/>
                                <w:lang w:eastAsia="en-AU"/>
                              </w:rPr>
                            </w:pPr>
                            <w:r w:rsidRPr="001C10F8">
                              <w:rPr>
                                <w:rFonts w:eastAsia="Times New Roman" w:cs="Arial"/>
                                <w:bCs/>
                                <w:color w:val="003366"/>
                                <w:sz w:val="24"/>
                                <w:szCs w:val="24"/>
                                <w:lang w:eastAsia="en-AU"/>
                              </w:rPr>
                              <w:t>Disaster risk reduction</w:t>
                            </w:r>
                            <w:r>
                              <w:rPr>
                                <w:rFonts w:eastAsia="Times New Roman" w:cs="Arial"/>
                                <w:bCs/>
                                <w:color w:val="003366"/>
                                <w:sz w:val="24"/>
                                <w:szCs w:val="24"/>
                                <w:lang w:eastAsia="en-AU"/>
                              </w:rPr>
                              <w:t xml:space="preserve">: </w:t>
                            </w:r>
                            <w:r w:rsidRPr="001C10F8">
                              <w:rPr>
                                <w:rFonts w:eastAsia="Times New Roman" w:cs="Arial"/>
                                <w:i/>
                                <w:color w:val="000000"/>
                                <w:sz w:val="24"/>
                                <w:szCs w:val="24"/>
                                <w:lang w:eastAsia="en-AU"/>
                              </w:rPr>
                              <w:t>The concept and practice of reducing disaster risks through systematic efforts to analyse and manage the causal factors of disasters, including through reduced exposure to hazards, lessened vulnerability of people and property, wise management of land and the environment, and improved preparedness for adverse events. Note that while the term “disaster reduction” is sometimes used, the term “disaster risk reduction” provides a better recognition of the ongoing nature of disaster risks and the ongoing potential to reduce these risks.</w:t>
                            </w:r>
                          </w:p>
                          <w:p w14:paraId="69F7BE19" w14:textId="77777777" w:rsidR="004D3B28" w:rsidRDefault="004D3B28" w:rsidP="006E248F">
                            <w:pPr>
                              <w:rPr>
                                <w:rFonts w:eastAsia="Times New Roman" w:cs="Arial"/>
                                <w:i/>
                                <w:color w:val="000000"/>
                                <w:sz w:val="24"/>
                                <w:szCs w:val="24"/>
                                <w:lang w:eastAsia="en-AU"/>
                              </w:rPr>
                            </w:pPr>
                          </w:p>
                          <w:p w14:paraId="13B92B23" w14:textId="0532A758" w:rsidR="004D3B28" w:rsidRPr="006E248F" w:rsidRDefault="004D3B28" w:rsidP="006E248F">
                            <w:pPr>
                              <w:rPr>
                                <w:b/>
                              </w:rPr>
                            </w:pPr>
                            <w:r w:rsidRPr="006E248F">
                              <w:rPr>
                                <w:rFonts w:eastAsia="Times New Roman" w:cs="Arial"/>
                                <w:b/>
                                <w:i/>
                                <w:color w:val="000000"/>
                                <w:sz w:val="24"/>
                                <w:szCs w:val="24"/>
                                <w:lang w:eastAsia="en-AU"/>
                              </w:rPr>
                              <w:t>SOURCE: UNISDR retrieved from http://www.unisdr.org/we/inform/terminology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5pt;margin-top:97.5pt;width:457.5pt;height:426.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" fillcolor="#e7e6e6 [3214]" strokecolor="#acb9ca [1311]">
                <v:textbox>
                  <w:txbxContent>
                    <w:p w14:paraId="034A8CF3" w14:textId="4164B1FC" w:rsidR="004D3B28" w:rsidRPr="006E248F" w:rsidRDefault="004D3B28" w:rsidP="006E248F">
                      <w:pPr>
                        <w:rPr>
                          <w:rFonts w:eastAsia="Times New Roman" w:cs="Arial"/>
                          <w:bCs/>
                          <w:color w:val="003366"/>
                          <w:lang w:eastAsia="en-AU"/>
                        </w:rPr>
                      </w:pPr>
                      <w:bookmarkStart w:id="5" w:name="_Toc402344089"/>
                      <w:bookmarkStart w:id="6" w:name="_Toc402431243"/>
                      <w:r w:rsidRPr="006E248F">
                        <w:rPr>
                          <w:rStyle w:val="Heading1Char"/>
                          <w:rFonts w:asciiTheme="minorHAnsi" w:hAnsiTheme="minorHAnsi"/>
                          <w:b/>
                          <w:sz w:val="24"/>
                          <w:szCs w:val="24"/>
                        </w:rPr>
                        <w:t>Box</w:t>
                      </w:r>
                      <w:r w:rsidRPr="00692A07">
                        <w:rPr>
                          <w:rStyle w:val="Heading1Char"/>
                          <w:rFonts w:asciiTheme="minorHAnsi" w:hAnsiTheme="minorHAnsi"/>
                          <w:b/>
                          <w:sz w:val="24"/>
                          <w:szCs w:val="24"/>
                        </w:rPr>
                        <w:t xml:space="preserve"> 1</w:t>
                      </w:r>
                      <w:r w:rsidRPr="006E248F">
                        <w:rPr>
                          <w:rStyle w:val="Heading1Char"/>
                          <w:rFonts w:asciiTheme="minorHAnsi" w:hAnsiTheme="minorHAnsi"/>
                          <w:b/>
                          <w:sz w:val="24"/>
                          <w:szCs w:val="24"/>
                        </w:rPr>
                        <w:t xml:space="preserve">: </w:t>
                      </w:r>
                      <w:r w:rsidRPr="006E248F">
                        <w:rPr>
                          <w:rStyle w:val="Heading1Char"/>
                          <w:rFonts w:asciiTheme="minorHAnsi" w:hAnsiTheme="minorHAnsi"/>
                          <w:b/>
                          <w:sz w:val="24"/>
                          <w:szCs w:val="24"/>
                        </w:rPr>
                        <w:tab/>
                        <w:t>Definitions</w:t>
                      </w:r>
                      <w:bookmarkEnd w:id="5"/>
                      <w:bookmarkEnd w:id="6"/>
                      <w:r w:rsidRPr="006E248F">
                        <w:rPr>
                          <w:rFonts w:eastAsia="Times New Roman" w:cs="Arial"/>
                          <w:bCs/>
                          <w:color w:val="003366"/>
                          <w:lang w:eastAsia="en-AU"/>
                        </w:rPr>
                        <w:t xml:space="preserve"> </w:t>
                      </w:r>
                    </w:p>
                    <w:p w14:paraId="5657C233" w14:textId="45477BAF" w:rsidR="004D3B28" w:rsidRPr="00653F28" w:rsidRDefault="004D3B28" w:rsidP="006E248F">
                      <w:pPr>
                        <w:rPr>
                          <w:rFonts w:eastAsia="Times New Roman" w:cs="Arial"/>
                          <w:bCs/>
                          <w:color w:val="003366"/>
                          <w:sz w:val="24"/>
                          <w:szCs w:val="24"/>
                          <w:lang w:eastAsia="en-AU"/>
                        </w:rPr>
                      </w:pPr>
                      <w:r w:rsidRPr="00653F28">
                        <w:rPr>
                          <w:rFonts w:eastAsia="Times New Roman" w:cs="Arial"/>
                          <w:bCs/>
                          <w:color w:val="003366"/>
                          <w:sz w:val="24"/>
                          <w:szCs w:val="24"/>
                          <w:lang w:eastAsia="en-AU"/>
                        </w:rPr>
                        <w:t>The following definitions for key terms used in this report are provided for clarity.</w:t>
                      </w:r>
                    </w:p>
                    <w:p w14:paraId="1BD8367C" w14:textId="37284D9F" w:rsidR="004D3B28" w:rsidRPr="001C10F8" w:rsidRDefault="004D3B28" w:rsidP="006E248F">
                      <w:pPr>
                        <w:rPr>
                          <w:rFonts w:eastAsia="Times New Roman" w:cs="Arial"/>
                          <w:i/>
                          <w:color w:val="000000"/>
                          <w:sz w:val="24"/>
                          <w:szCs w:val="24"/>
                          <w:lang w:eastAsia="en-AU"/>
                        </w:rPr>
                      </w:pPr>
                      <w:r w:rsidRPr="001C10F8">
                        <w:rPr>
                          <w:rFonts w:eastAsia="Times New Roman" w:cs="Arial"/>
                          <w:bCs/>
                          <w:color w:val="003366"/>
                          <w:sz w:val="24"/>
                          <w:szCs w:val="24"/>
                          <w:lang w:eastAsia="en-AU"/>
                        </w:rPr>
                        <w:t>Disaster risk</w:t>
                      </w:r>
                      <w:r>
                        <w:rPr>
                          <w:rFonts w:eastAsia="Times New Roman" w:cs="Arial"/>
                          <w:bCs/>
                          <w:color w:val="003366"/>
                          <w:sz w:val="24"/>
                          <w:szCs w:val="24"/>
                          <w:lang w:eastAsia="en-AU"/>
                        </w:rPr>
                        <w:t xml:space="preserve">: </w:t>
                      </w:r>
                      <w:r w:rsidRPr="001C10F8">
                        <w:rPr>
                          <w:rFonts w:eastAsia="Times New Roman" w:cs="Arial"/>
                          <w:i/>
                          <w:color w:val="000000"/>
                          <w:sz w:val="24"/>
                          <w:szCs w:val="24"/>
                          <w:lang w:eastAsia="en-AU"/>
                        </w:rPr>
                        <w:t xml:space="preserve">The potential disaster losses, in lives, health status, livelihoods, assets and services, which could occur to a particular community or a society over some specified future time period. </w:t>
                      </w:r>
                    </w:p>
                    <w:p w14:paraId="066F6769" w14:textId="47AE3A46" w:rsidR="004D3B28" w:rsidRPr="001C10F8" w:rsidRDefault="004D3B28" w:rsidP="006E248F">
                      <w:pPr>
                        <w:rPr>
                          <w:rFonts w:eastAsia="Times New Roman" w:cs="Arial"/>
                          <w:i/>
                          <w:color w:val="000000"/>
                          <w:sz w:val="24"/>
                          <w:szCs w:val="24"/>
                          <w:lang w:eastAsia="en-AU"/>
                        </w:rPr>
                      </w:pPr>
                      <w:r w:rsidRPr="001C10F8">
                        <w:rPr>
                          <w:rFonts w:eastAsia="Times New Roman" w:cs="Arial"/>
                          <w:bCs/>
                          <w:color w:val="003366"/>
                          <w:sz w:val="24"/>
                          <w:szCs w:val="24"/>
                          <w:lang w:eastAsia="en-AU"/>
                        </w:rPr>
                        <w:t>Disaster risk management</w:t>
                      </w:r>
                      <w:r>
                        <w:rPr>
                          <w:rFonts w:eastAsia="Times New Roman" w:cs="Arial"/>
                          <w:bCs/>
                          <w:color w:val="003366"/>
                          <w:sz w:val="24"/>
                          <w:szCs w:val="24"/>
                          <w:lang w:eastAsia="en-AU"/>
                        </w:rPr>
                        <w:t xml:space="preserve">: </w:t>
                      </w:r>
                      <w:r w:rsidRPr="001C10F8">
                        <w:rPr>
                          <w:rFonts w:eastAsia="Times New Roman" w:cs="Arial"/>
                          <w:i/>
                          <w:color w:val="000000"/>
                          <w:sz w:val="24"/>
                          <w:szCs w:val="24"/>
                          <w:lang w:eastAsia="en-AU"/>
                        </w:rPr>
                        <w:t xml:space="preserve">The systematic process of using administrative directives, organizations, and operational skills and capacities to implement strategies, policies and improved coping capacities in order to lessen the adverse impacts of hazards and the possibility of disaster. </w:t>
                      </w:r>
                      <w:r w:rsidRPr="001C10F8">
                        <w:rPr>
                          <w:rFonts w:eastAsia="Times New Roman" w:cs="Arial"/>
                          <w:i/>
                          <w:color w:val="000000"/>
                          <w:sz w:val="24"/>
                          <w:szCs w:val="24"/>
                          <w:lang w:eastAsia="en-AU"/>
                        </w:rPr>
                        <w:br/>
                      </w:r>
                      <w:r w:rsidRPr="001C10F8">
                        <w:rPr>
                          <w:rFonts w:eastAsia="Times New Roman" w:cs="Arial"/>
                          <w:i/>
                          <w:color w:val="000000"/>
                          <w:sz w:val="24"/>
                          <w:szCs w:val="24"/>
                          <w:lang w:eastAsia="en-AU"/>
                        </w:rPr>
                        <w:br/>
                        <w:t>Comment: This term is an extension of the more general term “risk management” to address the specific issue of disaster risks. Disaster risk management aims to avoid, lessen or transfer the adverse effects of hazards through activities and measures for prevention, mitigation and preparedness.</w:t>
                      </w:r>
                    </w:p>
                    <w:p w14:paraId="2747BB00" w14:textId="30816791" w:rsidR="004D3B28" w:rsidRDefault="004D3B28" w:rsidP="006E248F">
                      <w:pPr>
                        <w:rPr>
                          <w:rFonts w:eastAsia="Times New Roman" w:cs="Arial"/>
                          <w:i/>
                          <w:color w:val="000000"/>
                          <w:sz w:val="24"/>
                          <w:szCs w:val="24"/>
                          <w:lang w:eastAsia="en-AU"/>
                        </w:rPr>
                      </w:pPr>
                      <w:r w:rsidRPr="001C10F8">
                        <w:rPr>
                          <w:rFonts w:eastAsia="Times New Roman" w:cs="Arial"/>
                          <w:bCs/>
                          <w:color w:val="003366"/>
                          <w:sz w:val="24"/>
                          <w:szCs w:val="24"/>
                          <w:lang w:eastAsia="en-AU"/>
                        </w:rPr>
                        <w:t>Disaster risk reduction</w:t>
                      </w:r>
                      <w:r>
                        <w:rPr>
                          <w:rFonts w:eastAsia="Times New Roman" w:cs="Arial"/>
                          <w:bCs/>
                          <w:color w:val="003366"/>
                          <w:sz w:val="24"/>
                          <w:szCs w:val="24"/>
                          <w:lang w:eastAsia="en-AU"/>
                        </w:rPr>
                        <w:t xml:space="preserve">: </w:t>
                      </w:r>
                      <w:r w:rsidRPr="001C10F8">
                        <w:rPr>
                          <w:rFonts w:eastAsia="Times New Roman" w:cs="Arial"/>
                          <w:i/>
                          <w:color w:val="000000"/>
                          <w:sz w:val="24"/>
                          <w:szCs w:val="24"/>
                          <w:lang w:eastAsia="en-AU"/>
                        </w:rPr>
                        <w:t>The concept and practice of reducing disaster risks through systematic efforts to analyse and manage the causal factors of disasters, including through reduced exposure to hazards, lessened vulnerability of people and property, wise management of land and the environment, and improved preparedness for adverse events. Note that while the term “disaster reduction” is sometimes used, the term “disaster risk reduction” provides a better recognition of the ongoing nature of disaster risks and the ongoing potential to reduce these risks.</w:t>
                      </w:r>
                    </w:p>
                    <w:p w14:paraId="69F7BE19" w14:textId="77777777" w:rsidR="004D3B28" w:rsidRDefault="004D3B28" w:rsidP="006E248F">
                      <w:pPr>
                        <w:rPr>
                          <w:rFonts w:eastAsia="Times New Roman" w:cs="Arial"/>
                          <w:i/>
                          <w:color w:val="000000"/>
                          <w:sz w:val="24"/>
                          <w:szCs w:val="24"/>
                          <w:lang w:eastAsia="en-AU"/>
                        </w:rPr>
                      </w:pPr>
                    </w:p>
                    <w:p w14:paraId="13B92B23" w14:textId="0532A758" w:rsidR="004D3B28" w:rsidRPr="006E248F" w:rsidRDefault="004D3B28" w:rsidP="006E248F">
                      <w:pPr>
                        <w:rPr>
                          <w:b/>
                        </w:rPr>
                      </w:pPr>
                      <w:r w:rsidRPr="006E248F">
                        <w:rPr>
                          <w:rFonts w:eastAsia="Times New Roman" w:cs="Arial"/>
                          <w:b/>
                          <w:i/>
                          <w:color w:val="000000"/>
                          <w:sz w:val="24"/>
                          <w:szCs w:val="24"/>
                          <w:lang w:eastAsia="en-AU"/>
                        </w:rPr>
                        <w:t>SOURCE: UNISDR retrieved from http://www.unisdr.org/we/inform/terminology</w:t>
                      </w:r>
                    </w:p>
                  </w:txbxContent>
                </v:textbox>
                <w10:wrap type="square"/>
              </v:shape>
            </w:pict>
          </mc:Fallback>
        </mc:AlternateContent>
      </w:r>
      <w:r>
        <w:br w:type="page"/>
      </w:r>
    </w:p>
    <w:p w14:paraId="65355F5C" w14:textId="3EAE7359" w:rsidR="00C13475" w:rsidRDefault="00C13475">
      <w:pPr>
        <w:rPr>
          <w:b/>
        </w:rPr>
      </w:pPr>
    </w:p>
    <w:p w14:paraId="6E5ECA62" w14:textId="39733D71" w:rsidR="00611CAA" w:rsidRPr="00705CFC" w:rsidRDefault="00C45908" w:rsidP="00705CFC">
      <w:pPr>
        <w:pStyle w:val="Heading1"/>
      </w:pPr>
      <w:bookmarkStart w:id="5" w:name="_Toc402431244"/>
      <w:r w:rsidRPr="00705CFC">
        <w:t>1.</w:t>
      </w:r>
      <w:r w:rsidRPr="00705CFC">
        <w:tab/>
      </w:r>
      <w:r w:rsidR="00611CAA" w:rsidRPr="00705CFC">
        <w:t>Introduction</w:t>
      </w:r>
      <w:bookmarkEnd w:id="5"/>
      <w:r w:rsidR="00611CAA" w:rsidRPr="00705CFC">
        <w:t xml:space="preserve"> </w:t>
      </w:r>
    </w:p>
    <w:p w14:paraId="6F87C761" w14:textId="77777777" w:rsidR="00AB1B22" w:rsidRPr="00AB1B22" w:rsidRDefault="00AB1B22" w:rsidP="00AB1B22">
      <w:pPr>
        <w:spacing w:after="0"/>
      </w:pPr>
    </w:p>
    <w:p w14:paraId="59C09402" w14:textId="458BF287" w:rsidR="00FB44E4" w:rsidRPr="00FB44E4" w:rsidRDefault="00741AD0" w:rsidP="007A35D3">
      <w:pPr>
        <w:rPr>
          <w:sz w:val="24"/>
          <w:szCs w:val="24"/>
        </w:rPr>
      </w:pPr>
      <w:r w:rsidRPr="00FB44E4">
        <w:rPr>
          <w:rFonts w:cs="AkzidenzGroteskBE-Regular"/>
          <w:sz w:val="24"/>
          <w:szCs w:val="24"/>
        </w:rPr>
        <w:t xml:space="preserve">Spread across a chain of thousands of Islands between Asia and Australia, Indonesia is one of the most disaster prone countries in the world. </w:t>
      </w:r>
      <w:r w:rsidR="009C14EC" w:rsidRPr="00FB44E4">
        <w:rPr>
          <w:rFonts w:cs="AkzidenzGroteskBE-Regular"/>
          <w:sz w:val="24"/>
          <w:szCs w:val="24"/>
        </w:rPr>
        <w:t xml:space="preserve">The country is exposed to multiple hazards such as earthquakes, tsunamis, volcanic eruptions, forest fires, floods and landslides. </w:t>
      </w:r>
      <w:r w:rsidR="00706448" w:rsidRPr="00FB44E4">
        <w:rPr>
          <w:rFonts w:cs="AkzidenzGroteskBE-Regular"/>
          <w:sz w:val="24"/>
          <w:szCs w:val="24"/>
        </w:rPr>
        <w:t xml:space="preserve">Increasing disaster risks in Indonesia are driven by the twin challenge of increasing exposure of its population and economic assets, and the inability of the most vulnerable to cope with disaster shocks. </w:t>
      </w:r>
      <w:r w:rsidR="00FB44E4" w:rsidRPr="00FB44E4">
        <w:rPr>
          <w:rFonts w:cs="AkzidenzGroteskBE-Regular"/>
          <w:sz w:val="24"/>
          <w:szCs w:val="24"/>
        </w:rPr>
        <w:t xml:space="preserve">Acknowledging </w:t>
      </w:r>
      <w:r w:rsidR="002C0998">
        <w:rPr>
          <w:rFonts w:cs="AkzidenzGroteskBE-Regular"/>
          <w:sz w:val="24"/>
          <w:szCs w:val="24"/>
        </w:rPr>
        <w:t xml:space="preserve">that natural </w:t>
      </w:r>
      <w:r w:rsidR="00FB44E4" w:rsidRPr="00FB44E4">
        <w:rPr>
          <w:rFonts w:cs="AkzidenzGroteskBE-Regular"/>
          <w:sz w:val="24"/>
          <w:szCs w:val="24"/>
        </w:rPr>
        <w:t>disaster</w:t>
      </w:r>
      <w:r w:rsidR="002C0998">
        <w:rPr>
          <w:rFonts w:cs="AkzidenzGroteskBE-Regular"/>
          <w:sz w:val="24"/>
          <w:szCs w:val="24"/>
        </w:rPr>
        <w:t>s</w:t>
      </w:r>
      <w:r w:rsidR="00FB44E4" w:rsidRPr="00FB44E4">
        <w:rPr>
          <w:rFonts w:cs="AkzidenzGroteskBE-Regular"/>
          <w:sz w:val="24"/>
          <w:szCs w:val="24"/>
        </w:rPr>
        <w:t xml:space="preserve"> </w:t>
      </w:r>
      <w:r w:rsidR="002C0998">
        <w:rPr>
          <w:rFonts w:cs="AkzidenzGroteskBE-Regular"/>
          <w:sz w:val="24"/>
          <w:szCs w:val="24"/>
        </w:rPr>
        <w:t>are a</w:t>
      </w:r>
      <w:r w:rsidR="00FB44E4" w:rsidRPr="00FB44E4">
        <w:rPr>
          <w:rFonts w:cs="AkzidenzGroteskBE-Regular"/>
          <w:sz w:val="24"/>
          <w:szCs w:val="24"/>
        </w:rPr>
        <w:t xml:space="preserve"> real and ever present threat to Indonesia’s development the Government of </w:t>
      </w:r>
      <w:r w:rsidR="00692A07" w:rsidRPr="00FB44E4">
        <w:rPr>
          <w:rFonts w:cs="AkzidenzGroteskBE-Regular"/>
          <w:sz w:val="24"/>
          <w:szCs w:val="24"/>
        </w:rPr>
        <w:t>Indonesia</w:t>
      </w:r>
      <w:r w:rsidR="00692A07">
        <w:rPr>
          <w:rFonts w:cs="AkzidenzGroteskBE-Regular"/>
          <w:sz w:val="24"/>
          <w:szCs w:val="24"/>
        </w:rPr>
        <w:t xml:space="preserve"> (GoI) </w:t>
      </w:r>
      <w:r w:rsidR="00FB44E4" w:rsidRPr="00FB44E4">
        <w:rPr>
          <w:rFonts w:cs="AkzidenzGroteskBE-Regular"/>
          <w:sz w:val="24"/>
          <w:szCs w:val="24"/>
        </w:rPr>
        <w:t xml:space="preserve">includes </w:t>
      </w:r>
      <w:r w:rsidR="00FB44E4" w:rsidRPr="00FB44E4">
        <w:rPr>
          <w:sz w:val="24"/>
          <w:szCs w:val="24"/>
        </w:rPr>
        <w:t xml:space="preserve">disaster management as one of </w:t>
      </w:r>
      <w:r w:rsidR="002C0998">
        <w:rPr>
          <w:sz w:val="24"/>
          <w:szCs w:val="24"/>
        </w:rPr>
        <w:t>its’</w:t>
      </w:r>
      <w:r w:rsidR="00FB44E4" w:rsidRPr="00FB44E4">
        <w:rPr>
          <w:sz w:val="24"/>
          <w:szCs w:val="24"/>
        </w:rPr>
        <w:t xml:space="preserve"> top eleven </w:t>
      </w:r>
      <w:r w:rsidR="00184DAF">
        <w:rPr>
          <w:sz w:val="24"/>
          <w:szCs w:val="24"/>
        </w:rPr>
        <w:t xml:space="preserve">development </w:t>
      </w:r>
      <w:r w:rsidR="00FB44E4" w:rsidRPr="00FB44E4">
        <w:rPr>
          <w:sz w:val="24"/>
          <w:szCs w:val="24"/>
        </w:rPr>
        <w:t>priorities</w:t>
      </w:r>
      <w:r w:rsidR="00184DAF">
        <w:rPr>
          <w:rStyle w:val="FootnoteReference"/>
          <w:sz w:val="24"/>
          <w:szCs w:val="24"/>
        </w:rPr>
        <w:footnoteReference w:id="1"/>
      </w:r>
      <w:r w:rsidR="00184DAF">
        <w:rPr>
          <w:sz w:val="24"/>
          <w:szCs w:val="24"/>
        </w:rPr>
        <w:t>.</w:t>
      </w:r>
      <w:r w:rsidR="00FB44E4" w:rsidRPr="00FB44E4">
        <w:rPr>
          <w:sz w:val="24"/>
          <w:szCs w:val="24"/>
        </w:rPr>
        <w:t xml:space="preserve"> </w:t>
      </w:r>
    </w:p>
    <w:p w14:paraId="44073C27" w14:textId="069BDD8E" w:rsidR="009475DD" w:rsidRDefault="00EE501E" w:rsidP="00E41740">
      <w:pPr>
        <w:rPr>
          <w:rFonts w:cs="Century"/>
          <w:sz w:val="24"/>
          <w:szCs w:val="24"/>
        </w:rPr>
      </w:pPr>
      <w:r>
        <w:rPr>
          <w:rFonts w:cs="Century"/>
          <w:sz w:val="24"/>
          <w:szCs w:val="24"/>
        </w:rPr>
        <w:t xml:space="preserve">Australia has </w:t>
      </w:r>
      <w:r w:rsidR="00EB4F0B">
        <w:rPr>
          <w:rFonts w:cs="Century"/>
          <w:sz w:val="24"/>
          <w:szCs w:val="24"/>
        </w:rPr>
        <w:t xml:space="preserve">a history of supporting </w:t>
      </w:r>
      <w:r w:rsidR="002052CC">
        <w:rPr>
          <w:rFonts w:cs="Century"/>
          <w:sz w:val="24"/>
          <w:szCs w:val="24"/>
        </w:rPr>
        <w:t xml:space="preserve">its near neighbour </w:t>
      </w:r>
      <w:r w:rsidR="00EB4F0B">
        <w:rPr>
          <w:rFonts w:cs="Century"/>
          <w:sz w:val="24"/>
          <w:szCs w:val="24"/>
        </w:rPr>
        <w:t>in times of disaster,</w:t>
      </w:r>
      <w:r>
        <w:rPr>
          <w:rFonts w:cs="Century"/>
          <w:sz w:val="24"/>
          <w:szCs w:val="24"/>
        </w:rPr>
        <w:t xml:space="preserve"> most notably </w:t>
      </w:r>
      <w:r w:rsidR="002052CC">
        <w:rPr>
          <w:rFonts w:cs="Century"/>
          <w:sz w:val="24"/>
          <w:szCs w:val="24"/>
        </w:rPr>
        <w:t xml:space="preserve">in </w:t>
      </w:r>
      <w:r>
        <w:rPr>
          <w:rFonts w:cs="Century"/>
          <w:sz w:val="24"/>
          <w:szCs w:val="24"/>
        </w:rPr>
        <w:t xml:space="preserve">response to the </w:t>
      </w:r>
      <w:r w:rsidR="009475DD">
        <w:rPr>
          <w:rFonts w:cs="Century"/>
          <w:sz w:val="24"/>
          <w:szCs w:val="24"/>
        </w:rPr>
        <w:t xml:space="preserve">catastrophic impacts of the </w:t>
      </w:r>
      <w:r>
        <w:rPr>
          <w:rFonts w:cs="Century"/>
          <w:sz w:val="24"/>
          <w:szCs w:val="24"/>
        </w:rPr>
        <w:t>Indian Ocean Tsunami in 2004</w:t>
      </w:r>
      <w:r w:rsidR="005D1630">
        <w:rPr>
          <w:rFonts w:cs="Century"/>
          <w:sz w:val="24"/>
          <w:szCs w:val="24"/>
        </w:rPr>
        <w:t xml:space="preserve">. </w:t>
      </w:r>
      <w:r w:rsidR="00E41740">
        <w:rPr>
          <w:rFonts w:cs="Century"/>
          <w:sz w:val="24"/>
          <w:szCs w:val="24"/>
        </w:rPr>
        <w:t>This mega</w:t>
      </w:r>
      <w:r w:rsidR="00007C7C">
        <w:rPr>
          <w:rFonts w:cs="Century"/>
          <w:sz w:val="24"/>
          <w:szCs w:val="24"/>
        </w:rPr>
        <w:t>-</w:t>
      </w:r>
      <w:r w:rsidR="00E41740">
        <w:rPr>
          <w:rFonts w:cs="Century"/>
          <w:sz w:val="24"/>
          <w:szCs w:val="24"/>
        </w:rPr>
        <w:t xml:space="preserve">disaster was </w:t>
      </w:r>
      <w:r w:rsidR="009475DD">
        <w:rPr>
          <w:rFonts w:cs="Century"/>
          <w:sz w:val="24"/>
          <w:szCs w:val="24"/>
        </w:rPr>
        <w:t xml:space="preserve">the </w:t>
      </w:r>
      <w:r w:rsidR="00E41740">
        <w:rPr>
          <w:rFonts w:cs="Century"/>
          <w:sz w:val="24"/>
          <w:szCs w:val="24"/>
        </w:rPr>
        <w:t xml:space="preserve">catalyst for </w:t>
      </w:r>
      <w:r w:rsidR="007250A2">
        <w:rPr>
          <w:rFonts w:cs="Century"/>
          <w:sz w:val="24"/>
          <w:szCs w:val="24"/>
        </w:rPr>
        <w:t xml:space="preserve">a </w:t>
      </w:r>
      <w:r w:rsidR="009432B1">
        <w:rPr>
          <w:rFonts w:cs="Century"/>
          <w:sz w:val="24"/>
          <w:szCs w:val="24"/>
        </w:rPr>
        <w:t>massive</w:t>
      </w:r>
      <w:r w:rsidR="007250A2">
        <w:rPr>
          <w:rFonts w:cs="Century"/>
          <w:sz w:val="24"/>
          <w:szCs w:val="24"/>
        </w:rPr>
        <w:t xml:space="preserve"> </w:t>
      </w:r>
      <w:r w:rsidR="009475DD">
        <w:rPr>
          <w:rFonts w:cs="Century"/>
          <w:sz w:val="24"/>
          <w:szCs w:val="24"/>
        </w:rPr>
        <w:t xml:space="preserve">shift in </w:t>
      </w:r>
      <w:r w:rsidR="007250A2">
        <w:rPr>
          <w:rFonts w:cs="Century"/>
          <w:sz w:val="24"/>
          <w:szCs w:val="24"/>
        </w:rPr>
        <w:t xml:space="preserve">consciousness around </w:t>
      </w:r>
      <w:r w:rsidR="005F0D5A">
        <w:rPr>
          <w:rFonts w:cs="Century"/>
          <w:sz w:val="24"/>
          <w:szCs w:val="24"/>
        </w:rPr>
        <w:t>the need</w:t>
      </w:r>
      <w:r w:rsidR="007250A2">
        <w:rPr>
          <w:rFonts w:cs="Century"/>
          <w:sz w:val="24"/>
          <w:szCs w:val="24"/>
        </w:rPr>
        <w:t xml:space="preserve"> for countries to invest in </w:t>
      </w:r>
      <w:r w:rsidR="005F0D5A">
        <w:rPr>
          <w:rFonts w:cs="Century"/>
          <w:sz w:val="24"/>
          <w:szCs w:val="24"/>
        </w:rPr>
        <w:t xml:space="preserve">reducing the risk of disasters and </w:t>
      </w:r>
      <w:r w:rsidR="007250A2">
        <w:rPr>
          <w:rFonts w:cs="Century"/>
          <w:sz w:val="24"/>
          <w:szCs w:val="24"/>
        </w:rPr>
        <w:t>mitigating disaster impacts through better preparedness and risk</w:t>
      </w:r>
      <w:r w:rsidR="009475DD">
        <w:rPr>
          <w:rFonts w:cs="Century"/>
          <w:sz w:val="24"/>
          <w:szCs w:val="24"/>
        </w:rPr>
        <w:t xml:space="preserve"> reduction efforts</w:t>
      </w:r>
      <w:r w:rsidR="007250A2">
        <w:rPr>
          <w:rFonts w:cs="Century"/>
          <w:sz w:val="24"/>
          <w:szCs w:val="24"/>
        </w:rPr>
        <w:t xml:space="preserve">. </w:t>
      </w:r>
      <w:r w:rsidR="00007C7C">
        <w:rPr>
          <w:rFonts w:cs="Century"/>
          <w:sz w:val="24"/>
          <w:szCs w:val="24"/>
        </w:rPr>
        <w:t xml:space="preserve">This shift was </w:t>
      </w:r>
      <w:r w:rsidR="00D00B8F">
        <w:rPr>
          <w:rFonts w:cs="Century"/>
          <w:sz w:val="24"/>
          <w:szCs w:val="24"/>
        </w:rPr>
        <w:t>evident</w:t>
      </w:r>
      <w:r w:rsidR="00007C7C">
        <w:rPr>
          <w:rFonts w:cs="Century"/>
          <w:sz w:val="24"/>
          <w:szCs w:val="24"/>
        </w:rPr>
        <w:t xml:space="preserve"> in the </w:t>
      </w:r>
      <w:r w:rsidR="00007C7C" w:rsidRPr="009A2E2B">
        <w:rPr>
          <w:rFonts w:cs="Century"/>
          <w:i/>
          <w:sz w:val="24"/>
          <w:szCs w:val="24"/>
        </w:rPr>
        <w:t>Hyogo Framework for Action 2005-2015</w:t>
      </w:r>
      <w:r w:rsidR="00D00B8F">
        <w:rPr>
          <w:rStyle w:val="FootnoteReference"/>
          <w:rFonts w:cs="Century"/>
          <w:sz w:val="24"/>
          <w:szCs w:val="24"/>
        </w:rPr>
        <w:footnoteReference w:id="2"/>
      </w:r>
      <w:r w:rsidR="00007C7C">
        <w:rPr>
          <w:rFonts w:cs="Century"/>
          <w:sz w:val="24"/>
          <w:szCs w:val="24"/>
        </w:rPr>
        <w:t xml:space="preserve"> </w:t>
      </w:r>
      <w:r w:rsidR="00B762D4">
        <w:rPr>
          <w:rFonts w:cs="Century"/>
          <w:sz w:val="24"/>
          <w:szCs w:val="24"/>
        </w:rPr>
        <w:t xml:space="preserve">(HFA) </w:t>
      </w:r>
      <w:r w:rsidR="00007C7C">
        <w:rPr>
          <w:rFonts w:cs="Century"/>
          <w:sz w:val="24"/>
          <w:szCs w:val="24"/>
        </w:rPr>
        <w:t>endorsed by 160 member states barely one month after the Indian Ocean Tsunami.</w:t>
      </w:r>
    </w:p>
    <w:p w14:paraId="3BD98CEF" w14:textId="7CEC4999" w:rsidR="001B4C0C" w:rsidRDefault="0039679C" w:rsidP="00714616">
      <w:pPr>
        <w:rPr>
          <w:rFonts w:cs="Arial"/>
          <w:color w:val="000000" w:themeColor="text1"/>
          <w:sz w:val="24"/>
          <w:szCs w:val="24"/>
          <w:lang w:val="en-US"/>
        </w:rPr>
      </w:pPr>
      <w:r>
        <w:rPr>
          <w:rFonts w:cs="Century"/>
          <w:sz w:val="24"/>
          <w:szCs w:val="24"/>
        </w:rPr>
        <w:t>In 2008</w:t>
      </w:r>
      <w:r w:rsidR="00D00B8F">
        <w:rPr>
          <w:rFonts w:cs="Century"/>
          <w:sz w:val="24"/>
          <w:szCs w:val="24"/>
        </w:rPr>
        <w:t>,</w:t>
      </w:r>
      <w:r>
        <w:rPr>
          <w:rFonts w:cs="Century"/>
          <w:sz w:val="24"/>
          <w:szCs w:val="24"/>
        </w:rPr>
        <w:t xml:space="preserve"> the Government</w:t>
      </w:r>
      <w:r w:rsidR="00D00B8F">
        <w:rPr>
          <w:rFonts w:cs="Century"/>
          <w:sz w:val="24"/>
          <w:szCs w:val="24"/>
        </w:rPr>
        <w:t>s</w:t>
      </w:r>
      <w:r>
        <w:rPr>
          <w:rFonts w:cs="Century"/>
          <w:sz w:val="24"/>
          <w:szCs w:val="24"/>
        </w:rPr>
        <w:t xml:space="preserve"> of </w:t>
      </w:r>
      <w:r w:rsidR="00E41740">
        <w:rPr>
          <w:rFonts w:cs="Century"/>
          <w:sz w:val="24"/>
          <w:szCs w:val="24"/>
        </w:rPr>
        <w:t xml:space="preserve">Australia </w:t>
      </w:r>
      <w:r w:rsidR="00692A07">
        <w:rPr>
          <w:rFonts w:cs="Century"/>
          <w:sz w:val="24"/>
          <w:szCs w:val="24"/>
        </w:rPr>
        <w:t xml:space="preserve">(GoA) </w:t>
      </w:r>
      <w:r w:rsidR="00E41740">
        <w:rPr>
          <w:rFonts w:cs="Century"/>
          <w:sz w:val="24"/>
          <w:szCs w:val="24"/>
        </w:rPr>
        <w:t xml:space="preserve">and Indonesia announced the establishment of </w:t>
      </w:r>
      <w:r w:rsidR="000207B5">
        <w:rPr>
          <w:rFonts w:cs="Century"/>
          <w:sz w:val="24"/>
          <w:szCs w:val="24"/>
        </w:rPr>
        <w:t>the Australia</w:t>
      </w:r>
      <w:r w:rsidR="001B4C0C">
        <w:rPr>
          <w:rFonts w:cs="Century"/>
          <w:sz w:val="24"/>
          <w:szCs w:val="24"/>
        </w:rPr>
        <w:t>-</w:t>
      </w:r>
      <w:r w:rsidR="007250A2" w:rsidRPr="00531875">
        <w:rPr>
          <w:rFonts w:cs="Arial"/>
          <w:color w:val="000000" w:themeColor="text1"/>
          <w:sz w:val="24"/>
          <w:szCs w:val="24"/>
          <w:lang w:val="en-US"/>
        </w:rPr>
        <w:t>Indonesia Facility for Disaster Reduction (AIFDR)</w:t>
      </w:r>
      <w:r w:rsidR="00C66596">
        <w:rPr>
          <w:rFonts w:cs="Arial"/>
          <w:color w:val="000000" w:themeColor="text1"/>
          <w:sz w:val="24"/>
          <w:szCs w:val="24"/>
          <w:lang w:val="en-US"/>
        </w:rPr>
        <w:t xml:space="preserve">. </w:t>
      </w:r>
      <w:r w:rsidR="001B4C0C">
        <w:rPr>
          <w:rFonts w:cs="Arial"/>
          <w:color w:val="000000" w:themeColor="text1"/>
          <w:sz w:val="24"/>
          <w:szCs w:val="24"/>
          <w:lang w:val="en-US"/>
        </w:rPr>
        <w:t>AIFDR was the manifestation of a political commitment on behalf of</w:t>
      </w:r>
      <w:r w:rsidR="00A423A6">
        <w:rPr>
          <w:rFonts w:cs="Arial"/>
          <w:color w:val="000000" w:themeColor="text1"/>
          <w:sz w:val="24"/>
          <w:szCs w:val="24"/>
          <w:lang w:val="en-US"/>
        </w:rPr>
        <w:t xml:space="preserve"> Australia and Indonesia t</w:t>
      </w:r>
      <w:r w:rsidR="001B4C0C">
        <w:rPr>
          <w:rFonts w:cs="Arial"/>
          <w:color w:val="000000" w:themeColor="text1"/>
          <w:sz w:val="24"/>
          <w:szCs w:val="24"/>
          <w:lang w:val="en-US"/>
        </w:rPr>
        <w:t>o support the Asia region</w:t>
      </w:r>
      <w:r w:rsidR="00A423A6">
        <w:rPr>
          <w:rFonts w:cs="Arial"/>
          <w:color w:val="000000" w:themeColor="text1"/>
          <w:sz w:val="24"/>
          <w:szCs w:val="24"/>
          <w:lang w:val="en-US"/>
        </w:rPr>
        <w:t xml:space="preserve"> to </w:t>
      </w:r>
      <w:r w:rsidR="00714616">
        <w:rPr>
          <w:rFonts w:cs="Arial"/>
          <w:color w:val="000000" w:themeColor="text1"/>
          <w:sz w:val="24"/>
          <w:szCs w:val="24"/>
          <w:lang w:val="en-US"/>
        </w:rPr>
        <w:t xml:space="preserve">reduce disaster risk and </w:t>
      </w:r>
      <w:r w:rsidR="000A5406">
        <w:rPr>
          <w:rFonts w:cs="Arial"/>
          <w:color w:val="000000" w:themeColor="text1"/>
          <w:sz w:val="24"/>
          <w:szCs w:val="24"/>
          <w:lang w:val="en-US"/>
        </w:rPr>
        <w:t>strengthen</w:t>
      </w:r>
      <w:r w:rsidR="00714616">
        <w:rPr>
          <w:rFonts w:cs="Arial"/>
          <w:color w:val="000000" w:themeColor="text1"/>
          <w:sz w:val="24"/>
          <w:szCs w:val="24"/>
          <w:lang w:val="en-US"/>
        </w:rPr>
        <w:t xml:space="preserve"> regional disaster management </w:t>
      </w:r>
      <w:r w:rsidR="000A5406">
        <w:rPr>
          <w:rFonts w:cs="Arial"/>
          <w:color w:val="000000" w:themeColor="text1"/>
          <w:sz w:val="24"/>
          <w:szCs w:val="24"/>
          <w:lang w:val="en-US"/>
        </w:rPr>
        <w:t>capabilities</w:t>
      </w:r>
      <w:r w:rsidR="00714616">
        <w:rPr>
          <w:rFonts w:cs="Arial"/>
          <w:color w:val="000000" w:themeColor="text1"/>
          <w:sz w:val="24"/>
          <w:szCs w:val="24"/>
          <w:lang w:val="en-US"/>
        </w:rPr>
        <w:t xml:space="preserve">. The focus quickly </w:t>
      </w:r>
      <w:r w:rsidR="00D00B8F">
        <w:rPr>
          <w:rFonts w:cs="Arial"/>
          <w:color w:val="000000" w:themeColor="text1"/>
          <w:sz w:val="24"/>
          <w:szCs w:val="24"/>
          <w:lang w:val="en-US"/>
        </w:rPr>
        <w:t xml:space="preserve">became </w:t>
      </w:r>
      <w:r w:rsidR="00714616">
        <w:rPr>
          <w:rFonts w:cs="Arial"/>
          <w:color w:val="000000" w:themeColor="text1"/>
          <w:sz w:val="24"/>
          <w:szCs w:val="24"/>
          <w:lang w:val="en-US"/>
        </w:rPr>
        <w:t xml:space="preserve">primarily </w:t>
      </w:r>
      <w:r w:rsidR="009432B1">
        <w:rPr>
          <w:rFonts w:cs="Arial"/>
          <w:color w:val="000000" w:themeColor="text1"/>
          <w:sz w:val="24"/>
          <w:szCs w:val="24"/>
          <w:lang w:val="en-US"/>
        </w:rPr>
        <w:t xml:space="preserve">a </w:t>
      </w:r>
      <w:r w:rsidR="00714616">
        <w:rPr>
          <w:rFonts w:cs="Arial"/>
          <w:color w:val="000000" w:themeColor="text1"/>
          <w:sz w:val="24"/>
          <w:szCs w:val="24"/>
          <w:lang w:val="en-US"/>
        </w:rPr>
        <w:t>bi-lateral partnership between Australia and Indonesia</w:t>
      </w:r>
      <w:r w:rsidR="009432B1">
        <w:rPr>
          <w:rFonts w:cs="Arial"/>
          <w:color w:val="000000" w:themeColor="text1"/>
          <w:sz w:val="24"/>
          <w:szCs w:val="24"/>
          <w:lang w:val="en-US"/>
        </w:rPr>
        <w:t xml:space="preserve"> to support Indonesia’s newly established </w:t>
      </w:r>
      <w:r w:rsidR="009432B1">
        <w:rPr>
          <w:rFonts w:cs="Century"/>
          <w:sz w:val="24"/>
          <w:szCs w:val="24"/>
        </w:rPr>
        <w:t xml:space="preserve">national disaster management agency, </w:t>
      </w:r>
      <w:r w:rsidR="009432B1" w:rsidRPr="009475DD">
        <w:rPr>
          <w:rFonts w:cs="Century"/>
          <w:i/>
          <w:sz w:val="24"/>
          <w:szCs w:val="24"/>
        </w:rPr>
        <w:t xml:space="preserve">Badan Nasional Penanggulangan Bencane </w:t>
      </w:r>
      <w:r w:rsidR="009432B1">
        <w:rPr>
          <w:rFonts w:cs="Century"/>
          <w:sz w:val="24"/>
          <w:szCs w:val="24"/>
        </w:rPr>
        <w:t>(BNPB).</w:t>
      </w:r>
      <w:r w:rsidR="00714616">
        <w:rPr>
          <w:rFonts w:cs="Arial"/>
          <w:color w:val="000000" w:themeColor="text1"/>
          <w:sz w:val="24"/>
          <w:szCs w:val="24"/>
          <w:lang w:val="en-US"/>
        </w:rPr>
        <w:t xml:space="preserve"> </w:t>
      </w:r>
    </w:p>
    <w:p w14:paraId="0A8F3E7B" w14:textId="1C323C55" w:rsidR="00C66596" w:rsidRDefault="001B4C0C" w:rsidP="00E41740">
      <w:pPr>
        <w:rPr>
          <w:rFonts w:cs="Arial"/>
          <w:color w:val="000000" w:themeColor="text1"/>
          <w:sz w:val="24"/>
          <w:szCs w:val="24"/>
          <w:lang w:val="en-US"/>
        </w:rPr>
      </w:pPr>
      <w:r w:rsidRPr="00531875">
        <w:rPr>
          <w:rFonts w:cs="Arial"/>
          <w:color w:val="000000" w:themeColor="text1"/>
          <w:sz w:val="24"/>
          <w:szCs w:val="24"/>
          <w:lang w:val="en-US"/>
        </w:rPr>
        <w:t xml:space="preserve">AIFDR represents Australia’s largest </w:t>
      </w:r>
      <w:r>
        <w:rPr>
          <w:rFonts w:cs="Arial"/>
          <w:color w:val="000000" w:themeColor="text1"/>
          <w:sz w:val="24"/>
          <w:szCs w:val="24"/>
          <w:lang w:val="en-US"/>
        </w:rPr>
        <w:t>investment in disaster risk reduction</w:t>
      </w:r>
      <w:r w:rsidRPr="00531875">
        <w:rPr>
          <w:rFonts w:cs="Arial"/>
          <w:color w:val="000000" w:themeColor="text1"/>
          <w:sz w:val="24"/>
          <w:szCs w:val="24"/>
          <w:lang w:val="en-US"/>
        </w:rPr>
        <w:t xml:space="preserve"> </w:t>
      </w:r>
      <w:r>
        <w:rPr>
          <w:rFonts w:cs="Arial"/>
          <w:color w:val="000000" w:themeColor="text1"/>
          <w:sz w:val="24"/>
          <w:szCs w:val="24"/>
          <w:lang w:val="en-US"/>
        </w:rPr>
        <w:t xml:space="preserve">(DRR) and is a core component of Australia’s bi-lateral development program in Indonesia. </w:t>
      </w:r>
      <w:r w:rsidR="00C66596">
        <w:rPr>
          <w:rFonts w:cs="Arial"/>
          <w:color w:val="000000" w:themeColor="text1"/>
          <w:sz w:val="24"/>
          <w:szCs w:val="24"/>
          <w:lang w:val="en-US"/>
        </w:rPr>
        <w:t xml:space="preserve">The goal of AIFDR is to </w:t>
      </w:r>
      <w:r w:rsidR="00C66596" w:rsidRPr="00C66596">
        <w:rPr>
          <w:rFonts w:cs="Arial"/>
          <w:i/>
          <w:color w:val="000000" w:themeColor="text1"/>
          <w:sz w:val="24"/>
          <w:szCs w:val="24"/>
          <w:lang w:val="en-US"/>
        </w:rPr>
        <w:t>“strengthen national and local capacity in disaster management in Indonesia, and promotion of a more disaster resilient region”.</w:t>
      </w:r>
      <w:r w:rsidR="00C66596">
        <w:rPr>
          <w:rFonts w:cs="Arial"/>
          <w:color w:val="000000" w:themeColor="text1"/>
          <w:sz w:val="24"/>
          <w:szCs w:val="24"/>
          <w:lang w:val="en-US"/>
        </w:rPr>
        <w:t xml:space="preserve"> </w:t>
      </w:r>
    </w:p>
    <w:p w14:paraId="3E749BB7" w14:textId="156AED18" w:rsidR="007250A2" w:rsidRDefault="00D47DD2" w:rsidP="00E41740">
      <w:pPr>
        <w:rPr>
          <w:rFonts w:cs="Arial"/>
          <w:color w:val="000000" w:themeColor="text1"/>
          <w:sz w:val="24"/>
          <w:szCs w:val="24"/>
          <w:lang w:val="en-US"/>
        </w:rPr>
      </w:pPr>
      <w:r>
        <w:rPr>
          <w:rFonts w:cs="Arial"/>
          <w:color w:val="000000" w:themeColor="text1"/>
          <w:sz w:val="24"/>
          <w:szCs w:val="24"/>
          <w:lang w:val="en-US"/>
        </w:rPr>
        <w:t xml:space="preserve">AIFDR is co-managed by </w:t>
      </w:r>
      <w:r w:rsidR="007B7F8E">
        <w:rPr>
          <w:sz w:val="24"/>
          <w:szCs w:val="24"/>
        </w:rPr>
        <w:t>t</w:t>
      </w:r>
      <w:r w:rsidR="007B7F8E" w:rsidRPr="00531875">
        <w:rPr>
          <w:sz w:val="24"/>
          <w:szCs w:val="24"/>
        </w:rPr>
        <w:t>he Department of Foreign Affairs and Trade (DFAT</w:t>
      </w:r>
      <w:r w:rsidR="007B7F8E">
        <w:rPr>
          <w:rFonts w:cs="Arial"/>
          <w:color w:val="000000" w:themeColor="text1"/>
          <w:sz w:val="24"/>
          <w:szCs w:val="24"/>
          <w:lang w:val="en-US"/>
        </w:rPr>
        <w:t xml:space="preserve">) </w:t>
      </w:r>
      <w:r>
        <w:rPr>
          <w:rFonts w:cs="Arial"/>
          <w:color w:val="000000" w:themeColor="text1"/>
          <w:sz w:val="24"/>
          <w:szCs w:val="24"/>
          <w:lang w:val="en-US"/>
        </w:rPr>
        <w:t xml:space="preserve">and </w:t>
      </w:r>
      <w:r w:rsidR="001E2F81">
        <w:rPr>
          <w:rFonts w:cs="Arial"/>
          <w:color w:val="000000" w:themeColor="text1"/>
          <w:sz w:val="24"/>
          <w:szCs w:val="24"/>
          <w:lang w:val="en-US"/>
        </w:rPr>
        <w:t>BNPB</w:t>
      </w:r>
      <w:r w:rsidR="00A96463">
        <w:rPr>
          <w:rFonts w:cs="Arial"/>
          <w:color w:val="000000" w:themeColor="text1"/>
          <w:sz w:val="24"/>
          <w:szCs w:val="24"/>
          <w:lang w:val="en-US"/>
        </w:rPr>
        <w:t xml:space="preserve">. </w:t>
      </w:r>
      <w:r w:rsidR="003D0335">
        <w:rPr>
          <w:rFonts w:cs="Arial"/>
          <w:color w:val="000000" w:themeColor="text1"/>
          <w:sz w:val="24"/>
          <w:szCs w:val="24"/>
          <w:lang w:val="en-US"/>
        </w:rPr>
        <w:t xml:space="preserve">AIFDR work programs and funding decisions are developed and jointly agreed by DFAT and BNPB. </w:t>
      </w:r>
      <w:r w:rsidR="007B7F8E">
        <w:rPr>
          <w:rFonts w:cs="Arial"/>
          <w:color w:val="000000" w:themeColor="text1"/>
          <w:sz w:val="24"/>
          <w:szCs w:val="24"/>
          <w:lang w:val="en-US"/>
        </w:rPr>
        <w:t xml:space="preserve">The </w:t>
      </w:r>
      <w:r w:rsidR="001E2F81">
        <w:rPr>
          <w:rFonts w:cs="Arial"/>
          <w:color w:val="000000" w:themeColor="text1"/>
          <w:sz w:val="24"/>
          <w:szCs w:val="24"/>
          <w:lang w:val="en-US"/>
        </w:rPr>
        <w:t xml:space="preserve">facility </w:t>
      </w:r>
      <w:r w:rsidR="00A96463">
        <w:rPr>
          <w:rFonts w:cs="Arial"/>
          <w:color w:val="000000" w:themeColor="text1"/>
          <w:sz w:val="24"/>
          <w:szCs w:val="24"/>
          <w:lang w:val="en-US"/>
        </w:rPr>
        <w:t>c</w:t>
      </w:r>
      <w:r w:rsidR="00C66596">
        <w:rPr>
          <w:rFonts w:cs="Arial"/>
          <w:color w:val="000000" w:themeColor="text1"/>
          <w:sz w:val="24"/>
          <w:szCs w:val="24"/>
          <w:lang w:val="en-US"/>
        </w:rPr>
        <w:t>ommenced operations in April 2009</w:t>
      </w:r>
      <w:r w:rsidR="00A96463">
        <w:rPr>
          <w:rFonts w:cs="Arial"/>
          <w:color w:val="000000" w:themeColor="text1"/>
          <w:sz w:val="24"/>
          <w:szCs w:val="24"/>
          <w:lang w:val="en-US"/>
        </w:rPr>
        <w:t xml:space="preserve"> </w:t>
      </w:r>
      <w:r w:rsidR="001E2F81">
        <w:rPr>
          <w:rFonts w:cs="Arial"/>
          <w:color w:val="000000" w:themeColor="text1"/>
          <w:sz w:val="24"/>
          <w:szCs w:val="24"/>
          <w:lang w:val="en-US"/>
        </w:rPr>
        <w:t xml:space="preserve">and formally </w:t>
      </w:r>
      <w:r w:rsidR="007B7F8E">
        <w:rPr>
          <w:rFonts w:cs="Arial"/>
          <w:color w:val="000000" w:themeColor="text1"/>
          <w:sz w:val="24"/>
          <w:szCs w:val="24"/>
          <w:lang w:val="en-US"/>
        </w:rPr>
        <w:t>conclude</w:t>
      </w:r>
      <w:r w:rsidR="004C0E41">
        <w:rPr>
          <w:rFonts w:cs="Arial"/>
          <w:color w:val="000000" w:themeColor="text1"/>
          <w:sz w:val="24"/>
          <w:szCs w:val="24"/>
          <w:lang w:val="en-US"/>
        </w:rPr>
        <w:t>d</w:t>
      </w:r>
      <w:r w:rsidR="007B7F8E">
        <w:rPr>
          <w:rFonts w:cs="Arial"/>
          <w:color w:val="000000" w:themeColor="text1"/>
          <w:sz w:val="24"/>
          <w:szCs w:val="24"/>
          <w:lang w:val="en-US"/>
        </w:rPr>
        <w:t xml:space="preserve"> on </w:t>
      </w:r>
      <w:r w:rsidR="004C0E41">
        <w:rPr>
          <w:rFonts w:cs="Arial"/>
          <w:color w:val="000000" w:themeColor="text1"/>
          <w:sz w:val="24"/>
          <w:szCs w:val="24"/>
          <w:lang w:val="en-US"/>
        </w:rPr>
        <w:t xml:space="preserve">the </w:t>
      </w:r>
      <w:r w:rsidR="007B7F8E">
        <w:rPr>
          <w:rFonts w:cs="Arial"/>
          <w:color w:val="000000" w:themeColor="text1"/>
          <w:sz w:val="24"/>
          <w:szCs w:val="24"/>
          <w:lang w:val="en-US"/>
        </w:rPr>
        <w:t>30 June 2013</w:t>
      </w:r>
      <w:r w:rsidR="000A5406">
        <w:rPr>
          <w:rFonts w:cs="Arial"/>
          <w:color w:val="000000" w:themeColor="text1"/>
          <w:sz w:val="24"/>
          <w:szCs w:val="24"/>
          <w:lang w:val="en-US"/>
        </w:rPr>
        <w:t>. A</w:t>
      </w:r>
      <w:r w:rsidR="001E2F81">
        <w:rPr>
          <w:rFonts w:cs="Arial"/>
          <w:color w:val="000000" w:themeColor="text1"/>
          <w:sz w:val="24"/>
          <w:szCs w:val="24"/>
          <w:lang w:val="en-US"/>
        </w:rPr>
        <w:t xml:space="preserve">IFDR is </w:t>
      </w:r>
      <w:r w:rsidR="007B7F8E">
        <w:rPr>
          <w:rFonts w:cs="Arial"/>
          <w:color w:val="000000" w:themeColor="text1"/>
          <w:sz w:val="24"/>
          <w:szCs w:val="24"/>
          <w:lang w:val="en-US"/>
        </w:rPr>
        <w:t>currently in a transition phase prior to</w:t>
      </w:r>
      <w:r w:rsidR="004C0E41">
        <w:rPr>
          <w:rFonts w:cs="Arial"/>
          <w:color w:val="000000" w:themeColor="text1"/>
          <w:sz w:val="24"/>
          <w:szCs w:val="24"/>
          <w:lang w:val="en-US"/>
        </w:rPr>
        <w:t xml:space="preserve"> </w:t>
      </w:r>
      <w:r w:rsidR="007B7F8E">
        <w:rPr>
          <w:rFonts w:cs="Arial"/>
          <w:color w:val="000000" w:themeColor="text1"/>
          <w:sz w:val="24"/>
          <w:szCs w:val="24"/>
          <w:lang w:val="en-US"/>
        </w:rPr>
        <w:t xml:space="preserve">an anticipated second phase </w:t>
      </w:r>
      <w:r w:rsidR="004C0E41">
        <w:rPr>
          <w:rFonts w:cs="Arial"/>
          <w:color w:val="000000" w:themeColor="text1"/>
          <w:sz w:val="24"/>
          <w:szCs w:val="24"/>
          <w:lang w:val="en-US"/>
        </w:rPr>
        <w:t>commencing in 2015.</w:t>
      </w:r>
    </w:p>
    <w:p w14:paraId="4DF5216A" w14:textId="47E16C17" w:rsidR="00AF3A6B" w:rsidRDefault="000C3B19" w:rsidP="00E22624">
      <w:pPr>
        <w:rPr>
          <w:sz w:val="24"/>
          <w:szCs w:val="24"/>
        </w:rPr>
      </w:pPr>
      <w:r>
        <w:rPr>
          <w:sz w:val="24"/>
          <w:szCs w:val="24"/>
        </w:rPr>
        <w:t xml:space="preserve">This </w:t>
      </w:r>
      <w:r w:rsidR="001E2F81">
        <w:rPr>
          <w:sz w:val="24"/>
          <w:szCs w:val="24"/>
        </w:rPr>
        <w:t>review</w:t>
      </w:r>
      <w:r>
        <w:rPr>
          <w:sz w:val="24"/>
          <w:szCs w:val="24"/>
        </w:rPr>
        <w:t xml:space="preserve"> of AIFDR </w:t>
      </w:r>
      <w:r w:rsidR="00FC541E">
        <w:rPr>
          <w:sz w:val="24"/>
          <w:szCs w:val="24"/>
        </w:rPr>
        <w:t xml:space="preserve">Phase 1 </w:t>
      </w:r>
      <w:r w:rsidR="00531875">
        <w:rPr>
          <w:sz w:val="24"/>
          <w:szCs w:val="24"/>
        </w:rPr>
        <w:t xml:space="preserve">has been commissioned by </w:t>
      </w:r>
      <w:r>
        <w:rPr>
          <w:sz w:val="24"/>
          <w:szCs w:val="24"/>
        </w:rPr>
        <w:t>DFAT, and there a</w:t>
      </w:r>
      <w:r w:rsidR="00E22624" w:rsidRPr="005A1D9F">
        <w:rPr>
          <w:sz w:val="24"/>
          <w:szCs w:val="24"/>
        </w:rPr>
        <w:t xml:space="preserve">re two main drivers behind </w:t>
      </w:r>
      <w:r>
        <w:rPr>
          <w:sz w:val="24"/>
          <w:szCs w:val="24"/>
        </w:rPr>
        <w:t>it</w:t>
      </w:r>
      <w:r w:rsidR="00AF3A6B">
        <w:rPr>
          <w:sz w:val="24"/>
          <w:szCs w:val="24"/>
        </w:rPr>
        <w:t>:</w:t>
      </w:r>
      <w:r w:rsidR="00E22624" w:rsidRPr="005A1D9F">
        <w:rPr>
          <w:sz w:val="24"/>
          <w:szCs w:val="24"/>
        </w:rPr>
        <w:t xml:space="preserve"> </w:t>
      </w:r>
    </w:p>
    <w:p w14:paraId="062F5E0B" w14:textId="736FA6E6" w:rsidR="00AF3A6B" w:rsidRDefault="00E22624" w:rsidP="00E22624">
      <w:pPr>
        <w:rPr>
          <w:sz w:val="24"/>
          <w:szCs w:val="24"/>
        </w:rPr>
      </w:pPr>
      <w:proofErr w:type="gramStart"/>
      <w:r w:rsidRPr="00AF3A6B">
        <w:rPr>
          <w:b/>
          <w:sz w:val="24"/>
          <w:szCs w:val="24"/>
        </w:rPr>
        <w:t>First,</w:t>
      </w:r>
      <w:r w:rsidRPr="005A1D9F">
        <w:rPr>
          <w:sz w:val="24"/>
          <w:szCs w:val="24"/>
        </w:rPr>
        <w:t xml:space="preserve"> to provide a</w:t>
      </w:r>
      <w:r w:rsidR="001E2F81">
        <w:rPr>
          <w:sz w:val="24"/>
          <w:szCs w:val="24"/>
        </w:rPr>
        <w:t xml:space="preserve"> </w:t>
      </w:r>
      <w:r w:rsidRPr="005A1D9F">
        <w:rPr>
          <w:sz w:val="24"/>
          <w:szCs w:val="24"/>
        </w:rPr>
        <w:t>performance review of Phase 1 of AIFDR (‘accountability driver’).</w:t>
      </w:r>
      <w:proofErr w:type="gramEnd"/>
      <w:r w:rsidRPr="005A1D9F">
        <w:rPr>
          <w:sz w:val="24"/>
          <w:szCs w:val="24"/>
        </w:rPr>
        <w:t xml:space="preserve"> </w:t>
      </w:r>
    </w:p>
    <w:p w14:paraId="696401EC" w14:textId="228B70B4" w:rsidR="00E22624" w:rsidRDefault="00E22624" w:rsidP="00E22624">
      <w:pPr>
        <w:rPr>
          <w:sz w:val="24"/>
          <w:szCs w:val="24"/>
        </w:rPr>
      </w:pPr>
      <w:r w:rsidRPr="00AF3A6B">
        <w:rPr>
          <w:b/>
          <w:sz w:val="24"/>
          <w:szCs w:val="24"/>
        </w:rPr>
        <w:t>Two,</w:t>
      </w:r>
      <w:r w:rsidRPr="005A1D9F">
        <w:rPr>
          <w:sz w:val="24"/>
          <w:szCs w:val="24"/>
        </w:rPr>
        <w:t xml:space="preserve"> to draw out lessons learnt from Phase 1 that are relevant to facility learning to inform </w:t>
      </w:r>
      <w:r w:rsidR="00AF3A6B">
        <w:rPr>
          <w:sz w:val="24"/>
          <w:szCs w:val="24"/>
        </w:rPr>
        <w:t xml:space="preserve">AIFDR </w:t>
      </w:r>
      <w:r w:rsidRPr="005A1D9F">
        <w:rPr>
          <w:sz w:val="24"/>
          <w:szCs w:val="24"/>
        </w:rPr>
        <w:t xml:space="preserve">Phase 2 (‘learning driver’). </w:t>
      </w:r>
    </w:p>
    <w:p w14:paraId="7BAAC901" w14:textId="77777777" w:rsidR="00053907" w:rsidRDefault="000C3B19" w:rsidP="003E56BF">
      <w:pPr>
        <w:rPr>
          <w:sz w:val="24"/>
          <w:szCs w:val="24"/>
        </w:rPr>
      </w:pPr>
      <w:r>
        <w:rPr>
          <w:sz w:val="24"/>
          <w:szCs w:val="24"/>
        </w:rPr>
        <w:t xml:space="preserve">The focus of this </w:t>
      </w:r>
      <w:r w:rsidR="001E2F81">
        <w:rPr>
          <w:sz w:val="24"/>
          <w:szCs w:val="24"/>
        </w:rPr>
        <w:t>review</w:t>
      </w:r>
      <w:r>
        <w:rPr>
          <w:sz w:val="24"/>
          <w:szCs w:val="24"/>
        </w:rPr>
        <w:t xml:space="preserve"> is primarily on AIFDR’s performance post</w:t>
      </w:r>
      <w:r w:rsidR="00D00B8F">
        <w:rPr>
          <w:sz w:val="24"/>
          <w:szCs w:val="24"/>
        </w:rPr>
        <w:t>-</w:t>
      </w:r>
      <w:r>
        <w:rPr>
          <w:sz w:val="24"/>
          <w:szCs w:val="24"/>
        </w:rPr>
        <w:t>2011</w:t>
      </w:r>
      <w:r w:rsidR="003E56BF">
        <w:rPr>
          <w:sz w:val="24"/>
          <w:szCs w:val="24"/>
        </w:rPr>
        <w:t xml:space="preserve"> given a </w:t>
      </w:r>
      <w:r>
        <w:rPr>
          <w:sz w:val="24"/>
          <w:szCs w:val="24"/>
        </w:rPr>
        <w:t xml:space="preserve">detailed independent Mid-Term Progress Review </w:t>
      </w:r>
      <w:r w:rsidR="00D00B8F">
        <w:rPr>
          <w:sz w:val="24"/>
          <w:szCs w:val="24"/>
        </w:rPr>
        <w:t xml:space="preserve">(MTR) </w:t>
      </w:r>
      <w:r>
        <w:rPr>
          <w:sz w:val="24"/>
          <w:szCs w:val="24"/>
        </w:rPr>
        <w:t>was completed</w:t>
      </w:r>
      <w:r w:rsidR="003E56BF">
        <w:rPr>
          <w:sz w:val="24"/>
          <w:szCs w:val="24"/>
        </w:rPr>
        <w:t xml:space="preserve"> in that year</w:t>
      </w:r>
      <w:r>
        <w:rPr>
          <w:sz w:val="24"/>
          <w:szCs w:val="24"/>
        </w:rPr>
        <w:t xml:space="preserve">. With that said, </w:t>
      </w:r>
      <w:r w:rsidR="003E56BF">
        <w:rPr>
          <w:sz w:val="24"/>
          <w:szCs w:val="24"/>
        </w:rPr>
        <w:t xml:space="preserve">the </w:t>
      </w:r>
      <w:r w:rsidR="000A5406">
        <w:rPr>
          <w:sz w:val="24"/>
          <w:szCs w:val="24"/>
        </w:rPr>
        <w:t>review</w:t>
      </w:r>
      <w:r w:rsidR="003E56BF">
        <w:rPr>
          <w:sz w:val="24"/>
          <w:szCs w:val="24"/>
        </w:rPr>
        <w:t xml:space="preserve"> team has </w:t>
      </w:r>
      <w:r w:rsidR="00053907" w:rsidRPr="00053907">
        <w:rPr>
          <w:sz w:val="24"/>
          <w:szCs w:val="24"/>
        </w:rPr>
        <w:t>also reviewed operations before the MTR so as to understand the genesis and early years of the facility.</w:t>
      </w:r>
      <w:r w:rsidR="008457A1">
        <w:rPr>
          <w:sz w:val="24"/>
          <w:szCs w:val="24"/>
        </w:rPr>
        <w:t xml:space="preserve"> Outside the scope of th</w:t>
      </w:r>
      <w:r w:rsidR="008C2F94">
        <w:rPr>
          <w:sz w:val="24"/>
          <w:szCs w:val="24"/>
        </w:rPr>
        <w:t>is</w:t>
      </w:r>
      <w:r w:rsidR="008457A1">
        <w:rPr>
          <w:sz w:val="24"/>
          <w:szCs w:val="24"/>
        </w:rPr>
        <w:t xml:space="preserve"> review is AIFDR’s performance </w:t>
      </w:r>
      <w:r w:rsidR="008C2F94">
        <w:rPr>
          <w:sz w:val="24"/>
          <w:szCs w:val="24"/>
        </w:rPr>
        <w:t>during the facility’s transition phase that commenced at the end of Phase 1, and an assessment of DFAT’s investments in disaster response that were funded and managed by the Disaster Risk Unit (DRU).</w:t>
      </w:r>
    </w:p>
    <w:p w14:paraId="3CAAB6F7" w14:textId="2E91E6F8" w:rsidR="00611CAA" w:rsidRDefault="00B43451" w:rsidP="00D25CD2">
      <w:pPr>
        <w:pStyle w:val="Heading2"/>
        <w:numPr>
          <w:ilvl w:val="1"/>
          <w:numId w:val="36"/>
        </w:numPr>
      </w:pPr>
      <w:bookmarkStart w:id="6" w:name="_Toc402431245"/>
      <w:r w:rsidRPr="00705CFC">
        <w:t>Indonesia</w:t>
      </w:r>
      <w:r w:rsidR="00482C25" w:rsidRPr="00705CFC">
        <w:t>’s Disaster Profile and Disaster Management Arrangements</w:t>
      </w:r>
      <w:bookmarkEnd w:id="6"/>
      <w:r w:rsidR="00482C25" w:rsidRPr="00705CFC">
        <w:t xml:space="preserve"> </w:t>
      </w:r>
    </w:p>
    <w:p w14:paraId="63B19444" w14:textId="77777777" w:rsidR="00D25CD2" w:rsidRPr="00D25CD2" w:rsidRDefault="00D25CD2" w:rsidP="00D25CD2">
      <w:pPr>
        <w:spacing w:after="0"/>
      </w:pPr>
    </w:p>
    <w:p w14:paraId="66FFB55C" w14:textId="07CC02E4" w:rsidR="00CE03EA" w:rsidRPr="00805AE3" w:rsidRDefault="0041715E" w:rsidP="00805AE3">
      <w:pPr>
        <w:shd w:val="clear" w:color="auto" w:fill="FFFFFF" w:themeFill="background1"/>
        <w:autoSpaceDE w:val="0"/>
        <w:autoSpaceDN w:val="0"/>
        <w:adjustRightInd w:val="0"/>
        <w:spacing w:after="0" w:line="240" w:lineRule="auto"/>
        <w:rPr>
          <w:rFonts w:cs="Century"/>
          <w:sz w:val="24"/>
          <w:szCs w:val="24"/>
        </w:rPr>
      </w:pPr>
      <w:r w:rsidRPr="00591A91">
        <w:rPr>
          <w:rFonts w:cs="Century"/>
          <w:sz w:val="24"/>
          <w:szCs w:val="24"/>
        </w:rPr>
        <w:t xml:space="preserve">There is now an overwhelmingly large body of evidence amassed showing the economic and social costs of disasters in Indonesia. </w:t>
      </w:r>
      <w:proofErr w:type="gramStart"/>
      <w:r w:rsidR="00FE672A" w:rsidRPr="00591A91">
        <w:rPr>
          <w:rFonts w:cs="AkzidenzGroteskBE-Regular"/>
          <w:sz w:val="24"/>
          <w:szCs w:val="24"/>
        </w:rPr>
        <w:t xml:space="preserve">According to </w:t>
      </w:r>
      <w:r w:rsidR="00F00BCF" w:rsidRPr="00591A91">
        <w:rPr>
          <w:rFonts w:cs="AkzidenzGroteskBE-Regular"/>
          <w:sz w:val="24"/>
          <w:szCs w:val="24"/>
        </w:rPr>
        <w:t xml:space="preserve">analysis undertaken by the </w:t>
      </w:r>
      <w:r w:rsidR="00FE672A" w:rsidRPr="00591A91">
        <w:rPr>
          <w:rFonts w:cs="AkzidenzGroteskBE-Regular"/>
          <w:sz w:val="24"/>
          <w:szCs w:val="24"/>
        </w:rPr>
        <w:t>World Bank</w:t>
      </w:r>
      <w:r w:rsidR="00F00BCF" w:rsidRPr="00591A91">
        <w:rPr>
          <w:rFonts w:cs="AkzidenzGroteskBE-Regular"/>
          <w:sz w:val="24"/>
          <w:szCs w:val="24"/>
        </w:rPr>
        <w:t xml:space="preserve">, </w:t>
      </w:r>
      <w:r w:rsidR="00FE672A" w:rsidRPr="00591A91">
        <w:rPr>
          <w:rFonts w:cs="AkzidenzGroteskBE-Regular"/>
          <w:sz w:val="24"/>
          <w:szCs w:val="24"/>
        </w:rPr>
        <w:t xml:space="preserve">Indonesia </w:t>
      </w:r>
      <w:r w:rsidR="00A218CC" w:rsidRPr="00591A91">
        <w:rPr>
          <w:rFonts w:cs="Century"/>
          <w:sz w:val="24"/>
          <w:szCs w:val="24"/>
        </w:rPr>
        <w:t>ranks 12th among countries with high mortality risks from multiple hazards</w:t>
      </w:r>
      <w:r w:rsidR="00F00BCF" w:rsidRPr="00591A91">
        <w:rPr>
          <w:rFonts w:cs="Century"/>
          <w:sz w:val="24"/>
          <w:szCs w:val="24"/>
        </w:rPr>
        <w:t>.</w:t>
      </w:r>
      <w:proofErr w:type="gramEnd"/>
      <w:r w:rsidR="00F00BCF" w:rsidRPr="00591A91">
        <w:rPr>
          <w:rFonts w:cs="Century"/>
          <w:sz w:val="24"/>
          <w:szCs w:val="24"/>
        </w:rPr>
        <w:t xml:space="preserve"> An </w:t>
      </w:r>
      <w:r w:rsidR="00A218CC" w:rsidRPr="00805AE3">
        <w:rPr>
          <w:rFonts w:cs="Century"/>
          <w:sz w:val="24"/>
          <w:szCs w:val="24"/>
        </w:rPr>
        <w:t>estimated 40 per</w:t>
      </w:r>
      <w:r w:rsidRPr="00805AE3">
        <w:rPr>
          <w:rFonts w:cs="Century"/>
          <w:sz w:val="24"/>
          <w:szCs w:val="24"/>
        </w:rPr>
        <w:t xml:space="preserve"> </w:t>
      </w:r>
      <w:r w:rsidR="00A218CC" w:rsidRPr="00805AE3">
        <w:rPr>
          <w:rFonts w:cs="Century"/>
          <w:sz w:val="24"/>
          <w:szCs w:val="24"/>
        </w:rPr>
        <w:t xml:space="preserve">cent of the </w:t>
      </w:r>
      <w:r w:rsidR="00AB1B22" w:rsidRPr="00805AE3">
        <w:rPr>
          <w:rFonts w:cs="Century"/>
          <w:sz w:val="24"/>
          <w:szCs w:val="24"/>
        </w:rPr>
        <w:t xml:space="preserve">country’s </w:t>
      </w:r>
      <w:r w:rsidR="00A218CC" w:rsidRPr="00805AE3">
        <w:rPr>
          <w:rFonts w:cs="Century"/>
          <w:sz w:val="24"/>
          <w:szCs w:val="24"/>
        </w:rPr>
        <w:t xml:space="preserve">population </w:t>
      </w:r>
      <w:r w:rsidR="00F91130" w:rsidRPr="00805AE3">
        <w:rPr>
          <w:rFonts w:cs="Century"/>
          <w:sz w:val="24"/>
          <w:szCs w:val="24"/>
        </w:rPr>
        <w:t xml:space="preserve">are </w:t>
      </w:r>
      <w:r w:rsidR="00A218CC" w:rsidRPr="00805AE3">
        <w:rPr>
          <w:rFonts w:cs="Century"/>
          <w:sz w:val="24"/>
          <w:szCs w:val="24"/>
        </w:rPr>
        <w:t xml:space="preserve">living in </w:t>
      </w:r>
      <w:r w:rsidR="00AA3354" w:rsidRPr="00805AE3">
        <w:rPr>
          <w:rFonts w:cs="Century"/>
          <w:sz w:val="24"/>
          <w:szCs w:val="24"/>
        </w:rPr>
        <w:t>areas of risk</w:t>
      </w:r>
      <w:r w:rsidR="00F00BCF" w:rsidRPr="00805AE3">
        <w:rPr>
          <w:rFonts w:cs="Century"/>
          <w:sz w:val="24"/>
          <w:szCs w:val="24"/>
        </w:rPr>
        <w:t xml:space="preserve">, which </w:t>
      </w:r>
      <w:r w:rsidR="00AA3354" w:rsidRPr="00805AE3">
        <w:rPr>
          <w:rFonts w:cs="Century"/>
          <w:sz w:val="24"/>
          <w:szCs w:val="24"/>
        </w:rPr>
        <w:t xml:space="preserve">equates to </w:t>
      </w:r>
      <w:r w:rsidR="00FE672A" w:rsidRPr="00805AE3">
        <w:rPr>
          <w:rFonts w:cs="AkzidenzGroteskBE-Regular"/>
          <w:sz w:val="24"/>
          <w:szCs w:val="24"/>
        </w:rPr>
        <w:t xml:space="preserve">more than 90 million </w:t>
      </w:r>
      <w:r w:rsidR="00F91130" w:rsidRPr="00805AE3">
        <w:rPr>
          <w:rFonts w:cs="AkzidenzGroteskBE-Regular"/>
          <w:sz w:val="24"/>
          <w:szCs w:val="24"/>
        </w:rPr>
        <w:t xml:space="preserve">people potentially at risk of a large scale </w:t>
      </w:r>
      <w:r w:rsidR="00FE672A" w:rsidRPr="00805AE3">
        <w:rPr>
          <w:rFonts w:cs="AkzidenzGroteskBE-Regular"/>
          <w:sz w:val="24"/>
          <w:szCs w:val="24"/>
        </w:rPr>
        <w:t xml:space="preserve">humanitarian </w:t>
      </w:r>
      <w:r w:rsidR="00F91130" w:rsidRPr="00805AE3">
        <w:rPr>
          <w:rFonts w:cs="AkzidenzGroteskBE-Regular"/>
          <w:sz w:val="24"/>
          <w:szCs w:val="24"/>
        </w:rPr>
        <w:t>crisis</w:t>
      </w:r>
      <w:r w:rsidR="00AA3354" w:rsidRPr="00805AE3">
        <w:rPr>
          <w:rFonts w:cs="AkzidenzGroteskBE-Regular"/>
          <w:sz w:val="24"/>
          <w:szCs w:val="24"/>
        </w:rPr>
        <w:t xml:space="preserve"> </w:t>
      </w:r>
      <w:r w:rsidR="00FE672A" w:rsidRPr="00805AE3">
        <w:rPr>
          <w:rFonts w:cs="AkzidenzGroteskBE-Regular"/>
          <w:sz w:val="24"/>
          <w:szCs w:val="24"/>
        </w:rPr>
        <w:t xml:space="preserve">should </w:t>
      </w:r>
      <w:r w:rsidR="00AB1B22" w:rsidRPr="00805AE3">
        <w:rPr>
          <w:rFonts w:cs="AkzidenzGroteskBE-Regular"/>
          <w:sz w:val="24"/>
          <w:szCs w:val="24"/>
        </w:rPr>
        <w:t xml:space="preserve">a </w:t>
      </w:r>
      <w:r w:rsidR="00FE672A" w:rsidRPr="00805AE3">
        <w:rPr>
          <w:rFonts w:cs="AkzidenzGroteskBE-Regular"/>
          <w:sz w:val="24"/>
          <w:szCs w:val="24"/>
        </w:rPr>
        <w:t>large disaster occur</w:t>
      </w:r>
      <w:r w:rsidR="00FE672A" w:rsidRPr="00591A91">
        <w:rPr>
          <w:rFonts w:cs="AkzidenzGroteskBE-Regular"/>
          <w:sz w:val="24"/>
          <w:szCs w:val="24"/>
        </w:rPr>
        <w:t>.</w:t>
      </w:r>
      <w:r w:rsidR="00F91130" w:rsidRPr="00591A91">
        <w:rPr>
          <w:rFonts w:cs="AkzidenzGroteskBE-Regular"/>
          <w:sz w:val="24"/>
          <w:szCs w:val="24"/>
        </w:rPr>
        <w:t xml:space="preserve"> </w:t>
      </w:r>
      <w:r w:rsidR="00F00BCF" w:rsidRPr="00591A91">
        <w:rPr>
          <w:rFonts w:cs="AkzidenzGroteskBE-Regular"/>
          <w:sz w:val="24"/>
          <w:szCs w:val="24"/>
        </w:rPr>
        <w:t>The</w:t>
      </w:r>
      <w:r w:rsidR="00F91130" w:rsidRPr="00591A91">
        <w:rPr>
          <w:rFonts w:cs="AkzidenzGroteskBE-Regular"/>
          <w:sz w:val="24"/>
          <w:szCs w:val="24"/>
        </w:rPr>
        <w:t xml:space="preserve"> Government of Indonesia’s statistic</w:t>
      </w:r>
      <w:r w:rsidR="00F00BCF" w:rsidRPr="00591A91">
        <w:rPr>
          <w:rFonts w:cs="AkzidenzGroteskBE-Regular"/>
          <w:sz w:val="24"/>
          <w:szCs w:val="24"/>
        </w:rPr>
        <w:t>al</w:t>
      </w:r>
      <w:r w:rsidR="00F91130" w:rsidRPr="00591A91">
        <w:rPr>
          <w:rFonts w:cs="AkzidenzGroteskBE-Regular"/>
          <w:sz w:val="24"/>
          <w:szCs w:val="24"/>
        </w:rPr>
        <w:t xml:space="preserve"> data on disaster occurrences</w:t>
      </w:r>
      <w:r w:rsidR="00F00BCF" w:rsidRPr="00591A91">
        <w:rPr>
          <w:rFonts w:cs="AkzidenzGroteskBE-Regular"/>
          <w:sz w:val="24"/>
          <w:szCs w:val="24"/>
        </w:rPr>
        <w:t xml:space="preserve"> shows a significant increase in the frequency of </w:t>
      </w:r>
      <w:r w:rsidR="00EF7FCF" w:rsidRPr="00591A91">
        <w:rPr>
          <w:rFonts w:cs="AkzidenzGroteskBE-Bold"/>
          <w:bCs/>
          <w:sz w:val="24"/>
          <w:szCs w:val="24"/>
        </w:rPr>
        <w:t>disasters impacting public expenditures</w:t>
      </w:r>
      <w:r w:rsidR="00EF7FCF" w:rsidRPr="00805AE3">
        <w:rPr>
          <w:rFonts w:cs="AkzidenzGroteskBE-BoldIt"/>
          <w:bCs/>
          <w:iCs/>
          <w:sz w:val="24"/>
          <w:szCs w:val="24"/>
        </w:rPr>
        <w:t xml:space="preserve">. </w:t>
      </w:r>
      <w:r w:rsidR="00F00BCF" w:rsidRPr="00805AE3">
        <w:rPr>
          <w:rFonts w:cs="AkzidenzGroteskBE-BoldIt"/>
          <w:bCs/>
          <w:iCs/>
          <w:sz w:val="24"/>
          <w:szCs w:val="24"/>
        </w:rPr>
        <w:t xml:space="preserve">GoI reports </w:t>
      </w:r>
      <w:r w:rsidR="000F68E1" w:rsidRPr="00805AE3">
        <w:rPr>
          <w:rFonts w:cs="AkzidenzGroteskBE-BoldIt"/>
          <w:bCs/>
          <w:iCs/>
          <w:sz w:val="24"/>
          <w:szCs w:val="24"/>
        </w:rPr>
        <w:t xml:space="preserve">that </w:t>
      </w:r>
      <w:r w:rsidR="00EF7FCF" w:rsidRPr="00805AE3">
        <w:rPr>
          <w:rFonts w:cs="AkzidenzGroteskBE-BoldIt"/>
          <w:bCs/>
          <w:iCs/>
          <w:sz w:val="24"/>
          <w:szCs w:val="24"/>
        </w:rPr>
        <w:t xml:space="preserve">between 2001 and 2007 there have been more than 4,000 </w:t>
      </w:r>
      <w:r w:rsidR="00FE672A" w:rsidRPr="00805AE3">
        <w:rPr>
          <w:rFonts w:cs="AkzidenzGroteskBE-Regular"/>
          <w:sz w:val="24"/>
          <w:szCs w:val="24"/>
        </w:rPr>
        <w:t>occurrences</w:t>
      </w:r>
      <w:r w:rsidR="00EF7FCF" w:rsidRPr="00805AE3">
        <w:rPr>
          <w:rFonts w:cs="AkzidenzGroteskBE-Regular"/>
          <w:sz w:val="24"/>
          <w:szCs w:val="24"/>
        </w:rPr>
        <w:t xml:space="preserve"> of disasters including earthquakes, volcanic eruptions,</w:t>
      </w:r>
      <w:r w:rsidR="00FE672A" w:rsidRPr="00805AE3">
        <w:rPr>
          <w:rFonts w:cs="AkzidenzGroteskBE-Regular"/>
          <w:sz w:val="24"/>
          <w:szCs w:val="24"/>
        </w:rPr>
        <w:t xml:space="preserve"> floods</w:t>
      </w:r>
      <w:r w:rsidR="00F51CA2" w:rsidRPr="00805AE3">
        <w:rPr>
          <w:rFonts w:cs="AkzidenzGroteskBE-Regular"/>
          <w:sz w:val="24"/>
          <w:szCs w:val="24"/>
        </w:rPr>
        <w:t>, dr</w:t>
      </w:r>
      <w:r w:rsidR="00FE672A" w:rsidRPr="00805AE3">
        <w:rPr>
          <w:rFonts w:cs="AkzidenzGroteskBE-Regular"/>
          <w:sz w:val="24"/>
          <w:szCs w:val="24"/>
        </w:rPr>
        <w:t>oughts</w:t>
      </w:r>
      <w:r w:rsidR="00F51CA2" w:rsidRPr="00805AE3">
        <w:rPr>
          <w:rFonts w:cs="AkzidenzGroteskBE-Regular"/>
          <w:sz w:val="24"/>
          <w:szCs w:val="24"/>
        </w:rPr>
        <w:t>,</w:t>
      </w:r>
      <w:r w:rsidR="00FE672A" w:rsidRPr="00805AE3">
        <w:rPr>
          <w:rFonts w:cs="AkzidenzGroteskBE-Regular"/>
          <w:sz w:val="24"/>
          <w:szCs w:val="24"/>
        </w:rPr>
        <w:t xml:space="preserve"> landslides</w:t>
      </w:r>
      <w:r w:rsidR="00F51CA2" w:rsidRPr="00805AE3">
        <w:rPr>
          <w:rFonts w:cs="AkzidenzGroteskBE-Regular"/>
          <w:sz w:val="24"/>
          <w:szCs w:val="24"/>
        </w:rPr>
        <w:t>,</w:t>
      </w:r>
      <w:r w:rsidR="00FE672A" w:rsidRPr="00805AE3">
        <w:rPr>
          <w:rFonts w:cs="AkzidenzGroteskBE-Regular"/>
          <w:sz w:val="24"/>
          <w:szCs w:val="24"/>
        </w:rPr>
        <w:t xml:space="preserve"> and </w:t>
      </w:r>
      <w:proofErr w:type="gramStart"/>
      <w:r w:rsidR="00FE672A" w:rsidRPr="00805AE3">
        <w:rPr>
          <w:rFonts w:cs="AkzidenzGroteskBE-Regular"/>
          <w:sz w:val="24"/>
          <w:szCs w:val="24"/>
        </w:rPr>
        <w:t>windstorm</w:t>
      </w:r>
      <w:r w:rsidR="00805AE3">
        <w:rPr>
          <w:rFonts w:cs="AkzidenzGroteskBE-Regular"/>
          <w:sz w:val="24"/>
          <w:szCs w:val="24"/>
        </w:rPr>
        <w:t xml:space="preserve"> </w:t>
      </w:r>
      <w:proofErr w:type="gramEnd"/>
      <w:r w:rsidR="00591A91">
        <w:rPr>
          <w:rStyle w:val="FootnoteReference"/>
          <w:rFonts w:cs="AkzidenzGroteskBE-Regular"/>
          <w:sz w:val="24"/>
          <w:szCs w:val="24"/>
        </w:rPr>
        <w:footnoteReference w:id="3"/>
      </w:r>
      <w:r w:rsidR="00FE672A" w:rsidRPr="00591A91">
        <w:rPr>
          <w:rFonts w:cs="AkzidenzGroteskBE-Regular"/>
          <w:sz w:val="24"/>
          <w:szCs w:val="24"/>
        </w:rPr>
        <w:t>.</w:t>
      </w:r>
      <w:r w:rsidR="00A218CC" w:rsidRPr="00591A91">
        <w:rPr>
          <w:rFonts w:cs="Century"/>
          <w:sz w:val="24"/>
          <w:szCs w:val="24"/>
        </w:rPr>
        <w:t xml:space="preserve"> </w:t>
      </w:r>
      <w:r w:rsidR="00205490">
        <w:rPr>
          <w:rFonts w:cs="Century"/>
          <w:sz w:val="24"/>
          <w:szCs w:val="24"/>
        </w:rPr>
        <w:t xml:space="preserve">Chart 1 and 2 </w:t>
      </w:r>
      <w:r w:rsidR="00CE03EA" w:rsidRPr="00591A91">
        <w:rPr>
          <w:rFonts w:cs="Century"/>
          <w:sz w:val="24"/>
          <w:szCs w:val="24"/>
        </w:rPr>
        <w:t>below illustrate the enormity of human and economic losses from natural disasters in Indonesia over a thirty year period (1980-2010).</w:t>
      </w:r>
      <w:r w:rsidR="00CE03EA" w:rsidRPr="00805AE3">
        <w:rPr>
          <w:rFonts w:cs="Century"/>
          <w:sz w:val="24"/>
          <w:szCs w:val="24"/>
        </w:rPr>
        <w:t xml:space="preserve"> </w:t>
      </w:r>
      <w:r w:rsidRPr="00805AE3">
        <w:rPr>
          <w:rFonts w:cs="Century"/>
          <w:sz w:val="24"/>
          <w:szCs w:val="24"/>
        </w:rPr>
        <w:t>Whilst many of these losses are attributable to large scale events</w:t>
      </w:r>
      <w:r w:rsidR="00AF56B3" w:rsidRPr="00805AE3">
        <w:rPr>
          <w:rFonts w:cs="Century"/>
          <w:sz w:val="24"/>
          <w:szCs w:val="24"/>
        </w:rPr>
        <w:t>,</w:t>
      </w:r>
      <w:r w:rsidRPr="00805AE3">
        <w:rPr>
          <w:rFonts w:cs="Century"/>
          <w:sz w:val="24"/>
          <w:szCs w:val="24"/>
        </w:rPr>
        <w:t xml:space="preserve"> such as the Indian Ocean Tsunami (2004)</w:t>
      </w:r>
      <w:r w:rsidR="00AF56B3" w:rsidRPr="00805AE3">
        <w:rPr>
          <w:rFonts w:cs="Century"/>
          <w:sz w:val="24"/>
          <w:szCs w:val="24"/>
        </w:rPr>
        <w:t>,</w:t>
      </w:r>
      <w:r w:rsidRPr="00805AE3">
        <w:rPr>
          <w:rFonts w:cs="Century"/>
          <w:sz w:val="24"/>
          <w:szCs w:val="24"/>
        </w:rPr>
        <w:t xml:space="preserve"> the </w:t>
      </w:r>
      <w:r w:rsidR="00AF56B3" w:rsidRPr="00805AE3">
        <w:rPr>
          <w:rFonts w:cs="Century"/>
          <w:sz w:val="24"/>
          <w:szCs w:val="24"/>
        </w:rPr>
        <w:t xml:space="preserve">Nias (2005), </w:t>
      </w:r>
      <w:r w:rsidR="00B762D4" w:rsidRPr="00805AE3">
        <w:rPr>
          <w:rFonts w:cs="Century"/>
          <w:sz w:val="24"/>
          <w:szCs w:val="24"/>
        </w:rPr>
        <w:t>Yogyakarta</w:t>
      </w:r>
      <w:r w:rsidR="00AF56B3" w:rsidRPr="00805AE3">
        <w:rPr>
          <w:rFonts w:cs="Century"/>
          <w:sz w:val="24"/>
          <w:szCs w:val="24"/>
        </w:rPr>
        <w:t xml:space="preserve"> (2006)</w:t>
      </w:r>
      <w:r w:rsidR="00B762D4" w:rsidRPr="00805AE3">
        <w:rPr>
          <w:rFonts w:cs="Century"/>
          <w:sz w:val="24"/>
          <w:szCs w:val="24"/>
        </w:rPr>
        <w:t xml:space="preserve"> and Pandang </w:t>
      </w:r>
      <w:r w:rsidR="00AF56B3" w:rsidRPr="00805AE3">
        <w:rPr>
          <w:rFonts w:cs="Century"/>
          <w:sz w:val="24"/>
          <w:szCs w:val="24"/>
        </w:rPr>
        <w:t xml:space="preserve">(2009) </w:t>
      </w:r>
      <w:r w:rsidR="00B762D4" w:rsidRPr="00805AE3">
        <w:rPr>
          <w:rFonts w:cs="Century"/>
          <w:sz w:val="24"/>
          <w:szCs w:val="24"/>
        </w:rPr>
        <w:t xml:space="preserve">earthquakes </w:t>
      </w:r>
      <w:r w:rsidR="00AF56B3" w:rsidRPr="00805AE3">
        <w:rPr>
          <w:rFonts w:cs="Century"/>
          <w:sz w:val="24"/>
          <w:szCs w:val="24"/>
        </w:rPr>
        <w:t>and the Mount Merapi eruption (2010)</w:t>
      </w:r>
      <w:r w:rsidR="00B762D4" w:rsidRPr="00805AE3">
        <w:rPr>
          <w:rFonts w:cs="Century"/>
          <w:sz w:val="24"/>
          <w:szCs w:val="24"/>
        </w:rPr>
        <w:t>, significant losses and damage are also experienced as a result of smaller scale events occurring with much greater frequency.</w:t>
      </w:r>
    </w:p>
    <w:p w14:paraId="59494463" w14:textId="1CC0791C" w:rsidR="00CE03EA" w:rsidRDefault="00CE03EA" w:rsidP="00A218CC">
      <w:pPr>
        <w:autoSpaceDE w:val="0"/>
        <w:autoSpaceDN w:val="0"/>
        <w:adjustRightInd w:val="0"/>
        <w:spacing w:after="0" w:line="240" w:lineRule="auto"/>
        <w:rPr>
          <w:rFonts w:cs="Century"/>
          <w:sz w:val="24"/>
          <w:szCs w:val="24"/>
        </w:rPr>
      </w:pPr>
    </w:p>
    <w:p w14:paraId="0C91C78B" w14:textId="3A85BA92" w:rsidR="00F51CA2" w:rsidRPr="006E248F" w:rsidRDefault="00F51CA2" w:rsidP="00F51CA2">
      <w:pPr>
        <w:rPr>
          <w:b/>
          <w:sz w:val="24"/>
          <w:szCs w:val="24"/>
        </w:rPr>
      </w:pPr>
      <w:r w:rsidRPr="006E248F">
        <w:rPr>
          <w:b/>
          <w:sz w:val="24"/>
          <w:szCs w:val="24"/>
        </w:rPr>
        <w:t>Chart 1: Percentage of people killed by disaster type in Indonesia 1980-2010</w:t>
      </w:r>
      <w:r w:rsidRPr="006E248F">
        <w:rPr>
          <w:rStyle w:val="FootnoteReference"/>
          <w:b/>
          <w:sz w:val="24"/>
          <w:szCs w:val="24"/>
        </w:rPr>
        <w:footnoteReference w:id="4"/>
      </w:r>
    </w:p>
    <w:p w14:paraId="3A7B5B69" w14:textId="7069A95E" w:rsidR="00AB1B22" w:rsidRDefault="00AB1B22" w:rsidP="00F51CA2">
      <w:pPr>
        <w:rPr>
          <w:lang w:val="en"/>
        </w:rPr>
      </w:pPr>
      <w:r w:rsidRPr="00E346BB">
        <w:rPr>
          <w:noProof/>
          <w:lang w:eastAsia="en-AU"/>
        </w:rPr>
        <w:drawing>
          <wp:inline distT="0" distB="0" distL="0" distR="0" wp14:anchorId="209374FC" wp14:editId="132054B5">
            <wp:extent cx="3981450" cy="2143125"/>
            <wp:effectExtent l="0" t="0" r="0" b="9525"/>
            <wp:docPr id="2" name="Picture 2" descr="C:\Users\Lisa\AppData\Local\Microsoft\Windows\Temporary Internet Files\Content.IE5\FWWN07PG\ch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AppData\Local\Microsoft\Windows\Temporary Internet Files\Content.IE5\FWWN07PG\chart.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2623" cy="2143756"/>
                    </a:xfrm>
                    <a:prstGeom prst="rect">
                      <a:avLst/>
                    </a:prstGeom>
                    <a:noFill/>
                    <a:ln>
                      <a:noFill/>
                    </a:ln>
                  </pic:spPr>
                </pic:pic>
              </a:graphicData>
            </a:graphic>
          </wp:inline>
        </w:drawing>
      </w:r>
    </w:p>
    <w:p w14:paraId="33C6817F" w14:textId="77777777" w:rsidR="00F51CA2" w:rsidRPr="006E248F" w:rsidRDefault="00F51CA2" w:rsidP="00F51CA2">
      <w:pPr>
        <w:rPr>
          <w:b/>
          <w:sz w:val="24"/>
          <w:szCs w:val="24"/>
        </w:rPr>
      </w:pPr>
      <w:r w:rsidRPr="006E248F">
        <w:rPr>
          <w:b/>
          <w:sz w:val="24"/>
          <w:szCs w:val="24"/>
        </w:rPr>
        <w:t>Chart 2: Estimated economic damages reported by disaster type in Indonesia 1980 - 2010</w:t>
      </w:r>
      <w:r w:rsidRPr="006E248F">
        <w:rPr>
          <w:rStyle w:val="FootnoteReference"/>
          <w:b/>
          <w:sz w:val="24"/>
          <w:szCs w:val="24"/>
        </w:rPr>
        <w:footnoteReference w:id="5"/>
      </w:r>
    </w:p>
    <w:p w14:paraId="4E8A32CF" w14:textId="77777777" w:rsidR="00D7281C" w:rsidRPr="001402D5" w:rsidRDefault="00D7281C" w:rsidP="006E248F">
      <w:pPr>
        <w:spacing w:after="0"/>
        <w:rPr>
          <w:b/>
        </w:rPr>
      </w:pPr>
    </w:p>
    <w:p w14:paraId="6162C62B" w14:textId="77777777" w:rsidR="00F51CA2" w:rsidRDefault="00F51CA2" w:rsidP="00F51CA2">
      <w:r w:rsidRPr="00E346BB">
        <w:rPr>
          <w:noProof/>
          <w:lang w:eastAsia="en-AU"/>
        </w:rPr>
        <w:drawing>
          <wp:inline distT="0" distB="0" distL="0" distR="0" wp14:anchorId="22F39385" wp14:editId="7534CE66">
            <wp:extent cx="5409180" cy="3476625"/>
            <wp:effectExtent l="0" t="0" r="1270" b="0"/>
            <wp:docPr id="3" name="Picture 3" descr="C:\Users\Lisa\AppData\Local\Microsoft\Windows\Temporary Internet Files\Content.IE5\GBHWOICP\ch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sa\AppData\Local\Microsoft\Windows\Temporary Internet Files\Content.IE5\GBHWOICP\chart.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6835" cy="3487972"/>
                    </a:xfrm>
                    <a:prstGeom prst="rect">
                      <a:avLst/>
                    </a:prstGeom>
                    <a:noFill/>
                    <a:ln>
                      <a:noFill/>
                    </a:ln>
                  </pic:spPr>
                </pic:pic>
              </a:graphicData>
            </a:graphic>
          </wp:inline>
        </w:drawing>
      </w:r>
    </w:p>
    <w:p w14:paraId="00AF9B10" w14:textId="4436ADC2" w:rsidR="00D7281C" w:rsidRDefault="00C27538" w:rsidP="00D7281C">
      <w:pPr>
        <w:rPr>
          <w:i/>
          <w:sz w:val="24"/>
          <w:szCs w:val="24"/>
          <w:lang w:val="en"/>
        </w:rPr>
      </w:pPr>
      <w:r w:rsidRPr="006E248F">
        <w:rPr>
          <w:i/>
          <w:sz w:val="24"/>
          <w:szCs w:val="24"/>
          <w:lang w:val="en"/>
        </w:rPr>
        <w:t xml:space="preserve">Key for Chart 1 and Chart 2: </w:t>
      </w:r>
      <w:r w:rsidR="00D7281C" w:rsidRPr="006E248F">
        <w:rPr>
          <w:i/>
          <w:sz w:val="24"/>
          <w:szCs w:val="24"/>
          <w:lang w:val="en"/>
        </w:rPr>
        <w:t>*</w:t>
      </w:r>
      <w:r w:rsidRPr="006E248F">
        <w:rPr>
          <w:i/>
          <w:sz w:val="24"/>
          <w:szCs w:val="24"/>
          <w:lang w:val="en"/>
        </w:rPr>
        <w:t xml:space="preserve"> </w:t>
      </w:r>
      <w:r w:rsidR="00D7281C" w:rsidRPr="006E248F">
        <w:rPr>
          <w:i/>
          <w:sz w:val="24"/>
          <w:szCs w:val="24"/>
          <w:lang w:val="en"/>
        </w:rPr>
        <w:t>Includ</w:t>
      </w:r>
      <w:r w:rsidRPr="006E248F">
        <w:rPr>
          <w:i/>
          <w:sz w:val="24"/>
          <w:szCs w:val="24"/>
          <w:lang w:val="en"/>
        </w:rPr>
        <w:t>es</w:t>
      </w:r>
      <w:r w:rsidR="00D7281C" w:rsidRPr="006E248F">
        <w:rPr>
          <w:i/>
          <w:sz w:val="24"/>
          <w:szCs w:val="24"/>
          <w:lang w:val="en"/>
        </w:rPr>
        <w:t xml:space="preserve"> tsunami</w:t>
      </w:r>
    </w:p>
    <w:p w14:paraId="00B4B624" w14:textId="77777777" w:rsidR="00C27538" w:rsidRPr="006E248F" w:rsidRDefault="00C27538" w:rsidP="006E248F">
      <w:pPr>
        <w:spacing w:after="0" w:line="240" w:lineRule="auto"/>
        <w:rPr>
          <w:i/>
          <w:sz w:val="24"/>
          <w:szCs w:val="24"/>
        </w:rPr>
      </w:pPr>
    </w:p>
    <w:p w14:paraId="0795884A" w14:textId="2C97E48B" w:rsidR="000A5406" w:rsidRPr="007B06F9" w:rsidRDefault="00812AC0">
      <w:pPr>
        <w:widowControl w:val="0"/>
        <w:tabs>
          <w:tab w:val="left" w:pos="220"/>
          <w:tab w:val="left" w:pos="720"/>
        </w:tabs>
        <w:autoSpaceDE w:val="0"/>
        <w:autoSpaceDN w:val="0"/>
        <w:adjustRightInd w:val="0"/>
        <w:spacing w:after="0" w:line="240" w:lineRule="auto"/>
        <w:rPr>
          <w:rFonts w:cs="AkzidenzGroteskBE-Regular"/>
          <w:sz w:val="24"/>
          <w:szCs w:val="24"/>
        </w:rPr>
      </w:pPr>
      <w:r w:rsidRPr="007B06F9">
        <w:rPr>
          <w:rFonts w:cs="AkzidenzGroteskBE-Regular"/>
          <w:sz w:val="24"/>
          <w:szCs w:val="24"/>
        </w:rPr>
        <w:t>Indonesia</w:t>
      </w:r>
      <w:r w:rsidR="00234B69" w:rsidRPr="007B06F9">
        <w:rPr>
          <w:rFonts w:cs="AkzidenzGroteskBE-Regular"/>
          <w:sz w:val="24"/>
          <w:szCs w:val="24"/>
        </w:rPr>
        <w:t>’s</w:t>
      </w:r>
      <w:r w:rsidRPr="007B06F9">
        <w:rPr>
          <w:rFonts w:cs="AkzidenzGroteskBE-Regular"/>
          <w:sz w:val="24"/>
          <w:szCs w:val="24"/>
        </w:rPr>
        <w:t xml:space="preserve"> introduc</w:t>
      </w:r>
      <w:r w:rsidR="00234B69" w:rsidRPr="007B06F9">
        <w:rPr>
          <w:rFonts w:cs="AkzidenzGroteskBE-Regular"/>
          <w:sz w:val="24"/>
          <w:szCs w:val="24"/>
        </w:rPr>
        <w:t xml:space="preserve">tion of a </w:t>
      </w:r>
      <w:r w:rsidR="00D24F77" w:rsidRPr="007B06F9">
        <w:rPr>
          <w:rFonts w:cs="AkzidenzGroteskBE-Regular"/>
          <w:sz w:val="24"/>
          <w:szCs w:val="24"/>
        </w:rPr>
        <w:t>new Law on Disaster Management (Law 24/2007)</w:t>
      </w:r>
      <w:r w:rsidR="00234B69" w:rsidRPr="007B06F9">
        <w:rPr>
          <w:rFonts w:cs="AkzidenzGroteskBE-Regular"/>
          <w:sz w:val="24"/>
          <w:szCs w:val="24"/>
        </w:rPr>
        <w:t xml:space="preserve"> laid </w:t>
      </w:r>
      <w:r w:rsidR="00D24F77" w:rsidRPr="007B06F9">
        <w:rPr>
          <w:rFonts w:cs="AkzidenzGroteskBE-Regular"/>
          <w:sz w:val="24"/>
          <w:szCs w:val="24"/>
        </w:rPr>
        <w:t xml:space="preserve">the foundations for the country’s national disaster management system. A major shift brought </w:t>
      </w:r>
      <w:r w:rsidR="00B762D4" w:rsidRPr="007B06F9">
        <w:rPr>
          <w:rFonts w:cs="AkzidenzGroteskBE-Regular"/>
          <w:sz w:val="24"/>
          <w:szCs w:val="24"/>
        </w:rPr>
        <w:t xml:space="preserve">about </w:t>
      </w:r>
      <w:r w:rsidR="00D24F77" w:rsidRPr="007B06F9">
        <w:rPr>
          <w:rFonts w:cs="AkzidenzGroteskBE-Regular"/>
          <w:sz w:val="24"/>
          <w:szCs w:val="24"/>
        </w:rPr>
        <w:t>by the 2007 DM Law was the establishment of a dedicated agency for disaster management, the BNPB, where previously there was only an ad-hoc inter-ministerial council.</w:t>
      </w:r>
      <w:r w:rsidR="00090346" w:rsidRPr="007B06F9">
        <w:rPr>
          <w:rFonts w:cs="AkzidenzGroteskBE-Regular"/>
          <w:sz w:val="24"/>
          <w:szCs w:val="24"/>
        </w:rPr>
        <w:t xml:space="preserve"> </w:t>
      </w:r>
      <w:r w:rsidR="00805AE3" w:rsidRPr="007B06F9">
        <w:rPr>
          <w:rFonts w:cs="AkzidenzGroteskBE-Regular"/>
          <w:sz w:val="24"/>
          <w:szCs w:val="24"/>
        </w:rPr>
        <w:t xml:space="preserve">BNBP has the </w:t>
      </w:r>
      <w:r w:rsidR="00805AE3" w:rsidRPr="006E248F">
        <w:rPr>
          <w:sz w:val="24"/>
          <w:szCs w:val="24"/>
        </w:rPr>
        <w:t xml:space="preserve">mandate to command, coordinate and implement an integrated disaster management system. </w:t>
      </w:r>
      <w:r w:rsidR="00CC36C0" w:rsidRPr="006E248F">
        <w:rPr>
          <w:sz w:val="24"/>
          <w:szCs w:val="24"/>
        </w:rPr>
        <w:t>It</w:t>
      </w:r>
      <w:r w:rsidR="00805AE3" w:rsidRPr="006E248F">
        <w:rPr>
          <w:sz w:val="24"/>
          <w:szCs w:val="24"/>
        </w:rPr>
        <w:t xml:space="preserve"> falls under the coordination of the Coordinating Ministry for Social Welfare (</w:t>
      </w:r>
      <w:r w:rsidR="00805AE3" w:rsidRPr="006E248F">
        <w:rPr>
          <w:i/>
          <w:iCs/>
          <w:sz w:val="24"/>
          <w:szCs w:val="24"/>
        </w:rPr>
        <w:t>Menkokesra</w:t>
      </w:r>
      <w:r w:rsidR="00805AE3" w:rsidRPr="006E248F">
        <w:rPr>
          <w:sz w:val="24"/>
          <w:szCs w:val="24"/>
        </w:rPr>
        <w:t xml:space="preserve">), </w:t>
      </w:r>
      <w:r w:rsidR="00CC36C0" w:rsidRPr="006E248F">
        <w:rPr>
          <w:sz w:val="24"/>
          <w:szCs w:val="24"/>
        </w:rPr>
        <w:t xml:space="preserve">but its </w:t>
      </w:r>
      <w:r w:rsidR="00805AE3" w:rsidRPr="006E248F">
        <w:rPr>
          <w:sz w:val="24"/>
          <w:szCs w:val="24"/>
        </w:rPr>
        <w:t>Head reports directly to the President.</w:t>
      </w:r>
    </w:p>
    <w:p w14:paraId="4EC10B9E" w14:textId="77777777" w:rsidR="000A5406" w:rsidRDefault="000A5406" w:rsidP="007E538C">
      <w:pPr>
        <w:widowControl w:val="0"/>
        <w:tabs>
          <w:tab w:val="left" w:pos="220"/>
          <w:tab w:val="left" w:pos="720"/>
        </w:tabs>
        <w:autoSpaceDE w:val="0"/>
        <w:autoSpaceDN w:val="0"/>
        <w:adjustRightInd w:val="0"/>
        <w:spacing w:after="0" w:line="240" w:lineRule="auto"/>
        <w:rPr>
          <w:rFonts w:cs="AkzidenzGroteskBE-Regular"/>
          <w:sz w:val="24"/>
          <w:szCs w:val="24"/>
        </w:rPr>
      </w:pPr>
    </w:p>
    <w:p w14:paraId="5EE77F91" w14:textId="1BA14B3E" w:rsidR="000A5406" w:rsidRDefault="0062029F" w:rsidP="007E538C">
      <w:pPr>
        <w:widowControl w:val="0"/>
        <w:tabs>
          <w:tab w:val="left" w:pos="220"/>
          <w:tab w:val="left" w:pos="720"/>
        </w:tabs>
        <w:autoSpaceDE w:val="0"/>
        <w:autoSpaceDN w:val="0"/>
        <w:adjustRightInd w:val="0"/>
        <w:spacing w:after="0" w:line="240" w:lineRule="auto"/>
        <w:rPr>
          <w:rFonts w:cs="AkzidenzGroteskBE-Regular"/>
          <w:sz w:val="24"/>
          <w:szCs w:val="24"/>
        </w:rPr>
      </w:pPr>
      <w:r w:rsidRPr="00B61ED1">
        <w:rPr>
          <w:rFonts w:cs="AkzidenzGroteskBE-Regular"/>
          <w:sz w:val="24"/>
          <w:szCs w:val="24"/>
        </w:rPr>
        <w:t xml:space="preserve">Indonesia was </w:t>
      </w:r>
      <w:r>
        <w:rPr>
          <w:rFonts w:cs="AkzidenzGroteskBE-Regular"/>
          <w:sz w:val="24"/>
          <w:szCs w:val="24"/>
        </w:rPr>
        <w:t xml:space="preserve">also one of the first countries in </w:t>
      </w:r>
      <w:r w:rsidRPr="00B61ED1">
        <w:rPr>
          <w:rFonts w:cs="AkzidenzGroteskBE-Regular"/>
          <w:sz w:val="24"/>
          <w:szCs w:val="24"/>
        </w:rPr>
        <w:t xml:space="preserve">Asia </w:t>
      </w:r>
      <w:r>
        <w:rPr>
          <w:rFonts w:cs="AkzidenzGroteskBE-Regular"/>
          <w:sz w:val="24"/>
          <w:szCs w:val="24"/>
        </w:rPr>
        <w:t xml:space="preserve">to </w:t>
      </w:r>
      <w:r w:rsidR="00482C25" w:rsidRPr="00B61ED1">
        <w:rPr>
          <w:rFonts w:cs="AkzidenzGroteskBE-Regular"/>
          <w:sz w:val="24"/>
          <w:szCs w:val="24"/>
        </w:rPr>
        <w:t>formulate</w:t>
      </w:r>
      <w:r w:rsidRPr="00B61ED1">
        <w:rPr>
          <w:rFonts w:cs="AkzidenzGroteskBE-Regular"/>
          <w:sz w:val="24"/>
          <w:szCs w:val="24"/>
        </w:rPr>
        <w:t xml:space="preserve"> </w:t>
      </w:r>
      <w:r w:rsidR="00ED3EB9">
        <w:rPr>
          <w:rFonts w:cs="AkzidenzGroteskBE-Regular"/>
          <w:sz w:val="24"/>
          <w:szCs w:val="24"/>
        </w:rPr>
        <w:t>a</w:t>
      </w:r>
      <w:r w:rsidR="00ED3EB9" w:rsidRPr="00B61ED1">
        <w:rPr>
          <w:rFonts w:cs="AkzidenzGroteskBE-Regular"/>
          <w:sz w:val="24"/>
          <w:szCs w:val="24"/>
        </w:rPr>
        <w:t xml:space="preserve"> </w:t>
      </w:r>
      <w:r w:rsidR="00ED3EB9">
        <w:rPr>
          <w:rFonts w:cs="AkzidenzGroteskBE-Regular"/>
          <w:sz w:val="24"/>
          <w:szCs w:val="24"/>
        </w:rPr>
        <w:t>N</w:t>
      </w:r>
      <w:r w:rsidRPr="00B61ED1">
        <w:rPr>
          <w:rFonts w:cs="AkzidenzGroteskBE-Regular"/>
          <w:sz w:val="24"/>
          <w:szCs w:val="24"/>
        </w:rPr>
        <w:t xml:space="preserve">ational </w:t>
      </w:r>
      <w:r w:rsidR="00ED3EB9">
        <w:rPr>
          <w:rFonts w:cs="AkzidenzGroteskBE-Regular"/>
          <w:sz w:val="24"/>
          <w:szCs w:val="24"/>
        </w:rPr>
        <w:t>A</w:t>
      </w:r>
      <w:r w:rsidRPr="00B61ED1">
        <w:rPr>
          <w:rFonts w:cs="AkzidenzGroteskBE-Regular"/>
          <w:sz w:val="24"/>
          <w:szCs w:val="24"/>
        </w:rPr>
        <w:t xml:space="preserve">ction </w:t>
      </w:r>
      <w:r w:rsidR="00ED3EB9">
        <w:rPr>
          <w:rFonts w:cs="AkzidenzGroteskBE-Regular"/>
          <w:sz w:val="24"/>
          <w:szCs w:val="24"/>
        </w:rPr>
        <w:t>P</w:t>
      </w:r>
      <w:r w:rsidRPr="00B61ED1">
        <w:rPr>
          <w:rFonts w:cs="AkzidenzGroteskBE-Regular"/>
          <w:sz w:val="24"/>
          <w:szCs w:val="24"/>
        </w:rPr>
        <w:t xml:space="preserve">lan for </w:t>
      </w:r>
      <w:r w:rsidR="00ED3EB9">
        <w:rPr>
          <w:rFonts w:cs="AkzidenzGroteskBE-Regular"/>
          <w:sz w:val="24"/>
          <w:szCs w:val="24"/>
        </w:rPr>
        <w:t>D</w:t>
      </w:r>
      <w:r w:rsidRPr="00B61ED1">
        <w:rPr>
          <w:rFonts w:cs="AkzidenzGroteskBE-Regular"/>
          <w:sz w:val="24"/>
          <w:szCs w:val="24"/>
        </w:rPr>
        <w:t xml:space="preserve">isaster </w:t>
      </w:r>
      <w:r w:rsidR="00ED3EB9">
        <w:rPr>
          <w:rFonts w:cs="AkzidenzGroteskBE-Regular"/>
          <w:sz w:val="24"/>
          <w:szCs w:val="24"/>
        </w:rPr>
        <w:t>R</w:t>
      </w:r>
      <w:r w:rsidRPr="00B61ED1">
        <w:rPr>
          <w:rFonts w:cs="AkzidenzGroteskBE-Regular"/>
          <w:sz w:val="24"/>
          <w:szCs w:val="24"/>
        </w:rPr>
        <w:t>isk reduction (NAP-DRR)</w:t>
      </w:r>
      <w:r w:rsidR="00B3264B">
        <w:rPr>
          <w:rStyle w:val="FootnoteReference"/>
          <w:rFonts w:cs="AkzidenzGroteskBE-Regular"/>
          <w:sz w:val="24"/>
          <w:szCs w:val="24"/>
        </w:rPr>
        <w:footnoteReference w:id="6"/>
      </w:r>
      <w:r w:rsidRPr="00B61ED1">
        <w:rPr>
          <w:rFonts w:cs="AkzidenzGroteskBE-Regular"/>
          <w:sz w:val="24"/>
          <w:szCs w:val="24"/>
        </w:rPr>
        <w:t xml:space="preserve">, </w:t>
      </w:r>
      <w:r w:rsidR="00E01F49">
        <w:rPr>
          <w:rFonts w:cs="AkzidenzGroteskBE-Regular"/>
          <w:sz w:val="24"/>
          <w:szCs w:val="24"/>
        </w:rPr>
        <w:t>a</w:t>
      </w:r>
      <w:r w:rsidRPr="00B61ED1">
        <w:rPr>
          <w:rFonts w:cs="AkzidenzGroteskBE-Regular"/>
          <w:sz w:val="24"/>
          <w:szCs w:val="24"/>
        </w:rPr>
        <w:t xml:space="preserve"> priority </w:t>
      </w:r>
      <w:r w:rsidR="00E01F49">
        <w:rPr>
          <w:rFonts w:cs="AkzidenzGroteskBE-Regular"/>
          <w:sz w:val="24"/>
          <w:szCs w:val="24"/>
        </w:rPr>
        <w:t xml:space="preserve">action </w:t>
      </w:r>
      <w:r w:rsidRPr="00B61ED1">
        <w:rPr>
          <w:rFonts w:cs="AkzidenzGroteskBE-Regular"/>
          <w:sz w:val="24"/>
          <w:szCs w:val="24"/>
        </w:rPr>
        <w:t>of the Hyogo Framework for Action (HFA)</w:t>
      </w:r>
      <w:r w:rsidR="00E01F49">
        <w:rPr>
          <w:rStyle w:val="FootnoteReference"/>
          <w:rFonts w:cs="AkzidenzGroteskBE-Regular"/>
          <w:sz w:val="24"/>
          <w:szCs w:val="24"/>
        </w:rPr>
        <w:footnoteReference w:id="7"/>
      </w:r>
      <w:r w:rsidRPr="00B61ED1">
        <w:rPr>
          <w:rFonts w:cs="AkzidenzGroteskBE-Regular"/>
          <w:sz w:val="24"/>
          <w:szCs w:val="24"/>
        </w:rPr>
        <w:t>.</w:t>
      </w:r>
    </w:p>
    <w:p w14:paraId="49C02B80" w14:textId="77777777" w:rsidR="000A5406" w:rsidRDefault="000A5406" w:rsidP="007E538C">
      <w:pPr>
        <w:widowControl w:val="0"/>
        <w:tabs>
          <w:tab w:val="left" w:pos="220"/>
          <w:tab w:val="left" w:pos="720"/>
        </w:tabs>
        <w:autoSpaceDE w:val="0"/>
        <w:autoSpaceDN w:val="0"/>
        <w:adjustRightInd w:val="0"/>
        <w:spacing w:after="0" w:line="240" w:lineRule="auto"/>
        <w:rPr>
          <w:rFonts w:cs="AkzidenzGroteskBE-Regular"/>
          <w:sz w:val="24"/>
          <w:szCs w:val="24"/>
        </w:rPr>
      </w:pPr>
    </w:p>
    <w:p w14:paraId="0FE4FB2C" w14:textId="5AE09FAF" w:rsidR="007E538C" w:rsidRDefault="007E538C" w:rsidP="007E538C">
      <w:pPr>
        <w:widowControl w:val="0"/>
        <w:tabs>
          <w:tab w:val="left" w:pos="220"/>
          <w:tab w:val="left" w:pos="720"/>
        </w:tabs>
        <w:autoSpaceDE w:val="0"/>
        <w:autoSpaceDN w:val="0"/>
        <w:adjustRightInd w:val="0"/>
        <w:spacing w:after="0" w:line="240" w:lineRule="auto"/>
        <w:rPr>
          <w:rFonts w:cs="Arial"/>
          <w:color w:val="000000"/>
          <w:sz w:val="24"/>
          <w:szCs w:val="24"/>
        </w:rPr>
      </w:pPr>
      <w:r w:rsidRPr="00B61ED1">
        <w:rPr>
          <w:rFonts w:cs="Arial"/>
          <w:color w:val="000000"/>
          <w:sz w:val="24"/>
          <w:szCs w:val="24"/>
        </w:rPr>
        <w:t xml:space="preserve">While the establishment of Indonesia’s DM Law and </w:t>
      </w:r>
      <w:r w:rsidR="0062029F">
        <w:rPr>
          <w:rFonts w:cs="Arial"/>
          <w:color w:val="000000"/>
          <w:sz w:val="24"/>
          <w:szCs w:val="24"/>
        </w:rPr>
        <w:t xml:space="preserve">NAP-DRR </w:t>
      </w:r>
      <w:r w:rsidRPr="00B61ED1">
        <w:rPr>
          <w:rFonts w:cs="Arial"/>
          <w:color w:val="000000"/>
          <w:sz w:val="24"/>
          <w:szCs w:val="24"/>
        </w:rPr>
        <w:t xml:space="preserve">are hugely important </w:t>
      </w:r>
      <w:r w:rsidR="0062029F">
        <w:rPr>
          <w:rFonts w:cs="Arial"/>
          <w:color w:val="000000"/>
          <w:sz w:val="24"/>
          <w:szCs w:val="24"/>
        </w:rPr>
        <w:t>–</w:t>
      </w:r>
      <w:r w:rsidRPr="00B61ED1">
        <w:rPr>
          <w:rFonts w:cs="Arial"/>
          <w:color w:val="000000"/>
          <w:sz w:val="24"/>
          <w:szCs w:val="24"/>
        </w:rPr>
        <w:t xml:space="preserve"> </w:t>
      </w:r>
      <w:r w:rsidR="0062029F">
        <w:rPr>
          <w:rFonts w:cs="Arial"/>
          <w:color w:val="000000"/>
          <w:sz w:val="24"/>
          <w:szCs w:val="24"/>
        </w:rPr>
        <w:t xml:space="preserve">the country’s </w:t>
      </w:r>
      <w:r w:rsidR="00010D0E">
        <w:rPr>
          <w:rFonts w:cs="Arial"/>
          <w:color w:val="000000"/>
          <w:sz w:val="24"/>
          <w:szCs w:val="24"/>
        </w:rPr>
        <w:t xml:space="preserve">disaster management </w:t>
      </w:r>
      <w:r w:rsidR="0062029F">
        <w:rPr>
          <w:rFonts w:cs="Arial"/>
          <w:color w:val="000000"/>
          <w:sz w:val="24"/>
          <w:szCs w:val="24"/>
        </w:rPr>
        <w:t xml:space="preserve">system is still in its infancy, and </w:t>
      </w:r>
      <w:r w:rsidR="00EA74C0">
        <w:rPr>
          <w:rFonts w:cs="Arial"/>
          <w:color w:val="000000"/>
          <w:sz w:val="24"/>
          <w:szCs w:val="24"/>
        </w:rPr>
        <w:t xml:space="preserve">requires significant further development, </w:t>
      </w:r>
      <w:r w:rsidR="000A5406">
        <w:rPr>
          <w:rFonts w:cs="Arial"/>
          <w:color w:val="000000"/>
          <w:sz w:val="24"/>
          <w:szCs w:val="24"/>
        </w:rPr>
        <w:t>(</w:t>
      </w:r>
      <w:r w:rsidR="00EA74C0">
        <w:rPr>
          <w:rFonts w:cs="Arial"/>
          <w:color w:val="000000"/>
          <w:sz w:val="24"/>
          <w:szCs w:val="24"/>
        </w:rPr>
        <w:t>and resourcing</w:t>
      </w:r>
      <w:r w:rsidR="000A5406">
        <w:rPr>
          <w:rFonts w:cs="Arial"/>
          <w:color w:val="000000"/>
          <w:sz w:val="24"/>
          <w:szCs w:val="24"/>
        </w:rPr>
        <w:t>)</w:t>
      </w:r>
      <w:r>
        <w:rPr>
          <w:rFonts w:cs="Arial"/>
          <w:color w:val="000000"/>
          <w:sz w:val="24"/>
          <w:szCs w:val="24"/>
        </w:rPr>
        <w:t>.</w:t>
      </w:r>
      <w:r w:rsidRPr="007E538C">
        <w:rPr>
          <w:rFonts w:cs="Arial"/>
          <w:color w:val="000000"/>
          <w:sz w:val="24"/>
          <w:szCs w:val="24"/>
        </w:rPr>
        <w:t xml:space="preserve"> </w:t>
      </w:r>
      <w:r w:rsidR="00EA74C0">
        <w:rPr>
          <w:rFonts w:cs="Arial"/>
          <w:color w:val="000000"/>
          <w:sz w:val="24"/>
          <w:szCs w:val="24"/>
        </w:rPr>
        <w:t xml:space="preserve">The World Bank’s Global Facility for Disaster </w:t>
      </w:r>
      <w:r w:rsidR="009A2E2B" w:rsidRPr="00531509">
        <w:rPr>
          <w:rFonts w:cs="Calibri"/>
          <w:color w:val="000000"/>
          <w:sz w:val="24"/>
          <w:szCs w:val="24"/>
        </w:rPr>
        <w:t xml:space="preserve">Reduction and Recovery </w:t>
      </w:r>
      <w:r w:rsidR="00EA74C0">
        <w:rPr>
          <w:rFonts w:cs="Arial"/>
          <w:color w:val="000000"/>
          <w:sz w:val="24"/>
          <w:szCs w:val="24"/>
        </w:rPr>
        <w:t>(</w:t>
      </w:r>
      <w:r w:rsidR="0062029F">
        <w:rPr>
          <w:rFonts w:cs="Arial"/>
          <w:color w:val="000000"/>
          <w:sz w:val="24"/>
          <w:szCs w:val="24"/>
        </w:rPr>
        <w:t>GFDRR</w:t>
      </w:r>
      <w:r w:rsidR="00EA74C0">
        <w:rPr>
          <w:rFonts w:cs="Arial"/>
          <w:color w:val="000000"/>
          <w:sz w:val="24"/>
          <w:szCs w:val="24"/>
        </w:rPr>
        <w:t xml:space="preserve">) </w:t>
      </w:r>
      <w:r w:rsidR="0062029F">
        <w:rPr>
          <w:rFonts w:cs="Arial"/>
          <w:color w:val="000000"/>
          <w:sz w:val="24"/>
          <w:szCs w:val="24"/>
        </w:rPr>
        <w:t xml:space="preserve">country profile for Indonesia </w:t>
      </w:r>
      <w:r w:rsidR="00E01F49">
        <w:rPr>
          <w:rFonts w:cs="Arial"/>
          <w:color w:val="000000"/>
          <w:sz w:val="24"/>
          <w:szCs w:val="24"/>
        </w:rPr>
        <w:t>(</w:t>
      </w:r>
      <w:r w:rsidR="00EA74C0">
        <w:rPr>
          <w:rFonts w:cs="Arial"/>
          <w:color w:val="000000"/>
          <w:sz w:val="24"/>
          <w:szCs w:val="24"/>
        </w:rPr>
        <w:t>2010</w:t>
      </w:r>
      <w:r w:rsidR="00E01F49">
        <w:rPr>
          <w:rFonts w:cs="Arial"/>
          <w:color w:val="000000"/>
          <w:sz w:val="24"/>
          <w:szCs w:val="24"/>
        </w:rPr>
        <w:t>)</w:t>
      </w:r>
      <w:r w:rsidR="00EA74C0">
        <w:rPr>
          <w:rFonts w:cs="Arial"/>
          <w:color w:val="000000"/>
          <w:sz w:val="24"/>
          <w:szCs w:val="24"/>
        </w:rPr>
        <w:t xml:space="preserve"> </w:t>
      </w:r>
      <w:r w:rsidR="00C34567">
        <w:rPr>
          <w:rFonts w:cs="Arial"/>
          <w:color w:val="000000"/>
          <w:sz w:val="24"/>
          <w:szCs w:val="24"/>
        </w:rPr>
        <w:t>found</w:t>
      </w:r>
      <w:r w:rsidR="00E01F49">
        <w:rPr>
          <w:rFonts w:cs="Arial"/>
          <w:color w:val="000000"/>
          <w:sz w:val="24"/>
          <w:szCs w:val="24"/>
        </w:rPr>
        <w:t xml:space="preserve"> that</w:t>
      </w:r>
      <w:r w:rsidR="00C34567">
        <w:rPr>
          <w:rFonts w:cs="Arial"/>
          <w:color w:val="000000"/>
          <w:sz w:val="24"/>
          <w:szCs w:val="24"/>
        </w:rPr>
        <w:t>:</w:t>
      </w:r>
      <w:r w:rsidR="0062029F">
        <w:rPr>
          <w:rFonts w:cs="Arial"/>
          <w:color w:val="000000"/>
          <w:sz w:val="24"/>
          <w:szCs w:val="24"/>
        </w:rPr>
        <w:t xml:space="preserve"> </w:t>
      </w:r>
      <w:r w:rsidR="00EA74C0" w:rsidRPr="00EA74C0">
        <w:rPr>
          <w:rFonts w:cs="Arial"/>
          <w:i/>
          <w:color w:val="000000"/>
          <w:sz w:val="24"/>
          <w:szCs w:val="24"/>
        </w:rPr>
        <w:t>“</w:t>
      </w:r>
      <w:r w:rsidR="0062029F" w:rsidRPr="00EA74C0">
        <w:rPr>
          <w:rFonts w:cs="Arial"/>
          <w:i/>
          <w:color w:val="000000"/>
          <w:sz w:val="24"/>
          <w:szCs w:val="24"/>
        </w:rPr>
        <w:t xml:space="preserve">a </w:t>
      </w:r>
      <w:r w:rsidRPr="00EA74C0">
        <w:rPr>
          <w:rFonts w:cs="Arial"/>
          <w:i/>
          <w:color w:val="000000"/>
          <w:sz w:val="24"/>
          <w:szCs w:val="24"/>
        </w:rPr>
        <w:t xml:space="preserve">major development effort is required to support the implementation, and in some cases further development of </w:t>
      </w:r>
      <w:r w:rsidR="0062029F" w:rsidRPr="00EA74C0">
        <w:rPr>
          <w:rFonts w:cs="Arial"/>
          <w:i/>
          <w:color w:val="000000"/>
          <w:sz w:val="24"/>
          <w:szCs w:val="24"/>
        </w:rPr>
        <w:t>the country’s new DRM l</w:t>
      </w:r>
      <w:r w:rsidRPr="00EA74C0">
        <w:rPr>
          <w:rFonts w:cs="Arial"/>
          <w:i/>
          <w:color w:val="000000"/>
          <w:sz w:val="24"/>
          <w:szCs w:val="24"/>
        </w:rPr>
        <w:t>aws; build capacity of national and local disaster management agencies to perform their mandate</w:t>
      </w:r>
      <w:r w:rsidR="0062029F" w:rsidRPr="00EA74C0">
        <w:rPr>
          <w:rFonts w:cs="Arial"/>
          <w:i/>
          <w:color w:val="000000"/>
          <w:sz w:val="24"/>
          <w:szCs w:val="24"/>
        </w:rPr>
        <w:t>d</w:t>
      </w:r>
      <w:r w:rsidRPr="00EA74C0">
        <w:rPr>
          <w:rFonts w:cs="Arial"/>
          <w:i/>
          <w:color w:val="000000"/>
          <w:sz w:val="24"/>
          <w:szCs w:val="24"/>
        </w:rPr>
        <w:t xml:space="preserve"> functions; and strengthen community disaster resilience</w:t>
      </w:r>
      <w:r w:rsidR="00EA74C0">
        <w:rPr>
          <w:rFonts w:cs="Arial"/>
          <w:color w:val="000000"/>
          <w:sz w:val="24"/>
          <w:szCs w:val="24"/>
        </w:rPr>
        <w:t>”</w:t>
      </w:r>
      <w:r w:rsidR="001A6F0A">
        <w:rPr>
          <w:rStyle w:val="FootnoteReference"/>
          <w:rFonts w:cs="Arial"/>
          <w:color w:val="000000"/>
          <w:sz w:val="24"/>
          <w:szCs w:val="24"/>
        </w:rPr>
        <w:footnoteReference w:id="8"/>
      </w:r>
      <w:r>
        <w:rPr>
          <w:rFonts w:cs="Arial"/>
          <w:color w:val="000000"/>
          <w:sz w:val="24"/>
          <w:szCs w:val="24"/>
        </w:rPr>
        <w:t xml:space="preserve">. </w:t>
      </w:r>
      <w:r w:rsidR="000A5406">
        <w:rPr>
          <w:rFonts w:cs="Arial"/>
          <w:color w:val="000000"/>
          <w:sz w:val="24"/>
          <w:szCs w:val="24"/>
        </w:rPr>
        <w:t>GFDRR’s country report states</w:t>
      </w:r>
      <w:r>
        <w:rPr>
          <w:rFonts w:cs="Arial"/>
          <w:color w:val="000000"/>
          <w:sz w:val="24"/>
          <w:szCs w:val="24"/>
        </w:rPr>
        <w:t xml:space="preserve"> </w:t>
      </w:r>
      <w:r w:rsidR="00010D0E">
        <w:rPr>
          <w:rFonts w:cs="Arial"/>
          <w:color w:val="000000"/>
          <w:sz w:val="24"/>
          <w:szCs w:val="24"/>
        </w:rPr>
        <w:t>“</w:t>
      </w:r>
      <w:r w:rsidR="000A5406" w:rsidRPr="00B31B1F">
        <w:rPr>
          <w:rFonts w:cs="Arial"/>
          <w:i/>
          <w:color w:val="000000"/>
          <w:sz w:val="24"/>
          <w:szCs w:val="24"/>
        </w:rPr>
        <w:t xml:space="preserve">further investment in Indonesia’s DRM system is critically important to supporting the country’s ongoing development </w:t>
      </w:r>
      <w:r w:rsidR="00010D0E" w:rsidRPr="00B31B1F">
        <w:rPr>
          <w:rFonts w:cs="Arial"/>
          <w:i/>
          <w:color w:val="000000"/>
          <w:sz w:val="24"/>
          <w:szCs w:val="24"/>
        </w:rPr>
        <w:t>efforts</w:t>
      </w:r>
      <w:r w:rsidR="00010D0E">
        <w:rPr>
          <w:rFonts w:cs="Arial"/>
          <w:color w:val="000000"/>
          <w:sz w:val="24"/>
          <w:szCs w:val="24"/>
        </w:rPr>
        <w:t>”</w:t>
      </w:r>
      <w:r w:rsidR="00010D0E">
        <w:rPr>
          <w:rStyle w:val="FootnoteReference"/>
          <w:rFonts w:cs="Arial"/>
          <w:color w:val="000000"/>
          <w:sz w:val="24"/>
          <w:szCs w:val="24"/>
        </w:rPr>
        <w:footnoteReference w:id="9"/>
      </w:r>
      <w:r w:rsidR="000A5406">
        <w:rPr>
          <w:rFonts w:cs="Arial"/>
          <w:color w:val="000000"/>
          <w:sz w:val="24"/>
          <w:szCs w:val="24"/>
        </w:rPr>
        <w:t>. It also notes the most substantial gaps in capacity and resourcing for DRR exist at the sub-national level.</w:t>
      </w:r>
    </w:p>
    <w:p w14:paraId="0A6B4C57" w14:textId="5CDEC564" w:rsidR="00234B69" w:rsidRDefault="00234B69" w:rsidP="00090346">
      <w:pPr>
        <w:autoSpaceDE w:val="0"/>
        <w:autoSpaceDN w:val="0"/>
        <w:adjustRightInd w:val="0"/>
        <w:spacing w:after="0" w:line="240" w:lineRule="auto"/>
        <w:rPr>
          <w:rFonts w:cs="AkzidenzGroteskBE-Regular"/>
          <w:sz w:val="24"/>
          <w:szCs w:val="24"/>
        </w:rPr>
      </w:pPr>
    </w:p>
    <w:p w14:paraId="4B6ABB91" w14:textId="69E7EAD2" w:rsidR="00611CAA" w:rsidRPr="00705CFC" w:rsidRDefault="00705CFC" w:rsidP="00705CFC">
      <w:pPr>
        <w:pStyle w:val="Heading2"/>
      </w:pPr>
      <w:bookmarkStart w:id="7" w:name="_Toc402431246"/>
      <w:r w:rsidRPr="00705CFC">
        <w:t>1</w:t>
      </w:r>
      <w:r w:rsidR="00C45908" w:rsidRPr="00705CFC">
        <w:t>.</w:t>
      </w:r>
      <w:r w:rsidRPr="00705CFC">
        <w:t>2</w:t>
      </w:r>
      <w:r w:rsidR="00C45908" w:rsidRPr="00705CFC">
        <w:tab/>
      </w:r>
      <w:r w:rsidR="0083791F" w:rsidRPr="00705CFC">
        <w:t>History of AIFDR</w:t>
      </w:r>
      <w:bookmarkEnd w:id="7"/>
    </w:p>
    <w:p w14:paraId="7D55A316" w14:textId="77777777" w:rsidR="00C45908" w:rsidRPr="00C45908" w:rsidRDefault="00C45908" w:rsidP="00C45908">
      <w:pPr>
        <w:spacing w:after="0"/>
      </w:pPr>
    </w:p>
    <w:p w14:paraId="0A625A91" w14:textId="765AE180" w:rsidR="00917A45" w:rsidRDefault="00A423A6" w:rsidP="008E2E0A">
      <w:pPr>
        <w:pStyle w:val="NormalWeb"/>
        <w:shd w:val="clear" w:color="auto" w:fill="FFFFFF"/>
        <w:spacing w:before="0" w:beforeAutospacing="0" w:after="0" w:afterAutospacing="0"/>
        <w:rPr>
          <w:rFonts w:asciiTheme="minorHAnsi" w:hAnsiTheme="minorHAnsi" w:cs="Arial"/>
          <w:color w:val="000000" w:themeColor="text1"/>
          <w:lang w:val="en-US"/>
        </w:rPr>
      </w:pPr>
      <w:r w:rsidRPr="00F06E1A">
        <w:rPr>
          <w:rFonts w:asciiTheme="minorHAnsi" w:hAnsiTheme="minorHAnsi" w:cs="Arial"/>
          <w:color w:val="000000" w:themeColor="text1"/>
          <w:lang w:val="en-US"/>
        </w:rPr>
        <w:t xml:space="preserve">AIFDR </w:t>
      </w:r>
      <w:r w:rsidR="00EA74C0">
        <w:rPr>
          <w:rFonts w:asciiTheme="minorHAnsi" w:hAnsiTheme="minorHAnsi" w:cs="Arial"/>
          <w:color w:val="000000" w:themeColor="text1"/>
          <w:lang w:val="en-US"/>
        </w:rPr>
        <w:t>is</w:t>
      </w:r>
      <w:r w:rsidR="00184DAF">
        <w:rPr>
          <w:rFonts w:asciiTheme="minorHAnsi" w:hAnsiTheme="minorHAnsi" w:cs="Arial"/>
          <w:color w:val="000000" w:themeColor="text1"/>
          <w:lang w:val="en-US"/>
        </w:rPr>
        <w:t xml:space="preserve"> </w:t>
      </w:r>
      <w:r w:rsidR="003D0335" w:rsidRPr="00F06E1A">
        <w:rPr>
          <w:rFonts w:asciiTheme="minorHAnsi" w:hAnsiTheme="minorHAnsi" w:cs="Arial"/>
          <w:color w:val="000000" w:themeColor="text1"/>
          <w:lang w:val="en-US"/>
        </w:rPr>
        <w:t xml:space="preserve">a political initiative </w:t>
      </w:r>
      <w:r w:rsidRPr="00F06E1A">
        <w:rPr>
          <w:rFonts w:asciiTheme="minorHAnsi" w:hAnsiTheme="minorHAnsi" w:cs="Arial"/>
          <w:color w:val="000000" w:themeColor="text1"/>
          <w:lang w:val="en-US"/>
        </w:rPr>
        <w:t xml:space="preserve">of the </w:t>
      </w:r>
      <w:r w:rsidR="008E2E0A" w:rsidRPr="00F06E1A">
        <w:rPr>
          <w:rFonts w:asciiTheme="minorHAnsi" w:hAnsiTheme="minorHAnsi" w:cs="Arial"/>
          <w:color w:val="000000" w:themeColor="text1"/>
          <w:lang w:val="en-US"/>
        </w:rPr>
        <w:t>ex-</w:t>
      </w:r>
      <w:r w:rsidR="00E33FD4" w:rsidRPr="00F06E1A">
        <w:rPr>
          <w:rFonts w:asciiTheme="minorHAnsi" w:hAnsiTheme="minorHAnsi" w:cs="Arial"/>
          <w:color w:val="000000" w:themeColor="text1"/>
          <w:lang w:val="en-US"/>
        </w:rPr>
        <w:t>Prime Minister of Australia</w:t>
      </w:r>
      <w:r w:rsidR="00E01F49">
        <w:rPr>
          <w:rFonts w:asciiTheme="minorHAnsi" w:hAnsiTheme="minorHAnsi" w:cs="Arial"/>
          <w:color w:val="000000" w:themeColor="text1"/>
          <w:lang w:val="en-US"/>
        </w:rPr>
        <w:t>,</w:t>
      </w:r>
      <w:r w:rsidR="008E2E0A" w:rsidRPr="00F06E1A">
        <w:rPr>
          <w:rFonts w:asciiTheme="minorHAnsi" w:hAnsiTheme="minorHAnsi" w:cs="Arial"/>
          <w:color w:val="000000" w:themeColor="text1"/>
          <w:lang w:val="en-US"/>
        </w:rPr>
        <w:t xml:space="preserve"> </w:t>
      </w:r>
      <w:r w:rsidR="00196639" w:rsidRPr="00F06E1A">
        <w:rPr>
          <w:rFonts w:asciiTheme="minorHAnsi" w:hAnsiTheme="minorHAnsi" w:cs="Arial"/>
          <w:color w:val="000000" w:themeColor="text1"/>
          <w:lang w:val="en-US"/>
        </w:rPr>
        <w:t xml:space="preserve">Kevin </w:t>
      </w:r>
      <w:r w:rsidR="008E2E0A" w:rsidRPr="00F06E1A">
        <w:rPr>
          <w:rFonts w:asciiTheme="minorHAnsi" w:hAnsiTheme="minorHAnsi" w:cs="Arial"/>
          <w:color w:val="000000" w:themeColor="text1"/>
          <w:lang w:val="en-US"/>
        </w:rPr>
        <w:t>Rudd</w:t>
      </w:r>
      <w:r w:rsidR="00E01F49">
        <w:rPr>
          <w:rFonts w:asciiTheme="minorHAnsi" w:hAnsiTheme="minorHAnsi" w:cs="Arial"/>
          <w:color w:val="000000" w:themeColor="text1"/>
          <w:lang w:val="en-US"/>
        </w:rPr>
        <w:t>,</w:t>
      </w:r>
      <w:r w:rsidR="00E33FD4" w:rsidRPr="00F06E1A">
        <w:rPr>
          <w:rFonts w:asciiTheme="minorHAnsi" w:hAnsiTheme="minorHAnsi" w:cs="Arial"/>
          <w:color w:val="000000" w:themeColor="text1"/>
          <w:lang w:val="en-US"/>
        </w:rPr>
        <w:t xml:space="preserve"> and the </w:t>
      </w:r>
      <w:r w:rsidR="008E2E0A" w:rsidRPr="00F06E1A">
        <w:rPr>
          <w:rFonts w:asciiTheme="minorHAnsi" w:hAnsiTheme="minorHAnsi" w:cs="Arial"/>
          <w:color w:val="000000" w:themeColor="text1"/>
          <w:lang w:val="en-US"/>
        </w:rPr>
        <w:t>ex-</w:t>
      </w:r>
      <w:r w:rsidR="00E33FD4" w:rsidRPr="00F06E1A">
        <w:rPr>
          <w:rFonts w:asciiTheme="minorHAnsi" w:hAnsiTheme="minorHAnsi" w:cs="Arial"/>
          <w:color w:val="000000" w:themeColor="text1"/>
          <w:lang w:val="en-US"/>
        </w:rPr>
        <w:t xml:space="preserve">President of </w:t>
      </w:r>
      <w:r w:rsidR="00E33FD4" w:rsidRPr="00B81DAD">
        <w:rPr>
          <w:rFonts w:asciiTheme="minorHAnsi" w:hAnsiTheme="minorHAnsi" w:cs="Arial"/>
          <w:color w:val="000000" w:themeColor="text1"/>
          <w:lang w:val="en-US"/>
        </w:rPr>
        <w:t>Indonesia</w:t>
      </w:r>
      <w:r w:rsidR="00E01F49">
        <w:rPr>
          <w:rFonts w:asciiTheme="minorHAnsi" w:hAnsiTheme="minorHAnsi" w:cs="Arial"/>
          <w:color w:val="000000" w:themeColor="text1"/>
          <w:lang w:val="en-US"/>
        </w:rPr>
        <w:t>,</w:t>
      </w:r>
      <w:r w:rsidRPr="00B81DAD">
        <w:rPr>
          <w:rFonts w:asciiTheme="minorHAnsi" w:hAnsiTheme="minorHAnsi" w:cs="Arial"/>
          <w:color w:val="000000" w:themeColor="text1"/>
          <w:lang w:val="en-US"/>
        </w:rPr>
        <w:t xml:space="preserve"> </w:t>
      </w:r>
      <w:r w:rsidR="00B81DAD" w:rsidRPr="00B81DAD">
        <w:rPr>
          <w:rFonts w:asciiTheme="minorHAnsi" w:hAnsiTheme="minorHAnsi" w:cs="Arial"/>
          <w:color w:val="000000"/>
        </w:rPr>
        <w:t xml:space="preserve">Susilo Bambang </w:t>
      </w:r>
      <w:r w:rsidR="00482C25" w:rsidRPr="00B81DAD">
        <w:rPr>
          <w:rFonts w:asciiTheme="minorHAnsi" w:hAnsiTheme="minorHAnsi" w:cs="Arial"/>
          <w:color w:val="000000" w:themeColor="text1"/>
          <w:lang w:val="en-US"/>
        </w:rPr>
        <w:t>Yudhoyono</w:t>
      </w:r>
      <w:r w:rsidR="00917A45">
        <w:rPr>
          <w:rFonts w:asciiTheme="minorHAnsi" w:hAnsiTheme="minorHAnsi" w:cs="Arial"/>
          <w:color w:val="000000" w:themeColor="text1"/>
          <w:lang w:val="en-US"/>
        </w:rPr>
        <w:t>. It was</w:t>
      </w:r>
      <w:r w:rsidR="00917A45" w:rsidRPr="00F06E1A">
        <w:rPr>
          <w:rFonts w:asciiTheme="minorHAnsi" w:hAnsiTheme="minorHAnsi" w:cs="Arial"/>
          <w:color w:val="000000" w:themeColor="text1"/>
          <w:lang w:val="en-US"/>
        </w:rPr>
        <w:t xml:space="preserve"> formally announced at </w:t>
      </w:r>
      <w:r w:rsidR="00917A45">
        <w:rPr>
          <w:rFonts w:asciiTheme="minorHAnsi" w:hAnsiTheme="minorHAnsi" w:cs="Arial"/>
          <w:color w:val="000000" w:themeColor="text1"/>
          <w:lang w:val="en-US"/>
        </w:rPr>
        <w:t xml:space="preserve">the </w:t>
      </w:r>
      <w:r w:rsidR="00917A45" w:rsidRPr="00F06E1A">
        <w:rPr>
          <w:rFonts w:asciiTheme="minorHAnsi" w:hAnsiTheme="minorHAnsi" w:cs="Arial"/>
          <w:color w:val="000000" w:themeColor="text1"/>
          <w:lang w:val="en-US"/>
        </w:rPr>
        <w:t>Asia</w:t>
      </w:r>
      <w:r w:rsidR="00E01F49">
        <w:rPr>
          <w:rFonts w:asciiTheme="minorHAnsi" w:hAnsiTheme="minorHAnsi" w:cs="Arial"/>
          <w:color w:val="000000" w:themeColor="text1"/>
          <w:lang w:val="en-US"/>
        </w:rPr>
        <w:t>-</w:t>
      </w:r>
      <w:r w:rsidR="00917A45" w:rsidRPr="00F06E1A">
        <w:rPr>
          <w:rFonts w:asciiTheme="minorHAnsi" w:hAnsiTheme="minorHAnsi" w:cs="Arial"/>
          <w:color w:val="000000" w:themeColor="text1"/>
          <w:lang w:val="en-US"/>
        </w:rPr>
        <w:t>Pacific Economic Cooperation (APEC) meetings in 2008</w:t>
      </w:r>
      <w:r w:rsidR="00E01F49">
        <w:rPr>
          <w:rFonts w:asciiTheme="minorHAnsi" w:hAnsiTheme="minorHAnsi" w:cs="Arial"/>
          <w:color w:val="000000" w:themeColor="text1"/>
          <w:lang w:val="en-US"/>
        </w:rPr>
        <w:t xml:space="preserve"> and was</w:t>
      </w:r>
      <w:r w:rsidR="00917A45">
        <w:rPr>
          <w:rFonts w:asciiTheme="minorHAnsi" w:hAnsiTheme="minorHAnsi" w:cs="Arial"/>
          <w:color w:val="000000" w:themeColor="text1"/>
          <w:lang w:val="en-US"/>
        </w:rPr>
        <w:t xml:space="preserve"> a result </w:t>
      </w:r>
      <w:r w:rsidR="008611D0">
        <w:rPr>
          <w:rFonts w:asciiTheme="minorHAnsi" w:hAnsiTheme="minorHAnsi" w:cs="Arial"/>
          <w:color w:val="000000" w:themeColor="text1"/>
          <w:lang w:val="en-US"/>
        </w:rPr>
        <w:t xml:space="preserve">of </w:t>
      </w:r>
      <w:r w:rsidR="00917A45">
        <w:rPr>
          <w:rFonts w:asciiTheme="minorHAnsi" w:hAnsiTheme="minorHAnsi" w:cs="Arial"/>
          <w:color w:val="000000" w:themeColor="text1"/>
          <w:lang w:val="en-US"/>
        </w:rPr>
        <w:t xml:space="preserve">concerns at the highest political level </w:t>
      </w:r>
      <w:r w:rsidR="00E01F49">
        <w:rPr>
          <w:rFonts w:asciiTheme="minorHAnsi" w:hAnsiTheme="minorHAnsi" w:cs="Arial"/>
          <w:color w:val="000000" w:themeColor="text1"/>
          <w:lang w:val="en-US"/>
        </w:rPr>
        <w:t>about</w:t>
      </w:r>
      <w:r w:rsidR="00917A45">
        <w:rPr>
          <w:rFonts w:asciiTheme="minorHAnsi" w:hAnsiTheme="minorHAnsi" w:cs="Arial"/>
          <w:color w:val="000000" w:themeColor="text1"/>
          <w:lang w:val="en-US"/>
        </w:rPr>
        <w:t xml:space="preserve"> </w:t>
      </w:r>
      <w:r w:rsidR="000A5406">
        <w:rPr>
          <w:rFonts w:asciiTheme="minorHAnsi" w:hAnsiTheme="minorHAnsi" w:cs="Arial"/>
          <w:color w:val="000000" w:themeColor="text1"/>
          <w:lang w:val="en-US"/>
        </w:rPr>
        <w:t>limited</w:t>
      </w:r>
      <w:r w:rsidR="00917A45">
        <w:rPr>
          <w:rFonts w:asciiTheme="minorHAnsi" w:hAnsiTheme="minorHAnsi" w:cs="Arial"/>
          <w:color w:val="000000" w:themeColor="text1"/>
          <w:lang w:val="en-US"/>
        </w:rPr>
        <w:t xml:space="preserve"> capacity to respond to large scale natural disasters</w:t>
      </w:r>
      <w:r w:rsidR="000A5406">
        <w:rPr>
          <w:rFonts w:asciiTheme="minorHAnsi" w:hAnsiTheme="minorHAnsi" w:cs="Arial"/>
          <w:color w:val="000000" w:themeColor="text1"/>
          <w:lang w:val="en-US"/>
        </w:rPr>
        <w:t xml:space="preserve"> in East Asia</w:t>
      </w:r>
      <w:r w:rsidR="00917A45">
        <w:rPr>
          <w:rFonts w:asciiTheme="minorHAnsi" w:hAnsiTheme="minorHAnsi" w:cs="Arial"/>
          <w:color w:val="000000" w:themeColor="text1"/>
          <w:lang w:val="en-US"/>
        </w:rPr>
        <w:t xml:space="preserve">. </w:t>
      </w:r>
      <w:r w:rsidR="00917A45" w:rsidRPr="00F06E1A">
        <w:rPr>
          <w:rFonts w:asciiTheme="minorHAnsi" w:hAnsiTheme="minorHAnsi" w:cs="Arial"/>
          <w:color w:val="000000" w:themeColor="text1"/>
          <w:lang w:val="en-US"/>
        </w:rPr>
        <w:t>Australia and Indonesia identified shortcomings in areas of coordination and coherence and, an insufficient focus on preventing and mitigating disasters.</w:t>
      </w:r>
    </w:p>
    <w:p w14:paraId="7E6AB4A0" w14:textId="77777777" w:rsidR="00917A45" w:rsidRDefault="00917A45" w:rsidP="008E2E0A">
      <w:pPr>
        <w:pStyle w:val="NormalWeb"/>
        <w:shd w:val="clear" w:color="auto" w:fill="FFFFFF"/>
        <w:spacing w:before="0" w:beforeAutospacing="0" w:after="0" w:afterAutospacing="0"/>
        <w:rPr>
          <w:rFonts w:asciiTheme="minorHAnsi" w:hAnsiTheme="minorHAnsi" w:cs="Arial"/>
          <w:color w:val="000000" w:themeColor="text1"/>
          <w:lang w:val="en-US"/>
        </w:rPr>
      </w:pPr>
    </w:p>
    <w:p w14:paraId="664D2D7A" w14:textId="2DD7C65F" w:rsidR="00917A45" w:rsidRPr="008870A1" w:rsidRDefault="008E2E0A" w:rsidP="00917A45">
      <w:pPr>
        <w:pStyle w:val="NormalWeb"/>
        <w:shd w:val="clear" w:color="auto" w:fill="FFFFFF"/>
        <w:spacing w:before="0" w:beforeAutospacing="0" w:after="0" w:afterAutospacing="0"/>
        <w:rPr>
          <w:rFonts w:asciiTheme="minorHAnsi" w:hAnsiTheme="minorHAnsi"/>
          <w:color w:val="000000" w:themeColor="text1"/>
          <w:lang w:val="en"/>
        </w:rPr>
      </w:pPr>
      <w:r w:rsidRPr="0062029F">
        <w:rPr>
          <w:rFonts w:asciiTheme="minorHAnsi" w:hAnsiTheme="minorHAnsi" w:cs="Arial"/>
          <w:color w:val="000000" w:themeColor="text1"/>
          <w:lang w:val="en-US"/>
        </w:rPr>
        <w:t xml:space="preserve">AIFDR </w:t>
      </w:r>
      <w:r w:rsidR="00917A45">
        <w:rPr>
          <w:rFonts w:asciiTheme="minorHAnsi" w:hAnsiTheme="minorHAnsi" w:cs="Arial"/>
          <w:color w:val="000000" w:themeColor="text1"/>
          <w:lang w:val="en-US"/>
        </w:rPr>
        <w:t xml:space="preserve">commenced operations in </w:t>
      </w:r>
      <w:r w:rsidR="009F0442" w:rsidRPr="0062029F">
        <w:rPr>
          <w:rFonts w:asciiTheme="minorHAnsi" w:hAnsiTheme="minorHAnsi" w:cs="Arial"/>
          <w:color w:val="000000" w:themeColor="text1"/>
          <w:lang w:val="en-US"/>
        </w:rPr>
        <w:t>April 2009</w:t>
      </w:r>
      <w:r w:rsidR="00E14965">
        <w:rPr>
          <w:rFonts w:asciiTheme="minorHAnsi" w:hAnsiTheme="minorHAnsi" w:cs="Arial"/>
          <w:color w:val="000000" w:themeColor="text1"/>
          <w:lang w:val="en-US"/>
        </w:rPr>
        <w:t>,</w:t>
      </w:r>
      <w:r w:rsidR="009F0442" w:rsidRPr="0062029F">
        <w:rPr>
          <w:rFonts w:asciiTheme="minorHAnsi" w:hAnsiTheme="minorHAnsi" w:cs="Arial"/>
          <w:color w:val="000000" w:themeColor="text1"/>
          <w:lang w:val="en-US"/>
        </w:rPr>
        <w:t xml:space="preserve"> and was officially launched by</w:t>
      </w:r>
      <w:r w:rsidR="009F0442" w:rsidRPr="0062029F">
        <w:rPr>
          <w:rFonts w:asciiTheme="minorHAnsi" w:hAnsiTheme="minorHAnsi"/>
          <w:color w:val="000000" w:themeColor="text1"/>
          <w:lang w:val="en"/>
        </w:rPr>
        <w:t xml:space="preserve"> Australian </w:t>
      </w:r>
      <w:r w:rsidR="00917A45">
        <w:rPr>
          <w:rFonts w:asciiTheme="minorHAnsi" w:hAnsiTheme="minorHAnsi"/>
          <w:color w:val="000000" w:themeColor="text1"/>
          <w:lang w:val="en"/>
        </w:rPr>
        <w:t xml:space="preserve">and </w:t>
      </w:r>
      <w:r w:rsidR="009F0442" w:rsidRPr="0062029F">
        <w:rPr>
          <w:rFonts w:asciiTheme="minorHAnsi" w:hAnsiTheme="minorHAnsi"/>
          <w:color w:val="000000" w:themeColor="text1"/>
          <w:lang w:val="en"/>
        </w:rPr>
        <w:t xml:space="preserve">Indonesian </w:t>
      </w:r>
      <w:r w:rsidR="00B84072">
        <w:rPr>
          <w:rFonts w:asciiTheme="minorHAnsi" w:hAnsiTheme="minorHAnsi"/>
          <w:color w:val="000000" w:themeColor="text1"/>
          <w:lang w:val="en"/>
        </w:rPr>
        <w:t xml:space="preserve">Foreign Ministers in July 2010. </w:t>
      </w:r>
      <w:r w:rsidR="00E01F49">
        <w:rPr>
          <w:rFonts w:asciiTheme="minorHAnsi" w:hAnsiTheme="minorHAnsi"/>
          <w:color w:val="000000" w:themeColor="text1"/>
          <w:lang w:val="en"/>
        </w:rPr>
        <w:t>It</w:t>
      </w:r>
      <w:r w:rsidR="00917A45" w:rsidRPr="008870A1">
        <w:rPr>
          <w:rFonts w:asciiTheme="minorHAnsi" w:hAnsiTheme="minorHAnsi"/>
          <w:color w:val="000000" w:themeColor="text1"/>
          <w:lang w:val="en"/>
        </w:rPr>
        <w:t xml:space="preserve"> was originally conceived as a regional facility, but quickly became primarily </w:t>
      </w:r>
      <w:r w:rsidR="00594DF4">
        <w:rPr>
          <w:rFonts w:asciiTheme="minorHAnsi" w:hAnsiTheme="minorHAnsi"/>
          <w:color w:val="000000" w:themeColor="text1"/>
          <w:lang w:val="en"/>
        </w:rPr>
        <w:t xml:space="preserve">a </w:t>
      </w:r>
      <w:r w:rsidR="00917A45" w:rsidRPr="008870A1">
        <w:rPr>
          <w:rFonts w:asciiTheme="minorHAnsi" w:hAnsiTheme="minorHAnsi"/>
          <w:color w:val="000000" w:themeColor="text1"/>
          <w:lang w:val="en"/>
        </w:rPr>
        <w:t xml:space="preserve">bi-lateral </w:t>
      </w:r>
      <w:r w:rsidR="00E01F49">
        <w:rPr>
          <w:rFonts w:asciiTheme="minorHAnsi" w:hAnsiTheme="minorHAnsi"/>
          <w:color w:val="000000" w:themeColor="text1"/>
          <w:lang w:val="en"/>
        </w:rPr>
        <w:t xml:space="preserve">facility </w:t>
      </w:r>
      <w:r w:rsidR="00917A45" w:rsidRPr="008870A1">
        <w:rPr>
          <w:rFonts w:asciiTheme="minorHAnsi" w:hAnsiTheme="minorHAnsi"/>
          <w:color w:val="000000" w:themeColor="text1"/>
          <w:lang w:val="en"/>
        </w:rPr>
        <w:t>focusing on building the capacity of Indonesia to self-manage disasters.</w:t>
      </w:r>
      <w:r w:rsidR="00917A45">
        <w:rPr>
          <w:rFonts w:asciiTheme="minorHAnsi" w:hAnsiTheme="minorHAnsi"/>
          <w:color w:val="000000" w:themeColor="text1"/>
          <w:lang w:val="en"/>
        </w:rPr>
        <w:t xml:space="preserve"> A </w:t>
      </w:r>
      <w:r w:rsidR="00917A45" w:rsidRPr="008870A1">
        <w:rPr>
          <w:rFonts w:asciiTheme="minorHAnsi" w:hAnsiTheme="minorHAnsi"/>
          <w:color w:val="000000" w:themeColor="text1"/>
          <w:lang w:val="en"/>
        </w:rPr>
        <w:t xml:space="preserve">small level of regional engagement </w:t>
      </w:r>
      <w:r w:rsidR="00917A45">
        <w:rPr>
          <w:rFonts w:asciiTheme="minorHAnsi" w:hAnsiTheme="minorHAnsi"/>
          <w:color w:val="000000" w:themeColor="text1"/>
          <w:lang w:val="en"/>
        </w:rPr>
        <w:t>occurred through AIFDR’s</w:t>
      </w:r>
      <w:r w:rsidR="00917A45" w:rsidRPr="008870A1">
        <w:rPr>
          <w:rFonts w:asciiTheme="minorHAnsi" w:hAnsiTheme="minorHAnsi"/>
          <w:color w:val="000000" w:themeColor="text1"/>
          <w:lang w:val="en"/>
        </w:rPr>
        <w:t xml:space="preserve"> support to </w:t>
      </w:r>
      <w:r w:rsidR="00917A45" w:rsidRPr="008870A1">
        <w:rPr>
          <w:rFonts w:asciiTheme="minorHAnsi" w:hAnsiTheme="minorHAnsi"/>
        </w:rPr>
        <w:t>the Association of South East Asian Nations (ASEAN)</w:t>
      </w:r>
      <w:r w:rsidR="00917A45" w:rsidRPr="008870A1">
        <w:rPr>
          <w:rFonts w:asciiTheme="minorHAnsi" w:hAnsiTheme="minorHAnsi"/>
          <w:color w:val="000000" w:themeColor="text1"/>
          <w:lang w:val="en"/>
        </w:rPr>
        <w:t xml:space="preserve"> </w:t>
      </w:r>
      <w:r w:rsidR="00E14965">
        <w:rPr>
          <w:rFonts w:asciiTheme="minorHAnsi" w:hAnsiTheme="minorHAnsi"/>
          <w:color w:val="000000" w:themeColor="text1"/>
          <w:lang w:val="en"/>
        </w:rPr>
        <w:t>e</w:t>
      </w:r>
      <w:r w:rsidR="00E01F49">
        <w:rPr>
          <w:rFonts w:asciiTheme="minorHAnsi" w:hAnsiTheme="minorHAnsi"/>
          <w:color w:val="000000" w:themeColor="text1"/>
          <w:lang w:val="en"/>
        </w:rPr>
        <w:t>.</w:t>
      </w:r>
      <w:r w:rsidR="00E14965">
        <w:rPr>
          <w:rFonts w:asciiTheme="minorHAnsi" w:hAnsiTheme="minorHAnsi"/>
          <w:color w:val="000000" w:themeColor="text1"/>
          <w:lang w:val="en"/>
        </w:rPr>
        <w:t>g</w:t>
      </w:r>
      <w:r w:rsidR="00E01F49">
        <w:rPr>
          <w:rFonts w:asciiTheme="minorHAnsi" w:hAnsiTheme="minorHAnsi"/>
          <w:color w:val="000000" w:themeColor="text1"/>
          <w:lang w:val="en"/>
        </w:rPr>
        <w:t>.</w:t>
      </w:r>
      <w:r w:rsidR="00E14965">
        <w:rPr>
          <w:rFonts w:asciiTheme="minorHAnsi" w:hAnsiTheme="minorHAnsi"/>
          <w:color w:val="000000" w:themeColor="text1"/>
          <w:lang w:val="en"/>
        </w:rPr>
        <w:t xml:space="preserve"> </w:t>
      </w:r>
      <w:r w:rsidR="00917A45" w:rsidRPr="008870A1">
        <w:rPr>
          <w:rFonts w:asciiTheme="minorHAnsi" w:hAnsiTheme="minorHAnsi"/>
          <w:color w:val="000000" w:themeColor="text1"/>
          <w:lang w:val="en"/>
        </w:rPr>
        <w:t>provi</w:t>
      </w:r>
      <w:r w:rsidR="00E14965">
        <w:rPr>
          <w:rFonts w:asciiTheme="minorHAnsi" w:hAnsiTheme="minorHAnsi"/>
          <w:color w:val="000000" w:themeColor="text1"/>
          <w:lang w:val="en"/>
        </w:rPr>
        <w:t>sion of</w:t>
      </w:r>
      <w:r w:rsidR="00917A45" w:rsidRPr="008870A1">
        <w:rPr>
          <w:rFonts w:asciiTheme="minorHAnsi" w:hAnsiTheme="minorHAnsi"/>
          <w:color w:val="000000" w:themeColor="text1"/>
          <w:lang w:val="en"/>
        </w:rPr>
        <w:t xml:space="preserve"> ‘seed funding’ for the first 2 years of the </w:t>
      </w:r>
      <w:r w:rsidR="00917A45" w:rsidRPr="008870A1">
        <w:rPr>
          <w:rFonts w:asciiTheme="minorHAnsi" w:eastAsia="Calibri" w:hAnsiTheme="minorHAnsi"/>
          <w:color w:val="181717"/>
        </w:rPr>
        <w:t>ASEAN Coordinating Centre for Humanitarian Assistance on Disaster Management (AHA Centre)</w:t>
      </w:r>
      <w:r w:rsidR="00F1595D">
        <w:rPr>
          <w:rFonts w:asciiTheme="minorHAnsi" w:eastAsia="Calibri" w:hAnsiTheme="minorHAnsi"/>
          <w:color w:val="181717"/>
        </w:rPr>
        <w:t>, and support for i</w:t>
      </w:r>
      <w:r w:rsidR="00917A45" w:rsidRPr="008870A1">
        <w:rPr>
          <w:rFonts w:asciiTheme="minorHAnsi" w:eastAsia="Calibri" w:hAnsiTheme="minorHAnsi"/>
          <w:color w:val="181717"/>
        </w:rPr>
        <w:t xml:space="preserve">mplementation of the Agreement on Disaster Management and Emergency Response (AADMER) </w:t>
      </w:r>
      <w:r w:rsidR="00917A45" w:rsidRPr="008870A1">
        <w:rPr>
          <w:rFonts w:asciiTheme="minorHAnsi" w:hAnsiTheme="minorHAnsi"/>
          <w:color w:val="000000" w:themeColor="text1"/>
          <w:lang w:val="en"/>
        </w:rPr>
        <w:t xml:space="preserve">work plan (specifically Concept Notes 1 and 2). </w:t>
      </w:r>
    </w:p>
    <w:p w14:paraId="51156F4C" w14:textId="3224A10C" w:rsidR="00B84072" w:rsidRDefault="00B84072" w:rsidP="008E2E0A">
      <w:pPr>
        <w:pStyle w:val="NormalWeb"/>
        <w:shd w:val="clear" w:color="auto" w:fill="FFFFFF"/>
        <w:spacing w:before="0" w:beforeAutospacing="0" w:after="0" w:afterAutospacing="0"/>
        <w:rPr>
          <w:rFonts w:asciiTheme="minorHAnsi" w:hAnsiTheme="minorHAnsi"/>
          <w:color w:val="000000" w:themeColor="text1"/>
          <w:lang w:val="en"/>
        </w:rPr>
      </w:pPr>
    </w:p>
    <w:p w14:paraId="5D558A41" w14:textId="1789DF0B" w:rsidR="005810D0" w:rsidRDefault="00AF56B3" w:rsidP="00CD70BE">
      <w:pPr>
        <w:rPr>
          <w:rFonts w:cs="Times New Roman"/>
          <w:sz w:val="24"/>
          <w:szCs w:val="24"/>
        </w:rPr>
      </w:pPr>
      <w:r>
        <w:rPr>
          <w:rFonts w:cs="Times New Roman"/>
          <w:sz w:val="24"/>
          <w:szCs w:val="24"/>
        </w:rPr>
        <w:t xml:space="preserve">Pressures to stand up </w:t>
      </w:r>
      <w:r w:rsidR="00CD70BE" w:rsidRPr="00BF4F03">
        <w:rPr>
          <w:rFonts w:cs="Times New Roman"/>
          <w:sz w:val="24"/>
          <w:szCs w:val="24"/>
        </w:rPr>
        <w:t xml:space="preserve">AIFDR </w:t>
      </w:r>
      <w:r>
        <w:rPr>
          <w:rFonts w:cs="Times New Roman"/>
          <w:sz w:val="24"/>
          <w:szCs w:val="24"/>
        </w:rPr>
        <w:t xml:space="preserve">meant that it </w:t>
      </w:r>
      <w:r w:rsidR="00CD70BE" w:rsidRPr="00BF4F03">
        <w:rPr>
          <w:rFonts w:cs="Times New Roman"/>
          <w:sz w:val="24"/>
          <w:szCs w:val="24"/>
        </w:rPr>
        <w:t xml:space="preserve">did not </w:t>
      </w:r>
      <w:r>
        <w:rPr>
          <w:rFonts w:cs="Times New Roman"/>
          <w:sz w:val="24"/>
          <w:szCs w:val="24"/>
        </w:rPr>
        <w:t>undergo standard</w:t>
      </w:r>
      <w:r w:rsidR="00CD70BE" w:rsidRPr="00BF4F03">
        <w:rPr>
          <w:rFonts w:cs="Times New Roman"/>
          <w:sz w:val="24"/>
          <w:szCs w:val="24"/>
        </w:rPr>
        <w:t xml:space="preserve"> feasibility and design stages, and </w:t>
      </w:r>
      <w:r w:rsidR="009C74B2" w:rsidRPr="00BF4F03">
        <w:rPr>
          <w:rFonts w:cs="Times New Roman"/>
          <w:sz w:val="24"/>
          <w:szCs w:val="24"/>
        </w:rPr>
        <w:t xml:space="preserve">appears to have </w:t>
      </w:r>
      <w:r w:rsidR="00CD70BE" w:rsidRPr="00BF4F03">
        <w:rPr>
          <w:rFonts w:cs="Times New Roman"/>
          <w:sz w:val="24"/>
          <w:szCs w:val="24"/>
        </w:rPr>
        <w:t>commenced operations with only a concept note as guidance</w:t>
      </w:r>
      <w:r w:rsidR="000F68E1">
        <w:rPr>
          <w:rStyle w:val="FootnoteReference"/>
          <w:rFonts w:cs="Times New Roman"/>
          <w:sz w:val="24"/>
          <w:szCs w:val="24"/>
        </w:rPr>
        <w:footnoteReference w:id="10"/>
      </w:r>
      <w:r w:rsidR="00CD70BE" w:rsidRPr="00BF4F03">
        <w:rPr>
          <w:rFonts w:cs="Times New Roman"/>
          <w:sz w:val="24"/>
          <w:szCs w:val="24"/>
        </w:rPr>
        <w:t xml:space="preserve">. </w:t>
      </w:r>
      <w:r>
        <w:rPr>
          <w:rFonts w:cs="Times New Roman"/>
          <w:sz w:val="24"/>
          <w:szCs w:val="24"/>
        </w:rPr>
        <w:t xml:space="preserve">Understandably, </w:t>
      </w:r>
      <w:r w:rsidR="00F1595D">
        <w:rPr>
          <w:rFonts w:cs="Times New Roman"/>
          <w:sz w:val="24"/>
          <w:szCs w:val="24"/>
        </w:rPr>
        <w:t>AIFDR leveraged</w:t>
      </w:r>
      <w:r w:rsidR="00CD70BE" w:rsidRPr="00BF4F03">
        <w:rPr>
          <w:rFonts w:cs="Times New Roman"/>
          <w:sz w:val="24"/>
          <w:szCs w:val="24"/>
        </w:rPr>
        <w:t xml:space="preserve"> pre-existing relationships between Australian and Indonesian science agencies </w:t>
      </w:r>
      <w:r w:rsidR="00BF4F03" w:rsidRPr="00BF4F03">
        <w:rPr>
          <w:sz w:val="24"/>
          <w:szCs w:val="24"/>
        </w:rPr>
        <w:t>to kick start the risk and vulnerability program</w:t>
      </w:r>
      <w:r w:rsidR="00BF4F03" w:rsidRPr="00BF4F03">
        <w:rPr>
          <w:rFonts w:cs="Times New Roman"/>
          <w:sz w:val="24"/>
          <w:szCs w:val="24"/>
        </w:rPr>
        <w:t xml:space="preserve"> </w:t>
      </w:r>
      <w:r w:rsidR="00CD70BE" w:rsidRPr="00BF4F03">
        <w:rPr>
          <w:rFonts w:cs="Times New Roman"/>
          <w:sz w:val="24"/>
          <w:szCs w:val="24"/>
        </w:rPr>
        <w:t xml:space="preserve">as the foundation for </w:t>
      </w:r>
      <w:r w:rsidR="00BF4F03" w:rsidRPr="00BF4F03">
        <w:rPr>
          <w:rFonts w:cs="Times New Roman"/>
          <w:sz w:val="24"/>
          <w:szCs w:val="24"/>
        </w:rPr>
        <w:t>i</w:t>
      </w:r>
      <w:r w:rsidR="00CD70BE" w:rsidRPr="00BF4F03">
        <w:rPr>
          <w:rFonts w:cs="Times New Roman"/>
          <w:sz w:val="24"/>
          <w:szCs w:val="24"/>
        </w:rPr>
        <w:t xml:space="preserve">nitiating a relationship with BNBP, and providing the basis </w:t>
      </w:r>
      <w:r w:rsidR="008611D0">
        <w:rPr>
          <w:rFonts w:cs="Times New Roman"/>
          <w:sz w:val="24"/>
          <w:szCs w:val="24"/>
        </w:rPr>
        <w:t>for</w:t>
      </w:r>
      <w:r w:rsidR="008611D0" w:rsidRPr="00BF4F03">
        <w:rPr>
          <w:rFonts w:cs="Times New Roman"/>
          <w:sz w:val="24"/>
          <w:szCs w:val="24"/>
        </w:rPr>
        <w:t xml:space="preserve"> </w:t>
      </w:r>
      <w:r w:rsidR="00CD70BE" w:rsidRPr="00BF4F03">
        <w:rPr>
          <w:rFonts w:cs="Times New Roman"/>
          <w:sz w:val="24"/>
          <w:szCs w:val="24"/>
        </w:rPr>
        <w:t xml:space="preserve">stakeholders to engage with the facility. </w:t>
      </w:r>
      <w:r>
        <w:rPr>
          <w:rFonts w:cs="Times New Roman"/>
          <w:sz w:val="24"/>
          <w:szCs w:val="24"/>
        </w:rPr>
        <w:t>I</w:t>
      </w:r>
      <w:r w:rsidRPr="00BF4F03">
        <w:rPr>
          <w:rFonts w:cs="Times New Roman"/>
          <w:sz w:val="24"/>
          <w:szCs w:val="24"/>
        </w:rPr>
        <w:t>n the earl</w:t>
      </w:r>
      <w:r>
        <w:rPr>
          <w:rFonts w:cs="Times New Roman"/>
          <w:sz w:val="24"/>
          <w:szCs w:val="24"/>
        </w:rPr>
        <w:t xml:space="preserve">y </w:t>
      </w:r>
      <w:r w:rsidRPr="00BF4F03">
        <w:rPr>
          <w:rFonts w:cs="Times New Roman"/>
          <w:sz w:val="24"/>
          <w:szCs w:val="24"/>
        </w:rPr>
        <w:t>days</w:t>
      </w:r>
      <w:r>
        <w:rPr>
          <w:rFonts w:cs="Times New Roman"/>
          <w:sz w:val="24"/>
          <w:szCs w:val="24"/>
        </w:rPr>
        <w:t>,</w:t>
      </w:r>
      <w:r w:rsidRPr="00BF4F03">
        <w:rPr>
          <w:rFonts w:cs="Times New Roman"/>
          <w:sz w:val="24"/>
          <w:szCs w:val="24"/>
        </w:rPr>
        <w:t xml:space="preserve"> </w:t>
      </w:r>
      <w:r w:rsidR="00F807B8" w:rsidRPr="00BF4F03">
        <w:rPr>
          <w:rFonts w:cs="Times New Roman"/>
          <w:sz w:val="24"/>
          <w:szCs w:val="24"/>
        </w:rPr>
        <w:t xml:space="preserve">AIFDR </w:t>
      </w:r>
      <w:proofErr w:type="gramStart"/>
      <w:r w:rsidR="00F807B8" w:rsidRPr="00BF4F03">
        <w:rPr>
          <w:rFonts w:cs="Times New Roman"/>
          <w:sz w:val="24"/>
          <w:szCs w:val="24"/>
        </w:rPr>
        <w:t>staff were</w:t>
      </w:r>
      <w:proofErr w:type="gramEnd"/>
      <w:r w:rsidR="00F807B8" w:rsidRPr="00BF4F03">
        <w:rPr>
          <w:rFonts w:cs="Times New Roman"/>
          <w:sz w:val="24"/>
          <w:szCs w:val="24"/>
        </w:rPr>
        <w:t xml:space="preserve"> in constant dialogue with BNPB to determine mutually agreeable programming priorities</w:t>
      </w:r>
      <w:r>
        <w:rPr>
          <w:rFonts w:cs="Times New Roman"/>
          <w:sz w:val="24"/>
          <w:szCs w:val="24"/>
        </w:rPr>
        <w:t xml:space="preserve"> but</w:t>
      </w:r>
      <w:r w:rsidR="00F807B8" w:rsidRPr="00BF4F03">
        <w:rPr>
          <w:rFonts w:cs="Times New Roman"/>
          <w:sz w:val="24"/>
          <w:szCs w:val="24"/>
        </w:rPr>
        <w:t xml:space="preserve"> BNPB</w:t>
      </w:r>
      <w:r>
        <w:rPr>
          <w:rFonts w:cs="Times New Roman"/>
          <w:sz w:val="24"/>
          <w:szCs w:val="24"/>
        </w:rPr>
        <w:t>,</w:t>
      </w:r>
      <w:r w:rsidR="00F807B8" w:rsidRPr="00BF4F03">
        <w:rPr>
          <w:rFonts w:cs="Times New Roman"/>
          <w:sz w:val="24"/>
          <w:szCs w:val="24"/>
        </w:rPr>
        <w:t xml:space="preserve"> at th</w:t>
      </w:r>
      <w:r>
        <w:rPr>
          <w:rFonts w:cs="Times New Roman"/>
          <w:sz w:val="24"/>
          <w:szCs w:val="24"/>
        </w:rPr>
        <w:t>at</w:t>
      </w:r>
      <w:r w:rsidR="00F807B8" w:rsidRPr="00BF4F03">
        <w:rPr>
          <w:rFonts w:cs="Times New Roman"/>
          <w:sz w:val="24"/>
          <w:szCs w:val="24"/>
        </w:rPr>
        <w:t xml:space="preserve"> time</w:t>
      </w:r>
      <w:r>
        <w:rPr>
          <w:rFonts w:cs="Times New Roman"/>
          <w:sz w:val="24"/>
          <w:szCs w:val="24"/>
        </w:rPr>
        <w:t>,</w:t>
      </w:r>
      <w:r w:rsidR="00F807B8" w:rsidRPr="00BF4F03">
        <w:rPr>
          <w:rFonts w:cs="Times New Roman"/>
          <w:sz w:val="24"/>
          <w:szCs w:val="24"/>
        </w:rPr>
        <w:t xml:space="preserve"> was </w:t>
      </w:r>
      <w:r w:rsidR="00F1595D">
        <w:rPr>
          <w:rFonts w:cs="Times New Roman"/>
          <w:sz w:val="24"/>
          <w:szCs w:val="24"/>
        </w:rPr>
        <w:t>only newly formed and was experiencing its own internal teething problems.</w:t>
      </w:r>
      <w:r>
        <w:rPr>
          <w:rFonts w:cs="Times New Roman"/>
          <w:sz w:val="24"/>
          <w:szCs w:val="24"/>
        </w:rPr>
        <w:t xml:space="preserve"> Moreover, w</w:t>
      </w:r>
      <w:r w:rsidR="00F807B8">
        <w:rPr>
          <w:rFonts w:cs="Times New Roman"/>
          <w:sz w:val="24"/>
          <w:szCs w:val="24"/>
        </w:rPr>
        <w:t>ithin six months of AIFDR’s start</w:t>
      </w:r>
      <w:r>
        <w:rPr>
          <w:rFonts w:cs="Times New Roman"/>
          <w:sz w:val="24"/>
          <w:szCs w:val="24"/>
        </w:rPr>
        <w:t>,</w:t>
      </w:r>
      <w:r w:rsidR="00F807B8">
        <w:rPr>
          <w:rFonts w:cs="Times New Roman"/>
          <w:sz w:val="24"/>
          <w:szCs w:val="24"/>
        </w:rPr>
        <w:t xml:space="preserve"> the Padang earthquake (September 2009) and then twin disasters of the Mount Merapi eruption and the Mentawa Islands tsunami occurred. </w:t>
      </w:r>
      <w:r>
        <w:rPr>
          <w:rFonts w:cs="Times New Roman"/>
          <w:sz w:val="24"/>
          <w:szCs w:val="24"/>
        </w:rPr>
        <w:t xml:space="preserve">These events </w:t>
      </w:r>
      <w:r w:rsidR="00F807B8">
        <w:rPr>
          <w:rFonts w:cs="Times New Roman"/>
          <w:sz w:val="24"/>
          <w:szCs w:val="24"/>
        </w:rPr>
        <w:t>meant that AIFDR’s key partner, BNPB</w:t>
      </w:r>
      <w:r w:rsidR="0004685D">
        <w:rPr>
          <w:rFonts w:cs="Times New Roman"/>
          <w:sz w:val="24"/>
          <w:szCs w:val="24"/>
        </w:rPr>
        <w:t>,</w:t>
      </w:r>
      <w:r w:rsidR="00F807B8">
        <w:rPr>
          <w:rFonts w:cs="Times New Roman"/>
          <w:sz w:val="24"/>
          <w:szCs w:val="24"/>
        </w:rPr>
        <w:t xml:space="preserve"> had its energies focused on emergency response thereby reducing the capacity of AIFDR to focus </w:t>
      </w:r>
      <w:r w:rsidR="008D2D55">
        <w:rPr>
          <w:rFonts w:cs="Times New Roman"/>
          <w:sz w:val="24"/>
          <w:szCs w:val="24"/>
        </w:rPr>
        <w:t>on</w:t>
      </w:r>
      <w:r w:rsidR="005810D0">
        <w:rPr>
          <w:rFonts w:cs="Times New Roman"/>
          <w:sz w:val="24"/>
          <w:szCs w:val="24"/>
        </w:rPr>
        <w:t xml:space="preserve"> </w:t>
      </w:r>
      <w:r w:rsidR="00F807B8">
        <w:rPr>
          <w:rFonts w:cs="Times New Roman"/>
          <w:sz w:val="24"/>
          <w:szCs w:val="24"/>
        </w:rPr>
        <w:t>DRR</w:t>
      </w:r>
      <w:r w:rsidR="005810D0">
        <w:rPr>
          <w:rFonts w:cs="Times New Roman"/>
          <w:sz w:val="24"/>
          <w:szCs w:val="24"/>
        </w:rPr>
        <w:t xml:space="preserve">. </w:t>
      </w:r>
      <w:r w:rsidR="0004685D">
        <w:rPr>
          <w:rFonts w:cs="Times New Roman"/>
          <w:sz w:val="24"/>
          <w:szCs w:val="24"/>
        </w:rPr>
        <w:t>The review team acknowledges these challenges and the consequences for programming decisions at that time.</w:t>
      </w:r>
    </w:p>
    <w:p w14:paraId="48A77A53" w14:textId="6DDB7576" w:rsidR="00394849" w:rsidRDefault="005810D0" w:rsidP="00394849">
      <w:r w:rsidRPr="00473274">
        <w:rPr>
          <w:rFonts w:cs="Times New Roman"/>
          <w:sz w:val="24"/>
          <w:szCs w:val="24"/>
        </w:rPr>
        <w:t xml:space="preserve">AIFDR’s governance arrangements and first program logic were established in its first and only formal </w:t>
      </w:r>
      <w:r w:rsidR="00CD70BE" w:rsidRPr="00473274">
        <w:rPr>
          <w:rFonts w:cs="Times New Roman"/>
          <w:sz w:val="24"/>
          <w:szCs w:val="24"/>
        </w:rPr>
        <w:t xml:space="preserve">design </w:t>
      </w:r>
      <w:r w:rsidRPr="00473274">
        <w:rPr>
          <w:rFonts w:cs="Times New Roman"/>
          <w:sz w:val="24"/>
          <w:szCs w:val="24"/>
        </w:rPr>
        <w:t xml:space="preserve">that </w:t>
      </w:r>
      <w:r w:rsidR="00CD70BE" w:rsidRPr="00473274">
        <w:rPr>
          <w:rFonts w:cs="Times New Roman"/>
          <w:sz w:val="24"/>
          <w:szCs w:val="24"/>
        </w:rPr>
        <w:t xml:space="preserve">was </w:t>
      </w:r>
      <w:r w:rsidRPr="00473274">
        <w:rPr>
          <w:rFonts w:cs="Times New Roman"/>
          <w:sz w:val="24"/>
          <w:szCs w:val="24"/>
        </w:rPr>
        <w:t>completed in late</w:t>
      </w:r>
      <w:r w:rsidR="00CD70BE" w:rsidRPr="00473274">
        <w:rPr>
          <w:rFonts w:cs="Times New Roman"/>
          <w:sz w:val="24"/>
          <w:szCs w:val="24"/>
        </w:rPr>
        <w:t xml:space="preserve"> 2009</w:t>
      </w:r>
      <w:r w:rsidRPr="00473274">
        <w:rPr>
          <w:rFonts w:cs="Times New Roman"/>
          <w:sz w:val="24"/>
          <w:szCs w:val="24"/>
        </w:rPr>
        <w:t xml:space="preserve">. </w:t>
      </w:r>
      <w:r w:rsidR="00594DF4">
        <w:rPr>
          <w:rFonts w:cs="Times New Roman"/>
          <w:sz w:val="24"/>
          <w:szCs w:val="24"/>
        </w:rPr>
        <w:t xml:space="preserve">The review team were advised by AIFDR’s previous Co-Director that the design was done </w:t>
      </w:r>
      <w:r w:rsidR="00473274">
        <w:rPr>
          <w:rFonts w:cs="Times New Roman"/>
          <w:sz w:val="24"/>
          <w:szCs w:val="24"/>
        </w:rPr>
        <w:t>quickly</w:t>
      </w:r>
      <w:r w:rsidR="00F1595D">
        <w:rPr>
          <w:rFonts w:cs="Times New Roman"/>
          <w:sz w:val="24"/>
          <w:szCs w:val="24"/>
        </w:rPr>
        <w:t>,</w:t>
      </w:r>
      <w:r w:rsidR="00473274">
        <w:rPr>
          <w:rFonts w:cs="Times New Roman"/>
          <w:sz w:val="24"/>
          <w:szCs w:val="24"/>
        </w:rPr>
        <w:t xml:space="preserve"> and </w:t>
      </w:r>
      <w:r w:rsidR="00394849">
        <w:rPr>
          <w:rFonts w:cs="Times New Roman"/>
          <w:sz w:val="24"/>
          <w:szCs w:val="24"/>
        </w:rPr>
        <w:t>failed to understand programming limitations</w:t>
      </w:r>
      <w:r w:rsidR="00AF56B3">
        <w:rPr>
          <w:rFonts w:cs="Times New Roman"/>
          <w:sz w:val="24"/>
          <w:szCs w:val="24"/>
        </w:rPr>
        <w:t xml:space="preserve"> – specifically those</w:t>
      </w:r>
      <w:r w:rsidR="00394849">
        <w:rPr>
          <w:rFonts w:cs="Times New Roman"/>
          <w:sz w:val="24"/>
          <w:szCs w:val="24"/>
        </w:rPr>
        <w:t xml:space="preserve"> related to the </w:t>
      </w:r>
      <w:r w:rsidR="00AF56B3">
        <w:rPr>
          <w:rFonts w:cs="Times New Roman"/>
          <w:sz w:val="24"/>
          <w:szCs w:val="24"/>
        </w:rPr>
        <w:t xml:space="preserve">weak </w:t>
      </w:r>
      <w:r w:rsidR="00394849">
        <w:rPr>
          <w:rFonts w:cs="Times New Roman"/>
          <w:sz w:val="24"/>
          <w:szCs w:val="24"/>
        </w:rPr>
        <w:t>capacity</w:t>
      </w:r>
      <w:r w:rsidR="00AF56B3">
        <w:rPr>
          <w:rFonts w:cs="Times New Roman"/>
          <w:sz w:val="24"/>
          <w:szCs w:val="24"/>
        </w:rPr>
        <w:t>, at that time,</w:t>
      </w:r>
      <w:r w:rsidR="00394849">
        <w:rPr>
          <w:rFonts w:cs="Times New Roman"/>
          <w:sz w:val="24"/>
          <w:szCs w:val="24"/>
        </w:rPr>
        <w:t xml:space="preserve"> of BNPB to plan and implement programs</w:t>
      </w:r>
      <w:r w:rsidR="00C34567">
        <w:rPr>
          <w:rFonts w:cs="Times New Roman"/>
          <w:sz w:val="24"/>
          <w:szCs w:val="24"/>
        </w:rPr>
        <w:t xml:space="preserve">. </w:t>
      </w:r>
    </w:p>
    <w:p w14:paraId="2CC7FEC0" w14:textId="02768442" w:rsidR="0075016F" w:rsidRPr="004E2128" w:rsidRDefault="001304F0" w:rsidP="00CD70BE">
      <w:pPr>
        <w:rPr>
          <w:rFonts w:cs="Times New Roman"/>
          <w:sz w:val="24"/>
          <w:szCs w:val="24"/>
        </w:rPr>
      </w:pPr>
      <w:r>
        <w:rPr>
          <w:rFonts w:cs="Times New Roman"/>
          <w:sz w:val="24"/>
          <w:szCs w:val="24"/>
        </w:rPr>
        <w:t>F</w:t>
      </w:r>
      <w:r w:rsidR="0075016F">
        <w:rPr>
          <w:rFonts w:cs="Times New Roman"/>
          <w:sz w:val="24"/>
          <w:szCs w:val="24"/>
        </w:rPr>
        <w:t xml:space="preserve">or the first two years </w:t>
      </w:r>
      <w:r>
        <w:rPr>
          <w:rFonts w:cs="Times New Roman"/>
          <w:sz w:val="24"/>
          <w:szCs w:val="24"/>
        </w:rPr>
        <w:t xml:space="preserve">of operations </w:t>
      </w:r>
      <w:r w:rsidR="0075016F">
        <w:rPr>
          <w:rFonts w:cs="Times New Roman"/>
          <w:sz w:val="24"/>
          <w:szCs w:val="24"/>
        </w:rPr>
        <w:t xml:space="preserve">the AIFDR team were focused on </w:t>
      </w:r>
      <w:r>
        <w:rPr>
          <w:rFonts w:cs="Times New Roman"/>
          <w:sz w:val="24"/>
          <w:szCs w:val="24"/>
        </w:rPr>
        <w:t xml:space="preserve">cementing a partnership </w:t>
      </w:r>
      <w:r w:rsidR="0075016F">
        <w:rPr>
          <w:rFonts w:cs="Times New Roman"/>
          <w:sz w:val="24"/>
          <w:szCs w:val="24"/>
        </w:rPr>
        <w:t>with BNPB</w:t>
      </w:r>
      <w:r w:rsidR="003F4C82">
        <w:rPr>
          <w:rFonts w:cs="Times New Roman"/>
          <w:sz w:val="24"/>
          <w:szCs w:val="24"/>
        </w:rPr>
        <w:t>;</w:t>
      </w:r>
      <w:r w:rsidR="0075016F">
        <w:rPr>
          <w:rFonts w:cs="Times New Roman"/>
          <w:sz w:val="24"/>
          <w:szCs w:val="24"/>
        </w:rPr>
        <w:t xml:space="preserve"> assessing where major gaps existed in Indonesia’s new disaster management system</w:t>
      </w:r>
      <w:r w:rsidR="003F4C82">
        <w:rPr>
          <w:rFonts w:cs="Times New Roman"/>
          <w:sz w:val="24"/>
          <w:szCs w:val="24"/>
        </w:rPr>
        <w:t>;</w:t>
      </w:r>
      <w:r w:rsidR="0075016F">
        <w:rPr>
          <w:rFonts w:cs="Times New Roman"/>
          <w:sz w:val="24"/>
          <w:szCs w:val="24"/>
        </w:rPr>
        <w:t xml:space="preserve"> and where Australia was best placed to provide support. These years can be best described as an exploration phase</w:t>
      </w:r>
      <w:r w:rsidR="0004685D">
        <w:rPr>
          <w:rFonts w:cs="Times New Roman"/>
          <w:sz w:val="24"/>
          <w:szCs w:val="24"/>
        </w:rPr>
        <w:t>, but, a</w:t>
      </w:r>
      <w:r w:rsidR="00F1595D">
        <w:rPr>
          <w:rFonts w:cs="Times New Roman"/>
          <w:sz w:val="24"/>
          <w:szCs w:val="24"/>
        </w:rPr>
        <w:t>s</w:t>
      </w:r>
      <w:r w:rsidR="0075016F">
        <w:rPr>
          <w:rFonts w:cs="Times New Roman"/>
          <w:sz w:val="24"/>
          <w:szCs w:val="24"/>
        </w:rPr>
        <w:t xml:space="preserve"> one </w:t>
      </w:r>
      <w:r w:rsidR="0075016F" w:rsidRPr="004E2128">
        <w:rPr>
          <w:rFonts w:cs="Times New Roman"/>
          <w:sz w:val="24"/>
          <w:szCs w:val="24"/>
        </w:rPr>
        <w:t xml:space="preserve">Australian </w:t>
      </w:r>
      <w:r w:rsidR="00F1595D">
        <w:rPr>
          <w:rFonts w:cs="Times New Roman"/>
          <w:sz w:val="24"/>
          <w:szCs w:val="24"/>
        </w:rPr>
        <w:t>Government i</w:t>
      </w:r>
      <w:r w:rsidR="0075016F" w:rsidRPr="004E2128">
        <w:rPr>
          <w:rFonts w:cs="Times New Roman"/>
          <w:sz w:val="24"/>
          <w:szCs w:val="24"/>
        </w:rPr>
        <w:t>nterviewe</w:t>
      </w:r>
      <w:r w:rsidR="00F1595D">
        <w:rPr>
          <w:rFonts w:cs="Times New Roman"/>
          <w:sz w:val="24"/>
          <w:szCs w:val="24"/>
        </w:rPr>
        <w:t>e</w:t>
      </w:r>
      <w:r w:rsidR="0075016F" w:rsidRPr="004E2128">
        <w:rPr>
          <w:rFonts w:cs="Times New Roman"/>
          <w:sz w:val="24"/>
          <w:szCs w:val="24"/>
        </w:rPr>
        <w:t xml:space="preserve"> </w:t>
      </w:r>
      <w:r w:rsidR="0004685D">
        <w:rPr>
          <w:rFonts w:cs="Times New Roman"/>
          <w:sz w:val="24"/>
          <w:szCs w:val="24"/>
        </w:rPr>
        <w:t>no</w:t>
      </w:r>
      <w:r w:rsidR="0004685D" w:rsidRPr="004E2128">
        <w:rPr>
          <w:rFonts w:cs="Times New Roman"/>
          <w:sz w:val="24"/>
          <w:szCs w:val="24"/>
        </w:rPr>
        <w:t>ted</w:t>
      </w:r>
      <w:r w:rsidR="0075016F" w:rsidRPr="004E2128">
        <w:rPr>
          <w:rFonts w:cs="Times New Roman"/>
          <w:sz w:val="24"/>
          <w:szCs w:val="24"/>
        </w:rPr>
        <w:t>: “</w:t>
      </w:r>
      <w:r w:rsidR="0075016F" w:rsidRPr="004E2128">
        <w:rPr>
          <w:rFonts w:cs="Times New Roman"/>
          <w:i/>
          <w:sz w:val="24"/>
          <w:szCs w:val="24"/>
        </w:rPr>
        <w:t>f</w:t>
      </w:r>
      <w:r w:rsidR="0075016F" w:rsidRPr="004E2128">
        <w:rPr>
          <w:i/>
          <w:sz w:val="24"/>
          <w:szCs w:val="24"/>
        </w:rPr>
        <w:t xml:space="preserve">ive GA science staff </w:t>
      </w:r>
      <w:proofErr w:type="gramStart"/>
      <w:r w:rsidR="0075016F" w:rsidRPr="004E2128">
        <w:rPr>
          <w:i/>
          <w:sz w:val="24"/>
          <w:szCs w:val="24"/>
        </w:rPr>
        <w:t>were</w:t>
      </w:r>
      <w:proofErr w:type="gramEnd"/>
      <w:r w:rsidR="0075016F" w:rsidRPr="004E2128">
        <w:rPr>
          <w:i/>
          <w:sz w:val="24"/>
          <w:szCs w:val="24"/>
        </w:rPr>
        <w:t xml:space="preserve"> bolted into AIFDR so it was clear that science had to be a big priority. But, there was a clear justification for science areas as hazard information is needed before being able to effectively invest in DRR</w:t>
      </w:r>
      <w:r w:rsidR="0004685D">
        <w:rPr>
          <w:i/>
          <w:sz w:val="24"/>
          <w:szCs w:val="24"/>
        </w:rPr>
        <w:t xml:space="preserve">. </w:t>
      </w:r>
      <w:r w:rsidR="0075016F" w:rsidRPr="004E2128">
        <w:rPr>
          <w:i/>
          <w:sz w:val="24"/>
          <w:szCs w:val="24"/>
        </w:rPr>
        <w:t>BNP</w:t>
      </w:r>
      <w:r w:rsidR="0004685D">
        <w:rPr>
          <w:i/>
          <w:sz w:val="24"/>
          <w:szCs w:val="24"/>
        </w:rPr>
        <w:t>B</w:t>
      </w:r>
      <w:r w:rsidR="0075016F" w:rsidRPr="004E2128">
        <w:rPr>
          <w:i/>
          <w:sz w:val="24"/>
          <w:szCs w:val="24"/>
        </w:rPr>
        <w:t xml:space="preserve"> recognised this was a gap in GoI capacity and requested these programs”</w:t>
      </w:r>
      <w:r w:rsidR="00D7281C">
        <w:rPr>
          <w:rStyle w:val="FootnoteReference"/>
          <w:i/>
          <w:sz w:val="24"/>
          <w:szCs w:val="24"/>
        </w:rPr>
        <w:footnoteReference w:id="11"/>
      </w:r>
      <w:r w:rsidR="0075016F" w:rsidRPr="004E2128">
        <w:rPr>
          <w:i/>
          <w:sz w:val="24"/>
          <w:szCs w:val="24"/>
        </w:rPr>
        <w:t>.</w:t>
      </w:r>
    </w:p>
    <w:p w14:paraId="3142F9FF" w14:textId="2DD390BF" w:rsidR="00004E05" w:rsidRPr="004E2128" w:rsidRDefault="00601AC4" w:rsidP="00CD70BE">
      <w:pPr>
        <w:rPr>
          <w:rFonts w:cs="Times New Roman"/>
          <w:sz w:val="24"/>
          <w:szCs w:val="24"/>
        </w:rPr>
      </w:pPr>
      <w:r w:rsidRPr="004E2128">
        <w:rPr>
          <w:rFonts w:cs="Times New Roman"/>
          <w:sz w:val="24"/>
          <w:szCs w:val="24"/>
        </w:rPr>
        <w:t>A</w:t>
      </w:r>
      <w:r w:rsidR="008F3261">
        <w:rPr>
          <w:rFonts w:cs="Times New Roman"/>
          <w:sz w:val="24"/>
          <w:szCs w:val="24"/>
        </w:rPr>
        <w:t xml:space="preserve"> detailed </w:t>
      </w:r>
      <w:r w:rsidRPr="004E2128">
        <w:rPr>
          <w:rFonts w:cs="Times New Roman"/>
          <w:sz w:val="24"/>
          <w:szCs w:val="24"/>
        </w:rPr>
        <w:t xml:space="preserve">MTR of AIFDR was completed in late 2011. </w:t>
      </w:r>
      <w:r w:rsidR="008F3261">
        <w:rPr>
          <w:rFonts w:cs="Times New Roman"/>
          <w:sz w:val="24"/>
          <w:szCs w:val="24"/>
        </w:rPr>
        <w:t>On the back of t</w:t>
      </w:r>
      <w:r w:rsidRPr="004E2128">
        <w:rPr>
          <w:rFonts w:cs="Times New Roman"/>
          <w:sz w:val="24"/>
          <w:szCs w:val="24"/>
        </w:rPr>
        <w:t xml:space="preserve">he MTR </w:t>
      </w:r>
      <w:r w:rsidR="008F3261">
        <w:rPr>
          <w:rFonts w:cs="Times New Roman"/>
          <w:sz w:val="24"/>
          <w:szCs w:val="24"/>
        </w:rPr>
        <w:t>recommendations</w:t>
      </w:r>
      <w:r w:rsidR="0004685D">
        <w:rPr>
          <w:rFonts w:cs="Times New Roman"/>
          <w:sz w:val="24"/>
          <w:szCs w:val="24"/>
        </w:rPr>
        <w:t>,</w:t>
      </w:r>
      <w:r w:rsidR="008F3261">
        <w:rPr>
          <w:rFonts w:cs="Times New Roman"/>
          <w:sz w:val="24"/>
          <w:szCs w:val="24"/>
        </w:rPr>
        <w:t xml:space="preserve"> </w:t>
      </w:r>
      <w:r w:rsidRPr="004E2128">
        <w:rPr>
          <w:rFonts w:cs="Times New Roman"/>
          <w:sz w:val="24"/>
          <w:szCs w:val="24"/>
        </w:rPr>
        <w:t>AIFDR revised its governance arrangements, and adopted a stronger program logic evidenced by AIFDR’s Development Strategy</w:t>
      </w:r>
      <w:r w:rsidR="008F3261">
        <w:rPr>
          <w:rFonts w:cs="Times New Roman"/>
          <w:sz w:val="24"/>
          <w:szCs w:val="24"/>
        </w:rPr>
        <w:t xml:space="preserve"> </w:t>
      </w:r>
      <w:r w:rsidR="0004685D">
        <w:rPr>
          <w:rFonts w:cs="Times New Roman"/>
          <w:sz w:val="24"/>
          <w:szCs w:val="24"/>
        </w:rPr>
        <w:t>(</w:t>
      </w:r>
      <w:r w:rsidR="008F3261">
        <w:rPr>
          <w:rFonts w:cs="Times New Roman"/>
          <w:sz w:val="24"/>
          <w:szCs w:val="24"/>
        </w:rPr>
        <w:t>2012)</w:t>
      </w:r>
      <w:r w:rsidR="0004685D">
        <w:rPr>
          <w:rFonts w:cs="Times New Roman"/>
          <w:sz w:val="24"/>
          <w:szCs w:val="24"/>
        </w:rPr>
        <w:t>, which</w:t>
      </w:r>
      <w:r w:rsidR="00004E05" w:rsidRPr="004E2128">
        <w:rPr>
          <w:sz w:val="24"/>
          <w:szCs w:val="24"/>
        </w:rPr>
        <w:t xml:space="preserve"> articulated a new way forward that proactively linked AIFDR components, and was geographically targeted</w:t>
      </w:r>
      <w:r w:rsidR="00F33480" w:rsidRPr="004E2128">
        <w:rPr>
          <w:sz w:val="24"/>
          <w:szCs w:val="24"/>
        </w:rPr>
        <w:t xml:space="preserve"> on five demonstration provinces, namely: West Sumatra; East Java; West Jav</w:t>
      </w:r>
      <w:r w:rsidR="008F3261">
        <w:rPr>
          <w:sz w:val="24"/>
          <w:szCs w:val="24"/>
        </w:rPr>
        <w:t>a</w:t>
      </w:r>
      <w:r w:rsidR="00F33480" w:rsidRPr="004E2128">
        <w:rPr>
          <w:sz w:val="24"/>
          <w:szCs w:val="24"/>
        </w:rPr>
        <w:t>; South Sulawesi and Nusa Tenggara Timor (representing approximately 42% of Indonesia’s population</w:t>
      </w:r>
      <w:r w:rsidR="008F3261">
        <w:rPr>
          <w:sz w:val="24"/>
          <w:szCs w:val="24"/>
        </w:rPr>
        <w:t xml:space="preserve">). </w:t>
      </w:r>
      <w:r w:rsidR="00004E05" w:rsidRPr="004E2128">
        <w:rPr>
          <w:sz w:val="24"/>
          <w:szCs w:val="24"/>
        </w:rPr>
        <w:t xml:space="preserve">The selection of provinces and activities </w:t>
      </w:r>
      <w:r w:rsidR="004E2128" w:rsidRPr="004E2128">
        <w:rPr>
          <w:sz w:val="24"/>
          <w:szCs w:val="24"/>
        </w:rPr>
        <w:t xml:space="preserve">was </w:t>
      </w:r>
      <w:r w:rsidR="00004E05" w:rsidRPr="004E2128">
        <w:rPr>
          <w:sz w:val="24"/>
          <w:szCs w:val="24"/>
        </w:rPr>
        <w:t xml:space="preserve">based </w:t>
      </w:r>
      <w:r w:rsidR="008F3261">
        <w:rPr>
          <w:sz w:val="24"/>
          <w:szCs w:val="24"/>
        </w:rPr>
        <w:t xml:space="preserve">on </w:t>
      </w:r>
      <w:r w:rsidR="004E2128" w:rsidRPr="004E2128">
        <w:rPr>
          <w:sz w:val="24"/>
          <w:szCs w:val="24"/>
        </w:rPr>
        <w:t xml:space="preserve">clear </w:t>
      </w:r>
      <w:r w:rsidR="00004E05" w:rsidRPr="004E2128">
        <w:rPr>
          <w:sz w:val="24"/>
          <w:szCs w:val="24"/>
        </w:rPr>
        <w:t xml:space="preserve">criteria including </w:t>
      </w:r>
      <w:r w:rsidR="00004E05" w:rsidRPr="004E2128">
        <w:rPr>
          <w:i/>
          <w:sz w:val="24"/>
          <w:szCs w:val="24"/>
        </w:rPr>
        <w:t>“emerging directions and priorities of the Indonesian Governments disaster management efforts; a comparatively high level of disaster risk within the provinces; and where successful AIFDR projects already exist</w:t>
      </w:r>
      <w:r w:rsidR="004E2128" w:rsidRPr="004E2128">
        <w:rPr>
          <w:i/>
          <w:sz w:val="24"/>
          <w:szCs w:val="24"/>
        </w:rPr>
        <w:t>”</w:t>
      </w:r>
      <w:r w:rsidR="00C95812">
        <w:rPr>
          <w:rStyle w:val="FootnoteReference"/>
          <w:i/>
          <w:sz w:val="24"/>
          <w:szCs w:val="24"/>
        </w:rPr>
        <w:footnoteReference w:id="12"/>
      </w:r>
      <w:r w:rsidR="004E2128" w:rsidRPr="004E2128">
        <w:rPr>
          <w:i/>
          <w:sz w:val="24"/>
          <w:szCs w:val="24"/>
        </w:rPr>
        <w:t>.</w:t>
      </w:r>
      <w:r w:rsidR="004E2128" w:rsidRPr="004E2128">
        <w:rPr>
          <w:sz w:val="24"/>
          <w:szCs w:val="24"/>
        </w:rPr>
        <w:t xml:space="preserve"> The Development Strategy </w:t>
      </w:r>
      <w:r w:rsidR="008F3261">
        <w:rPr>
          <w:sz w:val="24"/>
          <w:szCs w:val="24"/>
        </w:rPr>
        <w:t>spelt out</w:t>
      </w:r>
      <w:r w:rsidR="004E2128" w:rsidRPr="004E2128">
        <w:rPr>
          <w:sz w:val="24"/>
          <w:szCs w:val="24"/>
        </w:rPr>
        <w:t xml:space="preserve"> how AIFDR would aim to demonstrate linking national policies to sub-national practice (described </w:t>
      </w:r>
      <w:r w:rsidR="008F3261">
        <w:rPr>
          <w:sz w:val="24"/>
          <w:szCs w:val="24"/>
        </w:rPr>
        <w:t xml:space="preserve">in the strategy </w:t>
      </w:r>
      <w:r w:rsidR="004E2128" w:rsidRPr="004E2128">
        <w:rPr>
          <w:sz w:val="24"/>
          <w:szCs w:val="24"/>
        </w:rPr>
        <w:t xml:space="preserve">as </w:t>
      </w:r>
      <w:r w:rsidR="0004685D">
        <w:rPr>
          <w:sz w:val="24"/>
          <w:szCs w:val="24"/>
        </w:rPr>
        <w:t xml:space="preserve">the </w:t>
      </w:r>
      <w:r w:rsidR="004E2128" w:rsidRPr="004E2128">
        <w:rPr>
          <w:sz w:val="24"/>
          <w:szCs w:val="24"/>
        </w:rPr>
        <w:t xml:space="preserve">‘policy to practice’ approach). </w:t>
      </w:r>
    </w:p>
    <w:p w14:paraId="0D0B8DC8" w14:textId="3CB4DB67" w:rsidR="00116D35" w:rsidRDefault="00AF3A6B" w:rsidP="00255E34">
      <w:pPr>
        <w:pStyle w:val="NormalWeb"/>
        <w:shd w:val="clear" w:color="auto" w:fill="FFFFFF"/>
        <w:spacing w:before="0" w:beforeAutospacing="0" w:after="0" w:afterAutospacing="0"/>
        <w:rPr>
          <w:rFonts w:asciiTheme="minorHAnsi" w:hAnsiTheme="minorHAnsi"/>
          <w:color w:val="000000" w:themeColor="text1"/>
          <w:lang w:val="en"/>
        </w:rPr>
      </w:pPr>
      <w:r w:rsidRPr="004E2128">
        <w:rPr>
          <w:rFonts w:asciiTheme="minorHAnsi" w:hAnsiTheme="minorHAnsi"/>
          <w:color w:val="000000" w:themeColor="text1"/>
          <w:lang w:val="en"/>
        </w:rPr>
        <w:t xml:space="preserve">AIFDR </w:t>
      </w:r>
      <w:r w:rsidR="00255E34" w:rsidRPr="004E2128">
        <w:rPr>
          <w:rFonts w:asciiTheme="minorHAnsi" w:hAnsiTheme="minorHAnsi"/>
          <w:color w:val="000000" w:themeColor="text1"/>
          <w:lang w:val="en"/>
        </w:rPr>
        <w:t xml:space="preserve">Phase 1 </w:t>
      </w:r>
      <w:r w:rsidRPr="004E2128">
        <w:rPr>
          <w:rFonts w:asciiTheme="minorHAnsi" w:hAnsiTheme="minorHAnsi"/>
          <w:color w:val="000000" w:themeColor="text1"/>
          <w:lang w:val="en"/>
        </w:rPr>
        <w:t xml:space="preserve">officially </w:t>
      </w:r>
      <w:r w:rsidR="00255E34" w:rsidRPr="004E2128">
        <w:rPr>
          <w:rFonts w:asciiTheme="minorHAnsi" w:hAnsiTheme="minorHAnsi"/>
          <w:color w:val="000000" w:themeColor="text1"/>
          <w:lang w:val="en"/>
        </w:rPr>
        <w:t xml:space="preserve">came to an end in June 2013, but </w:t>
      </w:r>
      <w:r w:rsidR="00116D35">
        <w:rPr>
          <w:rFonts w:asciiTheme="minorHAnsi" w:hAnsiTheme="minorHAnsi"/>
          <w:color w:val="000000" w:themeColor="text1"/>
          <w:lang w:val="en"/>
        </w:rPr>
        <w:t xml:space="preserve">the facility </w:t>
      </w:r>
      <w:r w:rsidR="00EE37BC">
        <w:rPr>
          <w:rFonts w:asciiTheme="minorHAnsi" w:hAnsiTheme="minorHAnsi"/>
          <w:color w:val="000000" w:themeColor="text1"/>
          <w:lang w:val="en"/>
        </w:rPr>
        <w:t>remains</w:t>
      </w:r>
      <w:r w:rsidR="00116D35">
        <w:rPr>
          <w:rFonts w:asciiTheme="minorHAnsi" w:hAnsiTheme="minorHAnsi"/>
          <w:color w:val="000000" w:themeColor="text1"/>
          <w:lang w:val="en"/>
        </w:rPr>
        <w:t xml:space="preserve"> operational with staff and budget in place. </w:t>
      </w:r>
      <w:r w:rsidR="004E2128" w:rsidRPr="004E2128">
        <w:rPr>
          <w:rFonts w:asciiTheme="minorHAnsi" w:hAnsiTheme="minorHAnsi"/>
          <w:color w:val="000000" w:themeColor="text1"/>
          <w:lang w:val="en"/>
        </w:rPr>
        <w:t>AIFDR</w:t>
      </w:r>
      <w:r w:rsidR="00116D35">
        <w:rPr>
          <w:rFonts w:asciiTheme="minorHAnsi" w:hAnsiTheme="minorHAnsi"/>
          <w:color w:val="000000" w:themeColor="text1"/>
          <w:lang w:val="en"/>
        </w:rPr>
        <w:t xml:space="preserve"> officials refer to the post</w:t>
      </w:r>
      <w:r w:rsidR="0004685D">
        <w:rPr>
          <w:rFonts w:asciiTheme="minorHAnsi" w:hAnsiTheme="minorHAnsi"/>
          <w:color w:val="000000" w:themeColor="text1"/>
          <w:lang w:val="en"/>
        </w:rPr>
        <w:t>-</w:t>
      </w:r>
      <w:r w:rsidR="00255E34" w:rsidRPr="004E2128">
        <w:rPr>
          <w:rFonts w:asciiTheme="minorHAnsi" w:hAnsiTheme="minorHAnsi"/>
          <w:color w:val="000000" w:themeColor="text1"/>
          <w:lang w:val="en"/>
        </w:rPr>
        <w:t xml:space="preserve">June 2013 </w:t>
      </w:r>
      <w:r w:rsidR="00116D35">
        <w:rPr>
          <w:rFonts w:asciiTheme="minorHAnsi" w:hAnsiTheme="minorHAnsi"/>
          <w:color w:val="000000" w:themeColor="text1"/>
          <w:lang w:val="en"/>
        </w:rPr>
        <w:t>period onwards as ‘transition’</w:t>
      </w:r>
      <w:r w:rsidR="00255E34" w:rsidRPr="004E2128">
        <w:rPr>
          <w:rFonts w:asciiTheme="minorHAnsi" w:hAnsiTheme="minorHAnsi"/>
          <w:color w:val="000000" w:themeColor="text1"/>
          <w:lang w:val="en"/>
        </w:rPr>
        <w:t>. A</w:t>
      </w:r>
      <w:r w:rsidR="00116D35">
        <w:rPr>
          <w:rFonts w:asciiTheme="minorHAnsi" w:hAnsiTheme="minorHAnsi"/>
          <w:color w:val="000000" w:themeColor="text1"/>
          <w:lang w:val="en"/>
        </w:rPr>
        <w:t xml:space="preserve"> design for Phase 2 is complete and</w:t>
      </w:r>
      <w:r w:rsidR="00487FD4">
        <w:rPr>
          <w:rFonts w:asciiTheme="minorHAnsi" w:hAnsiTheme="minorHAnsi"/>
          <w:color w:val="000000" w:themeColor="text1"/>
          <w:lang w:val="en"/>
        </w:rPr>
        <w:t xml:space="preserve"> will go to the Australian Minister for Foreign Affairs soon for approval</w:t>
      </w:r>
      <w:r w:rsidR="00116D35">
        <w:rPr>
          <w:rFonts w:asciiTheme="minorHAnsi" w:hAnsiTheme="minorHAnsi"/>
          <w:color w:val="000000" w:themeColor="text1"/>
          <w:lang w:val="en"/>
        </w:rPr>
        <w:t xml:space="preserve">. DFAT is anticipating the commencement of AIFDR Phase </w:t>
      </w:r>
      <w:r w:rsidR="00487FD4">
        <w:rPr>
          <w:rFonts w:asciiTheme="minorHAnsi" w:hAnsiTheme="minorHAnsi"/>
          <w:color w:val="000000" w:themeColor="text1"/>
          <w:lang w:val="en"/>
        </w:rPr>
        <w:t xml:space="preserve">2 </w:t>
      </w:r>
      <w:r w:rsidR="00116D35">
        <w:rPr>
          <w:rFonts w:asciiTheme="minorHAnsi" w:hAnsiTheme="minorHAnsi"/>
          <w:color w:val="000000" w:themeColor="text1"/>
          <w:lang w:val="en"/>
        </w:rPr>
        <w:t>in 2015.</w:t>
      </w:r>
    </w:p>
    <w:p w14:paraId="4690032C" w14:textId="77777777" w:rsidR="00116D35" w:rsidRDefault="00116D35" w:rsidP="00255E34">
      <w:pPr>
        <w:pStyle w:val="NormalWeb"/>
        <w:shd w:val="clear" w:color="auto" w:fill="FFFFFF"/>
        <w:spacing w:before="0" w:beforeAutospacing="0" w:after="0" w:afterAutospacing="0"/>
        <w:rPr>
          <w:rFonts w:asciiTheme="minorHAnsi" w:hAnsiTheme="minorHAnsi"/>
          <w:color w:val="000000" w:themeColor="text1"/>
          <w:lang w:val="en"/>
        </w:rPr>
      </w:pPr>
    </w:p>
    <w:p w14:paraId="5B106797" w14:textId="3BF36CDF" w:rsidR="00FC541E" w:rsidRPr="004E2128" w:rsidRDefault="00116D35" w:rsidP="00255E34">
      <w:pPr>
        <w:pStyle w:val="NormalWeb"/>
        <w:shd w:val="clear" w:color="auto" w:fill="FFFFFF"/>
        <w:spacing w:before="0" w:beforeAutospacing="0" w:after="0" w:afterAutospacing="0"/>
        <w:rPr>
          <w:rFonts w:asciiTheme="minorHAnsi" w:hAnsiTheme="minorHAnsi"/>
          <w:color w:val="000000" w:themeColor="text1"/>
          <w:lang w:val="en"/>
        </w:rPr>
      </w:pPr>
      <w:r>
        <w:rPr>
          <w:rFonts w:asciiTheme="minorHAnsi" w:hAnsiTheme="minorHAnsi"/>
          <w:color w:val="000000" w:themeColor="text1"/>
          <w:lang w:val="en"/>
        </w:rPr>
        <w:t>The Chart below provide</w:t>
      </w:r>
      <w:r w:rsidR="0004685D">
        <w:rPr>
          <w:rFonts w:asciiTheme="minorHAnsi" w:hAnsiTheme="minorHAnsi"/>
          <w:color w:val="000000" w:themeColor="text1"/>
          <w:lang w:val="en"/>
        </w:rPr>
        <w:t>s</w:t>
      </w:r>
      <w:r>
        <w:rPr>
          <w:rFonts w:asciiTheme="minorHAnsi" w:hAnsiTheme="minorHAnsi"/>
          <w:color w:val="000000" w:themeColor="text1"/>
          <w:lang w:val="en"/>
        </w:rPr>
        <w:t xml:space="preserve"> a timeline for AIFDR to assist readers to understand the sequencing of key decisions and changes in AIFDR operations</w:t>
      </w:r>
      <w:r w:rsidR="00255E34" w:rsidRPr="004E2128">
        <w:rPr>
          <w:rFonts w:asciiTheme="minorHAnsi" w:hAnsiTheme="minorHAnsi"/>
          <w:color w:val="000000" w:themeColor="text1"/>
          <w:lang w:val="en"/>
        </w:rPr>
        <w:t>.</w:t>
      </w:r>
    </w:p>
    <w:p w14:paraId="120EF4CC" w14:textId="77777777" w:rsidR="00B84072" w:rsidRPr="0062029F" w:rsidRDefault="00B84072" w:rsidP="00255E34">
      <w:pPr>
        <w:pStyle w:val="NormalWeb"/>
        <w:shd w:val="clear" w:color="auto" w:fill="FFFFFF"/>
        <w:spacing w:before="0" w:beforeAutospacing="0" w:after="0" w:afterAutospacing="0"/>
        <w:rPr>
          <w:rFonts w:asciiTheme="minorHAnsi" w:hAnsiTheme="minorHAnsi"/>
          <w:color w:val="000000" w:themeColor="text1"/>
          <w:lang w:val="en"/>
        </w:rPr>
      </w:pPr>
    </w:p>
    <w:p w14:paraId="20CD441D" w14:textId="77777777" w:rsidR="00D7281C" w:rsidRDefault="00D7281C" w:rsidP="00611CAA">
      <w:pPr>
        <w:rPr>
          <w:b/>
        </w:rPr>
      </w:pPr>
    </w:p>
    <w:p w14:paraId="7DBADBCE" w14:textId="77777777" w:rsidR="00D7281C" w:rsidRDefault="00D7281C" w:rsidP="00611CAA">
      <w:pPr>
        <w:rPr>
          <w:b/>
        </w:rPr>
      </w:pPr>
    </w:p>
    <w:p w14:paraId="048F74C9" w14:textId="77777777" w:rsidR="00D7281C" w:rsidRDefault="00D7281C" w:rsidP="00611CAA">
      <w:pPr>
        <w:rPr>
          <w:b/>
        </w:rPr>
      </w:pPr>
    </w:p>
    <w:p w14:paraId="1EF9ECF0" w14:textId="36F8596C" w:rsidR="00EC3509" w:rsidRPr="006E248F" w:rsidRDefault="00C34AD8" w:rsidP="00611CAA">
      <w:pPr>
        <w:rPr>
          <w:b/>
          <w:sz w:val="24"/>
          <w:szCs w:val="24"/>
        </w:rPr>
      </w:pPr>
      <w:r w:rsidRPr="006E248F">
        <w:rPr>
          <w:b/>
          <w:sz w:val="24"/>
          <w:szCs w:val="24"/>
        </w:rPr>
        <w:t>C</w:t>
      </w:r>
      <w:r w:rsidR="00C27538" w:rsidRPr="006E248F">
        <w:rPr>
          <w:b/>
          <w:sz w:val="24"/>
          <w:szCs w:val="24"/>
        </w:rPr>
        <w:t>hart 3</w:t>
      </w:r>
      <w:r w:rsidRPr="006E248F">
        <w:rPr>
          <w:b/>
          <w:sz w:val="24"/>
          <w:szCs w:val="24"/>
        </w:rPr>
        <w:t>:</w:t>
      </w:r>
      <w:r w:rsidR="00C27538">
        <w:rPr>
          <w:b/>
          <w:sz w:val="24"/>
          <w:szCs w:val="24"/>
        </w:rPr>
        <w:t xml:space="preserve"> </w:t>
      </w:r>
      <w:r w:rsidRPr="006E248F">
        <w:rPr>
          <w:b/>
          <w:sz w:val="24"/>
          <w:szCs w:val="24"/>
        </w:rPr>
        <w:t xml:space="preserve">AIFDR </w:t>
      </w:r>
      <w:r w:rsidR="00EC3509" w:rsidRPr="006E248F">
        <w:rPr>
          <w:b/>
          <w:sz w:val="24"/>
          <w:szCs w:val="24"/>
        </w:rPr>
        <w:t xml:space="preserve">Timeline </w:t>
      </w:r>
    </w:p>
    <w:p w14:paraId="269A451C" w14:textId="77777777" w:rsidR="004E2128" w:rsidRDefault="004E2128" w:rsidP="00611CAA">
      <w:pPr>
        <w:rPr>
          <w:b/>
        </w:rPr>
      </w:pPr>
    </w:p>
    <w:p w14:paraId="75037845" w14:textId="77777777" w:rsidR="005206EB" w:rsidRDefault="00C34AD8" w:rsidP="00611CAA">
      <w:pPr>
        <w:rPr>
          <w:b/>
        </w:rPr>
      </w:pPr>
      <w:r>
        <w:object w:dxaOrig="7200" w:dyaOrig="5390" w14:anchorId="55D7F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80.5pt" o:ole="" o:bordertopcolor="this" o:borderleftcolor="this" o:borderbottomcolor="this" o:borderrightcolor="this">
            <v:imagedata r:id="rId12" o:title=""/>
            <w10:bordertop type="single" width="4" shadow="t"/>
            <w10:borderleft type="single" width="4" shadow="t"/>
            <w10:borderbottom type="single" width="4" shadow="t"/>
            <w10:borderright type="single" width="4" shadow="t"/>
          </v:shape>
          <o:OLEObject Type="Embed" ProgID="PowerPoint.Slide.12" ShapeID="_x0000_i1025" DrawAspect="Content" ObjectID="_1508062693" r:id="rId13"/>
        </w:object>
      </w:r>
    </w:p>
    <w:p w14:paraId="2129DB0A" w14:textId="77777777" w:rsidR="00CC034C" w:rsidRDefault="00CC034C" w:rsidP="00611CAA">
      <w:pPr>
        <w:rPr>
          <w:b/>
        </w:rPr>
      </w:pPr>
    </w:p>
    <w:p w14:paraId="5DC4DEBB" w14:textId="61EDAFB0" w:rsidR="00611CAA" w:rsidRDefault="00705CFC" w:rsidP="00705CFC">
      <w:pPr>
        <w:pStyle w:val="Heading2"/>
      </w:pPr>
      <w:bookmarkStart w:id="8" w:name="_Toc402431247"/>
      <w:r>
        <w:t>1.</w:t>
      </w:r>
      <w:r w:rsidR="00C45908" w:rsidRPr="00C45908">
        <w:t>3.</w:t>
      </w:r>
      <w:r w:rsidR="00C45908" w:rsidRPr="00C45908">
        <w:tab/>
      </w:r>
      <w:r w:rsidR="00611CAA" w:rsidRPr="00C45908">
        <w:t xml:space="preserve">Evaluation </w:t>
      </w:r>
      <w:r>
        <w:t>purpose</w:t>
      </w:r>
      <w:bookmarkEnd w:id="8"/>
      <w:r w:rsidR="00611CAA" w:rsidRPr="00C45908">
        <w:t xml:space="preserve"> </w:t>
      </w:r>
    </w:p>
    <w:p w14:paraId="670269DA" w14:textId="77777777" w:rsidR="00116D35" w:rsidRPr="00116D35" w:rsidRDefault="00116D35" w:rsidP="00116D35">
      <w:pPr>
        <w:spacing w:after="0"/>
      </w:pPr>
    </w:p>
    <w:p w14:paraId="7BFF82A8" w14:textId="4C1B6381" w:rsidR="006C7C55" w:rsidRPr="006C7C55" w:rsidRDefault="006C7C55" w:rsidP="00EC3509">
      <w:pPr>
        <w:rPr>
          <w:sz w:val="24"/>
          <w:szCs w:val="24"/>
        </w:rPr>
      </w:pPr>
      <w:r w:rsidRPr="006C7C55">
        <w:rPr>
          <w:sz w:val="24"/>
          <w:szCs w:val="24"/>
        </w:rPr>
        <w:t xml:space="preserve">The Terms of Reference (ToRs) for this review tasked the </w:t>
      </w:r>
      <w:r w:rsidR="003A5BD4">
        <w:rPr>
          <w:sz w:val="24"/>
          <w:szCs w:val="24"/>
        </w:rPr>
        <w:t>review</w:t>
      </w:r>
      <w:r w:rsidRPr="006C7C55">
        <w:rPr>
          <w:sz w:val="24"/>
          <w:szCs w:val="24"/>
        </w:rPr>
        <w:t xml:space="preserve"> team to: </w:t>
      </w:r>
    </w:p>
    <w:p w14:paraId="38D170AA" w14:textId="7601308E" w:rsidR="00525EFA" w:rsidRDefault="00525EFA" w:rsidP="00525EFA">
      <w:pPr>
        <w:pStyle w:val="ListParagraph"/>
        <w:numPr>
          <w:ilvl w:val="0"/>
          <w:numId w:val="14"/>
        </w:numPr>
        <w:rPr>
          <w:i/>
          <w:sz w:val="24"/>
          <w:szCs w:val="24"/>
        </w:rPr>
      </w:pPr>
      <w:r w:rsidRPr="00116D35">
        <w:rPr>
          <w:i/>
          <w:sz w:val="24"/>
          <w:szCs w:val="24"/>
        </w:rPr>
        <w:t xml:space="preserve">To assess key program deliverables and key development outcomes of relevance to the Government of Indonesia (GoI) and the Government of Australia (GoA); </w:t>
      </w:r>
    </w:p>
    <w:p w14:paraId="168A8A9B" w14:textId="77777777" w:rsidR="00116D35" w:rsidRPr="00116D35" w:rsidRDefault="00116D35" w:rsidP="00116D35">
      <w:pPr>
        <w:pStyle w:val="ListParagraph"/>
        <w:rPr>
          <w:i/>
          <w:sz w:val="24"/>
          <w:szCs w:val="24"/>
        </w:rPr>
      </w:pPr>
    </w:p>
    <w:p w14:paraId="1417F43B" w14:textId="64C97FCE" w:rsidR="00525EFA" w:rsidRDefault="00525EFA" w:rsidP="00525EFA">
      <w:pPr>
        <w:pStyle w:val="ListParagraph"/>
        <w:numPr>
          <w:ilvl w:val="0"/>
          <w:numId w:val="14"/>
        </w:numPr>
        <w:rPr>
          <w:i/>
          <w:sz w:val="24"/>
          <w:szCs w:val="24"/>
        </w:rPr>
      </w:pPr>
      <w:r w:rsidRPr="00116D35">
        <w:rPr>
          <w:i/>
          <w:sz w:val="24"/>
          <w:szCs w:val="24"/>
        </w:rPr>
        <w:t xml:space="preserve">To evaluate and assess AIFDR’s partnership with Indonesia’s National Disaster Management Agency (BNPB) and other key partners (such as ASEAN, UNDP, NGOs and CSO’s) in terms of relevance, effectiveness and efficiency. </w:t>
      </w:r>
    </w:p>
    <w:p w14:paraId="40613D69" w14:textId="77777777" w:rsidR="00116D35" w:rsidRPr="00116D35" w:rsidRDefault="00116D35" w:rsidP="00116D35">
      <w:pPr>
        <w:pStyle w:val="ListParagraph"/>
        <w:rPr>
          <w:i/>
          <w:sz w:val="24"/>
          <w:szCs w:val="24"/>
        </w:rPr>
      </w:pPr>
    </w:p>
    <w:p w14:paraId="2D916A84" w14:textId="001920AA" w:rsidR="00FC541E" w:rsidRPr="00DF205B" w:rsidRDefault="00525EFA" w:rsidP="00A70F3D">
      <w:pPr>
        <w:pStyle w:val="ListParagraph"/>
        <w:numPr>
          <w:ilvl w:val="0"/>
          <w:numId w:val="14"/>
        </w:numPr>
        <w:rPr>
          <w:b/>
          <w:i/>
          <w:sz w:val="24"/>
          <w:szCs w:val="24"/>
        </w:rPr>
      </w:pPr>
      <w:r w:rsidRPr="00116D35">
        <w:rPr>
          <w:i/>
          <w:sz w:val="24"/>
          <w:szCs w:val="24"/>
        </w:rPr>
        <w:t xml:space="preserve">To support the implementation of Australia’s new disaster </w:t>
      </w:r>
      <w:r w:rsidR="0015602D" w:rsidRPr="00116D35">
        <w:rPr>
          <w:i/>
          <w:sz w:val="24"/>
          <w:szCs w:val="24"/>
        </w:rPr>
        <w:t xml:space="preserve">risk management program for Indonesia (AIFDR Phase 2), including the science program delivered by Geoscience, by capturing and documenting key lessons learnt. </w:t>
      </w:r>
    </w:p>
    <w:p w14:paraId="0FA505C5" w14:textId="77777777" w:rsidR="00DF205B" w:rsidRPr="00DF205B" w:rsidRDefault="00DF205B" w:rsidP="00DF205B">
      <w:pPr>
        <w:pStyle w:val="ListParagraph"/>
        <w:rPr>
          <w:b/>
          <w:i/>
          <w:sz w:val="24"/>
          <w:szCs w:val="24"/>
        </w:rPr>
      </w:pPr>
    </w:p>
    <w:p w14:paraId="230E462C" w14:textId="2CAD9BB3" w:rsidR="009074E2" w:rsidRPr="006870D9" w:rsidRDefault="009074E2" w:rsidP="009074E2">
      <w:pPr>
        <w:rPr>
          <w:sz w:val="24"/>
          <w:szCs w:val="24"/>
        </w:rPr>
      </w:pPr>
      <w:r w:rsidRPr="006870D9">
        <w:rPr>
          <w:sz w:val="24"/>
          <w:szCs w:val="24"/>
        </w:rPr>
        <w:t xml:space="preserve">The purpose </w:t>
      </w:r>
      <w:r w:rsidR="006C7C55">
        <w:rPr>
          <w:sz w:val="24"/>
          <w:szCs w:val="24"/>
        </w:rPr>
        <w:t xml:space="preserve">for this </w:t>
      </w:r>
      <w:r w:rsidR="00D13F52">
        <w:rPr>
          <w:sz w:val="24"/>
          <w:szCs w:val="24"/>
        </w:rPr>
        <w:t>review</w:t>
      </w:r>
      <w:r w:rsidR="003D59ED">
        <w:rPr>
          <w:sz w:val="24"/>
          <w:szCs w:val="24"/>
        </w:rPr>
        <w:t xml:space="preserve"> is primarily for accountability</w:t>
      </w:r>
      <w:r w:rsidRPr="006870D9">
        <w:rPr>
          <w:sz w:val="24"/>
          <w:szCs w:val="24"/>
        </w:rPr>
        <w:t xml:space="preserve"> reasons </w:t>
      </w:r>
      <w:r w:rsidR="006932C1">
        <w:rPr>
          <w:sz w:val="24"/>
          <w:szCs w:val="24"/>
        </w:rPr>
        <w:t xml:space="preserve">i.e. </w:t>
      </w:r>
      <w:r w:rsidRPr="006870D9">
        <w:rPr>
          <w:sz w:val="24"/>
          <w:szCs w:val="24"/>
        </w:rPr>
        <w:t xml:space="preserve">as an assessment of AIFDR’s performance. </w:t>
      </w:r>
      <w:r w:rsidR="006932C1">
        <w:rPr>
          <w:sz w:val="24"/>
          <w:szCs w:val="24"/>
        </w:rPr>
        <w:t>A</w:t>
      </w:r>
      <w:r w:rsidRPr="006870D9">
        <w:rPr>
          <w:sz w:val="24"/>
          <w:szCs w:val="24"/>
        </w:rPr>
        <w:t>ddition</w:t>
      </w:r>
      <w:r w:rsidR="006932C1">
        <w:rPr>
          <w:sz w:val="24"/>
          <w:szCs w:val="24"/>
        </w:rPr>
        <w:t>ally</w:t>
      </w:r>
      <w:r w:rsidRPr="006870D9">
        <w:rPr>
          <w:sz w:val="24"/>
          <w:szCs w:val="24"/>
        </w:rPr>
        <w:t>, the evaluation team ha</w:t>
      </w:r>
      <w:r w:rsidR="002F5850">
        <w:rPr>
          <w:sz w:val="24"/>
          <w:szCs w:val="24"/>
        </w:rPr>
        <w:t xml:space="preserve">ve been tasked to gather and assess </w:t>
      </w:r>
      <w:r w:rsidRPr="006870D9">
        <w:rPr>
          <w:sz w:val="24"/>
          <w:szCs w:val="24"/>
        </w:rPr>
        <w:t xml:space="preserve">lessons learnt from </w:t>
      </w:r>
      <w:r w:rsidR="003D59ED">
        <w:rPr>
          <w:sz w:val="24"/>
          <w:szCs w:val="24"/>
        </w:rPr>
        <w:t xml:space="preserve">AIFDR </w:t>
      </w:r>
      <w:r w:rsidRPr="006870D9">
        <w:rPr>
          <w:sz w:val="24"/>
          <w:szCs w:val="24"/>
        </w:rPr>
        <w:t xml:space="preserve">Phase 1 </w:t>
      </w:r>
      <w:r w:rsidR="002F5850">
        <w:rPr>
          <w:sz w:val="24"/>
          <w:szCs w:val="24"/>
        </w:rPr>
        <w:t>that may be relevant t</w:t>
      </w:r>
      <w:r w:rsidRPr="006870D9">
        <w:rPr>
          <w:sz w:val="24"/>
          <w:szCs w:val="24"/>
        </w:rPr>
        <w:t>o Phase 2</w:t>
      </w:r>
      <w:r w:rsidR="00DF205B">
        <w:rPr>
          <w:sz w:val="24"/>
          <w:szCs w:val="24"/>
        </w:rPr>
        <w:t>. Consequently</w:t>
      </w:r>
      <w:r w:rsidR="002F5850">
        <w:rPr>
          <w:sz w:val="24"/>
          <w:szCs w:val="24"/>
        </w:rPr>
        <w:t>, th</w:t>
      </w:r>
      <w:r w:rsidR="00DF205B">
        <w:rPr>
          <w:sz w:val="24"/>
          <w:szCs w:val="24"/>
        </w:rPr>
        <w:t>is</w:t>
      </w:r>
      <w:r w:rsidR="002F5850">
        <w:rPr>
          <w:sz w:val="24"/>
          <w:szCs w:val="24"/>
        </w:rPr>
        <w:t xml:space="preserve"> review also has learning objectives inbuilt into its design</w:t>
      </w:r>
      <w:r w:rsidR="000F68E1">
        <w:rPr>
          <w:sz w:val="24"/>
          <w:szCs w:val="24"/>
        </w:rPr>
        <w:t xml:space="preserve">. To this end, the review team has attempted to highlight observable areas of weakness and sub-optimal performance as a means to constructively </w:t>
      </w:r>
      <w:r w:rsidR="00C27538">
        <w:rPr>
          <w:sz w:val="24"/>
          <w:szCs w:val="24"/>
        </w:rPr>
        <w:t>provide feedback to inform</w:t>
      </w:r>
      <w:r w:rsidR="001A6F0A">
        <w:rPr>
          <w:sz w:val="24"/>
          <w:szCs w:val="24"/>
        </w:rPr>
        <w:t xml:space="preserve"> </w:t>
      </w:r>
      <w:r w:rsidR="0044427A">
        <w:rPr>
          <w:sz w:val="24"/>
          <w:szCs w:val="24"/>
        </w:rPr>
        <w:t>future performance</w:t>
      </w:r>
      <w:r w:rsidR="001A6F0A">
        <w:rPr>
          <w:sz w:val="24"/>
          <w:szCs w:val="24"/>
        </w:rPr>
        <w:t xml:space="preserve"> </w:t>
      </w:r>
      <w:r w:rsidR="000F68E1">
        <w:rPr>
          <w:sz w:val="24"/>
          <w:szCs w:val="24"/>
        </w:rPr>
        <w:t>– rather than to overtly criticise Phase 1 staff whose efforts to produce meaningful DRR outcomes from a weakly defined (initially), high expectation and politicised concept were often exemplary</w:t>
      </w:r>
      <w:r w:rsidR="002F5850">
        <w:rPr>
          <w:sz w:val="24"/>
          <w:szCs w:val="24"/>
        </w:rPr>
        <w:t>.</w:t>
      </w:r>
    </w:p>
    <w:p w14:paraId="2498A281" w14:textId="0D2E6B63" w:rsidR="003D59ED" w:rsidRDefault="002F5850" w:rsidP="002F5850">
      <w:pPr>
        <w:rPr>
          <w:sz w:val="24"/>
          <w:szCs w:val="24"/>
        </w:rPr>
      </w:pPr>
      <w:r>
        <w:rPr>
          <w:sz w:val="24"/>
          <w:szCs w:val="24"/>
        </w:rPr>
        <w:t xml:space="preserve">The ToRs for this exercise are </w:t>
      </w:r>
      <w:r w:rsidRPr="006870D9">
        <w:rPr>
          <w:sz w:val="24"/>
          <w:szCs w:val="24"/>
        </w:rPr>
        <w:t>narrow</w:t>
      </w:r>
      <w:r w:rsidR="006932C1">
        <w:rPr>
          <w:sz w:val="24"/>
          <w:szCs w:val="24"/>
        </w:rPr>
        <w:t>er than the</w:t>
      </w:r>
      <w:r w:rsidRPr="006870D9">
        <w:rPr>
          <w:sz w:val="24"/>
          <w:szCs w:val="24"/>
        </w:rPr>
        <w:t xml:space="preserve"> </w:t>
      </w:r>
      <w:r w:rsidR="00DF205B">
        <w:rPr>
          <w:sz w:val="24"/>
          <w:szCs w:val="24"/>
        </w:rPr>
        <w:t xml:space="preserve">Australian </w:t>
      </w:r>
      <w:r>
        <w:rPr>
          <w:sz w:val="24"/>
          <w:szCs w:val="24"/>
        </w:rPr>
        <w:t xml:space="preserve">Aid </w:t>
      </w:r>
      <w:r w:rsidR="006932C1">
        <w:rPr>
          <w:sz w:val="24"/>
          <w:szCs w:val="24"/>
        </w:rPr>
        <w:t xml:space="preserve">Program’s </w:t>
      </w:r>
      <w:r w:rsidR="00DF205B">
        <w:rPr>
          <w:sz w:val="24"/>
          <w:szCs w:val="24"/>
        </w:rPr>
        <w:t xml:space="preserve">standard criteria for </w:t>
      </w:r>
      <w:r w:rsidRPr="006870D9">
        <w:rPr>
          <w:sz w:val="24"/>
          <w:szCs w:val="24"/>
        </w:rPr>
        <w:t xml:space="preserve">Program Completion </w:t>
      </w:r>
      <w:r w:rsidR="00DF205B">
        <w:rPr>
          <w:sz w:val="24"/>
          <w:szCs w:val="24"/>
        </w:rPr>
        <w:t xml:space="preserve">Reports, </w:t>
      </w:r>
      <w:r>
        <w:rPr>
          <w:sz w:val="24"/>
          <w:szCs w:val="24"/>
        </w:rPr>
        <w:t>which include a</w:t>
      </w:r>
      <w:r w:rsidR="00DF205B">
        <w:rPr>
          <w:sz w:val="24"/>
          <w:szCs w:val="24"/>
        </w:rPr>
        <w:t>n</w:t>
      </w:r>
      <w:r>
        <w:rPr>
          <w:sz w:val="24"/>
          <w:szCs w:val="24"/>
        </w:rPr>
        <w:t xml:space="preserve"> assessment of sustainability, gender, and cross cutting issues</w:t>
      </w:r>
      <w:r w:rsidR="00DF205B">
        <w:rPr>
          <w:sz w:val="24"/>
          <w:szCs w:val="24"/>
        </w:rPr>
        <w:t>. Th</w:t>
      </w:r>
      <w:r>
        <w:rPr>
          <w:sz w:val="24"/>
          <w:szCs w:val="24"/>
        </w:rPr>
        <w:t xml:space="preserve">e reason is </w:t>
      </w:r>
      <w:r w:rsidR="006932C1">
        <w:rPr>
          <w:sz w:val="24"/>
          <w:szCs w:val="24"/>
        </w:rPr>
        <w:t>that the</w:t>
      </w:r>
      <w:r>
        <w:rPr>
          <w:sz w:val="24"/>
          <w:szCs w:val="24"/>
        </w:rPr>
        <w:t xml:space="preserve"> detailed </w:t>
      </w:r>
      <w:r w:rsidR="006932C1">
        <w:rPr>
          <w:sz w:val="24"/>
          <w:szCs w:val="24"/>
        </w:rPr>
        <w:t>MTR</w:t>
      </w:r>
      <w:r w:rsidR="0084774E" w:rsidRPr="006870D9">
        <w:rPr>
          <w:sz w:val="24"/>
          <w:szCs w:val="24"/>
        </w:rPr>
        <w:t xml:space="preserve"> was </w:t>
      </w:r>
      <w:r w:rsidR="006932C1">
        <w:rPr>
          <w:sz w:val="24"/>
          <w:szCs w:val="24"/>
        </w:rPr>
        <w:t xml:space="preserve">only </w:t>
      </w:r>
      <w:r w:rsidR="0084774E" w:rsidRPr="006870D9">
        <w:rPr>
          <w:sz w:val="24"/>
          <w:szCs w:val="24"/>
        </w:rPr>
        <w:t xml:space="preserve">completed in 2011 </w:t>
      </w:r>
      <w:r w:rsidR="006870D9" w:rsidRPr="006870D9">
        <w:rPr>
          <w:sz w:val="24"/>
          <w:szCs w:val="24"/>
        </w:rPr>
        <w:t>(</w:t>
      </w:r>
      <w:r w:rsidR="006932C1">
        <w:rPr>
          <w:sz w:val="24"/>
          <w:szCs w:val="24"/>
        </w:rPr>
        <w:t xml:space="preserve">i.e. </w:t>
      </w:r>
      <w:r w:rsidR="006870D9" w:rsidRPr="006870D9">
        <w:rPr>
          <w:sz w:val="24"/>
          <w:szCs w:val="24"/>
        </w:rPr>
        <w:t>within 2 years of AIFDR Phase 1 ending)</w:t>
      </w:r>
      <w:r>
        <w:rPr>
          <w:sz w:val="24"/>
          <w:szCs w:val="24"/>
        </w:rPr>
        <w:t xml:space="preserve">. </w:t>
      </w:r>
    </w:p>
    <w:p w14:paraId="2A9835BF" w14:textId="4B9BD635" w:rsidR="002F5850" w:rsidRPr="00AF3B9C" w:rsidRDefault="002F5850" w:rsidP="002F5850">
      <w:pPr>
        <w:rPr>
          <w:sz w:val="24"/>
          <w:szCs w:val="24"/>
        </w:rPr>
      </w:pPr>
      <w:r>
        <w:rPr>
          <w:sz w:val="24"/>
          <w:szCs w:val="24"/>
        </w:rPr>
        <w:t xml:space="preserve">The review team were tasked to review </w:t>
      </w:r>
      <w:r w:rsidR="006870D9" w:rsidRPr="006870D9">
        <w:rPr>
          <w:sz w:val="24"/>
          <w:szCs w:val="24"/>
        </w:rPr>
        <w:t>AIFDR</w:t>
      </w:r>
      <w:r>
        <w:rPr>
          <w:sz w:val="24"/>
          <w:szCs w:val="24"/>
        </w:rPr>
        <w:t>’s</w:t>
      </w:r>
      <w:r w:rsidR="006870D9" w:rsidRPr="006870D9">
        <w:rPr>
          <w:sz w:val="24"/>
          <w:szCs w:val="24"/>
        </w:rPr>
        <w:t xml:space="preserve"> performance </w:t>
      </w:r>
      <w:r>
        <w:rPr>
          <w:sz w:val="24"/>
          <w:szCs w:val="24"/>
        </w:rPr>
        <w:t>with reference to three</w:t>
      </w:r>
      <w:r w:rsidR="006870D9" w:rsidRPr="006870D9">
        <w:rPr>
          <w:sz w:val="24"/>
          <w:szCs w:val="24"/>
        </w:rPr>
        <w:t xml:space="preserve"> evaluation criteria, namely</w:t>
      </w:r>
      <w:r w:rsidR="003D59ED">
        <w:rPr>
          <w:sz w:val="24"/>
          <w:szCs w:val="24"/>
        </w:rPr>
        <w:t>:</w:t>
      </w:r>
      <w:r w:rsidR="006870D9" w:rsidRPr="006870D9">
        <w:rPr>
          <w:sz w:val="24"/>
          <w:szCs w:val="24"/>
        </w:rPr>
        <w:t xml:space="preserve"> relevance, effectiveness and efficiency.</w:t>
      </w:r>
      <w:r w:rsidR="003D59ED">
        <w:rPr>
          <w:sz w:val="24"/>
          <w:szCs w:val="24"/>
        </w:rPr>
        <w:t xml:space="preserve"> AIFDR’s monitoring and evaluation and knowledge management arrangements have also been reviewed and rated.</w:t>
      </w:r>
      <w:r w:rsidR="003D59ED" w:rsidRPr="003D59ED">
        <w:rPr>
          <w:sz w:val="24"/>
          <w:szCs w:val="24"/>
        </w:rPr>
        <w:t xml:space="preserve"> </w:t>
      </w:r>
      <w:r w:rsidR="003D59ED">
        <w:rPr>
          <w:sz w:val="24"/>
          <w:szCs w:val="24"/>
        </w:rPr>
        <w:t>The review team has not assessed i</w:t>
      </w:r>
      <w:r w:rsidR="003D59ED" w:rsidRPr="00AF3B9C">
        <w:rPr>
          <w:sz w:val="24"/>
          <w:szCs w:val="24"/>
        </w:rPr>
        <w:t xml:space="preserve">mpact </w:t>
      </w:r>
      <w:r w:rsidR="003D59ED">
        <w:rPr>
          <w:sz w:val="24"/>
          <w:szCs w:val="24"/>
        </w:rPr>
        <w:t xml:space="preserve">as it </w:t>
      </w:r>
      <w:r w:rsidR="003D59ED" w:rsidRPr="00AF3B9C">
        <w:rPr>
          <w:sz w:val="24"/>
          <w:szCs w:val="24"/>
        </w:rPr>
        <w:t xml:space="preserve">was outside the scope of this </w:t>
      </w:r>
      <w:r w:rsidR="003D59ED">
        <w:rPr>
          <w:sz w:val="24"/>
          <w:szCs w:val="24"/>
        </w:rPr>
        <w:t>review</w:t>
      </w:r>
      <w:r w:rsidR="006932C1">
        <w:rPr>
          <w:sz w:val="24"/>
          <w:szCs w:val="24"/>
        </w:rPr>
        <w:t xml:space="preserve"> and is, in any case, probably immeasurable at this stage</w:t>
      </w:r>
      <w:r w:rsidR="003D59ED">
        <w:rPr>
          <w:sz w:val="24"/>
          <w:szCs w:val="24"/>
        </w:rPr>
        <w:t>.</w:t>
      </w:r>
    </w:p>
    <w:p w14:paraId="72BE5560" w14:textId="28792756" w:rsidR="003D59ED" w:rsidRDefault="00FC541E" w:rsidP="002F5850">
      <w:pPr>
        <w:rPr>
          <w:sz w:val="24"/>
          <w:szCs w:val="24"/>
        </w:rPr>
      </w:pPr>
      <w:r w:rsidRPr="009074E2">
        <w:rPr>
          <w:sz w:val="24"/>
          <w:szCs w:val="24"/>
        </w:rPr>
        <w:t xml:space="preserve">The </w:t>
      </w:r>
      <w:r w:rsidR="00AD0C1B">
        <w:rPr>
          <w:sz w:val="24"/>
          <w:szCs w:val="24"/>
        </w:rPr>
        <w:t xml:space="preserve">review </w:t>
      </w:r>
      <w:r w:rsidRPr="009074E2">
        <w:rPr>
          <w:sz w:val="24"/>
          <w:szCs w:val="24"/>
        </w:rPr>
        <w:t>team has focused primarily on AIFDR’s performance after the M</w:t>
      </w:r>
      <w:r w:rsidR="006932C1">
        <w:rPr>
          <w:sz w:val="24"/>
          <w:szCs w:val="24"/>
        </w:rPr>
        <w:t>TR</w:t>
      </w:r>
      <w:r w:rsidRPr="009074E2">
        <w:rPr>
          <w:sz w:val="24"/>
          <w:szCs w:val="24"/>
        </w:rPr>
        <w:t xml:space="preserve"> (2011), but has also reviewed </w:t>
      </w:r>
      <w:r w:rsidR="006932C1">
        <w:rPr>
          <w:sz w:val="24"/>
          <w:szCs w:val="24"/>
        </w:rPr>
        <w:t xml:space="preserve">earlier </w:t>
      </w:r>
      <w:r w:rsidRPr="009074E2">
        <w:rPr>
          <w:sz w:val="24"/>
          <w:szCs w:val="24"/>
        </w:rPr>
        <w:t xml:space="preserve">operations so as to understand the genesis and early years of the facility. To the best of our ability, the </w:t>
      </w:r>
      <w:r w:rsidR="003D59ED">
        <w:rPr>
          <w:sz w:val="24"/>
          <w:szCs w:val="24"/>
        </w:rPr>
        <w:t>review</w:t>
      </w:r>
      <w:r w:rsidRPr="009074E2">
        <w:rPr>
          <w:sz w:val="24"/>
          <w:szCs w:val="24"/>
        </w:rPr>
        <w:t xml:space="preserve"> team have also attempted to distil the performance of AIFDR to the end of Phase One (</w:t>
      </w:r>
      <w:r w:rsidRPr="005E16F3">
        <w:rPr>
          <w:i/>
          <w:sz w:val="24"/>
          <w:szCs w:val="24"/>
        </w:rPr>
        <w:t>per</w:t>
      </w:r>
      <w:r w:rsidRPr="009074E2">
        <w:rPr>
          <w:sz w:val="24"/>
          <w:szCs w:val="24"/>
        </w:rPr>
        <w:t xml:space="preserve"> TORs) from that occurring in the transition year, which falls outside the purview of this review.</w:t>
      </w:r>
      <w:r w:rsidR="006932C1">
        <w:rPr>
          <w:sz w:val="24"/>
          <w:szCs w:val="24"/>
        </w:rPr>
        <w:t xml:space="preserve"> </w:t>
      </w:r>
      <w:r w:rsidR="000F6FC2">
        <w:rPr>
          <w:sz w:val="24"/>
          <w:szCs w:val="24"/>
        </w:rPr>
        <w:t xml:space="preserve">Also, readers of this report should note that the review team were </w:t>
      </w:r>
      <w:r w:rsidR="000F6FC2" w:rsidRPr="005E16F3">
        <w:rPr>
          <w:sz w:val="24"/>
          <w:szCs w:val="24"/>
          <w:u w:val="single"/>
        </w:rPr>
        <w:t>not</w:t>
      </w:r>
      <w:r w:rsidR="000F6FC2">
        <w:rPr>
          <w:sz w:val="24"/>
          <w:szCs w:val="24"/>
        </w:rPr>
        <w:t xml:space="preserve"> tasked with assessing Australia’s investments </w:t>
      </w:r>
      <w:r w:rsidR="003D59ED">
        <w:rPr>
          <w:sz w:val="24"/>
          <w:szCs w:val="24"/>
        </w:rPr>
        <w:t>in disaster</w:t>
      </w:r>
      <w:r w:rsidR="000F6FC2">
        <w:rPr>
          <w:sz w:val="24"/>
          <w:szCs w:val="24"/>
        </w:rPr>
        <w:t xml:space="preserve"> response </w:t>
      </w:r>
      <w:r w:rsidR="006932C1">
        <w:rPr>
          <w:sz w:val="24"/>
          <w:szCs w:val="24"/>
        </w:rPr>
        <w:t xml:space="preserve">that were </w:t>
      </w:r>
      <w:r w:rsidR="000F6FC2">
        <w:rPr>
          <w:sz w:val="24"/>
          <w:szCs w:val="24"/>
        </w:rPr>
        <w:t xml:space="preserve">funded and managed </w:t>
      </w:r>
      <w:r w:rsidR="00D00DB8">
        <w:rPr>
          <w:sz w:val="24"/>
          <w:szCs w:val="24"/>
        </w:rPr>
        <w:t>by</w:t>
      </w:r>
      <w:r w:rsidR="000F6FC2">
        <w:rPr>
          <w:sz w:val="24"/>
          <w:szCs w:val="24"/>
        </w:rPr>
        <w:t xml:space="preserve"> the Disaster Risk Unit (DRU) in Jakarta</w:t>
      </w:r>
      <w:r w:rsidR="003D59ED">
        <w:rPr>
          <w:sz w:val="24"/>
          <w:szCs w:val="24"/>
        </w:rPr>
        <w:t xml:space="preserve">. </w:t>
      </w:r>
    </w:p>
    <w:p w14:paraId="4A7DC3A4" w14:textId="77777777" w:rsidR="009D53D2" w:rsidRPr="009074E2" w:rsidRDefault="009D53D2" w:rsidP="006E248F">
      <w:pPr>
        <w:spacing w:after="0" w:line="240" w:lineRule="auto"/>
        <w:rPr>
          <w:sz w:val="24"/>
          <w:szCs w:val="24"/>
        </w:rPr>
      </w:pPr>
    </w:p>
    <w:p w14:paraId="034377FD" w14:textId="21B1E217" w:rsidR="00611CAA" w:rsidRDefault="00705CFC" w:rsidP="00705CFC">
      <w:pPr>
        <w:pStyle w:val="Heading2"/>
      </w:pPr>
      <w:bookmarkStart w:id="9" w:name="_Toc402431248"/>
      <w:r>
        <w:t>1.4</w:t>
      </w:r>
      <w:r w:rsidR="00C45908" w:rsidRPr="00C45908">
        <w:tab/>
      </w:r>
      <w:r w:rsidR="00611CAA" w:rsidRPr="00C45908">
        <w:t>Methodology</w:t>
      </w:r>
      <w:bookmarkEnd w:id="9"/>
      <w:r w:rsidR="00611CAA" w:rsidRPr="00C45908">
        <w:t xml:space="preserve"> </w:t>
      </w:r>
      <w:r w:rsidR="00611CAA" w:rsidRPr="00C45908">
        <w:tab/>
      </w:r>
    </w:p>
    <w:p w14:paraId="403B4753" w14:textId="77777777" w:rsidR="00705CFC" w:rsidRPr="00705CFC" w:rsidRDefault="00705CFC" w:rsidP="00705CFC">
      <w:pPr>
        <w:spacing w:after="0"/>
      </w:pPr>
    </w:p>
    <w:p w14:paraId="6F0E5184" w14:textId="77777777" w:rsidR="008C6CB7" w:rsidRDefault="00FC541E" w:rsidP="00FC541E">
      <w:pPr>
        <w:rPr>
          <w:rFonts w:cs="Times New Roman"/>
          <w:sz w:val="24"/>
          <w:szCs w:val="24"/>
        </w:rPr>
      </w:pPr>
      <w:r w:rsidRPr="005A1D9F">
        <w:rPr>
          <w:rFonts w:cs="Times New Roman"/>
          <w:sz w:val="24"/>
          <w:szCs w:val="24"/>
        </w:rPr>
        <w:t xml:space="preserve">The </w:t>
      </w:r>
      <w:r w:rsidR="001335DD">
        <w:rPr>
          <w:rFonts w:cs="Times New Roman"/>
          <w:sz w:val="24"/>
          <w:szCs w:val="24"/>
        </w:rPr>
        <w:t xml:space="preserve">methodology for this </w:t>
      </w:r>
      <w:r w:rsidR="00341465">
        <w:rPr>
          <w:rFonts w:cs="Times New Roman"/>
          <w:sz w:val="24"/>
          <w:szCs w:val="24"/>
        </w:rPr>
        <w:t>review</w:t>
      </w:r>
      <w:r w:rsidR="001335DD">
        <w:rPr>
          <w:rFonts w:cs="Times New Roman"/>
          <w:sz w:val="24"/>
          <w:szCs w:val="24"/>
        </w:rPr>
        <w:t xml:space="preserve"> is set out in a detailed evaluation plan, which is presented in Annex</w:t>
      </w:r>
      <w:r w:rsidR="00341465">
        <w:rPr>
          <w:rFonts w:cs="Times New Roman"/>
          <w:sz w:val="24"/>
          <w:szCs w:val="24"/>
        </w:rPr>
        <w:t xml:space="preserve"> 2</w:t>
      </w:r>
      <w:r w:rsidR="001335DD">
        <w:rPr>
          <w:rFonts w:cs="Times New Roman"/>
          <w:sz w:val="24"/>
          <w:szCs w:val="24"/>
        </w:rPr>
        <w:t xml:space="preserve">. </w:t>
      </w:r>
      <w:r w:rsidR="009D53D2">
        <w:rPr>
          <w:rFonts w:cs="Times New Roman"/>
          <w:sz w:val="24"/>
          <w:szCs w:val="24"/>
        </w:rPr>
        <w:t xml:space="preserve">A </w:t>
      </w:r>
      <w:r w:rsidR="009D53D2" w:rsidRPr="005A1D9F">
        <w:rPr>
          <w:rFonts w:cs="Times New Roman"/>
          <w:sz w:val="24"/>
          <w:szCs w:val="24"/>
        </w:rPr>
        <w:t>qualitative mix-method approach</w:t>
      </w:r>
      <w:r w:rsidR="009D53D2">
        <w:rPr>
          <w:rFonts w:cs="Times New Roman"/>
          <w:sz w:val="24"/>
          <w:szCs w:val="24"/>
        </w:rPr>
        <w:t xml:space="preserve"> was used, involving d</w:t>
      </w:r>
      <w:r w:rsidRPr="005A1D9F">
        <w:rPr>
          <w:rFonts w:cs="Times New Roman"/>
          <w:sz w:val="24"/>
          <w:szCs w:val="24"/>
        </w:rPr>
        <w:t xml:space="preserve">ocument analysis, </w:t>
      </w:r>
      <w:r w:rsidR="009D53D2">
        <w:rPr>
          <w:rFonts w:cs="Times New Roman"/>
          <w:sz w:val="24"/>
          <w:szCs w:val="24"/>
        </w:rPr>
        <w:t xml:space="preserve">case studies, </w:t>
      </w:r>
      <w:r w:rsidRPr="005A1D9F">
        <w:rPr>
          <w:rFonts w:cs="Times New Roman"/>
          <w:sz w:val="24"/>
          <w:szCs w:val="24"/>
        </w:rPr>
        <w:t>and semi-structured interviews</w:t>
      </w:r>
      <w:r w:rsidR="00636282">
        <w:rPr>
          <w:rFonts w:cs="Times New Roman"/>
          <w:sz w:val="24"/>
          <w:szCs w:val="24"/>
        </w:rPr>
        <w:t>.</w:t>
      </w:r>
      <w:r w:rsidR="00511D6D">
        <w:rPr>
          <w:rFonts w:cs="Times New Roman"/>
          <w:sz w:val="24"/>
          <w:szCs w:val="24"/>
        </w:rPr>
        <w:t xml:space="preserve"> </w:t>
      </w:r>
      <w:r w:rsidR="00636282">
        <w:rPr>
          <w:rFonts w:cs="Times New Roman"/>
          <w:sz w:val="24"/>
          <w:szCs w:val="24"/>
        </w:rPr>
        <w:t xml:space="preserve">Stakeholders from </w:t>
      </w:r>
      <w:r w:rsidR="00511D6D">
        <w:rPr>
          <w:rFonts w:cs="Times New Roman"/>
          <w:sz w:val="24"/>
          <w:szCs w:val="24"/>
        </w:rPr>
        <w:t>BN</w:t>
      </w:r>
      <w:r w:rsidR="00341465">
        <w:rPr>
          <w:rFonts w:cs="Times New Roman"/>
          <w:sz w:val="24"/>
          <w:szCs w:val="24"/>
        </w:rPr>
        <w:t>PB;</w:t>
      </w:r>
      <w:r w:rsidR="00511D6D">
        <w:rPr>
          <w:rFonts w:cs="Times New Roman"/>
          <w:sz w:val="24"/>
          <w:szCs w:val="24"/>
        </w:rPr>
        <w:t xml:space="preserve"> </w:t>
      </w:r>
      <w:r w:rsidR="00341465">
        <w:rPr>
          <w:rFonts w:cs="Times New Roman"/>
          <w:sz w:val="24"/>
          <w:szCs w:val="24"/>
        </w:rPr>
        <w:t xml:space="preserve">Indonesia’s </w:t>
      </w:r>
      <w:r w:rsidR="00511D6D">
        <w:rPr>
          <w:rFonts w:cs="Times New Roman"/>
          <w:sz w:val="24"/>
          <w:szCs w:val="24"/>
        </w:rPr>
        <w:t>science agencies</w:t>
      </w:r>
      <w:r w:rsidR="00341465">
        <w:rPr>
          <w:rFonts w:cs="Times New Roman"/>
          <w:sz w:val="24"/>
          <w:szCs w:val="24"/>
        </w:rPr>
        <w:t xml:space="preserve"> and research institutes;</w:t>
      </w:r>
      <w:r w:rsidR="00511D6D">
        <w:rPr>
          <w:rFonts w:cs="Times New Roman"/>
          <w:sz w:val="24"/>
          <w:szCs w:val="24"/>
        </w:rPr>
        <w:t xml:space="preserve"> </w:t>
      </w:r>
      <w:r w:rsidR="00341465">
        <w:rPr>
          <w:rFonts w:cs="Times New Roman"/>
          <w:sz w:val="24"/>
          <w:szCs w:val="24"/>
        </w:rPr>
        <w:t xml:space="preserve">AIFDR’s implementing partners; other bilateral aid </w:t>
      </w:r>
      <w:r w:rsidR="00511D6D">
        <w:rPr>
          <w:rFonts w:cs="Times New Roman"/>
          <w:sz w:val="24"/>
          <w:szCs w:val="24"/>
        </w:rPr>
        <w:t>donors</w:t>
      </w:r>
      <w:r w:rsidR="00341465">
        <w:rPr>
          <w:rFonts w:cs="Times New Roman"/>
          <w:sz w:val="24"/>
          <w:szCs w:val="24"/>
        </w:rPr>
        <w:t>;</w:t>
      </w:r>
      <w:r w:rsidR="00511D6D">
        <w:rPr>
          <w:rFonts w:cs="Times New Roman"/>
          <w:sz w:val="24"/>
          <w:szCs w:val="24"/>
        </w:rPr>
        <w:t xml:space="preserve"> </w:t>
      </w:r>
      <w:r w:rsidR="00341465">
        <w:rPr>
          <w:rFonts w:cs="Times New Roman"/>
          <w:sz w:val="24"/>
          <w:szCs w:val="24"/>
        </w:rPr>
        <w:t>ASEAN Secretariat; the AHA Centre;</w:t>
      </w:r>
      <w:r w:rsidR="00511D6D">
        <w:rPr>
          <w:rFonts w:cs="Times New Roman"/>
          <w:sz w:val="24"/>
          <w:szCs w:val="24"/>
        </w:rPr>
        <w:t xml:space="preserve"> DFAT </w:t>
      </w:r>
      <w:r w:rsidR="00341465">
        <w:rPr>
          <w:rFonts w:cs="Times New Roman"/>
          <w:sz w:val="24"/>
          <w:szCs w:val="24"/>
        </w:rPr>
        <w:t xml:space="preserve">and Emergency Management Australia </w:t>
      </w:r>
      <w:r w:rsidR="00511D6D">
        <w:rPr>
          <w:rFonts w:cs="Times New Roman"/>
          <w:sz w:val="24"/>
          <w:szCs w:val="24"/>
        </w:rPr>
        <w:t xml:space="preserve">were interviewed in Jakarta, Bandung and Canberra. </w:t>
      </w:r>
    </w:p>
    <w:p w14:paraId="5AA6E414" w14:textId="372CFEE3" w:rsidR="00C13A4D" w:rsidRDefault="008C6CB7" w:rsidP="00FC541E">
      <w:pPr>
        <w:rPr>
          <w:sz w:val="24"/>
          <w:szCs w:val="24"/>
        </w:rPr>
      </w:pPr>
      <w:r w:rsidRPr="00FC541E">
        <w:rPr>
          <w:sz w:val="24"/>
          <w:szCs w:val="24"/>
        </w:rPr>
        <w:t xml:space="preserve">The </w:t>
      </w:r>
      <w:r>
        <w:rPr>
          <w:sz w:val="24"/>
          <w:szCs w:val="24"/>
        </w:rPr>
        <w:t xml:space="preserve">review was </w:t>
      </w:r>
      <w:r w:rsidRPr="00FC541E">
        <w:rPr>
          <w:sz w:val="24"/>
          <w:szCs w:val="24"/>
        </w:rPr>
        <w:t>conducted</w:t>
      </w:r>
      <w:r>
        <w:rPr>
          <w:sz w:val="24"/>
          <w:szCs w:val="24"/>
        </w:rPr>
        <w:t xml:space="preserve"> over a relatively short time frame, including </w:t>
      </w:r>
      <w:r w:rsidR="00C13A4D">
        <w:rPr>
          <w:sz w:val="24"/>
          <w:szCs w:val="24"/>
        </w:rPr>
        <w:t>5</w:t>
      </w:r>
      <w:r>
        <w:rPr>
          <w:sz w:val="24"/>
          <w:szCs w:val="24"/>
        </w:rPr>
        <w:t xml:space="preserve"> working days in Jakarta</w:t>
      </w:r>
      <w:r w:rsidR="00C13A4D">
        <w:rPr>
          <w:sz w:val="24"/>
          <w:szCs w:val="24"/>
        </w:rPr>
        <w:t xml:space="preserve">, 1 day in Bandung, </w:t>
      </w:r>
      <w:r>
        <w:rPr>
          <w:sz w:val="24"/>
          <w:szCs w:val="24"/>
        </w:rPr>
        <w:t xml:space="preserve">and 4 days in Canberra for </w:t>
      </w:r>
      <w:r w:rsidR="00BC306A">
        <w:rPr>
          <w:sz w:val="24"/>
          <w:szCs w:val="24"/>
        </w:rPr>
        <w:t>interviews.</w:t>
      </w:r>
      <w:r>
        <w:rPr>
          <w:sz w:val="24"/>
          <w:szCs w:val="24"/>
        </w:rPr>
        <w:t xml:space="preserve"> </w:t>
      </w:r>
      <w:r w:rsidR="00C13A4D">
        <w:rPr>
          <w:sz w:val="24"/>
          <w:szCs w:val="24"/>
        </w:rPr>
        <w:t xml:space="preserve">Interviews were conducted with AIFDR partners and other donors only. </w:t>
      </w:r>
      <w:r w:rsidR="00C13A4D">
        <w:rPr>
          <w:rFonts w:cs="Times New Roman"/>
          <w:sz w:val="24"/>
          <w:szCs w:val="24"/>
        </w:rPr>
        <w:t xml:space="preserve">There was no provision in the ToRs </w:t>
      </w:r>
      <w:r w:rsidR="00C13A4D">
        <w:rPr>
          <w:sz w:val="24"/>
          <w:szCs w:val="24"/>
        </w:rPr>
        <w:t>for field based consultations with program beneficiaries</w:t>
      </w:r>
      <w:r w:rsidR="006932C1">
        <w:rPr>
          <w:sz w:val="24"/>
          <w:szCs w:val="24"/>
        </w:rPr>
        <w:t xml:space="preserve"> or, as noted, with GoI officials in other line ministries</w:t>
      </w:r>
      <w:r w:rsidR="00C13A4D">
        <w:rPr>
          <w:sz w:val="24"/>
          <w:szCs w:val="24"/>
        </w:rPr>
        <w:t xml:space="preserve">. </w:t>
      </w:r>
    </w:p>
    <w:p w14:paraId="069672A1" w14:textId="4F88C8C1" w:rsidR="008C6CB7" w:rsidRDefault="008C6CB7" w:rsidP="00FC541E">
      <w:pPr>
        <w:rPr>
          <w:sz w:val="24"/>
          <w:szCs w:val="24"/>
        </w:rPr>
      </w:pPr>
      <w:r>
        <w:rPr>
          <w:sz w:val="24"/>
          <w:szCs w:val="24"/>
        </w:rPr>
        <w:t xml:space="preserve">The </w:t>
      </w:r>
      <w:r w:rsidR="00BC306A">
        <w:rPr>
          <w:sz w:val="24"/>
          <w:szCs w:val="24"/>
        </w:rPr>
        <w:t>review</w:t>
      </w:r>
      <w:r>
        <w:rPr>
          <w:sz w:val="24"/>
          <w:szCs w:val="24"/>
        </w:rPr>
        <w:t xml:space="preserve"> team consisted of two sector specialists, namely: </w:t>
      </w:r>
      <w:r w:rsidRPr="00FC541E">
        <w:rPr>
          <w:sz w:val="24"/>
          <w:szCs w:val="24"/>
        </w:rPr>
        <w:t xml:space="preserve">Lisa Roberts (an independent consultant </w:t>
      </w:r>
      <w:r w:rsidR="00BC306A">
        <w:rPr>
          <w:sz w:val="24"/>
          <w:szCs w:val="24"/>
        </w:rPr>
        <w:t xml:space="preserve">from </w:t>
      </w:r>
      <w:r w:rsidRPr="00FC541E">
        <w:rPr>
          <w:sz w:val="24"/>
          <w:szCs w:val="24"/>
        </w:rPr>
        <w:t>DFAT’s Aid Advisory Services Disaster Management and Humanitarian Panel) and Steve Darvill (DFAT’s Humanitarian Adviser</w:t>
      </w:r>
      <w:r>
        <w:rPr>
          <w:sz w:val="24"/>
          <w:szCs w:val="24"/>
        </w:rPr>
        <w:t xml:space="preserve"> and Director for DRR, </w:t>
      </w:r>
      <w:r w:rsidRPr="00FC541E">
        <w:rPr>
          <w:sz w:val="24"/>
          <w:szCs w:val="24"/>
        </w:rPr>
        <w:t>based in Canberra)</w:t>
      </w:r>
      <w:r>
        <w:rPr>
          <w:sz w:val="24"/>
          <w:szCs w:val="24"/>
        </w:rPr>
        <w:t xml:space="preserve">. This </w:t>
      </w:r>
      <w:r w:rsidR="00BC306A">
        <w:rPr>
          <w:sz w:val="24"/>
          <w:szCs w:val="24"/>
        </w:rPr>
        <w:t>review</w:t>
      </w:r>
      <w:r>
        <w:rPr>
          <w:sz w:val="24"/>
          <w:szCs w:val="24"/>
        </w:rPr>
        <w:t xml:space="preserve"> cannot be characterised as independent given </w:t>
      </w:r>
      <w:r w:rsidR="00BC306A">
        <w:rPr>
          <w:sz w:val="24"/>
          <w:szCs w:val="24"/>
        </w:rPr>
        <w:t>Mr</w:t>
      </w:r>
      <w:r>
        <w:rPr>
          <w:sz w:val="24"/>
          <w:szCs w:val="24"/>
        </w:rPr>
        <w:t xml:space="preserve"> Darvill is a DFAT member of staff. However, </w:t>
      </w:r>
      <w:r w:rsidR="00BC306A">
        <w:rPr>
          <w:sz w:val="24"/>
          <w:szCs w:val="24"/>
        </w:rPr>
        <w:t xml:space="preserve">Mr </w:t>
      </w:r>
      <w:r>
        <w:rPr>
          <w:sz w:val="24"/>
          <w:szCs w:val="24"/>
        </w:rPr>
        <w:t>Darvill was operating at ‘arms-</w:t>
      </w:r>
      <w:r w:rsidR="00BC306A">
        <w:rPr>
          <w:sz w:val="24"/>
          <w:szCs w:val="24"/>
        </w:rPr>
        <w:t xml:space="preserve">length’, </w:t>
      </w:r>
      <w:r>
        <w:rPr>
          <w:sz w:val="24"/>
          <w:szCs w:val="24"/>
        </w:rPr>
        <w:t xml:space="preserve">and has not had any </w:t>
      </w:r>
      <w:r w:rsidR="00BC306A">
        <w:rPr>
          <w:sz w:val="24"/>
          <w:szCs w:val="24"/>
        </w:rPr>
        <w:t xml:space="preserve">direct </w:t>
      </w:r>
      <w:r>
        <w:rPr>
          <w:sz w:val="24"/>
          <w:szCs w:val="24"/>
        </w:rPr>
        <w:t xml:space="preserve">involvement with AIFDR prior to undertaking this review. Further, </w:t>
      </w:r>
      <w:r w:rsidR="00BC306A">
        <w:rPr>
          <w:sz w:val="24"/>
          <w:szCs w:val="24"/>
        </w:rPr>
        <w:t>Mr</w:t>
      </w:r>
      <w:r>
        <w:rPr>
          <w:sz w:val="24"/>
          <w:szCs w:val="24"/>
        </w:rPr>
        <w:t xml:space="preserve"> Darvill is an internationally recognised humanitarian specialist </w:t>
      </w:r>
      <w:r w:rsidR="00BC306A">
        <w:rPr>
          <w:sz w:val="24"/>
          <w:szCs w:val="24"/>
        </w:rPr>
        <w:t>with considerable evaluation experience</w:t>
      </w:r>
      <w:r w:rsidR="00C13A4D">
        <w:rPr>
          <w:sz w:val="24"/>
          <w:szCs w:val="24"/>
        </w:rPr>
        <w:t xml:space="preserve"> that was invaluable to the review process</w:t>
      </w:r>
      <w:r w:rsidR="00BC306A">
        <w:rPr>
          <w:sz w:val="24"/>
          <w:szCs w:val="24"/>
        </w:rPr>
        <w:t>.</w:t>
      </w:r>
    </w:p>
    <w:p w14:paraId="582B825D" w14:textId="3885F410" w:rsidR="002F5850" w:rsidRDefault="00C13A4D" w:rsidP="005A1877">
      <w:pPr>
        <w:rPr>
          <w:sz w:val="24"/>
          <w:szCs w:val="24"/>
        </w:rPr>
      </w:pPr>
      <w:r>
        <w:rPr>
          <w:sz w:val="24"/>
          <w:szCs w:val="24"/>
        </w:rPr>
        <w:t xml:space="preserve">The review </w:t>
      </w:r>
      <w:r w:rsidR="00FD00DA">
        <w:rPr>
          <w:sz w:val="24"/>
          <w:szCs w:val="24"/>
        </w:rPr>
        <w:t xml:space="preserve">process involved the </w:t>
      </w:r>
      <w:r>
        <w:rPr>
          <w:sz w:val="24"/>
          <w:szCs w:val="24"/>
        </w:rPr>
        <w:t>team produc</w:t>
      </w:r>
      <w:r w:rsidR="00FD00DA">
        <w:rPr>
          <w:sz w:val="24"/>
          <w:szCs w:val="24"/>
        </w:rPr>
        <w:t xml:space="preserve">ing </w:t>
      </w:r>
      <w:r>
        <w:rPr>
          <w:sz w:val="24"/>
          <w:szCs w:val="24"/>
        </w:rPr>
        <w:t xml:space="preserve">a combined record of interview that was thematically </w:t>
      </w:r>
      <w:r w:rsidR="00FD00DA">
        <w:rPr>
          <w:sz w:val="24"/>
          <w:szCs w:val="24"/>
        </w:rPr>
        <w:t xml:space="preserve">grouped and </w:t>
      </w:r>
      <w:r>
        <w:rPr>
          <w:sz w:val="24"/>
          <w:szCs w:val="24"/>
        </w:rPr>
        <w:t xml:space="preserve">analysed. </w:t>
      </w:r>
      <w:r w:rsidR="007B3892">
        <w:rPr>
          <w:sz w:val="24"/>
          <w:szCs w:val="24"/>
        </w:rPr>
        <w:t>Examples of c</w:t>
      </w:r>
      <w:r>
        <w:rPr>
          <w:sz w:val="24"/>
          <w:szCs w:val="24"/>
        </w:rPr>
        <w:t>ase stud</w:t>
      </w:r>
      <w:r w:rsidR="007B3892">
        <w:rPr>
          <w:sz w:val="24"/>
          <w:szCs w:val="24"/>
        </w:rPr>
        <w:t xml:space="preserve">ies </w:t>
      </w:r>
      <w:r w:rsidR="00A94BA8">
        <w:rPr>
          <w:sz w:val="24"/>
          <w:szCs w:val="24"/>
        </w:rPr>
        <w:t>were discussed with each AIFDR program manager</w:t>
      </w:r>
      <w:r w:rsidR="007B3892">
        <w:rPr>
          <w:sz w:val="24"/>
          <w:szCs w:val="24"/>
        </w:rPr>
        <w:t xml:space="preserve"> befor</w:t>
      </w:r>
      <w:r w:rsidR="00960B11">
        <w:rPr>
          <w:sz w:val="24"/>
          <w:szCs w:val="24"/>
        </w:rPr>
        <w:t>e the review team determined it</w:t>
      </w:r>
      <w:r w:rsidR="007B3892">
        <w:rPr>
          <w:sz w:val="24"/>
          <w:szCs w:val="24"/>
        </w:rPr>
        <w:t>s selection</w:t>
      </w:r>
      <w:r w:rsidR="00A94BA8">
        <w:rPr>
          <w:sz w:val="24"/>
          <w:szCs w:val="24"/>
        </w:rPr>
        <w:t xml:space="preserve">. </w:t>
      </w:r>
      <w:r w:rsidR="00FD00DA">
        <w:rPr>
          <w:sz w:val="24"/>
          <w:szCs w:val="24"/>
        </w:rPr>
        <w:t xml:space="preserve">Subsequently, </w:t>
      </w:r>
      <w:r w:rsidR="00A94BA8">
        <w:rPr>
          <w:sz w:val="24"/>
          <w:szCs w:val="24"/>
        </w:rPr>
        <w:t xml:space="preserve">the review team </w:t>
      </w:r>
      <w:r w:rsidR="00A94BA8" w:rsidRPr="008C6CB7">
        <w:rPr>
          <w:rFonts w:cs="Times New Roman"/>
          <w:sz w:val="24"/>
          <w:szCs w:val="24"/>
        </w:rPr>
        <w:t>triangulated</w:t>
      </w:r>
      <w:r w:rsidR="00A94BA8">
        <w:rPr>
          <w:sz w:val="24"/>
          <w:szCs w:val="24"/>
        </w:rPr>
        <w:t xml:space="preserve"> </w:t>
      </w:r>
      <w:r w:rsidR="00A94BA8">
        <w:rPr>
          <w:rFonts w:cs="Times New Roman"/>
          <w:sz w:val="24"/>
          <w:szCs w:val="24"/>
        </w:rPr>
        <w:t>d</w:t>
      </w:r>
      <w:r w:rsidR="00AA0854">
        <w:rPr>
          <w:rFonts w:cs="Times New Roman"/>
          <w:sz w:val="24"/>
          <w:szCs w:val="24"/>
        </w:rPr>
        <w:t xml:space="preserve">ata </w:t>
      </w:r>
      <w:r w:rsidR="00FC3734">
        <w:rPr>
          <w:rFonts w:cs="Times New Roman"/>
          <w:sz w:val="24"/>
          <w:szCs w:val="24"/>
        </w:rPr>
        <w:t xml:space="preserve">extracted from </w:t>
      </w:r>
      <w:r w:rsidR="00FD00DA">
        <w:rPr>
          <w:rFonts w:cs="Times New Roman"/>
          <w:sz w:val="24"/>
          <w:szCs w:val="24"/>
        </w:rPr>
        <w:t xml:space="preserve">stakeholder </w:t>
      </w:r>
      <w:r w:rsidR="00AA0854">
        <w:rPr>
          <w:rFonts w:cs="Times New Roman"/>
          <w:sz w:val="24"/>
          <w:szCs w:val="24"/>
        </w:rPr>
        <w:t xml:space="preserve">interviews; </w:t>
      </w:r>
      <w:r w:rsidR="00FD00DA">
        <w:rPr>
          <w:rFonts w:cs="Times New Roman"/>
          <w:sz w:val="24"/>
          <w:szCs w:val="24"/>
        </w:rPr>
        <w:t xml:space="preserve">the desk based document review; </w:t>
      </w:r>
      <w:r w:rsidR="00AA0854" w:rsidRPr="008C6CB7">
        <w:rPr>
          <w:rFonts w:cs="Times New Roman"/>
          <w:sz w:val="24"/>
          <w:szCs w:val="24"/>
        </w:rPr>
        <w:t xml:space="preserve">and </w:t>
      </w:r>
      <w:r w:rsidR="00FD00DA">
        <w:rPr>
          <w:rFonts w:cs="Times New Roman"/>
          <w:sz w:val="24"/>
          <w:szCs w:val="24"/>
        </w:rPr>
        <w:t xml:space="preserve">from </w:t>
      </w:r>
      <w:r w:rsidR="00AA0854" w:rsidRPr="008C6CB7">
        <w:rPr>
          <w:rFonts w:cs="Times New Roman"/>
          <w:sz w:val="24"/>
          <w:szCs w:val="24"/>
        </w:rPr>
        <w:t>case studies</w:t>
      </w:r>
      <w:r w:rsidR="00FD00DA">
        <w:rPr>
          <w:rFonts w:cs="Times New Roman"/>
          <w:sz w:val="24"/>
          <w:szCs w:val="24"/>
        </w:rPr>
        <w:t xml:space="preserve">. </w:t>
      </w:r>
      <w:r w:rsidR="00420B74" w:rsidRPr="008C6CB7">
        <w:rPr>
          <w:rFonts w:cs="Times New Roman"/>
          <w:sz w:val="24"/>
          <w:szCs w:val="24"/>
        </w:rPr>
        <w:t xml:space="preserve">The review team </w:t>
      </w:r>
      <w:r w:rsidR="008C6CB7" w:rsidRPr="008C6CB7">
        <w:rPr>
          <w:rFonts w:cs="Times New Roman"/>
          <w:sz w:val="24"/>
          <w:szCs w:val="24"/>
        </w:rPr>
        <w:t>produced a summary of initial findings which were provided to AIF</w:t>
      </w:r>
      <w:r w:rsidR="0041715E">
        <w:rPr>
          <w:rFonts w:cs="Times New Roman"/>
          <w:sz w:val="24"/>
          <w:szCs w:val="24"/>
        </w:rPr>
        <w:t>D</w:t>
      </w:r>
      <w:r w:rsidR="008C6CB7" w:rsidRPr="008C6CB7">
        <w:rPr>
          <w:rFonts w:cs="Times New Roman"/>
          <w:sz w:val="24"/>
          <w:szCs w:val="24"/>
        </w:rPr>
        <w:t xml:space="preserve">R staff for the purposes of ‘reality testing’ </w:t>
      </w:r>
      <w:r w:rsidR="00FD00DA">
        <w:rPr>
          <w:rFonts w:cs="Times New Roman"/>
          <w:sz w:val="24"/>
          <w:szCs w:val="24"/>
        </w:rPr>
        <w:t xml:space="preserve">preliminary </w:t>
      </w:r>
      <w:r w:rsidR="008C6CB7" w:rsidRPr="008C6CB7">
        <w:rPr>
          <w:rFonts w:cs="Times New Roman"/>
          <w:sz w:val="24"/>
          <w:szCs w:val="24"/>
        </w:rPr>
        <w:t>findings. Given AIFDR’s goal posts shifted several times o</w:t>
      </w:r>
      <w:r w:rsidR="00FD00DA">
        <w:rPr>
          <w:rFonts w:cs="Times New Roman"/>
          <w:sz w:val="24"/>
          <w:szCs w:val="24"/>
        </w:rPr>
        <w:t>ver</w:t>
      </w:r>
      <w:r w:rsidR="008C6CB7" w:rsidRPr="008C6CB7">
        <w:rPr>
          <w:rFonts w:cs="Times New Roman"/>
          <w:sz w:val="24"/>
          <w:szCs w:val="24"/>
        </w:rPr>
        <w:t xml:space="preserve"> the course of its five year history</w:t>
      </w:r>
      <w:r w:rsidR="006932C1">
        <w:rPr>
          <w:rFonts w:cs="Times New Roman"/>
          <w:sz w:val="24"/>
          <w:szCs w:val="24"/>
        </w:rPr>
        <w:t>,</w:t>
      </w:r>
      <w:r w:rsidR="008C6CB7" w:rsidRPr="008C6CB7">
        <w:rPr>
          <w:rFonts w:cs="Times New Roman"/>
          <w:sz w:val="24"/>
          <w:szCs w:val="24"/>
        </w:rPr>
        <w:t xml:space="preserve"> the review team were keen to ensure their findings </w:t>
      </w:r>
      <w:r w:rsidR="008C6CB7" w:rsidRPr="008C6CB7">
        <w:rPr>
          <w:sz w:val="24"/>
          <w:szCs w:val="24"/>
        </w:rPr>
        <w:t>accurately reflect</w:t>
      </w:r>
      <w:r w:rsidR="00FD00DA">
        <w:rPr>
          <w:sz w:val="24"/>
          <w:szCs w:val="24"/>
        </w:rPr>
        <w:t>ed</w:t>
      </w:r>
      <w:r w:rsidR="008C6CB7" w:rsidRPr="008C6CB7">
        <w:rPr>
          <w:sz w:val="24"/>
          <w:szCs w:val="24"/>
        </w:rPr>
        <w:t xml:space="preserve"> the genesis, operations, and performance of the facility. Including a reality testing phase in the design of this review </w:t>
      </w:r>
      <w:r w:rsidR="004E0ED5">
        <w:rPr>
          <w:sz w:val="24"/>
          <w:szCs w:val="24"/>
        </w:rPr>
        <w:t>gave</w:t>
      </w:r>
      <w:r w:rsidR="008C6CB7" w:rsidRPr="008C6CB7">
        <w:rPr>
          <w:sz w:val="24"/>
          <w:szCs w:val="24"/>
        </w:rPr>
        <w:t xml:space="preserve"> AIFDR staff </w:t>
      </w:r>
      <w:r w:rsidR="00FD00DA">
        <w:rPr>
          <w:sz w:val="24"/>
          <w:szCs w:val="24"/>
        </w:rPr>
        <w:t xml:space="preserve">an opportunity </w:t>
      </w:r>
      <w:r w:rsidR="008C6CB7" w:rsidRPr="008C6CB7">
        <w:rPr>
          <w:sz w:val="24"/>
          <w:szCs w:val="24"/>
        </w:rPr>
        <w:t xml:space="preserve">to provide additional evidence where this was found lacking or findings were inconclusive. </w:t>
      </w:r>
      <w:r w:rsidR="007B3892">
        <w:rPr>
          <w:sz w:val="24"/>
          <w:szCs w:val="24"/>
        </w:rPr>
        <w:t xml:space="preserve">The review team has relied on AIFDR’s activity evaluations and partners project reports for the purposes of assessing facility level performance. The review team has not independently verified each AIFDR funded activity that it cites </w:t>
      </w:r>
      <w:r w:rsidR="004E0ED5">
        <w:rPr>
          <w:sz w:val="24"/>
          <w:szCs w:val="24"/>
        </w:rPr>
        <w:t xml:space="preserve">as evidence of </w:t>
      </w:r>
      <w:r w:rsidR="00D00DB8">
        <w:rPr>
          <w:sz w:val="24"/>
          <w:szCs w:val="24"/>
        </w:rPr>
        <w:t>facility</w:t>
      </w:r>
      <w:r w:rsidR="004E0ED5">
        <w:rPr>
          <w:sz w:val="24"/>
          <w:szCs w:val="24"/>
        </w:rPr>
        <w:t xml:space="preserve"> achievement.</w:t>
      </w:r>
    </w:p>
    <w:p w14:paraId="26EEC160" w14:textId="738978D6" w:rsidR="00DB02D8" w:rsidRPr="00DB02D8" w:rsidRDefault="00DB02D8" w:rsidP="00DB02D8">
      <w:pPr>
        <w:rPr>
          <w:rFonts w:cs="Arial"/>
          <w:sz w:val="24"/>
          <w:szCs w:val="24"/>
        </w:rPr>
      </w:pPr>
      <w:r>
        <w:rPr>
          <w:rFonts w:cs="Arial"/>
          <w:sz w:val="24"/>
          <w:szCs w:val="24"/>
        </w:rPr>
        <w:t>AIFDR s</w:t>
      </w:r>
      <w:r w:rsidR="00BF362C" w:rsidRPr="00DB02D8">
        <w:rPr>
          <w:rFonts w:cs="Arial"/>
          <w:sz w:val="24"/>
          <w:szCs w:val="24"/>
        </w:rPr>
        <w:t xml:space="preserve">takeholders likely </w:t>
      </w:r>
      <w:r w:rsidRPr="00DB02D8">
        <w:rPr>
          <w:rFonts w:cs="Arial"/>
          <w:sz w:val="24"/>
          <w:szCs w:val="24"/>
        </w:rPr>
        <w:t xml:space="preserve">to find this review report useful include: </w:t>
      </w:r>
    </w:p>
    <w:p w14:paraId="6A0D5811" w14:textId="06086FAF" w:rsidR="00BF362C" w:rsidRPr="00DB02D8" w:rsidRDefault="00DB02D8" w:rsidP="00DB02D8">
      <w:pPr>
        <w:pStyle w:val="ListParagraph"/>
        <w:numPr>
          <w:ilvl w:val="0"/>
          <w:numId w:val="24"/>
        </w:numPr>
        <w:rPr>
          <w:rFonts w:cs="Arial"/>
          <w:sz w:val="24"/>
          <w:szCs w:val="24"/>
        </w:rPr>
      </w:pPr>
      <w:r>
        <w:rPr>
          <w:rFonts w:cs="Arial"/>
          <w:sz w:val="24"/>
          <w:szCs w:val="24"/>
        </w:rPr>
        <w:t>BNPB as AIFDR’s key operational partner.</w:t>
      </w:r>
    </w:p>
    <w:p w14:paraId="653AC3EB" w14:textId="44D78823" w:rsidR="00BF23F8" w:rsidRDefault="00DB02D8" w:rsidP="00BF362C">
      <w:pPr>
        <w:pStyle w:val="ListParagraph"/>
        <w:numPr>
          <w:ilvl w:val="0"/>
          <w:numId w:val="23"/>
        </w:numPr>
        <w:spacing w:after="200" w:line="240" w:lineRule="auto"/>
        <w:rPr>
          <w:rFonts w:cs="Arial"/>
          <w:sz w:val="24"/>
          <w:szCs w:val="24"/>
        </w:rPr>
      </w:pPr>
      <w:r>
        <w:rPr>
          <w:rFonts w:cs="Arial"/>
          <w:sz w:val="24"/>
          <w:szCs w:val="24"/>
        </w:rPr>
        <w:t xml:space="preserve">Geoscience Australia as </w:t>
      </w:r>
      <w:r w:rsidR="00BF23F8">
        <w:rPr>
          <w:rFonts w:cs="Arial"/>
          <w:sz w:val="24"/>
          <w:szCs w:val="24"/>
        </w:rPr>
        <w:t>AusAID</w:t>
      </w:r>
      <w:r w:rsidR="00D00DB8">
        <w:rPr>
          <w:rFonts w:cs="Arial"/>
          <w:sz w:val="24"/>
          <w:szCs w:val="24"/>
        </w:rPr>
        <w:t>/Australian Aid’</w:t>
      </w:r>
      <w:r w:rsidR="00BF23F8">
        <w:rPr>
          <w:rFonts w:cs="Arial"/>
          <w:sz w:val="24"/>
          <w:szCs w:val="24"/>
        </w:rPr>
        <w:t>s whole of government partner in the initial set up and on-going staffing of AIFDR.</w:t>
      </w:r>
    </w:p>
    <w:p w14:paraId="6C1BE806" w14:textId="77777777" w:rsidR="004139AB" w:rsidRDefault="004139AB" w:rsidP="006E248F">
      <w:pPr>
        <w:pStyle w:val="ListParagraph"/>
        <w:spacing w:after="200" w:line="240" w:lineRule="auto"/>
        <w:rPr>
          <w:rFonts w:cs="Arial"/>
          <w:sz w:val="24"/>
          <w:szCs w:val="24"/>
        </w:rPr>
      </w:pPr>
    </w:p>
    <w:p w14:paraId="7A5CE43B" w14:textId="1DE3F9DB" w:rsidR="00BF23F8" w:rsidRDefault="00705CFC" w:rsidP="00705CFC">
      <w:pPr>
        <w:pStyle w:val="Heading2"/>
      </w:pPr>
      <w:bookmarkStart w:id="10" w:name="_Toc402431249"/>
      <w:r>
        <w:t>1.5</w:t>
      </w:r>
      <w:r w:rsidR="00BF23F8" w:rsidRPr="00C45908">
        <w:tab/>
      </w:r>
      <w:r w:rsidR="00BF23F8">
        <w:t>AIFDR Program Logic</w:t>
      </w:r>
      <w:bookmarkEnd w:id="10"/>
      <w:r w:rsidR="00BF23F8" w:rsidRPr="00C45908">
        <w:t xml:space="preserve"> </w:t>
      </w:r>
      <w:r w:rsidR="00BF23F8" w:rsidRPr="00C45908">
        <w:tab/>
      </w:r>
    </w:p>
    <w:p w14:paraId="4DF50247" w14:textId="77777777" w:rsidR="00705CFC" w:rsidRPr="00705CFC" w:rsidRDefault="00705CFC" w:rsidP="00705CFC">
      <w:pPr>
        <w:spacing w:after="0"/>
      </w:pPr>
    </w:p>
    <w:p w14:paraId="5B1FF3F9" w14:textId="5C745B30" w:rsidR="00FA6B51" w:rsidRDefault="00E77873" w:rsidP="00E77873">
      <w:pPr>
        <w:rPr>
          <w:sz w:val="24"/>
          <w:szCs w:val="24"/>
        </w:rPr>
      </w:pPr>
      <w:r w:rsidRPr="00174C42">
        <w:rPr>
          <w:sz w:val="24"/>
          <w:szCs w:val="24"/>
        </w:rPr>
        <w:t xml:space="preserve">One of </w:t>
      </w:r>
      <w:r w:rsidR="00FA6B51">
        <w:rPr>
          <w:sz w:val="24"/>
          <w:szCs w:val="24"/>
        </w:rPr>
        <w:t>the biggest challenges for the review</w:t>
      </w:r>
      <w:r w:rsidRPr="00174C42">
        <w:rPr>
          <w:sz w:val="24"/>
          <w:szCs w:val="24"/>
        </w:rPr>
        <w:t xml:space="preserve"> team has been in understanding the program logic. Initially, AIFDR appears to have been a ‘flexible pool of funds to support good ideas’ but as the facility evolved there were </w:t>
      </w:r>
      <w:r w:rsidR="00214950">
        <w:rPr>
          <w:sz w:val="24"/>
          <w:szCs w:val="24"/>
        </w:rPr>
        <w:t xml:space="preserve">several </w:t>
      </w:r>
      <w:r w:rsidRPr="00174C42">
        <w:rPr>
          <w:sz w:val="24"/>
          <w:szCs w:val="24"/>
        </w:rPr>
        <w:t xml:space="preserve">attempts to </w:t>
      </w:r>
      <w:r w:rsidR="00214950">
        <w:rPr>
          <w:sz w:val="24"/>
          <w:szCs w:val="24"/>
        </w:rPr>
        <w:t>develop</w:t>
      </w:r>
      <w:r w:rsidR="00214950" w:rsidRPr="00174C42">
        <w:rPr>
          <w:sz w:val="24"/>
          <w:szCs w:val="24"/>
        </w:rPr>
        <w:t xml:space="preserve"> </w:t>
      </w:r>
      <w:r w:rsidRPr="00174C42">
        <w:rPr>
          <w:sz w:val="24"/>
          <w:szCs w:val="24"/>
        </w:rPr>
        <w:t xml:space="preserve">a </w:t>
      </w:r>
      <w:r w:rsidR="00214950">
        <w:rPr>
          <w:sz w:val="24"/>
          <w:szCs w:val="24"/>
        </w:rPr>
        <w:t xml:space="preserve">more robust </w:t>
      </w:r>
      <w:r w:rsidRPr="00174C42">
        <w:rPr>
          <w:sz w:val="24"/>
          <w:szCs w:val="24"/>
        </w:rPr>
        <w:t xml:space="preserve">program logic </w:t>
      </w:r>
      <w:r w:rsidR="00214950">
        <w:rPr>
          <w:sz w:val="24"/>
          <w:szCs w:val="24"/>
        </w:rPr>
        <w:t xml:space="preserve">that connected the various </w:t>
      </w:r>
      <w:r w:rsidR="00636FCD">
        <w:rPr>
          <w:sz w:val="24"/>
          <w:szCs w:val="24"/>
        </w:rPr>
        <w:t>work streams</w:t>
      </w:r>
      <w:r w:rsidR="00214950">
        <w:rPr>
          <w:sz w:val="24"/>
          <w:szCs w:val="24"/>
        </w:rPr>
        <w:t xml:space="preserve"> of AIFDR</w:t>
      </w:r>
      <w:r w:rsidRPr="00174C42">
        <w:rPr>
          <w:sz w:val="24"/>
          <w:szCs w:val="24"/>
        </w:rPr>
        <w:t xml:space="preserve">. </w:t>
      </w:r>
    </w:p>
    <w:p w14:paraId="65E55353" w14:textId="689BF82E" w:rsidR="00FA6B51" w:rsidRPr="00174C42" w:rsidRDefault="00FA6B51" w:rsidP="00FA6B51">
      <w:pPr>
        <w:rPr>
          <w:sz w:val="24"/>
          <w:szCs w:val="24"/>
        </w:rPr>
      </w:pPr>
      <w:r w:rsidRPr="00174C42">
        <w:rPr>
          <w:sz w:val="24"/>
          <w:szCs w:val="24"/>
        </w:rPr>
        <w:t xml:space="preserve">The </w:t>
      </w:r>
      <w:r>
        <w:rPr>
          <w:sz w:val="24"/>
          <w:szCs w:val="24"/>
        </w:rPr>
        <w:t xml:space="preserve">review </w:t>
      </w:r>
      <w:r w:rsidRPr="00174C42">
        <w:rPr>
          <w:sz w:val="24"/>
          <w:szCs w:val="24"/>
        </w:rPr>
        <w:t xml:space="preserve">team has identified four sets of expected </w:t>
      </w:r>
      <w:r w:rsidR="00214950">
        <w:rPr>
          <w:sz w:val="24"/>
          <w:szCs w:val="24"/>
        </w:rPr>
        <w:t>‘</w:t>
      </w:r>
      <w:r w:rsidRPr="00174C42">
        <w:rPr>
          <w:sz w:val="24"/>
          <w:szCs w:val="24"/>
        </w:rPr>
        <w:t>end</w:t>
      </w:r>
      <w:r w:rsidR="00214950">
        <w:rPr>
          <w:sz w:val="24"/>
          <w:szCs w:val="24"/>
        </w:rPr>
        <w:t>-</w:t>
      </w:r>
      <w:r w:rsidRPr="00174C42">
        <w:rPr>
          <w:sz w:val="24"/>
          <w:szCs w:val="24"/>
        </w:rPr>
        <w:t>of</w:t>
      </w:r>
      <w:r w:rsidR="00214950">
        <w:rPr>
          <w:sz w:val="24"/>
          <w:szCs w:val="24"/>
        </w:rPr>
        <w:t>-</w:t>
      </w:r>
      <w:r w:rsidRPr="00174C42">
        <w:rPr>
          <w:sz w:val="24"/>
          <w:szCs w:val="24"/>
        </w:rPr>
        <w:t>facility outcomes</w:t>
      </w:r>
      <w:r w:rsidR="00214950">
        <w:rPr>
          <w:sz w:val="24"/>
          <w:szCs w:val="24"/>
        </w:rPr>
        <w:t>’</w:t>
      </w:r>
      <w:r w:rsidRPr="00174C42">
        <w:rPr>
          <w:sz w:val="24"/>
          <w:szCs w:val="24"/>
        </w:rPr>
        <w:t xml:space="preserve"> for AIFDR. The first set </w:t>
      </w:r>
      <w:r>
        <w:rPr>
          <w:sz w:val="24"/>
          <w:szCs w:val="24"/>
        </w:rPr>
        <w:t xml:space="preserve">appears </w:t>
      </w:r>
      <w:r w:rsidRPr="00174C42">
        <w:rPr>
          <w:sz w:val="24"/>
          <w:szCs w:val="24"/>
        </w:rPr>
        <w:t xml:space="preserve">in the 2009 design; a second set </w:t>
      </w:r>
      <w:r w:rsidR="00214950">
        <w:rPr>
          <w:sz w:val="24"/>
          <w:szCs w:val="24"/>
        </w:rPr>
        <w:t>was</w:t>
      </w:r>
      <w:r w:rsidR="00214950" w:rsidRPr="00174C42">
        <w:rPr>
          <w:sz w:val="24"/>
          <w:szCs w:val="24"/>
        </w:rPr>
        <w:t xml:space="preserve"> </w:t>
      </w:r>
      <w:r w:rsidRPr="00174C42">
        <w:rPr>
          <w:sz w:val="24"/>
          <w:szCs w:val="24"/>
        </w:rPr>
        <w:t xml:space="preserve">developed by AIFDR’s Management Team in 2011 drawing on lessons learnt from the previous two years; a third set appears in AIFDR’s Development Strategy (mid 2012); and a fourth set </w:t>
      </w:r>
      <w:r w:rsidR="00214950">
        <w:rPr>
          <w:sz w:val="24"/>
          <w:szCs w:val="24"/>
        </w:rPr>
        <w:t>is</w:t>
      </w:r>
      <w:r w:rsidR="00214950" w:rsidRPr="00174C42">
        <w:rPr>
          <w:sz w:val="24"/>
          <w:szCs w:val="24"/>
        </w:rPr>
        <w:t xml:space="preserve"> </w:t>
      </w:r>
      <w:r w:rsidRPr="00174C42">
        <w:rPr>
          <w:sz w:val="24"/>
          <w:szCs w:val="24"/>
        </w:rPr>
        <w:t xml:space="preserve">contained in AIFDR’s Quality at Implementation Report (dated 13 Jan 2012). This </w:t>
      </w:r>
      <w:r>
        <w:rPr>
          <w:sz w:val="24"/>
          <w:szCs w:val="24"/>
        </w:rPr>
        <w:t xml:space="preserve">review </w:t>
      </w:r>
      <w:r w:rsidRPr="00174C42">
        <w:rPr>
          <w:sz w:val="24"/>
          <w:szCs w:val="24"/>
        </w:rPr>
        <w:t xml:space="preserve">has used the same </w:t>
      </w:r>
      <w:r w:rsidR="00214950">
        <w:rPr>
          <w:sz w:val="24"/>
          <w:szCs w:val="24"/>
        </w:rPr>
        <w:t>‘</w:t>
      </w:r>
      <w:r w:rsidRPr="00174C42">
        <w:rPr>
          <w:sz w:val="24"/>
          <w:szCs w:val="24"/>
        </w:rPr>
        <w:t>end</w:t>
      </w:r>
      <w:r w:rsidR="00214950">
        <w:rPr>
          <w:sz w:val="24"/>
          <w:szCs w:val="24"/>
        </w:rPr>
        <w:t>-</w:t>
      </w:r>
      <w:r w:rsidRPr="00174C42">
        <w:rPr>
          <w:sz w:val="24"/>
          <w:szCs w:val="24"/>
        </w:rPr>
        <w:t>of</w:t>
      </w:r>
      <w:r w:rsidR="00214950">
        <w:rPr>
          <w:sz w:val="24"/>
          <w:szCs w:val="24"/>
        </w:rPr>
        <w:t>-</w:t>
      </w:r>
      <w:r w:rsidRPr="00174C42">
        <w:rPr>
          <w:sz w:val="24"/>
          <w:szCs w:val="24"/>
        </w:rPr>
        <w:t>facility outcomes</w:t>
      </w:r>
      <w:r w:rsidR="00214950">
        <w:rPr>
          <w:sz w:val="24"/>
          <w:szCs w:val="24"/>
        </w:rPr>
        <w:t>’</w:t>
      </w:r>
      <w:r w:rsidRPr="00174C42">
        <w:rPr>
          <w:sz w:val="24"/>
          <w:szCs w:val="24"/>
        </w:rPr>
        <w:t xml:space="preserve"> as used in the MTR, namely:</w:t>
      </w:r>
    </w:p>
    <w:p w14:paraId="338A2C0B" w14:textId="77777777" w:rsidR="00E77873" w:rsidRPr="00174C42" w:rsidRDefault="00E77873" w:rsidP="00E77873">
      <w:pPr>
        <w:rPr>
          <w:sz w:val="24"/>
          <w:szCs w:val="24"/>
        </w:rPr>
      </w:pPr>
      <w:r w:rsidRPr="00174C42">
        <w:rPr>
          <w:b/>
          <w:sz w:val="24"/>
          <w:szCs w:val="24"/>
        </w:rPr>
        <w:t>Outcome 1 – Better understanding of risk and vulnerability:</w:t>
      </w:r>
      <w:r w:rsidRPr="00174C42">
        <w:rPr>
          <w:sz w:val="24"/>
          <w:szCs w:val="24"/>
        </w:rPr>
        <w:t xml:space="preserve"> Disaster managers in priority areas of Indonesia and the region have an improved understanding of disaster risk and vulnerability. </w:t>
      </w:r>
    </w:p>
    <w:p w14:paraId="56C86B93" w14:textId="77777777" w:rsidR="00E77873" w:rsidRPr="00174C42" w:rsidRDefault="00E77873" w:rsidP="00E77873">
      <w:pPr>
        <w:rPr>
          <w:sz w:val="24"/>
          <w:szCs w:val="24"/>
        </w:rPr>
      </w:pPr>
      <w:r w:rsidRPr="00174C42">
        <w:rPr>
          <w:b/>
          <w:sz w:val="24"/>
          <w:szCs w:val="24"/>
        </w:rPr>
        <w:t>Outcome 2 – Better able to reduce disaster risk in practice:</w:t>
      </w:r>
      <w:r w:rsidRPr="00174C42">
        <w:rPr>
          <w:sz w:val="24"/>
          <w:szCs w:val="24"/>
        </w:rPr>
        <w:t xml:space="preserve"> Disaster managers and vulnerable communities in demonstration provinces of Indonesia are better prepared to reduce impacts through disaster management planning and practice. </w:t>
      </w:r>
    </w:p>
    <w:p w14:paraId="61D3CE7A" w14:textId="77777777" w:rsidR="00E77873" w:rsidRDefault="00E77873" w:rsidP="00E77873">
      <w:pPr>
        <w:rPr>
          <w:sz w:val="24"/>
          <w:szCs w:val="24"/>
        </w:rPr>
      </w:pPr>
      <w:r w:rsidRPr="00174C42">
        <w:rPr>
          <w:b/>
          <w:sz w:val="24"/>
          <w:szCs w:val="24"/>
        </w:rPr>
        <w:t>Outcome 3 – Partnership with national and international organisations:</w:t>
      </w:r>
      <w:r w:rsidRPr="00174C42">
        <w:rPr>
          <w:sz w:val="24"/>
          <w:szCs w:val="24"/>
        </w:rPr>
        <w:t xml:space="preserve"> Partnerships enable sustainable disaster reduction in Indonesia and the region. </w:t>
      </w:r>
    </w:p>
    <w:p w14:paraId="419F76BF" w14:textId="0CD7EF47" w:rsidR="00D27726" w:rsidRDefault="003976FA" w:rsidP="00E77873">
      <w:pPr>
        <w:rPr>
          <w:sz w:val="24"/>
          <w:szCs w:val="24"/>
        </w:rPr>
      </w:pPr>
      <w:r>
        <w:rPr>
          <w:sz w:val="24"/>
          <w:szCs w:val="24"/>
        </w:rPr>
        <w:t xml:space="preserve">In terms of AIFDR’s structure – it comprises of three components (or units) and one modality: </w:t>
      </w:r>
    </w:p>
    <w:p w14:paraId="4EC1FA25" w14:textId="591A81D3" w:rsidR="003976FA" w:rsidRDefault="003976FA" w:rsidP="00E77873">
      <w:pPr>
        <w:rPr>
          <w:sz w:val="24"/>
          <w:szCs w:val="24"/>
        </w:rPr>
      </w:pPr>
      <w:r w:rsidRPr="00F01D0B">
        <w:rPr>
          <w:sz w:val="24"/>
          <w:szCs w:val="24"/>
          <w:u w:val="single"/>
        </w:rPr>
        <w:t>Risk and Vulnerability:</w:t>
      </w:r>
      <w:r>
        <w:rPr>
          <w:sz w:val="24"/>
          <w:szCs w:val="24"/>
        </w:rPr>
        <w:t xml:space="preserve"> This component </w:t>
      </w:r>
      <w:r w:rsidR="00F01D0B">
        <w:rPr>
          <w:sz w:val="24"/>
          <w:szCs w:val="24"/>
        </w:rPr>
        <w:t xml:space="preserve">facilitates partnerships between Australian </w:t>
      </w:r>
      <w:r w:rsidR="00D00DB8">
        <w:rPr>
          <w:sz w:val="24"/>
          <w:szCs w:val="24"/>
        </w:rPr>
        <w:t xml:space="preserve">and Indonesian </w:t>
      </w:r>
      <w:r w:rsidR="00F01D0B">
        <w:rPr>
          <w:sz w:val="24"/>
          <w:szCs w:val="24"/>
        </w:rPr>
        <w:t xml:space="preserve">scientists and </w:t>
      </w:r>
      <w:r>
        <w:rPr>
          <w:sz w:val="24"/>
          <w:szCs w:val="24"/>
        </w:rPr>
        <w:t>BNPB</w:t>
      </w:r>
      <w:r w:rsidR="00D00DB8">
        <w:rPr>
          <w:sz w:val="24"/>
          <w:szCs w:val="24"/>
        </w:rPr>
        <w:t xml:space="preserve"> </w:t>
      </w:r>
      <w:r w:rsidR="00F01D0B">
        <w:rPr>
          <w:sz w:val="24"/>
          <w:szCs w:val="24"/>
        </w:rPr>
        <w:t>to develop and demonstrate risk assessment methods, tools and information for a range of natural hazards.</w:t>
      </w:r>
    </w:p>
    <w:p w14:paraId="5C090DDD" w14:textId="09BF7EF8" w:rsidR="003976FA" w:rsidRDefault="003976FA" w:rsidP="00E77873">
      <w:pPr>
        <w:rPr>
          <w:sz w:val="24"/>
          <w:szCs w:val="24"/>
        </w:rPr>
      </w:pPr>
      <w:r w:rsidRPr="00F01D0B">
        <w:rPr>
          <w:sz w:val="24"/>
          <w:szCs w:val="24"/>
          <w:u w:val="single"/>
        </w:rPr>
        <w:t>Training and Outreach:</w:t>
      </w:r>
      <w:r>
        <w:rPr>
          <w:sz w:val="24"/>
          <w:szCs w:val="24"/>
        </w:rPr>
        <w:t xml:space="preserve"> </w:t>
      </w:r>
      <w:r w:rsidR="00F01D0B">
        <w:rPr>
          <w:sz w:val="24"/>
          <w:szCs w:val="24"/>
        </w:rPr>
        <w:t xml:space="preserve">Works with BNPB and local disaster management agencies </w:t>
      </w:r>
      <w:r w:rsidR="00C94F8C">
        <w:rPr>
          <w:sz w:val="24"/>
          <w:szCs w:val="24"/>
        </w:rPr>
        <w:t xml:space="preserve">(BPBD) to develop and roll out standardised training curriculum; </w:t>
      </w:r>
      <w:r w:rsidR="00F83F9F">
        <w:rPr>
          <w:sz w:val="24"/>
          <w:szCs w:val="24"/>
        </w:rPr>
        <w:t xml:space="preserve">and </w:t>
      </w:r>
      <w:r w:rsidR="00C94F8C">
        <w:rPr>
          <w:sz w:val="24"/>
          <w:szCs w:val="24"/>
        </w:rPr>
        <w:t>support capacity development and institutional strengthening through the management of AIFDR’s Capacity Development Support Program (CDSP)</w:t>
      </w:r>
      <w:r w:rsidR="00F83F9F">
        <w:rPr>
          <w:sz w:val="24"/>
          <w:szCs w:val="24"/>
        </w:rPr>
        <w:t xml:space="preserve">. </w:t>
      </w:r>
    </w:p>
    <w:p w14:paraId="3AE6BB91" w14:textId="3AC2B987" w:rsidR="00F01D0B" w:rsidRDefault="003976FA" w:rsidP="00E77873">
      <w:pPr>
        <w:rPr>
          <w:sz w:val="24"/>
          <w:szCs w:val="24"/>
          <w:u w:val="single"/>
        </w:rPr>
      </w:pPr>
      <w:r w:rsidRPr="00F01D0B">
        <w:rPr>
          <w:sz w:val="24"/>
          <w:szCs w:val="24"/>
          <w:u w:val="single"/>
        </w:rPr>
        <w:t xml:space="preserve">Partnerships: </w:t>
      </w:r>
      <w:r w:rsidR="00F83F9F" w:rsidRPr="00C769A5">
        <w:rPr>
          <w:sz w:val="24"/>
          <w:szCs w:val="24"/>
        </w:rPr>
        <w:t>Supports key risk redu</w:t>
      </w:r>
      <w:r w:rsidR="002946C2">
        <w:rPr>
          <w:sz w:val="24"/>
          <w:szCs w:val="24"/>
        </w:rPr>
        <w:t xml:space="preserve">ction partners in Indonesia and the ASEAN Secretariat and </w:t>
      </w:r>
      <w:r w:rsidR="00214950">
        <w:rPr>
          <w:sz w:val="24"/>
          <w:szCs w:val="24"/>
        </w:rPr>
        <w:t xml:space="preserve">the </w:t>
      </w:r>
      <w:r w:rsidR="002946C2">
        <w:rPr>
          <w:sz w:val="24"/>
          <w:szCs w:val="24"/>
        </w:rPr>
        <w:t xml:space="preserve">AHA Centre. </w:t>
      </w:r>
    </w:p>
    <w:p w14:paraId="1C3EBA49" w14:textId="428CEE4D" w:rsidR="00F01D0B" w:rsidRPr="00C34567" w:rsidRDefault="00F01D0B" w:rsidP="00E77873">
      <w:pPr>
        <w:rPr>
          <w:color w:val="000000" w:themeColor="text1"/>
          <w:sz w:val="24"/>
          <w:szCs w:val="24"/>
        </w:rPr>
      </w:pPr>
      <w:r w:rsidRPr="00C34567">
        <w:rPr>
          <w:color w:val="000000" w:themeColor="text1"/>
          <w:sz w:val="24"/>
          <w:szCs w:val="24"/>
          <w:u w:val="single"/>
        </w:rPr>
        <w:t xml:space="preserve">Research and Innovation </w:t>
      </w:r>
      <w:r w:rsidR="00214950">
        <w:rPr>
          <w:color w:val="000000" w:themeColor="text1"/>
          <w:sz w:val="24"/>
          <w:szCs w:val="24"/>
          <w:u w:val="single"/>
        </w:rPr>
        <w:t xml:space="preserve">(R &amp; I) </w:t>
      </w:r>
      <w:r w:rsidRPr="00C34567">
        <w:rPr>
          <w:color w:val="000000" w:themeColor="text1"/>
          <w:sz w:val="24"/>
          <w:szCs w:val="24"/>
          <w:u w:val="single"/>
        </w:rPr>
        <w:t xml:space="preserve">Grants: </w:t>
      </w:r>
      <w:r w:rsidRPr="00C34567">
        <w:rPr>
          <w:color w:val="000000" w:themeColor="text1"/>
          <w:sz w:val="24"/>
          <w:szCs w:val="24"/>
        </w:rPr>
        <w:t xml:space="preserve">Small grants scheme managed by AIFDR to support DRR research and innovation in Indonesia, as well as supporting linkages between community and government at national, provincial and local levels. The </w:t>
      </w:r>
      <w:r w:rsidR="00C34567" w:rsidRPr="00C34567">
        <w:rPr>
          <w:color w:val="000000" w:themeColor="text1"/>
          <w:sz w:val="24"/>
          <w:szCs w:val="24"/>
        </w:rPr>
        <w:t xml:space="preserve">R&amp;I Grants scheme was phased out in 2011/12 for what is believed to be management </w:t>
      </w:r>
      <w:r w:rsidR="00D00DB8">
        <w:rPr>
          <w:color w:val="000000" w:themeColor="text1"/>
          <w:sz w:val="24"/>
          <w:szCs w:val="24"/>
        </w:rPr>
        <w:t xml:space="preserve">efficiency, </w:t>
      </w:r>
      <w:r w:rsidR="00C34567" w:rsidRPr="00C34567">
        <w:rPr>
          <w:color w:val="000000" w:themeColor="text1"/>
          <w:sz w:val="24"/>
          <w:szCs w:val="24"/>
        </w:rPr>
        <w:t>and cost efficiency reasons (contracts were small value, yet time</w:t>
      </w:r>
      <w:r w:rsidR="00214950">
        <w:rPr>
          <w:color w:val="000000" w:themeColor="text1"/>
          <w:sz w:val="24"/>
          <w:szCs w:val="24"/>
        </w:rPr>
        <w:t>-</w:t>
      </w:r>
      <w:r w:rsidR="00C34567" w:rsidRPr="00C34567">
        <w:rPr>
          <w:color w:val="000000" w:themeColor="text1"/>
          <w:sz w:val="24"/>
          <w:szCs w:val="24"/>
        </w:rPr>
        <w:t>intensive to manage).</w:t>
      </w:r>
    </w:p>
    <w:p w14:paraId="03A47389" w14:textId="1BDCA235" w:rsidR="00611CAA" w:rsidRPr="00705CFC" w:rsidRDefault="00705CFC" w:rsidP="00705CFC">
      <w:pPr>
        <w:pStyle w:val="Heading1"/>
      </w:pPr>
      <w:bookmarkStart w:id="11" w:name="_Toc402431250"/>
      <w:r w:rsidRPr="00705CFC">
        <w:t>2</w:t>
      </w:r>
      <w:r w:rsidR="00B114FA" w:rsidRPr="00705CFC">
        <w:tab/>
      </w:r>
      <w:r w:rsidR="00611CAA" w:rsidRPr="00705CFC">
        <w:t>Evaluation Findings</w:t>
      </w:r>
      <w:bookmarkEnd w:id="11"/>
      <w:r w:rsidR="00611CAA" w:rsidRPr="00705CFC">
        <w:t xml:space="preserve"> </w:t>
      </w:r>
    </w:p>
    <w:p w14:paraId="64B6FCD4" w14:textId="77777777" w:rsidR="00E36D7C" w:rsidRDefault="00E36D7C" w:rsidP="00E36D7C">
      <w:pPr>
        <w:spacing w:after="0"/>
      </w:pPr>
    </w:p>
    <w:p w14:paraId="62C81DFC" w14:textId="723339EB" w:rsidR="00237528" w:rsidRDefault="006C7C55" w:rsidP="00FA6B51">
      <w:pPr>
        <w:rPr>
          <w:sz w:val="24"/>
          <w:szCs w:val="24"/>
        </w:rPr>
      </w:pPr>
      <w:r w:rsidRPr="006C7C55">
        <w:rPr>
          <w:sz w:val="24"/>
          <w:szCs w:val="24"/>
        </w:rPr>
        <w:t xml:space="preserve">This section of the </w:t>
      </w:r>
      <w:r w:rsidR="003A5BD4">
        <w:rPr>
          <w:sz w:val="24"/>
          <w:szCs w:val="24"/>
        </w:rPr>
        <w:t xml:space="preserve">report sets out the </w:t>
      </w:r>
      <w:r w:rsidR="00F62D81">
        <w:rPr>
          <w:sz w:val="24"/>
          <w:szCs w:val="24"/>
        </w:rPr>
        <w:t xml:space="preserve">review </w:t>
      </w:r>
      <w:r w:rsidR="003A5BD4">
        <w:rPr>
          <w:sz w:val="24"/>
          <w:szCs w:val="24"/>
        </w:rPr>
        <w:t>teams’ findings</w:t>
      </w:r>
      <w:r w:rsidR="003A5BD4" w:rsidRPr="00174C42">
        <w:rPr>
          <w:sz w:val="24"/>
          <w:szCs w:val="24"/>
        </w:rPr>
        <w:t xml:space="preserve"> regarding the relevance, effectiveness and efficiency of AIFDR in achieving the original goal</w:t>
      </w:r>
      <w:r w:rsidR="00F62D81">
        <w:rPr>
          <w:sz w:val="24"/>
          <w:szCs w:val="24"/>
        </w:rPr>
        <w:t>, and expected end-of</w:t>
      </w:r>
      <w:r w:rsidR="00214950">
        <w:rPr>
          <w:sz w:val="24"/>
          <w:szCs w:val="24"/>
        </w:rPr>
        <w:t>-</w:t>
      </w:r>
      <w:r w:rsidR="00F62D81">
        <w:rPr>
          <w:sz w:val="24"/>
          <w:szCs w:val="24"/>
        </w:rPr>
        <w:t>facility outcomes</w:t>
      </w:r>
      <w:r w:rsidR="003A5BD4" w:rsidRPr="00174C42">
        <w:rPr>
          <w:sz w:val="24"/>
          <w:szCs w:val="24"/>
        </w:rPr>
        <w:t>.</w:t>
      </w:r>
      <w:r w:rsidR="003A5BD4">
        <w:rPr>
          <w:sz w:val="24"/>
          <w:szCs w:val="24"/>
        </w:rPr>
        <w:t xml:space="preserve"> </w:t>
      </w:r>
      <w:r w:rsidR="003763A3">
        <w:rPr>
          <w:sz w:val="24"/>
          <w:szCs w:val="24"/>
        </w:rPr>
        <w:t xml:space="preserve">Essentially, the three criteria pose the question </w:t>
      </w:r>
      <w:proofErr w:type="gramStart"/>
      <w:r w:rsidR="003763A3">
        <w:rPr>
          <w:sz w:val="24"/>
          <w:szCs w:val="24"/>
        </w:rPr>
        <w:t>‘ Did</w:t>
      </w:r>
      <w:proofErr w:type="gramEnd"/>
      <w:r w:rsidR="003763A3">
        <w:rPr>
          <w:sz w:val="24"/>
          <w:szCs w:val="24"/>
        </w:rPr>
        <w:t xml:space="preserve"> AIFDR do the right thing (relevance) in the right place (effectiveness) at the right time (efficiency)?’. </w:t>
      </w:r>
      <w:r w:rsidR="003A5BD4">
        <w:rPr>
          <w:sz w:val="24"/>
          <w:szCs w:val="24"/>
        </w:rPr>
        <w:t xml:space="preserve">It should be noted </w:t>
      </w:r>
      <w:r w:rsidR="00F62D81">
        <w:rPr>
          <w:sz w:val="24"/>
          <w:szCs w:val="24"/>
        </w:rPr>
        <w:t xml:space="preserve">from the outset </w:t>
      </w:r>
      <w:r w:rsidR="003A5BD4">
        <w:rPr>
          <w:sz w:val="24"/>
          <w:szCs w:val="24"/>
        </w:rPr>
        <w:t>that the review team has struggled to come up with definitive conclusions in several areas as a consequence of the evolving nature of AIFDR</w:t>
      </w:r>
      <w:r w:rsidR="00F62D81">
        <w:rPr>
          <w:sz w:val="24"/>
          <w:szCs w:val="24"/>
        </w:rPr>
        <w:t>’s program logic</w:t>
      </w:r>
      <w:r w:rsidR="003A5BD4">
        <w:rPr>
          <w:sz w:val="24"/>
          <w:szCs w:val="24"/>
        </w:rPr>
        <w:t>, and its weak facility</w:t>
      </w:r>
      <w:r w:rsidR="00214950">
        <w:rPr>
          <w:sz w:val="24"/>
          <w:szCs w:val="24"/>
        </w:rPr>
        <w:t>-</w:t>
      </w:r>
      <w:r w:rsidR="003A5BD4">
        <w:rPr>
          <w:sz w:val="24"/>
          <w:szCs w:val="24"/>
        </w:rPr>
        <w:t xml:space="preserve">level </w:t>
      </w:r>
      <w:r w:rsidR="00214950">
        <w:rPr>
          <w:sz w:val="24"/>
          <w:szCs w:val="24"/>
        </w:rPr>
        <w:t>monitoring and evaluation (</w:t>
      </w:r>
      <w:r w:rsidR="003A5BD4">
        <w:rPr>
          <w:sz w:val="24"/>
          <w:szCs w:val="24"/>
        </w:rPr>
        <w:t>M&amp;E</w:t>
      </w:r>
      <w:r w:rsidR="00214950">
        <w:rPr>
          <w:sz w:val="24"/>
          <w:szCs w:val="24"/>
        </w:rPr>
        <w:t>)</w:t>
      </w:r>
      <w:r w:rsidR="003A5BD4">
        <w:rPr>
          <w:sz w:val="24"/>
          <w:szCs w:val="24"/>
        </w:rPr>
        <w:t xml:space="preserve"> processes. </w:t>
      </w:r>
    </w:p>
    <w:p w14:paraId="62122E23" w14:textId="2180B13C" w:rsidR="00237528" w:rsidRDefault="00F62D81" w:rsidP="00FA6B51">
      <w:pPr>
        <w:rPr>
          <w:sz w:val="24"/>
          <w:szCs w:val="24"/>
        </w:rPr>
      </w:pPr>
      <w:r>
        <w:rPr>
          <w:sz w:val="24"/>
          <w:szCs w:val="24"/>
        </w:rPr>
        <w:t xml:space="preserve">In the early years, the facility’s primary </w:t>
      </w:r>
      <w:r w:rsidR="00214950">
        <w:rPr>
          <w:sz w:val="24"/>
          <w:szCs w:val="24"/>
        </w:rPr>
        <w:t>(</w:t>
      </w:r>
      <w:r>
        <w:rPr>
          <w:sz w:val="24"/>
          <w:szCs w:val="24"/>
        </w:rPr>
        <w:t>unwritten</w:t>
      </w:r>
      <w:r w:rsidR="00214950">
        <w:rPr>
          <w:sz w:val="24"/>
          <w:szCs w:val="24"/>
        </w:rPr>
        <w:t>)</w:t>
      </w:r>
      <w:r>
        <w:rPr>
          <w:sz w:val="24"/>
          <w:szCs w:val="24"/>
        </w:rPr>
        <w:t xml:space="preserve"> </w:t>
      </w:r>
      <w:r w:rsidR="00214950">
        <w:rPr>
          <w:sz w:val="24"/>
          <w:szCs w:val="24"/>
        </w:rPr>
        <w:t xml:space="preserve">purpose </w:t>
      </w:r>
      <w:r>
        <w:rPr>
          <w:sz w:val="24"/>
          <w:szCs w:val="24"/>
        </w:rPr>
        <w:t xml:space="preserve">appears to have been political ie, to cement </w:t>
      </w:r>
      <w:r w:rsidR="00C90753">
        <w:rPr>
          <w:sz w:val="24"/>
          <w:szCs w:val="24"/>
        </w:rPr>
        <w:t xml:space="preserve">Australia’s bilateral </w:t>
      </w:r>
      <w:r>
        <w:rPr>
          <w:sz w:val="24"/>
          <w:szCs w:val="24"/>
        </w:rPr>
        <w:t xml:space="preserve">partnership with GoI. </w:t>
      </w:r>
      <w:r w:rsidR="00E7132A">
        <w:rPr>
          <w:sz w:val="24"/>
          <w:szCs w:val="24"/>
        </w:rPr>
        <w:t xml:space="preserve">This </w:t>
      </w:r>
      <w:r w:rsidR="00C90753">
        <w:rPr>
          <w:sz w:val="24"/>
          <w:szCs w:val="24"/>
        </w:rPr>
        <w:t>purpose was anchored in</w:t>
      </w:r>
      <w:r w:rsidR="00E7132A">
        <w:rPr>
          <w:sz w:val="24"/>
          <w:szCs w:val="24"/>
        </w:rPr>
        <w:t xml:space="preserve"> AIFDR’s development objective of supporting Indonesia’s new </w:t>
      </w:r>
      <w:r w:rsidR="004139AB">
        <w:rPr>
          <w:sz w:val="24"/>
          <w:szCs w:val="24"/>
        </w:rPr>
        <w:t xml:space="preserve">disaster management </w:t>
      </w:r>
      <w:r w:rsidR="00E7132A">
        <w:rPr>
          <w:sz w:val="24"/>
          <w:szCs w:val="24"/>
        </w:rPr>
        <w:t>architecture</w:t>
      </w:r>
      <w:r w:rsidR="00C90753">
        <w:rPr>
          <w:sz w:val="24"/>
          <w:szCs w:val="24"/>
        </w:rPr>
        <w:t>, which would provide visibility and leverage for Australia’s diplomatic efforts</w:t>
      </w:r>
      <w:r w:rsidR="00E7132A">
        <w:rPr>
          <w:sz w:val="24"/>
          <w:szCs w:val="24"/>
        </w:rPr>
        <w:t xml:space="preserve">. </w:t>
      </w:r>
    </w:p>
    <w:p w14:paraId="45C1E50F" w14:textId="6A7046CE" w:rsidR="003A5BD4" w:rsidRDefault="00DE63E0" w:rsidP="00FA6B51">
      <w:pPr>
        <w:rPr>
          <w:sz w:val="24"/>
          <w:szCs w:val="24"/>
        </w:rPr>
      </w:pPr>
      <w:r>
        <w:rPr>
          <w:sz w:val="24"/>
          <w:szCs w:val="24"/>
        </w:rPr>
        <w:t>Assessing the political dimensions of any development investment is challenging</w:t>
      </w:r>
      <w:r w:rsidR="00E7132A">
        <w:rPr>
          <w:sz w:val="24"/>
          <w:szCs w:val="24"/>
        </w:rPr>
        <w:t xml:space="preserve">, especially using development evaluation criteria. </w:t>
      </w:r>
      <w:r w:rsidR="00174E40">
        <w:rPr>
          <w:sz w:val="24"/>
          <w:szCs w:val="24"/>
        </w:rPr>
        <w:t xml:space="preserve">Nonetheless, as an integrated department, it will be imperative that all DFAT development activities (including AIFDR) capture empirical evidence of their contribution to diplomatic and trade outcomes. </w:t>
      </w:r>
      <w:r w:rsidR="00E7132A">
        <w:rPr>
          <w:sz w:val="24"/>
          <w:szCs w:val="24"/>
        </w:rPr>
        <w:t>In this case,</w:t>
      </w:r>
      <w:r>
        <w:rPr>
          <w:sz w:val="24"/>
          <w:szCs w:val="24"/>
        </w:rPr>
        <w:t xml:space="preserve"> the narrow </w:t>
      </w:r>
      <w:r w:rsidR="00174E40">
        <w:rPr>
          <w:sz w:val="24"/>
          <w:szCs w:val="24"/>
        </w:rPr>
        <w:t xml:space="preserve">range </w:t>
      </w:r>
      <w:r>
        <w:rPr>
          <w:sz w:val="24"/>
          <w:szCs w:val="24"/>
        </w:rPr>
        <w:t xml:space="preserve">of </w:t>
      </w:r>
      <w:r w:rsidR="00237528">
        <w:rPr>
          <w:sz w:val="24"/>
          <w:szCs w:val="24"/>
        </w:rPr>
        <w:t xml:space="preserve">review consultations has meant </w:t>
      </w:r>
      <w:r w:rsidR="00174E40">
        <w:rPr>
          <w:sz w:val="24"/>
          <w:szCs w:val="24"/>
        </w:rPr>
        <w:t xml:space="preserve">that </w:t>
      </w:r>
      <w:r w:rsidR="00237528">
        <w:rPr>
          <w:sz w:val="24"/>
          <w:szCs w:val="24"/>
        </w:rPr>
        <w:t xml:space="preserve">the review team has struggled to </w:t>
      </w:r>
      <w:r w:rsidRPr="00174C42">
        <w:rPr>
          <w:sz w:val="24"/>
          <w:szCs w:val="24"/>
        </w:rPr>
        <w:t>attribut</w:t>
      </w:r>
      <w:r w:rsidR="00237528">
        <w:rPr>
          <w:sz w:val="24"/>
          <w:szCs w:val="24"/>
        </w:rPr>
        <w:t>e</w:t>
      </w:r>
      <w:r w:rsidRPr="00174C42">
        <w:rPr>
          <w:sz w:val="24"/>
          <w:szCs w:val="24"/>
        </w:rPr>
        <w:t xml:space="preserve"> political influence</w:t>
      </w:r>
      <w:r w:rsidR="00E7132A">
        <w:rPr>
          <w:sz w:val="24"/>
          <w:szCs w:val="24"/>
        </w:rPr>
        <w:t xml:space="preserve"> </w:t>
      </w:r>
      <w:r w:rsidR="00174E40">
        <w:rPr>
          <w:sz w:val="24"/>
          <w:szCs w:val="24"/>
        </w:rPr>
        <w:t xml:space="preserve">and leverage </w:t>
      </w:r>
      <w:r w:rsidR="00E7132A">
        <w:rPr>
          <w:sz w:val="24"/>
          <w:szCs w:val="24"/>
        </w:rPr>
        <w:t xml:space="preserve">to AIFDR </w:t>
      </w:r>
      <w:r w:rsidR="00174E40">
        <w:rPr>
          <w:sz w:val="24"/>
          <w:szCs w:val="24"/>
        </w:rPr>
        <w:t>beyond its relation</w:t>
      </w:r>
      <w:r w:rsidR="00636FCD">
        <w:rPr>
          <w:sz w:val="24"/>
          <w:szCs w:val="24"/>
        </w:rPr>
        <w:t>s</w:t>
      </w:r>
      <w:r w:rsidR="00174E40">
        <w:rPr>
          <w:sz w:val="24"/>
          <w:szCs w:val="24"/>
        </w:rPr>
        <w:t>hip with BNPB</w:t>
      </w:r>
      <w:r w:rsidR="00E7132A">
        <w:rPr>
          <w:sz w:val="24"/>
          <w:szCs w:val="24"/>
        </w:rPr>
        <w:t>.</w:t>
      </w:r>
      <w:r w:rsidR="00C90753">
        <w:rPr>
          <w:sz w:val="24"/>
          <w:szCs w:val="24"/>
        </w:rPr>
        <w:t xml:space="preserve"> </w:t>
      </w:r>
    </w:p>
    <w:p w14:paraId="788DE9EF" w14:textId="206340A2" w:rsidR="00611CAA" w:rsidRDefault="00705CFC" w:rsidP="00705CFC">
      <w:pPr>
        <w:pStyle w:val="Heading2"/>
      </w:pPr>
      <w:bookmarkStart w:id="12" w:name="_Toc402431251"/>
      <w:r>
        <w:t>2.1</w:t>
      </w:r>
      <w:r>
        <w:tab/>
      </w:r>
      <w:r w:rsidR="00611CAA" w:rsidRPr="00B114FA">
        <w:t>Relevance</w:t>
      </w:r>
      <w:bookmarkEnd w:id="12"/>
      <w:r w:rsidR="00611CAA" w:rsidRPr="00B114FA">
        <w:t xml:space="preserve"> </w:t>
      </w:r>
    </w:p>
    <w:p w14:paraId="77546397" w14:textId="3A41C3F2" w:rsidR="00244F07" w:rsidRDefault="00C45908" w:rsidP="00611CAA">
      <w:pPr>
        <w:rPr>
          <w:b/>
        </w:rPr>
      </w:pPr>
      <w:r w:rsidRPr="00C45908">
        <w:rPr>
          <w:noProof/>
          <w:sz w:val="24"/>
          <w:szCs w:val="24"/>
          <w:lang w:eastAsia="en-AU"/>
        </w:rPr>
        <mc:AlternateContent>
          <mc:Choice Requires="wps">
            <w:drawing>
              <wp:anchor distT="45720" distB="45720" distL="114300" distR="114300" simplePos="0" relativeHeight="251659264" behindDoc="0" locked="0" layoutInCell="1" allowOverlap="1" wp14:anchorId="5A0996C4" wp14:editId="37C30938">
                <wp:simplePos x="0" y="0"/>
                <wp:positionH relativeFrom="column">
                  <wp:posOffset>152400</wp:posOffset>
                </wp:positionH>
                <wp:positionV relativeFrom="paragraph">
                  <wp:posOffset>56515</wp:posOffset>
                </wp:positionV>
                <wp:extent cx="4962525" cy="1066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066800"/>
                        </a:xfrm>
                        <a:prstGeom prst="rect">
                          <a:avLst/>
                        </a:prstGeom>
                        <a:solidFill>
                          <a:schemeClr val="accent3">
                            <a:lumMod val="60000"/>
                            <a:lumOff val="40000"/>
                          </a:schemeClr>
                        </a:solidFill>
                        <a:ln w="9525">
                          <a:solidFill>
                            <a:srgbClr val="000000"/>
                          </a:solidFill>
                          <a:miter lim="800000"/>
                          <a:headEnd/>
                          <a:tailEnd/>
                        </a:ln>
                      </wps:spPr>
                      <wps:txbx>
                        <w:txbxContent>
                          <w:p w14:paraId="0DA0EFD2" w14:textId="77777777" w:rsidR="004D3B28" w:rsidRPr="00B114FA" w:rsidRDefault="004D3B28">
                            <w:pPr>
                              <w:rPr>
                                <w:b/>
                                <w:sz w:val="24"/>
                                <w:szCs w:val="24"/>
                              </w:rPr>
                            </w:pPr>
                            <w:r w:rsidRPr="00B114FA">
                              <w:rPr>
                                <w:b/>
                                <w:sz w:val="24"/>
                                <w:szCs w:val="24"/>
                              </w:rPr>
                              <w:t xml:space="preserve">Relevance: </w:t>
                            </w:r>
                          </w:p>
                          <w:p w14:paraId="721CF9D1" w14:textId="4F73812C" w:rsidR="004D3B28" w:rsidRPr="00B114FA" w:rsidRDefault="004D3B28">
                            <w:pPr>
                              <w:rPr>
                                <w:sz w:val="24"/>
                                <w:szCs w:val="24"/>
                              </w:rPr>
                            </w:pPr>
                            <w:r w:rsidRPr="00B114FA">
                              <w:rPr>
                                <w:i/>
                                <w:sz w:val="24"/>
                                <w:szCs w:val="24"/>
                              </w:rPr>
                              <w:t xml:space="preserve">“The extent to which the objectives of a development intervention are consistence with beneficiaries’ requirements, country </w:t>
                            </w:r>
                            <w:proofErr w:type="gramStart"/>
                            <w:r w:rsidRPr="00B114FA">
                              <w:rPr>
                                <w:i/>
                                <w:sz w:val="24"/>
                                <w:szCs w:val="24"/>
                              </w:rPr>
                              <w:t>needs,</w:t>
                            </w:r>
                            <w:proofErr w:type="gramEnd"/>
                            <w:r w:rsidRPr="00B114FA">
                              <w:rPr>
                                <w:i/>
                                <w:sz w:val="24"/>
                                <w:szCs w:val="24"/>
                              </w:rPr>
                              <w:t xml:space="preserve"> global priorities and partners and donors policies”</w:t>
                            </w:r>
                            <w:r w:rsidRPr="00B114FA">
                              <w:rPr>
                                <w:sz w:val="24"/>
                                <w:szCs w:val="24"/>
                              </w:rPr>
                              <w:t xml:space="preserve"> OECD</w:t>
                            </w:r>
                            <w:r>
                              <w:rPr>
                                <w:sz w:val="24"/>
                                <w:szCs w:val="24"/>
                              </w:rPr>
                              <w:t xml:space="preserve"> definition</w:t>
                            </w:r>
                            <w:r w:rsidRPr="00B114FA">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pt;margin-top:4.45pt;width:390.75pt;height: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" fillcolor="#c9c9c9 [1942]">
                <v:textbox>
                  <w:txbxContent>
                    <w:p w14:paraId="0DA0EFD2" w14:textId="77777777" w:rsidR="004D3B28" w:rsidRPr="00B114FA" w:rsidRDefault="004D3B28">
                      <w:pPr>
                        <w:rPr>
                          <w:b/>
                          <w:sz w:val="24"/>
                          <w:szCs w:val="24"/>
                        </w:rPr>
                      </w:pPr>
                      <w:r w:rsidRPr="00B114FA">
                        <w:rPr>
                          <w:b/>
                          <w:sz w:val="24"/>
                          <w:szCs w:val="24"/>
                        </w:rPr>
                        <w:t xml:space="preserve">Relevance: </w:t>
                      </w:r>
                    </w:p>
                    <w:p w14:paraId="721CF9D1" w14:textId="4F73812C" w:rsidR="004D3B28" w:rsidRPr="00B114FA" w:rsidRDefault="004D3B28">
                      <w:pPr>
                        <w:rPr>
                          <w:sz w:val="24"/>
                          <w:szCs w:val="24"/>
                        </w:rPr>
                      </w:pPr>
                      <w:r w:rsidRPr="00B114FA">
                        <w:rPr>
                          <w:i/>
                          <w:sz w:val="24"/>
                          <w:szCs w:val="24"/>
                        </w:rPr>
                        <w:t>“The extent to which the objectives of a development intervention are consistence with beneficiaries’ requirements, country needs, global priorities and partners and donors policies”</w:t>
                      </w:r>
                      <w:r w:rsidRPr="00B114FA">
                        <w:rPr>
                          <w:sz w:val="24"/>
                          <w:szCs w:val="24"/>
                        </w:rPr>
                        <w:t xml:space="preserve"> OECD</w:t>
                      </w:r>
                      <w:r>
                        <w:rPr>
                          <w:sz w:val="24"/>
                          <w:szCs w:val="24"/>
                        </w:rPr>
                        <w:t xml:space="preserve"> definition</w:t>
                      </w:r>
                      <w:r w:rsidRPr="00B114FA">
                        <w:rPr>
                          <w:sz w:val="24"/>
                          <w:szCs w:val="24"/>
                        </w:rPr>
                        <w:t>.</w:t>
                      </w:r>
                    </w:p>
                  </w:txbxContent>
                </v:textbox>
                <w10:wrap type="square"/>
              </v:shape>
            </w:pict>
          </mc:Fallback>
        </mc:AlternateContent>
      </w:r>
    </w:p>
    <w:p w14:paraId="7B7D9C1A" w14:textId="77777777" w:rsidR="00244F07" w:rsidRDefault="00244F07" w:rsidP="00611CAA">
      <w:pPr>
        <w:rPr>
          <w:b/>
        </w:rPr>
      </w:pPr>
    </w:p>
    <w:p w14:paraId="1CDA8237" w14:textId="77777777" w:rsidR="00244F07" w:rsidRDefault="00244F07" w:rsidP="00611CAA">
      <w:pPr>
        <w:rPr>
          <w:b/>
        </w:rPr>
      </w:pPr>
    </w:p>
    <w:p w14:paraId="05C239B2" w14:textId="77777777" w:rsidR="00244F07" w:rsidRDefault="00244F07" w:rsidP="00611CAA">
      <w:pPr>
        <w:rPr>
          <w:b/>
        </w:rPr>
      </w:pPr>
    </w:p>
    <w:p w14:paraId="1D621D66" w14:textId="77777777" w:rsidR="00B223DD" w:rsidRDefault="00B223DD" w:rsidP="00ED3371">
      <w:pPr>
        <w:spacing w:after="0" w:line="273" w:lineRule="auto"/>
        <w:ind w:left="-5" w:right="5" w:hanging="10"/>
        <w:jc w:val="both"/>
        <w:rPr>
          <w:rFonts w:ascii="Calibri" w:eastAsia="Calibri" w:hAnsi="Calibri" w:cs="Calibri"/>
          <w:b/>
        </w:rPr>
      </w:pPr>
    </w:p>
    <w:p w14:paraId="580E98C9" w14:textId="77777777" w:rsidR="00B223DD" w:rsidRDefault="00B223DD" w:rsidP="00ED3371">
      <w:pPr>
        <w:spacing w:after="0" w:line="273" w:lineRule="auto"/>
        <w:ind w:left="-5" w:right="5" w:hanging="10"/>
        <w:jc w:val="both"/>
        <w:rPr>
          <w:rFonts w:ascii="Calibri" w:eastAsia="Calibri" w:hAnsi="Calibri" w:cs="Calibri"/>
          <w:b/>
        </w:rPr>
      </w:pPr>
    </w:p>
    <w:p w14:paraId="6B94B0A7" w14:textId="4F9E3C6D" w:rsidR="002818DC" w:rsidRDefault="007D0C0E" w:rsidP="00ED3371">
      <w:pPr>
        <w:spacing w:after="0" w:line="273" w:lineRule="auto"/>
        <w:ind w:left="-5" w:right="5" w:hanging="10"/>
        <w:jc w:val="both"/>
        <w:rPr>
          <w:rFonts w:ascii="Calibri" w:eastAsia="Calibri" w:hAnsi="Calibri" w:cs="Calibri"/>
          <w:b/>
          <w:sz w:val="24"/>
          <w:szCs w:val="24"/>
        </w:rPr>
      </w:pPr>
      <w:r>
        <w:rPr>
          <w:rFonts w:ascii="Calibri" w:eastAsia="Calibri" w:hAnsi="Calibri" w:cs="Calibri"/>
          <w:b/>
          <w:sz w:val="24"/>
          <w:szCs w:val="24"/>
        </w:rPr>
        <w:t xml:space="preserve">To what extent was AIFDR relevant? This section answers this question by looking at Indonesia’s hazard profile and </w:t>
      </w:r>
      <w:r w:rsidR="002818DC">
        <w:rPr>
          <w:rFonts w:ascii="Calibri" w:eastAsia="Calibri" w:hAnsi="Calibri" w:cs="Calibri"/>
          <w:b/>
          <w:sz w:val="24"/>
          <w:szCs w:val="24"/>
        </w:rPr>
        <w:t>community needs;</w:t>
      </w:r>
      <w:r>
        <w:rPr>
          <w:rFonts w:ascii="Calibri" w:eastAsia="Calibri" w:hAnsi="Calibri" w:cs="Calibri"/>
          <w:b/>
          <w:sz w:val="24"/>
          <w:szCs w:val="24"/>
        </w:rPr>
        <w:t xml:space="preserve"> </w:t>
      </w:r>
      <w:r w:rsidR="002818DC">
        <w:rPr>
          <w:rFonts w:ascii="Calibri" w:eastAsia="Calibri" w:hAnsi="Calibri" w:cs="Calibri"/>
          <w:b/>
          <w:sz w:val="24"/>
          <w:szCs w:val="24"/>
        </w:rPr>
        <w:t xml:space="preserve">assessing whether AIFDR’s investments were the most relevant at the time; and examines the </w:t>
      </w:r>
      <w:r w:rsidR="002818DC" w:rsidRPr="00174C42">
        <w:rPr>
          <w:rFonts w:ascii="Calibri" w:eastAsia="Calibri" w:hAnsi="Calibri" w:cs="Calibri"/>
          <w:b/>
          <w:sz w:val="24"/>
          <w:szCs w:val="24"/>
        </w:rPr>
        <w:t>extent to which AIFDR aligns with Indonesian and Australian government priorities and political objectives.</w:t>
      </w:r>
    </w:p>
    <w:p w14:paraId="04A5EE8A" w14:textId="77777777" w:rsidR="002818DC" w:rsidRDefault="002818DC" w:rsidP="00ED3371">
      <w:pPr>
        <w:spacing w:after="0" w:line="273" w:lineRule="auto"/>
        <w:ind w:left="-5" w:right="5" w:hanging="10"/>
        <w:jc w:val="both"/>
        <w:rPr>
          <w:rFonts w:cs="Century"/>
          <w:b/>
          <w:sz w:val="24"/>
          <w:szCs w:val="24"/>
        </w:rPr>
      </w:pPr>
    </w:p>
    <w:p w14:paraId="42EBA3F7" w14:textId="5F7EE7DB" w:rsidR="00244F07" w:rsidRPr="00174C42" w:rsidRDefault="00705CFC" w:rsidP="00ED3371">
      <w:pPr>
        <w:spacing w:after="0" w:line="273" w:lineRule="auto"/>
        <w:ind w:left="-5" w:right="5" w:hanging="10"/>
        <w:jc w:val="both"/>
        <w:rPr>
          <w:rFonts w:cs="Century"/>
          <w:b/>
          <w:sz w:val="24"/>
          <w:szCs w:val="24"/>
        </w:rPr>
      </w:pPr>
      <w:r>
        <w:rPr>
          <w:rFonts w:cs="Century"/>
          <w:b/>
          <w:sz w:val="24"/>
          <w:szCs w:val="24"/>
        </w:rPr>
        <w:t>2</w:t>
      </w:r>
      <w:r w:rsidR="00ED3371" w:rsidRPr="00174C42">
        <w:rPr>
          <w:rFonts w:cs="Century"/>
          <w:b/>
          <w:sz w:val="24"/>
          <w:szCs w:val="24"/>
        </w:rPr>
        <w:t>.1.</w:t>
      </w:r>
      <w:r w:rsidR="00244F07" w:rsidRPr="00174C42">
        <w:rPr>
          <w:rFonts w:cs="Century"/>
          <w:b/>
          <w:sz w:val="24"/>
          <w:szCs w:val="24"/>
        </w:rPr>
        <w:t xml:space="preserve">1 </w:t>
      </w:r>
      <w:r w:rsidR="00ED3371" w:rsidRPr="00174C42">
        <w:rPr>
          <w:rFonts w:cs="Century"/>
          <w:b/>
          <w:sz w:val="24"/>
          <w:szCs w:val="24"/>
        </w:rPr>
        <w:tab/>
      </w:r>
      <w:r w:rsidR="00244F07" w:rsidRPr="00174C42">
        <w:rPr>
          <w:rFonts w:cs="Century"/>
          <w:b/>
          <w:sz w:val="24"/>
          <w:szCs w:val="24"/>
        </w:rPr>
        <w:t xml:space="preserve">Disaster Risk Reduction </w:t>
      </w:r>
      <w:r w:rsidR="00174E40">
        <w:rPr>
          <w:rFonts w:cs="Century"/>
          <w:b/>
          <w:sz w:val="24"/>
          <w:szCs w:val="24"/>
        </w:rPr>
        <w:t xml:space="preserve">makes good business sense </w:t>
      </w:r>
      <w:r w:rsidR="00244F07" w:rsidRPr="00174C42">
        <w:rPr>
          <w:rFonts w:cs="Century"/>
          <w:b/>
          <w:sz w:val="24"/>
          <w:szCs w:val="24"/>
        </w:rPr>
        <w:t xml:space="preserve">in Indonesia </w:t>
      </w:r>
    </w:p>
    <w:p w14:paraId="5121F007" w14:textId="77777777" w:rsidR="00E36D7C" w:rsidRPr="00174C42" w:rsidRDefault="00E36D7C" w:rsidP="00ED3371">
      <w:pPr>
        <w:autoSpaceDE w:val="0"/>
        <w:autoSpaceDN w:val="0"/>
        <w:adjustRightInd w:val="0"/>
        <w:spacing w:after="0" w:line="240" w:lineRule="auto"/>
        <w:rPr>
          <w:rFonts w:cs="Century"/>
          <w:sz w:val="24"/>
          <w:szCs w:val="24"/>
        </w:rPr>
      </w:pPr>
    </w:p>
    <w:p w14:paraId="7CC7FEDD" w14:textId="17F3475F" w:rsidR="00ED3371" w:rsidRPr="00174C42" w:rsidRDefault="00ED3371" w:rsidP="00ED3371">
      <w:pPr>
        <w:autoSpaceDE w:val="0"/>
        <w:autoSpaceDN w:val="0"/>
        <w:adjustRightInd w:val="0"/>
        <w:spacing w:after="0" w:line="240" w:lineRule="auto"/>
        <w:rPr>
          <w:rFonts w:cs="Century"/>
          <w:sz w:val="24"/>
          <w:szCs w:val="24"/>
        </w:rPr>
      </w:pPr>
      <w:r w:rsidRPr="00174C42">
        <w:rPr>
          <w:rFonts w:cs="Century"/>
          <w:sz w:val="24"/>
          <w:szCs w:val="24"/>
        </w:rPr>
        <w:t xml:space="preserve">The impacts of natural disasters in Indonesia have time and time again reversed economic and social development gains. The table below illustrates the enormity of human and economic losses from natural disasters over a thirty year period (1980-2010). </w:t>
      </w:r>
      <w:r w:rsidR="00174E40">
        <w:rPr>
          <w:rFonts w:cs="Century"/>
          <w:sz w:val="24"/>
          <w:szCs w:val="24"/>
        </w:rPr>
        <w:t>Furthermore, t</w:t>
      </w:r>
      <w:r w:rsidRPr="00174C42">
        <w:rPr>
          <w:rFonts w:cs="Century"/>
          <w:sz w:val="24"/>
          <w:szCs w:val="24"/>
        </w:rPr>
        <w:t xml:space="preserve">he Australian aid program has heavily invested in the development of our near neighbour. </w:t>
      </w:r>
      <w:r w:rsidR="00174E40">
        <w:rPr>
          <w:rFonts w:cs="Century"/>
          <w:sz w:val="24"/>
          <w:szCs w:val="24"/>
        </w:rPr>
        <w:t>A</w:t>
      </w:r>
      <w:r w:rsidRPr="00174C42">
        <w:rPr>
          <w:rFonts w:cs="Century"/>
          <w:sz w:val="24"/>
          <w:szCs w:val="24"/>
        </w:rPr>
        <w:t xml:space="preserve">id investments </w:t>
      </w:r>
      <w:r w:rsidR="00174E40">
        <w:rPr>
          <w:rFonts w:cs="Century"/>
          <w:sz w:val="24"/>
          <w:szCs w:val="24"/>
        </w:rPr>
        <w:t>that</w:t>
      </w:r>
      <w:r w:rsidRPr="00174C42">
        <w:rPr>
          <w:rFonts w:cs="Century"/>
          <w:sz w:val="24"/>
          <w:szCs w:val="24"/>
        </w:rPr>
        <w:t xml:space="preserve"> build disaster resilience and strengthen community preparedness capacities to respond to disasters when they occur make good </w:t>
      </w:r>
      <w:r w:rsidR="00174E40">
        <w:rPr>
          <w:rFonts w:cs="Century"/>
          <w:sz w:val="24"/>
          <w:szCs w:val="24"/>
        </w:rPr>
        <w:t xml:space="preserve">humanitarian and </w:t>
      </w:r>
      <w:r w:rsidRPr="00174C42">
        <w:rPr>
          <w:rFonts w:cs="Century"/>
          <w:sz w:val="24"/>
          <w:szCs w:val="24"/>
        </w:rPr>
        <w:t xml:space="preserve">development sense. </w:t>
      </w:r>
      <w:r w:rsidR="00174E40" w:rsidRPr="00174C42">
        <w:rPr>
          <w:rFonts w:cs="Century"/>
          <w:sz w:val="24"/>
          <w:szCs w:val="24"/>
        </w:rPr>
        <w:t xml:space="preserve">Consequently, </w:t>
      </w:r>
      <w:r w:rsidR="00174E40">
        <w:rPr>
          <w:rFonts w:cs="Century"/>
          <w:sz w:val="24"/>
          <w:szCs w:val="24"/>
        </w:rPr>
        <w:t>t</w:t>
      </w:r>
      <w:r w:rsidRPr="00174C42">
        <w:rPr>
          <w:rFonts w:cs="Century"/>
          <w:sz w:val="24"/>
          <w:szCs w:val="24"/>
        </w:rPr>
        <w:t xml:space="preserve">he </w:t>
      </w:r>
      <w:r w:rsidR="007A4873">
        <w:rPr>
          <w:rFonts w:cs="Century"/>
          <w:sz w:val="24"/>
          <w:szCs w:val="24"/>
        </w:rPr>
        <w:t>review</w:t>
      </w:r>
      <w:r w:rsidRPr="00174C42">
        <w:rPr>
          <w:rFonts w:cs="Century"/>
          <w:sz w:val="24"/>
          <w:szCs w:val="24"/>
        </w:rPr>
        <w:t xml:space="preserve"> team deems Australia’s decision to invest in </w:t>
      </w:r>
      <w:r w:rsidR="00174E40">
        <w:rPr>
          <w:rFonts w:cs="Century"/>
          <w:sz w:val="24"/>
          <w:szCs w:val="24"/>
        </w:rPr>
        <w:t>DRR</w:t>
      </w:r>
      <w:r w:rsidRPr="00174C42">
        <w:rPr>
          <w:rFonts w:cs="Century"/>
          <w:sz w:val="24"/>
          <w:szCs w:val="24"/>
        </w:rPr>
        <w:t xml:space="preserve"> as highly relevant to Australia’s bi-lateral aid program to Indonesia.  </w:t>
      </w:r>
    </w:p>
    <w:p w14:paraId="1F897174" w14:textId="77777777" w:rsidR="00ED3371" w:rsidRPr="00174C42" w:rsidRDefault="00ED3371" w:rsidP="00ED3371">
      <w:pPr>
        <w:autoSpaceDE w:val="0"/>
        <w:autoSpaceDN w:val="0"/>
        <w:adjustRightInd w:val="0"/>
        <w:spacing w:after="0" w:line="240" w:lineRule="auto"/>
        <w:rPr>
          <w:rFonts w:cs="Century"/>
          <w:sz w:val="24"/>
          <w:szCs w:val="24"/>
        </w:rPr>
      </w:pPr>
    </w:p>
    <w:p w14:paraId="76D22AB5" w14:textId="7053B77D" w:rsidR="00ED3371" w:rsidRPr="00174C42" w:rsidRDefault="00ED3371" w:rsidP="00B114FA">
      <w:pPr>
        <w:rPr>
          <w:sz w:val="24"/>
          <w:szCs w:val="24"/>
          <w:lang w:val="en" w:eastAsia="en-AU"/>
        </w:rPr>
      </w:pPr>
      <w:r w:rsidRPr="00174C42">
        <w:rPr>
          <w:b/>
          <w:sz w:val="24"/>
          <w:szCs w:val="24"/>
          <w:lang w:val="en" w:eastAsia="en-AU"/>
        </w:rPr>
        <w:t>Table</w:t>
      </w:r>
      <w:r w:rsidR="005E33E7">
        <w:rPr>
          <w:b/>
          <w:sz w:val="24"/>
          <w:szCs w:val="24"/>
          <w:lang w:val="en" w:eastAsia="en-AU"/>
        </w:rPr>
        <w:t xml:space="preserve"> </w:t>
      </w:r>
      <w:r w:rsidR="00963E02">
        <w:rPr>
          <w:b/>
          <w:sz w:val="24"/>
          <w:szCs w:val="24"/>
          <w:lang w:val="en" w:eastAsia="en-AU"/>
        </w:rPr>
        <w:t>2</w:t>
      </w:r>
      <w:r w:rsidRPr="00174C42">
        <w:rPr>
          <w:b/>
          <w:sz w:val="24"/>
          <w:szCs w:val="24"/>
          <w:lang w:val="en" w:eastAsia="en-AU"/>
        </w:rPr>
        <w:t>: Data related to human and economic losses from disasters in Indonesia that have occurred between 1980 and 2010</w:t>
      </w:r>
      <w:r w:rsidRPr="00174C42">
        <w:rPr>
          <w:rStyle w:val="FootnoteReference"/>
          <w:rFonts w:eastAsia="Times New Roman" w:cs="Times New Roman"/>
          <w:b/>
          <w:sz w:val="24"/>
          <w:szCs w:val="24"/>
          <w:lang w:val="en" w:eastAsia="en-AU"/>
        </w:rPr>
        <w:footnoteReference w:id="13"/>
      </w:r>
      <w:r w:rsidRPr="00174C42">
        <w:rPr>
          <w:sz w:val="24"/>
          <w:szCs w:val="24"/>
          <w:lang w:val="en" w:eastAsia="en-AU"/>
        </w:rPr>
        <w:t xml:space="preserve"> </w:t>
      </w:r>
    </w:p>
    <w:tbl>
      <w:tblPr>
        <w:tblStyle w:val="TableGrid"/>
        <w:tblW w:w="0" w:type="auto"/>
        <w:tblLook w:val="04A0" w:firstRow="1" w:lastRow="0" w:firstColumn="1" w:lastColumn="0" w:noHBand="0" w:noVBand="1"/>
      </w:tblPr>
      <w:tblGrid>
        <w:gridCol w:w="4508"/>
        <w:gridCol w:w="2717"/>
      </w:tblGrid>
      <w:tr w:rsidR="00ED3371" w:rsidRPr="00174C42" w14:paraId="27C4EE67" w14:textId="77777777" w:rsidTr="00D741F2">
        <w:tc>
          <w:tcPr>
            <w:tcW w:w="4508" w:type="dxa"/>
          </w:tcPr>
          <w:p w14:paraId="77BD4B1A" w14:textId="77777777" w:rsidR="00ED3371" w:rsidRPr="00174C42" w:rsidRDefault="00ED3371" w:rsidP="00B114FA">
            <w:pPr>
              <w:rPr>
                <w:rFonts w:eastAsia="Times New Roman" w:cs="Times New Roman"/>
                <w:sz w:val="24"/>
                <w:szCs w:val="24"/>
                <w:lang w:val="en" w:eastAsia="en-AU"/>
              </w:rPr>
            </w:pPr>
            <w:r w:rsidRPr="00174C42">
              <w:rPr>
                <w:rFonts w:eastAsia="Times New Roman" w:cs="Times New Roman"/>
                <w:sz w:val="24"/>
                <w:szCs w:val="24"/>
                <w:lang w:val="en" w:eastAsia="en-AU"/>
              </w:rPr>
              <w:t xml:space="preserve">Number of events </w:t>
            </w:r>
          </w:p>
        </w:tc>
        <w:tc>
          <w:tcPr>
            <w:tcW w:w="2717" w:type="dxa"/>
          </w:tcPr>
          <w:p w14:paraId="33F70D45" w14:textId="77777777" w:rsidR="00ED3371" w:rsidRPr="00174C42" w:rsidRDefault="00ED3371" w:rsidP="00B114FA">
            <w:pPr>
              <w:rPr>
                <w:rFonts w:eastAsia="Times New Roman" w:cs="Times New Roman"/>
                <w:sz w:val="24"/>
                <w:szCs w:val="24"/>
                <w:lang w:val="en" w:eastAsia="en-AU"/>
              </w:rPr>
            </w:pPr>
            <w:r w:rsidRPr="00174C42">
              <w:rPr>
                <w:rFonts w:eastAsia="Times New Roman" w:cs="Times New Roman"/>
                <w:sz w:val="24"/>
                <w:szCs w:val="24"/>
                <w:lang w:val="en" w:eastAsia="en-AU"/>
              </w:rPr>
              <w:t>321</w:t>
            </w:r>
          </w:p>
        </w:tc>
      </w:tr>
      <w:tr w:rsidR="00ED3371" w:rsidRPr="00174C42" w14:paraId="63DDD94C" w14:textId="77777777" w:rsidTr="00D741F2">
        <w:tc>
          <w:tcPr>
            <w:tcW w:w="4508" w:type="dxa"/>
          </w:tcPr>
          <w:p w14:paraId="48FAB331" w14:textId="77777777" w:rsidR="00ED3371" w:rsidRPr="00174C42" w:rsidRDefault="00ED3371" w:rsidP="00B114FA">
            <w:pPr>
              <w:rPr>
                <w:rFonts w:eastAsia="Times New Roman" w:cs="Times New Roman"/>
                <w:sz w:val="24"/>
                <w:szCs w:val="24"/>
                <w:lang w:val="en" w:eastAsia="en-AU"/>
              </w:rPr>
            </w:pPr>
            <w:r w:rsidRPr="00174C42">
              <w:rPr>
                <w:rFonts w:eastAsia="Times New Roman" w:cs="Times New Roman"/>
                <w:sz w:val="24"/>
                <w:szCs w:val="24"/>
                <w:lang w:val="en" w:eastAsia="en-AU"/>
              </w:rPr>
              <w:t xml:space="preserve">Number of people killed </w:t>
            </w:r>
          </w:p>
        </w:tc>
        <w:tc>
          <w:tcPr>
            <w:tcW w:w="2717" w:type="dxa"/>
          </w:tcPr>
          <w:p w14:paraId="54B94D78" w14:textId="77777777" w:rsidR="00ED3371" w:rsidRPr="00174C42" w:rsidRDefault="00ED3371" w:rsidP="00B114FA">
            <w:pPr>
              <w:rPr>
                <w:rFonts w:eastAsia="Times New Roman" w:cs="Times New Roman"/>
                <w:sz w:val="24"/>
                <w:szCs w:val="24"/>
                <w:lang w:val="en" w:eastAsia="en-AU"/>
              </w:rPr>
            </w:pPr>
            <w:r w:rsidRPr="00174C42">
              <w:rPr>
                <w:rFonts w:eastAsia="Times New Roman" w:cs="Times New Roman"/>
                <w:sz w:val="24"/>
                <w:szCs w:val="24"/>
                <w:lang w:val="en" w:eastAsia="en-AU"/>
              </w:rPr>
              <w:t>192,474</w:t>
            </w:r>
          </w:p>
        </w:tc>
      </w:tr>
      <w:tr w:rsidR="00ED3371" w:rsidRPr="00174C42" w14:paraId="4A7F692B" w14:textId="77777777" w:rsidTr="00D741F2">
        <w:tc>
          <w:tcPr>
            <w:tcW w:w="4508" w:type="dxa"/>
          </w:tcPr>
          <w:p w14:paraId="50E6173E" w14:textId="77777777" w:rsidR="00ED3371" w:rsidRPr="00174C42" w:rsidRDefault="00ED3371" w:rsidP="00B114FA">
            <w:pPr>
              <w:rPr>
                <w:rFonts w:eastAsia="Times New Roman" w:cs="Times New Roman"/>
                <w:sz w:val="24"/>
                <w:szCs w:val="24"/>
                <w:lang w:val="en" w:eastAsia="en-AU"/>
              </w:rPr>
            </w:pPr>
            <w:r w:rsidRPr="00174C42">
              <w:rPr>
                <w:rFonts w:eastAsia="Times New Roman" w:cs="Times New Roman"/>
                <w:sz w:val="24"/>
                <w:szCs w:val="24"/>
                <w:lang w:val="en" w:eastAsia="en-AU"/>
              </w:rPr>
              <w:t>Average killed per year</w:t>
            </w:r>
          </w:p>
        </w:tc>
        <w:tc>
          <w:tcPr>
            <w:tcW w:w="2717" w:type="dxa"/>
          </w:tcPr>
          <w:p w14:paraId="26168F2D" w14:textId="77777777" w:rsidR="00ED3371" w:rsidRPr="00174C42" w:rsidRDefault="00ED3371" w:rsidP="00B114FA">
            <w:pPr>
              <w:rPr>
                <w:rFonts w:eastAsia="Times New Roman" w:cs="Times New Roman"/>
                <w:sz w:val="24"/>
                <w:szCs w:val="24"/>
                <w:lang w:val="en" w:eastAsia="en-AU"/>
              </w:rPr>
            </w:pPr>
            <w:r w:rsidRPr="00174C42">
              <w:rPr>
                <w:rFonts w:eastAsia="Times New Roman" w:cs="Times New Roman"/>
                <w:sz w:val="24"/>
                <w:szCs w:val="24"/>
                <w:lang w:val="en" w:eastAsia="en-AU"/>
              </w:rPr>
              <w:t>6,209</w:t>
            </w:r>
          </w:p>
        </w:tc>
      </w:tr>
      <w:tr w:rsidR="00ED3371" w:rsidRPr="00174C42" w14:paraId="0EA2377C" w14:textId="77777777" w:rsidTr="00D741F2">
        <w:tc>
          <w:tcPr>
            <w:tcW w:w="4508" w:type="dxa"/>
          </w:tcPr>
          <w:p w14:paraId="14F27CD4" w14:textId="77777777" w:rsidR="00ED3371" w:rsidRPr="00174C42" w:rsidRDefault="00ED3371" w:rsidP="00B114FA">
            <w:pPr>
              <w:rPr>
                <w:rFonts w:eastAsia="Times New Roman" w:cs="Times New Roman"/>
                <w:sz w:val="24"/>
                <w:szCs w:val="24"/>
                <w:lang w:val="en" w:eastAsia="en-AU"/>
              </w:rPr>
            </w:pPr>
            <w:r w:rsidRPr="00174C42">
              <w:rPr>
                <w:rFonts w:eastAsia="Times New Roman" w:cs="Times New Roman"/>
                <w:sz w:val="24"/>
                <w:szCs w:val="24"/>
                <w:lang w:val="en" w:eastAsia="en-AU"/>
              </w:rPr>
              <w:t>Number of people affected</w:t>
            </w:r>
          </w:p>
        </w:tc>
        <w:tc>
          <w:tcPr>
            <w:tcW w:w="2717" w:type="dxa"/>
          </w:tcPr>
          <w:p w14:paraId="35AB7B34" w14:textId="77777777" w:rsidR="00ED3371" w:rsidRPr="00174C42" w:rsidRDefault="00ED3371" w:rsidP="00B114FA">
            <w:pPr>
              <w:rPr>
                <w:rFonts w:eastAsia="Times New Roman" w:cs="Times New Roman"/>
                <w:sz w:val="24"/>
                <w:szCs w:val="24"/>
                <w:lang w:val="en" w:eastAsia="en-AU"/>
              </w:rPr>
            </w:pPr>
            <w:r w:rsidRPr="00174C42">
              <w:rPr>
                <w:rFonts w:eastAsia="Times New Roman" w:cs="Times New Roman"/>
                <w:sz w:val="24"/>
                <w:szCs w:val="24"/>
                <w:lang w:val="en" w:eastAsia="en-AU"/>
              </w:rPr>
              <w:t>21,663,204</w:t>
            </w:r>
          </w:p>
        </w:tc>
      </w:tr>
      <w:tr w:rsidR="00ED3371" w:rsidRPr="00174C42" w14:paraId="5C81D9CF" w14:textId="77777777" w:rsidTr="00D741F2">
        <w:tc>
          <w:tcPr>
            <w:tcW w:w="4508" w:type="dxa"/>
          </w:tcPr>
          <w:p w14:paraId="00374F5E" w14:textId="77777777" w:rsidR="00ED3371" w:rsidRPr="00174C42" w:rsidRDefault="00ED3371" w:rsidP="00B114FA">
            <w:pPr>
              <w:rPr>
                <w:rFonts w:eastAsia="Times New Roman" w:cs="Times New Roman"/>
                <w:sz w:val="24"/>
                <w:szCs w:val="24"/>
                <w:lang w:val="en" w:eastAsia="en-AU"/>
              </w:rPr>
            </w:pPr>
            <w:r w:rsidRPr="00174C42">
              <w:rPr>
                <w:rFonts w:eastAsia="Times New Roman" w:cs="Times New Roman"/>
                <w:sz w:val="24"/>
                <w:szCs w:val="24"/>
                <w:lang w:val="en" w:eastAsia="en-AU"/>
              </w:rPr>
              <w:t>Average affected per year</w:t>
            </w:r>
          </w:p>
        </w:tc>
        <w:tc>
          <w:tcPr>
            <w:tcW w:w="2717" w:type="dxa"/>
          </w:tcPr>
          <w:p w14:paraId="64EC68EB" w14:textId="77777777" w:rsidR="00ED3371" w:rsidRPr="00174C42" w:rsidRDefault="00ED3371" w:rsidP="00B114FA">
            <w:pPr>
              <w:rPr>
                <w:rFonts w:eastAsia="Times New Roman" w:cs="Times New Roman"/>
                <w:sz w:val="24"/>
                <w:szCs w:val="24"/>
                <w:lang w:val="en" w:eastAsia="en-AU"/>
              </w:rPr>
            </w:pPr>
            <w:r w:rsidRPr="00174C42">
              <w:rPr>
                <w:rFonts w:eastAsia="Times New Roman" w:cs="Times New Roman"/>
                <w:sz w:val="24"/>
                <w:szCs w:val="24"/>
                <w:lang w:val="en" w:eastAsia="en-AU"/>
              </w:rPr>
              <w:t>698,813</w:t>
            </w:r>
          </w:p>
        </w:tc>
      </w:tr>
      <w:tr w:rsidR="00ED3371" w:rsidRPr="00174C42" w14:paraId="751C965B" w14:textId="77777777" w:rsidTr="00D741F2">
        <w:tc>
          <w:tcPr>
            <w:tcW w:w="4508" w:type="dxa"/>
          </w:tcPr>
          <w:p w14:paraId="7C8DCBA3" w14:textId="77777777" w:rsidR="00ED3371" w:rsidRPr="00174C42" w:rsidRDefault="00ED3371" w:rsidP="00B114FA">
            <w:pPr>
              <w:rPr>
                <w:rFonts w:eastAsia="Times New Roman" w:cs="Times New Roman"/>
                <w:sz w:val="24"/>
                <w:szCs w:val="24"/>
                <w:lang w:val="en" w:eastAsia="en-AU"/>
              </w:rPr>
            </w:pPr>
            <w:r w:rsidRPr="00174C42">
              <w:rPr>
                <w:rFonts w:eastAsia="Times New Roman" w:cs="Times New Roman"/>
                <w:sz w:val="24"/>
                <w:szCs w:val="24"/>
                <w:lang w:val="en" w:eastAsia="en-AU"/>
              </w:rPr>
              <w:t>Economic Damage (US$ x 1,000)</w:t>
            </w:r>
          </w:p>
        </w:tc>
        <w:tc>
          <w:tcPr>
            <w:tcW w:w="2717" w:type="dxa"/>
          </w:tcPr>
          <w:p w14:paraId="66CA2C91" w14:textId="77777777" w:rsidR="00ED3371" w:rsidRPr="00174C42" w:rsidRDefault="00ED3371" w:rsidP="00B114FA">
            <w:pPr>
              <w:rPr>
                <w:rFonts w:eastAsia="Times New Roman" w:cs="Times New Roman"/>
                <w:sz w:val="24"/>
                <w:szCs w:val="24"/>
                <w:lang w:val="en" w:eastAsia="en-AU"/>
              </w:rPr>
            </w:pPr>
            <w:r w:rsidRPr="00174C42">
              <w:rPr>
                <w:rFonts w:eastAsia="Times New Roman" w:cs="Times New Roman"/>
                <w:sz w:val="24"/>
                <w:szCs w:val="24"/>
                <w:lang w:val="en" w:eastAsia="en-AU"/>
              </w:rPr>
              <w:t>23,601,677</w:t>
            </w:r>
          </w:p>
        </w:tc>
      </w:tr>
      <w:tr w:rsidR="00ED3371" w:rsidRPr="00174C42" w14:paraId="3EAF9DFF" w14:textId="77777777" w:rsidTr="00D741F2">
        <w:tc>
          <w:tcPr>
            <w:tcW w:w="4508" w:type="dxa"/>
          </w:tcPr>
          <w:p w14:paraId="64C11F89" w14:textId="77777777" w:rsidR="00ED3371" w:rsidRPr="00174C42" w:rsidRDefault="00ED3371" w:rsidP="00B114FA">
            <w:pPr>
              <w:rPr>
                <w:rFonts w:eastAsia="Times New Roman" w:cs="Times New Roman"/>
                <w:sz w:val="24"/>
                <w:szCs w:val="24"/>
                <w:lang w:val="en" w:eastAsia="en-AU"/>
              </w:rPr>
            </w:pPr>
            <w:r w:rsidRPr="00174C42">
              <w:rPr>
                <w:rFonts w:eastAsia="Times New Roman" w:cs="Times New Roman"/>
                <w:sz w:val="24"/>
                <w:szCs w:val="24"/>
                <w:lang w:val="en" w:eastAsia="en-AU"/>
              </w:rPr>
              <w:t>Economic Damage per year (US$x1,000)</w:t>
            </w:r>
          </w:p>
        </w:tc>
        <w:tc>
          <w:tcPr>
            <w:tcW w:w="2717" w:type="dxa"/>
          </w:tcPr>
          <w:p w14:paraId="5FE3BBFC" w14:textId="77777777" w:rsidR="00ED3371" w:rsidRPr="00174C42" w:rsidRDefault="00ED3371" w:rsidP="00B114FA">
            <w:pPr>
              <w:rPr>
                <w:rFonts w:eastAsia="Times New Roman" w:cs="Times New Roman"/>
                <w:sz w:val="24"/>
                <w:szCs w:val="24"/>
                <w:lang w:val="en" w:eastAsia="en-AU"/>
              </w:rPr>
            </w:pPr>
            <w:r w:rsidRPr="00174C42">
              <w:rPr>
                <w:rFonts w:eastAsia="Times New Roman" w:cs="Times New Roman"/>
                <w:sz w:val="24"/>
                <w:szCs w:val="24"/>
                <w:lang w:val="en" w:eastAsia="en-AU"/>
              </w:rPr>
              <w:t>761,344</w:t>
            </w:r>
          </w:p>
        </w:tc>
      </w:tr>
    </w:tbl>
    <w:p w14:paraId="0CBFC3D8" w14:textId="77777777" w:rsidR="00244F07" w:rsidRPr="00174C42" w:rsidRDefault="00244F07" w:rsidP="00B114FA">
      <w:pPr>
        <w:rPr>
          <w:rFonts w:eastAsia="Times New Roman" w:cs="Times New Roman"/>
          <w:sz w:val="24"/>
          <w:szCs w:val="24"/>
          <w:u w:val="single"/>
          <w:lang w:val="en" w:eastAsia="en-AU"/>
        </w:rPr>
      </w:pPr>
    </w:p>
    <w:p w14:paraId="33C8F515" w14:textId="7237A1D6" w:rsidR="00244F07" w:rsidRPr="00174C42" w:rsidRDefault="00F13BEE" w:rsidP="00244F07">
      <w:pPr>
        <w:widowControl w:val="0"/>
        <w:tabs>
          <w:tab w:val="left" w:pos="220"/>
          <w:tab w:val="left" w:pos="720"/>
        </w:tabs>
        <w:autoSpaceDE w:val="0"/>
        <w:autoSpaceDN w:val="0"/>
        <w:adjustRightInd w:val="0"/>
        <w:spacing w:after="0"/>
        <w:rPr>
          <w:b/>
          <w:sz w:val="24"/>
          <w:szCs w:val="24"/>
        </w:rPr>
      </w:pPr>
      <w:r>
        <w:rPr>
          <w:b/>
          <w:sz w:val="24"/>
          <w:szCs w:val="24"/>
        </w:rPr>
        <w:t>2</w:t>
      </w:r>
      <w:r w:rsidR="00ED3371" w:rsidRPr="00174C42">
        <w:rPr>
          <w:b/>
          <w:sz w:val="24"/>
          <w:szCs w:val="24"/>
        </w:rPr>
        <w:t>.</w:t>
      </w:r>
      <w:r w:rsidR="00244F07" w:rsidRPr="00174C42">
        <w:rPr>
          <w:b/>
          <w:sz w:val="24"/>
          <w:szCs w:val="24"/>
        </w:rPr>
        <w:t xml:space="preserve">1.2 </w:t>
      </w:r>
      <w:r w:rsidR="00D741F2" w:rsidRPr="00174C42">
        <w:rPr>
          <w:b/>
          <w:sz w:val="24"/>
          <w:szCs w:val="24"/>
        </w:rPr>
        <w:tab/>
      </w:r>
      <w:proofErr w:type="gramStart"/>
      <w:r w:rsidR="00244F07" w:rsidRPr="00174C42">
        <w:rPr>
          <w:b/>
          <w:sz w:val="24"/>
          <w:szCs w:val="24"/>
        </w:rPr>
        <w:t>Aligns</w:t>
      </w:r>
      <w:proofErr w:type="gramEnd"/>
      <w:r w:rsidR="00244F07" w:rsidRPr="00174C42">
        <w:rPr>
          <w:b/>
          <w:sz w:val="24"/>
          <w:szCs w:val="24"/>
        </w:rPr>
        <w:t xml:space="preserve"> with Indonesia’s Top Development Priorities and Decentralisation Agenda</w:t>
      </w:r>
    </w:p>
    <w:p w14:paraId="5E0FC3A5" w14:textId="77777777" w:rsidR="00B114FA" w:rsidRPr="00174C42" w:rsidRDefault="00B114FA" w:rsidP="00244F07">
      <w:pPr>
        <w:widowControl w:val="0"/>
        <w:tabs>
          <w:tab w:val="left" w:pos="220"/>
          <w:tab w:val="left" w:pos="720"/>
        </w:tabs>
        <w:autoSpaceDE w:val="0"/>
        <w:autoSpaceDN w:val="0"/>
        <w:adjustRightInd w:val="0"/>
        <w:spacing w:after="0"/>
        <w:rPr>
          <w:b/>
          <w:sz w:val="24"/>
          <w:szCs w:val="24"/>
        </w:rPr>
      </w:pPr>
    </w:p>
    <w:p w14:paraId="37B4AB01" w14:textId="611C05EA" w:rsidR="00ED3371" w:rsidRPr="00174C42" w:rsidRDefault="00ED3371" w:rsidP="00ED3371">
      <w:pPr>
        <w:widowControl w:val="0"/>
        <w:tabs>
          <w:tab w:val="left" w:pos="220"/>
          <w:tab w:val="left" w:pos="720"/>
        </w:tabs>
        <w:autoSpaceDE w:val="0"/>
        <w:autoSpaceDN w:val="0"/>
        <w:adjustRightInd w:val="0"/>
        <w:spacing w:after="0"/>
        <w:rPr>
          <w:sz w:val="24"/>
          <w:szCs w:val="24"/>
        </w:rPr>
      </w:pPr>
      <w:r w:rsidRPr="00174C42">
        <w:rPr>
          <w:sz w:val="24"/>
          <w:szCs w:val="24"/>
        </w:rPr>
        <w:t xml:space="preserve">Disaster risk management is a top development priority for the Government of Indonesia, and is included as a key priority in Indonesia’s RPJMN 2010-2014 National Medium-Term Development Plan. Since 2007, Indonesia has significantly strengthened its national capacities to manage disaster risks. The </w:t>
      </w:r>
      <w:r w:rsidR="00E7132A">
        <w:rPr>
          <w:sz w:val="24"/>
          <w:szCs w:val="24"/>
        </w:rPr>
        <w:t>review</w:t>
      </w:r>
      <w:r w:rsidRPr="00174C42">
        <w:rPr>
          <w:sz w:val="24"/>
          <w:szCs w:val="24"/>
        </w:rPr>
        <w:t xml:space="preserve"> team considers AIFDR has demonstrated strong relevance </w:t>
      </w:r>
      <w:r w:rsidR="00174E40">
        <w:rPr>
          <w:sz w:val="24"/>
          <w:szCs w:val="24"/>
        </w:rPr>
        <w:t>by aligning</w:t>
      </w:r>
      <w:r w:rsidRPr="00174C42">
        <w:rPr>
          <w:sz w:val="24"/>
          <w:szCs w:val="24"/>
        </w:rPr>
        <w:t xml:space="preserve"> support</w:t>
      </w:r>
      <w:r w:rsidR="00C479A4">
        <w:rPr>
          <w:sz w:val="24"/>
          <w:szCs w:val="24"/>
        </w:rPr>
        <w:t xml:space="preserve"> </w:t>
      </w:r>
      <w:r w:rsidR="00174E40">
        <w:rPr>
          <w:sz w:val="24"/>
          <w:szCs w:val="24"/>
        </w:rPr>
        <w:t>with</w:t>
      </w:r>
      <w:r w:rsidRPr="00174C42">
        <w:rPr>
          <w:sz w:val="24"/>
          <w:szCs w:val="24"/>
        </w:rPr>
        <w:t xml:space="preserve"> implementation of core aspects of Indonesia’s </w:t>
      </w:r>
      <w:r w:rsidR="005E33E7">
        <w:rPr>
          <w:sz w:val="24"/>
          <w:szCs w:val="24"/>
        </w:rPr>
        <w:t>disaster management</w:t>
      </w:r>
      <w:r w:rsidR="005E33E7" w:rsidRPr="00174C42">
        <w:rPr>
          <w:sz w:val="24"/>
          <w:szCs w:val="24"/>
        </w:rPr>
        <w:t xml:space="preserve"> </w:t>
      </w:r>
      <w:r w:rsidRPr="00174C42">
        <w:rPr>
          <w:sz w:val="24"/>
          <w:szCs w:val="24"/>
        </w:rPr>
        <w:t>architecture, and help</w:t>
      </w:r>
      <w:r w:rsidR="00174E40">
        <w:rPr>
          <w:sz w:val="24"/>
          <w:szCs w:val="24"/>
        </w:rPr>
        <w:t xml:space="preserve">ing </w:t>
      </w:r>
      <w:r w:rsidRPr="00174C42">
        <w:rPr>
          <w:sz w:val="24"/>
          <w:szCs w:val="24"/>
        </w:rPr>
        <w:t xml:space="preserve">strengthen the capacity of BNPB to perform its mandated function. </w:t>
      </w:r>
      <w:r w:rsidR="007038A0">
        <w:rPr>
          <w:sz w:val="24"/>
          <w:szCs w:val="24"/>
        </w:rPr>
        <w:t xml:space="preserve">Furthermore, </w:t>
      </w:r>
      <w:r w:rsidR="00B66624" w:rsidRPr="00174C42">
        <w:rPr>
          <w:rFonts w:cs="Century"/>
          <w:sz w:val="24"/>
          <w:szCs w:val="24"/>
        </w:rPr>
        <w:t xml:space="preserve">Australian support </w:t>
      </w:r>
      <w:r w:rsidR="007038A0">
        <w:rPr>
          <w:rFonts w:cs="Century"/>
          <w:sz w:val="24"/>
          <w:szCs w:val="24"/>
        </w:rPr>
        <w:t>was</w:t>
      </w:r>
      <w:r w:rsidR="00B66624" w:rsidRPr="00174C42">
        <w:rPr>
          <w:rFonts w:cs="Century"/>
          <w:sz w:val="24"/>
          <w:szCs w:val="24"/>
        </w:rPr>
        <w:t xml:space="preserve"> deployed at a critically important time when other donors were only providing relatively minor support.</w:t>
      </w:r>
    </w:p>
    <w:p w14:paraId="29111743" w14:textId="77777777" w:rsidR="00ED3371" w:rsidRPr="00174C42" w:rsidRDefault="00ED3371" w:rsidP="00ED3371">
      <w:pPr>
        <w:widowControl w:val="0"/>
        <w:tabs>
          <w:tab w:val="left" w:pos="220"/>
          <w:tab w:val="left" w:pos="720"/>
        </w:tabs>
        <w:autoSpaceDE w:val="0"/>
        <w:autoSpaceDN w:val="0"/>
        <w:adjustRightInd w:val="0"/>
        <w:spacing w:after="0"/>
        <w:rPr>
          <w:sz w:val="24"/>
          <w:szCs w:val="24"/>
        </w:rPr>
      </w:pPr>
    </w:p>
    <w:p w14:paraId="42C01D8F" w14:textId="0052C320" w:rsidR="00ED3371" w:rsidRPr="00174C42" w:rsidRDefault="00ED3371" w:rsidP="00ED3371">
      <w:pPr>
        <w:widowControl w:val="0"/>
        <w:tabs>
          <w:tab w:val="left" w:pos="220"/>
          <w:tab w:val="left" w:pos="720"/>
        </w:tabs>
        <w:autoSpaceDE w:val="0"/>
        <w:autoSpaceDN w:val="0"/>
        <w:adjustRightInd w:val="0"/>
        <w:spacing w:after="0"/>
        <w:rPr>
          <w:sz w:val="24"/>
          <w:szCs w:val="24"/>
        </w:rPr>
      </w:pPr>
      <w:r w:rsidRPr="00174C42">
        <w:rPr>
          <w:sz w:val="24"/>
          <w:szCs w:val="24"/>
        </w:rPr>
        <w:t>AIFDR has over the course of its 5 year timeframe increasingly supported sub-national DRM initiatives. Through partnerships with CSO’s, NGO’s and faith-based organisations</w:t>
      </w:r>
      <w:r w:rsidR="007038A0">
        <w:rPr>
          <w:sz w:val="24"/>
          <w:szCs w:val="24"/>
        </w:rPr>
        <w:t>,</w:t>
      </w:r>
      <w:r w:rsidRPr="00174C42">
        <w:rPr>
          <w:sz w:val="24"/>
          <w:szCs w:val="24"/>
        </w:rPr>
        <w:t xml:space="preserve"> AIFDR has assisted </w:t>
      </w:r>
      <w:r w:rsidR="007038A0">
        <w:rPr>
          <w:sz w:val="24"/>
          <w:szCs w:val="24"/>
        </w:rPr>
        <w:t>an estimated 200</w:t>
      </w:r>
      <w:r w:rsidR="004C6D0A">
        <w:rPr>
          <w:sz w:val="24"/>
          <w:szCs w:val="24"/>
        </w:rPr>
        <w:t xml:space="preserve"> </w:t>
      </w:r>
      <w:r w:rsidRPr="00174C42">
        <w:rPr>
          <w:sz w:val="24"/>
          <w:szCs w:val="24"/>
        </w:rPr>
        <w:t xml:space="preserve">vulnerable communities </w:t>
      </w:r>
      <w:r w:rsidR="007038A0">
        <w:rPr>
          <w:sz w:val="24"/>
          <w:szCs w:val="24"/>
        </w:rPr>
        <w:t xml:space="preserve">in 31 districts </w:t>
      </w:r>
      <w:r w:rsidRPr="00174C42">
        <w:rPr>
          <w:sz w:val="24"/>
          <w:szCs w:val="24"/>
        </w:rPr>
        <w:t>to strengthen their disaster preparedness capacities often in partnership with local authorities. Through AIFDR’s Training and Outreach component</w:t>
      </w:r>
      <w:r w:rsidR="007038A0">
        <w:rPr>
          <w:sz w:val="24"/>
          <w:szCs w:val="24"/>
        </w:rPr>
        <w:t>,</w:t>
      </w:r>
      <w:r w:rsidRPr="00174C42">
        <w:rPr>
          <w:sz w:val="24"/>
          <w:szCs w:val="24"/>
        </w:rPr>
        <w:t xml:space="preserve"> technical advisers have been deployed to provinces to help build the capacity of BPBD’s, and national training curricula</w:t>
      </w:r>
      <w:r w:rsidRPr="00174C42" w:rsidDel="00CA207D">
        <w:rPr>
          <w:sz w:val="24"/>
          <w:szCs w:val="24"/>
        </w:rPr>
        <w:t xml:space="preserve"> </w:t>
      </w:r>
      <w:r w:rsidRPr="00174C42">
        <w:rPr>
          <w:sz w:val="24"/>
          <w:szCs w:val="24"/>
        </w:rPr>
        <w:t>ha</w:t>
      </w:r>
      <w:r w:rsidR="007038A0">
        <w:rPr>
          <w:sz w:val="24"/>
          <w:szCs w:val="24"/>
        </w:rPr>
        <w:t>ve</w:t>
      </w:r>
      <w:r w:rsidRPr="00174C42">
        <w:rPr>
          <w:sz w:val="24"/>
          <w:szCs w:val="24"/>
        </w:rPr>
        <w:t xml:space="preserve"> been rolled out with the aim of supporting sub-national government</w:t>
      </w:r>
      <w:r w:rsidR="007038A0">
        <w:rPr>
          <w:sz w:val="24"/>
          <w:szCs w:val="24"/>
        </w:rPr>
        <w:t>s</w:t>
      </w:r>
      <w:r w:rsidRPr="00174C42">
        <w:rPr>
          <w:sz w:val="24"/>
          <w:szCs w:val="24"/>
        </w:rPr>
        <w:t xml:space="preserve"> to provide credible DRM services to their constituents. </w:t>
      </w:r>
      <w:r w:rsidR="007038A0">
        <w:rPr>
          <w:sz w:val="24"/>
          <w:szCs w:val="24"/>
        </w:rPr>
        <w:t xml:space="preserve">The review team therefore considers that </w:t>
      </w:r>
      <w:r w:rsidR="007038A0" w:rsidRPr="00174C42">
        <w:rPr>
          <w:sz w:val="24"/>
          <w:szCs w:val="24"/>
        </w:rPr>
        <w:t xml:space="preserve">AIFDR </w:t>
      </w:r>
      <w:r w:rsidR="007038A0">
        <w:rPr>
          <w:sz w:val="24"/>
          <w:szCs w:val="24"/>
        </w:rPr>
        <w:t>has contributed</w:t>
      </w:r>
      <w:r w:rsidR="007038A0" w:rsidRPr="00174C42">
        <w:rPr>
          <w:sz w:val="24"/>
          <w:szCs w:val="24"/>
        </w:rPr>
        <w:t xml:space="preserve"> to </w:t>
      </w:r>
      <w:r w:rsidR="007038A0">
        <w:rPr>
          <w:sz w:val="24"/>
          <w:szCs w:val="24"/>
        </w:rPr>
        <w:t xml:space="preserve">GoI’s </w:t>
      </w:r>
      <w:r w:rsidR="007038A0" w:rsidRPr="00174C42">
        <w:rPr>
          <w:sz w:val="24"/>
          <w:szCs w:val="24"/>
        </w:rPr>
        <w:t>decentralisation</w:t>
      </w:r>
      <w:r w:rsidR="007038A0">
        <w:rPr>
          <w:sz w:val="24"/>
          <w:szCs w:val="24"/>
        </w:rPr>
        <w:t xml:space="preserve"> agenda</w:t>
      </w:r>
      <w:r w:rsidR="007038A0" w:rsidRPr="00174C42">
        <w:rPr>
          <w:sz w:val="24"/>
          <w:szCs w:val="24"/>
        </w:rPr>
        <w:t>.</w:t>
      </w:r>
    </w:p>
    <w:p w14:paraId="5F3AC6AC" w14:textId="77777777" w:rsidR="00ED3371" w:rsidRPr="00174C42" w:rsidRDefault="00ED3371" w:rsidP="00ED3371">
      <w:pPr>
        <w:widowControl w:val="0"/>
        <w:tabs>
          <w:tab w:val="left" w:pos="220"/>
          <w:tab w:val="left" w:pos="720"/>
        </w:tabs>
        <w:autoSpaceDE w:val="0"/>
        <w:autoSpaceDN w:val="0"/>
        <w:adjustRightInd w:val="0"/>
        <w:spacing w:after="0"/>
        <w:rPr>
          <w:sz w:val="24"/>
          <w:szCs w:val="24"/>
        </w:rPr>
      </w:pPr>
    </w:p>
    <w:p w14:paraId="4BE2215B" w14:textId="02145235" w:rsidR="00D741F2" w:rsidRPr="00174C42" w:rsidRDefault="00F13BEE" w:rsidP="00D741F2">
      <w:pPr>
        <w:spacing w:after="0"/>
        <w:rPr>
          <w:b/>
          <w:sz w:val="24"/>
          <w:szCs w:val="24"/>
        </w:rPr>
      </w:pPr>
      <w:r>
        <w:rPr>
          <w:b/>
          <w:sz w:val="24"/>
          <w:szCs w:val="24"/>
        </w:rPr>
        <w:t>2</w:t>
      </w:r>
      <w:r w:rsidR="00D741F2" w:rsidRPr="00174C42">
        <w:rPr>
          <w:b/>
          <w:sz w:val="24"/>
          <w:szCs w:val="24"/>
        </w:rPr>
        <w:t>.1.3</w:t>
      </w:r>
      <w:r w:rsidR="00D741F2" w:rsidRPr="00174C42">
        <w:rPr>
          <w:sz w:val="24"/>
          <w:szCs w:val="24"/>
        </w:rPr>
        <w:t xml:space="preserve"> </w:t>
      </w:r>
      <w:r w:rsidR="00D741F2" w:rsidRPr="00174C42">
        <w:rPr>
          <w:sz w:val="24"/>
          <w:szCs w:val="24"/>
        </w:rPr>
        <w:tab/>
      </w:r>
      <w:r w:rsidR="00D741F2" w:rsidRPr="00174C42">
        <w:rPr>
          <w:b/>
          <w:sz w:val="24"/>
          <w:szCs w:val="24"/>
        </w:rPr>
        <w:t>Were AIFDR’s resource allocations the most relevant and appropriate</w:t>
      </w:r>
      <w:r w:rsidR="007038A0">
        <w:rPr>
          <w:b/>
          <w:sz w:val="24"/>
          <w:szCs w:val="24"/>
        </w:rPr>
        <w:t>?</w:t>
      </w:r>
    </w:p>
    <w:p w14:paraId="29E0C78F" w14:textId="77777777" w:rsidR="00E77873" w:rsidRPr="00174C42" w:rsidRDefault="00E77873" w:rsidP="00D741F2">
      <w:pPr>
        <w:spacing w:after="0"/>
        <w:rPr>
          <w:b/>
          <w:sz w:val="24"/>
          <w:szCs w:val="24"/>
        </w:rPr>
      </w:pPr>
    </w:p>
    <w:p w14:paraId="3D268609" w14:textId="62146D8E" w:rsidR="00D741F2" w:rsidRPr="00174C42" w:rsidRDefault="00D741F2" w:rsidP="00D741F2">
      <w:pPr>
        <w:rPr>
          <w:sz w:val="24"/>
          <w:szCs w:val="24"/>
        </w:rPr>
      </w:pPr>
      <w:r w:rsidRPr="00174C42">
        <w:rPr>
          <w:sz w:val="24"/>
          <w:szCs w:val="24"/>
        </w:rPr>
        <w:t xml:space="preserve">The </w:t>
      </w:r>
      <w:r w:rsidR="00F13BEE">
        <w:rPr>
          <w:sz w:val="24"/>
          <w:szCs w:val="24"/>
        </w:rPr>
        <w:t>review</w:t>
      </w:r>
      <w:r w:rsidRPr="00174C42">
        <w:rPr>
          <w:sz w:val="24"/>
          <w:szCs w:val="24"/>
        </w:rPr>
        <w:t xml:space="preserve"> team assessed each AIFDR component, and components grouped as a ‘whole’, as highly relevant to AIFDR’s goal to </w:t>
      </w:r>
      <w:r w:rsidRPr="00174C42">
        <w:rPr>
          <w:i/>
          <w:sz w:val="24"/>
          <w:szCs w:val="24"/>
        </w:rPr>
        <w:t>“strengthen national and local capacity in disaster management in Indonesia, and promotion of a more disaster resilient region</w:t>
      </w:r>
      <w:r w:rsidRPr="00174C42">
        <w:rPr>
          <w:sz w:val="24"/>
          <w:szCs w:val="24"/>
        </w:rPr>
        <w:t xml:space="preserve">”. </w:t>
      </w:r>
    </w:p>
    <w:p w14:paraId="09F0E948" w14:textId="52CA4CD6" w:rsidR="00D741F2" w:rsidRPr="00174C42" w:rsidRDefault="00D741F2" w:rsidP="00D741F2">
      <w:pPr>
        <w:rPr>
          <w:sz w:val="24"/>
          <w:szCs w:val="24"/>
        </w:rPr>
      </w:pPr>
      <w:r w:rsidRPr="00174C42">
        <w:rPr>
          <w:sz w:val="24"/>
          <w:szCs w:val="24"/>
        </w:rPr>
        <w:t>The ‘</w:t>
      </w:r>
      <w:r w:rsidRPr="00174C42">
        <w:rPr>
          <w:sz w:val="24"/>
          <w:szCs w:val="24"/>
          <w:u w:val="single"/>
        </w:rPr>
        <w:t xml:space="preserve">Risk and Vulnerability’ </w:t>
      </w:r>
      <w:r w:rsidRPr="00174C42">
        <w:rPr>
          <w:sz w:val="24"/>
          <w:szCs w:val="24"/>
        </w:rPr>
        <w:t>component with its strong focus on risks associated with volcano, earthquake and tsunamis hazards is highly relevant given Indonesia’s disaster profile. Earthquakes (including tsunami’s) are responsible for the highest mortality rates, and economic losses of all disaster types (</w:t>
      </w:r>
      <w:r w:rsidR="001426FB" w:rsidRPr="006E248F">
        <w:rPr>
          <w:sz w:val="24"/>
          <w:szCs w:val="24"/>
        </w:rPr>
        <w:t>refer to</w:t>
      </w:r>
      <w:r w:rsidRPr="006E248F">
        <w:rPr>
          <w:sz w:val="24"/>
          <w:szCs w:val="24"/>
        </w:rPr>
        <w:t xml:space="preserve"> Chart 1 </w:t>
      </w:r>
      <w:r w:rsidR="001C3CBE" w:rsidRPr="006E248F">
        <w:rPr>
          <w:sz w:val="24"/>
          <w:szCs w:val="24"/>
        </w:rPr>
        <w:t xml:space="preserve">on pg. 11 and Chart 2 on </w:t>
      </w:r>
      <w:r w:rsidR="003A5B82" w:rsidRPr="006E248F">
        <w:rPr>
          <w:sz w:val="24"/>
          <w:szCs w:val="24"/>
        </w:rPr>
        <w:t>pg.</w:t>
      </w:r>
      <w:r w:rsidR="001426FB" w:rsidRPr="006E248F">
        <w:rPr>
          <w:sz w:val="24"/>
          <w:szCs w:val="24"/>
        </w:rPr>
        <w:t xml:space="preserve"> </w:t>
      </w:r>
      <w:r w:rsidR="001C3CBE" w:rsidRPr="006E248F">
        <w:rPr>
          <w:sz w:val="24"/>
          <w:szCs w:val="24"/>
        </w:rPr>
        <w:t>12</w:t>
      </w:r>
      <w:r w:rsidRPr="00174C42">
        <w:rPr>
          <w:sz w:val="24"/>
          <w:szCs w:val="24"/>
        </w:rPr>
        <w:t xml:space="preserve">) in Indonesia. Before AIFDR, Indonesia’s science agencies had limited capability to produce reliable hazard information. Consequently, BNPB and communities had little or no access to hazard information generated through scientific enquiry to inform </w:t>
      </w:r>
      <w:r w:rsidR="00974ED4">
        <w:rPr>
          <w:sz w:val="24"/>
          <w:szCs w:val="24"/>
        </w:rPr>
        <w:t>DRR and DRM</w:t>
      </w:r>
      <w:r w:rsidR="00974ED4" w:rsidRPr="00174C42">
        <w:rPr>
          <w:sz w:val="24"/>
          <w:szCs w:val="24"/>
        </w:rPr>
        <w:t xml:space="preserve"> </w:t>
      </w:r>
      <w:r w:rsidRPr="00174C42">
        <w:rPr>
          <w:sz w:val="24"/>
          <w:szCs w:val="24"/>
        </w:rPr>
        <w:t>decision making. Through AIFDR’s support, BNPB has substantially improved access to volcano, earthquake and tsunami hazard information, and more recently has had access to several tools that translate the science into useful products for disaster managers</w:t>
      </w:r>
      <w:r w:rsidR="004C6D0A">
        <w:rPr>
          <w:sz w:val="24"/>
          <w:szCs w:val="24"/>
        </w:rPr>
        <w:t>,</w:t>
      </w:r>
      <w:r w:rsidRPr="00174C42">
        <w:rPr>
          <w:sz w:val="24"/>
          <w:szCs w:val="24"/>
        </w:rPr>
        <w:t xml:space="preserve"> e</w:t>
      </w:r>
      <w:r w:rsidR="004C6D0A">
        <w:rPr>
          <w:sz w:val="24"/>
          <w:szCs w:val="24"/>
        </w:rPr>
        <w:t>.</w:t>
      </w:r>
      <w:r w:rsidRPr="00174C42">
        <w:rPr>
          <w:sz w:val="24"/>
          <w:szCs w:val="24"/>
        </w:rPr>
        <w:t>g</w:t>
      </w:r>
      <w:r w:rsidR="004C6D0A">
        <w:rPr>
          <w:sz w:val="24"/>
          <w:szCs w:val="24"/>
        </w:rPr>
        <w:t>.</w:t>
      </w:r>
      <w:r w:rsidRPr="00174C42">
        <w:rPr>
          <w:sz w:val="24"/>
          <w:szCs w:val="24"/>
        </w:rPr>
        <w:t xml:space="preserve"> InaSAFE and Open Street Map</w:t>
      </w:r>
      <w:r w:rsidR="004C6D0A">
        <w:rPr>
          <w:sz w:val="24"/>
          <w:szCs w:val="24"/>
        </w:rPr>
        <w:t xml:space="preserve"> (OSM</w:t>
      </w:r>
      <w:r w:rsidRPr="00174C42">
        <w:rPr>
          <w:sz w:val="24"/>
          <w:szCs w:val="24"/>
        </w:rPr>
        <w:t xml:space="preserve">). It is ‘early days’ though in terms of the development </w:t>
      </w:r>
      <w:r w:rsidR="00B81DAD">
        <w:rPr>
          <w:sz w:val="24"/>
          <w:szCs w:val="24"/>
        </w:rPr>
        <w:t xml:space="preserve">and </w:t>
      </w:r>
      <w:r w:rsidR="00C479A4">
        <w:rPr>
          <w:sz w:val="24"/>
          <w:szCs w:val="24"/>
        </w:rPr>
        <w:t>trialling</w:t>
      </w:r>
      <w:r w:rsidR="00B81DAD">
        <w:rPr>
          <w:sz w:val="24"/>
          <w:szCs w:val="24"/>
        </w:rPr>
        <w:t xml:space="preserve"> </w:t>
      </w:r>
      <w:r w:rsidRPr="00174C42">
        <w:rPr>
          <w:sz w:val="24"/>
          <w:szCs w:val="24"/>
        </w:rPr>
        <w:t>of these tools</w:t>
      </w:r>
      <w:r w:rsidR="00B81DAD">
        <w:rPr>
          <w:sz w:val="24"/>
          <w:szCs w:val="24"/>
        </w:rPr>
        <w:t xml:space="preserve">, </w:t>
      </w:r>
      <w:r w:rsidRPr="00174C42">
        <w:rPr>
          <w:sz w:val="24"/>
          <w:szCs w:val="24"/>
        </w:rPr>
        <w:t xml:space="preserve">and </w:t>
      </w:r>
      <w:r w:rsidR="007038A0">
        <w:rPr>
          <w:sz w:val="24"/>
          <w:szCs w:val="24"/>
        </w:rPr>
        <w:t>supporting</w:t>
      </w:r>
      <w:r w:rsidRPr="00174C42">
        <w:rPr>
          <w:sz w:val="24"/>
          <w:szCs w:val="24"/>
        </w:rPr>
        <w:t xml:space="preserve"> government and civil society to use</w:t>
      </w:r>
      <w:r w:rsidR="00B81DAD">
        <w:rPr>
          <w:sz w:val="24"/>
          <w:szCs w:val="24"/>
        </w:rPr>
        <w:t xml:space="preserve"> tools appropriately</w:t>
      </w:r>
      <w:r w:rsidRPr="00174C42">
        <w:rPr>
          <w:sz w:val="24"/>
          <w:szCs w:val="24"/>
        </w:rPr>
        <w:t xml:space="preserve"> </w:t>
      </w:r>
      <w:r w:rsidR="00B81DAD">
        <w:rPr>
          <w:sz w:val="24"/>
          <w:szCs w:val="24"/>
        </w:rPr>
        <w:t>is a core component of AIFDR Phase 2</w:t>
      </w:r>
      <w:r w:rsidRPr="00174C42">
        <w:rPr>
          <w:sz w:val="24"/>
          <w:szCs w:val="24"/>
        </w:rPr>
        <w:t>.</w:t>
      </w:r>
    </w:p>
    <w:p w14:paraId="0D7B7C76" w14:textId="35F2894E" w:rsidR="00D741F2" w:rsidRPr="00174C42" w:rsidRDefault="00D741F2" w:rsidP="00D741F2">
      <w:pPr>
        <w:rPr>
          <w:sz w:val="24"/>
          <w:szCs w:val="24"/>
        </w:rPr>
      </w:pPr>
      <w:r w:rsidRPr="00174C42">
        <w:rPr>
          <w:sz w:val="24"/>
          <w:szCs w:val="24"/>
        </w:rPr>
        <w:t xml:space="preserve">The </w:t>
      </w:r>
      <w:r w:rsidRPr="00EC4517">
        <w:rPr>
          <w:sz w:val="24"/>
          <w:szCs w:val="24"/>
          <w:u w:val="single"/>
        </w:rPr>
        <w:t>‘Training and Outreach’</w:t>
      </w:r>
      <w:r w:rsidR="001426FB" w:rsidRPr="00174C42">
        <w:rPr>
          <w:sz w:val="24"/>
          <w:szCs w:val="24"/>
        </w:rPr>
        <w:t xml:space="preserve"> </w:t>
      </w:r>
      <w:r w:rsidRPr="00174C42">
        <w:rPr>
          <w:sz w:val="24"/>
          <w:szCs w:val="24"/>
        </w:rPr>
        <w:t xml:space="preserve">component is highly relevant given that an estimated 40% of the country’s population is exposed to a wide range of hazards across a vast archipelago with limited central government capacity to reach </w:t>
      </w:r>
      <w:r w:rsidR="007038A0">
        <w:rPr>
          <w:sz w:val="24"/>
          <w:szCs w:val="24"/>
        </w:rPr>
        <w:t xml:space="preserve">remote </w:t>
      </w:r>
      <w:r w:rsidRPr="00174C42">
        <w:rPr>
          <w:sz w:val="24"/>
          <w:szCs w:val="24"/>
        </w:rPr>
        <w:t xml:space="preserve">communities. Strengthening local government and community DRM capacities is </w:t>
      </w:r>
      <w:r w:rsidR="007038A0">
        <w:rPr>
          <w:sz w:val="24"/>
          <w:szCs w:val="24"/>
        </w:rPr>
        <w:t xml:space="preserve">therefore </w:t>
      </w:r>
      <w:r w:rsidRPr="00174C42">
        <w:rPr>
          <w:sz w:val="24"/>
          <w:szCs w:val="24"/>
        </w:rPr>
        <w:t xml:space="preserve">recognised by GoI as critical as </w:t>
      </w:r>
      <w:r w:rsidR="007038A0">
        <w:rPr>
          <w:sz w:val="24"/>
          <w:szCs w:val="24"/>
        </w:rPr>
        <w:t xml:space="preserve">they </w:t>
      </w:r>
      <w:r w:rsidRPr="00174C42">
        <w:rPr>
          <w:sz w:val="24"/>
          <w:szCs w:val="24"/>
        </w:rPr>
        <w:t xml:space="preserve">are the </w:t>
      </w:r>
      <w:r w:rsidR="007038A0">
        <w:rPr>
          <w:sz w:val="24"/>
          <w:szCs w:val="24"/>
        </w:rPr>
        <w:t xml:space="preserve">drivers of </w:t>
      </w:r>
      <w:r w:rsidR="00422E3D">
        <w:rPr>
          <w:sz w:val="24"/>
          <w:szCs w:val="24"/>
        </w:rPr>
        <w:t xml:space="preserve">DRM </w:t>
      </w:r>
      <w:r w:rsidR="007038A0">
        <w:rPr>
          <w:sz w:val="24"/>
          <w:szCs w:val="24"/>
        </w:rPr>
        <w:t xml:space="preserve">efforts and </w:t>
      </w:r>
      <w:r w:rsidRPr="00174C42">
        <w:rPr>
          <w:sz w:val="24"/>
          <w:szCs w:val="24"/>
        </w:rPr>
        <w:t>first responders in times of crisis</w:t>
      </w:r>
      <w:r w:rsidR="007038A0">
        <w:rPr>
          <w:sz w:val="24"/>
          <w:szCs w:val="24"/>
        </w:rPr>
        <w:t xml:space="preserve">. </w:t>
      </w:r>
      <w:proofErr w:type="gramStart"/>
      <w:r w:rsidR="007038A0">
        <w:rPr>
          <w:sz w:val="24"/>
          <w:szCs w:val="24"/>
        </w:rPr>
        <w:t>P</w:t>
      </w:r>
      <w:r w:rsidRPr="00174C42">
        <w:rPr>
          <w:sz w:val="24"/>
          <w:szCs w:val="24"/>
        </w:rPr>
        <w:t>lacing them at the centre of response plans</w:t>
      </w:r>
      <w:r w:rsidR="007038A0">
        <w:rPr>
          <w:sz w:val="24"/>
          <w:szCs w:val="24"/>
        </w:rPr>
        <w:t>,</w:t>
      </w:r>
      <w:r w:rsidRPr="00174C42">
        <w:rPr>
          <w:sz w:val="24"/>
          <w:szCs w:val="24"/>
        </w:rPr>
        <w:t xml:space="preserve"> building their disaster resilience</w:t>
      </w:r>
      <w:r w:rsidR="007038A0">
        <w:rPr>
          <w:sz w:val="24"/>
          <w:szCs w:val="24"/>
        </w:rPr>
        <w:t xml:space="preserve"> and enhancing their capacity for effective risk reduction and response</w:t>
      </w:r>
      <w:r w:rsidRPr="00174C42">
        <w:rPr>
          <w:sz w:val="24"/>
          <w:szCs w:val="24"/>
        </w:rPr>
        <w:t xml:space="preserve"> makes good development sense.</w:t>
      </w:r>
      <w:proofErr w:type="gramEnd"/>
      <w:r w:rsidRPr="00174C42">
        <w:rPr>
          <w:sz w:val="24"/>
          <w:szCs w:val="24"/>
        </w:rPr>
        <w:t xml:space="preserve"> </w:t>
      </w:r>
    </w:p>
    <w:p w14:paraId="556269B2" w14:textId="27B53485" w:rsidR="00D741F2" w:rsidRPr="00174C42" w:rsidRDefault="00D741F2" w:rsidP="00D741F2">
      <w:pPr>
        <w:pStyle w:val="CommentText"/>
        <w:rPr>
          <w:sz w:val="24"/>
          <w:szCs w:val="24"/>
        </w:rPr>
      </w:pPr>
      <w:r w:rsidRPr="00174C42">
        <w:rPr>
          <w:sz w:val="24"/>
          <w:szCs w:val="24"/>
        </w:rPr>
        <w:t>The ‘</w:t>
      </w:r>
      <w:r w:rsidRPr="00174C42">
        <w:rPr>
          <w:sz w:val="24"/>
          <w:szCs w:val="24"/>
          <w:u w:val="single"/>
        </w:rPr>
        <w:t>Partnerships</w:t>
      </w:r>
      <w:r w:rsidRPr="00174C42">
        <w:rPr>
          <w:sz w:val="24"/>
          <w:szCs w:val="24"/>
        </w:rPr>
        <w:t>’ component is highly relevant as it supports AIFDR’s Outreach partners (Oxfam, ARC and IOM etc) to translate GoI’s DRM policies into practical action, and facilitate</w:t>
      </w:r>
      <w:r w:rsidR="004C6D0A">
        <w:rPr>
          <w:sz w:val="24"/>
          <w:szCs w:val="24"/>
        </w:rPr>
        <w:t>s</w:t>
      </w:r>
      <w:r w:rsidRPr="00174C42">
        <w:rPr>
          <w:sz w:val="24"/>
          <w:szCs w:val="24"/>
        </w:rPr>
        <w:t xml:space="preserve"> the transfer of science to disaster managers and communities through the trial use of </w:t>
      </w:r>
      <w:r w:rsidR="000E1CA9">
        <w:rPr>
          <w:sz w:val="24"/>
          <w:szCs w:val="24"/>
        </w:rPr>
        <w:t>new</w:t>
      </w:r>
      <w:r w:rsidRPr="00174C42">
        <w:rPr>
          <w:sz w:val="24"/>
          <w:szCs w:val="24"/>
        </w:rPr>
        <w:t xml:space="preserve"> technologies</w:t>
      </w:r>
      <w:r w:rsidR="000E1CA9" w:rsidRPr="000E1CA9">
        <w:rPr>
          <w:sz w:val="24"/>
          <w:szCs w:val="24"/>
        </w:rPr>
        <w:t xml:space="preserve"> </w:t>
      </w:r>
      <w:r w:rsidR="000E1CA9">
        <w:rPr>
          <w:sz w:val="24"/>
          <w:szCs w:val="24"/>
        </w:rPr>
        <w:t>(e</w:t>
      </w:r>
      <w:r w:rsidR="004C6D0A">
        <w:rPr>
          <w:sz w:val="24"/>
          <w:szCs w:val="24"/>
        </w:rPr>
        <w:t>.</w:t>
      </w:r>
      <w:r w:rsidR="000E1CA9">
        <w:rPr>
          <w:sz w:val="24"/>
          <w:szCs w:val="24"/>
        </w:rPr>
        <w:t>g</w:t>
      </w:r>
      <w:r w:rsidR="004C6D0A">
        <w:rPr>
          <w:sz w:val="24"/>
          <w:szCs w:val="24"/>
        </w:rPr>
        <w:t>.</w:t>
      </w:r>
      <w:r w:rsidR="000E1CA9">
        <w:rPr>
          <w:sz w:val="24"/>
          <w:szCs w:val="24"/>
        </w:rPr>
        <w:t xml:space="preserve"> I</w:t>
      </w:r>
      <w:r w:rsidR="000E1CA9" w:rsidRPr="00174C42">
        <w:rPr>
          <w:sz w:val="24"/>
          <w:szCs w:val="24"/>
        </w:rPr>
        <w:t>naSAFE and OSM)</w:t>
      </w:r>
      <w:r w:rsidRPr="00174C42">
        <w:rPr>
          <w:sz w:val="24"/>
          <w:szCs w:val="24"/>
        </w:rPr>
        <w:t>. AIFDR’s ‘Partners’ also facilitate important vertical linkages between national and local level government and non-government actors, and horizontal linkages between government, NGOs and communit</w:t>
      </w:r>
      <w:r w:rsidR="004C6D0A">
        <w:rPr>
          <w:sz w:val="24"/>
          <w:szCs w:val="24"/>
        </w:rPr>
        <w:t>ies</w:t>
      </w:r>
      <w:r w:rsidRPr="00174C42">
        <w:rPr>
          <w:sz w:val="24"/>
          <w:szCs w:val="24"/>
        </w:rPr>
        <w:t>. However, to date, AIFDR’s partnership arrangements appear to only weakly link with the private sector and therefore miss a</w:t>
      </w:r>
      <w:r w:rsidR="004C6D0A">
        <w:rPr>
          <w:sz w:val="24"/>
          <w:szCs w:val="24"/>
        </w:rPr>
        <w:t>n important and</w:t>
      </w:r>
      <w:r w:rsidRPr="00174C42">
        <w:rPr>
          <w:sz w:val="24"/>
          <w:szCs w:val="24"/>
        </w:rPr>
        <w:t xml:space="preserve"> </w:t>
      </w:r>
      <w:r w:rsidR="004C6D0A">
        <w:rPr>
          <w:sz w:val="24"/>
          <w:szCs w:val="24"/>
        </w:rPr>
        <w:t>relevant</w:t>
      </w:r>
      <w:r w:rsidR="004C6D0A" w:rsidRPr="00174C42">
        <w:rPr>
          <w:sz w:val="24"/>
          <w:szCs w:val="24"/>
        </w:rPr>
        <w:t xml:space="preserve"> </w:t>
      </w:r>
      <w:r w:rsidRPr="00174C42">
        <w:rPr>
          <w:sz w:val="24"/>
          <w:szCs w:val="24"/>
        </w:rPr>
        <w:t>stakeholder in effective DRM</w:t>
      </w:r>
      <w:r w:rsidR="004C6D0A">
        <w:rPr>
          <w:sz w:val="24"/>
          <w:szCs w:val="24"/>
        </w:rPr>
        <w:t xml:space="preserve"> practice</w:t>
      </w:r>
      <w:r w:rsidRPr="00174C42">
        <w:rPr>
          <w:sz w:val="24"/>
          <w:szCs w:val="24"/>
        </w:rPr>
        <w:t xml:space="preserve">. </w:t>
      </w:r>
    </w:p>
    <w:p w14:paraId="3158E859" w14:textId="348A4DD4" w:rsidR="00B66624" w:rsidRPr="00174C42" w:rsidRDefault="00D741F2" w:rsidP="00D741F2">
      <w:pPr>
        <w:widowControl w:val="0"/>
        <w:tabs>
          <w:tab w:val="left" w:pos="220"/>
          <w:tab w:val="left" w:pos="720"/>
        </w:tabs>
        <w:autoSpaceDE w:val="0"/>
        <w:autoSpaceDN w:val="0"/>
        <w:adjustRightInd w:val="0"/>
        <w:spacing w:after="0"/>
        <w:rPr>
          <w:sz w:val="24"/>
          <w:szCs w:val="24"/>
        </w:rPr>
      </w:pPr>
      <w:r w:rsidRPr="00174C42">
        <w:rPr>
          <w:sz w:val="24"/>
          <w:szCs w:val="24"/>
        </w:rPr>
        <w:t xml:space="preserve">As previously mentioned, the </w:t>
      </w:r>
      <w:r w:rsidR="00F13BEE">
        <w:rPr>
          <w:sz w:val="24"/>
          <w:szCs w:val="24"/>
        </w:rPr>
        <w:t>review</w:t>
      </w:r>
      <w:r w:rsidRPr="00174C42">
        <w:rPr>
          <w:sz w:val="24"/>
          <w:szCs w:val="24"/>
        </w:rPr>
        <w:t xml:space="preserve"> team assesses all components as relevant, but there is insufficient evidence to conclusively state whether the </w:t>
      </w:r>
      <w:r w:rsidR="004C6D0A">
        <w:rPr>
          <w:sz w:val="24"/>
          <w:szCs w:val="24"/>
        </w:rPr>
        <w:t xml:space="preserve">relative </w:t>
      </w:r>
      <w:r w:rsidRPr="00174C42">
        <w:rPr>
          <w:sz w:val="24"/>
          <w:szCs w:val="24"/>
        </w:rPr>
        <w:t xml:space="preserve">allocation of investments </w:t>
      </w:r>
      <w:r w:rsidR="004C6D0A">
        <w:rPr>
          <w:sz w:val="24"/>
          <w:szCs w:val="24"/>
        </w:rPr>
        <w:t>to the different comp</w:t>
      </w:r>
      <w:r w:rsidR="00316F5E">
        <w:rPr>
          <w:sz w:val="24"/>
          <w:szCs w:val="24"/>
        </w:rPr>
        <w:t>o</w:t>
      </w:r>
      <w:r w:rsidR="004C6D0A">
        <w:rPr>
          <w:sz w:val="24"/>
          <w:szCs w:val="24"/>
        </w:rPr>
        <w:t xml:space="preserve">nents </w:t>
      </w:r>
      <w:r w:rsidRPr="00174C42">
        <w:rPr>
          <w:sz w:val="24"/>
          <w:szCs w:val="24"/>
        </w:rPr>
        <w:t xml:space="preserve">over the course of Phase 1 (and therefore weighting given to </w:t>
      </w:r>
      <w:r w:rsidR="004C6D0A">
        <w:rPr>
          <w:sz w:val="24"/>
          <w:szCs w:val="24"/>
        </w:rPr>
        <w:t>each</w:t>
      </w:r>
      <w:r w:rsidRPr="00174C42">
        <w:rPr>
          <w:sz w:val="24"/>
          <w:szCs w:val="24"/>
        </w:rPr>
        <w:t xml:space="preserve"> at any point in time) was appropriately calibrated to facilitate strong connections between components (ie, the transference of knowledge into practice), </w:t>
      </w:r>
      <w:r w:rsidR="004C6D0A">
        <w:rPr>
          <w:sz w:val="24"/>
          <w:szCs w:val="24"/>
        </w:rPr>
        <w:t>or</w:t>
      </w:r>
      <w:r w:rsidR="004C6D0A" w:rsidRPr="00174C42">
        <w:rPr>
          <w:sz w:val="24"/>
          <w:szCs w:val="24"/>
        </w:rPr>
        <w:t xml:space="preserve"> </w:t>
      </w:r>
      <w:r w:rsidRPr="00174C42">
        <w:rPr>
          <w:sz w:val="24"/>
          <w:szCs w:val="24"/>
        </w:rPr>
        <w:t xml:space="preserve">reflected the country’s highest priority DRM </w:t>
      </w:r>
      <w:r w:rsidR="00EE2409">
        <w:rPr>
          <w:sz w:val="24"/>
          <w:szCs w:val="24"/>
        </w:rPr>
        <w:t xml:space="preserve">and DRR </w:t>
      </w:r>
      <w:r w:rsidR="00422E3D">
        <w:rPr>
          <w:sz w:val="24"/>
          <w:szCs w:val="24"/>
        </w:rPr>
        <w:t>n</w:t>
      </w:r>
      <w:r w:rsidR="00422E3D" w:rsidRPr="00174C42">
        <w:rPr>
          <w:sz w:val="24"/>
          <w:szCs w:val="24"/>
        </w:rPr>
        <w:t xml:space="preserve">eeds </w:t>
      </w:r>
      <w:r w:rsidRPr="00174C42">
        <w:rPr>
          <w:sz w:val="24"/>
          <w:szCs w:val="24"/>
        </w:rPr>
        <w:t xml:space="preserve">at any given time. The </w:t>
      </w:r>
      <w:r w:rsidR="00F13BEE">
        <w:rPr>
          <w:sz w:val="24"/>
          <w:szCs w:val="24"/>
        </w:rPr>
        <w:t>review</w:t>
      </w:r>
      <w:r w:rsidRPr="00174C42">
        <w:rPr>
          <w:sz w:val="24"/>
          <w:szCs w:val="24"/>
        </w:rPr>
        <w:t xml:space="preserve"> team found no evidence of business plans or strategies that articulate how AIFDR determine</w:t>
      </w:r>
      <w:r w:rsidR="00D37DC8">
        <w:rPr>
          <w:sz w:val="24"/>
          <w:szCs w:val="24"/>
        </w:rPr>
        <w:t>d</w:t>
      </w:r>
      <w:r w:rsidRPr="00174C42">
        <w:rPr>
          <w:sz w:val="24"/>
          <w:szCs w:val="24"/>
        </w:rPr>
        <w:t xml:space="preserve"> whether </w:t>
      </w:r>
      <w:proofErr w:type="gramStart"/>
      <w:r w:rsidRPr="00174C42">
        <w:rPr>
          <w:sz w:val="24"/>
          <w:szCs w:val="24"/>
        </w:rPr>
        <w:t>the spend</w:t>
      </w:r>
      <w:proofErr w:type="gramEnd"/>
      <w:r w:rsidRPr="00174C42">
        <w:rPr>
          <w:sz w:val="24"/>
          <w:szCs w:val="24"/>
        </w:rPr>
        <w:t xml:space="preserve"> was </w:t>
      </w:r>
      <w:r w:rsidR="00316F5E">
        <w:rPr>
          <w:sz w:val="24"/>
          <w:szCs w:val="24"/>
        </w:rPr>
        <w:t>relevant</w:t>
      </w:r>
      <w:r w:rsidR="00F13BEE">
        <w:rPr>
          <w:sz w:val="24"/>
          <w:szCs w:val="24"/>
        </w:rPr>
        <w:t>.</w:t>
      </w:r>
    </w:p>
    <w:p w14:paraId="6E1854F3" w14:textId="77777777" w:rsidR="004B17E0" w:rsidRPr="00174C42" w:rsidRDefault="004B17E0" w:rsidP="00244F07">
      <w:pPr>
        <w:widowControl w:val="0"/>
        <w:tabs>
          <w:tab w:val="left" w:pos="220"/>
          <w:tab w:val="left" w:pos="720"/>
        </w:tabs>
        <w:autoSpaceDE w:val="0"/>
        <w:autoSpaceDN w:val="0"/>
        <w:adjustRightInd w:val="0"/>
        <w:spacing w:after="0"/>
        <w:rPr>
          <w:b/>
          <w:sz w:val="24"/>
          <w:szCs w:val="24"/>
        </w:rPr>
      </w:pPr>
    </w:p>
    <w:p w14:paraId="367FDC33" w14:textId="63AB9CD3" w:rsidR="004B17E0" w:rsidRPr="00174C42" w:rsidRDefault="00F13BEE" w:rsidP="00244F07">
      <w:pPr>
        <w:widowControl w:val="0"/>
        <w:tabs>
          <w:tab w:val="left" w:pos="220"/>
          <w:tab w:val="left" w:pos="720"/>
        </w:tabs>
        <w:autoSpaceDE w:val="0"/>
        <w:autoSpaceDN w:val="0"/>
        <w:adjustRightInd w:val="0"/>
        <w:spacing w:after="0"/>
        <w:rPr>
          <w:b/>
          <w:color w:val="000000" w:themeColor="text1"/>
          <w:sz w:val="24"/>
          <w:szCs w:val="24"/>
        </w:rPr>
      </w:pPr>
      <w:r>
        <w:rPr>
          <w:b/>
          <w:color w:val="000000" w:themeColor="text1"/>
          <w:sz w:val="24"/>
          <w:szCs w:val="24"/>
        </w:rPr>
        <w:t>2.</w:t>
      </w:r>
      <w:r w:rsidR="001426FB" w:rsidRPr="00174C42">
        <w:rPr>
          <w:b/>
          <w:color w:val="000000" w:themeColor="text1"/>
          <w:sz w:val="24"/>
          <w:szCs w:val="24"/>
        </w:rPr>
        <w:t>1.4</w:t>
      </w:r>
      <w:r w:rsidR="001426FB" w:rsidRPr="00174C42">
        <w:rPr>
          <w:b/>
          <w:color w:val="000000" w:themeColor="text1"/>
          <w:sz w:val="24"/>
          <w:szCs w:val="24"/>
        </w:rPr>
        <w:tab/>
      </w:r>
      <w:r w:rsidR="00801E62">
        <w:rPr>
          <w:b/>
          <w:color w:val="000000" w:themeColor="text1"/>
          <w:sz w:val="24"/>
          <w:szCs w:val="24"/>
        </w:rPr>
        <w:t xml:space="preserve">Serving </w:t>
      </w:r>
      <w:r w:rsidR="001426FB" w:rsidRPr="00174C42">
        <w:rPr>
          <w:b/>
          <w:color w:val="000000" w:themeColor="text1"/>
          <w:sz w:val="24"/>
          <w:szCs w:val="24"/>
        </w:rPr>
        <w:t xml:space="preserve">Australia’s </w:t>
      </w:r>
      <w:r w:rsidR="00801E62">
        <w:rPr>
          <w:b/>
          <w:color w:val="000000" w:themeColor="text1"/>
          <w:sz w:val="24"/>
          <w:szCs w:val="24"/>
        </w:rPr>
        <w:t>d</w:t>
      </w:r>
      <w:r w:rsidR="001426FB" w:rsidRPr="00174C42">
        <w:rPr>
          <w:b/>
          <w:color w:val="000000" w:themeColor="text1"/>
          <w:sz w:val="24"/>
          <w:szCs w:val="24"/>
        </w:rPr>
        <w:t xml:space="preserve">iplomacy </w:t>
      </w:r>
      <w:r w:rsidR="00801E62">
        <w:rPr>
          <w:b/>
          <w:color w:val="000000" w:themeColor="text1"/>
          <w:sz w:val="24"/>
          <w:szCs w:val="24"/>
        </w:rPr>
        <w:t>o</w:t>
      </w:r>
      <w:r w:rsidR="001426FB" w:rsidRPr="00174C42">
        <w:rPr>
          <w:b/>
          <w:color w:val="000000" w:themeColor="text1"/>
          <w:sz w:val="24"/>
          <w:szCs w:val="24"/>
        </w:rPr>
        <w:t>bjectives</w:t>
      </w:r>
    </w:p>
    <w:p w14:paraId="605E0911" w14:textId="77777777" w:rsidR="00E77873" w:rsidRPr="00174C42" w:rsidRDefault="00E77873" w:rsidP="00244F07">
      <w:pPr>
        <w:widowControl w:val="0"/>
        <w:tabs>
          <w:tab w:val="left" w:pos="220"/>
          <w:tab w:val="left" w:pos="720"/>
        </w:tabs>
        <w:autoSpaceDE w:val="0"/>
        <w:autoSpaceDN w:val="0"/>
        <w:adjustRightInd w:val="0"/>
        <w:spacing w:after="0"/>
        <w:rPr>
          <w:b/>
          <w:color w:val="000000" w:themeColor="text1"/>
          <w:sz w:val="24"/>
          <w:szCs w:val="24"/>
        </w:rPr>
      </w:pPr>
    </w:p>
    <w:p w14:paraId="420E6B36" w14:textId="113F209B" w:rsidR="00801E62" w:rsidRDefault="001426FB" w:rsidP="00B962DD">
      <w:pPr>
        <w:widowControl w:val="0"/>
        <w:tabs>
          <w:tab w:val="left" w:pos="220"/>
          <w:tab w:val="left" w:pos="720"/>
        </w:tabs>
        <w:autoSpaceDE w:val="0"/>
        <w:autoSpaceDN w:val="0"/>
        <w:adjustRightInd w:val="0"/>
        <w:spacing w:after="0"/>
        <w:rPr>
          <w:sz w:val="24"/>
          <w:szCs w:val="24"/>
        </w:rPr>
      </w:pPr>
      <w:r w:rsidRPr="00174C42">
        <w:rPr>
          <w:sz w:val="24"/>
          <w:szCs w:val="24"/>
        </w:rPr>
        <w:t>AIFDR</w:t>
      </w:r>
      <w:r w:rsidR="00E77873" w:rsidRPr="00174C42">
        <w:rPr>
          <w:sz w:val="24"/>
          <w:szCs w:val="24"/>
        </w:rPr>
        <w:t xml:space="preserve"> </w:t>
      </w:r>
      <w:r w:rsidR="00EC4517">
        <w:rPr>
          <w:sz w:val="24"/>
          <w:szCs w:val="24"/>
        </w:rPr>
        <w:t xml:space="preserve">was born from </w:t>
      </w:r>
      <w:r w:rsidR="00E77873" w:rsidRPr="00174C42">
        <w:rPr>
          <w:sz w:val="24"/>
          <w:szCs w:val="24"/>
        </w:rPr>
        <w:t xml:space="preserve">a political initiative </w:t>
      </w:r>
      <w:r w:rsidR="00FA021A" w:rsidRPr="00174C42">
        <w:rPr>
          <w:sz w:val="24"/>
          <w:szCs w:val="24"/>
        </w:rPr>
        <w:t xml:space="preserve">with in-built soft diplomacy objectives </w:t>
      </w:r>
      <w:r w:rsidR="00283E42" w:rsidRPr="00174C42">
        <w:rPr>
          <w:sz w:val="24"/>
          <w:szCs w:val="24"/>
        </w:rPr>
        <w:t>for Australia i</w:t>
      </w:r>
      <w:r w:rsidR="004C6D0A">
        <w:rPr>
          <w:sz w:val="24"/>
          <w:szCs w:val="24"/>
        </w:rPr>
        <w:t>.</w:t>
      </w:r>
      <w:r w:rsidR="00283E42" w:rsidRPr="00174C42">
        <w:rPr>
          <w:sz w:val="24"/>
          <w:szCs w:val="24"/>
        </w:rPr>
        <w:t>e</w:t>
      </w:r>
      <w:r w:rsidR="004C6D0A">
        <w:rPr>
          <w:sz w:val="24"/>
          <w:szCs w:val="24"/>
        </w:rPr>
        <w:t>.</w:t>
      </w:r>
      <w:r w:rsidR="00283E42" w:rsidRPr="00174C42">
        <w:rPr>
          <w:sz w:val="24"/>
          <w:szCs w:val="24"/>
        </w:rPr>
        <w:t xml:space="preserve"> </w:t>
      </w:r>
      <w:r w:rsidR="00F13BEE">
        <w:rPr>
          <w:sz w:val="24"/>
          <w:szCs w:val="24"/>
        </w:rPr>
        <w:t>increasing Australia’s</w:t>
      </w:r>
      <w:r w:rsidR="00FA021A" w:rsidRPr="00174C42">
        <w:rPr>
          <w:sz w:val="24"/>
          <w:szCs w:val="24"/>
        </w:rPr>
        <w:t xml:space="preserve"> political profile </w:t>
      </w:r>
      <w:r w:rsidR="00F13BEE">
        <w:rPr>
          <w:sz w:val="24"/>
          <w:szCs w:val="24"/>
        </w:rPr>
        <w:t>with its bi-lateral partner</w:t>
      </w:r>
      <w:r w:rsidR="004C6D0A">
        <w:rPr>
          <w:sz w:val="24"/>
          <w:szCs w:val="24"/>
        </w:rPr>
        <w:t>,</w:t>
      </w:r>
      <w:r w:rsidR="00F13BEE">
        <w:rPr>
          <w:sz w:val="24"/>
          <w:szCs w:val="24"/>
        </w:rPr>
        <w:t xml:space="preserve"> Indonesia, </w:t>
      </w:r>
      <w:r w:rsidR="00FA021A" w:rsidRPr="00174C42">
        <w:rPr>
          <w:sz w:val="24"/>
          <w:szCs w:val="24"/>
        </w:rPr>
        <w:t xml:space="preserve">and gaining privileged access to the Indonesian polity. AIFDR has </w:t>
      </w:r>
      <w:r w:rsidR="004C6D0A">
        <w:rPr>
          <w:sz w:val="24"/>
          <w:szCs w:val="24"/>
        </w:rPr>
        <w:t xml:space="preserve">certainly </w:t>
      </w:r>
      <w:r w:rsidR="00FA021A" w:rsidRPr="00174C42">
        <w:rPr>
          <w:sz w:val="24"/>
          <w:szCs w:val="24"/>
        </w:rPr>
        <w:t>provided an entry point for DRM</w:t>
      </w:r>
      <w:r w:rsidR="00EE2409">
        <w:rPr>
          <w:sz w:val="24"/>
          <w:szCs w:val="24"/>
        </w:rPr>
        <w:t xml:space="preserve"> and DRR</w:t>
      </w:r>
      <w:r w:rsidR="00FA021A" w:rsidRPr="00174C42">
        <w:rPr>
          <w:sz w:val="24"/>
          <w:szCs w:val="24"/>
        </w:rPr>
        <w:t xml:space="preserve"> dialogue and operational level cooperation with the </w:t>
      </w:r>
      <w:r w:rsidR="004C6D0A">
        <w:rPr>
          <w:sz w:val="24"/>
          <w:szCs w:val="24"/>
        </w:rPr>
        <w:t>GoI but, as noted earlier,</w:t>
      </w:r>
      <w:r w:rsidR="00FA021A" w:rsidRPr="00174C42">
        <w:rPr>
          <w:sz w:val="24"/>
          <w:szCs w:val="24"/>
        </w:rPr>
        <w:t xml:space="preserve"> attribution of political influence is difficult to </w:t>
      </w:r>
      <w:r w:rsidR="004C6D0A">
        <w:rPr>
          <w:sz w:val="24"/>
          <w:szCs w:val="24"/>
        </w:rPr>
        <w:t xml:space="preserve">empirically demonstrate in the absence of </w:t>
      </w:r>
      <w:r w:rsidR="00FA021A" w:rsidRPr="00174C42">
        <w:rPr>
          <w:sz w:val="24"/>
          <w:szCs w:val="24"/>
        </w:rPr>
        <w:t>opportunit</w:t>
      </w:r>
      <w:r w:rsidR="004C6D0A">
        <w:rPr>
          <w:sz w:val="24"/>
          <w:szCs w:val="24"/>
        </w:rPr>
        <w:t>ies</w:t>
      </w:r>
      <w:r w:rsidR="00FA021A" w:rsidRPr="00174C42">
        <w:rPr>
          <w:sz w:val="24"/>
          <w:szCs w:val="24"/>
        </w:rPr>
        <w:t xml:space="preserve"> to </w:t>
      </w:r>
      <w:r w:rsidR="004C6D0A">
        <w:rPr>
          <w:sz w:val="24"/>
          <w:szCs w:val="24"/>
        </w:rPr>
        <w:t xml:space="preserve">directly </w:t>
      </w:r>
      <w:r w:rsidR="00FA021A" w:rsidRPr="00174C42">
        <w:rPr>
          <w:sz w:val="24"/>
          <w:szCs w:val="24"/>
        </w:rPr>
        <w:t xml:space="preserve">consult GoI </w:t>
      </w:r>
      <w:r w:rsidR="004C6D0A">
        <w:rPr>
          <w:sz w:val="24"/>
          <w:szCs w:val="24"/>
        </w:rPr>
        <w:t xml:space="preserve">representatives </w:t>
      </w:r>
      <w:r w:rsidR="00FA021A" w:rsidRPr="00174C42">
        <w:rPr>
          <w:sz w:val="24"/>
          <w:szCs w:val="24"/>
        </w:rPr>
        <w:t xml:space="preserve">beyond sectoral agencies </w:t>
      </w:r>
      <w:r w:rsidR="00283E42" w:rsidRPr="00174C42">
        <w:rPr>
          <w:sz w:val="24"/>
          <w:szCs w:val="24"/>
        </w:rPr>
        <w:t>with responsibilities for disaster management</w:t>
      </w:r>
      <w:r w:rsidR="003868D1">
        <w:rPr>
          <w:sz w:val="24"/>
          <w:szCs w:val="24"/>
        </w:rPr>
        <w:t>.</w:t>
      </w:r>
    </w:p>
    <w:p w14:paraId="349119AF" w14:textId="77777777" w:rsidR="00801E62" w:rsidRDefault="00801E62" w:rsidP="00B962DD">
      <w:pPr>
        <w:widowControl w:val="0"/>
        <w:tabs>
          <w:tab w:val="left" w:pos="220"/>
          <w:tab w:val="left" w:pos="720"/>
        </w:tabs>
        <w:autoSpaceDE w:val="0"/>
        <w:autoSpaceDN w:val="0"/>
        <w:adjustRightInd w:val="0"/>
        <w:spacing w:after="0"/>
        <w:rPr>
          <w:sz w:val="24"/>
          <w:szCs w:val="24"/>
        </w:rPr>
      </w:pPr>
    </w:p>
    <w:p w14:paraId="6706F0AA" w14:textId="3DF45C05" w:rsidR="009F48E8" w:rsidRPr="00B962DD" w:rsidRDefault="004B17E0" w:rsidP="00B962DD">
      <w:pPr>
        <w:widowControl w:val="0"/>
        <w:tabs>
          <w:tab w:val="left" w:pos="220"/>
          <w:tab w:val="left" w:pos="720"/>
        </w:tabs>
        <w:autoSpaceDE w:val="0"/>
        <w:autoSpaceDN w:val="0"/>
        <w:adjustRightInd w:val="0"/>
        <w:spacing w:after="0"/>
        <w:rPr>
          <w:rFonts w:ascii="Calibri" w:hAnsi="Calibri" w:cs="Segoe UI"/>
          <w:color w:val="000000"/>
          <w:sz w:val="24"/>
          <w:szCs w:val="24"/>
          <w:lang w:val="en"/>
        </w:rPr>
      </w:pPr>
      <w:r w:rsidRPr="00174C42">
        <w:rPr>
          <w:rFonts w:cs="Segoe UI"/>
          <w:color w:val="000000" w:themeColor="text1"/>
          <w:sz w:val="24"/>
          <w:szCs w:val="24"/>
          <w:lang w:val="en"/>
        </w:rPr>
        <w:t xml:space="preserve">AIFDR staff pointed to several occasions where Australia appeared to be the donor of preference or to be granted preferential treatment in terms of information and access to disaster-affected areas. Several </w:t>
      </w:r>
      <w:r w:rsidRPr="003945AF">
        <w:rPr>
          <w:rFonts w:cs="Segoe UI"/>
          <w:color w:val="000000" w:themeColor="text1"/>
          <w:sz w:val="24"/>
          <w:szCs w:val="24"/>
          <w:lang w:val="en"/>
        </w:rPr>
        <w:t xml:space="preserve">of these emanated from the highest level </w:t>
      </w:r>
      <w:r w:rsidR="009F48E8" w:rsidRPr="003945AF">
        <w:rPr>
          <w:rFonts w:cs="Segoe UI"/>
          <w:color w:val="000000" w:themeColor="text1"/>
          <w:sz w:val="24"/>
          <w:szCs w:val="24"/>
          <w:lang w:val="en"/>
        </w:rPr>
        <w:t>e</w:t>
      </w:r>
      <w:r w:rsidR="004C6D0A">
        <w:rPr>
          <w:rFonts w:cs="Segoe UI"/>
          <w:color w:val="000000" w:themeColor="text1"/>
          <w:sz w:val="24"/>
          <w:szCs w:val="24"/>
          <w:lang w:val="en"/>
        </w:rPr>
        <w:t>.</w:t>
      </w:r>
      <w:r w:rsidR="009F48E8" w:rsidRPr="003945AF">
        <w:rPr>
          <w:rFonts w:cs="Segoe UI"/>
          <w:color w:val="000000" w:themeColor="text1"/>
          <w:sz w:val="24"/>
          <w:szCs w:val="24"/>
          <w:lang w:val="en"/>
        </w:rPr>
        <w:t>g</w:t>
      </w:r>
      <w:r w:rsidR="004C6D0A">
        <w:rPr>
          <w:rFonts w:cs="Segoe UI"/>
          <w:color w:val="000000" w:themeColor="text1"/>
          <w:sz w:val="24"/>
          <w:szCs w:val="24"/>
          <w:lang w:val="en"/>
        </w:rPr>
        <w:t>. President</w:t>
      </w:r>
      <w:r w:rsidR="009F48E8" w:rsidRPr="003945AF">
        <w:rPr>
          <w:color w:val="000000" w:themeColor="text1"/>
          <w:sz w:val="24"/>
          <w:szCs w:val="24"/>
        </w:rPr>
        <w:t xml:space="preserve"> </w:t>
      </w:r>
      <w:r w:rsidR="00801E62">
        <w:rPr>
          <w:rFonts w:cs="Arial"/>
          <w:color w:val="000000"/>
          <w:sz w:val="24"/>
          <w:szCs w:val="24"/>
        </w:rPr>
        <w:t>Susilo Bambang Yudhoyono</w:t>
      </w:r>
      <w:r w:rsidR="00801E62" w:rsidRPr="003945AF">
        <w:rPr>
          <w:color w:val="000000" w:themeColor="text1"/>
          <w:sz w:val="24"/>
          <w:szCs w:val="24"/>
        </w:rPr>
        <w:t xml:space="preserve"> </w:t>
      </w:r>
      <w:r w:rsidR="009F48E8" w:rsidRPr="003945AF">
        <w:rPr>
          <w:color w:val="000000" w:themeColor="text1"/>
          <w:sz w:val="24"/>
          <w:szCs w:val="24"/>
        </w:rPr>
        <w:t>formally recognising AIFDR during his opening speech at the 5</w:t>
      </w:r>
      <w:r w:rsidR="009F48E8" w:rsidRPr="003945AF">
        <w:rPr>
          <w:color w:val="000000" w:themeColor="text1"/>
          <w:sz w:val="24"/>
          <w:szCs w:val="24"/>
          <w:vertAlign w:val="superscript"/>
        </w:rPr>
        <w:t>th</w:t>
      </w:r>
      <w:r w:rsidR="009F48E8" w:rsidRPr="003945AF">
        <w:rPr>
          <w:color w:val="000000" w:themeColor="text1"/>
          <w:sz w:val="24"/>
          <w:szCs w:val="24"/>
        </w:rPr>
        <w:t xml:space="preserve"> AMCDRR.  Another example </w:t>
      </w:r>
      <w:r w:rsidR="009F48E8" w:rsidRPr="003945AF">
        <w:rPr>
          <w:sz w:val="24"/>
          <w:szCs w:val="24"/>
        </w:rPr>
        <w:t xml:space="preserve">cited by AIFDR staff </w:t>
      </w:r>
      <w:r w:rsidR="00914424" w:rsidRPr="003945AF">
        <w:rPr>
          <w:sz w:val="24"/>
          <w:szCs w:val="24"/>
        </w:rPr>
        <w:t>is Australia</w:t>
      </w:r>
      <w:r w:rsidR="000E1CA9">
        <w:rPr>
          <w:sz w:val="24"/>
          <w:szCs w:val="24"/>
        </w:rPr>
        <w:t>’s</w:t>
      </w:r>
      <w:r w:rsidR="00914424" w:rsidRPr="003945AF">
        <w:rPr>
          <w:sz w:val="24"/>
          <w:szCs w:val="24"/>
        </w:rPr>
        <w:t xml:space="preserve"> support to the </w:t>
      </w:r>
      <w:r w:rsidR="004C6D0A">
        <w:rPr>
          <w:sz w:val="24"/>
          <w:szCs w:val="24"/>
        </w:rPr>
        <w:t xml:space="preserve">response to the </w:t>
      </w:r>
      <w:r w:rsidR="009F48E8" w:rsidRPr="003945AF">
        <w:rPr>
          <w:sz w:val="24"/>
          <w:szCs w:val="24"/>
        </w:rPr>
        <w:t xml:space="preserve">Central Aceh earthquake </w:t>
      </w:r>
      <w:r w:rsidR="00914424" w:rsidRPr="003945AF">
        <w:rPr>
          <w:sz w:val="24"/>
          <w:szCs w:val="24"/>
        </w:rPr>
        <w:t xml:space="preserve">in July 2013. </w:t>
      </w:r>
      <w:r w:rsidR="003945AF" w:rsidRPr="003945AF">
        <w:rPr>
          <w:sz w:val="24"/>
          <w:szCs w:val="24"/>
        </w:rPr>
        <w:t>Australia’s then Prime Minister</w:t>
      </w:r>
      <w:r w:rsidR="00724972" w:rsidRPr="003945AF">
        <w:rPr>
          <w:rFonts w:ascii="Calibri" w:hAnsi="Calibri" w:cs="Segoe UI"/>
          <w:color w:val="000000"/>
          <w:sz w:val="24"/>
          <w:szCs w:val="24"/>
          <w:lang w:val="en"/>
        </w:rPr>
        <w:t xml:space="preserve"> (Kevin Rudd) paid an unexpected visit to Indonesia </w:t>
      </w:r>
      <w:r w:rsidR="00801E62">
        <w:rPr>
          <w:rFonts w:ascii="Calibri" w:hAnsi="Calibri" w:cs="Segoe UI"/>
          <w:color w:val="000000"/>
          <w:sz w:val="24"/>
          <w:szCs w:val="24"/>
          <w:lang w:val="en"/>
        </w:rPr>
        <w:t xml:space="preserve">a few days after the earthquake in an attempt </w:t>
      </w:r>
      <w:r w:rsidR="00724972" w:rsidRPr="003945AF">
        <w:rPr>
          <w:rFonts w:ascii="Calibri" w:hAnsi="Calibri" w:cs="Segoe UI"/>
          <w:color w:val="000000"/>
          <w:sz w:val="24"/>
          <w:szCs w:val="24"/>
          <w:lang w:val="en"/>
        </w:rPr>
        <w:t>to</w:t>
      </w:r>
      <w:r w:rsidR="003945AF" w:rsidRPr="003945AF">
        <w:rPr>
          <w:rFonts w:ascii="Calibri" w:hAnsi="Calibri" w:cs="Segoe UI"/>
          <w:color w:val="000000"/>
          <w:sz w:val="24"/>
          <w:szCs w:val="24"/>
          <w:lang w:val="en"/>
        </w:rPr>
        <w:t xml:space="preserve"> </w:t>
      </w:r>
      <w:r w:rsidR="00801E62">
        <w:rPr>
          <w:rFonts w:ascii="Calibri" w:hAnsi="Calibri" w:cs="Segoe UI"/>
          <w:color w:val="000000"/>
          <w:sz w:val="24"/>
          <w:szCs w:val="24"/>
          <w:lang w:val="en"/>
        </w:rPr>
        <w:t>bolster</w:t>
      </w:r>
      <w:r w:rsidR="003945AF" w:rsidRPr="003945AF">
        <w:rPr>
          <w:rFonts w:ascii="Calibri" w:hAnsi="Calibri" w:cs="Segoe UI"/>
          <w:color w:val="000000"/>
          <w:sz w:val="24"/>
          <w:szCs w:val="24"/>
          <w:lang w:val="en"/>
        </w:rPr>
        <w:t xml:space="preserve"> the </w:t>
      </w:r>
      <w:r w:rsidR="00724972" w:rsidRPr="003945AF">
        <w:rPr>
          <w:rFonts w:ascii="Calibri" w:hAnsi="Calibri" w:cs="Segoe UI"/>
          <w:color w:val="000000"/>
          <w:sz w:val="24"/>
          <w:szCs w:val="24"/>
          <w:lang w:val="en"/>
        </w:rPr>
        <w:t xml:space="preserve">bilateral relationship that </w:t>
      </w:r>
      <w:r w:rsidR="003945AF" w:rsidRPr="003945AF">
        <w:rPr>
          <w:rFonts w:ascii="Calibri" w:hAnsi="Calibri" w:cs="Segoe UI"/>
          <w:color w:val="000000"/>
          <w:sz w:val="24"/>
          <w:szCs w:val="24"/>
          <w:lang w:val="en"/>
        </w:rPr>
        <w:t xml:space="preserve">had </w:t>
      </w:r>
      <w:r w:rsidR="000E1CA9">
        <w:rPr>
          <w:rFonts w:ascii="Calibri" w:hAnsi="Calibri" w:cs="Segoe UI"/>
          <w:color w:val="000000"/>
          <w:sz w:val="24"/>
          <w:szCs w:val="24"/>
          <w:lang w:val="en"/>
        </w:rPr>
        <w:t xml:space="preserve">wavering as a result of </w:t>
      </w:r>
      <w:r w:rsidR="003945AF" w:rsidRPr="003945AF">
        <w:rPr>
          <w:rFonts w:ascii="Calibri" w:hAnsi="Calibri" w:cs="Segoe UI"/>
          <w:color w:val="000000"/>
          <w:sz w:val="24"/>
          <w:szCs w:val="24"/>
          <w:lang w:val="en"/>
        </w:rPr>
        <w:t>Australia’s asylum seeker</w:t>
      </w:r>
      <w:r w:rsidR="00724972" w:rsidRPr="003945AF">
        <w:rPr>
          <w:rFonts w:ascii="Calibri" w:hAnsi="Calibri" w:cs="Segoe UI"/>
          <w:color w:val="000000"/>
          <w:sz w:val="24"/>
          <w:szCs w:val="24"/>
          <w:lang w:val="en"/>
        </w:rPr>
        <w:t xml:space="preserve"> policy. Australia made an offer to assist in the </w:t>
      </w:r>
      <w:r w:rsidR="003945AF" w:rsidRPr="003945AF">
        <w:rPr>
          <w:rFonts w:ascii="Calibri" w:hAnsi="Calibri" w:cs="Segoe UI"/>
          <w:color w:val="000000"/>
          <w:sz w:val="24"/>
          <w:szCs w:val="24"/>
          <w:lang w:val="en"/>
        </w:rPr>
        <w:t xml:space="preserve">earthquake </w:t>
      </w:r>
      <w:r w:rsidR="00724972" w:rsidRPr="003945AF">
        <w:rPr>
          <w:rFonts w:ascii="Calibri" w:hAnsi="Calibri" w:cs="Segoe UI"/>
          <w:color w:val="000000"/>
          <w:sz w:val="24"/>
          <w:szCs w:val="24"/>
          <w:lang w:val="en"/>
        </w:rPr>
        <w:t xml:space="preserve">response although international assistance </w:t>
      </w:r>
      <w:r w:rsidR="003945AF" w:rsidRPr="003945AF">
        <w:rPr>
          <w:rFonts w:ascii="Calibri" w:hAnsi="Calibri" w:cs="Segoe UI"/>
          <w:color w:val="000000"/>
          <w:sz w:val="24"/>
          <w:szCs w:val="24"/>
          <w:lang w:val="en"/>
        </w:rPr>
        <w:t>had</w:t>
      </w:r>
      <w:r w:rsidR="00724972" w:rsidRPr="003945AF">
        <w:rPr>
          <w:rFonts w:ascii="Calibri" w:hAnsi="Calibri" w:cs="Segoe UI"/>
          <w:color w:val="000000"/>
          <w:sz w:val="24"/>
          <w:szCs w:val="24"/>
          <w:lang w:val="en"/>
        </w:rPr>
        <w:t xml:space="preserve"> not formally </w:t>
      </w:r>
      <w:r w:rsidR="000E1CA9">
        <w:rPr>
          <w:rFonts w:ascii="Calibri" w:hAnsi="Calibri" w:cs="Segoe UI"/>
          <w:color w:val="000000"/>
          <w:sz w:val="24"/>
          <w:szCs w:val="24"/>
          <w:lang w:val="en"/>
        </w:rPr>
        <w:t xml:space="preserve">been </w:t>
      </w:r>
      <w:r w:rsidR="00724972" w:rsidRPr="003945AF">
        <w:rPr>
          <w:rFonts w:ascii="Calibri" w:hAnsi="Calibri" w:cs="Segoe UI"/>
          <w:color w:val="000000"/>
          <w:sz w:val="24"/>
          <w:szCs w:val="24"/>
          <w:lang w:val="en"/>
        </w:rPr>
        <w:t>requested</w:t>
      </w:r>
      <w:r w:rsidR="003945AF" w:rsidRPr="003945AF">
        <w:rPr>
          <w:rFonts w:ascii="Calibri" w:hAnsi="Calibri" w:cs="Segoe UI"/>
          <w:color w:val="000000"/>
          <w:sz w:val="24"/>
          <w:szCs w:val="24"/>
          <w:lang w:val="en"/>
        </w:rPr>
        <w:t xml:space="preserve"> by Indonesia</w:t>
      </w:r>
      <w:r w:rsidR="00724972" w:rsidRPr="003945AF">
        <w:rPr>
          <w:rFonts w:ascii="Calibri" w:hAnsi="Calibri" w:cs="Segoe UI"/>
          <w:color w:val="000000"/>
          <w:sz w:val="24"/>
          <w:szCs w:val="24"/>
          <w:lang w:val="en"/>
        </w:rPr>
        <w:t xml:space="preserve">. </w:t>
      </w:r>
      <w:r w:rsidR="000E1CA9" w:rsidRPr="00174C42">
        <w:rPr>
          <w:rFonts w:cs="Arial"/>
          <w:color w:val="000000"/>
          <w:sz w:val="24"/>
          <w:szCs w:val="24"/>
        </w:rPr>
        <w:t>Indonesia’s ex-</w:t>
      </w:r>
      <w:proofErr w:type="gramStart"/>
      <w:r w:rsidR="000E1CA9" w:rsidRPr="00174C42">
        <w:rPr>
          <w:rFonts w:cs="Arial"/>
          <w:color w:val="000000"/>
          <w:sz w:val="24"/>
          <w:szCs w:val="24"/>
        </w:rPr>
        <w:t>Pre</w:t>
      </w:r>
      <w:r w:rsidR="000E1CA9">
        <w:rPr>
          <w:rFonts w:cs="Arial"/>
          <w:color w:val="000000"/>
          <w:sz w:val="24"/>
          <w:szCs w:val="24"/>
        </w:rPr>
        <w:t>sident,</w:t>
      </w:r>
      <w:proofErr w:type="gramEnd"/>
      <w:r w:rsidR="000E1CA9">
        <w:rPr>
          <w:rFonts w:cs="Arial"/>
          <w:color w:val="000000"/>
          <w:sz w:val="24"/>
          <w:szCs w:val="24"/>
        </w:rPr>
        <w:t xml:space="preserve"> </w:t>
      </w:r>
      <w:r w:rsidR="00724972" w:rsidRPr="003945AF">
        <w:rPr>
          <w:rFonts w:ascii="Calibri" w:hAnsi="Calibri" w:cs="Segoe UI"/>
          <w:color w:val="000000"/>
          <w:sz w:val="24"/>
          <w:szCs w:val="24"/>
          <w:lang w:val="en"/>
        </w:rPr>
        <w:t>accepted Australia</w:t>
      </w:r>
      <w:r w:rsidR="003945AF" w:rsidRPr="003945AF">
        <w:rPr>
          <w:rFonts w:ascii="Calibri" w:hAnsi="Calibri" w:cs="Segoe UI"/>
          <w:color w:val="000000"/>
          <w:sz w:val="24"/>
          <w:szCs w:val="24"/>
          <w:lang w:val="en"/>
        </w:rPr>
        <w:t>’s</w:t>
      </w:r>
      <w:r w:rsidR="00724972" w:rsidRPr="003945AF">
        <w:rPr>
          <w:rFonts w:ascii="Calibri" w:hAnsi="Calibri" w:cs="Segoe UI"/>
          <w:color w:val="000000"/>
          <w:sz w:val="24"/>
          <w:szCs w:val="24"/>
          <w:lang w:val="en"/>
        </w:rPr>
        <w:t xml:space="preserve"> offer before </w:t>
      </w:r>
      <w:r w:rsidR="003945AF" w:rsidRPr="003945AF">
        <w:rPr>
          <w:rFonts w:ascii="Calibri" w:hAnsi="Calibri" w:cs="Segoe UI"/>
          <w:color w:val="000000"/>
          <w:sz w:val="24"/>
          <w:szCs w:val="24"/>
          <w:lang w:val="en"/>
        </w:rPr>
        <w:t xml:space="preserve">a planned </w:t>
      </w:r>
      <w:r w:rsidR="00724972" w:rsidRPr="003945AF">
        <w:rPr>
          <w:rFonts w:ascii="Calibri" w:hAnsi="Calibri" w:cs="Segoe UI"/>
          <w:color w:val="000000"/>
          <w:sz w:val="24"/>
          <w:szCs w:val="24"/>
          <w:lang w:val="en"/>
        </w:rPr>
        <w:t>bilateral meeting</w:t>
      </w:r>
      <w:r w:rsidR="000E1CA9">
        <w:rPr>
          <w:rFonts w:ascii="Calibri" w:hAnsi="Calibri" w:cs="Segoe UI"/>
          <w:color w:val="000000"/>
          <w:sz w:val="24"/>
          <w:szCs w:val="24"/>
          <w:lang w:val="en"/>
        </w:rPr>
        <w:t xml:space="preserve"> with </w:t>
      </w:r>
      <w:r w:rsidR="00801E62">
        <w:rPr>
          <w:rFonts w:ascii="Calibri" w:hAnsi="Calibri" w:cs="Segoe UI"/>
          <w:color w:val="000000"/>
          <w:sz w:val="24"/>
          <w:szCs w:val="24"/>
          <w:lang w:val="en"/>
        </w:rPr>
        <w:t xml:space="preserve">ex-PM </w:t>
      </w:r>
      <w:r w:rsidR="000E1CA9">
        <w:rPr>
          <w:rFonts w:ascii="Calibri" w:hAnsi="Calibri" w:cs="Segoe UI"/>
          <w:color w:val="000000"/>
          <w:sz w:val="24"/>
          <w:szCs w:val="24"/>
          <w:lang w:val="en"/>
        </w:rPr>
        <w:t>Rudd</w:t>
      </w:r>
      <w:r w:rsidR="00724972" w:rsidRPr="003945AF">
        <w:rPr>
          <w:rFonts w:ascii="Calibri" w:hAnsi="Calibri" w:cs="Segoe UI"/>
          <w:color w:val="000000"/>
          <w:sz w:val="24"/>
          <w:szCs w:val="24"/>
          <w:lang w:val="en"/>
        </w:rPr>
        <w:t xml:space="preserve"> in Bogor</w:t>
      </w:r>
      <w:r w:rsidR="003945AF" w:rsidRPr="003945AF">
        <w:rPr>
          <w:rFonts w:ascii="Calibri" w:hAnsi="Calibri" w:cs="Segoe UI"/>
          <w:color w:val="000000"/>
          <w:sz w:val="24"/>
          <w:szCs w:val="24"/>
          <w:lang w:val="en"/>
        </w:rPr>
        <w:t xml:space="preserve">. Australia was the preferred response </w:t>
      </w:r>
      <w:proofErr w:type="gramStart"/>
      <w:r w:rsidR="003945AF" w:rsidRPr="003945AF">
        <w:rPr>
          <w:rFonts w:ascii="Calibri" w:hAnsi="Calibri" w:cs="Segoe UI"/>
          <w:color w:val="000000"/>
          <w:sz w:val="24"/>
          <w:szCs w:val="24"/>
          <w:lang w:val="en"/>
        </w:rPr>
        <w:t>partner in this case as there were</w:t>
      </w:r>
      <w:proofErr w:type="gramEnd"/>
      <w:r w:rsidR="003945AF" w:rsidRPr="003945AF">
        <w:rPr>
          <w:rFonts w:ascii="Calibri" w:hAnsi="Calibri" w:cs="Segoe UI"/>
          <w:color w:val="000000"/>
          <w:sz w:val="24"/>
          <w:szCs w:val="24"/>
          <w:lang w:val="en"/>
        </w:rPr>
        <w:t xml:space="preserve"> a number of offers made by other partners/donors that were not taken up. </w:t>
      </w:r>
      <w:r w:rsidR="00B962DD">
        <w:rPr>
          <w:rFonts w:ascii="Calibri" w:hAnsi="Calibri" w:cs="Segoe UI"/>
          <w:color w:val="000000"/>
          <w:sz w:val="24"/>
          <w:szCs w:val="24"/>
          <w:lang w:val="en"/>
        </w:rPr>
        <w:t xml:space="preserve">Other examples cited by AIFDR </w:t>
      </w:r>
      <w:r w:rsidR="00B001A5">
        <w:rPr>
          <w:rFonts w:ascii="Calibri" w:hAnsi="Calibri" w:cs="Segoe UI"/>
          <w:color w:val="000000"/>
          <w:sz w:val="24"/>
          <w:szCs w:val="24"/>
          <w:lang w:val="en"/>
        </w:rPr>
        <w:t xml:space="preserve">staff </w:t>
      </w:r>
      <w:r w:rsidR="00B962DD">
        <w:rPr>
          <w:rFonts w:ascii="Calibri" w:hAnsi="Calibri" w:cs="Segoe UI"/>
          <w:color w:val="000000"/>
          <w:sz w:val="24"/>
          <w:szCs w:val="24"/>
          <w:lang w:val="en"/>
        </w:rPr>
        <w:t xml:space="preserve">where Australian </w:t>
      </w:r>
      <w:r w:rsidR="00C0590C">
        <w:rPr>
          <w:sz w:val="24"/>
          <w:szCs w:val="24"/>
        </w:rPr>
        <w:t>offers of response assistance were taken up for</w:t>
      </w:r>
      <w:r w:rsidR="00B001A5">
        <w:rPr>
          <w:sz w:val="24"/>
          <w:szCs w:val="24"/>
        </w:rPr>
        <w:t xml:space="preserve"> a </w:t>
      </w:r>
      <w:r w:rsidR="00C0590C">
        <w:rPr>
          <w:sz w:val="24"/>
          <w:szCs w:val="24"/>
        </w:rPr>
        <w:t>range of cris</w:t>
      </w:r>
      <w:r w:rsidR="00801E62">
        <w:rPr>
          <w:sz w:val="24"/>
          <w:szCs w:val="24"/>
        </w:rPr>
        <w:t>e</w:t>
      </w:r>
      <w:r w:rsidR="00C0590C">
        <w:rPr>
          <w:sz w:val="24"/>
          <w:szCs w:val="24"/>
        </w:rPr>
        <w:t xml:space="preserve">s </w:t>
      </w:r>
      <w:r w:rsidR="00B001A5">
        <w:rPr>
          <w:sz w:val="24"/>
          <w:szCs w:val="24"/>
        </w:rPr>
        <w:t xml:space="preserve">include; </w:t>
      </w:r>
      <w:r w:rsidR="00FD4715" w:rsidRPr="003868D1">
        <w:rPr>
          <w:sz w:val="24"/>
          <w:szCs w:val="24"/>
        </w:rPr>
        <w:t xml:space="preserve">Aceh Tengah Earthquake, volcanic eruptions of Mts Kelud </w:t>
      </w:r>
      <w:r w:rsidR="003868D1">
        <w:rPr>
          <w:sz w:val="24"/>
          <w:szCs w:val="24"/>
        </w:rPr>
        <w:t>and</w:t>
      </w:r>
      <w:r w:rsidR="00FD4715" w:rsidRPr="003868D1">
        <w:rPr>
          <w:sz w:val="24"/>
          <w:szCs w:val="24"/>
        </w:rPr>
        <w:t xml:space="preserve"> Sinabung, </w:t>
      </w:r>
      <w:r w:rsidR="003868D1">
        <w:rPr>
          <w:sz w:val="24"/>
          <w:szCs w:val="24"/>
        </w:rPr>
        <w:t xml:space="preserve">and </w:t>
      </w:r>
      <w:r w:rsidR="00FD4715" w:rsidRPr="003868D1">
        <w:rPr>
          <w:sz w:val="24"/>
          <w:szCs w:val="24"/>
        </w:rPr>
        <w:t>floods in Jakarta and Manado</w:t>
      </w:r>
      <w:r w:rsidR="00B001A5">
        <w:rPr>
          <w:sz w:val="24"/>
          <w:szCs w:val="24"/>
        </w:rPr>
        <w:t xml:space="preserve"> (post end of AIFDR Phase 1)</w:t>
      </w:r>
      <w:r w:rsidR="003868D1" w:rsidRPr="003868D1">
        <w:rPr>
          <w:sz w:val="24"/>
          <w:szCs w:val="24"/>
        </w:rPr>
        <w:t>.</w:t>
      </w:r>
    </w:p>
    <w:p w14:paraId="413FD9FD" w14:textId="77777777" w:rsidR="009F48E8" w:rsidRPr="00174C42" w:rsidRDefault="009F48E8" w:rsidP="00244F07">
      <w:pPr>
        <w:widowControl w:val="0"/>
        <w:tabs>
          <w:tab w:val="left" w:pos="220"/>
          <w:tab w:val="left" w:pos="720"/>
        </w:tabs>
        <w:autoSpaceDE w:val="0"/>
        <w:autoSpaceDN w:val="0"/>
        <w:adjustRightInd w:val="0"/>
        <w:spacing w:after="0"/>
        <w:rPr>
          <w:sz w:val="24"/>
          <w:szCs w:val="24"/>
        </w:rPr>
      </w:pPr>
    </w:p>
    <w:p w14:paraId="75E7F46A" w14:textId="67CAB4B9" w:rsidR="004B17E0" w:rsidRPr="00174C42" w:rsidRDefault="004B17E0" w:rsidP="00244F07">
      <w:pPr>
        <w:widowControl w:val="0"/>
        <w:tabs>
          <w:tab w:val="left" w:pos="220"/>
          <w:tab w:val="left" w:pos="720"/>
        </w:tabs>
        <w:autoSpaceDE w:val="0"/>
        <w:autoSpaceDN w:val="0"/>
        <w:adjustRightInd w:val="0"/>
        <w:spacing w:after="0"/>
        <w:rPr>
          <w:rFonts w:cs="Segoe UI"/>
          <w:sz w:val="24"/>
          <w:szCs w:val="24"/>
          <w:lang w:val="en"/>
        </w:rPr>
      </w:pPr>
      <w:r w:rsidRPr="00174C42">
        <w:rPr>
          <w:rFonts w:cs="Segoe UI"/>
          <w:sz w:val="24"/>
          <w:szCs w:val="24"/>
          <w:lang w:val="en"/>
        </w:rPr>
        <w:t xml:space="preserve">Whether these </w:t>
      </w:r>
      <w:r w:rsidR="00801E62">
        <w:rPr>
          <w:rFonts w:cs="Segoe UI"/>
          <w:sz w:val="24"/>
          <w:szCs w:val="24"/>
          <w:lang w:val="en"/>
        </w:rPr>
        <w:t xml:space="preserve">events translated into </w:t>
      </w:r>
      <w:r w:rsidRPr="00174C42">
        <w:rPr>
          <w:rFonts w:cs="Segoe UI"/>
          <w:sz w:val="24"/>
          <w:szCs w:val="24"/>
          <w:lang w:val="en"/>
        </w:rPr>
        <w:t xml:space="preserve">political influence in more contentious dialogues is a matter of conjecture. The </w:t>
      </w:r>
      <w:r w:rsidR="00E80D09">
        <w:rPr>
          <w:rFonts w:cs="Segoe UI"/>
          <w:sz w:val="24"/>
          <w:szCs w:val="24"/>
          <w:lang w:val="en"/>
        </w:rPr>
        <w:t xml:space="preserve">review </w:t>
      </w:r>
      <w:r w:rsidRPr="00174C42">
        <w:rPr>
          <w:rFonts w:cs="Segoe UI"/>
          <w:sz w:val="24"/>
          <w:szCs w:val="24"/>
          <w:lang w:val="en"/>
        </w:rPr>
        <w:t xml:space="preserve">team notes that, over the course of Phase One, Australia-Indonesia relations were strained on a number of occasions </w:t>
      </w:r>
      <w:r w:rsidR="00E54D13">
        <w:rPr>
          <w:rFonts w:cs="Segoe UI"/>
          <w:sz w:val="24"/>
          <w:szCs w:val="24"/>
          <w:lang w:val="en"/>
        </w:rPr>
        <w:t>(</w:t>
      </w:r>
      <w:r w:rsidRPr="00E54D13">
        <w:rPr>
          <w:rFonts w:cs="Segoe UI"/>
          <w:iCs/>
          <w:sz w:val="24"/>
          <w:szCs w:val="24"/>
          <w:lang w:val="en"/>
        </w:rPr>
        <w:t>e.g. on phone-tapping allegations, asylum seekers</w:t>
      </w:r>
      <w:r w:rsidR="00E54D13">
        <w:rPr>
          <w:rFonts w:cs="Segoe UI"/>
          <w:iCs/>
          <w:sz w:val="24"/>
          <w:szCs w:val="24"/>
          <w:lang w:val="en"/>
        </w:rPr>
        <w:t>)</w:t>
      </w:r>
      <w:r w:rsidRPr="00174C42">
        <w:rPr>
          <w:rFonts w:cs="Segoe UI"/>
          <w:sz w:val="24"/>
          <w:szCs w:val="24"/>
          <w:lang w:val="en"/>
        </w:rPr>
        <w:t xml:space="preserve"> and the fact that AIFDR continued largely unaffected appears to reflect a high premium placed on the partnership by GoI. </w:t>
      </w:r>
      <w:r w:rsidR="00801E62">
        <w:rPr>
          <w:rFonts w:cs="Segoe UI"/>
          <w:sz w:val="24"/>
          <w:szCs w:val="24"/>
          <w:lang w:val="en"/>
        </w:rPr>
        <w:t xml:space="preserve">To this end, it may be argued that AIFDR provided a foothold into GoI in difficult times. </w:t>
      </w:r>
      <w:r w:rsidRPr="00174C42">
        <w:rPr>
          <w:rFonts w:cs="Segoe UI"/>
          <w:sz w:val="24"/>
          <w:szCs w:val="24"/>
          <w:lang w:val="en"/>
        </w:rPr>
        <w:t xml:space="preserve">Nonetheless, </w:t>
      </w:r>
      <w:r w:rsidR="009F48E8" w:rsidRPr="00174C42">
        <w:rPr>
          <w:rFonts w:cs="Segoe UI"/>
          <w:sz w:val="24"/>
          <w:szCs w:val="24"/>
          <w:lang w:val="en"/>
        </w:rPr>
        <w:t xml:space="preserve">the </w:t>
      </w:r>
      <w:r w:rsidR="00E80D09">
        <w:rPr>
          <w:rFonts w:cs="Segoe UI"/>
          <w:sz w:val="24"/>
          <w:szCs w:val="24"/>
          <w:lang w:val="en"/>
        </w:rPr>
        <w:t>review team</w:t>
      </w:r>
      <w:r w:rsidR="009F48E8" w:rsidRPr="00174C42">
        <w:rPr>
          <w:rFonts w:cs="Segoe UI"/>
          <w:sz w:val="24"/>
          <w:szCs w:val="24"/>
          <w:lang w:val="en"/>
        </w:rPr>
        <w:t xml:space="preserve"> </w:t>
      </w:r>
      <w:r w:rsidRPr="00174C42">
        <w:rPr>
          <w:rFonts w:cs="Segoe UI"/>
          <w:sz w:val="24"/>
          <w:szCs w:val="24"/>
          <w:lang w:val="en"/>
        </w:rPr>
        <w:t xml:space="preserve">could find </w:t>
      </w:r>
      <w:proofErr w:type="gramStart"/>
      <w:r w:rsidRPr="00174C42">
        <w:rPr>
          <w:rFonts w:cs="Segoe UI"/>
          <w:sz w:val="24"/>
          <w:szCs w:val="24"/>
          <w:lang w:val="en"/>
        </w:rPr>
        <w:t xml:space="preserve">no </w:t>
      </w:r>
      <w:r w:rsidR="00801E62">
        <w:rPr>
          <w:rFonts w:cs="Segoe UI"/>
          <w:sz w:val="24"/>
          <w:szCs w:val="24"/>
          <w:lang w:val="en"/>
        </w:rPr>
        <w:t xml:space="preserve">firm </w:t>
      </w:r>
      <w:r w:rsidRPr="00174C42">
        <w:rPr>
          <w:rFonts w:cs="Segoe UI"/>
          <w:sz w:val="24"/>
          <w:szCs w:val="24"/>
          <w:lang w:val="en"/>
        </w:rPr>
        <w:t>evidence to suggest that resolution of ‘harder’ political issues was facilitated by AIFDR – or, put another way, would not have been resolved in the absence of AIFDR</w:t>
      </w:r>
      <w:proofErr w:type="gramEnd"/>
      <w:r w:rsidRPr="00174C42">
        <w:rPr>
          <w:rFonts w:cs="Segoe UI"/>
          <w:sz w:val="24"/>
          <w:szCs w:val="24"/>
          <w:lang w:val="en"/>
        </w:rPr>
        <w:t xml:space="preserve">. </w:t>
      </w:r>
      <w:r w:rsidR="00E80D09">
        <w:rPr>
          <w:rFonts w:cs="Segoe UI"/>
          <w:sz w:val="24"/>
          <w:szCs w:val="24"/>
          <w:lang w:val="en"/>
        </w:rPr>
        <w:t>The review team</w:t>
      </w:r>
      <w:r w:rsidRPr="00174C42">
        <w:rPr>
          <w:rFonts w:cs="Segoe UI"/>
          <w:sz w:val="24"/>
          <w:szCs w:val="24"/>
          <w:lang w:val="en"/>
        </w:rPr>
        <w:t xml:space="preserve"> suggest</w:t>
      </w:r>
      <w:r w:rsidR="00E80D09">
        <w:rPr>
          <w:rFonts w:cs="Segoe UI"/>
          <w:sz w:val="24"/>
          <w:szCs w:val="24"/>
          <w:lang w:val="en"/>
        </w:rPr>
        <w:t>s</w:t>
      </w:r>
      <w:r w:rsidRPr="00174C42">
        <w:rPr>
          <w:rFonts w:cs="Segoe UI"/>
          <w:sz w:val="24"/>
          <w:szCs w:val="24"/>
          <w:lang w:val="en"/>
        </w:rPr>
        <w:t xml:space="preserve"> that if this rationale is to </w:t>
      </w:r>
      <w:r w:rsidR="00801E62">
        <w:rPr>
          <w:rFonts w:cs="Segoe UI"/>
          <w:sz w:val="24"/>
          <w:szCs w:val="24"/>
          <w:lang w:val="en"/>
        </w:rPr>
        <w:t>continue to</w:t>
      </w:r>
      <w:r w:rsidR="00801E62" w:rsidRPr="00174C42">
        <w:rPr>
          <w:rFonts w:cs="Segoe UI"/>
          <w:sz w:val="24"/>
          <w:szCs w:val="24"/>
          <w:lang w:val="en"/>
        </w:rPr>
        <w:t xml:space="preserve"> </w:t>
      </w:r>
      <w:r w:rsidRPr="00174C42">
        <w:rPr>
          <w:rFonts w:cs="Segoe UI"/>
          <w:sz w:val="24"/>
          <w:szCs w:val="24"/>
          <w:lang w:val="en"/>
        </w:rPr>
        <w:t xml:space="preserve">underpin Phase Two, then AIFDR </w:t>
      </w:r>
      <w:r w:rsidR="00801E62">
        <w:rPr>
          <w:rFonts w:cs="Segoe UI"/>
          <w:sz w:val="24"/>
          <w:szCs w:val="24"/>
          <w:lang w:val="en"/>
        </w:rPr>
        <w:t xml:space="preserve">should </w:t>
      </w:r>
      <w:r w:rsidRPr="00174C42">
        <w:rPr>
          <w:rFonts w:cs="Segoe UI"/>
          <w:sz w:val="24"/>
          <w:szCs w:val="24"/>
          <w:lang w:val="en"/>
        </w:rPr>
        <w:t xml:space="preserve">maintain a log of statements by </w:t>
      </w:r>
      <w:r w:rsidR="00801E62">
        <w:rPr>
          <w:rFonts w:cs="Segoe UI"/>
          <w:sz w:val="24"/>
          <w:szCs w:val="24"/>
          <w:lang w:val="en"/>
        </w:rPr>
        <w:t>influential</w:t>
      </w:r>
      <w:r w:rsidR="00801E62" w:rsidRPr="00174C42">
        <w:rPr>
          <w:rFonts w:cs="Segoe UI"/>
          <w:sz w:val="24"/>
          <w:szCs w:val="24"/>
          <w:lang w:val="en"/>
        </w:rPr>
        <w:t xml:space="preserve"> </w:t>
      </w:r>
      <w:r w:rsidRPr="00174C42">
        <w:rPr>
          <w:rFonts w:cs="Segoe UI"/>
          <w:sz w:val="24"/>
          <w:szCs w:val="24"/>
          <w:lang w:val="en"/>
        </w:rPr>
        <w:t xml:space="preserve">Indonesian officials </w:t>
      </w:r>
      <w:r w:rsidR="00801E62">
        <w:rPr>
          <w:rFonts w:cs="Segoe UI"/>
          <w:sz w:val="24"/>
          <w:szCs w:val="24"/>
          <w:lang w:val="en"/>
        </w:rPr>
        <w:t>that might demonstrate causal linkages</w:t>
      </w:r>
      <w:r w:rsidRPr="00174C42">
        <w:rPr>
          <w:rFonts w:cs="Segoe UI"/>
          <w:sz w:val="24"/>
          <w:szCs w:val="24"/>
          <w:lang w:val="en"/>
        </w:rPr>
        <w:t>.</w:t>
      </w:r>
    </w:p>
    <w:p w14:paraId="0DB905BE" w14:textId="77777777" w:rsidR="004B17E0" w:rsidRPr="005E0127" w:rsidRDefault="004B17E0" w:rsidP="00244F07">
      <w:pPr>
        <w:widowControl w:val="0"/>
        <w:tabs>
          <w:tab w:val="left" w:pos="220"/>
          <w:tab w:val="left" w:pos="720"/>
        </w:tabs>
        <w:autoSpaceDE w:val="0"/>
        <w:autoSpaceDN w:val="0"/>
        <w:adjustRightInd w:val="0"/>
        <w:spacing w:after="0"/>
        <w:rPr>
          <w:b/>
          <w:sz w:val="24"/>
          <w:szCs w:val="24"/>
        </w:rPr>
      </w:pPr>
    </w:p>
    <w:p w14:paraId="28BABAC1" w14:textId="127A3F45" w:rsidR="004B17E0" w:rsidRPr="001D6B4D" w:rsidRDefault="004B17E0" w:rsidP="001D6B4D">
      <w:pPr>
        <w:pStyle w:val="ListParagraph"/>
        <w:widowControl w:val="0"/>
        <w:numPr>
          <w:ilvl w:val="2"/>
          <w:numId w:val="29"/>
        </w:numPr>
        <w:tabs>
          <w:tab w:val="left" w:pos="220"/>
          <w:tab w:val="left" w:pos="720"/>
        </w:tabs>
        <w:autoSpaceDE w:val="0"/>
        <w:autoSpaceDN w:val="0"/>
        <w:adjustRightInd w:val="0"/>
        <w:spacing w:after="0"/>
        <w:rPr>
          <w:b/>
          <w:sz w:val="24"/>
          <w:szCs w:val="24"/>
        </w:rPr>
      </w:pPr>
      <w:r w:rsidRPr="001D6B4D">
        <w:rPr>
          <w:b/>
          <w:sz w:val="24"/>
          <w:szCs w:val="24"/>
        </w:rPr>
        <w:t>Supporting Indonesia’s Regional Aspirations as a Leader in DRM</w:t>
      </w:r>
    </w:p>
    <w:p w14:paraId="34D7C9DA" w14:textId="77777777" w:rsidR="00EC4517" w:rsidRPr="00174C42" w:rsidRDefault="00EC4517" w:rsidP="00EC4517">
      <w:pPr>
        <w:pStyle w:val="ListParagraph"/>
        <w:widowControl w:val="0"/>
        <w:tabs>
          <w:tab w:val="left" w:pos="220"/>
          <w:tab w:val="left" w:pos="720"/>
        </w:tabs>
        <w:autoSpaceDE w:val="0"/>
        <w:autoSpaceDN w:val="0"/>
        <w:adjustRightInd w:val="0"/>
        <w:spacing w:after="0"/>
        <w:rPr>
          <w:b/>
          <w:sz w:val="24"/>
          <w:szCs w:val="24"/>
        </w:rPr>
      </w:pPr>
    </w:p>
    <w:p w14:paraId="1E9B5662" w14:textId="67EAE8CB" w:rsidR="004B17E0" w:rsidRPr="00174C42" w:rsidRDefault="004B17E0" w:rsidP="004B17E0">
      <w:pPr>
        <w:widowControl w:val="0"/>
        <w:tabs>
          <w:tab w:val="left" w:pos="220"/>
          <w:tab w:val="left" w:pos="720"/>
        </w:tabs>
        <w:autoSpaceDE w:val="0"/>
        <w:autoSpaceDN w:val="0"/>
        <w:adjustRightInd w:val="0"/>
        <w:spacing w:after="0"/>
        <w:rPr>
          <w:rFonts w:cs="Arial"/>
          <w:color w:val="000000"/>
          <w:sz w:val="24"/>
          <w:szCs w:val="24"/>
        </w:rPr>
      </w:pPr>
      <w:r w:rsidRPr="00174C42">
        <w:rPr>
          <w:rFonts w:cs="Arial"/>
          <w:color w:val="000000"/>
          <w:sz w:val="24"/>
          <w:szCs w:val="24"/>
        </w:rPr>
        <w:t>The Go</w:t>
      </w:r>
      <w:r w:rsidR="00801E62">
        <w:rPr>
          <w:rFonts w:cs="Arial"/>
          <w:color w:val="000000"/>
          <w:sz w:val="24"/>
          <w:szCs w:val="24"/>
        </w:rPr>
        <w:t>I</w:t>
      </w:r>
      <w:r w:rsidRPr="00174C42">
        <w:rPr>
          <w:rFonts w:cs="Arial"/>
          <w:color w:val="000000"/>
          <w:sz w:val="24"/>
          <w:szCs w:val="24"/>
        </w:rPr>
        <w:t xml:space="preserve">’s aspirations to play a ‘leadership’ role in </w:t>
      </w:r>
      <w:r w:rsidR="00163580">
        <w:rPr>
          <w:rFonts w:cs="Arial"/>
          <w:color w:val="000000"/>
          <w:sz w:val="24"/>
          <w:szCs w:val="24"/>
        </w:rPr>
        <w:t xml:space="preserve">DRM and DRR </w:t>
      </w:r>
      <w:r w:rsidRPr="00174C42">
        <w:rPr>
          <w:rFonts w:cs="Arial"/>
          <w:color w:val="000000"/>
          <w:sz w:val="24"/>
          <w:szCs w:val="24"/>
        </w:rPr>
        <w:t xml:space="preserve">were set in train by ex-President Susilo Bambang Yudhoyono who was at the forefront of efforts to operationalise the Hyogo Framework for Action (2005-2015) at nation state level. In recognition of his efforts, </w:t>
      </w:r>
      <w:r w:rsidR="00801E62">
        <w:rPr>
          <w:rFonts w:cs="Arial"/>
          <w:color w:val="000000"/>
          <w:sz w:val="24"/>
          <w:szCs w:val="24"/>
        </w:rPr>
        <w:t>the e</w:t>
      </w:r>
      <w:r w:rsidRPr="00174C42">
        <w:rPr>
          <w:rFonts w:cs="Arial"/>
          <w:color w:val="000000"/>
          <w:sz w:val="24"/>
          <w:szCs w:val="24"/>
        </w:rPr>
        <w:t xml:space="preserve">x-President was the first person to be designated a global DRR champion by the UN </w:t>
      </w:r>
      <w:r w:rsidR="00801E62">
        <w:rPr>
          <w:rFonts w:cs="Arial"/>
          <w:color w:val="000000"/>
          <w:sz w:val="24"/>
          <w:szCs w:val="24"/>
        </w:rPr>
        <w:t>O</w:t>
      </w:r>
      <w:r w:rsidRPr="00174C42">
        <w:rPr>
          <w:rFonts w:cs="Arial"/>
          <w:color w:val="000000"/>
          <w:sz w:val="24"/>
          <w:szCs w:val="24"/>
        </w:rPr>
        <w:t xml:space="preserve">ffice for </w:t>
      </w:r>
      <w:r w:rsidR="00801E62">
        <w:rPr>
          <w:rFonts w:cs="Arial"/>
          <w:color w:val="000000"/>
          <w:sz w:val="24"/>
          <w:szCs w:val="24"/>
        </w:rPr>
        <w:t>D</w:t>
      </w:r>
      <w:r w:rsidRPr="00174C42">
        <w:rPr>
          <w:rFonts w:cs="Arial"/>
          <w:color w:val="000000"/>
          <w:sz w:val="24"/>
          <w:szCs w:val="24"/>
        </w:rPr>
        <w:t xml:space="preserve">isaster </w:t>
      </w:r>
      <w:r w:rsidR="00801E62">
        <w:rPr>
          <w:rFonts w:cs="Arial"/>
          <w:color w:val="000000"/>
          <w:sz w:val="24"/>
          <w:szCs w:val="24"/>
        </w:rPr>
        <w:t>R</w:t>
      </w:r>
      <w:r w:rsidRPr="00174C42">
        <w:rPr>
          <w:rFonts w:cs="Arial"/>
          <w:color w:val="000000"/>
          <w:sz w:val="24"/>
          <w:szCs w:val="24"/>
        </w:rPr>
        <w:t xml:space="preserve">isk </w:t>
      </w:r>
      <w:r w:rsidR="00801E62">
        <w:rPr>
          <w:rFonts w:cs="Arial"/>
          <w:color w:val="000000"/>
          <w:sz w:val="24"/>
          <w:szCs w:val="24"/>
        </w:rPr>
        <w:t>R</w:t>
      </w:r>
      <w:r w:rsidRPr="00174C42">
        <w:rPr>
          <w:rFonts w:cs="Arial"/>
          <w:color w:val="000000"/>
          <w:sz w:val="24"/>
          <w:szCs w:val="24"/>
        </w:rPr>
        <w:t xml:space="preserve">eduction, UNISDR. At a regional level, Indonesia aggressively lobbied ASEAN member states </w:t>
      </w:r>
      <w:r w:rsidR="00801E62">
        <w:rPr>
          <w:rFonts w:cs="Arial"/>
          <w:color w:val="000000"/>
          <w:sz w:val="24"/>
          <w:szCs w:val="24"/>
        </w:rPr>
        <w:t>for</w:t>
      </w:r>
      <w:r w:rsidRPr="00174C42">
        <w:rPr>
          <w:rFonts w:cs="Arial"/>
          <w:color w:val="000000"/>
          <w:sz w:val="24"/>
          <w:szCs w:val="24"/>
        </w:rPr>
        <w:t xml:space="preserve"> the right to host the ASEAN Coordinating Centre for Humanitarian Assist</w:t>
      </w:r>
      <w:r w:rsidR="00E36D7C" w:rsidRPr="00174C42">
        <w:rPr>
          <w:rFonts w:cs="Arial"/>
          <w:color w:val="000000"/>
          <w:sz w:val="24"/>
          <w:szCs w:val="24"/>
        </w:rPr>
        <w:t>an</w:t>
      </w:r>
      <w:r w:rsidRPr="00174C42">
        <w:rPr>
          <w:rFonts w:cs="Arial"/>
          <w:color w:val="000000"/>
          <w:sz w:val="24"/>
          <w:szCs w:val="24"/>
        </w:rPr>
        <w:t xml:space="preserve">ce (AHA Centre) in Jakarta. </w:t>
      </w:r>
      <w:r w:rsidR="003763A3">
        <w:rPr>
          <w:rFonts w:cs="Arial"/>
          <w:color w:val="000000"/>
          <w:sz w:val="24"/>
          <w:szCs w:val="24"/>
        </w:rPr>
        <w:t xml:space="preserve">Through its support for these Indonesian aspirations, </w:t>
      </w:r>
      <w:r w:rsidRPr="00174C42">
        <w:rPr>
          <w:rFonts w:cs="Arial"/>
          <w:color w:val="000000"/>
          <w:sz w:val="24"/>
          <w:szCs w:val="24"/>
        </w:rPr>
        <w:t>AIFDR has demonstrated relevance</w:t>
      </w:r>
      <w:r w:rsidR="00623718">
        <w:rPr>
          <w:rFonts w:cs="Arial"/>
          <w:color w:val="000000"/>
          <w:sz w:val="24"/>
          <w:szCs w:val="24"/>
        </w:rPr>
        <w:t xml:space="preserve"> </w:t>
      </w:r>
      <w:r w:rsidR="003763A3">
        <w:rPr>
          <w:rFonts w:cs="Arial"/>
          <w:color w:val="000000"/>
          <w:sz w:val="24"/>
          <w:szCs w:val="24"/>
        </w:rPr>
        <w:t>i.e.</w:t>
      </w:r>
      <w:r w:rsidRPr="00174C42">
        <w:rPr>
          <w:rFonts w:cs="Arial"/>
          <w:color w:val="000000"/>
          <w:sz w:val="24"/>
          <w:szCs w:val="24"/>
        </w:rPr>
        <w:t xml:space="preserve"> it has supported Indonesia’s ‘leadership’ aspirations through: (1) AIFDR’s bi-lateral investments that </w:t>
      </w:r>
      <w:r w:rsidR="006E6F14">
        <w:rPr>
          <w:rFonts w:cs="Arial"/>
          <w:color w:val="000000"/>
          <w:sz w:val="24"/>
          <w:szCs w:val="24"/>
        </w:rPr>
        <w:t xml:space="preserve">have </w:t>
      </w:r>
      <w:r w:rsidRPr="00174C42">
        <w:rPr>
          <w:rFonts w:cs="Arial"/>
          <w:color w:val="000000"/>
          <w:sz w:val="24"/>
          <w:szCs w:val="24"/>
        </w:rPr>
        <w:t>help</w:t>
      </w:r>
      <w:r w:rsidR="006E6F14">
        <w:rPr>
          <w:rFonts w:cs="Arial"/>
          <w:color w:val="000000"/>
          <w:sz w:val="24"/>
          <w:szCs w:val="24"/>
        </w:rPr>
        <w:t>ed</w:t>
      </w:r>
      <w:r w:rsidRPr="00174C42">
        <w:rPr>
          <w:rFonts w:cs="Arial"/>
          <w:color w:val="000000"/>
          <w:sz w:val="24"/>
          <w:szCs w:val="24"/>
        </w:rPr>
        <w:t xml:space="preserve"> GoI </w:t>
      </w:r>
      <w:r w:rsidR="00623718">
        <w:rPr>
          <w:rFonts w:cs="Arial"/>
          <w:color w:val="000000"/>
          <w:sz w:val="24"/>
          <w:szCs w:val="24"/>
        </w:rPr>
        <w:t xml:space="preserve">and Indonesian science agencies </w:t>
      </w:r>
      <w:r w:rsidR="006E6F14">
        <w:rPr>
          <w:rFonts w:cs="Arial"/>
          <w:color w:val="000000"/>
          <w:sz w:val="24"/>
          <w:szCs w:val="24"/>
        </w:rPr>
        <w:t xml:space="preserve">build </w:t>
      </w:r>
      <w:r w:rsidR="00F772B6">
        <w:rPr>
          <w:rFonts w:cs="Arial"/>
          <w:color w:val="000000"/>
          <w:sz w:val="24"/>
          <w:szCs w:val="24"/>
        </w:rPr>
        <w:t xml:space="preserve">their </w:t>
      </w:r>
      <w:r w:rsidR="006E6F14">
        <w:rPr>
          <w:rFonts w:cs="Arial"/>
          <w:color w:val="000000"/>
          <w:sz w:val="24"/>
          <w:szCs w:val="24"/>
        </w:rPr>
        <w:t xml:space="preserve">DRR capacities </w:t>
      </w:r>
      <w:r w:rsidR="00F772B6">
        <w:rPr>
          <w:rFonts w:cs="Arial"/>
          <w:color w:val="000000"/>
          <w:sz w:val="24"/>
          <w:szCs w:val="24"/>
        </w:rPr>
        <w:t xml:space="preserve">thereby </w:t>
      </w:r>
      <w:r w:rsidR="006E6F14">
        <w:rPr>
          <w:rFonts w:cs="Arial"/>
          <w:color w:val="000000"/>
          <w:sz w:val="24"/>
          <w:szCs w:val="24"/>
        </w:rPr>
        <w:t xml:space="preserve">bolstering their regional profile for </w:t>
      </w:r>
      <w:r w:rsidR="00F772B6">
        <w:rPr>
          <w:rFonts w:cs="Arial"/>
          <w:color w:val="000000"/>
          <w:sz w:val="24"/>
          <w:szCs w:val="24"/>
        </w:rPr>
        <w:t>credible science</w:t>
      </w:r>
      <w:r w:rsidR="00623718">
        <w:rPr>
          <w:rFonts w:cs="Arial"/>
          <w:color w:val="000000"/>
          <w:sz w:val="24"/>
          <w:szCs w:val="24"/>
        </w:rPr>
        <w:t>;</w:t>
      </w:r>
      <w:r w:rsidRPr="00174C42">
        <w:rPr>
          <w:rFonts w:cs="Arial"/>
          <w:color w:val="000000"/>
          <w:sz w:val="24"/>
          <w:szCs w:val="24"/>
        </w:rPr>
        <w:t xml:space="preserve"> and (2) AIFDR’s support of ASEAN’s AADMER and the AHA Centre</w:t>
      </w:r>
      <w:r w:rsidR="003763A3">
        <w:rPr>
          <w:rStyle w:val="FootnoteReference"/>
          <w:rFonts w:cs="Arial"/>
          <w:color w:val="000000"/>
          <w:sz w:val="24"/>
          <w:szCs w:val="24"/>
        </w:rPr>
        <w:footnoteReference w:id="14"/>
      </w:r>
      <w:r w:rsidRPr="00174C42">
        <w:rPr>
          <w:rFonts w:cs="Arial"/>
          <w:color w:val="000000"/>
          <w:sz w:val="24"/>
          <w:szCs w:val="24"/>
        </w:rPr>
        <w:t>.</w:t>
      </w:r>
    </w:p>
    <w:p w14:paraId="4EA7FE47" w14:textId="77777777" w:rsidR="00244F07" w:rsidRPr="00174C42" w:rsidRDefault="00244F07" w:rsidP="00611CAA">
      <w:pPr>
        <w:rPr>
          <w:b/>
          <w:sz w:val="24"/>
          <w:szCs w:val="24"/>
        </w:rPr>
      </w:pPr>
    </w:p>
    <w:p w14:paraId="1DD2B699" w14:textId="59039407" w:rsidR="00611CAA" w:rsidRPr="00174C42" w:rsidRDefault="00E54D13" w:rsidP="00E54D13">
      <w:pPr>
        <w:pStyle w:val="Heading2"/>
      </w:pPr>
      <w:bookmarkStart w:id="13" w:name="_Toc402431252"/>
      <w:r>
        <w:t>2</w:t>
      </w:r>
      <w:r w:rsidR="00E36D7C" w:rsidRPr="00174C42">
        <w:t>.2</w:t>
      </w:r>
      <w:r w:rsidR="00B114FA" w:rsidRPr="00174C42">
        <w:tab/>
      </w:r>
      <w:r w:rsidR="00611CAA" w:rsidRPr="00174C42">
        <w:t>Effectiveness</w:t>
      </w:r>
      <w:bookmarkEnd w:id="13"/>
      <w:r w:rsidR="00611CAA" w:rsidRPr="00174C42">
        <w:t xml:space="preserve"> </w:t>
      </w:r>
    </w:p>
    <w:p w14:paraId="665137DE" w14:textId="77777777" w:rsidR="00B114FA" w:rsidRPr="00174C42" w:rsidRDefault="00B114FA" w:rsidP="002F7B79">
      <w:pPr>
        <w:spacing w:after="0"/>
        <w:rPr>
          <w:sz w:val="24"/>
          <w:szCs w:val="24"/>
          <w:lang w:val="en-US"/>
        </w:rPr>
      </w:pPr>
    </w:p>
    <w:p w14:paraId="37B3C607" w14:textId="77777777" w:rsidR="00E60FDD" w:rsidRPr="00174C42" w:rsidRDefault="00E60FDD" w:rsidP="00611CAA">
      <w:pPr>
        <w:rPr>
          <w:b/>
          <w:sz w:val="24"/>
          <w:szCs w:val="24"/>
        </w:rPr>
      </w:pPr>
      <w:r w:rsidRPr="00174C42">
        <w:rPr>
          <w:b/>
          <w:noProof/>
          <w:sz w:val="24"/>
          <w:szCs w:val="24"/>
          <w:lang w:eastAsia="en-AU"/>
        </w:rPr>
        <mc:AlternateContent>
          <mc:Choice Requires="wps">
            <w:drawing>
              <wp:anchor distT="45720" distB="45720" distL="114300" distR="114300" simplePos="0" relativeHeight="251661312" behindDoc="0" locked="0" layoutInCell="1" allowOverlap="1" wp14:anchorId="5FA87068" wp14:editId="697B6ABF">
                <wp:simplePos x="0" y="0"/>
                <wp:positionH relativeFrom="column">
                  <wp:posOffset>152400</wp:posOffset>
                </wp:positionH>
                <wp:positionV relativeFrom="paragraph">
                  <wp:posOffset>21590</wp:posOffset>
                </wp:positionV>
                <wp:extent cx="4762500" cy="1066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066800"/>
                        </a:xfrm>
                        <a:prstGeom prst="rect">
                          <a:avLst/>
                        </a:prstGeom>
                        <a:solidFill>
                          <a:schemeClr val="accent3">
                            <a:lumMod val="60000"/>
                            <a:lumOff val="40000"/>
                          </a:schemeClr>
                        </a:solidFill>
                        <a:ln w="9525">
                          <a:solidFill>
                            <a:schemeClr val="tx1"/>
                          </a:solidFill>
                          <a:miter lim="800000"/>
                          <a:headEnd/>
                          <a:tailEnd/>
                        </a:ln>
                      </wps:spPr>
                      <wps:txbx>
                        <w:txbxContent>
                          <w:p w14:paraId="50C3FBFB" w14:textId="77777777" w:rsidR="004D3B28" w:rsidRPr="00B114FA" w:rsidRDefault="004D3B28">
                            <w:pPr>
                              <w:rPr>
                                <w:b/>
                                <w:sz w:val="24"/>
                                <w:szCs w:val="24"/>
                              </w:rPr>
                            </w:pPr>
                            <w:r w:rsidRPr="00B114FA">
                              <w:rPr>
                                <w:b/>
                                <w:sz w:val="24"/>
                                <w:szCs w:val="24"/>
                              </w:rPr>
                              <w:t xml:space="preserve">Effectiveness: </w:t>
                            </w:r>
                          </w:p>
                          <w:p w14:paraId="09A6A80D" w14:textId="39D7265B" w:rsidR="004D3B28" w:rsidRPr="00B114FA" w:rsidRDefault="004D3B28">
                            <w:pPr>
                              <w:rPr>
                                <w:i/>
                                <w:sz w:val="24"/>
                                <w:szCs w:val="24"/>
                              </w:rPr>
                            </w:pPr>
                            <w:r w:rsidRPr="00B114FA">
                              <w:rPr>
                                <w:i/>
                                <w:sz w:val="24"/>
                                <w:szCs w:val="24"/>
                              </w:rPr>
                              <w:t>“The extent to which the development intervention objectives were achieved, or are expected to be achieved, taking into account their relative importance” OECD</w:t>
                            </w:r>
                            <w:r>
                              <w:rPr>
                                <w:i/>
                                <w:sz w:val="24"/>
                                <w:szCs w:val="24"/>
                              </w:rPr>
                              <w:t xml:space="preserve"> definition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pt;margin-top:1.7pt;width:375pt;height: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" fillcolor="#c9c9c9 [1942]" strokecolor="black [3213]">
                <v:textbox>
                  <w:txbxContent>
                    <w:p w14:paraId="50C3FBFB" w14:textId="77777777" w:rsidR="004D3B28" w:rsidRPr="00B114FA" w:rsidRDefault="004D3B28">
                      <w:pPr>
                        <w:rPr>
                          <w:b/>
                          <w:sz w:val="24"/>
                          <w:szCs w:val="24"/>
                        </w:rPr>
                      </w:pPr>
                      <w:r w:rsidRPr="00B114FA">
                        <w:rPr>
                          <w:b/>
                          <w:sz w:val="24"/>
                          <w:szCs w:val="24"/>
                        </w:rPr>
                        <w:t xml:space="preserve">Effectiveness: </w:t>
                      </w:r>
                    </w:p>
                    <w:p w14:paraId="09A6A80D" w14:textId="39D7265B" w:rsidR="004D3B28" w:rsidRPr="00B114FA" w:rsidRDefault="004D3B28">
                      <w:pPr>
                        <w:rPr>
                          <w:i/>
                          <w:sz w:val="24"/>
                          <w:szCs w:val="24"/>
                        </w:rPr>
                      </w:pPr>
                      <w:r w:rsidRPr="00B114FA">
                        <w:rPr>
                          <w:i/>
                          <w:sz w:val="24"/>
                          <w:szCs w:val="24"/>
                        </w:rPr>
                        <w:t>“The extent to which the development intervention objectives were achieved, or are expected to be achieved, taking into account their relative importance” OECD</w:t>
                      </w:r>
                      <w:r>
                        <w:rPr>
                          <w:i/>
                          <w:sz w:val="24"/>
                          <w:szCs w:val="24"/>
                        </w:rPr>
                        <w:t xml:space="preserve"> definition </w:t>
                      </w:r>
                    </w:p>
                  </w:txbxContent>
                </v:textbox>
                <w10:wrap type="square"/>
              </v:shape>
            </w:pict>
          </mc:Fallback>
        </mc:AlternateContent>
      </w:r>
    </w:p>
    <w:p w14:paraId="06C0C819" w14:textId="77777777" w:rsidR="00E60FDD" w:rsidRPr="00174C42" w:rsidRDefault="00E60FDD" w:rsidP="00611CAA">
      <w:pPr>
        <w:rPr>
          <w:b/>
          <w:sz w:val="24"/>
          <w:szCs w:val="24"/>
        </w:rPr>
      </w:pPr>
    </w:p>
    <w:p w14:paraId="2CC91A7C" w14:textId="77777777" w:rsidR="00E60FDD" w:rsidRPr="00174C42" w:rsidRDefault="00E60FDD" w:rsidP="00611CAA">
      <w:pPr>
        <w:rPr>
          <w:b/>
          <w:sz w:val="24"/>
          <w:szCs w:val="24"/>
        </w:rPr>
      </w:pPr>
    </w:p>
    <w:p w14:paraId="3A09D1C0" w14:textId="77777777" w:rsidR="00E60FDD" w:rsidRDefault="00E60FDD" w:rsidP="00611CAA">
      <w:pPr>
        <w:rPr>
          <w:b/>
          <w:sz w:val="24"/>
          <w:szCs w:val="24"/>
        </w:rPr>
      </w:pPr>
    </w:p>
    <w:p w14:paraId="0F5597D7" w14:textId="77777777" w:rsidR="002F7B79" w:rsidRPr="00174C42" w:rsidRDefault="002F7B79" w:rsidP="002F7B79">
      <w:pPr>
        <w:spacing w:after="0"/>
        <w:rPr>
          <w:b/>
          <w:sz w:val="24"/>
          <w:szCs w:val="24"/>
        </w:rPr>
      </w:pPr>
    </w:p>
    <w:p w14:paraId="55677068" w14:textId="169DBE35" w:rsidR="00EC4517" w:rsidRDefault="00244F07" w:rsidP="00A54814">
      <w:pPr>
        <w:rPr>
          <w:rFonts w:cs="Times New Roman"/>
          <w:b/>
          <w:sz w:val="24"/>
          <w:szCs w:val="24"/>
        </w:rPr>
      </w:pPr>
      <w:r w:rsidRPr="00174C42">
        <w:rPr>
          <w:rFonts w:eastAsia="Calibri" w:cs="Calibri"/>
          <w:b/>
          <w:sz w:val="24"/>
          <w:szCs w:val="24"/>
        </w:rPr>
        <w:t>To what extent was AIFDR effective?</w:t>
      </w:r>
      <w:r w:rsidR="00A54814" w:rsidRPr="00174C42">
        <w:rPr>
          <w:rFonts w:eastAsia="Calibri" w:cs="Calibri"/>
          <w:b/>
          <w:sz w:val="24"/>
          <w:szCs w:val="24"/>
        </w:rPr>
        <w:t xml:space="preserve"> Th</w:t>
      </w:r>
      <w:r w:rsidR="00F6783E">
        <w:rPr>
          <w:rFonts w:eastAsia="Calibri" w:cs="Calibri"/>
          <w:b/>
          <w:sz w:val="24"/>
          <w:szCs w:val="24"/>
        </w:rPr>
        <w:t>is</w:t>
      </w:r>
      <w:r w:rsidR="00A54814" w:rsidRPr="00174C42">
        <w:rPr>
          <w:rFonts w:eastAsia="Calibri" w:cs="Calibri"/>
          <w:b/>
          <w:sz w:val="24"/>
          <w:szCs w:val="24"/>
        </w:rPr>
        <w:t xml:space="preserve"> assessment of AIFDR’s effectiveness starts with </w:t>
      </w:r>
      <w:r w:rsidR="00E54D13">
        <w:rPr>
          <w:rFonts w:eastAsia="Calibri" w:cs="Calibri"/>
          <w:b/>
          <w:sz w:val="24"/>
          <w:szCs w:val="24"/>
        </w:rPr>
        <w:t xml:space="preserve">an </w:t>
      </w:r>
      <w:r w:rsidR="00F6783E">
        <w:rPr>
          <w:rFonts w:eastAsia="Calibri" w:cs="Calibri"/>
          <w:b/>
          <w:sz w:val="24"/>
          <w:szCs w:val="24"/>
        </w:rPr>
        <w:t>examination</w:t>
      </w:r>
      <w:r w:rsidR="00A54814" w:rsidRPr="00174C42">
        <w:rPr>
          <w:rFonts w:eastAsia="Calibri" w:cs="Calibri"/>
          <w:b/>
          <w:sz w:val="24"/>
          <w:szCs w:val="24"/>
        </w:rPr>
        <w:t xml:space="preserve"> </w:t>
      </w:r>
      <w:r w:rsidR="00E54D13">
        <w:rPr>
          <w:rFonts w:eastAsia="Calibri" w:cs="Calibri"/>
          <w:b/>
          <w:sz w:val="24"/>
          <w:szCs w:val="24"/>
        </w:rPr>
        <w:t xml:space="preserve">of </w:t>
      </w:r>
      <w:r w:rsidR="00F6783E">
        <w:rPr>
          <w:rFonts w:eastAsia="Calibri" w:cs="Calibri"/>
          <w:b/>
          <w:sz w:val="24"/>
          <w:szCs w:val="24"/>
        </w:rPr>
        <w:t xml:space="preserve">how </w:t>
      </w:r>
      <w:r w:rsidR="00A54814" w:rsidRPr="00174C42">
        <w:rPr>
          <w:rFonts w:eastAsia="Calibri" w:cs="Calibri"/>
          <w:b/>
          <w:sz w:val="24"/>
          <w:szCs w:val="24"/>
        </w:rPr>
        <w:t>AIFDR</w:t>
      </w:r>
      <w:r w:rsidR="00F6783E">
        <w:rPr>
          <w:rFonts w:eastAsia="Calibri" w:cs="Calibri"/>
          <w:b/>
          <w:sz w:val="24"/>
          <w:szCs w:val="24"/>
        </w:rPr>
        <w:t xml:space="preserve"> addressed weak governance arrangements identified in the MTR. </w:t>
      </w:r>
      <w:r w:rsidR="00A54814" w:rsidRPr="00174C42">
        <w:rPr>
          <w:rFonts w:eastAsia="Calibri" w:cs="Calibri"/>
          <w:b/>
          <w:sz w:val="24"/>
          <w:szCs w:val="24"/>
        </w:rPr>
        <w:t xml:space="preserve">This section then proceeds </w:t>
      </w:r>
      <w:r w:rsidR="00031E8C">
        <w:rPr>
          <w:rFonts w:eastAsia="Calibri" w:cs="Calibri"/>
          <w:b/>
          <w:sz w:val="24"/>
          <w:szCs w:val="24"/>
        </w:rPr>
        <w:t>to assess</w:t>
      </w:r>
      <w:r w:rsidR="00A54814" w:rsidRPr="00174C42">
        <w:rPr>
          <w:rFonts w:eastAsia="Calibri" w:cs="Calibri"/>
          <w:b/>
          <w:sz w:val="24"/>
          <w:szCs w:val="24"/>
        </w:rPr>
        <w:t xml:space="preserve"> the extent to which AIFDR achieved its expected end-of-</w:t>
      </w:r>
      <w:r w:rsidR="003763A3">
        <w:rPr>
          <w:rFonts w:eastAsia="Calibri" w:cs="Calibri"/>
          <w:b/>
          <w:sz w:val="24"/>
          <w:szCs w:val="24"/>
        </w:rPr>
        <w:t>facility</w:t>
      </w:r>
      <w:r w:rsidR="003763A3" w:rsidRPr="00174C42">
        <w:rPr>
          <w:rFonts w:eastAsia="Calibri" w:cs="Calibri"/>
          <w:b/>
          <w:sz w:val="24"/>
          <w:szCs w:val="24"/>
        </w:rPr>
        <w:t xml:space="preserve"> </w:t>
      </w:r>
      <w:r w:rsidR="00A54814" w:rsidRPr="00174C42">
        <w:rPr>
          <w:rFonts w:eastAsia="Calibri" w:cs="Calibri"/>
          <w:b/>
          <w:sz w:val="24"/>
          <w:szCs w:val="24"/>
        </w:rPr>
        <w:t>outcomes</w:t>
      </w:r>
      <w:r w:rsidR="00F6783E">
        <w:rPr>
          <w:rFonts w:eastAsia="Calibri" w:cs="Calibri"/>
          <w:b/>
          <w:sz w:val="24"/>
          <w:szCs w:val="24"/>
        </w:rPr>
        <w:t>,</w:t>
      </w:r>
      <w:r w:rsidR="00031E8C">
        <w:rPr>
          <w:rFonts w:eastAsia="Calibri" w:cs="Calibri"/>
          <w:b/>
          <w:sz w:val="24"/>
          <w:szCs w:val="24"/>
        </w:rPr>
        <w:t xml:space="preserve"> </w:t>
      </w:r>
      <w:r w:rsidR="00E60FDD" w:rsidRPr="00174C42">
        <w:rPr>
          <w:rFonts w:eastAsia="Calibri" w:cs="Calibri"/>
          <w:b/>
          <w:sz w:val="24"/>
          <w:szCs w:val="24"/>
        </w:rPr>
        <w:t xml:space="preserve">and also </w:t>
      </w:r>
      <w:r w:rsidR="009D25A5" w:rsidRPr="00174C42">
        <w:rPr>
          <w:rFonts w:eastAsia="Calibri" w:cs="Calibri"/>
          <w:b/>
          <w:sz w:val="24"/>
          <w:szCs w:val="24"/>
        </w:rPr>
        <w:t>examine</w:t>
      </w:r>
      <w:r w:rsidR="00E60FDD" w:rsidRPr="00174C42">
        <w:rPr>
          <w:rFonts w:eastAsia="Calibri" w:cs="Calibri"/>
          <w:b/>
          <w:sz w:val="24"/>
          <w:szCs w:val="24"/>
        </w:rPr>
        <w:t>s</w:t>
      </w:r>
      <w:r w:rsidR="009D25A5" w:rsidRPr="00174C42">
        <w:rPr>
          <w:rFonts w:eastAsia="Calibri" w:cs="Calibri"/>
          <w:b/>
          <w:sz w:val="24"/>
          <w:szCs w:val="24"/>
        </w:rPr>
        <w:t xml:space="preserve"> unintended </w:t>
      </w:r>
      <w:r w:rsidR="009D25A5" w:rsidRPr="00174C42">
        <w:rPr>
          <w:rFonts w:cs="Times New Roman"/>
          <w:b/>
          <w:sz w:val="24"/>
          <w:szCs w:val="24"/>
        </w:rPr>
        <w:t xml:space="preserve">outcomes associated with AIFDR. </w:t>
      </w:r>
    </w:p>
    <w:p w14:paraId="4528C6B8" w14:textId="01FB4986" w:rsidR="00EC4517" w:rsidRDefault="002F7B79" w:rsidP="00A54814">
      <w:pPr>
        <w:rPr>
          <w:rFonts w:cs="Times New Roman"/>
          <w:b/>
          <w:sz w:val="24"/>
          <w:szCs w:val="24"/>
        </w:rPr>
      </w:pPr>
      <w:r>
        <w:rPr>
          <w:rFonts w:cs="Times New Roman"/>
          <w:b/>
          <w:sz w:val="24"/>
          <w:szCs w:val="24"/>
        </w:rPr>
        <w:t>2</w:t>
      </w:r>
      <w:r w:rsidR="00EC4517">
        <w:rPr>
          <w:rFonts w:cs="Times New Roman"/>
          <w:b/>
          <w:sz w:val="24"/>
          <w:szCs w:val="24"/>
        </w:rPr>
        <w:t>.2.1 Governance Arrangements</w:t>
      </w:r>
    </w:p>
    <w:p w14:paraId="168F21A1" w14:textId="1FCC4B61" w:rsidR="00244509" w:rsidRPr="001322D7" w:rsidRDefault="00FF71C2" w:rsidP="00C97E8D">
      <w:pPr>
        <w:rPr>
          <w:sz w:val="24"/>
          <w:szCs w:val="24"/>
        </w:rPr>
      </w:pPr>
      <w:r w:rsidRPr="001322D7">
        <w:rPr>
          <w:color w:val="000000" w:themeColor="text1"/>
          <w:sz w:val="24"/>
          <w:szCs w:val="24"/>
        </w:rPr>
        <w:t xml:space="preserve">AIFDR staff advised the review team the formal governance arrangements for </w:t>
      </w:r>
      <w:r w:rsidR="00B40BE5" w:rsidRPr="001322D7">
        <w:rPr>
          <w:color w:val="000000" w:themeColor="text1"/>
          <w:sz w:val="24"/>
          <w:szCs w:val="24"/>
        </w:rPr>
        <w:t>the Australia-Indonesia partnership</w:t>
      </w:r>
      <w:r w:rsidRPr="001322D7">
        <w:rPr>
          <w:color w:val="000000" w:themeColor="text1"/>
          <w:sz w:val="24"/>
          <w:szCs w:val="24"/>
        </w:rPr>
        <w:t xml:space="preserve"> as </w:t>
      </w:r>
      <w:r w:rsidR="00B001A5" w:rsidRPr="001322D7">
        <w:rPr>
          <w:color w:val="000000" w:themeColor="text1"/>
          <w:sz w:val="24"/>
          <w:szCs w:val="24"/>
        </w:rPr>
        <w:t xml:space="preserve">dictated </w:t>
      </w:r>
      <w:r w:rsidRPr="001322D7">
        <w:rPr>
          <w:color w:val="000000" w:themeColor="text1"/>
          <w:sz w:val="24"/>
          <w:szCs w:val="24"/>
        </w:rPr>
        <w:t xml:space="preserve">by the 2009 design were </w:t>
      </w:r>
      <w:r w:rsidR="00B001A5" w:rsidRPr="001322D7">
        <w:rPr>
          <w:color w:val="000000" w:themeColor="text1"/>
          <w:sz w:val="24"/>
          <w:szCs w:val="24"/>
        </w:rPr>
        <w:t xml:space="preserve">consistently </w:t>
      </w:r>
      <w:r w:rsidRPr="001322D7">
        <w:rPr>
          <w:color w:val="000000" w:themeColor="text1"/>
          <w:sz w:val="24"/>
          <w:szCs w:val="24"/>
        </w:rPr>
        <w:t>problematic</w:t>
      </w:r>
      <w:r w:rsidR="007E3AD2" w:rsidRPr="001322D7">
        <w:rPr>
          <w:color w:val="000000" w:themeColor="text1"/>
          <w:sz w:val="24"/>
          <w:szCs w:val="24"/>
        </w:rPr>
        <w:t xml:space="preserve"> as BNPB for internal reasons sought to distance themselves from Bappenas and the Ministry of Foreign Affairs. AIFDR got caught in </w:t>
      </w:r>
      <w:r w:rsidR="00D42255">
        <w:rPr>
          <w:color w:val="000000" w:themeColor="text1"/>
          <w:sz w:val="24"/>
          <w:szCs w:val="24"/>
        </w:rPr>
        <w:t>these</w:t>
      </w:r>
      <w:r w:rsidR="007E3AD2" w:rsidRPr="001322D7">
        <w:rPr>
          <w:color w:val="000000" w:themeColor="text1"/>
          <w:sz w:val="24"/>
          <w:szCs w:val="24"/>
        </w:rPr>
        <w:t xml:space="preserve"> inter-agency power plays</w:t>
      </w:r>
      <w:r w:rsidR="000252D7" w:rsidRPr="001322D7">
        <w:rPr>
          <w:color w:val="000000" w:themeColor="text1"/>
          <w:sz w:val="24"/>
          <w:szCs w:val="24"/>
        </w:rPr>
        <w:t xml:space="preserve"> </w:t>
      </w:r>
      <w:r w:rsidR="00D42255">
        <w:rPr>
          <w:color w:val="000000" w:themeColor="text1"/>
          <w:sz w:val="24"/>
          <w:szCs w:val="24"/>
        </w:rPr>
        <w:t xml:space="preserve">and was unable to </w:t>
      </w:r>
      <w:r w:rsidR="00144A90">
        <w:rPr>
          <w:color w:val="000000" w:themeColor="text1"/>
          <w:sz w:val="24"/>
          <w:szCs w:val="24"/>
        </w:rPr>
        <w:t xml:space="preserve">pull </w:t>
      </w:r>
      <w:r w:rsidR="000252D7" w:rsidRPr="001322D7">
        <w:rPr>
          <w:color w:val="000000" w:themeColor="text1"/>
          <w:sz w:val="24"/>
          <w:szCs w:val="24"/>
        </w:rPr>
        <w:t>together</w:t>
      </w:r>
      <w:r w:rsidR="007E3AD2" w:rsidRPr="001322D7">
        <w:rPr>
          <w:color w:val="000000" w:themeColor="text1"/>
          <w:sz w:val="24"/>
          <w:szCs w:val="24"/>
        </w:rPr>
        <w:t xml:space="preserve"> </w:t>
      </w:r>
      <w:r w:rsidR="00144A90">
        <w:rPr>
          <w:color w:val="000000" w:themeColor="text1"/>
          <w:sz w:val="24"/>
          <w:szCs w:val="24"/>
        </w:rPr>
        <w:t xml:space="preserve">an </w:t>
      </w:r>
      <w:r w:rsidR="007E3AD2" w:rsidRPr="001322D7">
        <w:rPr>
          <w:color w:val="000000" w:themeColor="text1"/>
          <w:sz w:val="24"/>
          <w:szCs w:val="24"/>
        </w:rPr>
        <w:t>Executive Committee</w:t>
      </w:r>
      <w:r w:rsidR="00D42255">
        <w:rPr>
          <w:color w:val="000000" w:themeColor="text1"/>
          <w:sz w:val="24"/>
          <w:szCs w:val="24"/>
        </w:rPr>
        <w:t xml:space="preserve"> as originally intended</w:t>
      </w:r>
      <w:r w:rsidR="007F2E24" w:rsidRPr="001322D7">
        <w:rPr>
          <w:color w:val="000000" w:themeColor="text1"/>
          <w:sz w:val="24"/>
          <w:szCs w:val="24"/>
        </w:rPr>
        <w:t xml:space="preserve">. The MTR identified AIFDR’s governance was weak, and </w:t>
      </w:r>
      <w:r w:rsidR="007F2E24" w:rsidRPr="001322D7">
        <w:rPr>
          <w:sz w:val="24"/>
          <w:szCs w:val="24"/>
        </w:rPr>
        <w:t>re</w:t>
      </w:r>
      <w:r w:rsidR="00B40BE5" w:rsidRPr="001322D7">
        <w:rPr>
          <w:sz w:val="24"/>
          <w:szCs w:val="24"/>
        </w:rPr>
        <w:t xml:space="preserve">commended the establishment of an </w:t>
      </w:r>
      <w:r w:rsidR="00CA2E42" w:rsidRPr="001322D7">
        <w:rPr>
          <w:sz w:val="24"/>
          <w:szCs w:val="24"/>
        </w:rPr>
        <w:t>Executive Committee</w:t>
      </w:r>
      <w:r w:rsidR="00B001A5" w:rsidRPr="001322D7">
        <w:rPr>
          <w:sz w:val="24"/>
          <w:szCs w:val="24"/>
        </w:rPr>
        <w:t>.</w:t>
      </w:r>
      <w:r w:rsidR="001A192C" w:rsidRPr="001322D7">
        <w:rPr>
          <w:sz w:val="24"/>
          <w:szCs w:val="24"/>
        </w:rPr>
        <w:t xml:space="preserve"> </w:t>
      </w:r>
      <w:r w:rsidR="00244509" w:rsidRPr="001322D7">
        <w:rPr>
          <w:sz w:val="24"/>
          <w:szCs w:val="24"/>
        </w:rPr>
        <w:t>In January 2012</w:t>
      </w:r>
      <w:r w:rsidR="002323BD" w:rsidRPr="001322D7">
        <w:rPr>
          <w:sz w:val="24"/>
          <w:szCs w:val="24"/>
        </w:rPr>
        <w:t>,</w:t>
      </w:r>
      <w:r w:rsidR="006468BE" w:rsidRPr="001322D7">
        <w:rPr>
          <w:sz w:val="24"/>
          <w:szCs w:val="24"/>
        </w:rPr>
        <w:t xml:space="preserve"> Australia and Indonesia agreed to</w:t>
      </w:r>
      <w:r w:rsidR="003E4F8A" w:rsidRPr="001322D7">
        <w:rPr>
          <w:sz w:val="24"/>
          <w:szCs w:val="24"/>
        </w:rPr>
        <w:t xml:space="preserve"> </w:t>
      </w:r>
      <w:r w:rsidR="006468BE" w:rsidRPr="001322D7">
        <w:rPr>
          <w:sz w:val="24"/>
          <w:szCs w:val="24"/>
        </w:rPr>
        <w:t xml:space="preserve">establish </w:t>
      </w:r>
      <w:r w:rsidR="00244509" w:rsidRPr="001322D7">
        <w:rPr>
          <w:sz w:val="24"/>
          <w:szCs w:val="24"/>
        </w:rPr>
        <w:t xml:space="preserve">that </w:t>
      </w:r>
      <w:r w:rsidR="006468BE" w:rsidRPr="001322D7">
        <w:rPr>
          <w:sz w:val="24"/>
          <w:szCs w:val="24"/>
        </w:rPr>
        <w:t>Executive Committee</w:t>
      </w:r>
      <w:r w:rsidR="00244509" w:rsidRPr="001322D7">
        <w:rPr>
          <w:sz w:val="24"/>
          <w:szCs w:val="24"/>
        </w:rPr>
        <w:t xml:space="preserve"> but</w:t>
      </w:r>
      <w:r w:rsidR="003E4F8A" w:rsidRPr="001322D7">
        <w:rPr>
          <w:sz w:val="24"/>
          <w:szCs w:val="24"/>
        </w:rPr>
        <w:t>, following a request from BNPB</w:t>
      </w:r>
      <w:r w:rsidR="00244509" w:rsidRPr="001322D7">
        <w:rPr>
          <w:sz w:val="24"/>
          <w:szCs w:val="24"/>
        </w:rPr>
        <w:t>,</w:t>
      </w:r>
      <w:r w:rsidR="003E4F8A" w:rsidRPr="001322D7">
        <w:rPr>
          <w:sz w:val="24"/>
          <w:szCs w:val="24"/>
        </w:rPr>
        <w:t xml:space="preserve"> the membership of the Executive Committee </w:t>
      </w:r>
      <w:r w:rsidR="00244509" w:rsidRPr="001322D7">
        <w:rPr>
          <w:sz w:val="24"/>
          <w:szCs w:val="24"/>
        </w:rPr>
        <w:t>was amended from</w:t>
      </w:r>
      <w:r w:rsidR="003E4F8A" w:rsidRPr="001322D7">
        <w:rPr>
          <w:sz w:val="24"/>
          <w:szCs w:val="24"/>
        </w:rPr>
        <w:t xml:space="preserve"> that proposed in the MTR. BNPB requested that they have sole responsibility for inviting other GoI line ministries</w:t>
      </w:r>
      <w:r w:rsidR="0088707E" w:rsidRPr="001322D7">
        <w:rPr>
          <w:sz w:val="24"/>
          <w:szCs w:val="24"/>
        </w:rPr>
        <w:t xml:space="preserve">, which ostensibly </w:t>
      </w:r>
      <w:r w:rsidR="00A55587" w:rsidRPr="001322D7">
        <w:rPr>
          <w:sz w:val="24"/>
          <w:szCs w:val="24"/>
        </w:rPr>
        <w:t>limited invitees to only those approved by BNBP.</w:t>
      </w:r>
    </w:p>
    <w:p w14:paraId="28224548" w14:textId="46B14C4E" w:rsidR="00191B2A" w:rsidRDefault="003E4F8A" w:rsidP="00C97E8D">
      <w:pPr>
        <w:rPr>
          <w:sz w:val="24"/>
          <w:szCs w:val="24"/>
        </w:rPr>
      </w:pPr>
      <w:r w:rsidRPr="00C97E8D">
        <w:rPr>
          <w:sz w:val="24"/>
          <w:szCs w:val="24"/>
        </w:rPr>
        <w:t xml:space="preserve">AIFDR Executive Committee meetings </w:t>
      </w:r>
      <w:r w:rsidR="00244509">
        <w:rPr>
          <w:sz w:val="24"/>
          <w:szCs w:val="24"/>
        </w:rPr>
        <w:t xml:space="preserve">have been held three times per year and, </w:t>
      </w:r>
      <w:r w:rsidRPr="00C97E8D">
        <w:rPr>
          <w:sz w:val="24"/>
          <w:szCs w:val="24"/>
        </w:rPr>
        <w:t>to date</w:t>
      </w:r>
      <w:r w:rsidR="00244509">
        <w:rPr>
          <w:sz w:val="24"/>
          <w:szCs w:val="24"/>
        </w:rPr>
        <w:t>,</w:t>
      </w:r>
      <w:r w:rsidRPr="00C97E8D">
        <w:rPr>
          <w:sz w:val="24"/>
          <w:szCs w:val="24"/>
        </w:rPr>
        <w:t xml:space="preserve"> have included </w:t>
      </w:r>
      <w:r w:rsidR="00244509">
        <w:rPr>
          <w:sz w:val="24"/>
          <w:szCs w:val="24"/>
        </w:rPr>
        <w:t>H</w:t>
      </w:r>
      <w:r w:rsidR="00244509" w:rsidRPr="00C97E8D">
        <w:rPr>
          <w:sz w:val="24"/>
          <w:szCs w:val="24"/>
        </w:rPr>
        <w:t xml:space="preserve">ead </w:t>
      </w:r>
      <w:r w:rsidR="00FF71C2" w:rsidRPr="00C97E8D">
        <w:rPr>
          <w:sz w:val="24"/>
          <w:szCs w:val="24"/>
        </w:rPr>
        <w:t xml:space="preserve">of BNPB, Head of Australian </w:t>
      </w:r>
      <w:r w:rsidRPr="00C97E8D">
        <w:rPr>
          <w:sz w:val="24"/>
          <w:szCs w:val="24"/>
        </w:rPr>
        <w:t>A</w:t>
      </w:r>
      <w:r w:rsidR="00FF71C2" w:rsidRPr="00C97E8D">
        <w:rPr>
          <w:sz w:val="24"/>
          <w:szCs w:val="24"/>
        </w:rPr>
        <w:t>id, and representatives typically from Bappenas and Ministry of Home Affairs.</w:t>
      </w:r>
      <w:r w:rsidR="00B40BE5" w:rsidRPr="00C97E8D">
        <w:rPr>
          <w:sz w:val="24"/>
          <w:szCs w:val="24"/>
        </w:rPr>
        <w:t xml:space="preserve"> </w:t>
      </w:r>
      <w:r w:rsidR="00244509">
        <w:rPr>
          <w:sz w:val="24"/>
          <w:szCs w:val="24"/>
        </w:rPr>
        <w:t xml:space="preserve">The Executive Committee was tasked to assess AIFDR’s </w:t>
      </w:r>
      <w:r w:rsidR="00244509" w:rsidRPr="006468BE">
        <w:rPr>
          <w:sz w:val="24"/>
          <w:szCs w:val="24"/>
        </w:rPr>
        <w:t xml:space="preserve">efficiency and </w:t>
      </w:r>
      <w:r w:rsidR="00244509">
        <w:rPr>
          <w:sz w:val="24"/>
          <w:szCs w:val="24"/>
        </w:rPr>
        <w:t xml:space="preserve">to provide </w:t>
      </w:r>
      <w:r w:rsidR="00244509" w:rsidRPr="006468BE">
        <w:rPr>
          <w:sz w:val="24"/>
          <w:szCs w:val="24"/>
        </w:rPr>
        <w:t xml:space="preserve">high level strategic oversight. </w:t>
      </w:r>
      <w:r w:rsidR="00244509">
        <w:rPr>
          <w:color w:val="000000" w:themeColor="text1"/>
          <w:sz w:val="24"/>
          <w:szCs w:val="24"/>
        </w:rPr>
        <w:t>It</w:t>
      </w:r>
      <w:r w:rsidR="00F95813" w:rsidRPr="00C97E8D">
        <w:rPr>
          <w:color w:val="000000" w:themeColor="text1"/>
          <w:sz w:val="24"/>
          <w:szCs w:val="24"/>
        </w:rPr>
        <w:t xml:space="preserve"> has operated as a high-level meeting affirming the Australia-Indonesia bilateral relationship and </w:t>
      </w:r>
      <w:r w:rsidR="00244509">
        <w:rPr>
          <w:color w:val="000000" w:themeColor="text1"/>
          <w:sz w:val="24"/>
          <w:szCs w:val="24"/>
        </w:rPr>
        <w:t xml:space="preserve">mutual </w:t>
      </w:r>
      <w:r w:rsidR="00F95813" w:rsidRPr="00C97E8D">
        <w:rPr>
          <w:color w:val="000000" w:themeColor="text1"/>
          <w:sz w:val="24"/>
          <w:szCs w:val="24"/>
        </w:rPr>
        <w:t>commitment</w:t>
      </w:r>
      <w:r w:rsidR="00244509">
        <w:rPr>
          <w:color w:val="000000" w:themeColor="text1"/>
          <w:sz w:val="24"/>
          <w:szCs w:val="24"/>
        </w:rPr>
        <w:t>s</w:t>
      </w:r>
      <w:r w:rsidR="00F95813" w:rsidRPr="00C97E8D">
        <w:rPr>
          <w:color w:val="000000" w:themeColor="text1"/>
          <w:sz w:val="24"/>
          <w:szCs w:val="24"/>
        </w:rPr>
        <w:t xml:space="preserve"> to </w:t>
      </w:r>
      <w:r w:rsidR="00F93705">
        <w:rPr>
          <w:color w:val="000000" w:themeColor="text1"/>
          <w:sz w:val="24"/>
          <w:szCs w:val="24"/>
        </w:rPr>
        <w:t>DRR and the disaster management</w:t>
      </w:r>
      <w:r w:rsidR="00F93705" w:rsidRPr="00C97E8D">
        <w:rPr>
          <w:color w:val="000000" w:themeColor="text1"/>
          <w:sz w:val="24"/>
          <w:szCs w:val="24"/>
        </w:rPr>
        <w:t xml:space="preserve"> </w:t>
      </w:r>
      <w:r w:rsidR="00F95813" w:rsidRPr="00C97E8D">
        <w:rPr>
          <w:color w:val="000000" w:themeColor="text1"/>
          <w:sz w:val="24"/>
          <w:szCs w:val="24"/>
        </w:rPr>
        <w:t>sector</w:t>
      </w:r>
      <w:r w:rsidR="00244509">
        <w:rPr>
          <w:color w:val="000000" w:themeColor="text1"/>
          <w:sz w:val="24"/>
          <w:szCs w:val="24"/>
        </w:rPr>
        <w:t>. However, it</w:t>
      </w:r>
      <w:r w:rsidR="00F95813" w:rsidRPr="00C97E8D">
        <w:rPr>
          <w:color w:val="000000" w:themeColor="text1"/>
          <w:sz w:val="24"/>
          <w:szCs w:val="24"/>
        </w:rPr>
        <w:t xml:space="preserve"> has been more political than operational</w:t>
      </w:r>
      <w:r w:rsidR="00244509">
        <w:rPr>
          <w:color w:val="000000" w:themeColor="text1"/>
          <w:sz w:val="24"/>
          <w:szCs w:val="24"/>
        </w:rPr>
        <w:t xml:space="preserve"> and has generally failed to deliver</w:t>
      </w:r>
      <w:r w:rsidR="001419A0">
        <w:rPr>
          <w:color w:val="000000" w:themeColor="text1"/>
          <w:sz w:val="24"/>
          <w:szCs w:val="24"/>
        </w:rPr>
        <w:t xml:space="preserve"> </w:t>
      </w:r>
      <w:r w:rsidR="00C97E8D" w:rsidRPr="00C97E8D">
        <w:rPr>
          <w:color w:val="000000" w:themeColor="text1"/>
          <w:sz w:val="24"/>
          <w:szCs w:val="24"/>
        </w:rPr>
        <w:t>the high level strateg</w:t>
      </w:r>
      <w:r w:rsidR="00244509">
        <w:rPr>
          <w:color w:val="000000" w:themeColor="text1"/>
          <w:sz w:val="24"/>
          <w:szCs w:val="24"/>
        </w:rPr>
        <w:t>ic</w:t>
      </w:r>
      <w:r w:rsidR="00C97E8D" w:rsidRPr="00C97E8D">
        <w:rPr>
          <w:color w:val="000000" w:themeColor="text1"/>
          <w:sz w:val="24"/>
          <w:szCs w:val="24"/>
        </w:rPr>
        <w:t xml:space="preserve"> and programming advice as originally proposed. Operational level decision</w:t>
      </w:r>
      <w:r w:rsidR="00244509">
        <w:rPr>
          <w:color w:val="000000" w:themeColor="text1"/>
          <w:sz w:val="24"/>
          <w:szCs w:val="24"/>
        </w:rPr>
        <w:t>-</w:t>
      </w:r>
      <w:r w:rsidR="00C97E8D" w:rsidRPr="00C97E8D">
        <w:rPr>
          <w:color w:val="000000" w:themeColor="text1"/>
          <w:sz w:val="24"/>
          <w:szCs w:val="24"/>
        </w:rPr>
        <w:t xml:space="preserve">making through AIFDR Phase 1 has been largely negotiated at the co-director level through regular monthly meetings of co-directors. </w:t>
      </w:r>
      <w:r w:rsidR="00244509">
        <w:rPr>
          <w:color w:val="000000" w:themeColor="text1"/>
          <w:sz w:val="24"/>
          <w:szCs w:val="24"/>
        </w:rPr>
        <w:t xml:space="preserve">The new design for Phase 2 addresses this issue by including </w:t>
      </w:r>
      <w:r w:rsidR="00244509" w:rsidRPr="00C97E8D">
        <w:rPr>
          <w:color w:val="000000" w:themeColor="text1"/>
          <w:sz w:val="24"/>
          <w:szCs w:val="24"/>
        </w:rPr>
        <w:t xml:space="preserve">a Steering Committee made up of operational staff through which programming issues can be more </w:t>
      </w:r>
      <w:r w:rsidR="00244509">
        <w:rPr>
          <w:color w:val="000000" w:themeColor="text1"/>
          <w:sz w:val="24"/>
          <w:szCs w:val="24"/>
        </w:rPr>
        <w:t>easily addressed</w:t>
      </w:r>
      <w:r w:rsidR="00244509" w:rsidRPr="00C97E8D">
        <w:rPr>
          <w:color w:val="000000" w:themeColor="text1"/>
          <w:sz w:val="24"/>
          <w:szCs w:val="24"/>
        </w:rPr>
        <w:t xml:space="preserve">. </w:t>
      </w:r>
      <w:r w:rsidR="002323BD">
        <w:rPr>
          <w:color w:val="000000" w:themeColor="text1"/>
          <w:sz w:val="24"/>
          <w:szCs w:val="24"/>
        </w:rPr>
        <w:t>In summary, t</w:t>
      </w:r>
      <w:r w:rsidR="00275418">
        <w:rPr>
          <w:sz w:val="24"/>
          <w:szCs w:val="24"/>
        </w:rPr>
        <w:t xml:space="preserve">he review team can confirm AIFDR </w:t>
      </w:r>
      <w:r w:rsidR="00D66D20">
        <w:rPr>
          <w:sz w:val="24"/>
          <w:szCs w:val="24"/>
        </w:rPr>
        <w:t xml:space="preserve">has successfully followed through on the MTR </w:t>
      </w:r>
      <w:r w:rsidR="00C97E8D">
        <w:rPr>
          <w:sz w:val="24"/>
          <w:szCs w:val="24"/>
        </w:rPr>
        <w:t xml:space="preserve">recommendation to </w:t>
      </w:r>
      <w:r w:rsidR="00D66D20">
        <w:rPr>
          <w:sz w:val="24"/>
          <w:szCs w:val="24"/>
        </w:rPr>
        <w:t>establish an Executive Committee to stre</w:t>
      </w:r>
      <w:r w:rsidR="00C97E8D">
        <w:rPr>
          <w:sz w:val="24"/>
          <w:szCs w:val="24"/>
        </w:rPr>
        <w:t xml:space="preserve">ngthen governance arrangements, and </w:t>
      </w:r>
      <w:r w:rsidR="00420E7C">
        <w:rPr>
          <w:sz w:val="24"/>
          <w:szCs w:val="24"/>
        </w:rPr>
        <w:t xml:space="preserve">furthermore, that </w:t>
      </w:r>
      <w:r w:rsidR="00C97E8D">
        <w:rPr>
          <w:sz w:val="24"/>
          <w:szCs w:val="24"/>
        </w:rPr>
        <w:t xml:space="preserve">the </w:t>
      </w:r>
      <w:r w:rsidR="00420E7C">
        <w:rPr>
          <w:sz w:val="24"/>
          <w:szCs w:val="24"/>
        </w:rPr>
        <w:t xml:space="preserve">proposals </w:t>
      </w:r>
      <w:r w:rsidR="00C97E8D">
        <w:rPr>
          <w:sz w:val="24"/>
          <w:szCs w:val="24"/>
        </w:rPr>
        <w:t>for further improve</w:t>
      </w:r>
      <w:r w:rsidR="00191B2A">
        <w:rPr>
          <w:sz w:val="24"/>
          <w:szCs w:val="24"/>
        </w:rPr>
        <w:t xml:space="preserve">ments </w:t>
      </w:r>
      <w:r w:rsidR="00420E7C">
        <w:rPr>
          <w:sz w:val="24"/>
          <w:szCs w:val="24"/>
        </w:rPr>
        <w:t>in</w:t>
      </w:r>
      <w:r w:rsidR="001419A0">
        <w:rPr>
          <w:sz w:val="24"/>
          <w:szCs w:val="24"/>
        </w:rPr>
        <w:t xml:space="preserve"> </w:t>
      </w:r>
      <w:r w:rsidR="00C97E8D">
        <w:rPr>
          <w:sz w:val="24"/>
          <w:szCs w:val="24"/>
        </w:rPr>
        <w:t xml:space="preserve">existing governance arrangements </w:t>
      </w:r>
      <w:r w:rsidR="00420E7C">
        <w:rPr>
          <w:sz w:val="24"/>
          <w:szCs w:val="24"/>
        </w:rPr>
        <w:t>should yield more effective decision-making in AIFDR</w:t>
      </w:r>
      <w:r w:rsidR="00EA0343">
        <w:rPr>
          <w:sz w:val="24"/>
          <w:szCs w:val="24"/>
        </w:rPr>
        <w:t xml:space="preserve"> Phase 2</w:t>
      </w:r>
      <w:r w:rsidR="00191B2A">
        <w:rPr>
          <w:sz w:val="24"/>
          <w:szCs w:val="24"/>
        </w:rPr>
        <w:t xml:space="preserve">. </w:t>
      </w:r>
    </w:p>
    <w:p w14:paraId="11F69F6C" w14:textId="6CD3C4A4" w:rsidR="00DC0DF2" w:rsidRDefault="00D66D20" w:rsidP="003E4F8A">
      <w:pPr>
        <w:rPr>
          <w:sz w:val="24"/>
          <w:szCs w:val="24"/>
        </w:rPr>
      </w:pPr>
      <w:r w:rsidRPr="00D66D20">
        <w:rPr>
          <w:sz w:val="24"/>
          <w:szCs w:val="24"/>
        </w:rPr>
        <w:t xml:space="preserve">The MTR also recommended the establishment of a Joint Monitoring Group to </w:t>
      </w:r>
      <w:r w:rsidR="001419A0">
        <w:rPr>
          <w:sz w:val="24"/>
          <w:szCs w:val="24"/>
        </w:rPr>
        <w:t xml:space="preserve">strengthen </w:t>
      </w:r>
      <w:r w:rsidRPr="00D66D20">
        <w:rPr>
          <w:sz w:val="24"/>
          <w:szCs w:val="24"/>
        </w:rPr>
        <w:t xml:space="preserve">program governance. </w:t>
      </w:r>
      <w:r w:rsidR="00420E7C">
        <w:rPr>
          <w:sz w:val="24"/>
          <w:szCs w:val="24"/>
        </w:rPr>
        <w:t>A</w:t>
      </w:r>
      <w:r w:rsidRPr="00D66D20">
        <w:rPr>
          <w:sz w:val="24"/>
          <w:szCs w:val="24"/>
        </w:rPr>
        <w:t xml:space="preserve"> </w:t>
      </w:r>
      <w:r w:rsidR="003E4F8A" w:rsidRPr="00D66D20">
        <w:rPr>
          <w:sz w:val="24"/>
          <w:szCs w:val="24"/>
        </w:rPr>
        <w:t>Joint Monitoring Committee was not formally established despite attempts by AIFDR. Instead</w:t>
      </w:r>
      <w:r w:rsidR="00420E7C">
        <w:rPr>
          <w:sz w:val="24"/>
          <w:szCs w:val="24"/>
        </w:rPr>
        <w:t>,</w:t>
      </w:r>
      <w:r w:rsidR="003E4F8A" w:rsidRPr="00D66D20">
        <w:rPr>
          <w:sz w:val="24"/>
          <w:szCs w:val="24"/>
        </w:rPr>
        <w:t xml:space="preserve"> focal points from BNPB were identified for R</w:t>
      </w:r>
      <w:r w:rsidRPr="00D66D20">
        <w:rPr>
          <w:sz w:val="24"/>
          <w:szCs w:val="24"/>
        </w:rPr>
        <w:t>isk and Vulnerability; Training and Outre</w:t>
      </w:r>
      <w:r w:rsidR="002323BD">
        <w:rPr>
          <w:sz w:val="24"/>
          <w:szCs w:val="24"/>
        </w:rPr>
        <w:t>ach; and Partnership components (</w:t>
      </w:r>
      <w:r w:rsidR="003E4F8A" w:rsidRPr="00D66D20">
        <w:rPr>
          <w:sz w:val="24"/>
          <w:szCs w:val="24"/>
        </w:rPr>
        <w:t>this was an informal arrangement</w:t>
      </w:r>
      <w:r w:rsidR="002323BD">
        <w:rPr>
          <w:sz w:val="24"/>
          <w:szCs w:val="24"/>
        </w:rPr>
        <w:t>)</w:t>
      </w:r>
      <w:r w:rsidR="003E4F8A" w:rsidRPr="00D66D20">
        <w:rPr>
          <w:sz w:val="24"/>
          <w:szCs w:val="24"/>
        </w:rPr>
        <w:t xml:space="preserve">. </w:t>
      </w:r>
      <w:r w:rsidR="00DC0DF2">
        <w:rPr>
          <w:sz w:val="24"/>
          <w:szCs w:val="24"/>
        </w:rPr>
        <w:t xml:space="preserve">The review team considers </w:t>
      </w:r>
      <w:r w:rsidR="007F2E24">
        <w:rPr>
          <w:sz w:val="24"/>
          <w:szCs w:val="24"/>
        </w:rPr>
        <w:t>this</w:t>
      </w:r>
      <w:r w:rsidR="001419A0">
        <w:rPr>
          <w:sz w:val="24"/>
          <w:szCs w:val="24"/>
        </w:rPr>
        <w:t xml:space="preserve"> </w:t>
      </w:r>
      <w:r w:rsidR="00A079CB">
        <w:rPr>
          <w:sz w:val="24"/>
          <w:szCs w:val="24"/>
        </w:rPr>
        <w:t xml:space="preserve">informal </w:t>
      </w:r>
      <w:r w:rsidR="001419A0">
        <w:rPr>
          <w:sz w:val="24"/>
          <w:szCs w:val="24"/>
        </w:rPr>
        <w:t>arrangement of focal poi</w:t>
      </w:r>
      <w:r w:rsidR="00DC0DF2">
        <w:rPr>
          <w:sz w:val="24"/>
          <w:szCs w:val="24"/>
        </w:rPr>
        <w:t xml:space="preserve">nts </w:t>
      </w:r>
      <w:r w:rsidR="00EA0343">
        <w:rPr>
          <w:sz w:val="24"/>
          <w:szCs w:val="24"/>
        </w:rPr>
        <w:t>w</w:t>
      </w:r>
      <w:r w:rsidR="00D064C7">
        <w:rPr>
          <w:sz w:val="24"/>
          <w:szCs w:val="24"/>
        </w:rPr>
        <w:t>as sub-optimal</w:t>
      </w:r>
      <w:r w:rsidR="00A079CB">
        <w:rPr>
          <w:sz w:val="24"/>
          <w:szCs w:val="24"/>
        </w:rPr>
        <w:t>.</w:t>
      </w:r>
      <w:r w:rsidR="00D064C7">
        <w:rPr>
          <w:sz w:val="24"/>
          <w:szCs w:val="24"/>
        </w:rPr>
        <w:t xml:space="preserve"> </w:t>
      </w:r>
    </w:p>
    <w:p w14:paraId="5C1AFA9E" w14:textId="1EA1392F" w:rsidR="003A3BE1" w:rsidRDefault="00EA0343" w:rsidP="003E4F8A">
      <w:pPr>
        <w:rPr>
          <w:color w:val="FF0000"/>
          <w:sz w:val="24"/>
          <w:szCs w:val="24"/>
        </w:rPr>
      </w:pPr>
      <w:r>
        <w:rPr>
          <w:rFonts w:cs="Times New Roman"/>
          <w:sz w:val="24"/>
          <w:szCs w:val="24"/>
        </w:rPr>
        <w:t xml:space="preserve">The review team found AIFDR has only poorly complied with </w:t>
      </w:r>
      <w:r w:rsidR="00A079CB">
        <w:rPr>
          <w:rFonts w:cs="Times New Roman"/>
          <w:sz w:val="24"/>
          <w:szCs w:val="24"/>
        </w:rPr>
        <w:t xml:space="preserve">standard quality assurance systems </w:t>
      </w:r>
      <w:r w:rsidR="003A3BE1" w:rsidRPr="00174C42">
        <w:rPr>
          <w:rFonts w:cs="Times New Roman"/>
          <w:sz w:val="24"/>
          <w:szCs w:val="24"/>
        </w:rPr>
        <w:t>e</w:t>
      </w:r>
      <w:r w:rsidR="003A3BE1">
        <w:rPr>
          <w:rFonts w:cs="Times New Roman"/>
          <w:sz w:val="24"/>
          <w:szCs w:val="24"/>
        </w:rPr>
        <w:t>.</w:t>
      </w:r>
      <w:r w:rsidR="003A3BE1" w:rsidRPr="00174C42">
        <w:rPr>
          <w:rFonts w:cs="Times New Roman"/>
          <w:sz w:val="24"/>
          <w:szCs w:val="24"/>
        </w:rPr>
        <w:t>g</w:t>
      </w:r>
      <w:r w:rsidR="003A3BE1">
        <w:rPr>
          <w:rFonts w:cs="Times New Roman"/>
          <w:sz w:val="24"/>
          <w:szCs w:val="24"/>
        </w:rPr>
        <w:t>.</w:t>
      </w:r>
      <w:r w:rsidR="003A3BE1" w:rsidRPr="00174C42">
        <w:rPr>
          <w:rFonts w:cs="Times New Roman"/>
          <w:sz w:val="24"/>
          <w:szCs w:val="24"/>
        </w:rPr>
        <w:t xml:space="preserve"> </w:t>
      </w:r>
      <w:r w:rsidR="003A3BE1">
        <w:rPr>
          <w:rFonts w:cs="Times New Roman"/>
          <w:sz w:val="24"/>
          <w:szCs w:val="24"/>
        </w:rPr>
        <w:t>p</w:t>
      </w:r>
      <w:r w:rsidR="003A3BE1" w:rsidRPr="00174C42">
        <w:rPr>
          <w:rFonts w:cs="Times New Roman"/>
          <w:sz w:val="24"/>
          <w:szCs w:val="24"/>
        </w:rPr>
        <w:t xml:space="preserve">oor facility level M&amp;E, and weak documentation of decision making processes related to resource allocations around AIFDR investments. The </w:t>
      </w:r>
      <w:r w:rsidR="003A3BE1">
        <w:rPr>
          <w:rFonts w:cs="Times New Roman"/>
          <w:sz w:val="24"/>
          <w:szCs w:val="24"/>
        </w:rPr>
        <w:t>review</w:t>
      </w:r>
      <w:r w:rsidR="003A3BE1" w:rsidRPr="00174C42">
        <w:rPr>
          <w:rFonts w:cs="Times New Roman"/>
          <w:sz w:val="24"/>
          <w:szCs w:val="24"/>
        </w:rPr>
        <w:t xml:space="preserve"> team </w:t>
      </w:r>
      <w:r w:rsidR="003A3BE1">
        <w:rPr>
          <w:rFonts w:cs="Times New Roman"/>
          <w:sz w:val="24"/>
          <w:szCs w:val="24"/>
        </w:rPr>
        <w:t>conclude</w:t>
      </w:r>
      <w:r w:rsidR="003A3BE1" w:rsidRPr="00174C42">
        <w:rPr>
          <w:rFonts w:cs="Times New Roman"/>
          <w:sz w:val="24"/>
          <w:szCs w:val="24"/>
        </w:rPr>
        <w:t xml:space="preserve"> poor compliance with standard accountability processes has resulted in AIFDR not having ready access to documentation evidencing</w:t>
      </w:r>
      <w:r w:rsidR="003A3BE1">
        <w:rPr>
          <w:rFonts w:cs="Times New Roman"/>
          <w:sz w:val="24"/>
          <w:szCs w:val="24"/>
        </w:rPr>
        <w:t>,</w:t>
      </w:r>
      <w:r w:rsidR="003A3BE1" w:rsidRPr="00174C42">
        <w:rPr>
          <w:rFonts w:cs="Times New Roman"/>
          <w:sz w:val="24"/>
          <w:szCs w:val="24"/>
        </w:rPr>
        <w:t xml:space="preserve"> at a whole</w:t>
      </w:r>
      <w:r w:rsidR="003A3BE1">
        <w:rPr>
          <w:rFonts w:cs="Times New Roman"/>
          <w:sz w:val="24"/>
          <w:szCs w:val="24"/>
        </w:rPr>
        <w:t>-</w:t>
      </w:r>
      <w:r w:rsidR="003A3BE1" w:rsidRPr="00174C42">
        <w:rPr>
          <w:rFonts w:cs="Times New Roman"/>
          <w:sz w:val="24"/>
          <w:szCs w:val="24"/>
        </w:rPr>
        <w:t>of</w:t>
      </w:r>
      <w:r w:rsidR="003A3BE1">
        <w:rPr>
          <w:rFonts w:cs="Times New Roman"/>
          <w:sz w:val="24"/>
          <w:szCs w:val="24"/>
        </w:rPr>
        <w:t>-</w:t>
      </w:r>
      <w:r w:rsidR="003A3BE1" w:rsidRPr="00174C42">
        <w:rPr>
          <w:rFonts w:cs="Times New Roman"/>
          <w:sz w:val="24"/>
          <w:szCs w:val="24"/>
        </w:rPr>
        <w:t>facility level the significan</w:t>
      </w:r>
      <w:r w:rsidR="003A3BE1">
        <w:rPr>
          <w:rFonts w:cs="Times New Roman"/>
          <w:sz w:val="24"/>
          <w:szCs w:val="24"/>
        </w:rPr>
        <w:t>ce</w:t>
      </w:r>
      <w:r w:rsidR="003A3BE1" w:rsidRPr="00174C42">
        <w:rPr>
          <w:rFonts w:cs="Times New Roman"/>
          <w:sz w:val="24"/>
          <w:szCs w:val="24"/>
        </w:rPr>
        <w:t xml:space="preserve"> of its achievement. It will be critical in Phase 2 to ensure robust quality systems are not only set up, but used. </w:t>
      </w:r>
    </w:p>
    <w:p w14:paraId="391166D7" w14:textId="66592EE9" w:rsidR="00EC4517" w:rsidRPr="00174C42" w:rsidRDefault="00F25E59" w:rsidP="00EC4517">
      <w:pPr>
        <w:rPr>
          <w:rFonts w:cs="Times New Roman"/>
          <w:b/>
          <w:sz w:val="24"/>
          <w:szCs w:val="24"/>
        </w:rPr>
      </w:pPr>
      <w:r>
        <w:rPr>
          <w:rFonts w:cs="Times New Roman"/>
          <w:b/>
          <w:sz w:val="24"/>
          <w:szCs w:val="24"/>
        </w:rPr>
        <w:t>2</w:t>
      </w:r>
      <w:r w:rsidR="00EC4517" w:rsidRPr="00174C42">
        <w:rPr>
          <w:rFonts w:cs="Times New Roman"/>
          <w:b/>
          <w:sz w:val="24"/>
          <w:szCs w:val="24"/>
        </w:rPr>
        <w:t>.2.2</w:t>
      </w:r>
      <w:r w:rsidR="00EC4517" w:rsidRPr="00174C42">
        <w:rPr>
          <w:rFonts w:cs="Times New Roman"/>
          <w:b/>
          <w:sz w:val="24"/>
          <w:szCs w:val="24"/>
        </w:rPr>
        <w:tab/>
        <w:t>Expected End-of-</w:t>
      </w:r>
      <w:r w:rsidR="00420E7C">
        <w:rPr>
          <w:rFonts w:cs="Times New Roman"/>
          <w:b/>
          <w:sz w:val="24"/>
          <w:szCs w:val="24"/>
        </w:rPr>
        <w:t>Facility</w:t>
      </w:r>
      <w:r w:rsidR="00420E7C" w:rsidRPr="00174C42">
        <w:rPr>
          <w:rFonts w:cs="Times New Roman"/>
          <w:b/>
          <w:sz w:val="24"/>
          <w:szCs w:val="24"/>
        </w:rPr>
        <w:t xml:space="preserve"> </w:t>
      </w:r>
      <w:r w:rsidR="00EC4517" w:rsidRPr="00174C42">
        <w:rPr>
          <w:rFonts w:cs="Times New Roman"/>
          <w:b/>
          <w:sz w:val="24"/>
          <w:szCs w:val="24"/>
        </w:rPr>
        <w:t>Outcomes</w:t>
      </w:r>
    </w:p>
    <w:p w14:paraId="4858A807" w14:textId="6161496F" w:rsidR="005112BB" w:rsidRDefault="00155EE6" w:rsidP="00155EE6">
      <w:pPr>
        <w:rPr>
          <w:rFonts w:cs="Times New Roman"/>
          <w:sz w:val="24"/>
          <w:szCs w:val="24"/>
        </w:rPr>
      </w:pPr>
      <w:r w:rsidRPr="00174C42">
        <w:rPr>
          <w:rFonts w:cs="Times New Roman"/>
          <w:sz w:val="24"/>
          <w:szCs w:val="24"/>
        </w:rPr>
        <w:t>AIFDR’s three expected end</w:t>
      </w:r>
      <w:r w:rsidR="00420E7C">
        <w:rPr>
          <w:rFonts w:cs="Times New Roman"/>
          <w:sz w:val="24"/>
          <w:szCs w:val="24"/>
        </w:rPr>
        <w:t>-</w:t>
      </w:r>
      <w:r w:rsidRPr="00174C42">
        <w:rPr>
          <w:rFonts w:cs="Times New Roman"/>
          <w:sz w:val="24"/>
          <w:szCs w:val="24"/>
        </w:rPr>
        <w:t>of</w:t>
      </w:r>
      <w:r w:rsidR="00420E7C">
        <w:rPr>
          <w:rFonts w:cs="Times New Roman"/>
          <w:sz w:val="24"/>
          <w:szCs w:val="24"/>
        </w:rPr>
        <w:t>-facility</w:t>
      </w:r>
      <w:r w:rsidR="00420E7C" w:rsidRPr="00174C42">
        <w:rPr>
          <w:rFonts w:cs="Times New Roman"/>
          <w:sz w:val="24"/>
          <w:szCs w:val="24"/>
        </w:rPr>
        <w:t xml:space="preserve"> </w:t>
      </w:r>
      <w:r w:rsidRPr="00174C42">
        <w:rPr>
          <w:rFonts w:cs="Times New Roman"/>
          <w:sz w:val="24"/>
          <w:szCs w:val="24"/>
        </w:rPr>
        <w:t>outcomes were conceived by the AIFDR Management Team sometime between the initial design in 2009 and the MTR in 2011. The</w:t>
      </w:r>
      <w:r w:rsidR="001A192C">
        <w:rPr>
          <w:rFonts w:cs="Times New Roman"/>
          <w:sz w:val="24"/>
          <w:szCs w:val="24"/>
        </w:rPr>
        <w:t xml:space="preserve"> </w:t>
      </w:r>
      <w:r w:rsidR="00420E7C">
        <w:rPr>
          <w:rFonts w:cs="Times New Roman"/>
          <w:sz w:val="24"/>
          <w:szCs w:val="24"/>
        </w:rPr>
        <w:t>antic</w:t>
      </w:r>
      <w:r w:rsidR="00B133F7">
        <w:rPr>
          <w:rFonts w:cs="Times New Roman"/>
          <w:sz w:val="24"/>
          <w:szCs w:val="24"/>
        </w:rPr>
        <w:t>i</w:t>
      </w:r>
      <w:r w:rsidR="00420E7C">
        <w:rPr>
          <w:rFonts w:cs="Times New Roman"/>
          <w:sz w:val="24"/>
          <w:szCs w:val="24"/>
        </w:rPr>
        <w:t>pated</w:t>
      </w:r>
      <w:r w:rsidRPr="00174C42">
        <w:rPr>
          <w:rFonts w:cs="Times New Roman"/>
          <w:sz w:val="24"/>
          <w:szCs w:val="24"/>
        </w:rPr>
        <w:t xml:space="preserve"> outcomes are ambitious for a five year program</w:t>
      </w:r>
      <w:r w:rsidR="00420E7C">
        <w:rPr>
          <w:rFonts w:cs="Times New Roman"/>
          <w:sz w:val="24"/>
          <w:szCs w:val="24"/>
        </w:rPr>
        <w:t>,</w:t>
      </w:r>
      <w:r w:rsidRPr="00174C42">
        <w:rPr>
          <w:rFonts w:cs="Times New Roman"/>
          <w:sz w:val="24"/>
          <w:szCs w:val="24"/>
        </w:rPr>
        <w:t xml:space="preserve"> heavily orientated around the production of </w:t>
      </w:r>
      <w:r w:rsidR="00A158C7">
        <w:rPr>
          <w:rFonts w:cs="Times New Roman"/>
          <w:sz w:val="24"/>
          <w:szCs w:val="24"/>
        </w:rPr>
        <w:t xml:space="preserve">hazard information and </w:t>
      </w:r>
      <w:r w:rsidRPr="00174C42">
        <w:rPr>
          <w:rFonts w:cs="Times New Roman"/>
          <w:sz w:val="24"/>
          <w:szCs w:val="24"/>
        </w:rPr>
        <w:t>the transfer of this information to government and communities to help reduce disaster risk and improve disaster resilience. Consequently, it is hard to demonstrate genuine ‘end-to-end’ programming i</w:t>
      </w:r>
      <w:r w:rsidR="00DC29A1">
        <w:rPr>
          <w:rFonts w:cs="Times New Roman"/>
          <w:sz w:val="24"/>
          <w:szCs w:val="24"/>
        </w:rPr>
        <w:t>.</w:t>
      </w:r>
      <w:r w:rsidRPr="00174C42">
        <w:rPr>
          <w:rFonts w:cs="Times New Roman"/>
          <w:sz w:val="24"/>
          <w:szCs w:val="24"/>
        </w:rPr>
        <w:t>e</w:t>
      </w:r>
      <w:r w:rsidR="00DC29A1">
        <w:rPr>
          <w:rFonts w:cs="Times New Roman"/>
          <w:sz w:val="24"/>
          <w:szCs w:val="24"/>
        </w:rPr>
        <w:t>.</w:t>
      </w:r>
      <w:r w:rsidRPr="00174C42">
        <w:rPr>
          <w:rFonts w:cs="Times New Roman"/>
          <w:sz w:val="24"/>
          <w:szCs w:val="24"/>
        </w:rPr>
        <w:t xml:space="preserve"> transferring the </w:t>
      </w:r>
      <w:r w:rsidR="00B133F7">
        <w:rPr>
          <w:rFonts w:cs="Times New Roman"/>
          <w:sz w:val="24"/>
          <w:szCs w:val="24"/>
        </w:rPr>
        <w:t xml:space="preserve">knowledge generated by </w:t>
      </w:r>
      <w:r w:rsidRPr="00174C42">
        <w:rPr>
          <w:rFonts w:cs="Times New Roman"/>
          <w:sz w:val="24"/>
          <w:szCs w:val="24"/>
        </w:rPr>
        <w:t>scien</w:t>
      </w:r>
      <w:r w:rsidR="00B133F7">
        <w:rPr>
          <w:rFonts w:cs="Times New Roman"/>
          <w:sz w:val="24"/>
          <w:szCs w:val="24"/>
        </w:rPr>
        <w:t>tific agencies</w:t>
      </w:r>
      <w:r w:rsidRPr="00174C42">
        <w:rPr>
          <w:rFonts w:cs="Times New Roman"/>
          <w:sz w:val="24"/>
          <w:szCs w:val="24"/>
        </w:rPr>
        <w:t xml:space="preserve"> </w:t>
      </w:r>
      <w:r w:rsidR="00B133F7">
        <w:rPr>
          <w:rFonts w:cs="Times New Roman"/>
          <w:sz w:val="24"/>
          <w:szCs w:val="24"/>
        </w:rPr>
        <w:t>in</w:t>
      </w:r>
      <w:r w:rsidRPr="00174C42">
        <w:rPr>
          <w:rFonts w:cs="Times New Roman"/>
          <w:sz w:val="24"/>
          <w:szCs w:val="24"/>
        </w:rPr>
        <w:t xml:space="preserve">to </w:t>
      </w:r>
      <w:r w:rsidR="00B133F7">
        <w:rPr>
          <w:rFonts w:cs="Times New Roman"/>
          <w:sz w:val="24"/>
          <w:szCs w:val="24"/>
        </w:rPr>
        <w:t xml:space="preserve">knowledge and practices that reduce risk and build </w:t>
      </w:r>
      <w:r w:rsidR="00D30FA9">
        <w:rPr>
          <w:rFonts w:cs="Times New Roman"/>
          <w:sz w:val="24"/>
          <w:szCs w:val="24"/>
        </w:rPr>
        <w:t xml:space="preserve">disaster </w:t>
      </w:r>
      <w:r w:rsidR="00B133F7">
        <w:rPr>
          <w:rFonts w:cs="Times New Roman"/>
          <w:sz w:val="24"/>
          <w:szCs w:val="24"/>
        </w:rPr>
        <w:t xml:space="preserve">resilience of </w:t>
      </w:r>
      <w:r w:rsidRPr="00174C42">
        <w:rPr>
          <w:rFonts w:cs="Times New Roman"/>
          <w:sz w:val="24"/>
          <w:szCs w:val="24"/>
        </w:rPr>
        <w:t xml:space="preserve">communities. </w:t>
      </w:r>
    </w:p>
    <w:p w14:paraId="195BD8F9" w14:textId="0706A05D" w:rsidR="00155EE6" w:rsidRPr="00174C42" w:rsidRDefault="00155EE6" w:rsidP="00155EE6">
      <w:pPr>
        <w:rPr>
          <w:rFonts w:cs="Times New Roman"/>
          <w:sz w:val="24"/>
          <w:szCs w:val="24"/>
        </w:rPr>
      </w:pPr>
      <w:r w:rsidRPr="00174C42">
        <w:rPr>
          <w:rFonts w:cs="Times New Roman"/>
          <w:sz w:val="24"/>
          <w:szCs w:val="24"/>
        </w:rPr>
        <w:t xml:space="preserve">With that said, AIFDR </w:t>
      </w:r>
      <w:r w:rsidR="00DC29A1">
        <w:rPr>
          <w:rFonts w:cs="Times New Roman"/>
          <w:sz w:val="24"/>
          <w:szCs w:val="24"/>
        </w:rPr>
        <w:t xml:space="preserve">has </w:t>
      </w:r>
      <w:r w:rsidRPr="00174C42">
        <w:rPr>
          <w:rFonts w:cs="Times New Roman"/>
          <w:sz w:val="24"/>
          <w:szCs w:val="24"/>
        </w:rPr>
        <w:t>made very conscious efforts to facilitate interconnectivity between its three components</w:t>
      </w:r>
      <w:r w:rsidR="00DC29A1">
        <w:rPr>
          <w:rFonts w:cs="Times New Roman"/>
          <w:sz w:val="24"/>
          <w:szCs w:val="24"/>
        </w:rPr>
        <w:t>. It</w:t>
      </w:r>
      <w:r w:rsidR="00A436EA">
        <w:rPr>
          <w:rFonts w:cs="Times New Roman"/>
          <w:sz w:val="24"/>
          <w:szCs w:val="24"/>
        </w:rPr>
        <w:t xml:space="preserve"> </w:t>
      </w:r>
      <w:r w:rsidR="00DC29A1">
        <w:rPr>
          <w:rFonts w:cs="Times New Roman"/>
          <w:sz w:val="24"/>
          <w:szCs w:val="24"/>
        </w:rPr>
        <w:t>has taken</w:t>
      </w:r>
      <w:r w:rsidRPr="00174C42">
        <w:rPr>
          <w:rFonts w:cs="Times New Roman"/>
          <w:sz w:val="24"/>
          <w:szCs w:val="24"/>
        </w:rPr>
        <w:t xml:space="preserve"> time to operationalize for programmatically sound reasons, including: (1) limited capacity of the newly established BNPB to perform its role; (2) long time frames required to generate credible hazard information; (3) tools not readily available to translate the science into usable format for disaster managers and vulnerable communities ; (4) building disaster managers and vulnerable communities capacities to use </w:t>
      </w:r>
      <w:r w:rsidR="005112BB">
        <w:rPr>
          <w:rFonts w:cs="Times New Roman"/>
          <w:sz w:val="24"/>
          <w:szCs w:val="24"/>
        </w:rPr>
        <w:t>hazard information</w:t>
      </w:r>
      <w:r w:rsidRPr="00174C42">
        <w:rPr>
          <w:rFonts w:cs="Times New Roman"/>
          <w:sz w:val="24"/>
          <w:szCs w:val="24"/>
        </w:rPr>
        <w:t xml:space="preserve"> previously unavailable takes a long time, as does changing community behaviours based on newly acquired knowledge.</w:t>
      </w:r>
      <w:r w:rsidR="005112BB" w:rsidRPr="005112BB">
        <w:rPr>
          <w:rFonts w:cs="Times New Roman"/>
          <w:sz w:val="24"/>
          <w:szCs w:val="24"/>
        </w:rPr>
        <w:t xml:space="preserve"> </w:t>
      </w:r>
      <w:r w:rsidR="00DC29A1">
        <w:rPr>
          <w:rFonts w:cs="Times New Roman"/>
          <w:sz w:val="24"/>
          <w:szCs w:val="24"/>
        </w:rPr>
        <w:t>Nonetheless,</w:t>
      </w:r>
      <w:r w:rsidR="005112BB">
        <w:rPr>
          <w:rFonts w:cs="Times New Roman"/>
          <w:sz w:val="24"/>
          <w:szCs w:val="24"/>
        </w:rPr>
        <w:t xml:space="preserve"> AIFDR Phase 1 has begun the journey of ‘end to end’ programming through investments in both the science and the tools</w:t>
      </w:r>
      <w:r w:rsidR="00EF1DF4">
        <w:rPr>
          <w:rFonts w:cs="Times New Roman"/>
          <w:sz w:val="24"/>
          <w:szCs w:val="24"/>
        </w:rPr>
        <w:t xml:space="preserve">. The right foundations are now in place for </w:t>
      </w:r>
      <w:r w:rsidR="005112BB">
        <w:rPr>
          <w:rFonts w:cs="Times New Roman"/>
          <w:sz w:val="24"/>
          <w:szCs w:val="24"/>
        </w:rPr>
        <w:t>AIFDR</w:t>
      </w:r>
      <w:r w:rsidR="00DC29A1">
        <w:rPr>
          <w:rFonts w:cs="Times New Roman"/>
          <w:sz w:val="24"/>
          <w:szCs w:val="24"/>
        </w:rPr>
        <w:t>-</w:t>
      </w:r>
      <w:r w:rsidR="005112BB">
        <w:rPr>
          <w:rFonts w:cs="Times New Roman"/>
          <w:sz w:val="24"/>
          <w:szCs w:val="24"/>
        </w:rPr>
        <w:t>2</w:t>
      </w:r>
      <w:r w:rsidR="00EF1DF4">
        <w:rPr>
          <w:rFonts w:cs="Times New Roman"/>
          <w:sz w:val="24"/>
          <w:szCs w:val="24"/>
        </w:rPr>
        <w:t xml:space="preserve"> </w:t>
      </w:r>
      <w:r w:rsidR="005112BB">
        <w:rPr>
          <w:rFonts w:cs="Times New Roman"/>
          <w:sz w:val="24"/>
          <w:szCs w:val="24"/>
        </w:rPr>
        <w:t xml:space="preserve">to populate </w:t>
      </w:r>
      <w:r w:rsidR="00EF1DF4">
        <w:rPr>
          <w:rFonts w:cs="Times New Roman"/>
          <w:sz w:val="24"/>
          <w:szCs w:val="24"/>
        </w:rPr>
        <w:t xml:space="preserve">the tools, </w:t>
      </w:r>
      <w:r w:rsidR="005112BB">
        <w:rPr>
          <w:rFonts w:cs="Times New Roman"/>
          <w:sz w:val="24"/>
          <w:szCs w:val="24"/>
        </w:rPr>
        <w:t xml:space="preserve">and socialise </w:t>
      </w:r>
      <w:r w:rsidR="00EF1DF4">
        <w:rPr>
          <w:rFonts w:cs="Times New Roman"/>
          <w:sz w:val="24"/>
          <w:szCs w:val="24"/>
        </w:rPr>
        <w:t>them</w:t>
      </w:r>
      <w:r w:rsidR="005112BB">
        <w:rPr>
          <w:rFonts w:cs="Times New Roman"/>
          <w:sz w:val="24"/>
          <w:szCs w:val="24"/>
        </w:rPr>
        <w:t xml:space="preserve"> with disaster managers and communities</w:t>
      </w:r>
      <w:r w:rsidR="00EF1DF4">
        <w:rPr>
          <w:rFonts w:cs="Times New Roman"/>
          <w:sz w:val="24"/>
          <w:szCs w:val="24"/>
        </w:rPr>
        <w:t>.</w:t>
      </w:r>
    </w:p>
    <w:p w14:paraId="08FD4703" w14:textId="71B80B59" w:rsidR="00F2751A" w:rsidRPr="00174C42" w:rsidRDefault="00F2751A" w:rsidP="00F2751A">
      <w:pPr>
        <w:rPr>
          <w:rFonts w:cs="Times New Roman"/>
          <w:sz w:val="24"/>
          <w:szCs w:val="24"/>
        </w:rPr>
      </w:pPr>
      <w:r w:rsidRPr="00174C42">
        <w:rPr>
          <w:rFonts w:cs="Times New Roman"/>
          <w:sz w:val="24"/>
          <w:szCs w:val="24"/>
        </w:rPr>
        <w:t xml:space="preserve">The </w:t>
      </w:r>
      <w:r w:rsidR="00F35D7B">
        <w:rPr>
          <w:rFonts w:cs="Times New Roman"/>
          <w:sz w:val="24"/>
          <w:szCs w:val="24"/>
        </w:rPr>
        <w:t>review</w:t>
      </w:r>
      <w:r w:rsidRPr="00174C42">
        <w:rPr>
          <w:rFonts w:cs="Times New Roman"/>
          <w:sz w:val="24"/>
          <w:szCs w:val="24"/>
        </w:rPr>
        <w:t xml:space="preserve"> teams assessment of the extent to which AIFDR has delivered its three expected </w:t>
      </w:r>
      <w:r w:rsidR="002E0E5A">
        <w:rPr>
          <w:rFonts w:cs="Times New Roman"/>
          <w:sz w:val="24"/>
          <w:szCs w:val="24"/>
        </w:rPr>
        <w:t>end-of-facility</w:t>
      </w:r>
      <w:r w:rsidR="002E0E5A" w:rsidRPr="00174C42">
        <w:rPr>
          <w:rFonts w:cs="Times New Roman"/>
          <w:sz w:val="24"/>
          <w:szCs w:val="24"/>
        </w:rPr>
        <w:t xml:space="preserve"> </w:t>
      </w:r>
      <w:r w:rsidRPr="00174C42">
        <w:rPr>
          <w:rFonts w:cs="Times New Roman"/>
          <w:sz w:val="24"/>
          <w:szCs w:val="24"/>
        </w:rPr>
        <w:t>outcomes are discussed in detail directly below. Overall, AIFDR has delivered Outcome 2 and 3 of its expected end-of-</w:t>
      </w:r>
      <w:r w:rsidR="002E0E5A">
        <w:rPr>
          <w:rFonts w:cs="Times New Roman"/>
          <w:sz w:val="24"/>
          <w:szCs w:val="24"/>
        </w:rPr>
        <w:t>facility</w:t>
      </w:r>
      <w:r w:rsidR="002E0E5A" w:rsidRPr="00174C42">
        <w:rPr>
          <w:rFonts w:cs="Times New Roman"/>
          <w:sz w:val="24"/>
          <w:szCs w:val="24"/>
        </w:rPr>
        <w:t xml:space="preserve"> </w:t>
      </w:r>
      <w:r w:rsidRPr="00174C42">
        <w:rPr>
          <w:rFonts w:cs="Times New Roman"/>
          <w:sz w:val="24"/>
          <w:szCs w:val="24"/>
        </w:rPr>
        <w:t>outcomes, and significant progress has been made towards Outcome 1.</w:t>
      </w:r>
    </w:p>
    <w:p w14:paraId="3F38E02E" w14:textId="77777777" w:rsidR="009E69A7" w:rsidRPr="00174C42" w:rsidRDefault="009E69A7" w:rsidP="009E69A7">
      <w:pPr>
        <w:rPr>
          <w:rFonts w:cs="Times New Roman"/>
          <w:b/>
          <w:i/>
          <w:sz w:val="24"/>
          <w:szCs w:val="24"/>
        </w:rPr>
      </w:pPr>
      <w:r w:rsidRPr="00174C42">
        <w:rPr>
          <w:rFonts w:cs="Times New Roman"/>
          <w:b/>
          <w:i/>
          <w:sz w:val="24"/>
          <w:szCs w:val="24"/>
        </w:rPr>
        <w:t xml:space="preserve">Outcome 1: Better understanding of risk and vulnerability: disaster managers in priority areas of Indonesia and the region have an improved understanding of disaster risk and vulnerability </w:t>
      </w:r>
    </w:p>
    <w:p w14:paraId="51D3CF60" w14:textId="49D0ABB2" w:rsidR="004318DD" w:rsidRDefault="004318DD" w:rsidP="004318DD">
      <w:pPr>
        <w:spacing w:after="0"/>
        <w:rPr>
          <w:sz w:val="24"/>
          <w:szCs w:val="24"/>
        </w:rPr>
      </w:pPr>
      <w:r w:rsidRPr="00174C42">
        <w:rPr>
          <w:sz w:val="24"/>
          <w:szCs w:val="24"/>
        </w:rPr>
        <w:t xml:space="preserve">The </w:t>
      </w:r>
      <w:r w:rsidR="00EF1D4A">
        <w:rPr>
          <w:sz w:val="24"/>
          <w:szCs w:val="24"/>
        </w:rPr>
        <w:t>review</w:t>
      </w:r>
      <w:r w:rsidRPr="00174C42">
        <w:rPr>
          <w:sz w:val="24"/>
          <w:szCs w:val="24"/>
        </w:rPr>
        <w:t xml:space="preserve"> team assess AIFDR as demonstrating significant progress towards the achievement of this expected end-of-</w:t>
      </w:r>
      <w:r w:rsidR="002E0E5A">
        <w:rPr>
          <w:sz w:val="24"/>
          <w:szCs w:val="24"/>
        </w:rPr>
        <w:t>facility</w:t>
      </w:r>
      <w:r w:rsidR="002E0E5A" w:rsidRPr="00174C42">
        <w:rPr>
          <w:sz w:val="24"/>
          <w:szCs w:val="24"/>
        </w:rPr>
        <w:t xml:space="preserve"> </w:t>
      </w:r>
      <w:r w:rsidRPr="00174C42">
        <w:rPr>
          <w:sz w:val="24"/>
          <w:szCs w:val="24"/>
        </w:rPr>
        <w:t>outcome, although</w:t>
      </w:r>
      <w:r w:rsidR="003A3BE1">
        <w:rPr>
          <w:sz w:val="24"/>
          <w:szCs w:val="24"/>
        </w:rPr>
        <w:t xml:space="preserve"> it has only partially been achieved.</w:t>
      </w:r>
      <w:r w:rsidRPr="00174C42">
        <w:rPr>
          <w:sz w:val="24"/>
          <w:szCs w:val="24"/>
        </w:rPr>
        <w:t xml:space="preserve"> The rationale for this assessment is that </w:t>
      </w:r>
      <w:r w:rsidR="000C3BCA">
        <w:rPr>
          <w:sz w:val="24"/>
          <w:szCs w:val="24"/>
        </w:rPr>
        <w:t>since</w:t>
      </w:r>
      <w:r w:rsidR="000C3BCA" w:rsidRPr="00174C42">
        <w:rPr>
          <w:sz w:val="24"/>
          <w:szCs w:val="24"/>
        </w:rPr>
        <w:t xml:space="preserve"> </w:t>
      </w:r>
      <w:r w:rsidRPr="00174C42">
        <w:rPr>
          <w:sz w:val="24"/>
          <w:szCs w:val="24"/>
        </w:rPr>
        <w:t>mapping of Indonesia’s worst</w:t>
      </w:r>
      <w:r w:rsidR="000C3BCA">
        <w:rPr>
          <w:sz w:val="24"/>
          <w:szCs w:val="24"/>
        </w:rPr>
        <w:t>-</w:t>
      </w:r>
      <w:r w:rsidRPr="00174C42">
        <w:rPr>
          <w:sz w:val="24"/>
          <w:szCs w:val="24"/>
        </w:rPr>
        <w:t xml:space="preserve">ranked disaster hazards has taken the best part of Phase 1, results of the transfer of the science investment to increased knowledge and ultimately behavioural change </w:t>
      </w:r>
      <w:r w:rsidR="000C3BCA">
        <w:rPr>
          <w:sz w:val="24"/>
          <w:szCs w:val="24"/>
        </w:rPr>
        <w:t>on the ground will have to occur</w:t>
      </w:r>
      <w:r w:rsidRPr="00174C42">
        <w:rPr>
          <w:sz w:val="24"/>
          <w:szCs w:val="24"/>
        </w:rPr>
        <w:t xml:space="preserve"> in Phase 2. </w:t>
      </w:r>
    </w:p>
    <w:p w14:paraId="12A2767B" w14:textId="77777777" w:rsidR="00EF1D4A" w:rsidRDefault="00EF1D4A" w:rsidP="004318DD">
      <w:pPr>
        <w:spacing w:after="0"/>
        <w:rPr>
          <w:sz w:val="24"/>
          <w:szCs w:val="24"/>
        </w:rPr>
      </w:pPr>
    </w:p>
    <w:p w14:paraId="7DA80999" w14:textId="533FAA37" w:rsidR="00EF1D4A" w:rsidRDefault="00EF1D4A" w:rsidP="004318DD">
      <w:pPr>
        <w:spacing w:after="0"/>
        <w:rPr>
          <w:sz w:val="24"/>
          <w:szCs w:val="24"/>
        </w:rPr>
      </w:pPr>
      <w:r>
        <w:rPr>
          <w:sz w:val="24"/>
          <w:szCs w:val="24"/>
        </w:rPr>
        <w:t>Key outputs from AIFDR Phase 1 ‘Risk and Vulnerability’</w:t>
      </w:r>
      <w:r w:rsidR="00050AF1">
        <w:rPr>
          <w:sz w:val="24"/>
          <w:szCs w:val="24"/>
        </w:rPr>
        <w:t xml:space="preserve"> component are as follows</w:t>
      </w:r>
      <w:r>
        <w:rPr>
          <w:sz w:val="24"/>
          <w:szCs w:val="24"/>
        </w:rPr>
        <w:t xml:space="preserve">: </w:t>
      </w:r>
    </w:p>
    <w:p w14:paraId="324028FD" w14:textId="77777777" w:rsidR="006476DF" w:rsidRPr="002E0F9B" w:rsidRDefault="006476DF" w:rsidP="006476DF">
      <w:pPr>
        <w:spacing w:after="0" w:line="240" w:lineRule="auto"/>
        <w:rPr>
          <w:rFonts w:eastAsia="Times New Roman" w:cs="Segoe UI"/>
          <w:color w:val="000000" w:themeColor="text1"/>
          <w:sz w:val="24"/>
          <w:szCs w:val="24"/>
          <w:lang w:eastAsia="en-AU"/>
        </w:rPr>
      </w:pPr>
    </w:p>
    <w:p w14:paraId="58A1C879" w14:textId="2A1B9425" w:rsidR="00822A0D" w:rsidRDefault="00050AF1" w:rsidP="00620868">
      <w:pPr>
        <w:pStyle w:val="ListParagraph"/>
        <w:numPr>
          <w:ilvl w:val="0"/>
          <w:numId w:val="31"/>
        </w:numPr>
        <w:spacing w:after="324" w:line="240" w:lineRule="auto"/>
        <w:rPr>
          <w:rFonts w:eastAsia="Times New Roman" w:cs="Segoe UI"/>
          <w:sz w:val="24"/>
          <w:szCs w:val="24"/>
          <w:lang w:eastAsia="en-AU"/>
        </w:rPr>
      </w:pPr>
      <w:r w:rsidRPr="00822A0D">
        <w:rPr>
          <w:rFonts w:eastAsia="Times New Roman" w:cs="Segoe UI"/>
          <w:sz w:val="24"/>
          <w:szCs w:val="24"/>
          <w:lang w:eastAsia="en-AU"/>
        </w:rPr>
        <w:t xml:space="preserve">Through the </w:t>
      </w:r>
      <w:r w:rsidRPr="00822A0D">
        <w:rPr>
          <w:rFonts w:eastAsia="Times New Roman" w:cs="Segoe UI"/>
          <w:sz w:val="24"/>
          <w:szCs w:val="24"/>
          <w:u w:val="single"/>
          <w:lang w:eastAsia="en-AU"/>
        </w:rPr>
        <w:t>GREAT</w:t>
      </w:r>
      <w:r w:rsidRPr="00822A0D">
        <w:rPr>
          <w:rFonts w:eastAsia="Times New Roman" w:cs="Segoe UI"/>
          <w:sz w:val="24"/>
          <w:szCs w:val="24"/>
          <w:lang w:eastAsia="en-AU"/>
        </w:rPr>
        <w:t xml:space="preserve"> program</w:t>
      </w:r>
      <w:r w:rsidR="00EF1D4A" w:rsidRPr="00822A0D">
        <w:rPr>
          <w:rFonts w:eastAsia="Times New Roman" w:cs="Segoe UI"/>
          <w:sz w:val="24"/>
          <w:szCs w:val="24"/>
          <w:lang w:eastAsia="en-AU"/>
        </w:rPr>
        <w:t xml:space="preserve"> (Graduate Research on Earthquakes and Active Tectonics) </w:t>
      </w:r>
      <w:r w:rsidRPr="00822A0D">
        <w:rPr>
          <w:rFonts w:eastAsia="Times New Roman" w:cs="Segoe UI"/>
          <w:sz w:val="24"/>
          <w:szCs w:val="24"/>
          <w:lang w:eastAsia="en-AU"/>
        </w:rPr>
        <w:t xml:space="preserve">seed funding has been provided to the </w:t>
      </w:r>
      <w:r w:rsidR="00EF1D4A" w:rsidRPr="00822A0D">
        <w:rPr>
          <w:rFonts w:eastAsia="Times New Roman" w:cs="Segoe UI"/>
          <w:sz w:val="24"/>
          <w:szCs w:val="24"/>
          <w:lang w:eastAsia="en-AU"/>
        </w:rPr>
        <w:t>Bandung Institute of Technology's Faculty of Earth Science and Technology</w:t>
      </w:r>
      <w:r w:rsidRPr="00822A0D">
        <w:rPr>
          <w:rFonts w:eastAsia="Times New Roman" w:cs="Segoe UI"/>
          <w:sz w:val="24"/>
          <w:szCs w:val="24"/>
          <w:lang w:eastAsia="en-AU"/>
        </w:rPr>
        <w:t xml:space="preserve"> to roll out the only university program devoted to earthquake and tsunami science in Indonesia; and also to provide educational </w:t>
      </w:r>
      <w:r w:rsidR="00EF1D4A" w:rsidRPr="00822A0D">
        <w:rPr>
          <w:rFonts w:eastAsia="Times New Roman" w:cs="Segoe UI"/>
          <w:sz w:val="24"/>
          <w:szCs w:val="24"/>
          <w:lang w:eastAsia="en-AU"/>
        </w:rPr>
        <w:t>exchanges with Australia (the Australian National University and G</w:t>
      </w:r>
      <w:r w:rsidR="008A38F2">
        <w:rPr>
          <w:rFonts w:eastAsia="Times New Roman" w:cs="Segoe UI"/>
          <w:sz w:val="24"/>
          <w:szCs w:val="24"/>
          <w:lang w:eastAsia="en-AU"/>
        </w:rPr>
        <w:t>eoscience Australia)</w:t>
      </w:r>
      <w:r w:rsidRPr="00822A0D">
        <w:rPr>
          <w:rFonts w:eastAsia="Times New Roman" w:cs="Segoe UI"/>
          <w:sz w:val="24"/>
          <w:szCs w:val="24"/>
          <w:lang w:eastAsia="en-AU"/>
        </w:rPr>
        <w:t xml:space="preserve">. </w:t>
      </w:r>
      <w:r w:rsidR="00EF1D4A" w:rsidRPr="00822A0D">
        <w:rPr>
          <w:rFonts w:eastAsia="Times New Roman" w:cs="Segoe UI"/>
          <w:sz w:val="24"/>
          <w:szCs w:val="24"/>
          <w:lang w:eastAsia="en-AU"/>
        </w:rPr>
        <w:t xml:space="preserve">This program has now expanded beyond the initial seed funding provided by AIFDR with the Department of Education (DIKNAS) now investing directly.  To date GREAT has produced 24 young Indonesian specialists. </w:t>
      </w:r>
    </w:p>
    <w:p w14:paraId="450B059A" w14:textId="77777777" w:rsidR="00822A0D" w:rsidRPr="00822A0D" w:rsidRDefault="00822A0D" w:rsidP="00822A0D">
      <w:pPr>
        <w:pStyle w:val="ListParagraph"/>
        <w:spacing w:after="324" w:line="240" w:lineRule="auto"/>
        <w:rPr>
          <w:rFonts w:eastAsia="Times New Roman" w:cs="Segoe UI"/>
          <w:sz w:val="24"/>
          <w:szCs w:val="24"/>
          <w:lang w:eastAsia="en-AU"/>
        </w:rPr>
      </w:pPr>
    </w:p>
    <w:p w14:paraId="2E73E7C7" w14:textId="2F187D0F" w:rsidR="00822A0D" w:rsidRPr="00822A0D" w:rsidRDefault="00EF1D4A" w:rsidP="00822A0D">
      <w:pPr>
        <w:pStyle w:val="ListParagraph"/>
        <w:numPr>
          <w:ilvl w:val="0"/>
          <w:numId w:val="31"/>
        </w:numPr>
        <w:spacing w:after="324" w:line="240" w:lineRule="auto"/>
        <w:rPr>
          <w:rFonts w:eastAsia="Times New Roman" w:cs="Segoe UI"/>
          <w:color w:val="FF0000"/>
          <w:sz w:val="24"/>
          <w:szCs w:val="24"/>
          <w:lang w:eastAsia="en-AU"/>
        </w:rPr>
      </w:pPr>
      <w:r w:rsidRPr="00822A0D">
        <w:rPr>
          <w:rFonts w:eastAsia="Times New Roman" w:cs="Segoe UI"/>
          <w:sz w:val="24"/>
          <w:szCs w:val="24"/>
          <w:lang w:eastAsia="en-AU"/>
        </w:rPr>
        <w:t xml:space="preserve">Badan Geologi has had a long history of creating provincial scale earthquake hazard maps. Four years ago the techniques being used were </w:t>
      </w:r>
      <w:r w:rsidR="008A38F2">
        <w:rPr>
          <w:rFonts w:eastAsia="Times New Roman" w:cs="Segoe UI"/>
          <w:sz w:val="24"/>
          <w:szCs w:val="24"/>
          <w:lang w:eastAsia="en-AU"/>
        </w:rPr>
        <w:t xml:space="preserve">not </w:t>
      </w:r>
      <w:r w:rsidRPr="00822A0D">
        <w:rPr>
          <w:rFonts w:eastAsia="Times New Roman" w:cs="Segoe UI"/>
          <w:sz w:val="24"/>
          <w:szCs w:val="24"/>
          <w:lang w:eastAsia="en-AU"/>
        </w:rPr>
        <w:t xml:space="preserve">aligned with international earthquake hazard mapping standards. </w:t>
      </w:r>
      <w:r w:rsidR="002323BD">
        <w:rPr>
          <w:rFonts w:eastAsia="Times New Roman" w:cs="Segoe UI"/>
          <w:sz w:val="24"/>
          <w:szCs w:val="24"/>
          <w:lang w:eastAsia="en-AU"/>
        </w:rPr>
        <w:t xml:space="preserve">As a result of </w:t>
      </w:r>
      <w:r w:rsidRPr="00822A0D">
        <w:rPr>
          <w:rFonts w:eastAsia="Times New Roman" w:cs="Segoe UI"/>
          <w:sz w:val="24"/>
          <w:szCs w:val="24"/>
          <w:lang w:eastAsia="en-AU"/>
        </w:rPr>
        <w:t xml:space="preserve">AIFDR </w:t>
      </w:r>
      <w:r w:rsidR="002323BD">
        <w:rPr>
          <w:rFonts w:eastAsia="Times New Roman" w:cs="Segoe UI"/>
          <w:sz w:val="24"/>
          <w:szCs w:val="24"/>
          <w:lang w:eastAsia="en-AU"/>
        </w:rPr>
        <w:t>funding</w:t>
      </w:r>
      <w:r w:rsidRPr="00822A0D">
        <w:rPr>
          <w:rFonts w:eastAsia="Times New Roman" w:cs="Segoe UI"/>
          <w:sz w:val="24"/>
          <w:szCs w:val="24"/>
          <w:lang w:eastAsia="en-AU"/>
        </w:rPr>
        <w:t xml:space="preserve"> Badan Geologi now undertake earthquake hazard mapping aligned with international </w:t>
      </w:r>
      <w:r w:rsidR="002323BD">
        <w:rPr>
          <w:rFonts w:eastAsia="Times New Roman" w:cs="Segoe UI"/>
          <w:sz w:val="24"/>
          <w:szCs w:val="24"/>
          <w:lang w:eastAsia="en-AU"/>
        </w:rPr>
        <w:t>good practice methods</w:t>
      </w:r>
      <w:r w:rsidR="008A38F2">
        <w:rPr>
          <w:rFonts w:eastAsia="Times New Roman" w:cs="Segoe UI"/>
          <w:sz w:val="24"/>
          <w:szCs w:val="24"/>
          <w:lang w:eastAsia="en-AU"/>
        </w:rPr>
        <w:t xml:space="preserve">. </w:t>
      </w:r>
      <w:r w:rsidRPr="00822A0D">
        <w:rPr>
          <w:rFonts w:eastAsia="Times New Roman" w:cs="Segoe UI"/>
          <w:sz w:val="24"/>
          <w:szCs w:val="24"/>
          <w:lang w:eastAsia="en-AU"/>
        </w:rPr>
        <w:t>These hazard maps are provided to provincial level governments</w:t>
      </w:r>
      <w:r w:rsidR="008A38F2">
        <w:rPr>
          <w:rFonts w:eastAsia="Times New Roman" w:cs="Segoe UI"/>
          <w:sz w:val="24"/>
          <w:szCs w:val="24"/>
          <w:lang w:eastAsia="en-AU"/>
        </w:rPr>
        <w:t>, but it is not yet clear whether they are in</w:t>
      </w:r>
      <w:r w:rsidRPr="00822A0D">
        <w:rPr>
          <w:rFonts w:eastAsia="Times New Roman" w:cs="Segoe UI"/>
          <w:sz w:val="24"/>
          <w:szCs w:val="24"/>
          <w:lang w:eastAsia="en-AU"/>
        </w:rPr>
        <w:t>fluencing decision making</w:t>
      </w:r>
      <w:r w:rsidR="000C3BCA">
        <w:rPr>
          <w:rFonts w:eastAsia="Times New Roman" w:cs="Segoe UI"/>
          <w:sz w:val="24"/>
          <w:szCs w:val="24"/>
          <w:lang w:eastAsia="en-AU"/>
        </w:rPr>
        <w:t>. I</w:t>
      </w:r>
      <w:r w:rsidR="00822A0D" w:rsidRPr="00822A0D">
        <w:rPr>
          <w:rFonts w:eastAsia="Times New Roman" w:cs="Segoe UI"/>
          <w:sz w:val="24"/>
          <w:szCs w:val="24"/>
          <w:lang w:eastAsia="en-AU"/>
        </w:rPr>
        <w:t xml:space="preserve">t will be important in Phase 2 to gain a </w:t>
      </w:r>
      <w:r w:rsidRPr="00822A0D">
        <w:rPr>
          <w:rFonts w:eastAsia="Times New Roman" w:cs="Segoe UI"/>
          <w:sz w:val="24"/>
          <w:szCs w:val="24"/>
          <w:lang w:eastAsia="en-AU"/>
        </w:rPr>
        <w:t xml:space="preserve">better understanding of and </w:t>
      </w:r>
      <w:r w:rsidR="00C959E0">
        <w:rPr>
          <w:rFonts w:eastAsia="Times New Roman" w:cs="Segoe UI"/>
          <w:sz w:val="24"/>
          <w:szCs w:val="24"/>
          <w:lang w:eastAsia="en-AU"/>
        </w:rPr>
        <w:t>enhance</w:t>
      </w:r>
      <w:r w:rsidR="00C959E0" w:rsidRPr="00822A0D">
        <w:rPr>
          <w:rFonts w:eastAsia="Times New Roman" w:cs="Segoe UI"/>
          <w:sz w:val="24"/>
          <w:szCs w:val="24"/>
          <w:lang w:eastAsia="en-AU"/>
        </w:rPr>
        <w:t xml:space="preserve"> </w:t>
      </w:r>
      <w:r w:rsidRPr="00822A0D">
        <w:rPr>
          <w:rFonts w:eastAsia="Times New Roman" w:cs="Segoe UI"/>
          <w:sz w:val="24"/>
          <w:szCs w:val="24"/>
          <w:lang w:eastAsia="en-AU"/>
        </w:rPr>
        <w:t>the use of earthquake hazard maps at the community level</w:t>
      </w:r>
      <w:r w:rsidR="00822A0D" w:rsidRPr="00822A0D">
        <w:rPr>
          <w:rFonts w:eastAsia="Times New Roman" w:cs="Segoe UI"/>
          <w:sz w:val="24"/>
          <w:szCs w:val="24"/>
          <w:lang w:eastAsia="en-AU"/>
        </w:rPr>
        <w:t xml:space="preserve">. </w:t>
      </w:r>
    </w:p>
    <w:p w14:paraId="31BA0FA1" w14:textId="77777777" w:rsidR="00822A0D" w:rsidRPr="00822A0D" w:rsidRDefault="00822A0D" w:rsidP="00822A0D">
      <w:pPr>
        <w:pStyle w:val="ListParagraph"/>
        <w:rPr>
          <w:rFonts w:eastAsia="Times New Roman" w:cs="Segoe UI"/>
          <w:sz w:val="24"/>
          <w:szCs w:val="24"/>
          <w:lang w:eastAsia="en-AU"/>
        </w:rPr>
      </w:pPr>
    </w:p>
    <w:p w14:paraId="6C7BE9B9" w14:textId="04A8473E" w:rsidR="002E0F9B" w:rsidRDefault="00EF1D4A" w:rsidP="00B31B1F">
      <w:pPr>
        <w:pStyle w:val="ListParagraph"/>
        <w:numPr>
          <w:ilvl w:val="0"/>
          <w:numId w:val="31"/>
        </w:numPr>
        <w:spacing w:after="324" w:line="240" w:lineRule="auto"/>
        <w:rPr>
          <w:rFonts w:eastAsia="Times New Roman" w:cs="Segoe UI"/>
          <w:sz w:val="24"/>
          <w:szCs w:val="24"/>
          <w:lang w:eastAsia="en-AU"/>
        </w:rPr>
      </w:pPr>
      <w:r w:rsidRPr="00B31B1F">
        <w:rPr>
          <w:rFonts w:eastAsia="Times New Roman" w:cs="Segoe UI"/>
          <w:sz w:val="24"/>
          <w:szCs w:val="24"/>
          <w:lang w:eastAsia="en-AU"/>
        </w:rPr>
        <w:t xml:space="preserve">AIFDR, in partnership with a team of GoI and tertiary organisations, produced the first National Tsunami Hazard Map </w:t>
      </w:r>
      <w:r w:rsidR="006F4C3A" w:rsidRPr="00B31B1F">
        <w:rPr>
          <w:rFonts w:eastAsia="Times New Roman" w:cs="Segoe UI"/>
          <w:sz w:val="24"/>
          <w:szCs w:val="24"/>
          <w:lang w:eastAsia="en-AU"/>
        </w:rPr>
        <w:t>i</w:t>
      </w:r>
      <w:r w:rsidR="000C3BCA" w:rsidRPr="00B31B1F">
        <w:rPr>
          <w:rFonts w:eastAsia="Times New Roman" w:cs="Segoe UI"/>
          <w:sz w:val="24"/>
          <w:szCs w:val="24"/>
          <w:lang w:eastAsia="en-AU"/>
        </w:rPr>
        <w:t>.</w:t>
      </w:r>
      <w:r w:rsidR="006F4C3A" w:rsidRPr="00B31B1F">
        <w:rPr>
          <w:rFonts w:eastAsia="Times New Roman" w:cs="Segoe UI"/>
          <w:sz w:val="24"/>
          <w:szCs w:val="24"/>
          <w:lang w:eastAsia="en-AU"/>
        </w:rPr>
        <w:t>e</w:t>
      </w:r>
      <w:r w:rsidR="000C3BCA" w:rsidRPr="00B31B1F">
        <w:rPr>
          <w:rFonts w:eastAsia="Times New Roman" w:cs="Segoe UI"/>
          <w:sz w:val="24"/>
          <w:szCs w:val="24"/>
          <w:lang w:eastAsia="en-AU"/>
        </w:rPr>
        <w:t>.</w:t>
      </w:r>
      <w:r w:rsidRPr="00B31B1F">
        <w:rPr>
          <w:rFonts w:eastAsia="Times New Roman" w:cs="Segoe UI"/>
          <w:sz w:val="24"/>
          <w:szCs w:val="24"/>
          <w:lang w:eastAsia="en-AU"/>
        </w:rPr>
        <w:t xml:space="preserve"> the first nationally consistent understanding of tsunami hazard across the entire country. BNPB has used the National Tsunami Hazard Map in their prioritisation of at-risk districts for the construction of vertical evacuation structures through implementation of the 2012 Presidential Master Plan for Reducing Tsunami Risk. </w:t>
      </w:r>
    </w:p>
    <w:p w14:paraId="578DB4A7" w14:textId="77777777" w:rsidR="00B31B1F" w:rsidRPr="00B31B1F" w:rsidRDefault="00B31B1F" w:rsidP="00B31B1F">
      <w:pPr>
        <w:pStyle w:val="ListParagraph"/>
        <w:rPr>
          <w:rFonts w:eastAsia="Times New Roman" w:cs="Segoe UI"/>
          <w:sz w:val="24"/>
          <w:szCs w:val="24"/>
          <w:lang w:eastAsia="en-AU"/>
        </w:rPr>
      </w:pPr>
    </w:p>
    <w:p w14:paraId="3749CF13" w14:textId="39E49DB6" w:rsidR="00EF1D4A" w:rsidRPr="00822A0D" w:rsidRDefault="00EF1D4A" w:rsidP="00822A0D">
      <w:pPr>
        <w:pStyle w:val="ListParagraph"/>
        <w:numPr>
          <w:ilvl w:val="0"/>
          <w:numId w:val="31"/>
        </w:numPr>
        <w:spacing w:after="324" w:line="240" w:lineRule="auto"/>
        <w:rPr>
          <w:rFonts w:eastAsia="Times New Roman" w:cs="Segoe UI"/>
          <w:color w:val="000000" w:themeColor="text1"/>
          <w:sz w:val="24"/>
          <w:szCs w:val="24"/>
          <w:lang w:eastAsia="en-AU"/>
        </w:rPr>
      </w:pPr>
      <w:r w:rsidRPr="00822A0D">
        <w:rPr>
          <w:rFonts w:eastAsia="Times New Roman" w:cs="Segoe UI"/>
          <w:color w:val="000000" w:themeColor="text1"/>
          <w:sz w:val="24"/>
          <w:szCs w:val="24"/>
          <w:lang w:eastAsia="en-AU"/>
        </w:rPr>
        <w:t>A new tsunami hazard map for the Mentawai Islands was officially published by Badan Geologi in early 2014</w:t>
      </w:r>
      <w:r w:rsidR="006476DF" w:rsidRPr="00822A0D">
        <w:rPr>
          <w:rFonts w:eastAsia="Times New Roman" w:cs="Segoe UI"/>
          <w:color w:val="000000" w:themeColor="text1"/>
          <w:sz w:val="24"/>
          <w:szCs w:val="24"/>
          <w:lang w:eastAsia="en-AU"/>
        </w:rPr>
        <w:t>,</w:t>
      </w:r>
      <w:r w:rsidRPr="00822A0D">
        <w:rPr>
          <w:rFonts w:eastAsia="Times New Roman" w:cs="Segoe UI"/>
          <w:color w:val="000000" w:themeColor="text1"/>
          <w:sz w:val="24"/>
          <w:szCs w:val="24"/>
          <w:lang w:eastAsia="en-AU"/>
        </w:rPr>
        <w:t xml:space="preserve"> and was used to inform the Mentawai Megathrust international disaster response exercise by </w:t>
      </w:r>
      <w:r w:rsidR="006476DF" w:rsidRPr="00822A0D">
        <w:rPr>
          <w:rFonts w:eastAsia="Times New Roman" w:cs="Segoe UI"/>
          <w:color w:val="000000" w:themeColor="text1"/>
          <w:sz w:val="24"/>
          <w:szCs w:val="24"/>
          <w:lang w:eastAsia="en-AU"/>
        </w:rPr>
        <w:t>BNPB</w:t>
      </w:r>
      <w:r w:rsidRPr="00822A0D">
        <w:rPr>
          <w:rFonts w:eastAsia="Times New Roman" w:cs="Segoe UI"/>
          <w:color w:val="000000" w:themeColor="text1"/>
          <w:sz w:val="24"/>
          <w:szCs w:val="24"/>
          <w:lang w:eastAsia="en-AU"/>
        </w:rPr>
        <w:t xml:space="preserve"> in April 2010. The same map was also used for local level evacuation planning by the Mentawai Islands District Disaster Management Agency (BPBD).</w:t>
      </w:r>
    </w:p>
    <w:p w14:paraId="45C76DFE" w14:textId="40417942" w:rsidR="004318DD" w:rsidRDefault="004318DD" w:rsidP="004318DD">
      <w:pPr>
        <w:spacing w:after="0" w:line="240" w:lineRule="auto"/>
        <w:jc w:val="both"/>
        <w:rPr>
          <w:rFonts w:eastAsia="Times New Roman" w:cs="Arial"/>
          <w:sz w:val="24"/>
          <w:szCs w:val="24"/>
          <w:lang w:val="en" w:eastAsia="en-AU"/>
        </w:rPr>
      </w:pPr>
      <w:r w:rsidRPr="00174C42">
        <w:rPr>
          <w:sz w:val="24"/>
          <w:szCs w:val="24"/>
        </w:rPr>
        <w:t xml:space="preserve">Mindful of the long lead time required for AIFDR’s </w:t>
      </w:r>
      <w:r w:rsidR="006476DF">
        <w:rPr>
          <w:sz w:val="24"/>
          <w:szCs w:val="24"/>
        </w:rPr>
        <w:t>science</w:t>
      </w:r>
      <w:r w:rsidRPr="00174C42">
        <w:rPr>
          <w:sz w:val="24"/>
          <w:szCs w:val="24"/>
        </w:rPr>
        <w:t xml:space="preserve"> outputs, the evidence shows AIFDR had adopted a conscious strategy of investing in new technologies that would bring </w:t>
      </w:r>
      <w:r w:rsidR="00EF1D4A">
        <w:rPr>
          <w:sz w:val="24"/>
          <w:szCs w:val="24"/>
        </w:rPr>
        <w:t xml:space="preserve">the </w:t>
      </w:r>
      <w:r w:rsidRPr="00174C42">
        <w:rPr>
          <w:sz w:val="24"/>
          <w:szCs w:val="24"/>
        </w:rPr>
        <w:t xml:space="preserve">science to the community. AIFDR funded </w:t>
      </w:r>
      <w:r w:rsidR="000C3BCA">
        <w:rPr>
          <w:sz w:val="24"/>
          <w:szCs w:val="24"/>
        </w:rPr>
        <w:t xml:space="preserve">development of </w:t>
      </w:r>
      <w:r w:rsidRPr="00174C42">
        <w:rPr>
          <w:sz w:val="24"/>
          <w:szCs w:val="24"/>
        </w:rPr>
        <w:t xml:space="preserve">the open source software of InaSAFE and OSM. AIFDR’s Training and Outreach and Partnerships components facilitated the transfer of these tools through linking to outreach partners (Oxfam, ARC and IOM etc) </w:t>
      </w:r>
      <w:r w:rsidR="000C3BCA">
        <w:rPr>
          <w:sz w:val="24"/>
          <w:szCs w:val="24"/>
        </w:rPr>
        <w:t>to pilot</w:t>
      </w:r>
      <w:r w:rsidRPr="00174C42">
        <w:rPr>
          <w:sz w:val="24"/>
          <w:szCs w:val="24"/>
        </w:rPr>
        <w:t xml:space="preserve"> these technologies, and</w:t>
      </w:r>
      <w:r w:rsidR="000C3BCA">
        <w:rPr>
          <w:sz w:val="24"/>
          <w:szCs w:val="24"/>
        </w:rPr>
        <w:t>,</w:t>
      </w:r>
      <w:r w:rsidRPr="00174C42">
        <w:rPr>
          <w:sz w:val="24"/>
          <w:szCs w:val="24"/>
        </w:rPr>
        <w:t xml:space="preserve"> through CDSP</w:t>
      </w:r>
      <w:r w:rsidR="000C3BCA">
        <w:rPr>
          <w:sz w:val="24"/>
          <w:szCs w:val="24"/>
        </w:rPr>
        <w:t>,</w:t>
      </w:r>
      <w:r w:rsidRPr="00174C42">
        <w:rPr>
          <w:sz w:val="24"/>
          <w:szCs w:val="24"/>
        </w:rPr>
        <w:t xml:space="preserve"> these tools are being socialised. T</w:t>
      </w:r>
      <w:r w:rsidR="000C3BCA">
        <w:rPr>
          <w:sz w:val="24"/>
          <w:szCs w:val="24"/>
        </w:rPr>
        <w:t>o date, t</w:t>
      </w:r>
      <w:r w:rsidRPr="00174C42">
        <w:rPr>
          <w:sz w:val="24"/>
          <w:szCs w:val="24"/>
        </w:rPr>
        <w:t xml:space="preserve">he </w:t>
      </w:r>
      <w:r w:rsidRPr="00174C42">
        <w:rPr>
          <w:rFonts w:eastAsia="Times New Roman" w:cs="Arial"/>
          <w:sz w:val="24"/>
          <w:szCs w:val="24"/>
          <w:lang w:val="en" w:eastAsia="en-AU"/>
        </w:rPr>
        <w:t>InaSAFE software has been applied in a diverse range of environments in Indonesia – ranging from flood scenarios in the complex megacity of Jakarta to understanding potential earthquake and tsunami impacts in the rural community of Manokwari in West Papua.</w:t>
      </w:r>
    </w:p>
    <w:p w14:paraId="60713091" w14:textId="5B231249" w:rsidR="00953028" w:rsidRDefault="00953028" w:rsidP="004318DD">
      <w:pPr>
        <w:spacing w:after="0"/>
        <w:rPr>
          <w:sz w:val="24"/>
          <w:szCs w:val="24"/>
        </w:rPr>
      </w:pPr>
    </w:p>
    <w:p w14:paraId="777C137D" w14:textId="0B2C26A3" w:rsidR="00D30FA9" w:rsidRDefault="00D30FA9" w:rsidP="004318DD">
      <w:pPr>
        <w:spacing w:after="0"/>
        <w:rPr>
          <w:sz w:val="24"/>
          <w:szCs w:val="24"/>
        </w:rPr>
      </w:pPr>
      <w:r w:rsidRPr="0049429E">
        <w:rPr>
          <w:noProof/>
          <w:sz w:val="24"/>
          <w:szCs w:val="24"/>
          <w:lang w:eastAsia="en-AU"/>
        </w:rPr>
        <mc:AlternateContent>
          <mc:Choice Requires="wps">
            <w:drawing>
              <wp:anchor distT="45720" distB="45720" distL="114300" distR="114300" simplePos="0" relativeHeight="251676672" behindDoc="0" locked="0" layoutInCell="1" allowOverlap="1" wp14:anchorId="66A3A1E8" wp14:editId="56B22C2E">
                <wp:simplePos x="0" y="0"/>
                <wp:positionH relativeFrom="margin">
                  <wp:align>right</wp:align>
                </wp:positionH>
                <wp:positionV relativeFrom="paragraph">
                  <wp:posOffset>66675</wp:posOffset>
                </wp:positionV>
                <wp:extent cx="5619750" cy="41814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181475"/>
                        </a:xfrm>
                        <a:prstGeom prst="rect">
                          <a:avLst/>
                        </a:prstGeom>
                        <a:solidFill>
                          <a:srgbClr val="FFFFFF"/>
                        </a:solidFill>
                        <a:ln w="9525">
                          <a:solidFill>
                            <a:srgbClr val="000000"/>
                          </a:solidFill>
                          <a:miter lim="800000"/>
                          <a:headEnd/>
                          <a:tailEnd/>
                        </a:ln>
                      </wps:spPr>
                      <wps:txbx>
                        <w:txbxContent>
                          <w:p w14:paraId="2D0BE33D" w14:textId="2B03B3FD" w:rsidR="004D3B28" w:rsidRPr="006476DF" w:rsidRDefault="004D3B28" w:rsidP="0049429E">
                            <w:pPr>
                              <w:rPr>
                                <w:b/>
                                <w:color w:val="000000" w:themeColor="text1"/>
                                <w:sz w:val="24"/>
                                <w:szCs w:val="24"/>
                              </w:rPr>
                            </w:pPr>
                            <w:r>
                              <w:rPr>
                                <w:b/>
                                <w:color w:val="000000" w:themeColor="text1"/>
                                <w:sz w:val="24"/>
                                <w:szCs w:val="24"/>
                              </w:rPr>
                              <w:t>Box 2</w:t>
                            </w:r>
                            <w:r w:rsidRPr="006476DF">
                              <w:rPr>
                                <w:b/>
                                <w:color w:val="000000" w:themeColor="text1"/>
                                <w:sz w:val="24"/>
                                <w:szCs w:val="24"/>
                              </w:rPr>
                              <w:t xml:space="preserve">: </w:t>
                            </w:r>
                            <w:r>
                              <w:rPr>
                                <w:b/>
                                <w:color w:val="000000" w:themeColor="text1"/>
                                <w:sz w:val="24"/>
                                <w:szCs w:val="24"/>
                              </w:rPr>
                              <w:tab/>
                              <w:t>T</w:t>
                            </w:r>
                            <w:r w:rsidRPr="006476DF">
                              <w:rPr>
                                <w:b/>
                                <w:color w:val="000000" w:themeColor="text1"/>
                                <w:sz w:val="24"/>
                                <w:szCs w:val="24"/>
                              </w:rPr>
                              <w:t xml:space="preserve">ools for </w:t>
                            </w:r>
                            <w:r>
                              <w:rPr>
                                <w:b/>
                                <w:color w:val="000000" w:themeColor="text1"/>
                                <w:sz w:val="24"/>
                                <w:szCs w:val="24"/>
                              </w:rPr>
                              <w:t>Assessing Disaster Risk</w:t>
                            </w:r>
                            <w:r w:rsidRPr="006476DF">
                              <w:rPr>
                                <w:b/>
                                <w:color w:val="000000" w:themeColor="text1"/>
                                <w:sz w:val="24"/>
                                <w:szCs w:val="24"/>
                              </w:rPr>
                              <w:t xml:space="preserve"> </w:t>
                            </w:r>
                          </w:p>
                          <w:p w14:paraId="3C1975E6" w14:textId="1D78FD7A" w:rsidR="004D3B28" w:rsidRDefault="004D3B28" w:rsidP="0049429E">
                            <w:pPr>
                              <w:rPr>
                                <w:color w:val="000000" w:themeColor="text1"/>
                                <w:sz w:val="24"/>
                                <w:szCs w:val="24"/>
                              </w:rPr>
                            </w:pPr>
                            <w:r w:rsidRPr="006476DF">
                              <w:rPr>
                                <w:color w:val="000000" w:themeColor="text1"/>
                                <w:sz w:val="24"/>
                                <w:szCs w:val="24"/>
                              </w:rPr>
                              <w:t xml:space="preserve">To understand risk </w:t>
                            </w:r>
                            <w:r>
                              <w:rPr>
                                <w:color w:val="000000" w:themeColor="text1"/>
                                <w:sz w:val="24"/>
                                <w:szCs w:val="24"/>
                              </w:rPr>
                              <w:t xml:space="preserve">disaster managers </w:t>
                            </w:r>
                            <w:r w:rsidRPr="006476DF">
                              <w:rPr>
                                <w:color w:val="000000" w:themeColor="text1"/>
                                <w:sz w:val="24"/>
                                <w:szCs w:val="24"/>
                              </w:rPr>
                              <w:t>must have: (1) an understanding of hazard</w:t>
                            </w:r>
                            <w:r>
                              <w:rPr>
                                <w:color w:val="000000" w:themeColor="text1"/>
                                <w:sz w:val="24"/>
                                <w:szCs w:val="24"/>
                              </w:rPr>
                              <w:t>;</w:t>
                            </w:r>
                            <w:r w:rsidRPr="006476DF">
                              <w:rPr>
                                <w:color w:val="000000" w:themeColor="text1"/>
                                <w:sz w:val="24"/>
                                <w:szCs w:val="24"/>
                              </w:rPr>
                              <w:t xml:space="preserve"> (2) knowledge of the exposure of people and buildings</w:t>
                            </w:r>
                            <w:r>
                              <w:rPr>
                                <w:color w:val="000000" w:themeColor="text1"/>
                                <w:sz w:val="24"/>
                                <w:szCs w:val="24"/>
                              </w:rPr>
                              <w:t>;</w:t>
                            </w:r>
                            <w:r w:rsidRPr="006476DF">
                              <w:rPr>
                                <w:color w:val="000000" w:themeColor="text1"/>
                                <w:sz w:val="24"/>
                                <w:szCs w:val="24"/>
                              </w:rPr>
                              <w:t xml:space="preserve"> and (3) access to useable tools to pull this information together to </w:t>
                            </w:r>
                            <w:r>
                              <w:rPr>
                                <w:color w:val="000000" w:themeColor="text1"/>
                                <w:sz w:val="24"/>
                                <w:szCs w:val="24"/>
                              </w:rPr>
                              <w:t xml:space="preserve">inform decision making.  AIFDR has funded the development of a tool called InSAFE that is </w:t>
                            </w:r>
                            <w:r w:rsidRPr="006476DF">
                              <w:rPr>
                                <w:color w:val="000000" w:themeColor="text1"/>
                                <w:sz w:val="24"/>
                                <w:szCs w:val="24"/>
                              </w:rPr>
                              <w:t xml:space="preserve">capable of pulling </w:t>
                            </w:r>
                            <w:r>
                              <w:rPr>
                                <w:color w:val="000000" w:themeColor="text1"/>
                                <w:sz w:val="24"/>
                                <w:szCs w:val="24"/>
                              </w:rPr>
                              <w:t xml:space="preserve">a range of important data sources </w:t>
                            </w:r>
                            <w:r w:rsidRPr="006476DF">
                              <w:rPr>
                                <w:color w:val="000000" w:themeColor="text1"/>
                                <w:sz w:val="24"/>
                                <w:szCs w:val="24"/>
                              </w:rPr>
                              <w:t xml:space="preserve">together to support decision making. </w:t>
                            </w:r>
                            <w:r>
                              <w:rPr>
                                <w:color w:val="000000" w:themeColor="text1"/>
                                <w:sz w:val="24"/>
                                <w:szCs w:val="24"/>
                              </w:rPr>
                              <w:t xml:space="preserve">InSAFE is </w:t>
                            </w:r>
                            <w:proofErr w:type="gramStart"/>
                            <w:r>
                              <w:rPr>
                                <w:color w:val="000000" w:themeColor="text1"/>
                                <w:sz w:val="24"/>
                                <w:szCs w:val="24"/>
                              </w:rPr>
                              <w:t>a free</w:t>
                            </w:r>
                            <w:proofErr w:type="gramEnd"/>
                            <w:r>
                              <w:rPr>
                                <w:color w:val="000000" w:themeColor="text1"/>
                                <w:sz w:val="24"/>
                                <w:szCs w:val="24"/>
                              </w:rPr>
                              <w:t xml:space="preserve"> and open source software that produces natural hazard impact scenarios, providing a simple yet robust way to combine data from scientists, local government and communities to assess likely effects of future disaster events.</w:t>
                            </w:r>
                          </w:p>
                          <w:p w14:paraId="37CCD11F" w14:textId="45A0FF52" w:rsidR="004D3B28" w:rsidRDefault="004D3B28" w:rsidP="0049429E">
                            <w:pPr>
                              <w:rPr>
                                <w:color w:val="000000" w:themeColor="text1"/>
                                <w:sz w:val="24"/>
                                <w:szCs w:val="24"/>
                              </w:rPr>
                            </w:pPr>
                            <w:r w:rsidRPr="006476DF">
                              <w:rPr>
                                <w:color w:val="000000" w:themeColor="text1"/>
                                <w:sz w:val="24"/>
                                <w:szCs w:val="24"/>
                              </w:rPr>
                              <w:t xml:space="preserve">AIFDR has also invested in enhancing GoI ability to map its own exposure of people and buildings. By supporting the use of OpenStreetMap AIFDR has supported GoI to map over 1.4 million buildings that were previously not mapped. Now, for the first time, it is possible in some communities (such as Padang) to undertake a tsunami risk assessment that incorporates an understanding of where people live. In Jakarta, improvements in mapping and the presence of AIFDR sponsored mapping experts in the </w:t>
                            </w:r>
                            <w:r>
                              <w:rPr>
                                <w:color w:val="000000" w:themeColor="text1"/>
                                <w:sz w:val="24"/>
                                <w:szCs w:val="24"/>
                              </w:rPr>
                              <w:t>megacity’s</w:t>
                            </w:r>
                            <w:r w:rsidRPr="006476DF">
                              <w:rPr>
                                <w:color w:val="000000" w:themeColor="text1"/>
                                <w:sz w:val="24"/>
                                <w:szCs w:val="24"/>
                              </w:rPr>
                              <w:t xml:space="preserve"> BPBD during the flooding season have led to enhanced understanding in real-time of the progression of flood waters and the impact on communities.</w:t>
                            </w:r>
                          </w:p>
                          <w:p w14:paraId="477F6090" w14:textId="168D5AE4" w:rsidR="004D3B28" w:rsidRPr="006E248F" w:rsidRDefault="004D3B28" w:rsidP="0049429E">
                            <w:pPr>
                              <w:rPr>
                                <w:b/>
                                <w:i/>
                                <w:sz w:val="24"/>
                                <w:szCs w:val="24"/>
                              </w:rPr>
                            </w:pPr>
                            <w:r w:rsidRPr="006E248F">
                              <w:rPr>
                                <w:b/>
                                <w:i/>
                                <w:color w:val="000000" w:themeColor="text1"/>
                                <w:sz w:val="24"/>
                                <w:szCs w:val="24"/>
                              </w:rPr>
                              <w:t>Source: AIFDR Risk and Vulnerability Unit</w:t>
                            </w:r>
                          </w:p>
                          <w:p w14:paraId="2AEBECCD" w14:textId="57A9ED92" w:rsidR="004D3B28" w:rsidRDefault="004D3B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91.3pt;margin-top:5.25pt;width:442.5pt;height:329.2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">
                <v:textbox>
                  <w:txbxContent>
                    <w:p w14:paraId="2D0BE33D" w14:textId="2B03B3FD" w:rsidR="004D3B28" w:rsidRPr="006476DF" w:rsidRDefault="004D3B28" w:rsidP="0049429E">
                      <w:pPr>
                        <w:rPr>
                          <w:b/>
                          <w:color w:val="000000" w:themeColor="text1"/>
                          <w:sz w:val="24"/>
                          <w:szCs w:val="24"/>
                        </w:rPr>
                      </w:pPr>
                      <w:r>
                        <w:rPr>
                          <w:b/>
                          <w:color w:val="000000" w:themeColor="text1"/>
                          <w:sz w:val="24"/>
                          <w:szCs w:val="24"/>
                        </w:rPr>
                        <w:t>Box 2</w:t>
                      </w:r>
                      <w:r w:rsidRPr="006476DF">
                        <w:rPr>
                          <w:b/>
                          <w:color w:val="000000" w:themeColor="text1"/>
                          <w:sz w:val="24"/>
                          <w:szCs w:val="24"/>
                        </w:rPr>
                        <w:t xml:space="preserve">: </w:t>
                      </w:r>
                      <w:r>
                        <w:rPr>
                          <w:b/>
                          <w:color w:val="000000" w:themeColor="text1"/>
                          <w:sz w:val="24"/>
                          <w:szCs w:val="24"/>
                        </w:rPr>
                        <w:tab/>
                        <w:t>T</w:t>
                      </w:r>
                      <w:r w:rsidRPr="006476DF">
                        <w:rPr>
                          <w:b/>
                          <w:color w:val="000000" w:themeColor="text1"/>
                          <w:sz w:val="24"/>
                          <w:szCs w:val="24"/>
                        </w:rPr>
                        <w:t xml:space="preserve">ools for </w:t>
                      </w:r>
                      <w:r>
                        <w:rPr>
                          <w:b/>
                          <w:color w:val="000000" w:themeColor="text1"/>
                          <w:sz w:val="24"/>
                          <w:szCs w:val="24"/>
                        </w:rPr>
                        <w:t>Assessing Disaster Risk</w:t>
                      </w:r>
                      <w:r w:rsidRPr="006476DF">
                        <w:rPr>
                          <w:b/>
                          <w:color w:val="000000" w:themeColor="text1"/>
                          <w:sz w:val="24"/>
                          <w:szCs w:val="24"/>
                        </w:rPr>
                        <w:t xml:space="preserve"> </w:t>
                      </w:r>
                    </w:p>
                    <w:p w14:paraId="3C1975E6" w14:textId="1D78FD7A" w:rsidR="004D3B28" w:rsidRDefault="004D3B28" w:rsidP="0049429E">
                      <w:pPr>
                        <w:rPr>
                          <w:color w:val="000000" w:themeColor="text1"/>
                          <w:sz w:val="24"/>
                          <w:szCs w:val="24"/>
                        </w:rPr>
                      </w:pPr>
                      <w:r w:rsidRPr="006476DF">
                        <w:rPr>
                          <w:color w:val="000000" w:themeColor="text1"/>
                          <w:sz w:val="24"/>
                          <w:szCs w:val="24"/>
                        </w:rPr>
                        <w:t xml:space="preserve">To understand risk </w:t>
                      </w:r>
                      <w:r>
                        <w:rPr>
                          <w:color w:val="000000" w:themeColor="text1"/>
                          <w:sz w:val="24"/>
                          <w:szCs w:val="24"/>
                        </w:rPr>
                        <w:t xml:space="preserve">disaster managers </w:t>
                      </w:r>
                      <w:r w:rsidRPr="006476DF">
                        <w:rPr>
                          <w:color w:val="000000" w:themeColor="text1"/>
                          <w:sz w:val="24"/>
                          <w:szCs w:val="24"/>
                        </w:rPr>
                        <w:t>must have: (1) an understanding of hazard</w:t>
                      </w:r>
                      <w:r>
                        <w:rPr>
                          <w:color w:val="000000" w:themeColor="text1"/>
                          <w:sz w:val="24"/>
                          <w:szCs w:val="24"/>
                        </w:rPr>
                        <w:t>;</w:t>
                      </w:r>
                      <w:r w:rsidRPr="006476DF">
                        <w:rPr>
                          <w:color w:val="000000" w:themeColor="text1"/>
                          <w:sz w:val="24"/>
                          <w:szCs w:val="24"/>
                        </w:rPr>
                        <w:t xml:space="preserve"> (2) knowledge of the exposure of people and buildings</w:t>
                      </w:r>
                      <w:r>
                        <w:rPr>
                          <w:color w:val="000000" w:themeColor="text1"/>
                          <w:sz w:val="24"/>
                          <w:szCs w:val="24"/>
                        </w:rPr>
                        <w:t>;</w:t>
                      </w:r>
                      <w:r w:rsidRPr="006476DF">
                        <w:rPr>
                          <w:color w:val="000000" w:themeColor="text1"/>
                          <w:sz w:val="24"/>
                          <w:szCs w:val="24"/>
                        </w:rPr>
                        <w:t xml:space="preserve"> and (3) access to useable tools to pull this information together to </w:t>
                      </w:r>
                      <w:r>
                        <w:rPr>
                          <w:color w:val="000000" w:themeColor="text1"/>
                          <w:sz w:val="24"/>
                          <w:szCs w:val="24"/>
                        </w:rPr>
                        <w:t xml:space="preserve">inform decision making.  AIFDR has funded the development of a tool called InSAFE that is </w:t>
                      </w:r>
                      <w:r w:rsidRPr="006476DF">
                        <w:rPr>
                          <w:color w:val="000000" w:themeColor="text1"/>
                          <w:sz w:val="24"/>
                          <w:szCs w:val="24"/>
                        </w:rPr>
                        <w:t xml:space="preserve">capable of pulling </w:t>
                      </w:r>
                      <w:r>
                        <w:rPr>
                          <w:color w:val="000000" w:themeColor="text1"/>
                          <w:sz w:val="24"/>
                          <w:szCs w:val="24"/>
                        </w:rPr>
                        <w:t xml:space="preserve">a range of important data sources </w:t>
                      </w:r>
                      <w:r w:rsidRPr="006476DF">
                        <w:rPr>
                          <w:color w:val="000000" w:themeColor="text1"/>
                          <w:sz w:val="24"/>
                          <w:szCs w:val="24"/>
                        </w:rPr>
                        <w:t xml:space="preserve">together to support decision making. </w:t>
                      </w:r>
                      <w:r>
                        <w:rPr>
                          <w:color w:val="000000" w:themeColor="text1"/>
                          <w:sz w:val="24"/>
                          <w:szCs w:val="24"/>
                        </w:rPr>
                        <w:t>InSAFE is a free and open source software that produces natural hazard impact scenarios, providing a simple yet robust way to combine data from scientists, local government and communities to assess likely effects of future disaster events.</w:t>
                      </w:r>
                    </w:p>
                    <w:p w14:paraId="37CCD11F" w14:textId="45A0FF52" w:rsidR="004D3B28" w:rsidRDefault="004D3B28" w:rsidP="0049429E">
                      <w:pPr>
                        <w:rPr>
                          <w:color w:val="000000" w:themeColor="text1"/>
                          <w:sz w:val="24"/>
                          <w:szCs w:val="24"/>
                        </w:rPr>
                      </w:pPr>
                      <w:r w:rsidRPr="006476DF">
                        <w:rPr>
                          <w:color w:val="000000" w:themeColor="text1"/>
                          <w:sz w:val="24"/>
                          <w:szCs w:val="24"/>
                        </w:rPr>
                        <w:t xml:space="preserve">AIFDR has also invested in enhancing GoI ability to map its own exposure of people and buildings. By supporting the use of OpenStreetMap AIFDR has supported GoI to map over 1.4 million buildings that were previously not mapped. Now, for the first time, it is possible in some communities (such as Padang) to undertake a tsunami risk assessment that incorporates an understanding of where people live. In Jakarta, improvements in mapping and the presence of AIFDR sponsored mapping experts in the </w:t>
                      </w:r>
                      <w:r>
                        <w:rPr>
                          <w:color w:val="000000" w:themeColor="text1"/>
                          <w:sz w:val="24"/>
                          <w:szCs w:val="24"/>
                        </w:rPr>
                        <w:t>megacity’s</w:t>
                      </w:r>
                      <w:r w:rsidRPr="006476DF">
                        <w:rPr>
                          <w:color w:val="000000" w:themeColor="text1"/>
                          <w:sz w:val="24"/>
                          <w:szCs w:val="24"/>
                        </w:rPr>
                        <w:t xml:space="preserve"> BPBD during the flooding season have led to enhanced understanding in real-time of the progression of flood waters and the impact on communities.</w:t>
                      </w:r>
                    </w:p>
                    <w:p w14:paraId="477F6090" w14:textId="168D5AE4" w:rsidR="004D3B28" w:rsidRPr="006E248F" w:rsidRDefault="004D3B28" w:rsidP="0049429E">
                      <w:pPr>
                        <w:rPr>
                          <w:b/>
                          <w:i/>
                          <w:sz w:val="24"/>
                          <w:szCs w:val="24"/>
                        </w:rPr>
                      </w:pPr>
                      <w:r w:rsidRPr="006E248F">
                        <w:rPr>
                          <w:b/>
                          <w:i/>
                          <w:color w:val="000000" w:themeColor="text1"/>
                          <w:sz w:val="24"/>
                          <w:szCs w:val="24"/>
                        </w:rPr>
                        <w:t>Source: AIFDR Risk and Vulnerability Unit</w:t>
                      </w:r>
                    </w:p>
                    <w:p w14:paraId="2AEBECCD" w14:textId="57A9ED92" w:rsidR="004D3B28" w:rsidRDefault="004D3B28"/>
                  </w:txbxContent>
                </v:textbox>
                <w10:wrap type="square" anchorx="margin"/>
              </v:shape>
            </w:pict>
          </mc:Fallback>
        </mc:AlternateContent>
      </w:r>
    </w:p>
    <w:p w14:paraId="46CEF073" w14:textId="48449C47" w:rsidR="00D30FA9" w:rsidRDefault="00D30FA9" w:rsidP="004318DD">
      <w:pPr>
        <w:spacing w:after="0"/>
        <w:rPr>
          <w:sz w:val="24"/>
          <w:szCs w:val="24"/>
        </w:rPr>
      </w:pPr>
    </w:p>
    <w:p w14:paraId="0BEB5189" w14:textId="22A08666" w:rsidR="00D30FA9" w:rsidRDefault="00B35D44" w:rsidP="004318DD">
      <w:pPr>
        <w:spacing w:after="0"/>
        <w:rPr>
          <w:sz w:val="24"/>
          <w:szCs w:val="24"/>
        </w:rPr>
      </w:pPr>
      <w:r>
        <w:rPr>
          <w:sz w:val="24"/>
          <w:szCs w:val="24"/>
        </w:rPr>
        <w:t>Key outputs from AIFDR Phase 1 ‘Research and Innovation’ small grants modality</w:t>
      </w:r>
      <w:r w:rsidR="00A079CB">
        <w:rPr>
          <w:sz w:val="24"/>
          <w:szCs w:val="24"/>
        </w:rPr>
        <w:t xml:space="preserve"> are as follows</w:t>
      </w:r>
      <w:r>
        <w:rPr>
          <w:sz w:val="24"/>
          <w:szCs w:val="24"/>
        </w:rPr>
        <w:t>:</w:t>
      </w:r>
    </w:p>
    <w:p w14:paraId="19774DB9" w14:textId="77777777" w:rsidR="00B35D44" w:rsidRDefault="00B35D44" w:rsidP="004318DD">
      <w:pPr>
        <w:spacing w:after="0"/>
        <w:rPr>
          <w:sz w:val="24"/>
          <w:szCs w:val="24"/>
        </w:rPr>
      </w:pPr>
    </w:p>
    <w:p w14:paraId="6B0D1B3A" w14:textId="51D33FA5" w:rsidR="00B35D44" w:rsidRDefault="00D30FA9" w:rsidP="00B35D44">
      <w:pPr>
        <w:pStyle w:val="ListParagraph"/>
        <w:numPr>
          <w:ilvl w:val="0"/>
          <w:numId w:val="38"/>
        </w:numPr>
        <w:spacing w:after="0"/>
        <w:rPr>
          <w:sz w:val="24"/>
          <w:szCs w:val="24"/>
        </w:rPr>
      </w:pPr>
      <w:r w:rsidRPr="00B35D44">
        <w:rPr>
          <w:sz w:val="24"/>
          <w:szCs w:val="24"/>
        </w:rPr>
        <w:t xml:space="preserve">AIFDR and BNPB have learnt more about social vulnerability, and how vulnerability indicators can be incorporated into </w:t>
      </w:r>
      <w:r w:rsidR="004318DD" w:rsidRPr="00B35D44">
        <w:rPr>
          <w:sz w:val="24"/>
          <w:szCs w:val="24"/>
        </w:rPr>
        <w:t>assessments</w:t>
      </w:r>
      <w:r w:rsidR="002772A6">
        <w:rPr>
          <w:sz w:val="24"/>
          <w:szCs w:val="24"/>
        </w:rPr>
        <w:t>.</w:t>
      </w:r>
    </w:p>
    <w:p w14:paraId="5C4949B5" w14:textId="77777777" w:rsidR="000236D4" w:rsidRDefault="000236D4" w:rsidP="006E248F">
      <w:pPr>
        <w:pStyle w:val="ListParagraph"/>
        <w:spacing w:after="0"/>
        <w:rPr>
          <w:sz w:val="24"/>
          <w:szCs w:val="24"/>
        </w:rPr>
      </w:pPr>
    </w:p>
    <w:p w14:paraId="06DA0D63" w14:textId="294AB32F" w:rsidR="00B35D44" w:rsidRDefault="002772A6" w:rsidP="00B35D44">
      <w:pPr>
        <w:pStyle w:val="ListParagraph"/>
        <w:numPr>
          <w:ilvl w:val="0"/>
          <w:numId w:val="38"/>
        </w:numPr>
        <w:spacing w:after="0"/>
        <w:rPr>
          <w:sz w:val="24"/>
          <w:szCs w:val="24"/>
        </w:rPr>
      </w:pPr>
      <w:r>
        <w:rPr>
          <w:sz w:val="24"/>
          <w:szCs w:val="24"/>
        </w:rPr>
        <w:t>U</w:t>
      </w:r>
      <w:r w:rsidR="004318DD" w:rsidRPr="00B35D44">
        <w:rPr>
          <w:sz w:val="24"/>
          <w:szCs w:val="24"/>
        </w:rPr>
        <w:t>nder the small-grants program issues such as participation of women and children with disabilities, integration of DRR into sustainable livelihoods, climate change vulnerability, post-disaster micro-financing and community disaster mitigation and preparedness</w:t>
      </w:r>
      <w:r w:rsidR="00140815" w:rsidRPr="00B35D44">
        <w:rPr>
          <w:sz w:val="24"/>
          <w:szCs w:val="24"/>
        </w:rPr>
        <w:t>,</w:t>
      </w:r>
      <w:r w:rsidR="004318DD" w:rsidRPr="00B35D44">
        <w:rPr>
          <w:sz w:val="24"/>
          <w:szCs w:val="24"/>
        </w:rPr>
        <w:t xml:space="preserve"> have been researched. </w:t>
      </w:r>
    </w:p>
    <w:p w14:paraId="72ABF53F" w14:textId="77777777" w:rsidR="000236D4" w:rsidRPr="006E248F" w:rsidRDefault="000236D4" w:rsidP="006E248F">
      <w:pPr>
        <w:pStyle w:val="ListParagraph"/>
        <w:rPr>
          <w:sz w:val="24"/>
          <w:szCs w:val="24"/>
        </w:rPr>
      </w:pPr>
    </w:p>
    <w:p w14:paraId="7C74142C" w14:textId="34605F2F" w:rsidR="00B35D44" w:rsidRDefault="00B35D44" w:rsidP="00B35D44">
      <w:pPr>
        <w:pStyle w:val="ListParagraph"/>
        <w:numPr>
          <w:ilvl w:val="0"/>
          <w:numId w:val="38"/>
        </w:numPr>
        <w:spacing w:after="0"/>
        <w:rPr>
          <w:sz w:val="24"/>
          <w:szCs w:val="24"/>
        </w:rPr>
      </w:pPr>
      <w:r>
        <w:rPr>
          <w:sz w:val="24"/>
          <w:szCs w:val="24"/>
        </w:rPr>
        <w:t>Of</w:t>
      </w:r>
      <w:r w:rsidR="004318DD" w:rsidRPr="00B35D44">
        <w:rPr>
          <w:sz w:val="24"/>
          <w:szCs w:val="24"/>
        </w:rPr>
        <w:t xml:space="preserve"> the 8 competitive grants, 6 were deemed successful and 2 (Delsos in NTT and the Australian Red Cross DRM film) were </w:t>
      </w:r>
      <w:r>
        <w:rPr>
          <w:sz w:val="24"/>
          <w:szCs w:val="24"/>
        </w:rPr>
        <w:t>given additional funding to enable</w:t>
      </w:r>
      <w:r w:rsidR="004318DD" w:rsidRPr="00B35D44">
        <w:rPr>
          <w:sz w:val="24"/>
          <w:szCs w:val="24"/>
        </w:rPr>
        <w:t xml:space="preserve"> replication. </w:t>
      </w:r>
    </w:p>
    <w:p w14:paraId="1308D28E" w14:textId="77777777" w:rsidR="000236D4" w:rsidRDefault="000236D4" w:rsidP="006E248F">
      <w:pPr>
        <w:pStyle w:val="ListParagraph"/>
        <w:spacing w:after="0"/>
        <w:rPr>
          <w:sz w:val="24"/>
          <w:szCs w:val="24"/>
        </w:rPr>
      </w:pPr>
    </w:p>
    <w:p w14:paraId="0E0DE8D0" w14:textId="0C36E269" w:rsidR="005F13FD" w:rsidRDefault="007E4C03" w:rsidP="00B35D44">
      <w:pPr>
        <w:pStyle w:val="ListParagraph"/>
        <w:numPr>
          <w:ilvl w:val="0"/>
          <w:numId w:val="38"/>
        </w:numPr>
        <w:spacing w:after="0"/>
        <w:rPr>
          <w:sz w:val="24"/>
          <w:szCs w:val="24"/>
        </w:rPr>
      </w:pPr>
      <w:r w:rsidRPr="00B35D44">
        <w:rPr>
          <w:sz w:val="24"/>
          <w:szCs w:val="24"/>
        </w:rPr>
        <w:t xml:space="preserve">The Australian Red Cross tsunami disaster risk reduction film </w:t>
      </w:r>
      <w:r w:rsidRPr="00B35D44">
        <w:rPr>
          <w:i/>
          <w:iCs/>
          <w:sz w:val="24"/>
          <w:szCs w:val="24"/>
        </w:rPr>
        <w:t>Pesan dari Samudra</w:t>
      </w:r>
      <w:r w:rsidRPr="00B35D44">
        <w:rPr>
          <w:sz w:val="24"/>
          <w:szCs w:val="24"/>
        </w:rPr>
        <w:t xml:space="preserve"> (Message from the Ocean) </w:t>
      </w:r>
      <w:r w:rsidR="005F13FD" w:rsidRPr="00B35D44">
        <w:rPr>
          <w:sz w:val="24"/>
          <w:szCs w:val="24"/>
        </w:rPr>
        <w:t xml:space="preserve">funded by AIFDR was aired on one of Indonesia’s biggest television networks in December 2012. It is a good example of innovative programming, and was according to an ex-AIFDR co-director one of </w:t>
      </w:r>
      <w:r w:rsidR="0042217E" w:rsidRPr="00B35D44">
        <w:rPr>
          <w:sz w:val="24"/>
          <w:szCs w:val="24"/>
        </w:rPr>
        <w:t xml:space="preserve">the </w:t>
      </w:r>
      <w:r w:rsidR="005F13FD" w:rsidRPr="00B35D44">
        <w:rPr>
          <w:sz w:val="24"/>
          <w:szCs w:val="24"/>
        </w:rPr>
        <w:t>facilities best value</w:t>
      </w:r>
      <w:r w:rsidR="00140815" w:rsidRPr="00B35D44">
        <w:rPr>
          <w:sz w:val="24"/>
          <w:szCs w:val="24"/>
        </w:rPr>
        <w:t>-</w:t>
      </w:r>
      <w:r w:rsidR="005F13FD" w:rsidRPr="00B35D44">
        <w:rPr>
          <w:sz w:val="24"/>
          <w:szCs w:val="24"/>
        </w:rPr>
        <w:t>for</w:t>
      </w:r>
      <w:r w:rsidR="00140815" w:rsidRPr="00B35D44">
        <w:rPr>
          <w:sz w:val="24"/>
          <w:szCs w:val="24"/>
        </w:rPr>
        <w:t>-</w:t>
      </w:r>
      <w:r w:rsidR="005F13FD" w:rsidRPr="00B35D44">
        <w:rPr>
          <w:sz w:val="24"/>
          <w:szCs w:val="24"/>
        </w:rPr>
        <w:t xml:space="preserve">money activities. </w:t>
      </w:r>
    </w:p>
    <w:p w14:paraId="3AC7C81A" w14:textId="75086BFD" w:rsidR="006D2503" w:rsidRPr="00B35D44" w:rsidRDefault="004318DD" w:rsidP="00B35D44">
      <w:pPr>
        <w:pStyle w:val="ListParagraph"/>
        <w:numPr>
          <w:ilvl w:val="0"/>
          <w:numId w:val="38"/>
        </w:numPr>
        <w:spacing w:after="0"/>
        <w:rPr>
          <w:sz w:val="24"/>
          <w:szCs w:val="24"/>
        </w:rPr>
      </w:pPr>
      <w:r w:rsidRPr="00B35D44">
        <w:rPr>
          <w:sz w:val="24"/>
          <w:szCs w:val="24"/>
        </w:rPr>
        <w:t>Four AIFDR funded activities report that they have positively influenced local disaster management policy: (Daya Annisa – gender and women’s participation in DRM and livelihoods); (ASB- disability included into local disaster management regulations</w:t>
      </w:r>
      <w:r w:rsidR="00682E13" w:rsidRPr="00B35D44">
        <w:rPr>
          <w:sz w:val="24"/>
          <w:szCs w:val="24"/>
        </w:rPr>
        <w:t xml:space="preserve"> – </w:t>
      </w:r>
      <w:r w:rsidR="00682E13" w:rsidRPr="006E248F">
        <w:rPr>
          <w:sz w:val="24"/>
          <w:szCs w:val="24"/>
        </w:rPr>
        <w:t xml:space="preserve">ref </w:t>
      </w:r>
      <w:r w:rsidR="00CB1459">
        <w:rPr>
          <w:sz w:val="24"/>
          <w:szCs w:val="24"/>
        </w:rPr>
        <w:t xml:space="preserve">to </w:t>
      </w:r>
      <w:r w:rsidR="00682E13" w:rsidRPr="006E248F">
        <w:rPr>
          <w:sz w:val="24"/>
          <w:szCs w:val="24"/>
        </w:rPr>
        <w:t xml:space="preserve">Box </w:t>
      </w:r>
      <w:r w:rsidR="00CB1459" w:rsidRPr="00CB1459">
        <w:rPr>
          <w:sz w:val="24"/>
          <w:szCs w:val="24"/>
        </w:rPr>
        <w:t>4</w:t>
      </w:r>
      <w:r w:rsidRPr="00B35D44">
        <w:rPr>
          <w:sz w:val="24"/>
          <w:szCs w:val="24"/>
        </w:rPr>
        <w:t xml:space="preserve">); (World Relief – CBDRM integrated into local government DRM activities); (Delsos – ongoing support of women-led activities by local authorities). </w:t>
      </w:r>
    </w:p>
    <w:p w14:paraId="5C2472A8" w14:textId="77777777" w:rsidR="006D2503" w:rsidRDefault="006D2503" w:rsidP="004318DD">
      <w:pPr>
        <w:spacing w:after="0"/>
        <w:rPr>
          <w:sz w:val="24"/>
          <w:szCs w:val="24"/>
        </w:rPr>
      </w:pPr>
    </w:p>
    <w:p w14:paraId="3805CA9D" w14:textId="639B9F72" w:rsidR="004318DD" w:rsidRPr="00174C42" w:rsidRDefault="004318DD" w:rsidP="004318DD">
      <w:pPr>
        <w:spacing w:after="0"/>
        <w:rPr>
          <w:sz w:val="24"/>
          <w:szCs w:val="24"/>
        </w:rPr>
      </w:pPr>
      <w:r w:rsidRPr="00174C42">
        <w:rPr>
          <w:sz w:val="24"/>
          <w:szCs w:val="24"/>
        </w:rPr>
        <w:t>On the basis of project reports</w:t>
      </w:r>
      <w:r w:rsidR="00B35D44">
        <w:rPr>
          <w:sz w:val="24"/>
          <w:szCs w:val="24"/>
        </w:rPr>
        <w:t xml:space="preserve">, the review team </w:t>
      </w:r>
      <w:r w:rsidR="00C959E0">
        <w:rPr>
          <w:sz w:val="24"/>
          <w:szCs w:val="24"/>
        </w:rPr>
        <w:t xml:space="preserve">found </w:t>
      </w:r>
      <w:r w:rsidR="00B35D44">
        <w:rPr>
          <w:sz w:val="24"/>
          <w:szCs w:val="24"/>
        </w:rPr>
        <w:t>the ‘Research and Innovation’ small grants modality</w:t>
      </w:r>
      <w:r w:rsidR="00B35D44" w:rsidRPr="00174C42">
        <w:rPr>
          <w:sz w:val="24"/>
          <w:szCs w:val="24"/>
        </w:rPr>
        <w:t xml:space="preserve"> </w:t>
      </w:r>
      <w:r w:rsidRPr="00174C42">
        <w:rPr>
          <w:sz w:val="24"/>
          <w:szCs w:val="24"/>
        </w:rPr>
        <w:t xml:space="preserve">as having been an effective mechanism for supporting innovative approaches to </w:t>
      </w:r>
      <w:r w:rsidR="00C959E0">
        <w:rPr>
          <w:sz w:val="24"/>
          <w:szCs w:val="24"/>
        </w:rPr>
        <w:t>DRR and DRM</w:t>
      </w:r>
      <w:r w:rsidRPr="00174C42">
        <w:rPr>
          <w:sz w:val="24"/>
          <w:szCs w:val="24"/>
        </w:rPr>
        <w:t xml:space="preserve">. However, </w:t>
      </w:r>
      <w:r w:rsidR="00140815">
        <w:rPr>
          <w:sz w:val="24"/>
          <w:szCs w:val="24"/>
        </w:rPr>
        <w:t xml:space="preserve">in order to support this finding, </w:t>
      </w:r>
      <w:r w:rsidRPr="00174C42">
        <w:rPr>
          <w:sz w:val="24"/>
          <w:szCs w:val="24"/>
        </w:rPr>
        <w:t>AIFDR could have done more to capture and share ‘lessons learnt’ generated through the program. It will be important in Phase 2 to ensure robust systems are in place to document the impacts, sustainability of interventions and lessons generated through grant funded projects.</w:t>
      </w:r>
    </w:p>
    <w:p w14:paraId="3CC3D115" w14:textId="65B6FE4B" w:rsidR="009E69A7" w:rsidRDefault="00407431" w:rsidP="00155EE6">
      <w:pPr>
        <w:rPr>
          <w:rFonts w:cs="Times New Roman"/>
        </w:rPr>
      </w:pPr>
      <w:r w:rsidRPr="00407431">
        <w:rPr>
          <w:rFonts w:cs="Times New Roman"/>
          <w:noProof/>
          <w:lang w:eastAsia="en-AU"/>
        </w:rPr>
        <mc:AlternateContent>
          <mc:Choice Requires="wps">
            <w:drawing>
              <wp:anchor distT="45720" distB="45720" distL="114300" distR="114300" simplePos="0" relativeHeight="251688960" behindDoc="0" locked="0" layoutInCell="1" allowOverlap="1" wp14:anchorId="61E2E795" wp14:editId="6B0D9A59">
                <wp:simplePos x="0" y="0"/>
                <wp:positionH relativeFrom="column">
                  <wp:posOffset>76200</wp:posOffset>
                </wp:positionH>
                <wp:positionV relativeFrom="paragraph">
                  <wp:posOffset>469900</wp:posOffset>
                </wp:positionV>
                <wp:extent cx="5524500" cy="25908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2590800"/>
                        </a:xfrm>
                        <a:prstGeom prst="rect">
                          <a:avLst/>
                        </a:prstGeom>
                        <a:solidFill>
                          <a:srgbClr val="FFFFFF"/>
                        </a:solidFill>
                        <a:ln w="9525">
                          <a:solidFill>
                            <a:srgbClr val="000000"/>
                          </a:solidFill>
                          <a:miter lim="800000"/>
                          <a:headEnd/>
                          <a:tailEnd/>
                        </a:ln>
                      </wps:spPr>
                      <wps:txbx>
                        <w:txbxContent>
                          <w:p w14:paraId="3C17F90D" w14:textId="66D6770A" w:rsidR="004D3B28" w:rsidRPr="00102703" w:rsidRDefault="004D3B28" w:rsidP="00D97527">
                            <w:pPr>
                              <w:pStyle w:val="NormalWeb"/>
                              <w:shd w:val="clear" w:color="auto" w:fill="FFFFFF"/>
                              <w:spacing w:line="285" w:lineRule="atLeast"/>
                              <w:rPr>
                                <w:rFonts w:asciiTheme="minorHAnsi" w:hAnsiTheme="minorHAnsi" w:cs="Helvetica"/>
                                <w:b/>
                                <w:color w:val="333333"/>
                                <w:lang w:val="en-US"/>
                              </w:rPr>
                            </w:pPr>
                            <w:r w:rsidRPr="00102703">
                              <w:rPr>
                                <w:rFonts w:asciiTheme="minorHAnsi" w:hAnsiTheme="minorHAnsi" w:cs="Helvetica"/>
                                <w:b/>
                                <w:color w:val="333333"/>
                                <w:lang w:val="en-US"/>
                              </w:rPr>
                              <w:t>Box</w:t>
                            </w:r>
                            <w:r>
                              <w:rPr>
                                <w:rFonts w:asciiTheme="minorHAnsi" w:hAnsiTheme="minorHAnsi" w:cs="Helvetica"/>
                                <w:b/>
                                <w:color w:val="333333"/>
                                <w:lang w:val="en-US"/>
                              </w:rPr>
                              <w:t xml:space="preserve"> 3</w:t>
                            </w:r>
                            <w:r w:rsidRPr="00102703">
                              <w:rPr>
                                <w:rFonts w:asciiTheme="minorHAnsi" w:hAnsiTheme="minorHAnsi" w:cs="Helvetica"/>
                                <w:b/>
                                <w:color w:val="333333"/>
                                <w:lang w:val="en-US"/>
                              </w:rPr>
                              <w:t>: Innovative Progra</w:t>
                            </w:r>
                            <w:r w:rsidRPr="00D97527">
                              <w:rPr>
                                <w:rFonts w:asciiTheme="minorHAnsi" w:hAnsiTheme="minorHAnsi" w:cs="Helvetica"/>
                                <w:b/>
                                <w:color w:val="333333"/>
                                <w:lang w:val="en-US"/>
                              </w:rPr>
                              <w:t>m</w:t>
                            </w:r>
                            <w:r w:rsidRPr="00102703">
                              <w:rPr>
                                <w:rFonts w:asciiTheme="minorHAnsi" w:hAnsiTheme="minorHAnsi" w:cs="Helvetica"/>
                                <w:b/>
                                <w:color w:val="333333"/>
                                <w:lang w:val="en-US"/>
                              </w:rPr>
                              <w:t xml:space="preserve">ming </w:t>
                            </w:r>
                          </w:p>
                          <w:p w14:paraId="3E17FDC4" w14:textId="395F8C35" w:rsidR="004D3B28" w:rsidRDefault="004D3B28" w:rsidP="00102703">
                            <w:pPr>
                              <w:pStyle w:val="NormalWeb"/>
                              <w:shd w:val="clear" w:color="auto" w:fill="FFFFFF"/>
                              <w:spacing w:line="285" w:lineRule="atLeast"/>
                              <w:rPr>
                                <w:rFonts w:asciiTheme="minorHAnsi" w:hAnsiTheme="minorHAnsi" w:cs="Helvetica"/>
                                <w:color w:val="333333"/>
                                <w:lang w:val="en-US"/>
                              </w:rPr>
                            </w:pPr>
                            <w:r w:rsidRPr="00102703">
                              <w:rPr>
                                <w:rFonts w:asciiTheme="minorHAnsi" w:hAnsiTheme="minorHAnsi" w:cs="Helvetica"/>
                                <w:color w:val="333333"/>
                                <w:lang w:val="en-US"/>
                              </w:rPr>
                              <w:t xml:space="preserve">“Pesan Dari Samudra” (Message </w:t>
                            </w:r>
                            <w:proofErr w:type="gramStart"/>
                            <w:r w:rsidRPr="00102703">
                              <w:rPr>
                                <w:rFonts w:asciiTheme="minorHAnsi" w:hAnsiTheme="minorHAnsi" w:cs="Helvetica"/>
                                <w:color w:val="333333"/>
                                <w:lang w:val="en-US"/>
                              </w:rPr>
                              <w:t>From</w:t>
                            </w:r>
                            <w:proofErr w:type="gramEnd"/>
                            <w:r w:rsidRPr="00102703">
                              <w:rPr>
                                <w:rFonts w:asciiTheme="minorHAnsi" w:hAnsiTheme="minorHAnsi" w:cs="Helvetica"/>
                                <w:color w:val="333333"/>
                                <w:lang w:val="en-US"/>
                              </w:rPr>
                              <w:t xml:space="preserve"> the Ocean) tells the story of a family in Indonesia battling a disaster situation. </w:t>
                            </w:r>
                            <w:r>
                              <w:rPr>
                                <w:rFonts w:asciiTheme="minorHAnsi" w:hAnsiTheme="minorHAnsi" w:cs="Helvetica"/>
                                <w:color w:val="333333"/>
                                <w:lang w:val="en-US"/>
                              </w:rPr>
                              <w:t xml:space="preserve">It </w:t>
                            </w:r>
                            <w:r w:rsidRPr="00102703">
                              <w:rPr>
                                <w:rFonts w:asciiTheme="minorHAnsi" w:hAnsiTheme="minorHAnsi" w:cs="Helvetica"/>
                                <w:color w:val="333333"/>
                                <w:lang w:val="en-US"/>
                              </w:rPr>
                              <w:t xml:space="preserve">is a 76-minute feature film made by </w:t>
                            </w:r>
                            <w:r>
                              <w:rPr>
                                <w:rFonts w:asciiTheme="minorHAnsi" w:hAnsiTheme="minorHAnsi" w:cs="Helvetica"/>
                                <w:color w:val="333333"/>
                                <w:lang w:val="en-US"/>
                              </w:rPr>
                              <w:t xml:space="preserve">award winning </w:t>
                            </w:r>
                            <w:r w:rsidRPr="00102703">
                              <w:rPr>
                                <w:rFonts w:asciiTheme="minorHAnsi" w:hAnsiTheme="minorHAnsi" w:cs="Helvetica"/>
                                <w:color w:val="333333"/>
                                <w:lang w:val="en-US"/>
                              </w:rPr>
                              <w:t>Indonesian filmmak</w:t>
                            </w:r>
                            <w:r w:rsidRPr="00D97527">
                              <w:rPr>
                                <w:rFonts w:asciiTheme="minorHAnsi" w:hAnsiTheme="minorHAnsi" w:cs="Helvetica"/>
                                <w:color w:val="333333"/>
                                <w:lang w:val="en-US"/>
                              </w:rPr>
                              <w:t xml:space="preserve">ers Mira Lesmana and Riri Riza. </w:t>
                            </w:r>
                            <w:r w:rsidRPr="00102703">
                              <w:rPr>
                                <w:rFonts w:asciiTheme="minorHAnsi" w:hAnsiTheme="minorHAnsi" w:cs="Helvetica"/>
                                <w:color w:val="333333"/>
                                <w:lang w:val="en-US"/>
                              </w:rPr>
                              <w:t>This groundbreaking project, funded by the Australia-Indonesia Facility for Disaster Reduction (AIFDR), is an initiative from the Australian Red Cross.</w:t>
                            </w:r>
                            <w:r>
                              <w:rPr>
                                <w:rFonts w:asciiTheme="minorHAnsi" w:hAnsiTheme="minorHAnsi" w:cs="Helvetica"/>
                                <w:color w:val="333333"/>
                                <w:lang w:val="en-US"/>
                              </w:rPr>
                              <w:t xml:space="preserve"> </w:t>
                            </w:r>
                            <w:r w:rsidRPr="00140683">
                              <w:rPr>
                                <w:rFonts w:asciiTheme="minorHAnsi" w:hAnsiTheme="minorHAnsi" w:cs="Helvetica"/>
                                <w:color w:val="333333"/>
                                <w:lang w:val="en-US"/>
                              </w:rPr>
                              <w:t xml:space="preserve">The </w:t>
                            </w:r>
                            <w:r>
                              <w:rPr>
                                <w:rFonts w:asciiTheme="minorHAnsi" w:hAnsiTheme="minorHAnsi" w:cs="Helvetica"/>
                                <w:color w:val="333333"/>
                                <w:lang w:val="en-US"/>
                              </w:rPr>
                              <w:t xml:space="preserve">film was screened on one of Indonesia’s biggest television networks (Metro TV) on Dec 29 2012 eight years after the </w:t>
                            </w:r>
                            <w:r w:rsidRPr="00140683">
                              <w:rPr>
                                <w:rFonts w:asciiTheme="minorHAnsi" w:hAnsiTheme="minorHAnsi" w:cs="Helvetica"/>
                                <w:color w:val="333333"/>
                                <w:lang w:val="en-US"/>
                              </w:rPr>
                              <w:t>devastating tsunami struck Indonesia on Dec. 26, 2004.</w:t>
                            </w:r>
                            <w:r w:rsidRPr="00D97527">
                              <w:rPr>
                                <w:rFonts w:asciiTheme="minorHAnsi" w:hAnsiTheme="minorHAnsi" w:cs="Helvetica"/>
                                <w:color w:val="333333"/>
                                <w:lang w:val="en-US"/>
                              </w:rPr>
                              <w:t xml:space="preserve"> </w:t>
                            </w:r>
                            <w:r>
                              <w:rPr>
                                <w:rFonts w:asciiTheme="minorHAnsi" w:hAnsiTheme="minorHAnsi" w:cs="Helvetica"/>
                                <w:color w:val="333333"/>
                                <w:lang w:val="en-US"/>
                              </w:rPr>
                              <w:t xml:space="preserve">The film </w:t>
                            </w:r>
                            <w:r w:rsidRPr="00102703">
                              <w:rPr>
                                <w:rFonts w:asciiTheme="minorHAnsi" w:hAnsiTheme="minorHAnsi" w:cs="Helvetica"/>
                                <w:color w:val="333333"/>
                                <w:lang w:val="en-US"/>
                              </w:rPr>
                              <w:t>explains what to do, and what not to do, in the case of an earthquake or tsunami</w:t>
                            </w:r>
                            <w:r>
                              <w:rPr>
                                <w:rFonts w:asciiTheme="minorHAnsi" w:hAnsiTheme="minorHAnsi" w:cs="Helvetica"/>
                                <w:color w:val="333333"/>
                                <w:lang w:val="en-US"/>
                              </w:rPr>
                              <w:t xml:space="preserve">. </w:t>
                            </w:r>
                          </w:p>
                          <w:p w14:paraId="04D8C1D1" w14:textId="396F2F9B" w:rsidR="004D3B28" w:rsidRPr="00102703" w:rsidRDefault="004D3B28" w:rsidP="00102703">
                            <w:pPr>
                              <w:pStyle w:val="NormalWeb"/>
                              <w:shd w:val="clear" w:color="auto" w:fill="FFFFFF"/>
                              <w:spacing w:line="285" w:lineRule="atLeast"/>
                              <w:rPr>
                                <w:b/>
                              </w:rPr>
                            </w:pPr>
                            <w:r w:rsidRPr="006E248F">
                              <w:rPr>
                                <w:rFonts w:asciiTheme="minorHAnsi" w:hAnsiTheme="minorHAnsi" w:cs="Helvetica"/>
                                <w:b/>
                                <w:i/>
                                <w:color w:val="333333"/>
                                <w:lang w:val="en-US"/>
                              </w:rPr>
                              <w:t>Source:  Jakarta Globe blog, Dec 21 2012 (archive)</w:t>
                            </w:r>
                            <w:r w:rsidRPr="00102703">
                              <w:rPr>
                                <w:rFonts w:asciiTheme="minorHAnsi" w:hAnsiTheme="minorHAnsi" w:cs="Helvetica"/>
                                <w:b/>
                                <w:color w:val="333333"/>
                                <w:lang w:val="en-US"/>
                              </w:rPr>
                              <w:t>.</w:t>
                            </w:r>
                            <w:r w:rsidRPr="00102703">
                              <w:rPr>
                                <w:rFonts w:asciiTheme="minorHAnsi" w:hAnsiTheme="minorHAnsi" w:cs="Helvetica"/>
                                <w:b/>
                                <w:color w:val="333333"/>
                                <w:lang w:val="en-US"/>
                              </w:rPr>
                              <w:b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pt;margin-top:37pt;width:435pt;height:20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">
                <v:textbox>
                  <w:txbxContent>
                    <w:p w14:paraId="3C17F90D" w14:textId="66D6770A" w:rsidR="004D3B28" w:rsidRPr="00102703" w:rsidRDefault="004D3B28" w:rsidP="00D97527">
                      <w:pPr>
                        <w:pStyle w:val="NormalWeb"/>
                        <w:shd w:val="clear" w:color="auto" w:fill="FFFFFF"/>
                        <w:spacing w:line="285" w:lineRule="atLeast"/>
                        <w:rPr>
                          <w:rFonts w:asciiTheme="minorHAnsi" w:hAnsiTheme="minorHAnsi" w:cs="Helvetica"/>
                          <w:b/>
                          <w:color w:val="333333"/>
                          <w:lang w:val="en-US"/>
                        </w:rPr>
                      </w:pPr>
                      <w:r w:rsidRPr="00102703">
                        <w:rPr>
                          <w:rFonts w:asciiTheme="minorHAnsi" w:hAnsiTheme="minorHAnsi" w:cs="Helvetica"/>
                          <w:b/>
                          <w:color w:val="333333"/>
                          <w:lang w:val="en-US"/>
                        </w:rPr>
                        <w:t>Box</w:t>
                      </w:r>
                      <w:r>
                        <w:rPr>
                          <w:rFonts w:asciiTheme="minorHAnsi" w:hAnsiTheme="minorHAnsi" w:cs="Helvetica"/>
                          <w:b/>
                          <w:color w:val="333333"/>
                          <w:lang w:val="en-US"/>
                        </w:rPr>
                        <w:t xml:space="preserve"> 3</w:t>
                      </w:r>
                      <w:r w:rsidRPr="00102703">
                        <w:rPr>
                          <w:rFonts w:asciiTheme="minorHAnsi" w:hAnsiTheme="minorHAnsi" w:cs="Helvetica"/>
                          <w:b/>
                          <w:color w:val="333333"/>
                          <w:lang w:val="en-US"/>
                        </w:rPr>
                        <w:t>: Innovative Progra</w:t>
                      </w:r>
                      <w:r w:rsidRPr="00D97527">
                        <w:rPr>
                          <w:rFonts w:asciiTheme="minorHAnsi" w:hAnsiTheme="minorHAnsi" w:cs="Helvetica"/>
                          <w:b/>
                          <w:color w:val="333333"/>
                          <w:lang w:val="en-US"/>
                        </w:rPr>
                        <w:t>m</w:t>
                      </w:r>
                      <w:r w:rsidRPr="00102703">
                        <w:rPr>
                          <w:rFonts w:asciiTheme="minorHAnsi" w:hAnsiTheme="minorHAnsi" w:cs="Helvetica"/>
                          <w:b/>
                          <w:color w:val="333333"/>
                          <w:lang w:val="en-US"/>
                        </w:rPr>
                        <w:t xml:space="preserve">ming </w:t>
                      </w:r>
                    </w:p>
                    <w:p w14:paraId="3E17FDC4" w14:textId="395F8C35" w:rsidR="004D3B28" w:rsidRDefault="004D3B28" w:rsidP="00102703">
                      <w:pPr>
                        <w:pStyle w:val="NormalWeb"/>
                        <w:shd w:val="clear" w:color="auto" w:fill="FFFFFF"/>
                        <w:spacing w:line="285" w:lineRule="atLeast"/>
                        <w:rPr>
                          <w:rFonts w:asciiTheme="minorHAnsi" w:hAnsiTheme="minorHAnsi" w:cs="Helvetica"/>
                          <w:color w:val="333333"/>
                          <w:lang w:val="en-US"/>
                        </w:rPr>
                      </w:pPr>
                      <w:r w:rsidRPr="00102703">
                        <w:rPr>
                          <w:rFonts w:asciiTheme="minorHAnsi" w:hAnsiTheme="minorHAnsi" w:cs="Helvetica"/>
                          <w:color w:val="333333"/>
                          <w:lang w:val="en-US"/>
                        </w:rPr>
                        <w:t xml:space="preserve">“Pesan Dari Samudra” (Message From the Ocean) tells the story of a family in Indonesia battling a disaster situation. </w:t>
                      </w:r>
                      <w:r>
                        <w:rPr>
                          <w:rFonts w:asciiTheme="minorHAnsi" w:hAnsiTheme="minorHAnsi" w:cs="Helvetica"/>
                          <w:color w:val="333333"/>
                          <w:lang w:val="en-US"/>
                        </w:rPr>
                        <w:t xml:space="preserve">It </w:t>
                      </w:r>
                      <w:r w:rsidRPr="00102703">
                        <w:rPr>
                          <w:rFonts w:asciiTheme="minorHAnsi" w:hAnsiTheme="minorHAnsi" w:cs="Helvetica"/>
                          <w:color w:val="333333"/>
                          <w:lang w:val="en-US"/>
                        </w:rPr>
                        <w:t xml:space="preserve">is a 76-minute feature film made by </w:t>
                      </w:r>
                      <w:r>
                        <w:rPr>
                          <w:rFonts w:asciiTheme="minorHAnsi" w:hAnsiTheme="minorHAnsi" w:cs="Helvetica"/>
                          <w:color w:val="333333"/>
                          <w:lang w:val="en-US"/>
                        </w:rPr>
                        <w:t xml:space="preserve">award winning </w:t>
                      </w:r>
                      <w:r w:rsidRPr="00102703">
                        <w:rPr>
                          <w:rFonts w:asciiTheme="minorHAnsi" w:hAnsiTheme="minorHAnsi" w:cs="Helvetica"/>
                          <w:color w:val="333333"/>
                          <w:lang w:val="en-US"/>
                        </w:rPr>
                        <w:t>Indonesian filmmak</w:t>
                      </w:r>
                      <w:r w:rsidRPr="00D97527">
                        <w:rPr>
                          <w:rFonts w:asciiTheme="minorHAnsi" w:hAnsiTheme="minorHAnsi" w:cs="Helvetica"/>
                          <w:color w:val="333333"/>
                          <w:lang w:val="en-US"/>
                        </w:rPr>
                        <w:t xml:space="preserve">ers Mira Lesmana and Riri Riza. </w:t>
                      </w:r>
                      <w:r w:rsidRPr="00102703">
                        <w:rPr>
                          <w:rFonts w:asciiTheme="minorHAnsi" w:hAnsiTheme="minorHAnsi" w:cs="Helvetica"/>
                          <w:color w:val="333333"/>
                          <w:lang w:val="en-US"/>
                        </w:rPr>
                        <w:t>This groundbreaking project, funded by the Australia-Indonesia Facility for Disaster Reduction (AIFDR), is an initiative from the Australian Red Cross.</w:t>
                      </w:r>
                      <w:r>
                        <w:rPr>
                          <w:rFonts w:asciiTheme="minorHAnsi" w:hAnsiTheme="minorHAnsi" w:cs="Helvetica"/>
                          <w:color w:val="333333"/>
                          <w:lang w:val="en-US"/>
                        </w:rPr>
                        <w:t xml:space="preserve"> </w:t>
                      </w:r>
                      <w:r w:rsidRPr="00140683">
                        <w:rPr>
                          <w:rFonts w:asciiTheme="minorHAnsi" w:hAnsiTheme="minorHAnsi" w:cs="Helvetica"/>
                          <w:color w:val="333333"/>
                          <w:lang w:val="en-US"/>
                        </w:rPr>
                        <w:t xml:space="preserve">The </w:t>
                      </w:r>
                      <w:r>
                        <w:rPr>
                          <w:rFonts w:asciiTheme="minorHAnsi" w:hAnsiTheme="minorHAnsi" w:cs="Helvetica"/>
                          <w:color w:val="333333"/>
                          <w:lang w:val="en-US"/>
                        </w:rPr>
                        <w:t xml:space="preserve">film was screened on one of Indonesia’s biggest television networks (Metro TV) on Dec 29 2012 eight years after the </w:t>
                      </w:r>
                      <w:r w:rsidRPr="00140683">
                        <w:rPr>
                          <w:rFonts w:asciiTheme="minorHAnsi" w:hAnsiTheme="minorHAnsi" w:cs="Helvetica"/>
                          <w:color w:val="333333"/>
                          <w:lang w:val="en-US"/>
                        </w:rPr>
                        <w:t>devastating tsunami struck Indonesia on Dec. 26, 2004.</w:t>
                      </w:r>
                      <w:r w:rsidRPr="00D97527">
                        <w:rPr>
                          <w:rFonts w:asciiTheme="minorHAnsi" w:hAnsiTheme="minorHAnsi" w:cs="Helvetica"/>
                          <w:color w:val="333333"/>
                          <w:lang w:val="en-US"/>
                        </w:rPr>
                        <w:t xml:space="preserve"> </w:t>
                      </w:r>
                      <w:r>
                        <w:rPr>
                          <w:rFonts w:asciiTheme="minorHAnsi" w:hAnsiTheme="minorHAnsi" w:cs="Helvetica"/>
                          <w:color w:val="333333"/>
                          <w:lang w:val="en-US"/>
                        </w:rPr>
                        <w:t xml:space="preserve">The film </w:t>
                      </w:r>
                      <w:r w:rsidRPr="00102703">
                        <w:rPr>
                          <w:rFonts w:asciiTheme="minorHAnsi" w:hAnsiTheme="minorHAnsi" w:cs="Helvetica"/>
                          <w:color w:val="333333"/>
                          <w:lang w:val="en-US"/>
                        </w:rPr>
                        <w:t>explains what to do, and what not to do, in the case of an earthquake or tsunami</w:t>
                      </w:r>
                      <w:r>
                        <w:rPr>
                          <w:rFonts w:asciiTheme="minorHAnsi" w:hAnsiTheme="minorHAnsi" w:cs="Helvetica"/>
                          <w:color w:val="333333"/>
                          <w:lang w:val="en-US"/>
                        </w:rPr>
                        <w:t xml:space="preserve">. </w:t>
                      </w:r>
                    </w:p>
                    <w:p w14:paraId="04D8C1D1" w14:textId="396F2F9B" w:rsidR="004D3B28" w:rsidRPr="00102703" w:rsidRDefault="004D3B28" w:rsidP="00102703">
                      <w:pPr>
                        <w:pStyle w:val="NormalWeb"/>
                        <w:shd w:val="clear" w:color="auto" w:fill="FFFFFF"/>
                        <w:spacing w:line="285" w:lineRule="atLeast"/>
                        <w:rPr>
                          <w:b/>
                        </w:rPr>
                      </w:pPr>
                      <w:r w:rsidRPr="006E248F">
                        <w:rPr>
                          <w:rFonts w:asciiTheme="minorHAnsi" w:hAnsiTheme="minorHAnsi" w:cs="Helvetica"/>
                          <w:b/>
                          <w:i/>
                          <w:color w:val="333333"/>
                          <w:lang w:val="en-US"/>
                        </w:rPr>
                        <w:t>Source:  Jakarta Globe blog, Dec 21 2012 (archive)</w:t>
                      </w:r>
                      <w:r w:rsidRPr="00102703">
                        <w:rPr>
                          <w:rFonts w:asciiTheme="minorHAnsi" w:hAnsiTheme="minorHAnsi" w:cs="Helvetica"/>
                          <w:b/>
                          <w:color w:val="333333"/>
                          <w:lang w:val="en-US"/>
                        </w:rPr>
                        <w:t>.</w:t>
                      </w:r>
                      <w:r w:rsidRPr="00102703">
                        <w:rPr>
                          <w:rFonts w:asciiTheme="minorHAnsi" w:hAnsiTheme="minorHAnsi" w:cs="Helvetica"/>
                          <w:b/>
                          <w:color w:val="333333"/>
                          <w:lang w:val="en-US"/>
                        </w:rPr>
                        <w:br/>
                        <w:t> </w:t>
                      </w:r>
                    </w:p>
                  </w:txbxContent>
                </v:textbox>
                <w10:wrap type="square"/>
              </v:shape>
            </w:pict>
          </mc:Fallback>
        </mc:AlternateContent>
      </w:r>
    </w:p>
    <w:p w14:paraId="709BAF38" w14:textId="736430F4" w:rsidR="00367027" w:rsidRDefault="00367027" w:rsidP="00155EE6">
      <w:pPr>
        <w:rPr>
          <w:rFonts w:cs="Times New Roman"/>
        </w:rPr>
      </w:pPr>
    </w:p>
    <w:p w14:paraId="273BEAEF" w14:textId="77777777" w:rsidR="004318DD" w:rsidRPr="00174C42" w:rsidRDefault="004318DD" w:rsidP="004318DD">
      <w:pPr>
        <w:rPr>
          <w:rFonts w:cs="Times New Roman"/>
          <w:b/>
          <w:i/>
          <w:sz w:val="24"/>
          <w:szCs w:val="24"/>
        </w:rPr>
      </w:pPr>
      <w:r w:rsidRPr="00174C42">
        <w:rPr>
          <w:rFonts w:cs="Times New Roman"/>
          <w:b/>
          <w:i/>
          <w:sz w:val="24"/>
          <w:szCs w:val="24"/>
        </w:rPr>
        <w:t>Outcome 2: Better able to reduce disaster risk in practice: Disaster managers and vulnerable communities in demonstration provinces of Indonesia are better prepared to reduce impacts through disaster management planning and practice</w:t>
      </w:r>
    </w:p>
    <w:p w14:paraId="4D742CEE" w14:textId="73572B0D" w:rsidR="00C61DE5" w:rsidRPr="00D66F50" w:rsidRDefault="004318DD" w:rsidP="004318DD">
      <w:pPr>
        <w:rPr>
          <w:sz w:val="24"/>
          <w:szCs w:val="24"/>
        </w:rPr>
      </w:pPr>
      <w:r w:rsidRPr="00D66F50">
        <w:rPr>
          <w:rFonts w:cs="Times New Roman"/>
          <w:sz w:val="24"/>
          <w:szCs w:val="24"/>
        </w:rPr>
        <w:t>AIFDR has delivered this expected end-of-</w:t>
      </w:r>
      <w:r w:rsidR="002E0E5A">
        <w:rPr>
          <w:rFonts w:cs="Times New Roman"/>
          <w:sz w:val="24"/>
          <w:szCs w:val="24"/>
        </w:rPr>
        <w:t>facility</w:t>
      </w:r>
      <w:r w:rsidR="002E0E5A" w:rsidRPr="00D66F50">
        <w:rPr>
          <w:rFonts w:cs="Times New Roman"/>
          <w:sz w:val="24"/>
          <w:szCs w:val="24"/>
        </w:rPr>
        <w:t xml:space="preserve"> </w:t>
      </w:r>
      <w:r w:rsidRPr="00D66F50">
        <w:rPr>
          <w:rFonts w:cs="Times New Roman"/>
          <w:sz w:val="24"/>
          <w:szCs w:val="24"/>
        </w:rPr>
        <w:t xml:space="preserve">outcome through its Training and Outreach, and Partnership components. </w:t>
      </w:r>
      <w:r w:rsidRPr="00D66F50">
        <w:rPr>
          <w:sz w:val="24"/>
          <w:szCs w:val="24"/>
        </w:rPr>
        <w:t>According to BNPB officials,</w:t>
      </w:r>
      <w:r w:rsidRPr="00D66F50">
        <w:rPr>
          <w:rFonts w:cs="Times New Roman"/>
          <w:sz w:val="24"/>
          <w:szCs w:val="24"/>
        </w:rPr>
        <w:t xml:space="preserve"> the </w:t>
      </w:r>
      <w:r w:rsidR="00D66F50">
        <w:rPr>
          <w:rFonts w:cs="Times New Roman"/>
          <w:sz w:val="24"/>
          <w:szCs w:val="24"/>
        </w:rPr>
        <w:t>Training and Outreach</w:t>
      </w:r>
      <w:r w:rsidRPr="00D66F50">
        <w:rPr>
          <w:rFonts w:cs="Times New Roman"/>
          <w:sz w:val="24"/>
          <w:szCs w:val="24"/>
        </w:rPr>
        <w:t xml:space="preserve"> and Partnership components have delivered </w:t>
      </w:r>
      <w:r w:rsidRPr="00D66F50">
        <w:rPr>
          <w:sz w:val="24"/>
          <w:szCs w:val="24"/>
        </w:rPr>
        <w:t>critically needed resources to sub-national levels of government and communities, including capacity development support through CDSP; CBDRM programmes, and rolled out national training curriculum</w:t>
      </w:r>
      <w:r w:rsidR="006B094B" w:rsidRPr="00D66F50">
        <w:rPr>
          <w:sz w:val="24"/>
          <w:szCs w:val="24"/>
        </w:rPr>
        <w:t>. Capacity building (CDSP) and Community Based Disaster Risk Management (CBDRM) activities funded by AIFDR are all verified by mid-term progress reports and end of completion evaluations.</w:t>
      </w:r>
    </w:p>
    <w:p w14:paraId="43AAE16E" w14:textId="793802AD" w:rsidR="00ED7578" w:rsidRPr="00D66F50" w:rsidRDefault="004318DD" w:rsidP="004318DD">
      <w:pPr>
        <w:rPr>
          <w:sz w:val="24"/>
          <w:szCs w:val="24"/>
        </w:rPr>
      </w:pPr>
      <w:r w:rsidRPr="00D66F50">
        <w:rPr>
          <w:sz w:val="24"/>
          <w:szCs w:val="24"/>
        </w:rPr>
        <w:t xml:space="preserve">Senior BNPB officials stated AIFDR’s support to demonstration provinces is important as it currently </w:t>
      </w:r>
      <w:r w:rsidR="00452168">
        <w:rPr>
          <w:sz w:val="24"/>
          <w:szCs w:val="24"/>
        </w:rPr>
        <w:t xml:space="preserve">addresses </w:t>
      </w:r>
      <w:r w:rsidR="001B00B4">
        <w:rPr>
          <w:sz w:val="24"/>
          <w:szCs w:val="24"/>
        </w:rPr>
        <w:t xml:space="preserve">DRM </w:t>
      </w:r>
      <w:r w:rsidR="00452168">
        <w:rPr>
          <w:sz w:val="24"/>
          <w:szCs w:val="24"/>
        </w:rPr>
        <w:t>needs</w:t>
      </w:r>
      <w:r w:rsidRPr="00D66F50">
        <w:rPr>
          <w:sz w:val="24"/>
          <w:szCs w:val="24"/>
        </w:rPr>
        <w:t xml:space="preserve"> that GoI has insufficient resources to </w:t>
      </w:r>
      <w:r w:rsidR="00452168">
        <w:rPr>
          <w:sz w:val="24"/>
          <w:szCs w:val="24"/>
        </w:rPr>
        <w:t>tackle</w:t>
      </w:r>
      <w:r w:rsidRPr="00D66F50">
        <w:rPr>
          <w:sz w:val="24"/>
          <w:szCs w:val="24"/>
        </w:rPr>
        <w:t xml:space="preserve">. </w:t>
      </w:r>
      <w:r w:rsidR="00382E39" w:rsidRPr="00D66F50">
        <w:rPr>
          <w:sz w:val="24"/>
          <w:szCs w:val="24"/>
        </w:rPr>
        <w:t>AIFDR has worked closely with BNPB to develop a robust strategy for sub-national level engagement identifying demonstration provinces for Australian investment. AIF</w:t>
      </w:r>
      <w:r w:rsidR="00682E13">
        <w:rPr>
          <w:sz w:val="24"/>
          <w:szCs w:val="24"/>
        </w:rPr>
        <w:t>D</w:t>
      </w:r>
      <w:r w:rsidR="00382E39" w:rsidRPr="00D66F50">
        <w:rPr>
          <w:sz w:val="24"/>
          <w:szCs w:val="24"/>
        </w:rPr>
        <w:t>R’s Development Str</w:t>
      </w:r>
      <w:r w:rsidR="006B094B" w:rsidRPr="00D66F50">
        <w:rPr>
          <w:sz w:val="24"/>
          <w:szCs w:val="24"/>
        </w:rPr>
        <w:t xml:space="preserve">ategy (2012) set the scene for AIFDR to take a geographic focus and a focus on deeper rather than broader initiatives. AIFDR staff report that the document has also been useful to advocate against BNBP requests for support into provinces not identified in the development strategy as demonstration provinces. </w:t>
      </w:r>
      <w:r w:rsidR="00682E13">
        <w:rPr>
          <w:sz w:val="24"/>
          <w:szCs w:val="24"/>
        </w:rPr>
        <w:t>However, there is little evidence to date, of the ‘demonstrations’ being replicated either within ‘demonstration provinces’ or being taken up by non-demonstration provinces.</w:t>
      </w:r>
    </w:p>
    <w:p w14:paraId="2AF0204E" w14:textId="3DA4494D" w:rsidR="004318DD" w:rsidRPr="00D66F50" w:rsidRDefault="00320D52" w:rsidP="004318DD">
      <w:pPr>
        <w:spacing w:after="0" w:line="240" w:lineRule="auto"/>
        <w:ind w:left="15" w:right="8" w:hanging="10"/>
        <w:rPr>
          <w:rFonts w:cs="Times New Roman"/>
          <w:sz w:val="24"/>
          <w:szCs w:val="24"/>
        </w:rPr>
      </w:pPr>
      <w:r w:rsidRPr="00D66F50">
        <w:rPr>
          <w:rFonts w:cs="Times New Roman"/>
          <w:sz w:val="24"/>
          <w:szCs w:val="24"/>
        </w:rPr>
        <w:t xml:space="preserve">AIFDR’s </w:t>
      </w:r>
      <w:r w:rsidR="006F7739" w:rsidRPr="00D66F50">
        <w:rPr>
          <w:rFonts w:cs="Times New Roman"/>
          <w:sz w:val="24"/>
          <w:szCs w:val="24"/>
        </w:rPr>
        <w:t xml:space="preserve">IO, NGO and CSO </w:t>
      </w:r>
      <w:r w:rsidRPr="00D66F50">
        <w:rPr>
          <w:rFonts w:cs="Times New Roman"/>
          <w:sz w:val="24"/>
          <w:szCs w:val="24"/>
        </w:rPr>
        <w:t xml:space="preserve">implementing partners have </w:t>
      </w:r>
      <w:r w:rsidR="004318DD" w:rsidRPr="00D66F50">
        <w:rPr>
          <w:sz w:val="24"/>
          <w:szCs w:val="24"/>
        </w:rPr>
        <w:t xml:space="preserve">assisted vulnerable communities to strengthen their disaster preparedness capacities in an estimated 200 communities in 31 districts, often in partnership with local </w:t>
      </w:r>
      <w:r w:rsidRPr="00D66F50">
        <w:rPr>
          <w:sz w:val="24"/>
          <w:szCs w:val="24"/>
        </w:rPr>
        <w:t xml:space="preserve">government </w:t>
      </w:r>
      <w:r w:rsidR="004318DD" w:rsidRPr="00D66F50">
        <w:rPr>
          <w:sz w:val="24"/>
          <w:szCs w:val="24"/>
        </w:rPr>
        <w:t xml:space="preserve">authorities. Through AIFDR’s partnership with IOM, </w:t>
      </w:r>
      <w:r w:rsidR="004318DD" w:rsidRPr="00D66F50">
        <w:rPr>
          <w:rFonts w:cs="Times New Roman"/>
          <w:sz w:val="24"/>
          <w:szCs w:val="24"/>
        </w:rPr>
        <w:t xml:space="preserve">communities and BPBD’s in seven districts in West Java have developed local risk assessments and </w:t>
      </w:r>
      <w:r w:rsidR="001B00B4">
        <w:rPr>
          <w:rFonts w:cs="Times New Roman"/>
          <w:sz w:val="24"/>
          <w:szCs w:val="24"/>
        </w:rPr>
        <w:t>DRM</w:t>
      </w:r>
      <w:r w:rsidR="004318DD" w:rsidRPr="00D66F50">
        <w:rPr>
          <w:rFonts w:cs="Times New Roman"/>
          <w:sz w:val="24"/>
          <w:szCs w:val="24"/>
        </w:rPr>
        <w:t xml:space="preserve"> plans (Mid-Term Review Oct 2013). Through AIFDR’s </w:t>
      </w:r>
      <w:r w:rsidR="00140815">
        <w:rPr>
          <w:rFonts w:cs="Times New Roman"/>
          <w:sz w:val="24"/>
          <w:szCs w:val="24"/>
        </w:rPr>
        <w:t>p</w:t>
      </w:r>
      <w:r w:rsidR="004318DD" w:rsidRPr="00D66F50">
        <w:rPr>
          <w:rFonts w:cs="Times New Roman"/>
          <w:sz w:val="24"/>
          <w:szCs w:val="24"/>
        </w:rPr>
        <w:t xml:space="preserve">artnership with Oxfam, </w:t>
      </w:r>
      <w:r w:rsidR="004318DD" w:rsidRPr="00D66F50">
        <w:rPr>
          <w:rFonts w:ascii="Calibri" w:eastAsia="Calibri" w:hAnsi="Calibri" w:cs="Calibri"/>
          <w:sz w:val="24"/>
          <w:szCs w:val="24"/>
        </w:rPr>
        <w:t>28 villages in the six districts of Lombok Timur, Lombok Utara, Kota Bima, Flores Timur, Manokwari and Kota Jayapura</w:t>
      </w:r>
      <w:r w:rsidR="004318DD" w:rsidRPr="00D66F50">
        <w:rPr>
          <w:rFonts w:cs="Times New Roman"/>
          <w:sz w:val="24"/>
          <w:szCs w:val="24"/>
        </w:rPr>
        <w:t xml:space="preserve"> have </w:t>
      </w:r>
      <w:r w:rsidR="00D3285E">
        <w:rPr>
          <w:rFonts w:cs="Times New Roman"/>
          <w:sz w:val="24"/>
          <w:szCs w:val="24"/>
        </w:rPr>
        <w:t xml:space="preserve">developed </w:t>
      </w:r>
      <w:r w:rsidR="004318DD" w:rsidRPr="00D66F50">
        <w:rPr>
          <w:rFonts w:cs="Times New Roman"/>
          <w:sz w:val="24"/>
          <w:szCs w:val="24"/>
        </w:rPr>
        <w:t xml:space="preserve">sustainable </w:t>
      </w:r>
      <w:r w:rsidR="004318DD" w:rsidRPr="00D66F50">
        <w:rPr>
          <w:rFonts w:ascii="Calibri" w:eastAsia="Calibri" w:hAnsi="Calibri" w:cs="Calibri"/>
          <w:sz w:val="24"/>
          <w:szCs w:val="24"/>
        </w:rPr>
        <w:t xml:space="preserve">DRM networks, </w:t>
      </w:r>
      <w:r w:rsidR="00D3285E">
        <w:rPr>
          <w:rFonts w:ascii="Calibri" w:eastAsia="Calibri" w:hAnsi="Calibri" w:cs="Calibri"/>
          <w:sz w:val="24"/>
          <w:szCs w:val="24"/>
        </w:rPr>
        <w:t xml:space="preserve">and have </w:t>
      </w:r>
      <w:r w:rsidR="004318DD" w:rsidRPr="00D66F50">
        <w:rPr>
          <w:rFonts w:ascii="Calibri" w:eastAsia="Calibri" w:hAnsi="Calibri" w:cs="Calibri"/>
          <w:sz w:val="24"/>
          <w:szCs w:val="24"/>
        </w:rPr>
        <w:t xml:space="preserve">reinforced DRM capacities at the district level </w:t>
      </w:r>
      <w:r w:rsidR="00D3285E">
        <w:rPr>
          <w:rFonts w:ascii="Calibri" w:eastAsia="Calibri" w:hAnsi="Calibri" w:cs="Calibri"/>
          <w:sz w:val="24"/>
          <w:szCs w:val="24"/>
        </w:rPr>
        <w:t>(</w:t>
      </w:r>
      <w:r w:rsidR="004318DD" w:rsidRPr="00D66F50">
        <w:rPr>
          <w:rFonts w:ascii="Calibri" w:eastAsia="Calibri" w:hAnsi="Calibri" w:cs="Calibri"/>
          <w:sz w:val="24"/>
          <w:szCs w:val="24"/>
        </w:rPr>
        <w:t>including contingency plans are now in place</w:t>
      </w:r>
      <w:r w:rsidR="00D3285E">
        <w:rPr>
          <w:rFonts w:ascii="Calibri" w:eastAsia="Calibri" w:hAnsi="Calibri" w:cs="Calibri"/>
          <w:sz w:val="24"/>
          <w:szCs w:val="24"/>
        </w:rPr>
        <w:t>)</w:t>
      </w:r>
      <w:r w:rsidR="004318DD" w:rsidRPr="00D66F50">
        <w:rPr>
          <w:rFonts w:ascii="Calibri" w:eastAsia="Calibri" w:hAnsi="Calibri" w:cs="Calibri"/>
          <w:sz w:val="24"/>
          <w:szCs w:val="24"/>
        </w:rPr>
        <w:t xml:space="preserve">. </w:t>
      </w:r>
      <w:r w:rsidR="00352404">
        <w:rPr>
          <w:rFonts w:ascii="Calibri" w:eastAsia="Calibri" w:hAnsi="Calibri" w:cs="Calibri"/>
          <w:sz w:val="24"/>
          <w:szCs w:val="24"/>
        </w:rPr>
        <w:t xml:space="preserve">The evaluation of the project found </w:t>
      </w:r>
      <w:r w:rsidR="004318DD" w:rsidRPr="00D66F50">
        <w:rPr>
          <w:rFonts w:cs="Times New Roman"/>
          <w:sz w:val="24"/>
          <w:szCs w:val="24"/>
        </w:rPr>
        <w:t>a paradigm shift in many communities from reactive to proactive DRM – a considerable shift in behaviour given the traditional focus on relief and response</w:t>
      </w:r>
      <w:r w:rsidR="007510C6" w:rsidRPr="00D66F50">
        <w:rPr>
          <w:rStyle w:val="FootnoteReference"/>
          <w:rFonts w:cs="Times New Roman"/>
          <w:sz w:val="24"/>
          <w:szCs w:val="24"/>
        </w:rPr>
        <w:footnoteReference w:id="15"/>
      </w:r>
      <w:r w:rsidR="004318DD" w:rsidRPr="00D66F50">
        <w:rPr>
          <w:rFonts w:cs="Times New Roman"/>
          <w:sz w:val="24"/>
          <w:szCs w:val="24"/>
        </w:rPr>
        <w:t xml:space="preserve">. </w:t>
      </w:r>
    </w:p>
    <w:p w14:paraId="722F4B46" w14:textId="77777777" w:rsidR="007510C6" w:rsidRPr="00D66F50" w:rsidRDefault="007510C6" w:rsidP="004318DD">
      <w:pPr>
        <w:spacing w:after="0" w:line="240" w:lineRule="auto"/>
        <w:ind w:left="15" w:right="8" w:hanging="10"/>
        <w:rPr>
          <w:rFonts w:cs="Times New Roman"/>
          <w:sz w:val="24"/>
          <w:szCs w:val="24"/>
        </w:rPr>
      </w:pPr>
    </w:p>
    <w:p w14:paraId="5C03CE3F" w14:textId="27D85588" w:rsidR="00352404" w:rsidRDefault="00040B98" w:rsidP="004318DD">
      <w:pPr>
        <w:spacing w:after="0" w:line="240" w:lineRule="auto"/>
        <w:rPr>
          <w:rFonts w:cs="Times New Roman"/>
          <w:sz w:val="24"/>
          <w:szCs w:val="24"/>
        </w:rPr>
      </w:pPr>
      <w:r w:rsidRPr="00040B98">
        <w:rPr>
          <w:rFonts w:cs="Times New Roman"/>
          <w:noProof/>
          <w:sz w:val="24"/>
          <w:szCs w:val="24"/>
          <w:lang w:eastAsia="en-AU"/>
        </w:rPr>
        <mc:AlternateContent>
          <mc:Choice Requires="wps">
            <w:drawing>
              <wp:anchor distT="45720" distB="45720" distL="114300" distR="114300" simplePos="0" relativeHeight="251680768" behindDoc="0" locked="0" layoutInCell="1" allowOverlap="1" wp14:anchorId="31560ADD" wp14:editId="04FE2D43">
                <wp:simplePos x="0" y="0"/>
                <wp:positionH relativeFrom="margin">
                  <wp:align>right</wp:align>
                </wp:positionH>
                <wp:positionV relativeFrom="paragraph">
                  <wp:posOffset>38100</wp:posOffset>
                </wp:positionV>
                <wp:extent cx="5638800" cy="59150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915025"/>
                        </a:xfrm>
                        <a:prstGeom prst="rect">
                          <a:avLst/>
                        </a:prstGeom>
                        <a:solidFill>
                          <a:srgbClr val="FFFFFF"/>
                        </a:solidFill>
                        <a:ln w="9525">
                          <a:solidFill>
                            <a:srgbClr val="000000"/>
                          </a:solidFill>
                          <a:miter lim="800000"/>
                          <a:headEnd/>
                          <a:tailEnd/>
                        </a:ln>
                      </wps:spPr>
                      <wps:txbx>
                        <w:txbxContent>
                          <w:p w14:paraId="63E32AD7" w14:textId="77A53A56" w:rsidR="004D3B28" w:rsidRPr="00573F97" w:rsidRDefault="004D3B28">
                            <w:pPr>
                              <w:rPr>
                                <w:b/>
                                <w:sz w:val="24"/>
                                <w:szCs w:val="24"/>
                              </w:rPr>
                            </w:pPr>
                            <w:r w:rsidRPr="00573F97">
                              <w:rPr>
                                <w:b/>
                                <w:sz w:val="24"/>
                                <w:szCs w:val="24"/>
                              </w:rPr>
                              <w:t>BOX</w:t>
                            </w:r>
                            <w:r>
                              <w:rPr>
                                <w:b/>
                                <w:sz w:val="24"/>
                                <w:szCs w:val="24"/>
                              </w:rPr>
                              <w:t xml:space="preserve"> 4</w:t>
                            </w:r>
                            <w:r w:rsidRPr="00573F97">
                              <w:rPr>
                                <w:b/>
                                <w:sz w:val="24"/>
                                <w:szCs w:val="24"/>
                              </w:rPr>
                              <w:t>:</w:t>
                            </w:r>
                            <w:r w:rsidRPr="00573F97">
                              <w:rPr>
                                <w:b/>
                                <w:sz w:val="24"/>
                                <w:szCs w:val="24"/>
                              </w:rPr>
                              <w:tab/>
                            </w:r>
                            <w:r>
                              <w:rPr>
                                <w:b/>
                                <w:sz w:val="24"/>
                                <w:szCs w:val="24"/>
                              </w:rPr>
                              <w:t xml:space="preserve"> Increasing t</w:t>
                            </w:r>
                            <w:r w:rsidRPr="00573F97">
                              <w:rPr>
                                <w:b/>
                                <w:sz w:val="24"/>
                                <w:szCs w:val="24"/>
                              </w:rPr>
                              <w:t xml:space="preserve">he Participation of Women and Children with Disabilities in Community-Focused </w:t>
                            </w:r>
                            <w:r>
                              <w:rPr>
                                <w:b/>
                                <w:sz w:val="24"/>
                                <w:szCs w:val="24"/>
                              </w:rPr>
                              <w:t>DRM</w:t>
                            </w:r>
                          </w:p>
                          <w:p w14:paraId="6C086747" w14:textId="64E271FD" w:rsidR="004D3B28" w:rsidRPr="00573F97" w:rsidRDefault="004D3B28" w:rsidP="00040B98">
                            <w:pPr>
                              <w:rPr>
                                <w:sz w:val="24"/>
                                <w:szCs w:val="24"/>
                              </w:rPr>
                            </w:pPr>
                            <w:r w:rsidRPr="00573F97">
                              <w:rPr>
                                <w:sz w:val="24"/>
                                <w:szCs w:val="24"/>
                              </w:rPr>
                              <w:t xml:space="preserve">Arbeiter-Samariter-Bund (ASB) with funding from AIFDR has increased awareness of the specific needs of children with disabilities in community-based contingency planning. </w:t>
                            </w:r>
                          </w:p>
                          <w:p w14:paraId="22AAAB1C" w14:textId="2FA9AAC7" w:rsidR="004D3B28" w:rsidRPr="00573F97" w:rsidRDefault="004D3B28" w:rsidP="00CE292F">
                            <w:pPr>
                              <w:rPr>
                                <w:sz w:val="24"/>
                                <w:szCs w:val="24"/>
                              </w:rPr>
                            </w:pPr>
                            <w:r w:rsidRPr="00573F97">
                              <w:rPr>
                                <w:sz w:val="24"/>
                                <w:szCs w:val="24"/>
                              </w:rPr>
                              <w:t xml:space="preserve">For the first time, the District of Ciamis organised a district level disaster simulation on 29 October 2012. The disaster simulation was based on an earthquake followed by landslide scenario involving more than 1,200 people from district, sub-district and village level </w:t>
                            </w:r>
                            <w:r>
                              <w:rPr>
                                <w:sz w:val="24"/>
                                <w:szCs w:val="24"/>
                              </w:rPr>
                              <w:t xml:space="preserve">(i.e., </w:t>
                            </w:r>
                            <w:r w:rsidRPr="00573F97">
                              <w:rPr>
                                <w:sz w:val="24"/>
                                <w:szCs w:val="24"/>
                              </w:rPr>
                              <w:t xml:space="preserve">GoI, NGOs, local emergency team, </w:t>
                            </w:r>
                            <w:r>
                              <w:rPr>
                                <w:sz w:val="24"/>
                                <w:szCs w:val="24"/>
                              </w:rPr>
                              <w:t xml:space="preserve">and community members including children </w:t>
                            </w:r>
                            <w:r w:rsidRPr="00573F97">
                              <w:rPr>
                                <w:sz w:val="24"/>
                                <w:szCs w:val="24"/>
                              </w:rPr>
                              <w:t>with disabilities</w:t>
                            </w:r>
                            <w:r>
                              <w:rPr>
                                <w:sz w:val="24"/>
                                <w:szCs w:val="24"/>
                              </w:rPr>
                              <w:t>)</w:t>
                            </w:r>
                            <w:r w:rsidRPr="00573F97">
                              <w:rPr>
                                <w:sz w:val="24"/>
                                <w:szCs w:val="24"/>
                              </w:rPr>
                              <w:t xml:space="preserve">. </w:t>
                            </w:r>
                          </w:p>
                          <w:p w14:paraId="44ECC7C5" w14:textId="7C0F3C3C" w:rsidR="004D3B28" w:rsidRPr="00573F97" w:rsidRDefault="004D3B28" w:rsidP="00CE292F">
                            <w:pPr>
                              <w:rPr>
                                <w:sz w:val="24"/>
                                <w:szCs w:val="24"/>
                              </w:rPr>
                            </w:pPr>
                            <w:r w:rsidRPr="00573F97">
                              <w:rPr>
                                <w:sz w:val="24"/>
                                <w:szCs w:val="24"/>
                              </w:rPr>
                              <w:t>The disaster simulation provided an opportunity to:</w:t>
                            </w:r>
                          </w:p>
                          <w:p w14:paraId="0D8B2096" w14:textId="4AA0FE29" w:rsidR="004D3B28" w:rsidRPr="00573F97" w:rsidRDefault="004D3B28" w:rsidP="00CE292F">
                            <w:pPr>
                              <w:rPr>
                                <w:sz w:val="24"/>
                                <w:szCs w:val="24"/>
                              </w:rPr>
                            </w:pPr>
                            <w:r w:rsidRPr="00573F97">
                              <w:rPr>
                                <w:sz w:val="24"/>
                                <w:szCs w:val="24"/>
                              </w:rPr>
                              <w:t xml:space="preserve">• Train and raise awareness of </w:t>
                            </w:r>
                            <w:r>
                              <w:rPr>
                                <w:sz w:val="24"/>
                                <w:szCs w:val="24"/>
                              </w:rPr>
                              <w:t xml:space="preserve">the </w:t>
                            </w:r>
                            <w:r w:rsidRPr="00573F97">
                              <w:rPr>
                                <w:sz w:val="24"/>
                                <w:szCs w:val="24"/>
                              </w:rPr>
                              <w:t>local government emergency team, and village level disaster preparedness cadres, volunteers and community</w:t>
                            </w:r>
                          </w:p>
                          <w:p w14:paraId="4D8303CA" w14:textId="4F960DB1" w:rsidR="004D3B28" w:rsidRPr="00573F97" w:rsidRDefault="004D3B28" w:rsidP="00CE292F">
                            <w:pPr>
                              <w:rPr>
                                <w:sz w:val="24"/>
                                <w:szCs w:val="24"/>
                              </w:rPr>
                            </w:pPr>
                            <w:r w:rsidRPr="00573F97">
                              <w:rPr>
                                <w:sz w:val="24"/>
                                <w:szCs w:val="24"/>
                              </w:rPr>
                              <w:t>• Test the concept and implementation of early warning system from national level down to the grassroot at the community level including action plan of different institutions and community groups particularly children with disabilities</w:t>
                            </w:r>
                          </w:p>
                          <w:p w14:paraId="7031C426" w14:textId="49149FB9" w:rsidR="004D3B28" w:rsidRPr="00573F97" w:rsidRDefault="004D3B28" w:rsidP="00CE292F">
                            <w:pPr>
                              <w:rPr>
                                <w:sz w:val="24"/>
                                <w:szCs w:val="24"/>
                              </w:rPr>
                            </w:pPr>
                            <w:r w:rsidRPr="00573F97">
                              <w:rPr>
                                <w:sz w:val="24"/>
                                <w:szCs w:val="24"/>
                              </w:rPr>
                              <w:t>• Document process and result of ASB project in supporting children with disability to be replicated in neighbouring areas</w:t>
                            </w:r>
                          </w:p>
                          <w:p w14:paraId="32AD6D43" w14:textId="0CEBF26A" w:rsidR="004D3B28" w:rsidRPr="00573F97" w:rsidRDefault="004D3B28" w:rsidP="00CE292F">
                            <w:pPr>
                              <w:rPr>
                                <w:i/>
                                <w:sz w:val="24"/>
                                <w:szCs w:val="24"/>
                              </w:rPr>
                            </w:pPr>
                            <w:r w:rsidRPr="00573F97">
                              <w:rPr>
                                <w:sz w:val="24"/>
                                <w:szCs w:val="24"/>
                              </w:rPr>
                              <w:t>Irfan, 16 year old child with a hearing impairment: “</w:t>
                            </w:r>
                            <w:r w:rsidRPr="00573F97">
                              <w:rPr>
                                <w:i/>
                                <w:sz w:val="24"/>
                                <w:szCs w:val="24"/>
                              </w:rPr>
                              <w:t>I draw what I will do if there is an earthquake. I will hide under the bed column or hide under the table with my hands on the table’s leg. After the earthquake finish, I will go out protecting my head with a bag and continue to carry the bag over my head until I am outside. I will go to the field, away from electricity poles, walls and cliffs. At home I have made a picture of evacuation routes for all my family members”.</w:t>
                            </w:r>
                          </w:p>
                          <w:p w14:paraId="17A9B631" w14:textId="261B28CD" w:rsidR="004D3B28" w:rsidRPr="00573F97" w:rsidRDefault="004D3B28" w:rsidP="00CE292F">
                            <w:pPr>
                              <w:rPr>
                                <w:b/>
                                <w:sz w:val="24"/>
                                <w:szCs w:val="24"/>
                              </w:rPr>
                            </w:pPr>
                            <w:r w:rsidRPr="00573F97">
                              <w:rPr>
                                <w:b/>
                                <w:sz w:val="24"/>
                                <w:szCs w:val="24"/>
                              </w:rPr>
                              <w:t>Source: Arbeiter-Samariter-Bund (ASB) Project Report/AIFDR Research and Innovation Grant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92.8pt;margin-top:3pt;width:444pt;height:465.7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">
                <v:textbox>
                  <w:txbxContent>
                    <w:p w14:paraId="63E32AD7" w14:textId="77A53A56" w:rsidR="004D3B28" w:rsidRPr="00573F97" w:rsidRDefault="004D3B28">
                      <w:pPr>
                        <w:rPr>
                          <w:b/>
                          <w:sz w:val="24"/>
                          <w:szCs w:val="24"/>
                        </w:rPr>
                      </w:pPr>
                      <w:r w:rsidRPr="00573F97">
                        <w:rPr>
                          <w:b/>
                          <w:sz w:val="24"/>
                          <w:szCs w:val="24"/>
                        </w:rPr>
                        <w:t>BOX</w:t>
                      </w:r>
                      <w:r>
                        <w:rPr>
                          <w:b/>
                          <w:sz w:val="24"/>
                          <w:szCs w:val="24"/>
                        </w:rPr>
                        <w:t xml:space="preserve"> 4</w:t>
                      </w:r>
                      <w:r w:rsidRPr="00573F97">
                        <w:rPr>
                          <w:b/>
                          <w:sz w:val="24"/>
                          <w:szCs w:val="24"/>
                        </w:rPr>
                        <w:t>:</w:t>
                      </w:r>
                      <w:r w:rsidRPr="00573F97">
                        <w:rPr>
                          <w:b/>
                          <w:sz w:val="24"/>
                          <w:szCs w:val="24"/>
                        </w:rPr>
                        <w:tab/>
                      </w:r>
                      <w:r>
                        <w:rPr>
                          <w:b/>
                          <w:sz w:val="24"/>
                          <w:szCs w:val="24"/>
                        </w:rPr>
                        <w:t xml:space="preserve"> Increasing t</w:t>
                      </w:r>
                      <w:r w:rsidRPr="00573F97">
                        <w:rPr>
                          <w:b/>
                          <w:sz w:val="24"/>
                          <w:szCs w:val="24"/>
                        </w:rPr>
                        <w:t xml:space="preserve">he Participation of Women and Children with Disabilities in Community-Focused </w:t>
                      </w:r>
                      <w:r>
                        <w:rPr>
                          <w:b/>
                          <w:sz w:val="24"/>
                          <w:szCs w:val="24"/>
                        </w:rPr>
                        <w:t>DRM</w:t>
                      </w:r>
                    </w:p>
                    <w:p w14:paraId="6C086747" w14:textId="64E271FD" w:rsidR="004D3B28" w:rsidRPr="00573F97" w:rsidRDefault="004D3B28" w:rsidP="00040B98">
                      <w:pPr>
                        <w:rPr>
                          <w:sz w:val="24"/>
                          <w:szCs w:val="24"/>
                        </w:rPr>
                      </w:pPr>
                      <w:r w:rsidRPr="00573F97">
                        <w:rPr>
                          <w:sz w:val="24"/>
                          <w:szCs w:val="24"/>
                        </w:rPr>
                        <w:t xml:space="preserve">Arbeiter-Samariter-Bund (ASB) with funding from AIFDR has increased awareness of the specific needs of children with disabilities in community-based contingency planning. </w:t>
                      </w:r>
                    </w:p>
                    <w:p w14:paraId="22AAAB1C" w14:textId="2FA9AAC7" w:rsidR="004D3B28" w:rsidRPr="00573F97" w:rsidRDefault="004D3B28" w:rsidP="00CE292F">
                      <w:pPr>
                        <w:rPr>
                          <w:sz w:val="24"/>
                          <w:szCs w:val="24"/>
                        </w:rPr>
                      </w:pPr>
                      <w:r w:rsidRPr="00573F97">
                        <w:rPr>
                          <w:sz w:val="24"/>
                          <w:szCs w:val="24"/>
                        </w:rPr>
                        <w:t xml:space="preserve">For the first time, the District of Ciamis organised a district level disaster simulation on 29 October 2012. The disaster simulation was based on an earthquake followed by landslide scenario involving more than 1,200 people from district, sub-district and village level </w:t>
                      </w:r>
                      <w:r>
                        <w:rPr>
                          <w:sz w:val="24"/>
                          <w:szCs w:val="24"/>
                        </w:rPr>
                        <w:t xml:space="preserve">(i.e., </w:t>
                      </w:r>
                      <w:r w:rsidRPr="00573F97">
                        <w:rPr>
                          <w:sz w:val="24"/>
                          <w:szCs w:val="24"/>
                        </w:rPr>
                        <w:t xml:space="preserve">GoI, NGOs, local emergency team, </w:t>
                      </w:r>
                      <w:r>
                        <w:rPr>
                          <w:sz w:val="24"/>
                          <w:szCs w:val="24"/>
                        </w:rPr>
                        <w:t xml:space="preserve">and community members including children </w:t>
                      </w:r>
                      <w:r w:rsidRPr="00573F97">
                        <w:rPr>
                          <w:sz w:val="24"/>
                          <w:szCs w:val="24"/>
                        </w:rPr>
                        <w:t>with disabilities</w:t>
                      </w:r>
                      <w:r>
                        <w:rPr>
                          <w:sz w:val="24"/>
                          <w:szCs w:val="24"/>
                        </w:rPr>
                        <w:t>)</w:t>
                      </w:r>
                      <w:r w:rsidRPr="00573F97">
                        <w:rPr>
                          <w:sz w:val="24"/>
                          <w:szCs w:val="24"/>
                        </w:rPr>
                        <w:t xml:space="preserve">. </w:t>
                      </w:r>
                    </w:p>
                    <w:p w14:paraId="44ECC7C5" w14:textId="7C0F3C3C" w:rsidR="004D3B28" w:rsidRPr="00573F97" w:rsidRDefault="004D3B28" w:rsidP="00CE292F">
                      <w:pPr>
                        <w:rPr>
                          <w:sz w:val="24"/>
                          <w:szCs w:val="24"/>
                        </w:rPr>
                      </w:pPr>
                      <w:r w:rsidRPr="00573F97">
                        <w:rPr>
                          <w:sz w:val="24"/>
                          <w:szCs w:val="24"/>
                        </w:rPr>
                        <w:t>The disaster simulation provided an opportunity to:</w:t>
                      </w:r>
                    </w:p>
                    <w:p w14:paraId="0D8B2096" w14:textId="4AA0FE29" w:rsidR="004D3B28" w:rsidRPr="00573F97" w:rsidRDefault="004D3B28" w:rsidP="00CE292F">
                      <w:pPr>
                        <w:rPr>
                          <w:sz w:val="24"/>
                          <w:szCs w:val="24"/>
                        </w:rPr>
                      </w:pPr>
                      <w:r w:rsidRPr="00573F97">
                        <w:rPr>
                          <w:sz w:val="24"/>
                          <w:szCs w:val="24"/>
                        </w:rPr>
                        <w:t xml:space="preserve">• Train and raise awareness of </w:t>
                      </w:r>
                      <w:r>
                        <w:rPr>
                          <w:sz w:val="24"/>
                          <w:szCs w:val="24"/>
                        </w:rPr>
                        <w:t xml:space="preserve">the </w:t>
                      </w:r>
                      <w:r w:rsidRPr="00573F97">
                        <w:rPr>
                          <w:sz w:val="24"/>
                          <w:szCs w:val="24"/>
                        </w:rPr>
                        <w:t>local government emergency team, and village level disaster preparedness cadres, volunteers and community</w:t>
                      </w:r>
                    </w:p>
                    <w:p w14:paraId="4D8303CA" w14:textId="4F960DB1" w:rsidR="004D3B28" w:rsidRPr="00573F97" w:rsidRDefault="004D3B28" w:rsidP="00CE292F">
                      <w:pPr>
                        <w:rPr>
                          <w:sz w:val="24"/>
                          <w:szCs w:val="24"/>
                        </w:rPr>
                      </w:pPr>
                      <w:r w:rsidRPr="00573F97">
                        <w:rPr>
                          <w:sz w:val="24"/>
                          <w:szCs w:val="24"/>
                        </w:rPr>
                        <w:t>• Test the concept and implementation of early warning system from national level down to the grassroot at the community level including action plan of different institutions and community groups particularly children with disabilities</w:t>
                      </w:r>
                    </w:p>
                    <w:p w14:paraId="7031C426" w14:textId="49149FB9" w:rsidR="004D3B28" w:rsidRPr="00573F97" w:rsidRDefault="004D3B28" w:rsidP="00CE292F">
                      <w:pPr>
                        <w:rPr>
                          <w:sz w:val="24"/>
                          <w:szCs w:val="24"/>
                        </w:rPr>
                      </w:pPr>
                      <w:r w:rsidRPr="00573F97">
                        <w:rPr>
                          <w:sz w:val="24"/>
                          <w:szCs w:val="24"/>
                        </w:rPr>
                        <w:t>• Document process and result of ASB project in supporting children with disability to be replicated in neighbouring areas</w:t>
                      </w:r>
                    </w:p>
                    <w:p w14:paraId="32AD6D43" w14:textId="0CEBF26A" w:rsidR="004D3B28" w:rsidRPr="00573F97" w:rsidRDefault="004D3B28" w:rsidP="00CE292F">
                      <w:pPr>
                        <w:rPr>
                          <w:i/>
                          <w:sz w:val="24"/>
                          <w:szCs w:val="24"/>
                        </w:rPr>
                      </w:pPr>
                      <w:r w:rsidRPr="00573F97">
                        <w:rPr>
                          <w:sz w:val="24"/>
                          <w:szCs w:val="24"/>
                        </w:rPr>
                        <w:t>Irfan, 16 year old child with a hearing impairment: “</w:t>
                      </w:r>
                      <w:r w:rsidRPr="00573F97">
                        <w:rPr>
                          <w:i/>
                          <w:sz w:val="24"/>
                          <w:szCs w:val="24"/>
                        </w:rPr>
                        <w:t>I draw what I will do if there is an earthquake. I will hide under the bed column or hide under the table with my hands on the table’s leg. After the earthquake finish, I will go out protecting my head with a bag and continue to carry the bag over my head until I am outside. I will go to the field, away from electricity poles, walls and cliffs. At home I have made a picture of evacuation routes for all my family members”.</w:t>
                      </w:r>
                    </w:p>
                    <w:p w14:paraId="17A9B631" w14:textId="261B28CD" w:rsidR="004D3B28" w:rsidRPr="00573F97" w:rsidRDefault="004D3B28" w:rsidP="00CE292F">
                      <w:pPr>
                        <w:rPr>
                          <w:b/>
                          <w:sz w:val="24"/>
                          <w:szCs w:val="24"/>
                        </w:rPr>
                      </w:pPr>
                      <w:r w:rsidRPr="00573F97">
                        <w:rPr>
                          <w:b/>
                          <w:sz w:val="24"/>
                          <w:szCs w:val="24"/>
                        </w:rPr>
                        <w:t>Source: Arbeiter-Samariter-Bund (ASB) Project Report/AIFDR Research and Innovation Grant</w:t>
                      </w:r>
                    </w:p>
                  </w:txbxContent>
                </v:textbox>
                <w10:wrap type="square" anchorx="margin"/>
              </v:shape>
            </w:pict>
          </mc:Fallback>
        </mc:AlternateContent>
      </w:r>
    </w:p>
    <w:p w14:paraId="02BCB5E3" w14:textId="24833C5D" w:rsidR="001007AD" w:rsidRDefault="004318DD" w:rsidP="004318DD">
      <w:pPr>
        <w:spacing w:after="0" w:line="240" w:lineRule="auto"/>
        <w:rPr>
          <w:rFonts w:cs="Times New Roman"/>
          <w:sz w:val="24"/>
          <w:szCs w:val="24"/>
        </w:rPr>
      </w:pPr>
      <w:r w:rsidRPr="009F4D17">
        <w:rPr>
          <w:rFonts w:cs="Times New Roman"/>
          <w:sz w:val="24"/>
          <w:szCs w:val="24"/>
        </w:rPr>
        <w:t>In the era of regional autonomy, Disaster Management Regional Regulations (Perda)</w:t>
      </w:r>
      <w:r w:rsidR="00447211">
        <w:rPr>
          <w:rStyle w:val="FootnoteReference"/>
          <w:rFonts w:cs="Times New Roman"/>
          <w:sz w:val="24"/>
          <w:szCs w:val="24"/>
        </w:rPr>
        <w:footnoteReference w:id="16"/>
      </w:r>
      <w:r w:rsidRPr="009F4D17">
        <w:rPr>
          <w:rFonts w:cs="Times New Roman"/>
          <w:sz w:val="24"/>
          <w:szCs w:val="24"/>
        </w:rPr>
        <w:t xml:space="preserve"> can provide a strong legal framework to </w:t>
      </w:r>
      <w:r w:rsidR="009F4D17">
        <w:rPr>
          <w:rFonts w:cs="Times New Roman"/>
          <w:sz w:val="24"/>
          <w:szCs w:val="24"/>
        </w:rPr>
        <w:t xml:space="preserve">synergise and </w:t>
      </w:r>
      <w:r w:rsidRPr="009F4D17">
        <w:rPr>
          <w:rFonts w:cs="Times New Roman"/>
          <w:sz w:val="24"/>
          <w:szCs w:val="24"/>
        </w:rPr>
        <w:t xml:space="preserve">strengthen cross-sectorial integration. </w:t>
      </w:r>
      <w:r w:rsidRPr="00B259ED">
        <w:rPr>
          <w:rFonts w:cs="Times New Roman"/>
          <w:sz w:val="24"/>
          <w:szCs w:val="24"/>
        </w:rPr>
        <w:t>Through AIFDR’s Partnership with Nahdlatul Ulama (LBI NU) – NU have reportedly influenced district governments in eight target districts in East Java to ratify DRM regulations (Mid-Term Review 2012). The establishment of regional regulation</w:t>
      </w:r>
      <w:r w:rsidR="009E4722" w:rsidRPr="00B259ED">
        <w:rPr>
          <w:rFonts w:cs="Times New Roman"/>
          <w:sz w:val="24"/>
          <w:szCs w:val="24"/>
        </w:rPr>
        <w:t>s</w:t>
      </w:r>
      <w:r w:rsidRPr="00B259ED">
        <w:rPr>
          <w:rFonts w:cs="Times New Roman"/>
          <w:sz w:val="24"/>
          <w:szCs w:val="24"/>
        </w:rPr>
        <w:t xml:space="preserve"> is expected to socialise DRM, generate buy-in to a broader and more proactive DRM paradigm; and encourage coordination between BPBD and regional government taskforces (SKPD). There is no evidence yet to conclusively validate the anticipated impacts of regulations.</w:t>
      </w:r>
      <w:r w:rsidR="001007AD" w:rsidRPr="009F4D17">
        <w:rPr>
          <w:rFonts w:cs="Times New Roman"/>
          <w:sz w:val="24"/>
          <w:szCs w:val="24"/>
        </w:rPr>
        <w:t xml:space="preserve"> Follow up analysis should be undertaken examining districts with Perda, and compar</w:t>
      </w:r>
      <w:r w:rsidR="00661F43" w:rsidRPr="00B259ED">
        <w:rPr>
          <w:rFonts w:cs="Times New Roman"/>
          <w:sz w:val="24"/>
          <w:szCs w:val="24"/>
        </w:rPr>
        <w:t xml:space="preserve">ing these districts with a similar sized </w:t>
      </w:r>
      <w:r w:rsidR="001007AD" w:rsidRPr="000C251C">
        <w:rPr>
          <w:rFonts w:cs="Times New Roman"/>
          <w:sz w:val="24"/>
          <w:szCs w:val="24"/>
        </w:rPr>
        <w:t>sample of districts without Perda</w:t>
      </w:r>
      <w:r w:rsidR="000C251C">
        <w:rPr>
          <w:rFonts w:cs="Times New Roman"/>
          <w:sz w:val="24"/>
          <w:szCs w:val="24"/>
        </w:rPr>
        <w:t xml:space="preserve"> to assess the impact of regulations. </w:t>
      </w:r>
      <w:r w:rsidR="00573F97">
        <w:rPr>
          <w:rFonts w:cs="Times New Roman"/>
          <w:sz w:val="24"/>
          <w:szCs w:val="24"/>
        </w:rPr>
        <w:t xml:space="preserve"> </w:t>
      </w:r>
      <w:r w:rsidR="00661F43">
        <w:rPr>
          <w:rFonts w:cs="Times New Roman"/>
          <w:sz w:val="24"/>
          <w:szCs w:val="24"/>
        </w:rPr>
        <w:t xml:space="preserve"> </w:t>
      </w:r>
    </w:p>
    <w:p w14:paraId="448F6CCC" w14:textId="77777777" w:rsidR="00573F97" w:rsidRDefault="00573F97" w:rsidP="006E248F">
      <w:pPr>
        <w:spacing w:after="0"/>
        <w:rPr>
          <w:sz w:val="24"/>
          <w:szCs w:val="24"/>
        </w:rPr>
      </w:pPr>
    </w:p>
    <w:p w14:paraId="562E39B9" w14:textId="57C9F234" w:rsidR="004318DD" w:rsidRDefault="004318DD" w:rsidP="004318DD">
      <w:pPr>
        <w:rPr>
          <w:sz w:val="24"/>
          <w:szCs w:val="24"/>
        </w:rPr>
      </w:pPr>
      <w:r w:rsidRPr="00D66F50">
        <w:rPr>
          <w:sz w:val="24"/>
          <w:szCs w:val="24"/>
        </w:rPr>
        <w:t>Through the T</w:t>
      </w:r>
      <w:r w:rsidR="00D66F50" w:rsidRPr="00D66F50">
        <w:rPr>
          <w:sz w:val="24"/>
          <w:szCs w:val="24"/>
        </w:rPr>
        <w:t>raining and Outreach</w:t>
      </w:r>
      <w:r w:rsidRPr="00D66F50">
        <w:rPr>
          <w:sz w:val="24"/>
          <w:szCs w:val="24"/>
        </w:rPr>
        <w:t xml:space="preserve"> component, BPBD’s</w:t>
      </w:r>
      <w:r w:rsidRPr="00D66F50" w:rsidDel="00833350">
        <w:rPr>
          <w:sz w:val="24"/>
          <w:szCs w:val="24"/>
        </w:rPr>
        <w:t xml:space="preserve"> </w:t>
      </w:r>
      <w:r w:rsidRPr="00D66F50">
        <w:rPr>
          <w:sz w:val="24"/>
          <w:szCs w:val="24"/>
        </w:rPr>
        <w:t xml:space="preserve">in four target provinces have been supported by a CDSP consultant. The CDSP MTR rated provincial deployments as successful, although highly challenging given weak capacity of the newly created BPBDs. </w:t>
      </w:r>
      <w:r w:rsidR="009D7DD7" w:rsidRPr="00D66F50">
        <w:rPr>
          <w:sz w:val="24"/>
          <w:szCs w:val="24"/>
        </w:rPr>
        <w:t>The</w:t>
      </w:r>
      <w:r w:rsidR="009D7DD7">
        <w:rPr>
          <w:sz w:val="24"/>
          <w:szCs w:val="24"/>
        </w:rPr>
        <w:t xml:space="preserve"> CDSP </w:t>
      </w:r>
      <w:r w:rsidRPr="00D66F50">
        <w:rPr>
          <w:sz w:val="24"/>
          <w:szCs w:val="24"/>
        </w:rPr>
        <w:t xml:space="preserve">MTR team were encouraged by the efforts in the provinces of East Java, South Sulawesi and West Sumatra to establish provincial forums for disaster management that involve a wide range of government and civil society stakeholders. The </w:t>
      </w:r>
      <w:r w:rsidR="009D7DD7">
        <w:rPr>
          <w:sz w:val="24"/>
          <w:szCs w:val="24"/>
        </w:rPr>
        <w:t xml:space="preserve">CDSP </w:t>
      </w:r>
      <w:r w:rsidRPr="00D66F50">
        <w:rPr>
          <w:sz w:val="24"/>
          <w:szCs w:val="24"/>
        </w:rPr>
        <w:t>MTR believed that the emergence of strong regional DRM for</w:t>
      </w:r>
      <w:r w:rsidR="00F4196C">
        <w:rPr>
          <w:sz w:val="24"/>
          <w:szCs w:val="24"/>
        </w:rPr>
        <w:t>a</w:t>
      </w:r>
      <w:r w:rsidRPr="00D66F50">
        <w:rPr>
          <w:sz w:val="24"/>
          <w:szCs w:val="24"/>
        </w:rPr>
        <w:t xml:space="preserve"> is a key element of developing capacity in the Governments disaster management system. The </w:t>
      </w:r>
      <w:r w:rsidR="00661F43">
        <w:rPr>
          <w:sz w:val="24"/>
          <w:szCs w:val="24"/>
        </w:rPr>
        <w:t>review</w:t>
      </w:r>
      <w:r w:rsidRPr="00D66F50">
        <w:rPr>
          <w:sz w:val="24"/>
          <w:szCs w:val="24"/>
        </w:rPr>
        <w:t xml:space="preserve"> team </w:t>
      </w:r>
      <w:r w:rsidR="00F4196C">
        <w:rPr>
          <w:sz w:val="24"/>
          <w:szCs w:val="24"/>
        </w:rPr>
        <w:t>note</w:t>
      </w:r>
      <w:r w:rsidR="009E4722">
        <w:rPr>
          <w:sz w:val="24"/>
          <w:szCs w:val="24"/>
        </w:rPr>
        <w:t>s that emergence of strong regional DRM forums is indeed a positive development but not an end in itself. Validation of the success of capacity development</w:t>
      </w:r>
      <w:r w:rsidR="00F4196C">
        <w:rPr>
          <w:sz w:val="24"/>
          <w:szCs w:val="24"/>
        </w:rPr>
        <w:t xml:space="preserve"> inputs by AIFDR would require some deeper assessment of the</w:t>
      </w:r>
      <w:r w:rsidR="00F4196C" w:rsidRPr="00B31B1F">
        <w:rPr>
          <w:rFonts w:cs="Times New Roman"/>
          <w:sz w:val="24"/>
          <w:szCs w:val="24"/>
        </w:rPr>
        <w:t xml:space="preserve"> prepared</w:t>
      </w:r>
      <w:r w:rsidR="00F4196C">
        <w:rPr>
          <w:rFonts w:cs="Times New Roman"/>
          <w:sz w:val="24"/>
          <w:szCs w:val="24"/>
        </w:rPr>
        <w:t>ness of</w:t>
      </w:r>
      <w:r w:rsidR="00F4196C" w:rsidRPr="00B31B1F">
        <w:rPr>
          <w:rFonts w:cs="Times New Roman"/>
          <w:sz w:val="24"/>
          <w:szCs w:val="24"/>
        </w:rPr>
        <w:t xml:space="preserve"> disaster managers </w:t>
      </w:r>
      <w:r w:rsidR="00F4196C">
        <w:rPr>
          <w:sz w:val="24"/>
          <w:szCs w:val="24"/>
        </w:rPr>
        <w:t xml:space="preserve">than was available to the review team </w:t>
      </w:r>
      <w:r w:rsidRPr="00D66F50">
        <w:rPr>
          <w:sz w:val="24"/>
          <w:szCs w:val="24"/>
        </w:rPr>
        <w:t xml:space="preserve">but </w:t>
      </w:r>
      <w:r w:rsidR="00F4196C">
        <w:rPr>
          <w:sz w:val="24"/>
          <w:szCs w:val="24"/>
        </w:rPr>
        <w:t xml:space="preserve">we </w:t>
      </w:r>
      <w:r w:rsidRPr="00D66F50">
        <w:rPr>
          <w:sz w:val="24"/>
          <w:szCs w:val="24"/>
        </w:rPr>
        <w:t xml:space="preserve">suggest that </w:t>
      </w:r>
      <w:r w:rsidR="00F4196C">
        <w:rPr>
          <w:sz w:val="24"/>
          <w:szCs w:val="24"/>
        </w:rPr>
        <w:t>the CDSP MTR finding</w:t>
      </w:r>
      <w:r w:rsidR="00F4196C" w:rsidRPr="00D66F50">
        <w:rPr>
          <w:sz w:val="24"/>
          <w:szCs w:val="24"/>
        </w:rPr>
        <w:t xml:space="preserve"> </w:t>
      </w:r>
      <w:r w:rsidRPr="00D66F50">
        <w:rPr>
          <w:sz w:val="24"/>
          <w:szCs w:val="24"/>
        </w:rPr>
        <w:t>is</w:t>
      </w:r>
      <w:r w:rsidR="00F4196C">
        <w:rPr>
          <w:sz w:val="24"/>
          <w:szCs w:val="24"/>
        </w:rPr>
        <w:t>, at least,</w:t>
      </w:r>
      <w:r w:rsidRPr="00D66F50">
        <w:rPr>
          <w:sz w:val="24"/>
          <w:szCs w:val="24"/>
        </w:rPr>
        <w:t xml:space="preserve"> plausible.</w:t>
      </w:r>
    </w:p>
    <w:p w14:paraId="4C53F5AC" w14:textId="77777777" w:rsidR="00CC66FE" w:rsidRPr="00D66F50" w:rsidRDefault="00CC66FE" w:rsidP="00CC66FE">
      <w:pPr>
        <w:spacing w:after="0"/>
        <w:rPr>
          <w:sz w:val="24"/>
          <w:szCs w:val="24"/>
        </w:rPr>
      </w:pPr>
    </w:p>
    <w:p w14:paraId="5751F383" w14:textId="11108396" w:rsidR="004318DD" w:rsidRDefault="004318DD" w:rsidP="004318DD">
      <w:pPr>
        <w:rPr>
          <w:rFonts w:cs="Times New Roman"/>
          <w:b/>
          <w:i/>
          <w:sz w:val="24"/>
          <w:szCs w:val="24"/>
        </w:rPr>
      </w:pPr>
      <w:r w:rsidRPr="00174C42">
        <w:rPr>
          <w:rFonts w:cs="Times New Roman"/>
          <w:b/>
          <w:i/>
          <w:sz w:val="24"/>
          <w:szCs w:val="24"/>
        </w:rPr>
        <w:t>Outcome 3: Partnerships with national, community and international organisation</w:t>
      </w:r>
      <w:r w:rsidR="006D6D12">
        <w:rPr>
          <w:rFonts w:cs="Times New Roman"/>
          <w:b/>
          <w:i/>
          <w:sz w:val="24"/>
          <w:szCs w:val="24"/>
        </w:rPr>
        <w:t>s</w:t>
      </w:r>
      <w:r w:rsidRPr="00174C42">
        <w:rPr>
          <w:rFonts w:cs="Times New Roman"/>
          <w:b/>
          <w:i/>
          <w:sz w:val="24"/>
          <w:szCs w:val="24"/>
        </w:rPr>
        <w:t>: Partnerships enable sustainable disaster reduction in Indonesia and the region</w:t>
      </w:r>
    </w:p>
    <w:p w14:paraId="72BAAC58" w14:textId="1084141C" w:rsidR="00852C50" w:rsidRPr="00852C50" w:rsidRDefault="00852C50" w:rsidP="00852C50">
      <w:pPr>
        <w:rPr>
          <w:sz w:val="24"/>
          <w:szCs w:val="24"/>
        </w:rPr>
      </w:pPr>
      <w:r>
        <w:rPr>
          <w:sz w:val="24"/>
          <w:szCs w:val="24"/>
        </w:rPr>
        <w:t xml:space="preserve">Achievements against </w:t>
      </w:r>
      <w:r w:rsidR="00927F71">
        <w:rPr>
          <w:sz w:val="24"/>
          <w:szCs w:val="24"/>
        </w:rPr>
        <w:t xml:space="preserve">expected end-of-facility outcome </w:t>
      </w:r>
      <w:r>
        <w:rPr>
          <w:sz w:val="24"/>
          <w:szCs w:val="24"/>
        </w:rPr>
        <w:t>3</w:t>
      </w:r>
      <w:r w:rsidR="009B54FF">
        <w:rPr>
          <w:sz w:val="24"/>
          <w:szCs w:val="24"/>
        </w:rPr>
        <w:t xml:space="preserve"> </w:t>
      </w:r>
      <w:r>
        <w:rPr>
          <w:sz w:val="24"/>
          <w:szCs w:val="24"/>
        </w:rPr>
        <w:t>are</w:t>
      </w:r>
      <w:r w:rsidR="00020140">
        <w:rPr>
          <w:sz w:val="24"/>
          <w:szCs w:val="24"/>
        </w:rPr>
        <w:t xml:space="preserve"> </w:t>
      </w:r>
      <w:r w:rsidR="00661F43">
        <w:rPr>
          <w:sz w:val="24"/>
          <w:szCs w:val="24"/>
        </w:rPr>
        <w:t>difficult</w:t>
      </w:r>
      <w:r w:rsidR="00020140">
        <w:rPr>
          <w:sz w:val="24"/>
          <w:szCs w:val="24"/>
        </w:rPr>
        <w:t xml:space="preserve"> </w:t>
      </w:r>
      <w:r w:rsidR="003B6791">
        <w:rPr>
          <w:sz w:val="24"/>
          <w:szCs w:val="24"/>
        </w:rPr>
        <w:t>to assess</w:t>
      </w:r>
      <w:r>
        <w:rPr>
          <w:sz w:val="24"/>
          <w:szCs w:val="24"/>
        </w:rPr>
        <w:t xml:space="preserve">. </w:t>
      </w:r>
      <w:r w:rsidRPr="00852C50">
        <w:rPr>
          <w:sz w:val="24"/>
          <w:szCs w:val="24"/>
        </w:rPr>
        <w:t xml:space="preserve">The </w:t>
      </w:r>
      <w:r w:rsidR="00927F71">
        <w:rPr>
          <w:sz w:val="24"/>
          <w:szCs w:val="24"/>
        </w:rPr>
        <w:t>r</w:t>
      </w:r>
      <w:r w:rsidR="00927F71" w:rsidRPr="00852C50">
        <w:rPr>
          <w:sz w:val="24"/>
          <w:szCs w:val="24"/>
        </w:rPr>
        <w:t xml:space="preserve">eview </w:t>
      </w:r>
      <w:r w:rsidR="00927F71">
        <w:rPr>
          <w:sz w:val="24"/>
          <w:szCs w:val="24"/>
        </w:rPr>
        <w:t>t</w:t>
      </w:r>
      <w:r w:rsidR="00927F71" w:rsidRPr="00852C50">
        <w:rPr>
          <w:sz w:val="24"/>
          <w:szCs w:val="24"/>
        </w:rPr>
        <w:t xml:space="preserve">eam </w:t>
      </w:r>
      <w:r w:rsidRPr="00852C50">
        <w:rPr>
          <w:sz w:val="24"/>
          <w:szCs w:val="24"/>
        </w:rPr>
        <w:t xml:space="preserve">did not find a common understanding of what constituted a partnership across AIFDR that might be applied to benchmark the success or otherwise of the range of ‘partnerships’ within AIFDR. </w:t>
      </w:r>
    </w:p>
    <w:p w14:paraId="3EFE6EC3" w14:textId="5A633133" w:rsidR="009C6366" w:rsidRDefault="00852C50" w:rsidP="00852C50">
      <w:pPr>
        <w:rPr>
          <w:sz w:val="24"/>
          <w:szCs w:val="24"/>
        </w:rPr>
      </w:pPr>
      <w:r w:rsidRPr="00852C50">
        <w:rPr>
          <w:sz w:val="24"/>
          <w:szCs w:val="24"/>
        </w:rPr>
        <w:t xml:space="preserve">AIFDR engages in a range of partnerships ranging from (i) the joint program management partnership exemplified by the co-directorship management model; and (ii) the technical partnership exemplified </w:t>
      </w:r>
      <w:r w:rsidR="00C95812">
        <w:rPr>
          <w:sz w:val="24"/>
          <w:szCs w:val="24"/>
        </w:rPr>
        <w:t xml:space="preserve">by </w:t>
      </w:r>
      <w:r w:rsidRPr="00852C50">
        <w:rPr>
          <w:sz w:val="24"/>
          <w:szCs w:val="24"/>
        </w:rPr>
        <w:t>the agreement between Geoscience Australia and five technical agencies to share knowledge and skills; to (iii) the funding partnerships exemplified by grant agreements with NGOs an</w:t>
      </w:r>
      <w:r w:rsidR="00C95812">
        <w:rPr>
          <w:sz w:val="24"/>
          <w:szCs w:val="24"/>
        </w:rPr>
        <w:t>d</w:t>
      </w:r>
      <w:r w:rsidRPr="00852C50">
        <w:rPr>
          <w:sz w:val="24"/>
          <w:szCs w:val="24"/>
        </w:rPr>
        <w:t xml:space="preserve"> international organisations. </w:t>
      </w:r>
      <w:r w:rsidR="001010BA" w:rsidRPr="00852C50">
        <w:rPr>
          <w:sz w:val="24"/>
          <w:szCs w:val="24"/>
        </w:rPr>
        <w:t>The motivations, value, relative importance and quality of these partnerships differ markedly</w:t>
      </w:r>
      <w:r w:rsidR="001010BA">
        <w:rPr>
          <w:sz w:val="24"/>
          <w:szCs w:val="24"/>
        </w:rPr>
        <w:t xml:space="preserve"> but e</w:t>
      </w:r>
      <w:r w:rsidRPr="00852C50">
        <w:rPr>
          <w:sz w:val="24"/>
          <w:szCs w:val="24"/>
        </w:rPr>
        <w:t xml:space="preserve">ach must be underpinned by common principles of mutuality (mutual accountability, </w:t>
      </w:r>
      <w:r w:rsidR="00C959E0">
        <w:rPr>
          <w:sz w:val="24"/>
          <w:szCs w:val="24"/>
        </w:rPr>
        <w:t xml:space="preserve">mutual respect </w:t>
      </w:r>
      <w:r w:rsidR="00C932C2">
        <w:rPr>
          <w:sz w:val="24"/>
          <w:szCs w:val="24"/>
        </w:rPr>
        <w:t xml:space="preserve">and </w:t>
      </w:r>
      <w:r w:rsidRPr="00852C50">
        <w:rPr>
          <w:sz w:val="24"/>
          <w:szCs w:val="24"/>
        </w:rPr>
        <w:t>mutual responsibility</w:t>
      </w:r>
      <w:r w:rsidR="00C932C2">
        <w:rPr>
          <w:sz w:val="24"/>
          <w:szCs w:val="24"/>
        </w:rPr>
        <w:t xml:space="preserve">) </w:t>
      </w:r>
      <w:r w:rsidRPr="00852C50">
        <w:rPr>
          <w:sz w:val="24"/>
          <w:szCs w:val="24"/>
        </w:rPr>
        <w:t>that may be used to define the benchmarks for successful partnership. For the purposes of assisting the design of a monitoring and evaluation framework for AIFDR</w:t>
      </w:r>
      <w:r w:rsidR="00C50315">
        <w:rPr>
          <w:sz w:val="24"/>
          <w:szCs w:val="24"/>
        </w:rPr>
        <w:t xml:space="preserve"> Phase </w:t>
      </w:r>
      <w:r w:rsidRPr="00852C50">
        <w:rPr>
          <w:sz w:val="24"/>
          <w:szCs w:val="24"/>
        </w:rPr>
        <w:t xml:space="preserve">2, the </w:t>
      </w:r>
      <w:r w:rsidR="00AD0C1B">
        <w:rPr>
          <w:sz w:val="24"/>
          <w:szCs w:val="24"/>
        </w:rPr>
        <w:t>r</w:t>
      </w:r>
      <w:r w:rsidR="00AD0C1B" w:rsidRPr="00852C50">
        <w:rPr>
          <w:sz w:val="24"/>
          <w:szCs w:val="24"/>
        </w:rPr>
        <w:t xml:space="preserve">eview </w:t>
      </w:r>
      <w:r w:rsidR="00AD0C1B">
        <w:rPr>
          <w:sz w:val="24"/>
          <w:szCs w:val="24"/>
        </w:rPr>
        <w:t>t</w:t>
      </w:r>
      <w:r w:rsidR="00AD0C1B" w:rsidRPr="00852C50">
        <w:rPr>
          <w:sz w:val="24"/>
          <w:szCs w:val="24"/>
        </w:rPr>
        <w:t xml:space="preserve">eam </w:t>
      </w:r>
      <w:r w:rsidR="0086433D">
        <w:rPr>
          <w:sz w:val="24"/>
          <w:szCs w:val="24"/>
        </w:rPr>
        <w:t xml:space="preserve">recommends a set of principles of partnership </w:t>
      </w:r>
      <w:r w:rsidR="009C6366">
        <w:rPr>
          <w:sz w:val="24"/>
          <w:szCs w:val="24"/>
        </w:rPr>
        <w:t>should be</w:t>
      </w:r>
      <w:r w:rsidR="0086433D">
        <w:rPr>
          <w:sz w:val="24"/>
          <w:szCs w:val="24"/>
        </w:rPr>
        <w:t xml:space="preserve"> </w:t>
      </w:r>
      <w:r w:rsidR="009C6366">
        <w:rPr>
          <w:sz w:val="24"/>
          <w:szCs w:val="24"/>
        </w:rPr>
        <w:t xml:space="preserve">established </w:t>
      </w:r>
      <w:r w:rsidR="0086433D">
        <w:rPr>
          <w:sz w:val="24"/>
          <w:szCs w:val="24"/>
        </w:rPr>
        <w:t xml:space="preserve">between AIFDR and BNBP </w:t>
      </w:r>
      <w:r w:rsidR="009C6366">
        <w:rPr>
          <w:sz w:val="24"/>
          <w:szCs w:val="24"/>
        </w:rPr>
        <w:t>that allow partnership performance to be assessed</w:t>
      </w:r>
      <w:r w:rsidR="0086433D">
        <w:rPr>
          <w:sz w:val="24"/>
          <w:szCs w:val="24"/>
        </w:rPr>
        <w:t xml:space="preserve">. </w:t>
      </w:r>
      <w:r w:rsidR="00034C9C">
        <w:rPr>
          <w:sz w:val="24"/>
          <w:szCs w:val="24"/>
        </w:rPr>
        <w:t xml:space="preserve">There </w:t>
      </w:r>
      <w:proofErr w:type="gramStart"/>
      <w:r w:rsidR="00034C9C">
        <w:rPr>
          <w:sz w:val="24"/>
          <w:szCs w:val="24"/>
        </w:rPr>
        <w:t>are a range</w:t>
      </w:r>
      <w:proofErr w:type="gramEnd"/>
      <w:r w:rsidR="00034C9C">
        <w:rPr>
          <w:sz w:val="24"/>
          <w:szCs w:val="24"/>
        </w:rPr>
        <w:t xml:space="preserve"> of recognised good </w:t>
      </w:r>
      <w:r w:rsidR="00A8225D">
        <w:rPr>
          <w:sz w:val="24"/>
          <w:szCs w:val="24"/>
        </w:rPr>
        <w:t xml:space="preserve">international and domestic </w:t>
      </w:r>
      <w:r w:rsidR="00034C9C">
        <w:rPr>
          <w:sz w:val="24"/>
          <w:szCs w:val="24"/>
        </w:rPr>
        <w:t xml:space="preserve">practice </w:t>
      </w:r>
      <w:r w:rsidR="000E3513">
        <w:rPr>
          <w:sz w:val="24"/>
          <w:szCs w:val="24"/>
        </w:rPr>
        <w:t xml:space="preserve">examples </w:t>
      </w:r>
      <w:r w:rsidR="00034C9C">
        <w:rPr>
          <w:sz w:val="24"/>
          <w:szCs w:val="24"/>
        </w:rPr>
        <w:t xml:space="preserve">that can be </w:t>
      </w:r>
      <w:r w:rsidR="009C6366">
        <w:rPr>
          <w:sz w:val="24"/>
          <w:szCs w:val="24"/>
        </w:rPr>
        <w:t xml:space="preserve">adapted </w:t>
      </w:r>
      <w:r w:rsidR="00AD635A">
        <w:rPr>
          <w:sz w:val="24"/>
          <w:szCs w:val="24"/>
        </w:rPr>
        <w:t xml:space="preserve">by </w:t>
      </w:r>
      <w:r w:rsidR="009C6366">
        <w:rPr>
          <w:sz w:val="24"/>
          <w:szCs w:val="24"/>
        </w:rPr>
        <w:t xml:space="preserve">AIFDR </w:t>
      </w:r>
      <w:r w:rsidR="005C13E5">
        <w:rPr>
          <w:sz w:val="24"/>
          <w:szCs w:val="24"/>
        </w:rPr>
        <w:t xml:space="preserve">for Phase 2 </w:t>
      </w:r>
      <w:r w:rsidR="009C6366">
        <w:rPr>
          <w:sz w:val="24"/>
          <w:szCs w:val="24"/>
        </w:rPr>
        <w:t xml:space="preserve">(see Box 5 for examples of partnership principles). </w:t>
      </w:r>
    </w:p>
    <w:p w14:paraId="6EC57117" w14:textId="0B62F554" w:rsidR="007B5CE7" w:rsidRDefault="005C13E5" w:rsidP="00852C50">
      <w:pPr>
        <w:rPr>
          <w:sz w:val="24"/>
          <w:szCs w:val="24"/>
        </w:rPr>
      </w:pPr>
      <w:r w:rsidRPr="00DB530F">
        <w:rPr>
          <w:noProof/>
          <w:sz w:val="24"/>
          <w:szCs w:val="24"/>
          <w:lang w:eastAsia="en-AU"/>
        </w:rPr>
        <mc:AlternateContent>
          <mc:Choice Requires="wps">
            <w:drawing>
              <wp:anchor distT="45720" distB="45720" distL="114300" distR="114300" simplePos="0" relativeHeight="251691008" behindDoc="0" locked="0" layoutInCell="1" allowOverlap="1" wp14:anchorId="44C33204" wp14:editId="5115A456">
                <wp:simplePos x="0" y="0"/>
                <wp:positionH relativeFrom="column">
                  <wp:posOffset>95250</wp:posOffset>
                </wp:positionH>
                <wp:positionV relativeFrom="paragraph">
                  <wp:posOffset>59055</wp:posOffset>
                </wp:positionV>
                <wp:extent cx="5581650" cy="87820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782050"/>
                        </a:xfrm>
                        <a:prstGeom prst="rect">
                          <a:avLst/>
                        </a:prstGeom>
                        <a:solidFill>
                          <a:srgbClr val="FFFFFF"/>
                        </a:solidFill>
                        <a:ln w="9525">
                          <a:solidFill>
                            <a:srgbClr val="000000"/>
                          </a:solidFill>
                          <a:miter lim="800000"/>
                          <a:headEnd/>
                          <a:tailEnd/>
                        </a:ln>
                      </wps:spPr>
                      <wps:txbx>
                        <w:txbxContent>
                          <w:p w14:paraId="732D949E" w14:textId="4B10DF6A" w:rsidR="004D3B28" w:rsidRDefault="004D3B28" w:rsidP="000E3513">
                            <w:pPr>
                              <w:pStyle w:val="OutlineNumbered1"/>
                              <w:numPr>
                                <w:ilvl w:val="0"/>
                                <w:numId w:val="0"/>
                              </w:numPr>
                              <w:rPr>
                                <w:rFonts w:asciiTheme="minorHAnsi" w:hAnsiTheme="minorHAnsi"/>
                                <w:b/>
                              </w:rPr>
                            </w:pPr>
                            <w:r w:rsidRPr="00F570EA">
                              <w:rPr>
                                <w:rFonts w:asciiTheme="minorHAnsi" w:hAnsiTheme="minorHAnsi"/>
                                <w:b/>
                              </w:rPr>
                              <w:t>BOX</w:t>
                            </w:r>
                            <w:r>
                              <w:rPr>
                                <w:rFonts w:asciiTheme="minorHAnsi" w:hAnsiTheme="minorHAnsi"/>
                                <w:b/>
                              </w:rPr>
                              <w:t xml:space="preserve"> 5</w:t>
                            </w:r>
                            <w:r w:rsidRPr="00F570EA">
                              <w:rPr>
                                <w:rFonts w:asciiTheme="minorHAnsi" w:hAnsiTheme="minorHAnsi"/>
                                <w:b/>
                              </w:rPr>
                              <w:t xml:space="preserve">: </w:t>
                            </w:r>
                            <w:r>
                              <w:rPr>
                                <w:rFonts w:asciiTheme="minorHAnsi" w:hAnsiTheme="minorHAnsi"/>
                                <w:b/>
                              </w:rPr>
                              <w:t xml:space="preserve">Examples of Partnership Principles </w:t>
                            </w:r>
                          </w:p>
                          <w:p w14:paraId="20DAF546" w14:textId="3D42B3DC" w:rsidR="004D3B28" w:rsidRDefault="004D3B28" w:rsidP="006E248F">
                            <w:pPr>
                              <w:pStyle w:val="OutlineNumbered1"/>
                              <w:numPr>
                                <w:ilvl w:val="0"/>
                                <w:numId w:val="0"/>
                              </w:numPr>
                              <w:spacing w:after="0"/>
                              <w:ind w:left="567" w:hanging="567"/>
                              <w:rPr>
                                <w:rFonts w:asciiTheme="minorHAnsi" w:hAnsiTheme="minorHAnsi"/>
                                <w:b/>
                                <w:sz w:val="22"/>
                                <w:szCs w:val="22"/>
                              </w:rPr>
                            </w:pPr>
                            <w:r>
                              <w:rPr>
                                <w:rFonts w:asciiTheme="minorHAnsi" w:hAnsiTheme="minorHAnsi"/>
                                <w:b/>
                                <w:sz w:val="22"/>
                                <w:szCs w:val="22"/>
                              </w:rPr>
                              <w:t xml:space="preserve">A: </w:t>
                            </w:r>
                            <w:r w:rsidRPr="006E248F">
                              <w:rPr>
                                <w:rFonts w:asciiTheme="minorHAnsi" w:hAnsiTheme="minorHAnsi"/>
                                <w:b/>
                                <w:sz w:val="22"/>
                                <w:szCs w:val="22"/>
                              </w:rPr>
                              <w:t xml:space="preserve">Domestic Example: </w:t>
                            </w:r>
                            <w:r>
                              <w:rPr>
                                <w:rFonts w:asciiTheme="minorHAnsi" w:hAnsiTheme="minorHAnsi"/>
                                <w:b/>
                                <w:sz w:val="22"/>
                                <w:szCs w:val="22"/>
                              </w:rPr>
                              <w:t>(</w:t>
                            </w:r>
                            <w:r w:rsidRPr="006E248F">
                              <w:rPr>
                                <w:rFonts w:asciiTheme="minorHAnsi" w:hAnsiTheme="minorHAnsi"/>
                                <w:b/>
                                <w:sz w:val="22"/>
                                <w:szCs w:val="22"/>
                              </w:rPr>
                              <w:t>Former</w:t>
                            </w:r>
                            <w:r>
                              <w:rPr>
                                <w:rFonts w:asciiTheme="minorHAnsi" w:hAnsiTheme="minorHAnsi"/>
                                <w:b/>
                                <w:sz w:val="22"/>
                                <w:szCs w:val="22"/>
                              </w:rPr>
                              <w:t>)</w:t>
                            </w:r>
                            <w:r w:rsidRPr="006E248F">
                              <w:rPr>
                                <w:rFonts w:asciiTheme="minorHAnsi" w:hAnsiTheme="minorHAnsi"/>
                                <w:b/>
                                <w:sz w:val="22"/>
                                <w:szCs w:val="22"/>
                              </w:rPr>
                              <w:t xml:space="preserve"> AusAID-Defence Strategic Partnership Principles </w:t>
                            </w:r>
                            <w:r>
                              <w:rPr>
                                <w:rFonts w:asciiTheme="minorHAnsi" w:hAnsiTheme="minorHAnsi"/>
                                <w:b/>
                                <w:sz w:val="22"/>
                                <w:szCs w:val="22"/>
                              </w:rPr>
                              <w:t>(2009)</w:t>
                            </w:r>
                          </w:p>
                          <w:p w14:paraId="1C9EC1E1" w14:textId="77777777" w:rsidR="004D3B28" w:rsidRPr="006E248F" w:rsidRDefault="004D3B28" w:rsidP="006E248F">
                            <w:pPr>
                              <w:pStyle w:val="OutlineNumbered1"/>
                              <w:numPr>
                                <w:ilvl w:val="0"/>
                                <w:numId w:val="0"/>
                              </w:numPr>
                              <w:spacing w:after="0"/>
                              <w:ind w:left="567" w:hanging="567"/>
                              <w:rPr>
                                <w:rFonts w:asciiTheme="minorHAnsi" w:hAnsiTheme="minorHAnsi"/>
                                <w:b/>
                                <w:sz w:val="22"/>
                                <w:szCs w:val="22"/>
                              </w:rPr>
                            </w:pPr>
                          </w:p>
                          <w:p w14:paraId="0B00368E" w14:textId="52770FAC" w:rsidR="004D3B28" w:rsidRPr="006E248F" w:rsidRDefault="004D3B28" w:rsidP="006E248F">
                            <w:pPr>
                              <w:pStyle w:val="OutlineNumbered1"/>
                              <w:numPr>
                                <w:ilvl w:val="0"/>
                                <w:numId w:val="42"/>
                              </w:numPr>
                              <w:spacing w:after="0"/>
                              <w:rPr>
                                <w:rFonts w:asciiTheme="minorHAnsi" w:hAnsiTheme="minorHAnsi"/>
                                <w:sz w:val="22"/>
                                <w:szCs w:val="22"/>
                              </w:rPr>
                            </w:pPr>
                            <w:r w:rsidRPr="006E248F">
                              <w:rPr>
                                <w:rFonts w:asciiTheme="minorHAnsi" w:hAnsiTheme="minorHAnsi"/>
                                <w:sz w:val="22"/>
                                <w:szCs w:val="22"/>
                              </w:rPr>
                              <w:t xml:space="preserve">Recognition </w:t>
                            </w:r>
                            <w:r>
                              <w:rPr>
                                <w:rFonts w:asciiTheme="minorHAnsi" w:hAnsiTheme="minorHAnsi"/>
                                <w:sz w:val="22"/>
                                <w:szCs w:val="22"/>
                              </w:rPr>
                              <w:t xml:space="preserve">of </w:t>
                            </w:r>
                            <w:r w:rsidRPr="006E248F">
                              <w:rPr>
                                <w:rFonts w:asciiTheme="minorHAnsi" w:hAnsiTheme="minorHAnsi"/>
                                <w:sz w:val="22"/>
                                <w:szCs w:val="22"/>
                              </w:rPr>
                              <w:t>the optimisation of program effectiveness can be enhanced through the identification of and commitment to shared strategic goals.</w:t>
                            </w:r>
                          </w:p>
                          <w:p w14:paraId="22399AF0" w14:textId="49D36F3F" w:rsidR="004D3B28" w:rsidRPr="006E248F" w:rsidRDefault="004D3B28" w:rsidP="006E248F">
                            <w:pPr>
                              <w:pStyle w:val="OutlineNumbered1"/>
                              <w:numPr>
                                <w:ilvl w:val="0"/>
                                <w:numId w:val="42"/>
                              </w:numPr>
                              <w:spacing w:after="0"/>
                              <w:rPr>
                                <w:rFonts w:asciiTheme="minorHAnsi" w:hAnsiTheme="minorHAnsi"/>
                                <w:sz w:val="22"/>
                                <w:szCs w:val="22"/>
                              </w:rPr>
                            </w:pPr>
                            <w:r w:rsidRPr="006E248F">
                              <w:rPr>
                                <w:rFonts w:asciiTheme="minorHAnsi" w:hAnsiTheme="minorHAnsi"/>
                                <w:sz w:val="22"/>
                                <w:szCs w:val="22"/>
                              </w:rPr>
                              <w:t xml:space="preserve">The relationship between partners is one of equal partnership, in which the skills, attributes and strengths of each partner are valued by the other. </w:t>
                            </w:r>
                          </w:p>
                          <w:p w14:paraId="16F9A941" w14:textId="77777777" w:rsidR="004D3B28" w:rsidRPr="006E248F" w:rsidRDefault="004D3B28" w:rsidP="006E248F">
                            <w:pPr>
                              <w:pStyle w:val="OutlineNumbered1"/>
                              <w:numPr>
                                <w:ilvl w:val="0"/>
                                <w:numId w:val="42"/>
                              </w:numPr>
                              <w:spacing w:after="0"/>
                              <w:rPr>
                                <w:rFonts w:asciiTheme="minorHAnsi" w:hAnsiTheme="minorHAnsi"/>
                                <w:sz w:val="22"/>
                                <w:szCs w:val="22"/>
                              </w:rPr>
                            </w:pPr>
                            <w:r w:rsidRPr="006E248F">
                              <w:rPr>
                                <w:rFonts w:asciiTheme="minorHAnsi" w:hAnsiTheme="minorHAnsi"/>
                                <w:sz w:val="22"/>
                                <w:szCs w:val="22"/>
                              </w:rPr>
                              <w:t>The partnership is underpinned by mutual respect, professionalism, honesty, cooperation, the sharing of ideas and open, two</w:t>
                            </w:r>
                            <w:r w:rsidRPr="006E248F">
                              <w:rPr>
                                <w:rFonts w:asciiTheme="minorHAnsi" w:hAnsiTheme="minorHAnsi"/>
                                <w:sz w:val="22"/>
                                <w:szCs w:val="22"/>
                              </w:rPr>
                              <w:noBreakHyphen/>
                              <w:t>way communication at all levels.</w:t>
                            </w:r>
                          </w:p>
                          <w:p w14:paraId="02DEE1B5" w14:textId="1F89FCB0" w:rsidR="004D3B28" w:rsidRPr="006E248F" w:rsidRDefault="004D3B28" w:rsidP="006E248F">
                            <w:pPr>
                              <w:pStyle w:val="OutlineNumbered1"/>
                              <w:numPr>
                                <w:ilvl w:val="0"/>
                                <w:numId w:val="42"/>
                              </w:numPr>
                              <w:spacing w:after="0"/>
                              <w:rPr>
                                <w:rFonts w:asciiTheme="minorHAnsi" w:hAnsiTheme="minorHAnsi"/>
                                <w:sz w:val="22"/>
                                <w:szCs w:val="22"/>
                              </w:rPr>
                            </w:pPr>
                            <w:r w:rsidRPr="006E248F">
                              <w:rPr>
                                <w:rFonts w:asciiTheme="minorHAnsi" w:hAnsiTheme="minorHAnsi"/>
                                <w:sz w:val="22"/>
                                <w:szCs w:val="22"/>
                              </w:rPr>
                              <w:t>Recognition that the roles and functions of partners are guided by their respective responsibilities</w:t>
                            </w:r>
                            <w:r>
                              <w:rPr>
                                <w:rFonts w:asciiTheme="minorHAnsi" w:hAnsiTheme="minorHAnsi"/>
                                <w:sz w:val="22"/>
                                <w:szCs w:val="22"/>
                              </w:rPr>
                              <w:t xml:space="preserve"> to Government</w:t>
                            </w:r>
                            <w:r w:rsidRPr="006E248F">
                              <w:rPr>
                                <w:rFonts w:asciiTheme="minorHAnsi" w:hAnsiTheme="minorHAnsi"/>
                                <w:sz w:val="22"/>
                                <w:szCs w:val="22"/>
                              </w:rPr>
                              <w:t>.</w:t>
                            </w:r>
                          </w:p>
                          <w:p w14:paraId="3B858DFB" w14:textId="054710F6" w:rsidR="004D3B28" w:rsidRPr="006E248F" w:rsidRDefault="004D3B28" w:rsidP="006E248F">
                            <w:pPr>
                              <w:pStyle w:val="OutlineNumbered1"/>
                              <w:numPr>
                                <w:ilvl w:val="0"/>
                                <w:numId w:val="42"/>
                              </w:numPr>
                              <w:spacing w:after="0"/>
                              <w:rPr>
                                <w:rFonts w:asciiTheme="minorHAnsi" w:hAnsiTheme="minorHAnsi"/>
                                <w:sz w:val="22"/>
                                <w:szCs w:val="22"/>
                              </w:rPr>
                            </w:pPr>
                            <w:r w:rsidRPr="006E248F">
                              <w:rPr>
                                <w:rFonts w:asciiTheme="minorHAnsi" w:hAnsiTheme="minorHAnsi"/>
                                <w:sz w:val="22"/>
                                <w:szCs w:val="22"/>
                              </w:rPr>
                              <w:t xml:space="preserve">A commitment to liaison and early and on-going consultation and cooperation in relation to policies and programs in which they have shared interests, underpinned by a desire to </w:t>
                            </w:r>
                            <w:r w:rsidRPr="006E248F">
                              <w:rPr>
                                <w:rFonts w:asciiTheme="minorHAnsi" w:hAnsiTheme="minorHAnsi"/>
                                <w:color w:val="000000"/>
                                <w:sz w:val="22"/>
                                <w:szCs w:val="22"/>
                                <w:lang w:val="en-US" w:eastAsia="en-US"/>
                              </w:rPr>
                              <w:t>optimise</w:t>
                            </w:r>
                            <w:r w:rsidRPr="006E248F">
                              <w:rPr>
                                <w:rFonts w:asciiTheme="minorHAnsi" w:hAnsiTheme="minorHAnsi"/>
                                <w:sz w:val="22"/>
                                <w:szCs w:val="22"/>
                              </w:rPr>
                              <w:t xml:space="preserve"> the impact of Australian assistance.  </w:t>
                            </w:r>
                          </w:p>
                          <w:p w14:paraId="0DA4BCFE" w14:textId="3C4BCE4B" w:rsidR="004D3B28" w:rsidRPr="006E248F" w:rsidRDefault="004D3B28" w:rsidP="006E248F">
                            <w:pPr>
                              <w:pStyle w:val="OutlineNumbered1"/>
                              <w:numPr>
                                <w:ilvl w:val="0"/>
                                <w:numId w:val="42"/>
                              </w:numPr>
                              <w:spacing w:after="0"/>
                              <w:rPr>
                                <w:rFonts w:asciiTheme="minorHAnsi" w:hAnsiTheme="minorHAnsi"/>
                                <w:sz w:val="22"/>
                                <w:szCs w:val="22"/>
                              </w:rPr>
                            </w:pPr>
                            <w:r w:rsidRPr="006E248F">
                              <w:rPr>
                                <w:rFonts w:asciiTheme="minorHAnsi" w:hAnsiTheme="minorHAnsi"/>
                                <w:sz w:val="22"/>
                                <w:szCs w:val="22"/>
                              </w:rPr>
                              <w:t>The partners will engage on performance issues, accountability and risk management by drawing the other’s attention to matters likely to impact on their respective policies or program delivery.</w:t>
                            </w:r>
                          </w:p>
                          <w:p w14:paraId="03F3087C" w14:textId="60EA4AA7" w:rsidR="004D3B28" w:rsidRPr="006E248F" w:rsidRDefault="004D3B28" w:rsidP="006E248F">
                            <w:pPr>
                              <w:pStyle w:val="OutlineNumbered1"/>
                              <w:numPr>
                                <w:ilvl w:val="0"/>
                                <w:numId w:val="42"/>
                              </w:numPr>
                              <w:spacing w:after="0"/>
                              <w:rPr>
                                <w:rFonts w:asciiTheme="minorHAnsi" w:hAnsiTheme="minorHAnsi"/>
                                <w:sz w:val="22"/>
                                <w:szCs w:val="22"/>
                              </w:rPr>
                            </w:pPr>
                            <w:r w:rsidRPr="006E248F">
                              <w:rPr>
                                <w:rFonts w:asciiTheme="minorHAnsi" w:hAnsiTheme="minorHAnsi"/>
                                <w:sz w:val="22"/>
                                <w:szCs w:val="22"/>
                              </w:rPr>
                              <w:t>The partners will assist the other with building their capacity in specified and agreed areas of mutual interest.</w:t>
                            </w:r>
                          </w:p>
                          <w:p w14:paraId="646F49B7" w14:textId="77777777" w:rsidR="004D3B28" w:rsidRPr="00F2676F" w:rsidRDefault="004D3B28" w:rsidP="006E248F">
                            <w:pPr>
                              <w:pStyle w:val="OutlineNumbered1"/>
                              <w:numPr>
                                <w:ilvl w:val="0"/>
                                <w:numId w:val="0"/>
                              </w:numPr>
                              <w:spacing w:after="0"/>
                              <w:ind w:left="567" w:hanging="567"/>
                              <w:rPr>
                                <w:rFonts w:asciiTheme="minorHAnsi" w:hAnsiTheme="minorHAnsi"/>
                                <w:sz w:val="22"/>
                                <w:szCs w:val="22"/>
                              </w:rPr>
                            </w:pPr>
                          </w:p>
                          <w:p w14:paraId="1C6BE64C" w14:textId="29F682F1" w:rsidR="004D3B28" w:rsidRPr="006E248F" w:rsidRDefault="004D3B28" w:rsidP="006E248F">
                            <w:pPr>
                              <w:pStyle w:val="OutlineNumbered1"/>
                              <w:numPr>
                                <w:ilvl w:val="0"/>
                                <w:numId w:val="0"/>
                              </w:numPr>
                              <w:spacing w:after="0"/>
                              <w:ind w:left="567" w:hanging="567"/>
                              <w:jc w:val="both"/>
                              <w:rPr>
                                <w:rFonts w:asciiTheme="minorHAnsi" w:hAnsiTheme="minorHAnsi"/>
                                <w:b/>
                                <w:sz w:val="22"/>
                                <w:szCs w:val="22"/>
                              </w:rPr>
                            </w:pPr>
                            <w:r w:rsidRPr="006E248F">
                              <w:rPr>
                                <w:rFonts w:asciiTheme="minorHAnsi" w:hAnsiTheme="minorHAnsi"/>
                                <w:b/>
                                <w:sz w:val="22"/>
                                <w:szCs w:val="22"/>
                              </w:rPr>
                              <w:t>B: International Example: Principles of Partnership (2007) developed by the Global Humanitarian Platform as the basis for benchmarking</w:t>
                            </w:r>
                          </w:p>
                          <w:p w14:paraId="242C8041" w14:textId="77777777" w:rsidR="004D3B28" w:rsidRPr="00F2676F" w:rsidRDefault="004D3B28" w:rsidP="006E248F">
                            <w:pPr>
                              <w:pStyle w:val="OutlineNumbered1"/>
                              <w:numPr>
                                <w:ilvl w:val="0"/>
                                <w:numId w:val="0"/>
                              </w:numPr>
                              <w:spacing w:after="0"/>
                              <w:ind w:left="567" w:hanging="567"/>
                              <w:rPr>
                                <w:rFonts w:asciiTheme="minorHAnsi" w:hAnsiTheme="minorHAnsi"/>
                                <w:sz w:val="22"/>
                                <w:szCs w:val="22"/>
                              </w:rPr>
                            </w:pPr>
                          </w:p>
                          <w:p w14:paraId="6139376C" w14:textId="77777777" w:rsidR="004D3B28" w:rsidRDefault="004D3B28" w:rsidP="005C13E5">
                            <w:r w:rsidRPr="004A7C19">
                              <w:rPr>
                                <w:b/>
                              </w:rPr>
                              <w:t>Responsibility</w:t>
                            </w:r>
                            <w:r>
                              <w:t>:</w:t>
                            </w:r>
                            <w:r w:rsidRPr="004A7C19">
                              <w:t xml:space="preserve"> Humanitarian organizations have an ethical obligation to each other to accomplish their tasks responsibly, with integrity and in a relevant and appropriate way. They must make sure they commit to activities only when they have the means, competencies, skills, and capacity to deliver on their commitments. Decisive and robust prevention of abuses committed by humanitarians must also be a constant effort.</w:t>
                            </w:r>
                          </w:p>
                          <w:p w14:paraId="6B1019CD" w14:textId="77777777" w:rsidR="004D3B28" w:rsidRDefault="004D3B28" w:rsidP="005C13E5">
                            <w:r w:rsidRPr="004A7C19">
                              <w:rPr>
                                <w:b/>
                              </w:rPr>
                              <w:t xml:space="preserve">Complementarity: </w:t>
                            </w:r>
                            <w:r w:rsidRPr="004A7C19">
                              <w:t>The diversity of the humanitarian community is an asset if we build on our comparative advantages and complement each other’s contributions. Local capacity is one of the main assets to enhance and on which to build. Whenever possible, humanitarian organizations should strive to make it an integral part in emergency response. Language and cultural barriers must be overcome.</w:t>
                            </w:r>
                          </w:p>
                          <w:p w14:paraId="63BAB911" w14:textId="77777777" w:rsidR="004D3B28" w:rsidRDefault="004D3B28" w:rsidP="005C13E5">
                            <w:r w:rsidRPr="004A7C19">
                              <w:rPr>
                                <w:b/>
                              </w:rPr>
                              <w:t>Equality</w:t>
                            </w:r>
                            <w:r>
                              <w:t>: M</w:t>
                            </w:r>
                            <w:r w:rsidRPr="004A7C19">
                              <w:t>utual respect between members of the partnership irrespective of size and power. The participants must respect each other's mandates, obligations and independence and recognize each other's constraints and commitments. Mutual respect must not preclude organizations from engaging in constructive dissent.</w:t>
                            </w:r>
                          </w:p>
                          <w:p w14:paraId="0D5ABB16" w14:textId="77777777" w:rsidR="004D3B28" w:rsidRDefault="004D3B28" w:rsidP="005C13E5">
                            <w:r w:rsidRPr="004A7C19">
                              <w:rPr>
                                <w:b/>
                              </w:rPr>
                              <w:t>Transparency</w:t>
                            </w:r>
                            <w:r>
                              <w:t>: A</w:t>
                            </w:r>
                            <w:r w:rsidRPr="004A7C19">
                              <w:t>chieved through dialogue (on equal footing), with an emphasis on early consultations and early sharing of information. Communications and transparency, including financial transparency, increase the level of trust among</w:t>
                            </w:r>
                            <w:r>
                              <w:t xml:space="preserve"> orgainsations.</w:t>
                            </w:r>
                          </w:p>
                          <w:p w14:paraId="6CC802C5" w14:textId="77777777" w:rsidR="004D3B28" w:rsidRDefault="004D3B28" w:rsidP="005C13E5">
                            <w:r w:rsidRPr="004A7C19">
                              <w:rPr>
                                <w:b/>
                              </w:rPr>
                              <w:t>Result-oriented approach</w:t>
                            </w:r>
                            <w:r>
                              <w:t>:</w:t>
                            </w:r>
                            <w:r w:rsidRPr="004A7C19">
                              <w:t xml:space="preserve"> Effective humanitarian action must be reality-based and action-oriented. This requires result-oriented coordination based on effective capabilities and concrete operational capacities.  </w:t>
                            </w:r>
                          </w:p>
                          <w:p w14:paraId="07A26AC7" w14:textId="7DE829F7" w:rsidR="004D3B28" w:rsidRPr="00F2676F" w:rsidRDefault="004D3B28">
                            <w:pPr>
                              <w:rPr>
                                <w:b/>
                                <w:i/>
                              </w:rPr>
                            </w:pPr>
                            <w:r w:rsidRPr="00F2676F">
                              <w:rPr>
                                <w:b/>
                                <w:i/>
                              </w:rPr>
                              <w:t xml:space="preserve">Source: </w:t>
                            </w:r>
                            <w:hyperlink r:id="rId14" w:history="1">
                              <w:r w:rsidRPr="00F2676F">
                                <w:rPr>
                                  <w:b/>
                                  <w:i/>
                                  <w:color w:val="0000FF"/>
                                  <w:u w:val="single"/>
                                </w:rPr>
                                <w:t>http://foodsecuritycluster.net/document/global-humanitarian-platform-principles-partnership-2007</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7.5pt;margin-top:4.65pt;width:439.5pt;height:69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">
                <v:textbox>
                  <w:txbxContent>
                    <w:p w14:paraId="732D949E" w14:textId="4B10DF6A" w:rsidR="004D3B28" w:rsidRDefault="004D3B28" w:rsidP="000E3513">
                      <w:pPr>
                        <w:pStyle w:val="OutlineNumbered1"/>
                        <w:numPr>
                          <w:ilvl w:val="0"/>
                          <w:numId w:val="0"/>
                        </w:numPr>
                        <w:rPr>
                          <w:rFonts w:asciiTheme="minorHAnsi" w:hAnsiTheme="minorHAnsi"/>
                          <w:b/>
                        </w:rPr>
                      </w:pPr>
                      <w:r w:rsidRPr="00F570EA">
                        <w:rPr>
                          <w:rFonts w:asciiTheme="minorHAnsi" w:hAnsiTheme="minorHAnsi"/>
                          <w:b/>
                        </w:rPr>
                        <w:t>BOX</w:t>
                      </w:r>
                      <w:r>
                        <w:rPr>
                          <w:rFonts w:asciiTheme="minorHAnsi" w:hAnsiTheme="minorHAnsi"/>
                          <w:b/>
                        </w:rPr>
                        <w:t xml:space="preserve"> 5</w:t>
                      </w:r>
                      <w:r w:rsidRPr="00F570EA">
                        <w:rPr>
                          <w:rFonts w:asciiTheme="minorHAnsi" w:hAnsiTheme="minorHAnsi"/>
                          <w:b/>
                        </w:rPr>
                        <w:t xml:space="preserve">: </w:t>
                      </w:r>
                      <w:r>
                        <w:rPr>
                          <w:rFonts w:asciiTheme="minorHAnsi" w:hAnsiTheme="minorHAnsi"/>
                          <w:b/>
                        </w:rPr>
                        <w:t xml:space="preserve">Examples of Partnership Principles </w:t>
                      </w:r>
                    </w:p>
                    <w:p w14:paraId="20DAF546" w14:textId="3D42B3DC" w:rsidR="004D3B28" w:rsidRDefault="004D3B28" w:rsidP="006E248F">
                      <w:pPr>
                        <w:pStyle w:val="OutlineNumbered1"/>
                        <w:numPr>
                          <w:ilvl w:val="0"/>
                          <w:numId w:val="0"/>
                        </w:numPr>
                        <w:spacing w:after="0"/>
                        <w:ind w:left="567" w:hanging="567"/>
                        <w:rPr>
                          <w:rFonts w:asciiTheme="minorHAnsi" w:hAnsiTheme="minorHAnsi"/>
                          <w:b/>
                          <w:sz w:val="22"/>
                          <w:szCs w:val="22"/>
                        </w:rPr>
                      </w:pPr>
                      <w:r>
                        <w:rPr>
                          <w:rFonts w:asciiTheme="minorHAnsi" w:hAnsiTheme="minorHAnsi"/>
                          <w:b/>
                          <w:sz w:val="22"/>
                          <w:szCs w:val="22"/>
                        </w:rPr>
                        <w:t xml:space="preserve">A: </w:t>
                      </w:r>
                      <w:r w:rsidRPr="006E248F">
                        <w:rPr>
                          <w:rFonts w:asciiTheme="minorHAnsi" w:hAnsiTheme="minorHAnsi"/>
                          <w:b/>
                          <w:sz w:val="22"/>
                          <w:szCs w:val="22"/>
                        </w:rPr>
                        <w:t xml:space="preserve">Domestic Example: </w:t>
                      </w:r>
                      <w:r>
                        <w:rPr>
                          <w:rFonts w:asciiTheme="minorHAnsi" w:hAnsiTheme="minorHAnsi"/>
                          <w:b/>
                          <w:sz w:val="22"/>
                          <w:szCs w:val="22"/>
                        </w:rPr>
                        <w:t>(</w:t>
                      </w:r>
                      <w:r w:rsidRPr="006E248F">
                        <w:rPr>
                          <w:rFonts w:asciiTheme="minorHAnsi" w:hAnsiTheme="minorHAnsi"/>
                          <w:b/>
                          <w:sz w:val="22"/>
                          <w:szCs w:val="22"/>
                        </w:rPr>
                        <w:t>Former</w:t>
                      </w:r>
                      <w:r>
                        <w:rPr>
                          <w:rFonts w:asciiTheme="minorHAnsi" w:hAnsiTheme="minorHAnsi"/>
                          <w:b/>
                          <w:sz w:val="22"/>
                          <w:szCs w:val="22"/>
                        </w:rPr>
                        <w:t>)</w:t>
                      </w:r>
                      <w:r w:rsidRPr="006E248F">
                        <w:rPr>
                          <w:rFonts w:asciiTheme="minorHAnsi" w:hAnsiTheme="minorHAnsi"/>
                          <w:b/>
                          <w:sz w:val="22"/>
                          <w:szCs w:val="22"/>
                        </w:rPr>
                        <w:t xml:space="preserve"> AusAID-Defence Strategic Partnership Principles </w:t>
                      </w:r>
                      <w:r>
                        <w:rPr>
                          <w:rFonts w:asciiTheme="minorHAnsi" w:hAnsiTheme="minorHAnsi"/>
                          <w:b/>
                          <w:sz w:val="22"/>
                          <w:szCs w:val="22"/>
                        </w:rPr>
                        <w:t>(2009)</w:t>
                      </w:r>
                    </w:p>
                    <w:p w14:paraId="1C9EC1E1" w14:textId="77777777" w:rsidR="004D3B28" w:rsidRPr="006E248F" w:rsidRDefault="004D3B28" w:rsidP="006E248F">
                      <w:pPr>
                        <w:pStyle w:val="OutlineNumbered1"/>
                        <w:numPr>
                          <w:ilvl w:val="0"/>
                          <w:numId w:val="0"/>
                        </w:numPr>
                        <w:spacing w:after="0"/>
                        <w:ind w:left="567" w:hanging="567"/>
                        <w:rPr>
                          <w:rFonts w:asciiTheme="minorHAnsi" w:hAnsiTheme="minorHAnsi"/>
                          <w:b/>
                          <w:sz w:val="22"/>
                          <w:szCs w:val="22"/>
                        </w:rPr>
                      </w:pPr>
                    </w:p>
                    <w:p w14:paraId="0B00368E" w14:textId="52770FAC" w:rsidR="004D3B28" w:rsidRPr="006E248F" w:rsidRDefault="004D3B28" w:rsidP="006E248F">
                      <w:pPr>
                        <w:pStyle w:val="OutlineNumbered1"/>
                        <w:numPr>
                          <w:ilvl w:val="0"/>
                          <w:numId w:val="42"/>
                        </w:numPr>
                        <w:spacing w:after="0"/>
                        <w:rPr>
                          <w:rFonts w:asciiTheme="minorHAnsi" w:hAnsiTheme="minorHAnsi"/>
                          <w:sz w:val="22"/>
                          <w:szCs w:val="22"/>
                        </w:rPr>
                      </w:pPr>
                      <w:r w:rsidRPr="006E248F">
                        <w:rPr>
                          <w:rFonts w:asciiTheme="minorHAnsi" w:hAnsiTheme="minorHAnsi"/>
                          <w:sz w:val="22"/>
                          <w:szCs w:val="22"/>
                        </w:rPr>
                        <w:t xml:space="preserve">Recognition </w:t>
                      </w:r>
                      <w:r>
                        <w:rPr>
                          <w:rFonts w:asciiTheme="minorHAnsi" w:hAnsiTheme="minorHAnsi"/>
                          <w:sz w:val="22"/>
                          <w:szCs w:val="22"/>
                        </w:rPr>
                        <w:t xml:space="preserve">of </w:t>
                      </w:r>
                      <w:r w:rsidRPr="006E248F">
                        <w:rPr>
                          <w:rFonts w:asciiTheme="minorHAnsi" w:hAnsiTheme="minorHAnsi"/>
                          <w:sz w:val="22"/>
                          <w:szCs w:val="22"/>
                        </w:rPr>
                        <w:t>the optimisation of program effectiveness can be enhanced through the identification of and commitment to shared strategic goals.</w:t>
                      </w:r>
                    </w:p>
                    <w:p w14:paraId="22399AF0" w14:textId="49D36F3F" w:rsidR="004D3B28" w:rsidRPr="006E248F" w:rsidRDefault="004D3B28" w:rsidP="006E248F">
                      <w:pPr>
                        <w:pStyle w:val="OutlineNumbered1"/>
                        <w:numPr>
                          <w:ilvl w:val="0"/>
                          <w:numId w:val="42"/>
                        </w:numPr>
                        <w:spacing w:after="0"/>
                        <w:rPr>
                          <w:rFonts w:asciiTheme="minorHAnsi" w:hAnsiTheme="minorHAnsi"/>
                          <w:sz w:val="22"/>
                          <w:szCs w:val="22"/>
                        </w:rPr>
                      </w:pPr>
                      <w:r w:rsidRPr="006E248F">
                        <w:rPr>
                          <w:rFonts w:asciiTheme="minorHAnsi" w:hAnsiTheme="minorHAnsi"/>
                          <w:sz w:val="22"/>
                          <w:szCs w:val="22"/>
                        </w:rPr>
                        <w:t xml:space="preserve">The relationship between partners is one of equal partnership, in which the skills, attributes and strengths of each partner are valued by the other. </w:t>
                      </w:r>
                    </w:p>
                    <w:p w14:paraId="16F9A941" w14:textId="77777777" w:rsidR="004D3B28" w:rsidRPr="006E248F" w:rsidRDefault="004D3B28" w:rsidP="006E248F">
                      <w:pPr>
                        <w:pStyle w:val="OutlineNumbered1"/>
                        <w:numPr>
                          <w:ilvl w:val="0"/>
                          <w:numId w:val="42"/>
                        </w:numPr>
                        <w:spacing w:after="0"/>
                        <w:rPr>
                          <w:rFonts w:asciiTheme="minorHAnsi" w:hAnsiTheme="minorHAnsi"/>
                          <w:sz w:val="22"/>
                          <w:szCs w:val="22"/>
                        </w:rPr>
                      </w:pPr>
                      <w:r w:rsidRPr="006E248F">
                        <w:rPr>
                          <w:rFonts w:asciiTheme="minorHAnsi" w:hAnsiTheme="minorHAnsi"/>
                          <w:sz w:val="22"/>
                          <w:szCs w:val="22"/>
                        </w:rPr>
                        <w:t>The partnership is underpinned by mutual respect, professionalism, honesty, cooperation, the sharing of ideas and open, two</w:t>
                      </w:r>
                      <w:r w:rsidRPr="006E248F">
                        <w:rPr>
                          <w:rFonts w:asciiTheme="minorHAnsi" w:hAnsiTheme="minorHAnsi"/>
                          <w:sz w:val="22"/>
                          <w:szCs w:val="22"/>
                        </w:rPr>
                        <w:noBreakHyphen/>
                        <w:t>way communication at all levels.</w:t>
                      </w:r>
                    </w:p>
                    <w:p w14:paraId="02DEE1B5" w14:textId="1F89FCB0" w:rsidR="004D3B28" w:rsidRPr="006E248F" w:rsidRDefault="004D3B28" w:rsidP="006E248F">
                      <w:pPr>
                        <w:pStyle w:val="OutlineNumbered1"/>
                        <w:numPr>
                          <w:ilvl w:val="0"/>
                          <w:numId w:val="42"/>
                        </w:numPr>
                        <w:spacing w:after="0"/>
                        <w:rPr>
                          <w:rFonts w:asciiTheme="minorHAnsi" w:hAnsiTheme="minorHAnsi"/>
                          <w:sz w:val="22"/>
                          <w:szCs w:val="22"/>
                        </w:rPr>
                      </w:pPr>
                      <w:r w:rsidRPr="006E248F">
                        <w:rPr>
                          <w:rFonts w:asciiTheme="minorHAnsi" w:hAnsiTheme="minorHAnsi"/>
                          <w:sz w:val="22"/>
                          <w:szCs w:val="22"/>
                        </w:rPr>
                        <w:t>Recognition that the roles and functions of partners are guided by their respective responsibilities</w:t>
                      </w:r>
                      <w:r>
                        <w:rPr>
                          <w:rFonts w:asciiTheme="minorHAnsi" w:hAnsiTheme="minorHAnsi"/>
                          <w:sz w:val="22"/>
                          <w:szCs w:val="22"/>
                        </w:rPr>
                        <w:t xml:space="preserve"> to Government</w:t>
                      </w:r>
                      <w:r w:rsidRPr="006E248F">
                        <w:rPr>
                          <w:rFonts w:asciiTheme="minorHAnsi" w:hAnsiTheme="minorHAnsi"/>
                          <w:sz w:val="22"/>
                          <w:szCs w:val="22"/>
                        </w:rPr>
                        <w:t>.</w:t>
                      </w:r>
                    </w:p>
                    <w:p w14:paraId="3B858DFB" w14:textId="054710F6" w:rsidR="004D3B28" w:rsidRPr="006E248F" w:rsidRDefault="004D3B28" w:rsidP="006E248F">
                      <w:pPr>
                        <w:pStyle w:val="OutlineNumbered1"/>
                        <w:numPr>
                          <w:ilvl w:val="0"/>
                          <w:numId w:val="42"/>
                        </w:numPr>
                        <w:spacing w:after="0"/>
                        <w:rPr>
                          <w:rFonts w:asciiTheme="minorHAnsi" w:hAnsiTheme="minorHAnsi"/>
                          <w:sz w:val="22"/>
                          <w:szCs w:val="22"/>
                        </w:rPr>
                      </w:pPr>
                      <w:r w:rsidRPr="006E248F">
                        <w:rPr>
                          <w:rFonts w:asciiTheme="minorHAnsi" w:hAnsiTheme="minorHAnsi"/>
                          <w:sz w:val="22"/>
                          <w:szCs w:val="22"/>
                        </w:rPr>
                        <w:t xml:space="preserve">A commitment to liaison and early and on-going consultation and cooperation in relation to policies and programs in which they have shared interests, underpinned by a desire to </w:t>
                      </w:r>
                      <w:r w:rsidRPr="006E248F">
                        <w:rPr>
                          <w:rFonts w:asciiTheme="minorHAnsi" w:hAnsiTheme="minorHAnsi"/>
                          <w:color w:val="000000"/>
                          <w:sz w:val="22"/>
                          <w:szCs w:val="22"/>
                          <w:lang w:val="en-US" w:eastAsia="en-US"/>
                        </w:rPr>
                        <w:t>optimise</w:t>
                      </w:r>
                      <w:r w:rsidRPr="006E248F">
                        <w:rPr>
                          <w:rFonts w:asciiTheme="minorHAnsi" w:hAnsiTheme="minorHAnsi"/>
                          <w:sz w:val="22"/>
                          <w:szCs w:val="22"/>
                        </w:rPr>
                        <w:t xml:space="preserve"> the impact of Australian assistance.  </w:t>
                      </w:r>
                    </w:p>
                    <w:p w14:paraId="0DA4BCFE" w14:textId="3C4BCE4B" w:rsidR="004D3B28" w:rsidRPr="006E248F" w:rsidRDefault="004D3B28" w:rsidP="006E248F">
                      <w:pPr>
                        <w:pStyle w:val="OutlineNumbered1"/>
                        <w:numPr>
                          <w:ilvl w:val="0"/>
                          <w:numId w:val="42"/>
                        </w:numPr>
                        <w:spacing w:after="0"/>
                        <w:rPr>
                          <w:rFonts w:asciiTheme="minorHAnsi" w:hAnsiTheme="minorHAnsi"/>
                          <w:sz w:val="22"/>
                          <w:szCs w:val="22"/>
                        </w:rPr>
                      </w:pPr>
                      <w:r w:rsidRPr="006E248F">
                        <w:rPr>
                          <w:rFonts w:asciiTheme="minorHAnsi" w:hAnsiTheme="minorHAnsi"/>
                          <w:sz w:val="22"/>
                          <w:szCs w:val="22"/>
                        </w:rPr>
                        <w:t>The partners will engage on performance issues, accountability and risk management by drawing the other’s attention to matters likely to impact on their respective policies or program delivery.</w:t>
                      </w:r>
                    </w:p>
                    <w:p w14:paraId="03F3087C" w14:textId="60EA4AA7" w:rsidR="004D3B28" w:rsidRPr="006E248F" w:rsidRDefault="004D3B28" w:rsidP="006E248F">
                      <w:pPr>
                        <w:pStyle w:val="OutlineNumbered1"/>
                        <w:numPr>
                          <w:ilvl w:val="0"/>
                          <w:numId w:val="42"/>
                        </w:numPr>
                        <w:spacing w:after="0"/>
                        <w:rPr>
                          <w:rFonts w:asciiTheme="minorHAnsi" w:hAnsiTheme="minorHAnsi"/>
                          <w:sz w:val="22"/>
                          <w:szCs w:val="22"/>
                        </w:rPr>
                      </w:pPr>
                      <w:r w:rsidRPr="006E248F">
                        <w:rPr>
                          <w:rFonts w:asciiTheme="minorHAnsi" w:hAnsiTheme="minorHAnsi"/>
                          <w:sz w:val="22"/>
                          <w:szCs w:val="22"/>
                        </w:rPr>
                        <w:t>The partners will assist the other with building their capacity in specified and agreed areas of mutual interest.</w:t>
                      </w:r>
                    </w:p>
                    <w:p w14:paraId="646F49B7" w14:textId="77777777" w:rsidR="004D3B28" w:rsidRPr="00F2676F" w:rsidRDefault="004D3B28" w:rsidP="006E248F">
                      <w:pPr>
                        <w:pStyle w:val="OutlineNumbered1"/>
                        <w:numPr>
                          <w:ilvl w:val="0"/>
                          <w:numId w:val="0"/>
                        </w:numPr>
                        <w:spacing w:after="0"/>
                        <w:ind w:left="567" w:hanging="567"/>
                        <w:rPr>
                          <w:rFonts w:asciiTheme="minorHAnsi" w:hAnsiTheme="minorHAnsi"/>
                          <w:sz w:val="22"/>
                          <w:szCs w:val="22"/>
                        </w:rPr>
                      </w:pPr>
                    </w:p>
                    <w:p w14:paraId="1C6BE64C" w14:textId="29F682F1" w:rsidR="004D3B28" w:rsidRPr="006E248F" w:rsidRDefault="004D3B28" w:rsidP="006E248F">
                      <w:pPr>
                        <w:pStyle w:val="OutlineNumbered1"/>
                        <w:numPr>
                          <w:ilvl w:val="0"/>
                          <w:numId w:val="0"/>
                        </w:numPr>
                        <w:spacing w:after="0"/>
                        <w:ind w:left="567" w:hanging="567"/>
                        <w:jc w:val="both"/>
                        <w:rPr>
                          <w:rFonts w:asciiTheme="minorHAnsi" w:hAnsiTheme="minorHAnsi"/>
                          <w:b/>
                          <w:sz w:val="22"/>
                          <w:szCs w:val="22"/>
                        </w:rPr>
                      </w:pPr>
                      <w:r w:rsidRPr="006E248F">
                        <w:rPr>
                          <w:rFonts w:asciiTheme="minorHAnsi" w:hAnsiTheme="minorHAnsi"/>
                          <w:b/>
                          <w:sz w:val="22"/>
                          <w:szCs w:val="22"/>
                        </w:rPr>
                        <w:t>B: International Example: Principles of Partnership (2007) developed by the Global Humanitarian Platform as the basis for benchmarking</w:t>
                      </w:r>
                    </w:p>
                    <w:p w14:paraId="242C8041" w14:textId="77777777" w:rsidR="004D3B28" w:rsidRPr="00F2676F" w:rsidRDefault="004D3B28" w:rsidP="006E248F">
                      <w:pPr>
                        <w:pStyle w:val="OutlineNumbered1"/>
                        <w:numPr>
                          <w:ilvl w:val="0"/>
                          <w:numId w:val="0"/>
                        </w:numPr>
                        <w:spacing w:after="0"/>
                        <w:ind w:left="567" w:hanging="567"/>
                        <w:rPr>
                          <w:rFonts w:asciiTheme="minorHAnsi" w:hAnsiTheme="minorHAnsi"/>
                          <w:sz w:val="22"/>
                          <w:szCs w:val="22"/>
                        </w:rPr>
                      </w:pPr>
                    </w:p>
                    <w:p w14:paraId="6139376C" w14:textId="77777777" w:rsidR="004D3B28" w:rsidRDefault="004D3B28" w:rsidP="005C13E5">
                      <w:r w:rsidRPr="004A7C19">
                        <w:rPr>
                          <w:b/>
                        </w:rPr>
                        <w:t>Responsibility</w:t>
                      </w:r>
                      <w:r>
                        <w:t>:</w:t>
                      </w:r>
                      <w:r w:rsidRPr="004A7C19">
                        <w:t xml:space="preserve"> Humanitarian organizations have an ethical obligation to each other to accomplish their tasks responsibly, with integrity and in a relevant and appropriate way. They must make sure they commit to activities only when they have the means, competencies, skills, and capacity to deliver on their commitments. Decisive and robust prevention of abuses committed by humanitarians must also be a constant effort.</w:t>
                      </w:r>
                    </w:p>
                    <w:p w14:paraId="6B1019CD" w14:textId="77777777" w:rsidR="004D3B28" w:rsidRDefault="004D3B28" w:rsidP="005C13E5">
                      <w:r w:rsidRPr="004A7C19">
                        <w:rPr>
                          <w:b/>
                        </w:rPr>
                        <w:t xml:space="preserve">Complementarity: </w:t>
                      </w:r>
                      <w:r w:rsidRPr="004A7C19">
                        <w:t>The diversity of the humanitarian community is an asset if we build on our comparative advantages and complement each other’s contributions. Local capacity is one of the main assets to enhance and on which to build. Whenever possible, humanitarian organizations should strive to make it an integral part in emergency response. Language and cultural barriers must be overcome.</w:t>
                      </w:r>
                    </w:p>
                    <w:p w14:paraId="63BAB911" w14:textId="77777777" w:rsidR="004D3B28" w:rsidRDefault="004D3B28" w:rsidP="005C13E5">
                      <w:r w:rsidRPr="004A7C19">
                        <w:rPr>
                          <w:b/>
                        </w:rPr>
                        <w:t>Equality</w:t>
                      </w:r>
                      <w:r>
                        <w:t>: M</w:t>
                      </w:r>
                      <w:r w:rsidRPr="004A7C19">
                        <w:t>utual respect between members of the partnership irrespective of size and power. The participants must respect each other's mandates, obligations and independence and recognize each other's constraints and commitments. Mutual respect must not preclude organizations from engaging in constructive dissent.</w:t>
                      </w:r>
                    </w:p>
                    <w:p w14:paraId="0D5ABB16" w14:textId="77777777" w:rsidR="004D3B28" w:rsidRDefault="004D3B28" w:rsidP="005C13E5">
                      <w:r w:rsidRPr="004A7C19">
                        <w:rPr>
                          <w:b/>
                        </w:rPr>
                        <w:t>Transparency</w:t>
                      </w:r>
                      <w:r>
                        <w:t>: A</w:t>
                      </w:r>
                      <w:r w:rsidRPr="004A7C19">
                        <w:t>chieved through dialogue (on equal footing), with an emphasis on early consultations and early sharing of information. Communications and transparency, including financial transparency, increase the level of trust among</w:t>
                      </w:r>
                      <w:r>
                        <w:t xml:space="preserve"> orgainsations.</w:t>
                      </w:r>
                    </w:p>
                    <w:p w14:paraId="6CC802C5" w14:textId="77777777" w:rsidR="004D3B28" w:rsidRDefault="004D3B28" w:rsidP="005C13E5">
                      <w:r w:rsidRPr="004A7C19">
                        <w:rPr>
                          <w:b/>
                        </w:rPr>
                        <w:t>Result-oriented approach</w:t>
                      </w:r>
                      <w:r>
                        <w:t>:</w:t>
                      </w:r>
                      <w:r w:rsidRPr="004A7C19">
                        <w:t xml:space="preserve"> Effective humanitarian action must be reality-based and action-oriented. This requires result-oriented coordination based on effective capabilities and concrete operational capacities.  </w:t>
                      </w:r>
                    </w:p>
                    <w:p w14:paraId="07A26AC7" w14:textId="7DE829F7" w:rsidR="004D3B28" w:rsidRPr="00F2676F" w:rsidRDefault="004D3B28">
                      <w:pPr>
                        <w:rPr>
                          <w:b/>
                          <w:i/>
                        </w:rPr>
                      </w:pPr>
                      <w:r w:rsidRPr="00F2676F">
                        <w:rPr>
                          <w:b/>
                          <w:i/>
                        </w:rPr>
                        <w:t xml:space="preserve">Source: </w:t>
                      </w:r>
                      <w:hyperlink r:id="rId15" w:history="1">
                        <w:r w:rsidRPr="00F2676F">
                          <w:rPr>
                            <w:b/>
                            <w:i/>
                            <w:color w:val="0000FF"/>
                            <w:u w:val="single"/>
                          </w:rPr>
                          <w:t>http://foodsecuritycluster.net/document/global-humanitarian-platform-principles-partnership-2007</w:t>
                        </w:r>
                      </w:hyperlink>
                    </w:p>
                  </w:txbxContent>
                </v:textbox>
                <w10:wrap type="square"/>
              </v:shape>
            </w:pict>
          </mc:Fallback>
        </mc:AlternateContent>
      </w:r>
    </w:p>
    <w:p w14:paraId="32459007" w14:textId="0BE577D0" w:rsidR="003537B7" w:rsidRDefault="00852C50" w:rsidP="00852C50">
      <w:pPr>
        <w:rPr>
          <w:sz w:val="24"/>
          <w:szCs w:val="24"/>
        </w:rPr>
      </w:pPr>
      <w:r w:rsidRPr="00852C50">
        <w:rPr>
          <w:sz w:val="24"/>
          <w:szCs w:val="24"/>
        </w:rPr>
        <w:t xml:space="preserve">At a </w:t>
      </w:r>
      <w:r w:rsidR="001010BA">
        <w:rPr>
          <w:sz w:val="24"/>
          <w:szCs w:val="24"/>
        </w:rPr>
        <w:t>macro-</w:t>
      </w:r>
      <w:r w:rsidRPr="00852C50">
        <w:rPr>
          <w:sz w:val="24"/>
          <w:szCs w:val="24"/>
        </w:rPr>
        <w:t>level, AIFDR can be said to have delivered on Outcome 3 in terms of establishing a range of programmatically relevant relationships with entities that have a shared purpose</w:t>
      </w:r>
      <w:r w:rsidR="001010BA">
        <w:rPr>
          <w:sz w:val="24"/>
          <w:szCs w:val="24"/>
        </w:rPr>
        <w:t>.</w:t>
      </w:r>
      <w:r w:rsidRPr="00852C50">
        <w:rPr>
          <w:sz w:val="24"/>
          <w:szCs w:val="24"/>
        </w:rPr>
        <w:t xml:space="preserve"> </w:t>
      </w:r>
      <w:r w:rsidR="00F677F5">
        <w:rPr>
          <w:sz w:val="24"/>
          <w:szCs w:val="24"/>
        </w:rPr>
        <w:t>However, t</w:t>
      </w:r>
      <w:r w:rsidRPr="00852C50">
        <w:rPr>
          <w:sz w:val="24"/>
          <w:szCs w:val="24"/>
        </w:rPr>
        <w:t>he quality of the</w:t>
      </w:r>
      <w:r w:rsidR="001010BA">
        <w:rPr>
          <w:sz w:val="24"/>
          <w:szCs w:val="24"/>
        </w:rPr>
        <w:t xml:space="preserve"> suite of</w:t>
      </w:r>
      <w:r w:rsidRPr="00852C50">
        <w:rPr>
          <w:sz w:val="24"/>
          <w:szCs w:val="24"/>
        </w:rPr>
        <w:t xml:space="preserve"> partnerships </w:t>
      </w:r>
      <w:r w:rsidR="001010BA">
        <w:rPr>
          <w:sz w:val="24"/>
          <w:szCs w:val="24"/>
        </w:rPr>
        <w:t xml:space="preserve">as </w:t>
      </w:r>
      <w:r w:rsidR="00F677F5">
        <w:rPr>
          <w:sz w:val="24"/>
          <w:szCs w:val="24"/>
        </w:rPr>
        <w:t>the best available agencies to deliver the AIFDR outcomes</w:t>
      </w:r>
      <w:r w:rsidR="001010BA">
        <w:rPr>
          <w:sz w:val="24"/>
          <w:szCs w:val="24"/>
        </w:rPr>
        <w:t xml:space="preserve"> was less clear</w:t>
      </w:r>
      <w:r w:rsidRPr="00852C50">
        <w:rPr>
          <w:sz w:val="24"/>
          <w:szCs w:val="24"/>
        </w:rPr>
        <w:t xml:space="preserve">. </w:t>
      </w:r>
    </w:p>
    <w:p w14:paraId="52C101AB" w14:textId="0445AE9E" w:rsidR="0040126C" w:rsidRPr="0040126C" w:rsidRDefault="0040126C" w:rsidP="003651D3">
      <w:pPr>
        <w:rPr>
          <w:b/>
          <w:sz w:val="24"/>
          <w:szCs w:val="24"/>
        </w:rPr>
      </w:pPr>
      <w:r w:rsidRPr="0040126C">
        <w:rPr>
          <w:rFonts w:ascii="Calibri" w:eastAsia="Times New Roman" w:hAnsi="Calibri" w:cs="Segoe UI"/>
          <w:b/>
          <w:sz w:val="24"/>
          <w:szCs w:val="24"/>
          <w:lang w:val="en" w:eastAsia="en-AU"/>
        </w:rPr>
        <w:t>AIFDR’s Range of Partners</w:t>
      </w:r>
    </w:p>
    <w:p w14:paraId="5346D359" w14:textId="77777777" w:rsidR="0040126C" w:rsidRDefault="00A87868" w:rsidP="00A87868">
      <w:pPr>
        <w:rPr>
          <w:sz w:val="24"/>
          <w:szCs w:val="24"/>
        </w:rPr>
      </w:pPr>
      <w:r w:rsidRPr="00174C42">
        <w:rPr>
          <w:sz w:val="24"/>
          <w:szCs w:val="24"/>
        </w:rPr>
        <w:t>AIFDR</w:t>
      </w:r>
      <w:r>
        <w:rPr>
          <w:sz w:val="24"/>
          <w:szCs w:val="24"/>
        </w:rPr>
        <w:t>’s primary</w:t>
      </w:r>
      <w:r w:rsidRPr="00174C42">
        <w:rPr>
          <w:sz w:val="24"/>
          <w:szCs w:val="24"/>
        </w:rPr>
        <w:t xml:space="preserve"> partnership </w:t>
      </w:r>
      <w:r>
        <w:rPr>
          <w:sz w:val="24"/>
          <w:szCs w:val="24"/>
        </w:rPr>
        <w:t xml:space="preserve">was with </w:t>
      </w:r>
      <w:r w:rsidRPr="00174C42">
        <w:rPr>
          <w:sz w:val="24"/>
          <w:szCs w:val="24"/>
        </w:rPr>
        <w:t>BNPB</w:t>
      </w:r>
      <w:r>
        <w:rPr>
          <w:sz w:val="24"/>
          <w:szCs w:val="24"/>
        </w:rPr>
        <w:t xml:space="preserve"> (with political dimensions)</w:t>
      </w:r>
      <w:r w:rsidRPr="00174C42">
        <w:rPr>
          <w:sz w:val="24"/>
          <w:szCs w:val="24"/>
        </w:rPr>
        <w:t xml:space="preserve">, and secondary partnerships </w:t>
      </w:r>
      <w:r>
        <w:rPr>
          <w:sz w:val="24"/>
          <w:szCs w:val="24"/>
        </w:rPr>
        <w:t xml:space="preserve">were in place </w:t>
      </w:r>
      <w:r w:rsidRPr="00174C42">
        <w:rPr>
          <w:sz w:val="24"/>
          <w:szCs w:val="24"/>
        </w:rPr>
        <w:t xml:space="preserve">with a range of </w:t>
      </w:r>
      <w:r>
        <w:rPr>
          <w:sz w:val="24"/>
          <w:szCs w:val="24"/>
        </w:rPr>
        <w:t xml:space="preserve">government and non-government </w:t>
      </w:r>
      <w:r w:rsidRPr="00174C42">
        <w:rPr>
          <w:sz w:val="24"/>
          <w:szCs w:val="24"/>
        </w:rPr>
        <w:t>organisations including: Science Agencies (ITB; BMKG; Badan Geologi); international organisations (ASEAN; UNOCHA; IOM; A</w:t>
      </w:r>
      <w:r>
        <w:rPr>
          <w:sz w:val="24"/>
          <w:szCs w:val="24"/>
        </w:rPr>
        <w:t xml:space="preserve">RC-PMI; </w:t>
      </w:r>
      <w:r w:rsidRPr="00174C42">
        <w:rPr>
          <w:sz w:val="24"/>
          <w:szCs w:val="24"/>
        </w:rPr>
        <w:t>Oxfam; UNDP); and local NGO, CSO and faith-based organisations (LPNI-NU; DELSOS).</w:t>
      </w:r>
      <w:r w:rsidR="0040126C">
        <w:rPr>
          <w:sz w:val="24"/>
          <w:szCs w:val="24"/>
        </w:rPr>
        <w:t xml:space="preserve"> </w:t>
      </w:r>
    </w:p>
    <w:p w14:paraId="1B4E4DA4" w14:textId="5F26DF1D" w:rsidR="00A87868" w:rsidRDefault="00A87868" w:rsidP="00A87868">
      <w:pPr>
        <w:rPr>
          <w:sz w:val="24"/>
          <w:szCs w:val="24"/>
        </w:rPr>
      </w:pPr>
      <w:r w:rsidRPr="00174C42">
        <w:rPr>
          <w:sz w:val="24"/>
          <w:szCs w:val="24"/>
        </w:rPr>
        <w:t xml:space="preserve">It is not clear to the </w:t>
      </w:r>
      <w:r>
        <w:rPr>
          <w:sz w:val="24"/>
          <w:szCs w:val="24"/>
        </w:rPr>
        <w:t>review</w:t>
      </w:r>
      <w:r w:rsidRPr="00174C42">
        <w:rPr>
          <w:sz w:val="24"/>
          <w:szCs w:val="24"/>
        </w:rPr>
        <w:t xml:space="preserve"> team how actively AIFDR sought partnerships or whether the facility primarily responded to partnership opportunities as there is no obvious partnership strategy. Initially the evidence suggests AIFDR tapped into existing AusAID and GA partnerships so as to commence programming quickly</w:t>
      </w:r>
      <w:r>
        <w:rPr>
          <w:sz w:val="24"/>
          <w:szCs w:val="24"/>
        </w:rPr>
        <w:t xml:space="preserve">, and over time a more strategic approach to selecting partners took root. </w:t>
      </w:r>
    </w:p>
    <w:p w14:paraId="551204EE" w14:textId="77777777" w:rsidR="00020140" w:rsidRPr="00020140" w:rsidRDefault="00020140" w:rsidP="006E369F">
      <w:pPr>
        <w:rPr>
          <w:b/>
          <w:sz w:val="24"/>
          <w:szCs w:val="24"/>
        </w:rPr>
      </w:pPr>
      <w:r w:rsidRPr="00020140">
        <w:rPr>
          <w:b/>
          <w:sz w:val="24"/>
          <w:szCs w:val="24"/>
        </w:rPr>
        <w:t>AIFDR-BNBP Partnership</w:t>
      </w:r>
    </w:p>
    <w:p w14:paraId="74C1CE0C" w14:textId="69D9E65C" w:rsidR="00061D44" w:rsidRDefault="00966E81" w:rsidP="006E369F">
      <w:pPr>
        <w:rPr>
          <w:sz w:val="24"/>
          <w:szCs w:val="24"/>
        </w:rPr>
      </w:pPr>
      <w:r w:rsidRPr="00951FC5">
        <w:rPr>
          <w:sz w:val="24"/>
          <w:szCs w:val="24"/>
        </w:rPr>
        <w:t>AIFDR’s</w:t>
      </w:r>
      <w:r w:rsidR="00621617" w:rsidRPr="00951FC5">
        <w:rPr>
          <w:sz w:val="24"/>
          <w:szCs w:val="24"/>
        </w:rPr>
        <w:t xml:space="preserve"> k</w:t>
      </w:r>
      <w:r w:rsidR="002B2C56" w:rsidRPr="00951FC5">
        <w:rPr>
          <w:sz w:val="24"/>
          <w:szCs w:val="24"/>
        </w:rPr>
        <w:t xml:space="preserve">ey partnership with BNPB </w:t>
      </w:r>
      <w:r w:rsidR="00C07078" w:rsidRPr="00951FC5">
        <w:rPr>
          <w:sz w:val="24"/>
          <w:szCs w:val="24"/>
        </w:rPr>
        <w:t>was never</w:t>
      </w:r>
      <w:r w:rsidR="002B2C56" w:rsidRPr="00951FC5">
        <w:rPr>
          <w:sz w:val="24"/>
          <w:szCs w:val="24"/>
        </w:rPr>
        <w:t xml:space="preserve"> clearly defined </w:t>
      </w:r>
      <w:r w:rsidRPr="00951FC5">
        <w:rPr>
          <w:sz w:val="24"/>
          <w:szCs w:val="24"/>
        </w:rPr>
        <w:t xml:space="preserve">by </w:t>
      </w:r>
      <w:r w:rsidR="00842509" w:rsidRPr="00951FC5">
        <w:rPr>
          <w:sz w:val="24"/>
          <w:szCs w:val="24"/>
        </w:rPr>
        <w:t>agreed c</w:t>
      </w:r>
      <w:r w:rsidR="002B2C56" w:rsidRPr="00951FC5">
        <w:rPr>
          <w:sz w:val="24"/>
          <w:szCs w:val="24"/>
        </w:rPr>
        <w:t xml:space="preserve">riteria </w:t>
      </w:r>
      <w:r w:rsidR="00F677F5">
        <w:rPr>
          <w:sz w:val="24"/>
          <w:szCs w:val="24"/>
        </w:rPr>
        <w:t xml:space="preserve">that </w:t>
      </w:r>
      <w:r w:rsidR="000E3513">
        <w:rPr>
          <w:sz w:val="24"/>
          <w:szCs w:val="24"/>
        </w:rPr>
        <w:t xml:space="preserve">could </w:t>
      </w:r>
      <w:r w:rsidR="00F677F5">
        <w:rPr>
          <w:sz w:val="24"/>
          <w:szCs w:val="24"/>
        </w:rPr>
        <w:t>be applied to</w:t>
      </w:r>
      <w:r w:rsidR="00842509" w:rsidRPr="00951FC5">
        <w:rPr>
          <w:sz w:val="24"/>
          <w:szCs w:val="24"/>
        </w:rPr>
        <w:t xml:space="preserve"> </w:t>
      </w:r>
      <w:r w:rsidR="000E3513">
        <w:rPr>
          <w:sz w:val="24"/>
          <w:szCs w:val="24"/>
        </w:rPr>
        <w:t xml:space="preserve">measure its </w:t>
      </w:r>
      <w:r w:rsidR="00F677F5">
        <w:rPr>
          <w:sz w:val="24"/>
          <w:szCs w:val="24"/>
        </w:rPr>
        <w:t>achievement</w:t>
      </w:r>
      <w:r w:rsidRPr="00951FC5">
        <w:rPr>
          <w:sz w:val="24"/>
          <w:szCs w:val="24"/>
        </w:rPr>
        <w:t xml:space="preserve">. </w:t>
      </w:r>
      <w:r w:rsidR="00723170" w:rsidRPr="00951FC5">
        <w:rPr>
          <w:sz w:val="24"/>
          <w:szCs w:val="24"/>
        </w:rPr>
        <w:t xml:space="preserve">Australian Officials interviewed </w:t>
      </w:r>
      <w:r w:rsidR="00951FC5">
        <w:rPr>
          <w:sz w:val="24"/>
          <w:szCs w:val="24"/>
        </w:rPr>
        <w:t xml:space="preserve">believed </w:t>
      </w:r>
      <w:r w:rsidR="00F677F5">
        <w:rPr>
          <w:sz w:val="24"/>
          <w:szCs w:val="24"/>
        </w:rPr>
        <w:t xml:space="preserve">that </w:t>
      </w:r>
      <w:r w:rsidR="00951FC5">
        <w:rPr>
          <w:sz w:val="24"/>
          <w:szCs w:val="24"/>
        </w:rPr>
        <w:t xml:space="preserve">the overarching </w:t>
      </w:r>
      <w:r w:rsidR="00723170" w:rsidRPr="00951FC5">
        <w:rPr>
          <w:sz w:val="24"/>
          <w:szCs w:val="24"/>
        </w:rPr>
        <w:t>goal of the partnership was to pre-position Australia as the preferred donor in times of crisis</w:t>
      </w:r>
      <w:r w:rsidR="00F677F5">
        <w:rPr>
          <w:sz w:val="24"/>
          <w:szCs w:val="24"/>
        </w:rPr>
        <w:t xml:space="preserve"> and that this</w:t>
      </w:r>
      <w:r w:rsidR="00951FC5">
        <w:rPr>
          <w:sz w:val="24"/>
          <w:szCs w:val="24"/>
        </w:rPr>
        <w:t xml:space="preserve"> would flow on to enhancing the </w:t>
      </w:r>
      <w:r w:rsidR="00723170" w:rsidRPr="00951FC5">
        <w:rPr>
          <w:sz w:val="24"/>
          <w:szCs w:val="24"/>
        </w:rPr>
        <w:t xml:space="preserve">Australia-Indonesia bi-lateral </w:t>
      </w:r>
      <w:r w:rsidR="006905F1" w:rsidRPr="00951FC5">
        <w:rPr>
          <w:sz w:val="24"/>
          <w:szCs w:val="24"/>
        </w:rPr>
        <w:t>relationship</w:t>
      </w:r>
      <w:r w:rsidR="00723170" w:rsidRPr="00951FC5">
        <w:rPr>
          <w:sz w:val="24"/>
          <w:szCs w:val="24"/>
        </w:rPr>
        <w:t xml:space="preserve">. </w:t>
      </w:r>
      <w:r w:rsidR="00F677F5">
        <w:rPr>
          <w:sz w:val="24"/>
          <w:szCs w:val="24"/>
        </w:rPr>
        <w:t xml:space="preserve"> </w:t>
      </w:r>
      <w:r w:rsidR="006905F1" w:rsidRPr="00951FC5">
        <w:rPr>
          <w:sz w:val="24"/>
          <w:szCs w:val="24"/>
        </w:rPr>
        <w:t xml:space="preserve">AIFDR staff </w:t>
      </w:r>
      <w:r w:rsidR="00F677F5">
        <w:rPr>
          <w:sz w:val="24"/>
          <w:szCs w:val="24"/>
        </w:rPr>
        <w:t>cited</w:t>
      </w:r>
      <w:r w:rsidR="006905F1" w:rsidRPr="00951FC5">
        <w:rPr>
          <w:sz w:val="24"/>
          <w:szCs w:val="24"/>
        </w:rPr>
        <w:t xml:space="preserve"> a </w:t>
      </w:r>
      <w:r w:rsidR="00B97A78">
        <w:rPr>
          <w:sz w:val="24"/>
          <w:szCs w:val="24"/>
        </w:rPr>
        <w:t>number</w:t>
      </w:r>
      <w:r w:rsidR="00B97A78" w:rsidRPr="00951FC5">
        <w:rPr>
          <w:sz w:val="24"/>
          <w:szCs w:val="24"/>
        </w:rPr>
        <w:t xml:space="preserve"> </w:t>
      </w:r>
      <w:r w:rsidR="006905F1" w:rsidRPr="00951FC5">
        <w:rPr>
          <w:sz w:val="24"/>
          <w:szCs w:val="24"/>
        </w:rPr>
        <w:t xml:space="preserve">of examples where Australia had been asked </w:t>
      </w:r>
      <w:r w:rsidR="00951FC5">
        <w:rPr>
          <w:sz w:val="24"/>
          <w:szCs w:val="24"/>
        </w:rPr>
        <w:t xml:space="preserve">by BNPB </w:t>
      </w:r>
      <w:r w:rsidR="006905F1" w:rsidRPr="00951FC5">
        <w:rPr>
          <w:sz w:val="24"/>
          <w:szCs w:val="24"/>
        </w:rPr>
        <w:t>to support response operations (Mt Kelud/ Sinabung; Manado/ Jakarta flooding; Central Aceh earthquake etc…).</w:t>
      </w:r>
      <w:r w:rsidR="00951FC5">
        <w:rPr>
          <w:sz w:val="24"/>
          <w:szCs w:val="24"/>
        </w:rPr>
        <w:t xml:space="preserve"> AIFDR staff considered these cases supported a finding that the partnership </w:t>
      </w:r>
      <w:r w:rsidR="007922C7">
        <w:rPr>
          <w:sz w:val="24"/>
          <w:szCs w:val="24"/>
        </w:rPr>
        <w:t>outcome as it related to BNPB had been successfully delivered upon.</w:t>
      </w:r>
      <w:r w:rsidR="00B97A78">
        <w:rPr>
          <w:sz w:val="24"/>
          <w:szCs w:val="24"/>
        </w:rPr>
        <w:t xml:space="preserve"> Although plausible, analysis of DRU activities fell outside the scope of the review and the veracity of these claims remain untested.</w:t>
      </w:r>
    </w:p>
    <w:p w14:paraId="3286E6FE" w14:textId="52A148D4" w:rsidR="00F740E3" w:rsidRDefault="00177C42" w:rsidP="00177C42">
      <w:pPr>
        <w:pStyle w:val="CommentText"/>
        <w:rPr>
          <w:sz w:val="24"/>
          <w:szCs w:val="24"/>
        </w:rPr>
      </w:pPr>
      <w:r w:rsidRPr="00177C42">
        <w:rPr>
          <w:sz w:val="24"/>
          <w:szCs w:val="24"/>
        </w:rPr>
        <w:t>The evidence shows AIFDR very effectively supported BNPB to ‘stand up’ as a new agency</w:t>
      </w:r>
      <w:r w:rsidR="007B5CE7">
        <w:rPr>
          <w:sz w:val="24"/>
          <w:szCs w:val="24"/>
        </w:rPr>
        <w:t xml:space="preserve">. It </w:t>
      </w:r>
      <w:r w:rsidRPr="00177C42">
        <w:rPr>
          <w:sz w:val="24"/>
          <w:szCs w:val="24"/>
        </w:rPr>
        <w:t>support</w:t>
      </w:r>
      <w:r w:rsidR="007B5CE7">
        <w:rPr>
          <w:sz w:val="24"/>
          <w:szCs w:val="24"/>
        </w:rPr>
        <w:t>ed</w:t>
      </w:r>
      <w:r w:rsidRPr="00177C42">
        <w:rPr>
          <w:sz w:val="24"/>
          <w:szCs w:val="24"/>
        </w:rPr>
        <w:t xml:space="preserve"> development of both BNPB’s organisational and technical capacities</w:t>
      </w:r>
      <w:r w:rsidR="007B5CE7">
        <w:rPr>
          <w:sz w:val="24"/>
          <w:szCs w:val="24"/>
        </w:rPr>
        <w:t xml:space="preserve"> - thereby helping to grow its credibility with government, </w:t>
      </w:r>
      <w:r w:rsidRPr="00177C42">
        <w:rPr>
          <w:sz w:val="24"/>
          <w:szCs w:val="24"/>
        </w:rPr>
        <w:t xml:space="preserve">donors and international organisations working in </w:t>
      </w:r>
      <w:r w:rsidR="001322D7">
        <w:rPr>
          <w:sz w:val="24"/>
          <w:szCs w:val="24"/>
        </w:rPr>
        <w:t>Indonesia’s</w:t>
      </w:r>
      <w:r w:rsidR="001322D7" w:rsidRPr="00177C42">
        <w:rPr>
          <w:sz w:val="24"/>
          <w:szCs w:val="24"/>
        </w:rPr>
        <w:t xml:space="preserve"> </w:t>
      </w:r>
      <w:r w:rsidR="00C50315">
        <w:rPr>
          <w:sz w:val="24"/>
          <w:szCs w:val="24"/>
        </w:rPr>
        <w:t>disaster management sector</w:t>
      </w:r>
      <w:r w:rsidRPr="00177C42">
        <w:rPr>
          <w:sz w:val="24"/>
          <w:szCs w:val="24"/>
        </w:rPr>
        <w:t xml:space="preserve">. BNPB Officials interviewed stated the </w:t>
      </w:r>
      <w:r w:rsidR="007B5CE7">
        <w:rPr>
          <w:sz w:val="24"/>
          <w:szCs w:val="24"/>
        </w:rPr>
        <w:t xml:space="preserve">AIFDR </w:t>
      </w:r>
      <w:r w:rsidRPr="00177C42">
        <w:rPr>
          <w:sz w:val="24"/>
          <w:szCs w:val="24"/>
        </w:rPr>
        <w:t>partnership was of great value</w:t>
      </w:r>
      <w:r w:rsidR="00AA2D91">
        <w:rPr>
          <w:sz w:val="24"/>
          <w:szCs w:val="24"/>
        </w:rPr>
        <w:t>,</w:t>
      </w:r>
      <w:r w:rsidRPr="00177C42">
        <w:rPr>
          <w:sz w:val="24"/>
          <w:szCs w:val="24"/>
        </w:rPr>
        <w:t xml:space="preserve"> and had been highly effective </w:t>
      </w:r>
      <w:r w:rsidR="00F740E3">
        <w:rPr>
          <w:sz w:val="24"/>
          <w:szCs w:val="24"/>
        </w:rPr>
        <w:t xml:space="preserve">in the way it </w:t>
      </w:r>
      <w:r w:rsidR="00D55E1F">
        <w:rPr>
          <w:sz w:val="24"/>
          <w:szCs w:val="24"/>
        </w:rPr>
        <w:t>align</w:t>
      </w:r>
      <w:r w:rsidR="00F740E3">
        <w:rPr>
          <w:sz w:val="24"/>
          <w:szCs w:val="24"/>
        </w:rPr>
        <w:t>ed</w:t>
      </w:r>
      <w:r w:rsidR="00D55E1F">
        <w:rPr>
          <w:sz w:val="24"/>
          <w:szCs w:val="24"/>
        </w:rPr>
        <w:t xml:space="preserve"> with BNBP priorities, policies and work</w:t>
      </w:r>
      <w:r w:rsidR="00F740E3">
        <w:rPr>
          <w:sz w:val="24"/>
          <w:szCs w:val="24"/>
        </w:rPr>
        <w:t xml:space="preserve"> </w:t>
      </w:r>
      <w:r w:rsidR="00D55E1F">
        <w:rPr>
          <w:sz w:val="24"/>
          <w:szCs w:val="24"/>
        </w:rPr>
        <w:t xml:space="preserve">plans. </w:t>
      </w:r>
      <w:r w:rsidR="00F740E3">
        <w:rPr>
          <w:sz w:val="24"/>
          <w:szCs w:val="24"/>
        </w:rPr>
        <w:t xml:space="preserve">The relationship between AIFDR and BNBP was not always easy to manage as both parties admitted at interview. </w:t>
      </w:r>
      <w:r w:rsidR="00AA2D91">
        <w:rPr>
          <w:sz w:val="24"/>
          <w:szCs w:val="24"/>
        </w:rPr>
        <w:t xml:space="preserve">The review team considers </w:t>
      </w:r>
      <w:r w:rsidR="00D2149F">
        <w:rPr>
          <w:sz w:val="24"/>
          <w:szCs w:val="24"/>
        </w:rPr>
        <w:t xml:space="preserve">AIFDR </w:t>
      </w:r>
      <w:r w:rsidR="00AA2D91">
        <w:rPr>
          <w:sz w:val="24"/>
          <w:szCs w:val="24"/>
        </w:rPr>
        <w:t xml:space="preserve">successfully </w:t>
      </w:r>
      <w:r w:rsidR="00701998">
        <w:rPr>
          <w:sz w:val="24"/>
          <w:szCs w:val="24"/>
        </w:rPr>
        <w:t xml:space="preserve">balanced </w:t>
      </w:r>
      <w:r w:rsidR="00D2149F">
        <w:rPr>
          <w:sz w:val="24"/>
          <w:szCs w:val="24"/>
        </w:rPr>
        <w:t>the need to be responsive to BNPB</w:t>
      </w:r>
      <w:r w:rsidR="00AA2D91">
        <w:rPr>
          <w:sz w:val="24"/>
          <w:szCs w:val="24"/>
        </w:rPr>
        <w:t xml:space="preserve">’s </w:t>
      </w:r>
      <w:r w:rsidR="00701998">
        <w:rPr>
          <w:sz w:val="24"/>
          <w:szCs w:val="24"/>
        </w:rPr>
        <w:t xml:space="preserve">funding </w:t>
      </w:r>
      <w:r w:rsidR="00AA2D91">
        <w:rPr>
          <w:sz w:val="24"/>
          <w:szCs w:val="24"/>
        </w:rPr>
        <w:t>requests</w:t>
      </w:r>
      <w:r w:rsidR="00D2149F">
        <w:rPr>
          <w:sz w:val="24"/>
          <w:szCs w:val="24"/>
        </w:rPr>
        <w:t xml:space="preserve">, while also </w:t>
      </w:r>
      <w:r w:rsidR="00AA2D91">
        <w:rPr>
          <w:sz w:val="24"/>
          <w:szCs w:val="24"/>
        </w:rPr>
        <w:t>overtime strengthening the facility’s logic. Both</w:t>
      </w:r>
      <w:r w:rsidR="00F740E3">
        <w:rPr>
          <w:sz w:val="24"/>
          <w:szCs w:val="24"/>
        </w:rPr>
        <w:t xml:space="preserve"> partners </w:t>
      </w:r>
      <w:r w:rsidR="00D2149F">
        <w:rPr>
          <w:sz w:val="24"/>
          <w:szCs w:val="24"/>
        </w:rPr>
        <w:t xml:space="preserve">report they </w:t>
      </w:r>
      <w:r w:rsidR="00F740E3">
        <w:rPr>
          <w:sz w:val="24"/>
          <w:szCs w:val="24"/>
        </w:rPr>
        <w:t xml:space="preserve">are </w:t>
      </w:r>
      <w:r w:rsidR="00D2149F">
        <w:rPr>
          <w:sz w:val="24"/>
          <w:szCs w:val="24"/>
        </w:rPr>
        <w:t xml:space="preserve">highly satisfied with the state of the current relationship. </w:t>
      </w:r>
    </w:p>
    <w:p w14:paraId="71A3F08B" w14:textId="33346B05" w:rsidR="00701998" w:rsidRPr="005F2113" w:rsidRDefault="00701998" w:rsidP="00701998">
      <w:pPr>
        <w:pStyle w:val="CommentText"/>
        <w:rPr>
          <w:sz w:val="24"/>
          <w:szCs w:val="24"/>
        </w:rPr>
      </w:pPr>
      <w:r w:rsidRPr="005F2113">
        <w:rPr>
          <w:sz w:val="24"/>
          <w:szCs w:val="24"/>
        </w:rPr>
        <w:t xml:space="preserve">The review team considers where the partnership has been less successful is </w:t>
      </w:r>
      <w:r w:rsidR="005F2113">
        <w:rPr>
          <w:sz w:val="24"/>
          <w:szCs w:val="24"/>
        </w:rPr>
        <w:t xml:space="preserve">its ability to support BNBP to </w:t>
      </w:r>
      <w:r w:rsidRPr="005F2113">
        <w:rPr>
          <w:sz w:val="24"/>
          <w:szCs w:val="24"/>
        </w:rPr>
        <w:t xml:space="preserve">mobilise interest in DRR within </w:t>
      </w:r>
      <w:r w:rsidR="005F2113">
        <w:rPr>
          <w:sz w:val="24"/>
          <w:szCs w:val="24"/>
        </w:rPr>
        <w:t xml:space="preserve">GoI </w:t>
      </w:r>
      <w:r w:rsidRPr="005F2113">
        <w:rPr>
          <w:sz w:val="24"/>
          <w:szCs w:val="24"/>
        </w:rPr>
        <w:t xml:space="preserve">line </w:t>
      </w:r>
      <w:r w:rsidR="005F2113" w:rsidRPr="005F2113">
        <w:rPr>
          <w:sz w:val="24"/>
          <w:szCs w:val="24"/>
        </w:rPr>
        <w:t>ministries</w:t>
      </w:r>
      <w:r w:rsidRPr="005F2113">
        <w:rPr>
          <w:sz w:val="24"/>
          <w:szCs w:val="24"/>
        </w:rPr>
        <w:t>.</w:t>
      </w:r>
      <w:r w:rsidR="005F2113" w:rsidRPr="005F2113">
        <w:rPr>
          <w:rFonts w:cs="Times New Roman"/>
          <w:sz w:val="24"/>
          <w:szCs w:val="24"/>
        </w:rPr>
        <w:t xml:space="preserve"> </w:t>
      </w:r>
      <w:r w:rsidR="005F2113">
        <w:rPr>
          <w:rFonts w:cs="Times New Roman"/>
          <w:sz w:val="24"/>
          <w:szCs w:val="24"/>
        </w:rPr>
        <w:t xml:space="preserve">The review team were advised that </w:t>
      </w:r>
      <w:r w:rsidR="005F2113" w:rsidRPr="005F2113">
        <w:rPr>
          <w:rFonts w:cs="Times New Roman"/>
          <w:sz w:val="24"/>
          <w:szCs w:val="24"/>
        </w:rPr>
        <w:t xml:space="preserve">BNPB </w:t>
      </w:r>
      <w:r w:rsidR="005F2113">
        <w:rPr>
          <w:rFonts w:cs="Times New Roman"/>
          <w:sz w:val="24"/>
          <w:szCs w:val="24"/>
        </w:rPr>
        <w:t xml:space="preserve">as a comparatively new agency has </w:t>
      </w:r>
      <w:r w:rsidR="005F2113" w:rsidRPr="005F2113">
        <w:rPr>
          <w:rFonts w:cs="Times New Roman"/>
          <w:sz w:val="24"/>
          <w:szCs w:val="24"/>
        </w:rPr>
        <w:t xml:space="preserve">little leverage with high profile ministries. AIFDR’s investment in building BNPB’s credibility </w:t>
      </w:r>
      <w:r w:rsidR="005F2113">
        <w:rPr>
          <w:rFonts w:cs="Times New Roman"/>
          <w:sz w:val="24"/>
          <w:szCs w:val="24"/>
        </w:rPr>
        <w:t xml:space="preserve">will help improve this situation overtime, but it remains a constraint that should be noted. </w:t>
      </w:r>
      <w:r w:rsidR="00A5754A">
        <w:rPr>
          <w:rFonts w:cs="Times New Roman"/>
          <w:sz w:val="24"/>
          <w:szCs w:val="24"/>
        </w:rPr>
        <w:t xml:space="preserve">The facility is providing funding to </w:t>
      </w:r>
      <w:r w:rsidR="004B587A">
        <w:rPr>
          <w:rFonts w:cs="Times New Roman"/>
          <w:sz w:val="24"/>
          <w:szCs w:val="24"/>
        </w:rPr>
        <w:t xml:space="preserve">the </w:t>
      </w:r>
      <w:r w:rsidR="005F2113" w:rsidRPr="005F2113">
        <w:rPr>
          <w:rFonts w:cs="Times New Roman"/>
          <w:sz w:val="24"/>
          <w:szCs w:val="24"/>
        </w:rPr>
        <w:t>U</w:t>
      </w:r>
      <w:r w:rsidR="004B587A">
        <w:rPr>
          <w:rFonts w:cs="Times New Roman"/>
          <w:sz w:val="24"/>
          <w:szCs w:val="24"/>
        </w:rPr>
        <w:t>nited Nations Development Program (UN</w:t>
      </w:r>
      <w:r w:rsidR="005F2113" w:rsidRPr="005F2113">
        <w:rPr>
          <w:rFonts w:cs="Times New Roman"/>
          <w:sz w:val="24"/>
          <w:szCs w:val="24"/>
        </w:rPr>
        <w:t>DP</w:t>
      </w:r>
      <w:r w:rsidR="004B587A">
        <w:rPr>
          <w:rFonts w:cs="Times New Roman"/>
          <w:sz w:val="24"/>
          <w:szCs w:val="24"/>
        </w:rPr>
        <w:t>)</w:t>
      </w:r>
      <w:r w:rsidR="005F2113" w:rsidRPr="005F2113">
        <w:rPr>
          <w:rFonts w:cs="Times New Roman"/>
          <w:sz w:val="24"/>
          <w:szCs w:val="24"/>
        </w:rPr>
        <w:t xml:space="preserve"> </w:t>
      </w:r>
      <w:r w:rsidR="00A5754A">
        <w:rPr>
          <w:rFonts w:cs="Times New Roman"/>
          <w:sz w:val="24"/>
          <w:szCs w:val="24"/>
        </w:rPr>
        <w:t>for their project, Safer Communities through Disaster Risk Reduction (</w:t>
      </w:r>
      <w:r w:rsidR="005F2113" w:rsidRPr="005F2113">
        <w:rPr>
          <w:sz w:val="24"/>
          <w:szCs w:val="24"/>
        </w:rPr>
        <w:t>SCDRR</w:t>
      </w:r>
      <w:r w:rsidR="00A5754A">
        <w:rPr>
          <w:sz w:val="24"/>
          <w:szCs w:val="24"/>
        </w:rPr>
        <w:t xml:space="preserve">) that aims to </w:t>
      </w:r>
      <w:r w:rsidR="005F2113" w:rsidRPr="005F2113">
        <w:rPr>
          <w:sz w:val="24"/>
          <w:szCs w:val="24"/>
        </w:rPr>
        <w:t>support bringing line ministries together with BNPB.</w:t>
      </w:r>
    </w:p>
    <w:p w14:paraId="4C4A005F" w14:textId="77777777" w:rsidR="009529D8" w:rsidRDefault="009529D8" w:rsidP="006E248F">
      <w:pPr>
        <w:spacing w:after="0" w:line="240" w:lineRule="auto"/>
        <w:rPr>
          <w:b/>
          <w:sz w:val="24"/>
          <w:szCs w:val="24"/>
        </w:rPr>
      </w:pPr>
    </w:p>
    <w:p w14:paraId="66AB3995" w14:textId="77777777" w:rsidR="00A27C96" w:rsidRPr="001007AD" w:rsidRDefault="00A27C96" w:rsidP="00A27C96">
      <w:pPr>
        <w:rPr>
          <w:b/>
          <w:sz w:val="24"/>
          <w:szCs w:val="24"/>
        </w:rPr>
      </w:pPr>
      <w:r w:rsidRPr="001007AD">
        <w:rPr>
          <w:b/>
          <w:sz w:val="24"/>
          <w:szCs w:val="24"/>
        </w:rPr>
        <w:t xml:space="preserve">AIFDR Co-Directorship Model </w:t>
      </w:r>
    </w:p>
    <w:p w14:paraId="51CD00DD" w14:textId="358A1C3A" w:rsidR="00A27C96" w:rsidRPr="001007AD" w:rsidRDefault="00A27C96" w:rsidP="00A27C96">
      <w:pPr>
        <w:rPr>
          <w:rFonts w:cs="Times New Roman"/>
          <w:sz w:val="24"/>
          <w:szCs w:val="24"/>
        </w:rPr>
      </w:pPr>
      <w:r w:rsidRPr="001007AD">
        <w:rPr>
          <w:sz w:val="24"/>
          <w:szCs w:val="24"/>
        </w:rPr>
        <w:t xml:space="preserve">Underpinning AIFDR’s primary partnership with BNBP is the co-directorship model. There are mixed views amongst Australian Government officials interviewed as </w:t>
      </w:r>
      <w:r w:rsidRPr="001007AD">
        <w:rPr>
          <w:rFonts w:cs="Times New Roman"/>
          <w:sz w:val="24"/>
          <w:szCs w:val="24"/>
        </w:rPr>
        <w:t xml:space="preserve">to whether the ‘co-directorship’ model is an effective way of supporting partnership between AIFDR and GoI. One view point is that it cements a genuine sense of ownership by GoI. Whereas, the counter view is that it creates </w:t>
      </w:r>
      <w:r w:rsidR="00776D3E">
        <w:rPr>
          <w:rFonts w:cs="Times New Roman"/>
          <w:sz w:val="24"/>
          <w:szCs w:val="24"/>
        </w:rPr>
        <w:t>dependence,</w:t>
      </w:r>
      <w:r w:rsidRPr="001007AD">
        <w:rPr>
          <w:rFonts w:cs="Times New Roman"/>
          <w:sz w:val="24"/>
          <w:szCs w:val="24"/>
        </w:rPr>
        <w:t xml:space="preserve"> and although appropriate for Phase 1, is no longer </w:t>
      </w:r>
      <w:r w:rsidR="00776D3E">
        <w:rPr>
          <w:rFonts w:cs="Times New Roman"/>
          <w:sz w:val="24"/>
          <w:szCs w:val="24"/>
        </w:rPr>
        <w:t xml:space="preserve">appropriate for AIFDR Phase 2. The review team noted that there was poor communication about AIFDR’s activities across BNPB directorates, which undermines the ownership that co-management was supposed to ensure. Two BNPB Directors interviewed appeared to have very little knowledge about the activities AIFDR was funding. </w:t>
      </w:r>
      <w:r w:rsidR="003E4B10">
        <w:rPr>
          <w:rFonts w:cs="Times New Roman"/>
          <w:sz w:val="24"/>
          <w:szCs w:val="24"/>
        </w:rPr>
        <w:t>The review team consider an increase in effort is required on the BN</w:t>
      </w:r>
      <w:r w:rsidR="00A857DD">
        <w:rPr>
          <w:rFonts w:cs="Times New Roman"/>
          <w:sz w:val="24"/>
          <w:szCs w:val="24"/>
        </w:rPr>
        <w:t xml:space="preserve">PB side to </w:t>
      </w:r>
      <w:r w:rsidR="003E4B10">
        <w:rPr>
          <w:rFonts w:cs="Times New Roman"/>
          <w:sz w:val="24"/>
          <w:szCs w:val="24"/>
        </w:rPr>
        <w:t>fix internal communication breakdowns.</w:t>
      </w:r>
    </w:p>
    <w:p w14:paraId="40A7022A" w14:textId="4878E580" w:rsidR="00A27C96" w:rsidRPr="001007AD" w:rsidRDefault="00A27C96" w:rsidP="00A27C96">
      <w:pPr>
        <w:rPr>
          <w:rFonts w:cs="Times New Roman"/>
          <w:sz w:val="24"/>
          <w:szCs w:val="24"/>
        </w:rPr>
      </w:pPr>
      <w:r w:rsidRPr="001007AD">
        <w:rPr>
          <w:rFonts w:cs="Times New Roman"/>
          <w:sz w:val="24"/>
          <w:szCs w:val="24"/>
        </w:rPr>
        <w:t xml:space="preserve">AIFDR’s implementing partners mostly did not express views either way, with one exception – this partner stated the co-directorship model was ‘ahead of its time’ and represents the way donors should engage with government in middle income countries. </w:t>
      </w:r>
      <w:r w:rsidR="00A5754A">
        <w:rPr>
          <w:rFonts w:cs="Times New Roman"/>
          <w:sz w:val="24"/>
          <w:szCs w:val="24"/>
        </w:rPr>
        <w:t xml:space="preserve">In the review teams opinion the model is sensible and consistent with the broad goal of facilitating </w:t>
      </w:r>
      <w:r w:rsidR="006409DB">
        <w:rPr>
          <w:rFonts w:cs="Times New Roman"/>
          <w:sz w:val="24"/>
          <w:szCs w:val="24"/>
        </w:rPr>
        <w:t>GoI ownership</w:t>
      </w:r>
      <w:r w:rsidR="00A857DD">
        <w:rPr>
          <w:rFonts w:cs="Times New Roman"/>
          <w:sz w:val="24"/>
          <w:szCs w:val="24"/>
        </w:rPr>
        <w:t xml:space="preserve"> of its own agendas</w:t>
      </w:r>
      <w:r w:rsidR="006409DB">
        <w:rPr>
          <w:rFonts w:cs="Times New Roman"/>
          <w:sz w:val="24"/>
          <w:szCs w:val="24"/>
        </w:rPr>
        <w:t xml:space="preserve">, and the obvious associated risks </w:t>
      </w:r>
      <w:r w:rsidR="00750C8C">
        <w:rPr>
          <w:rFonts w:cs="Times New Roman"/>
          <w:sz w:val="24"/>
          <w:szCs w:val="24"/>
        </w:rPr>
        <w:t>can be</w:t>
      </w:r>
      <w:r w:rsidR="006409DB">
        <w:rPr>
          <w:rFonts w:cs="Times New Roman"/>
          <w:sz w:val="24"/>
          <w:szCs w:val="24"/>
        </w:rPr>
        <w:t xml:space="preserve"> managed. </w:t>
      </w:r>
    </w:p>
    <w:p w14:paraId="620AE3F7" w14:textId="67DA6BA3" w:rsidR="00A27C96" w:rsidRDefault="008102F9" w:rsidP="00A27C96">
      <w:pPr>
        <w:rPr>
          <w:sz w:val="24"/>
          <w:szCs w:val="24"/>
        </w:rPr>
      </w:pPr>
      <w:r w:rsidRPr="001007AD">
        <w:rPr>
          <w:rFonts w:cs="Times New Roman"/>
          <w:sz w:val="24"/>
          <w:szCs w:val="24"/>
        </w:rPr>
        <w:t>BN</w:t>
      </w:r>
      <w:r>
        <w:rPr>
          <w:rFonts w:cs="Times New Roman"/>
          <w:sz w:val="24"/>
          <w:szCs w:val="24"/>
        </w:rPr>
        <w:t>PB</w:t>
      </w:r>
      <w:r w:rsidRPr="001007AD">
        <w:rPr>
          <w:rFonts w:cs="Times New Roman"/>
          <w:sz w:val="24"/>
          <w:szCs w:val="24"/>
        </w:rPr>
        <w:t xml:space="preserve"> </w:t>
      </w:r>
      <w:r w:rsidR="00A27C96" w:rsidRPr="001007AD">
        <w:rPr>
          <w:rFonts w:cs="Times New Roman"/>
          <w:sz w:val="24"/>
          <w:szCs w:val="24"/>
        </w:rPr>
        <w:t>Senior Officials</w:t>
      </w:r>
      <w:r w:rsidR="00263C99">
        <w:rPr>
          <w:rFonts w:cs="Times New Roman"/>
          <w:sz w:val="24"/>
          <w:szCs w:val="24"/>
        </w:rPr>
        <w:t xml:space="preserve"> interviewed</w:t>
      </w:r>
      <w:r w:rsidR="00A27C96" w:rsidRPr="001007AD">
        <w:rPr>
          <w:rFonts w:cs="Times New Roman"/>
          <w:sz w:val="24"/>
          <w:szCs w:val="24"/>
        </w:rPr>
        <w:t xml:space="preserve"> recommended no </w:t>
      </w:r>
      <w:r w:rsidR="00A27C96" w:rsidRPr="001007AD">
        <w:rPr>
          <w:color w:val="000000" w:themeColor="text1"/>
          <w:sz w:val="24"/>
          <w:szCs w:val="24"/>
        </w:rPr>
        <w:t xml:space="preserve">change to the model, but do want </w:t>
      </w:r>
      <w:r w:rsidR="00263C99">
        <w:rPr>
          <w:color w:val="000000" w:themeColor="text1"/>
          <w:sz w:val="24"/>
          <w:szCs w:val="24"/>
        </w:rPr>
        <w:t xml:space="preserve">to see </w:t>
      </w:r>
      <w:r w:rsidR="00A27C96" w:rsidRPr="001007AD">
        <w:rPr>
          <w:color w:val="000000" w:themeColor="text1"/>
          <w:sz w:val="24"/>
          <w:szCs w:val="24"/>
        </w:rPr>
        <w:t>greater clarity</w:t>
      </w:r>
      <w:r w:rsidR="00A27C96" w:rsidRPr="001007AD">
        <w:rPr>
          <w:sz w:val="24"/>
          <w:szCs w:val="24"/>
        </w:rPr>
        <w:t xml:space="preserve"> around roles and responsibilities of co-directors in </w:t>
      </w:r>
      <w:r w:rsidR="00263C99">
        <w:rPr>
          <w:sz w:val="24"/>
          <w:szCs w:val="24"/>
        </w:rPr>
        <w:t>Phase 2</w:t>
      </w:r>
      <w:r w:rsidR="00A27C96" w:rsidRPr="001007AD">
        <w:rPr>
          <w:sz w:val="24"/>
          <w:szCs w:val="24"/>
        </w:rPr>
        <w:t xml:space="preserve">. </w:t>
      </w:r>
    </w:p>
    <w:p w14:paraId="41603484" w14:textId="77777777" w:rsidR="00263C99" w:rsidRPr="001007AD" w:rsidRDefault="00263C99" w:rsidP="006E248F">
      <w:pPr>
        <w:spacing w:after="0" w:line="240" w:lineRule="auto"/>
        <w:rPr>
          <w:sz w:val="24"/>
          <w:szCs w:val="24"/>
        </w:rPr>
      </w:pPr>
    </w:p>
    <w:p w14:paraId="06EB524C" w14:textId="14BC594A" w:rsidR="009160A4" w:rsidRPr="006E248F" w:rsidRDefault="004318DD" w:rsidP="004318DD">
      <w:pPr>
        <w:spacing w:after="0" w:line="240" w:lineRule="auto"/>
        <w:rPr>
          <w:b/>
          <w:sz w:val="24"/>
          <w:szCs w:val="24"/>
        </w:rPr>
      </w:pPr>
      <w:r w:rsidRPr="002E0C0A">
        <w:rPr>
          <w:b/>
          <w:sz w:val="24"/>
          <w:szCs w:val="24"/>
        </w:rPr>
        <w:t xml:space="preserve">Disaster risk reduction partnerships with science and technical </w:t>
      </w:r>
      <w:r w:rsidRPr="006E248F">
        <w:rPr>
          <w:b/>
          <w:sz w:val="24"/>
          <w:szCs w:val="24"/>
        </w:rPr>
        <w:t>organisation</w:t>
      </w:r>
      <w:r w:rsidR="002E0C0A" w:rsidRPr="006E248F">
        <w:rPr>
          <w:b/>
          <w:sz w:val="24"/>
          <w:szCs w:val="24"/>
        </w:rPr>
        <w:t>s</w:t>
      </w:r>
    </w:p>
    <w:p w14:paraId="213DEA82" w14:textId="77777777" w:rsidR="002E0C0A" w:rsidRPr="00174C42" w:rsidRDefault="002E0C0A" w:rsidP="004318DD">
      <w:pPr>
        <w:spacing w:after="0" w:line="240" w:lineRule="auto"/>
        <w:rPr>
          <w:sz w:val="24"/>
          <w:szCs w:val="24"/>
          <w:u w:val="single"/>
        </w:rPr>
      </w:pPr>
    </w:p>
    <w:p w14:paraId="46ED508D" w14:textId="1073CF40" w:rsidR="004318DD" w:rsidRPr="00B26A08" w:rsidRDefault="004318DD" w:rsidP="00323D3E">
      <w:pPr>
        <w:spacing w:after="0" w:line="240" w:lineRule="auto"/>
        <w:rPr>
          <w:rFonts w:cs="Times New Roman"/>
          <w:sz w:val="24"/>
          <w:szCs w:val="24"/>
        </w:rPr>
      </w:pPr>
      <w:r w:rsidRPr="00B26A08">
        <w:rPr>
          <w:rFonts w:cs="Times New Roman"/>
          <w:sz w:val="24"/>
          <w:szCs w:val="24"/>
        </w:rPr>
        <w:t>AIFDR has effectively facilitated cooperative partnerships between BNPB and five technical agencies, and helped clarify the respective roles of these agencies resulting in a formal M</w:t>
      </w:r>
      <w:r w:rsidR="000C743E">
        <w:rPr>
          <w:rFonts w:cs="Times New Roman"/>
          <w:sz w:val="24"/>
          <w:szCs w:val="24"/>
        </w:rPr>
        <w:t>emorandum of Understanding (MOU).</w:t>
      </w:r>
      <w:r w:rsidRPr="00B26A08">
        <w:rPr>
          <w:rFonts w:cs="Times New Roman"/>
          <w:sz w:val="24"/>
          <w:szCs w:val="24"/>
        </w:rPr>
        <w:t xml:space="preserve"> Before AIFDR, there was little connectivity between </w:t>
      </w:r>
      <w:r w:rsidR="009A0F54">
        <w:rPr>
          <w:rFonts w:cs="Times New Roman"/>
          <w:sz w:val="24"/>
          <w:szCs w:val="24"/>
        </w:rPr>
        <w:t xml:space="preserve">Indonesian </w:t>
      </w:r>
      <w:r w:rsidRPr="00B26A08">
        <w:rPr>
          <w:rFonts w:cs="Times New Roman"/>
          <w:sz w:val="24"/>
          <w:szCs w:val="24"/>
        </w:rPr>
        <w:t xml:space="preserve">science agencies, and </w:t>
      </w:r>
      <w:r w:rsidR="009A0F54">
        <w:rPr>
          <w:rFonts w:cs="Times New Roman"/>
          <w:sz w:val="24"/>
          <w:szCs w:val="24"/>
        </w:rPr>
        <w:t>between these</w:t>
      </w:r>
      <w:r w:rsidR="009A0F54" w:rsidRPr="00B26A08">
        <w:rPr>
          <w:rFonts w:cs="Times New Roman"/>
          <w:sz w:val="24"/>
          <w:szCs w:val="24"/>
        </w:rPr>
        <w:t xml:space="preserve"> </w:t>
      </w:r>
      <w:r w:rsidRPr="00B26A08">
        <w:rPr>
          <w:rFonts w:cs="Times New Roman"/>
          <w:sz w:val="24"/>
          <w:szCs w:val="24"/>
        </w:rPr>
        <w:t xml:space="preserve">agencies and BNPB. </w:t>
      </w:r>
      <w:r w:rsidR="00A001D2">
        <w:rPr>
          <w:rFonts w:cs="Times New Roman"/>
          <w:sz w:val="24"/>
          <w:szCs w:val="24"/>
        </w:rPr>
        <w:t>O</w:t>
      </w:r>
      <w:r w:rsidRPr="00B26A08">
        <w:rPr>
          <w:rFonts w:cs="Times New Roman"/>
          <w:sz w:val="24"/>
          <w:szCs w:val="24"/>
        </w:rPr>
        <w:t xml:space="preserve">fficials from these agencies </w:t>
      </w:r>
      <w:r w:rsidR="008E2722">
        <w:rPr>
          <w:rFonts w:cs="Times New Roman"/>
          <w:sz w:val="24"/>
          <w:szCs w:val="24"/>
        </w:rPr>
        <w:t xml:space="preserve">stated </w:t>
      </w:r>
      <w:r w:rsidRPr="00B26A08">
        <w:rPr>
          <w:rFonts w:cs="Times New Roman"/>
          <w:sz w:val="24"/>
          <w:szCs w:val="24"/>
        </w:rPr>
        <w:t xml:space="preserve">AIFDR has </w:t>
      </w:r>
      <w:r w:rsidR="000C743E">
        <w:rPr>
          <w:rFonts w:cs="Times New Roman"/>
          <w:sz w:val="24"/>
          <w:szCs w:val="24"/>
        </w:rPr>
        <w:t>facilitat</w:t>
      </w:r>
      <w:r w:rsidR="00E04591">
        <w:rPr>
          <w:rFonts w:cs="Times New Roman"/>
          <w:sz w:val="24"/>
          <w:szCs w:val="24"/>
        </w:rPr>
        <w:t>e</w:t>
      </w:r>
      <w:r w:rsidR="006A161B">
        <w:rPr>
          <w:rFonts w:cs="Times New Roman"/>
          <w:sz w:val="24"/>
          <w:szCs w:val="24"/>
        </w:rPr>
        <w:t>d</w:t>
      </w:r>
      <w:r w:rsidR="000C743E">
        <w:rPr>
          <w:rFonts w:cs="Times New Roman"/>
          <w:sz w:val="24"/>
          <w:szCs w:val="24"/>
        </w:rPr>
        <w:t xml:space="preserve"> increased </w:t>
      </w:r>
      <w:r w:rsidR="008E2722">
        <w:rPr>
          <w:rFonts w:cs="Times New Roman"/>
          <w:sz w:val="24"/>
          <w:szCs w:val="24"/>
        </w:rPr>
        <w:t xml:space="preserve">dialogue </w:t>
      </w:r>
      <w:r w:rsidRPr="00B26A08">
        <w:rPr>
          <w:rFonts w:cs="Times New Roman"/>
          <w:sz w:val="24"/>
          <w:szCs w:val="24"/>
        </w:rPr>
        <w:t xml:space="preserve">between </w:t>
      </w:r>
      <w:r w:rsidR="00A001D2">
        <w:rPr>
          <w:rFonts w:cs="Times New Roman"/>
          <w:sz w:val="24"/>
          <w:szCs w:val="24"/>
        </w:rPr>
        <w:t xml:space="preserve">them – </w:t>
      </w:r>
      <w:r w:rsidR="008E2722">
        <w:rPr>
          <w:rFonts w:cs="Times New Roman"/>
          <w:sz w:val="24"/>
          <w:szCs w:val="24"/>
        </w:rPr>
        <w:t xml:space="preserve">previously interagency </w:t>
      </w:r>
      <w:r w:rsidR="00A001D2">
        <w:rPr>
          <w:rFonts w:cs="Times New Roman"/>
          <w:sz w:val="24"/>
          <w:szCs w:val="24"/>
        </w:rPr>
        <w:t xml:space="preserve">communication </w:t>
      </w:r>
      <w:r w:rsidRPr="00B26A08">
        <w:rPr>
          <w:rFonts w:cs="Times New Roman"/>
          <w:sz w:val="24"/>
          <w:szCs w:val="24"/>
        </w:rPr>
        <w:t xml:space="preserve">was </w:t>
      </w:r>
      <w:r w:rsidR="00A001D2">
        <w:rPr>
          <w:rFonts w:cs="Times New Roman"/>
          <w:sz w:val="24"/>
          <w:szCs w:val="24"/>
        </w:rPr>
        <w:t>limited</w:t>
      </w:r>
      <w:r w:rsidRPr="00B26A08">
        <w:rPr>
          <w:rFonts w:cs="Times New Roman"/>
          <w:sz w:val="24"/>
          <w:szCs w:val="24"/>
        </w:rPr>
        <w:t xml:space="preserve">. </w:t>
      </w:r>
      <w:r w:rsidR="00121925" w:rsidRPr="00B26A08">
        <w:rPr>
          <w:rFonts w:cs="Times New Roman"/>
          <w:sz w:val="24"/>
          <w:szCs w:val="24"/>
        </w:rPr>
        <w:t xml:space="preserve">Further, the evidence shows there has been a significant shift in the appetite of BNPB for science, leading to more demand </w:t>
      </w:r>
      <w:r w:rsidR="00A001D2">
        <w:rPr>
          <w:rFonts w:cs="Times New Roman"/>
          <w:sz w:val="24"/>
          <w:szCs w:val="24"/>
        </w:rPr>
        <w:t>for</w:t>
      </w:r>
      <w:r w:rsidR="00121925" w:rsidRPr="00B26A08">
        <w:rPr>
          <w:rFonts w:cs="Times New Roman"/>
          <w:sz w:val="24"/>
          <w:szCs w:val="24"/>
        </w:rPr>
        <w:t xml:space="preserve"> scien</w:t>
      </w:r>
      <w:r w:rsidR="00A001D2">
        <w:rPr>
          <w:rFonts w:cs="Times New Roman"/>
          <w:sz w:val="24"/>
          <w:szCs w:val="24"/>
        </w:rPr>
        <w:t>tific knowledge and analysis</w:t>
      </w:r>
      <w:r w:rsidR="00121925" w:rsidRPr="00B26A08">
        <w:rPr>
          <w:rFonts w:cs="Times New Roman"/>
          <w:sz w:val="24"/>
          <w:szCs w:val="24"/>
        </w:rPr>
        <w:t xml:space="preserve"> by </w:t>
      </w:r>
      <w:r w:rsidR="00A90672" w:rsidRPr="00B26A08">
        <w:rPr>
          <w:rFonts w:cs="Times New Roman"/>
          <w:sz w:val="24"/>
          <w:szCs w:val="24"/>
        </w:rPr>
        <w:t>the agency</w:t>
      </w:r>
      <w:r w:rsidR="00121925" w:rsidRPr="00B26A08">
        <w:rPr>
          <w:rFonts w:cs="Times New Roman"/>
          <w:sz w:val="24"/>
          <w:szCs w:val="24"/>
        </w:rPr>
        <w:t>.</w:t>
      </w:r>
    </w:p>
    <w:p w14:paraId="5D823C6B" w14:textId="77777777" w:rsidR="002E0C0A" w:rsidRDefault="002E0C0A" w:rsidP="00323D3E">
      <w:pPr>
        <w:spacing w:after="0" w:line="240" w:lineRule="auto"/>
        <w:rPr>
          <w:b/>
          <w:sz w:val="24"/>
          <w:szCs w:val="24"/>
        </w:rPr>
      </w:pPr>
    </w:p>
    <w:p w14:paraId="77CB43C9" w14:textId="4DE279DD" w:rsidR="00323D3E" w:rsidRDefault="002E0C0A" w:rsidP="00323D3E">
      <w:pPr>
        <w:spacing w:after="0" w:line="240" w:lineRule="auto"/>
        <w:rPr>
          <w:b/>
          <w:sz w:val="24"/>
          <w:szCs w:val="24"/>
        </w:rPr>
      </w:pPr>
      <w:r w:rsidRPr="00B31B1F">
        <w:rPr>
          <w:b/>
          <w:sz w:val="24"/>
          <w:szCs w:val="24"/>
        </w:rPr>
        <w:t>Disaster risk reduction partnerships</w:t>
      </w:r>
      <w:r w:rsidRPr="002E0C0A">
        <w:rPr>
          <w:b/>
          <w:sz w:val="24"/>
          <w:szCs w:val="24"/>
        </w:rPr>
        <w:t xml:space="preserve"> </w:t>
      </w:r>
      <w:r>
        <w:rPr>
          <w:b/>
          <w:sz w:val="24"/>
          <w:szCs w:val="24"/>
        </w:rPr>
        <w:t>with NGO’s, CSO’s and faith based organisations</w:t>
      </w:r>
    </w:p>
    <w:p w14:paraId="5BAC0511" w14:textId="77777777" w:rsidR="002E0C0A" w:rsidRDefault="002E0C0A" w:rsidP="00323D3E">
      <w:pPr>
        <w:spacing w:after="0" w:line="240" w:lineRule="auto"/>
        <w:rPr>
          <w:rFonts w:cs="Times New Roman"/>
          <w:sz w:val="24"/>
          <w:szCs w:val="24"/>
        </w:rPr>
      </w:pPr>
    </w:p>
    <w:p w14:paraId="397FAE6B" w14:textId="4EA08953" w:rsidR="00876DFD" w:rsidRDefault="004318DD" w:rsidP="0044662E">
      <w:pPr>
        <w:rPr>
          <w:rFonts w:cs="Times New Roman"/>
          <w:sz w:val="24"/>
          <w:szCs w:val="24"/>
        </w:rPr>
      </w:pPr>
      <w:r w:rsidRPr="00174C42">
        <w:rPr>
          <w:rFonts w:cs="Times New Roman"/>
          <w:sz w:val="24"/>
          <w:szCs w:val="24"/>
        </w:rPr>
        <w:t xml:space="preserve">Through AIFDR’s partnerships with NGO’s, CSO’s and faith based </w:t>
      </w:r>
      <w:proofErr w:type="gramStart"/>
      <w:r w:rsidRPr="00174C42">
        <w:rPr>
          <w:rFonts w:cs="Times New Roman"/>
          <w:sz w:val="24"/>
          <w:szCs w:val="24"/>
        </w:rPr>
        <w:t>organisations</w:t>
      </w:r>
      <w:r w:rsidR="000250A9">
        <w:rPr>
          <w:rFonts w:cs="Times New Roman"/>
          <w:sz w:val="24"/>
          <w:szCs w:val="24"/>
        </w:rPr>
        <w:t>,</w:t>
      </w:r>
      <w:proofErr w:type="gramEnd"/>
      <w:r w:rsidRPr="00174C42">
        <w:rPr>
          <w:rFonts w:cs="Times New Roman"/>
          <w:sz w:val="24"/>
          <w:szCs w:val="24"/>
        </w:rPr>
        <w:t xml:space="preserve"> </w:t>
      </w:r>
      <w:r w:rsidR="00AE4097">
        <w:rPr>
          <w:rFonts w:cs="Times New Roman"/>
          <w:sz w:val="24"/>
          <w:szCs w:val="24"/>
        </w:rPr>
        <w:t>the facility</w:t>
      </w:r>
      <w:r w:rsidR="00AE4097" w:rsidRPr="00174C42">
        <w:rPr>
          <w:rFonts w:cs="Times New Roman"/>
          <w:sz w:val="24"/>
          <w:szCs w:val="24"/>
        </w:rPr>
        <w:t xml:space="preserve"> </w:t>
      </w:r>
      <w:r w:rsidRPr="00174C42">
        <w:rPr>
          <w:rFonts w:cs="Times New Roman"/>
          <w:sz w:val="24"/>
          <w:szCs w:val="24"/>
        </w:rPr>
        <w:t xml:space="preserve">has </w:t>
      </w:r>
      <w:r w:rsidR="00B302D9">
        <w:rPr>
          <w:rFonts w:cs="Times New Roman"/>
          <w:sz w:val="24"/>
          <w:szCs w:val="24"/>
        </w:rPr>
        <w:t xml:space="preserve">delivered </w:t>
      </w:r>
      <w:r w:rsidR="000E52A6">
        <w:rPr>
          <w:rFonts w:cs="Times New Roman"/>
          <w:sz w:val="24"/>
          <w:szCs w:val="24"/>
        </w:rPr>
        <w:t>much needed resources</w:t>
      </w:r>
      <w:r w:rsidR="00B302D9">
        <w:rPr>
          <w:rFonts w:cs="Times New Roman"/>
          <w:sz w:val="24"/>
          <w:szCs w:val="24"/>
        </w:rPr>
        <w:t xml:space="preserve"> to five provinces.</w:t>
      </w:r>
      <w:r w:rsidRPr="00174C42">
        <w:rPr>
          <w:rFonts w:cs="Times New Roman"/>
          <w:sz w:val="24"/>
          <w:szCs w:val="24"/>
        </w:rPr>
        <w:t xml:space="preserve"> Project partners</w:t>
      </w:r>
      <w:r w:rsidR="001159D3">
        <w:rPr>
          <w:rFonts w:cs="Times New Roman"/>
          <w:sz w:val="24"/>
          <w:szCs w:val="24"/>
        </w:rPr>
        <w:t>’</w:t>
      </w:r>
      <w:r w:rsidRPr="00174C42">
        <w:rPr>
          <w:rFonts w:cs="Times New Roman"/>
          <w:sz w:val="24"/>
          <w:szCs w:val="24"/>
        </w:rPr>
        <w:t xml:space="preserve"> activities have been verified through monitoring and evaluation reports submitted to AIFDR. Key outcomes of these partnerships are discussed in detail under Outcome 2</w:t>
      </w:r>
      <w:r w:rsidR="00FB5DE5">
        <w:rPr>
          <w:rFonts w:cs="Times New Roman"/>
          <w:sz w:val="24"/>
          <w:szCs w:val="24"/>
        </w:rPr>
        <w:t xml:space="preserve"> (ref to pg 27)</w:t>
      </w:r>
      <w:r w:rsidRPr="00174C42">
        <w:rPr>
          <w:rFonts w:cs="Times New Roman"/>
          <w:sz w:val="24"/>
          <w:szCs w:val="24"/>
        </w:rPr>
        <w:t xml:space="preserve">. AIFDR has </w:t>
      </w:r>
      <w:r w:rsidR="001B28DD">
        <w:rPr>
          <w:rFonts w:cs="Times New Roman"/>
          <w:sz w:val="24"/>
          <w:szCs w:val="24"/>
        </w:rPr>
        <w:t xml:space="preserve">strategically chosen to </w:t>
      </w:r>
      <w:r w:rsidR="00B302D9">
        <w:rPr>
          <w:rFonts w:cs="Times New Roman"/>
          <w:sz w:val="24"/>
          <w:szCs w:val="24"/>
        </w:rPr>
        <w:t>partner with</w:t>
      </w:r>
      <w:r w:rsidR="00A90672">
        <w:rPr>
          <w:rFonts w:cs="Times New Roman"/>
          <w:sz w:val="24"/>
          <w:szCs w:val="24"/>
        </w:rPr>
        <w:t xml:space="preserve"> local NGO’s and CSO’</w:t>
      </w:r>
      <w:r w:rsidR="000250A9">
        <w:rPr>
          <w:rFonts w:cs="Times New Roman"/>
          <w:sz w:val="24"/>
          <w:szCs w:val="24"/>
        </w:rPr>
        <w:t>s</w:t>
      </w:r>
      <w:r w:rsidR="00B302D9">
        <w:rPr>
          <w:rFonts w:cs="Times New Roman"/>
          <w:sz w:val="24"/>
          <w:szCs w:val="24"/>
        </w:rPr>
        <w:t xml:space="preserve"> to leverage these partners existing networks and relationships</w:t>
      </w:r>
      <w:r w:rsidR="00876DFD">
        <w:rPr>
          <w:rFonts w:cs="Times New Roman"/>
          <w:sz w:val="24"/>
          <w:szCs w:val="24"/>
        </w:rPr>
        <w:t>. In principle, implementation through local partners is both effective and efficient as local organisations know their area and cultur</w:t>
      </w:r>
      <w:r w:rsidR="000250A9">
        <w:rPr>
          <w:rFonts w:cs="Times New Roman"/>
          <w:sz w:val="24"/>
          <w:szCs w:val="24"/>
        </w:rPr>
        <w:t>e</w:t>
      </w:r>
      <w:r w:rsidR="00876DFD">
        <w:rPr>
          <w:rFonts w:cs="Times New Roman"/>
          <w:sz w:val="24"/>
          <w:szCs w:val="24"/>
        </w:rPr>
        <w:t xml:space="preserve"> better than externally recruited expertise. Importantly, capacities and knowledge </w:t>
      </w:r>
      <w:r w:rsidR="006A161B">
        <w:rPr>
          <w:rFonts w:cs="Times New Roman"/>
          <w:sz w:val="24"/>
          <w:szCs w:val="24"/>
        </w:rPr>
        <w:t>gain</w:t>
      </w:r>
      <w:r w:rsidR="009254B7">
        <w:rPr>
          <w:rFonts w:cs="Times New Roman"/>
          <w:sz w:val="24"/>
          <w:szCs w:val="24"/>
        </w:rPr>
        <w:t>ed</w:t>
      </w:r>
      <w:r w:rsidR="006A161B">
        <w:rPr>
          <w:rFonts w:cs="Times New Roman"/>
          <w:sz w:val="24"/>
          <w:szCs w:val="24"/>
        </w:rPr>
        <w:t xml:space="preserve"> </w:t>
      </w:r>
      <w:r w:rsidR="00A23361">
        <w:rPr>
          <w:rFonts w:cs="Times New Roman"/>
          <w:sz w:val="24"/>
          <w:szCs w:val="24"/>
        </w:rPr>
        <w:t xml:space="preserve">through project implementation is </w:t>
      </w:r>
      <w:r w:rsidR="00661F43">
        <w:rPr>
          <w:rFonts w:cs="Times New Roman"/>
          <w:sz w:val="24"/>
          <w:szCs w:val="24"/>
        </w:rPr>
        <w:t>usually retained in the local area.</w:t>
      </w:r>
    </w:p>
    <w:p w14:paraId="424223D4" w14:textId="77777777" w:rsidR="00661F43" w:rsidRDefault="00661F43" w:rsidP="006E248F">
      <w:pPr>
        <w:spacing w:after="0" w:line="240" w:lineRule="auto"/>
        <w:rPr>
          <w:rFonts w:cs="Times New Roman"/>
          <w:sz w:val="24"/>
          <w:szCs w:val="24"/>
        </w:rPr>
      </w:pPr>
    </w:p>
    <w:p w14:paraId="1B2709AA" w14:textId="6BD91C4C" w:rsidR="00F0601A" w:rsidRPr="000E52A6" w:rsidRDefault="000E52A6" w:rsidP="004318DD">
      <w:pPr>
        <w:rPr>
          <w:b/>
          <w:sz w:val="24"/>
          <w:szCs w:val="24"/>
        </w:rPr>
      </w:pPr>
      <w:r>
        <w:rPr>
          <w:b/>
          <w:sz w:val="24"/>
          <w:szCs w:val="24"/>
        </w:rPr>
        <w:t>AIFDR P</w:t>
      </w:r>
      <w:r w:rsidR="004318DD" w:rsidRPr="000E52A6">
        <w:rPr>
          <w:b/>
          <w:sz w:val="24"/>
          <w:szCs w:val="24"/>
        </w:rPr>
        <w:t>artnership</w:t>
      </w:r>
      <w:r w:rsidR="00ED4EC6" w:rsidRPr="000E52A6">
        <w:rPr>
          <w:b/>
          <w:sz w:val="24"/>
          <w:szCs w:val="24"/>
        </w:rPr>
        <w:t xml:space="preserve"> with the Association of South East Asian Nations (ASEAN)</w:t>
      </w:r>
      <w:r w:rsidR="004318DD" w:rsidRPr="000E52A6">
        <w:rPr>
          <w:b/>
          <w:sz w:val="24"/>
          <w:szCs w:val="24"/>
        </w:rPr>
        <w:t xml:space="preserve"> </w:t>
      </w:r>
    </w:p>
    <w:p w14:paraId="3AE8BB76" w14:textId="3D83FA54" w:rsidR="00376995" w:rsidRPr="00376995" w:rsidRDefault="004318DD" w:rsidP="004A2A6B">
      <w:pPr>
        <w:rPr>
          <w:sz w:val="24"/>
          <w:szCs w:val="24"/>
        </w:rPr>
      </w:pPr>
      <w:r w:rsidRPr="00376995">
        <w:rPr>
          <w:sz w:val="24"/>
          <w:szCs w:val="24"/>
        </w:rPr>
        <w:t xml:space="preserve">AIFDR has </w:t>
      </w:r>
      <w:r w:rsidR="004A2A6B" w:rsidRPr="00376995">
        <w:rPr>
          <w:sz w:val="24"/>
          <w:szCs w:val="24"/>
        </w:rPr>
        <w:t xml:space="preserve">provided AUD2.83 million to the </w:t>
      </w:r>
      <w:r w:rsidR="004A2A6B" w:rsidRPr="00376995">
        <w:rPr>
          <w:rFonts w:eastAsia="Calibri"/>
          <w:color w:val="181717"/>
          <w:sz w:val="24"/>
          <w:szCs w:val="24"/>
        </w:rPr>
        <w:t xml:space="preserve">ASEAN Secretariat for the establishment of the ASEAN Coordinating Centre for Humanitarian Assistance on Disaster Management (AHA Centre) and implementation of </w:t>
      </w:r>
      <w:r w:rsidR="005B2C09">
        <w:rPr>
          <w:rFonts w:eastAsia="Calibri"/>
          <w:color w:val="181717"/>
          <w:sz w:val="24"/>
          <w:szCs w:val="24"/>
        </w:rPr>
        <w:t xml:space="preserve">specific elements of </w:t>
      </w:r>
      <w:r w:rsidR="004A2A6B" w:rsidRPr="00376995">
        <w:rPr>
          <w:rFonts w:eastAsia="Calibri"/>
          <w:color w:val="181717"/>
          <w:sz w:val="24"/>
          <w:szCs w:val="24"/>
        </w:rPr>
        <w:t xml:space="preserve">the Agreement on Disaster Management and Emergency Response (AADMER) </w:t>
      </w:r>
      <w:r w:rsidR="004A2A6B" w:rsidRPr="00376995">
        <w:rPr>
          <w:sz w:val="24"/>
          <w:szCs w:val="24"/>
        </w:rPr>
        <w:t xml:space="preserve">work plan. </w:t>
      </w:r>
      <w:r w:rsidR="00511A76">
        <w:rPr>
          <w:sz w:val="24"/>
          <w:szCs w:val="24"/>
        </w:rPr>
        <w:t>AIFDR’s</w:t>
      </w:r>
      <w:r w:rsidR="004A2A6B" w:rsidRPr="00376995">
        <w:rPr>
          <w:sz w:val="24"/>
          <w:szCs w:val="24"/>
        </w:rPr>
        <w:t xml:space="preserve"> support to ASEAN has been described by the Secretariat as “exceptional and well-targeted”</w:t>
      </w:r>
      <w:r w:rsidR="004A2A6B" w:rsidRPr="00376995">
        <w:rPr>
          <w:rStyle w:val="FootnoteReference"/>
          <w:sz w:val="24"/>
          <w:szCs w:val="24"/>
        </w:rPr>
        <w:footnoteReference w:id="17"/>
      </w:r>
      <w:r w:rsidR="004A2A6B" w:rsidRPr="00376995">
        <w:rPr>
          <w:sz w:val="24"/>
          <w:szCs w:val="24"/>
        </w:rPr>
        <w:t xml:space="preserve">. </w:t>
      </w:r>
    </w:p>
    <w:p w14:paraId="3E9133C3" w14:textId="2F327743" w:rsidR="004A2A6B" w:rsidRDefault="000250A9" w:rsidP="004A2A6B">
      <w:pPr>
        <w:rPr>
          <w:sz w:val="24"/>
          <w:szCs w:val="24"/>
        </w:rPr>
      </w:pPr>
      <w:r>
        <w:rPr>
          <w:sz w:val="24"/>
          <w:szCs w:val="24"/>
        </w:rPr>
        <w:t>I</w:t>
      </w:r>
      <w:r w:rsidR="004F0C9C" w:rsidRPr="00376995">
        <w:rPr>
          <w:sz w:val="24"/>
          <w:szCs w:val="24"/>
        </w:rPr>
        <w:t>n parallel to this exercise</w:t>
      </w:r>
      <w:r>
        <w:rPr>
          <w:sz w:val="24"/>
          <w:szCs w:val="24"/>
        </w:rPr>
        <w:t xml:space="preserve">, </w:t>
      </w:r>
      <w:r w:rsidR="004F0C9C" w:rsidRPr="00376995">
        <w:rPr>
          <w:sz w:val="24"/>
          <w:szCs w:val="24"/>
        </w:rPr>
        <w:t>a review of Australia’s investm</w:t>
      </w:r>
      <w:r w:rsidR="00376995" w:rsidRPr="00376995">
        <w:rPr>
          <w:sz w:val="24"/>
          <w:szCs w:val="24"/>
        </w:rPr>
        <w:t xml:space="preserve">ents in </w:t>
      </w:r>
      <w:r w:rsidR="005B2C09">
        <w:rPr>
          <w:sz w:val="24"/>
          <w:szCs w:val="24"/>
        </w:rPr>
        <w:t xml:space="preserve">building </w:t>
      </w:r>
      <w:r w:rsidR="00376995" w:rsidRPr="00376995">
        <w:rPr>
          <w:sz w:val="24"/>
          <w:szCs w:val="24"/>
        </w:rPr>
        <w:t>ASEAN</w:t>
      </w:r>
      <w:r w:rsidR="005B2C09">
        <w:rPr>
          <w:sz w:val="24"/>
          <w:szCs w:val="24"/>
        </w:rPr>
        <w:t>’s disaster management capacity</w:t>
      </w:r>
      <w:r w:rsidR="00B267B0">
        <w:rPr>
          <w:sz w:val="24"/>
          <w:szCs w:val="24"/>
        </w:rPr>
        <w:t xml:space="preserve"> has been undertaken</w:t>
      </w:r>
      <w:r w:rsidR="00F570EA">
        <w:rPr>
          <w:rStyle w:val="FootnoteReference"/>
          <w:sz w:val="24"/>
          <w:szCs w:val="24"/>
        </w:rPr>
        <w:t xml:space="preserve"> </w:t>
      </w:r>
      <w:r w:rsidR="00511A76">
        <w:rPr>
          <w:rStyle w:val="FootnoteReference"/>
          <w:sz w:val="24"/>
          <w:szCs w:val="24"/>
        </w:rPr>
        <w:footnoteReference w:id="18"/>
      </w:r>
      <w:r w:rsidR="00376995" w:rsidRPr="00376995">
        <w:rPr>
          <w:sz w:val="24"/>
          <w:szCs w:val="24"/>
        </w:rPr>
        <w:t xml:space="preserve">. </w:t>
      </w:r>
      <w:r w:rsidR="004A2A6B" w:rsidRPr="00376995">
        <w:rPr>
          <w:sz w:val="24"/>
          <w:szCs w:val="24"/>
        </w:rPr>
        <w:t xml:space="preserve">ASEAN is the corner stone of the regions’ disaster management architecture, and it is </w:t>
      </w:r>
      <w:r w:rsidR="00661F43">
        <w:rPr>
          <w:sz w:val="24"/>
          <w:szCs w:val="24"/>
        </w:rPr>
        <w:t xml:space="preserve">important Australia </w:t>
      </w:r>
      <w:r w:rsidR="004A2A6B" w:rsidRPr="00376995">
        <w:rPr>
          <w:sz w:val="24"/>
          <w:szCs w:val="24"/>
        </w:rPr>
        <w:t>continue</w:t>
      </w:r>
      <w:r w:rsidR="00661F43">
        <w:rPr>
          <w:sz w:val="24"/>
          <w:szCs w:val="24"/>
        </w:rPr>
        <w:t>s</w:t>
      </w:r>
      <w:r w:rsidR="004A2A6B" w:rsidRPr="00376995">
        <w:rPr>
          <w:sz w:val="24"/>
          <w:szCs w:val="24"/>
        </w:rPr>
        <w:t xml:space="preserve"> to nurture its growth so as to cultivate regional disaster management capabilities.</w:t>
      </w:r>
      <w:r w:rsidR="00376995" w:rsidRPr="00376995">
        <w:rPr>
          <w:sz w:val="24"/>
          <w:szCs w:val="24"/>
        </w:rPr>
        <w:t xml:space="preserve"> </w:t>
      </w:r>
      <w:r w:rsidR="004A2A6B" w:rsidRPr="00376995">
        <w:rPr>
          <w:sz w:val="24"/>
          <w:szCs w:val="24"/>
        </w:rPr>
        <w:t>To date, Australia has got great equity for its support for the AHA Centre in particular and has, in some senses, even under-leveraged its investment. The review team are firm in their opinion that continued support to ASEAN disaster management aspirations aligns with Australia’s foreign policy interests; complements existing investments in regional DM; and is relevant given the evolving regional architecture.</w:t>
      </w:r>
    </w:p>
    <w:p w14:paraId="4CEDEB9E" w14:textId="77777777" w:rsidR="008363CB" w:rsidRPr="00376995" w:rsidRDefault="008363CB" w:rsidP="006E248F">
      <w:pPr>
        <w:spacing w:after="0" w:line="240" w:lineRule="auto"/>
        <w:rPr>
          <w:sz w:val="24"/>
          <w:szCs w:val="24"/>
        </w:rPr>
      </w:pPr>
    </w:p>
    <w:p w14:paraId="20949E03" w14:textId="18EE0B32" w:rsidR="0027367A" w:rsidRPr="000E52A6" w:rsidRDefault="000E52A6" w:rsidP="004318DD">
      <w:pPr>
        <w:rPr>
          <w:b/>
          <w:sz w:val="24"/>
          <w:szCs w:val="24"/>
        </w:rPr>
      </w:pPr>
      <w:r w:rsidRPr="000E52A6">
        <w:rPr>
          <w:b/>
          <w:sz w:val="24"/>
          <w:szCs w:val="24"/>
        </w:rPr>
        <w:t>AIFDR</w:t>
      </w:r>
      <w:r w:rsidR="0027367A" w:rsidRPr="000E52A6">
        <w:rPr>
          <w:b/>
          <w:sz w:val="24"/>
          <w:szCs w:val="24"/>
        </w:rPr>
        <w:t xml:space="preserve"> partnership with the United Nations </w:t>
      </w:r>
      <w:r w:rsidR="00D74A0D" w:rsidRPr="000E52A6">
        <w:rPr>
          <w:b/>
          <w:sz w:val="24"/>
          <w:szCs w:val="24"/>
        </w:rPr>
        <w:t xml:space="preserve">Office for Coordination of Humanitarian Affairs </w:t>
      </w:r>
      <w:r w:rsidR="0027367A" w:rsidRPr="000E52A6">
        <w:rPr>
          <w:b/>
          <w:sz w:val="24"/>
          <w:szCs w:val="24"/>
        </w:rPr>
        <w:t xml:space="preserve">(OCHA) </w:t>
      </w:r>
    </w:p>
    <w:p w14:paraId="3498B4E8" w14:textId="77777777" w:rsidR="00AE1102" w:rsidRDefault="00AE1102" w:rsidP="00661F43">
      <w:pPr>
        <w:rPr>
          <w:sz w:val="24"/>
          <w:szCs w:val="24"/>
        </w:rPr>
      </w:pPr>
      <w:r>
        <w:rPr>
          <w:sz w:val="24"/>
          <w:szCs w:val="24"/>
        </w:rPr>
        <w:t>A recent review of the Australian Aid-OCHA Indonesia partnership found that OCHA was important to BNPB because it is the conduit to international good practice and global expertise</w:t>
      </w:r>
      <w:r>
        <w:rPr>
          <w:rStyle w:val="FootnoteReference"/>
          <w:sz w:val="24"/>
          <w:szCs w:val="24"/>
        </w:rPr>
        <w:footnoteReference w:id="19"/>
      </w:r>
      <w:r>
        <w:rPr>
          <w:sz w:val="24"/>
          <w:szCs w:val="24"/>
        </w:rPr>
        <w:t xml:space="preserve">. Further the review found </w:t>
      </w:r>
      <w:r w:rsidRPr="00F570EA">
        <w:rPr>
          <w:i/>
          <w:sz w:val="24"/>
          <w:szCs w:val="24"/>
        </w:rPr>
        <w:t>“OCHA remains a valuable strategic partner of AusAID in Indonesia</w:t>
      </w:r>
      <w:r>
        <w:rPr>
          <w:sz w:val="24"/>
          <w:szCs w:val="24"/>
        </w:rPr>
        <w:t>”</w:t>
      </w:r>
      <w:r>
        <w:rPr>
          <w:rStyle w:val="FootnoteReference"/>
          <w:sz w:val="24"/>
          <w:szCs w:val="24"/>
        </w:rPr>
        <w:footnoteReference w:id="20"/>
      </w:r>
      <w:r>
        <w:rPr>
          <w:sz w:val="24"/>
          <w:szCs w:val="24"/>
        </w:rPr>
        <w:t>.</w:t>
      </w:r>
    </w:p>
    <w:p w14:paraId="5F67E407" w14:textId="5625683C" w:rsidR="00AE1102" w:rsidRDefault="0027367A" w:rsidP="00661F43">
      <w:pPr>
        <w:rPr>
          <w:sz w:val="24"/>
          <w:szCs w:val="24"/>
        </w:rPr>
      </w:pPr>
      <w:r w:rsidRPr="0027367A">
        <w:rPr>
          <w:sz w:val="24"/>
          <w:szCs w:val="24"/>
        </w:rPr>
        <w:t xml:space="preserve">Australia </w:t>
      </w:r>
      <w:r w:rsidR="007F6889">
        <w:rPr>
          <w:sz w:val="24"/>
          <w:szCs w:val="24"/>
        </w:rPr>
        <w:t xml:space="preserve">provides </w:t>
      </w:r>
      <w:r w:rsidRPr="0027367A">
        <w:rPr>
          <w:sz w:val="24"/>
          <w:szCs w:val="24"/>
        </w:rPr>
        <w:t xml:space="preserve">funding to OCHA </w:t>
      </w:r>
      <w:r w:rsidR="00F148F1">
        <w:rPr>
          <w:sz w:val="24"/>
          <w:szCs w:val="24"/>
        </w:rPr>
        <w:t>(</w:t>
      </w:r>
      <w:r w:rsidRPr="0027367A">
        <w:rPr>
          <w:sz w:val="24"/>
          <w:szCs w:val="24"/>
        </w:rPr>
        <w:t>Indonesia</w:t>
      </w:r>
      <w:r w:rsidR="00F148F1">
        <w:rPr>
          <w:sz w:val="24"/>
          <w:szCs w:val="24"/>
        </w:rPr>
        <w:t>)</w:t>
      </w:r>
      <w:r w:rsidRPr="0027367A">
        <w:rPr>
          <w:sz w:val="24"/>
          <w:szCs w:val="24"/>
        </w:rPr>
        <w:t xml:space="preserve"> through the Disaster Response Unit (DRU)</w:t>
      </w:r>
      <w:r w:rsidR="00914178">
        <w:rPr>
          <w:sz w:val="24"/>
          <w:szCs w:val="24"/>
        </w:rPr>
        <w:t>,</w:t>
      </w:r>
      <w:r w:rsidRPr="0027367A">
        <w:rPr>
          <w:sz w:val="24"/>
          <w:szCs w:val="24"/>
        </w:rPr>
        <w:t xml:space="preserve"> and through AIFDR. </w:t>
      </w:r>
      <w:r w:rsidR="00373D24">
        <w:rPr>
          <w:sz w:val="24"/>
          <w:szCs w:val="24"/>
        </w:rPr>
        <w:t xml:space="preserve">The majority of funding </w:t>
      </w:r>
      <w:r w:rsidR="00F148F1">
        <w:rPr>
          <w:sz w:val="24"/>
          <w:szCs w:val="24"/>
        </w:rPr>
        <w:t xml:space="preserve">to OCHA (est. $600,000 per annum) is channelled through </w:t>
      </w:r>
      <w:r w:rsidR="00D74A0D">
        <w:rPr>
          <w:sz w:val="24"/>
          <w:szCs w:val="24"/>
        </w:rPr>
        <w:t>the former</w:t>
      </w:r>
      <w:r w:rsidR="00AE1102">
        <w:rPr>
          <w:sz w:val="24"/>
          <w:szCs w:val="24"/>
        </w:rPr>
        <w:t xml:space="preserve"> and primarily serves to support the partnership between Australia and OCHA, which lies beyond the scope of this review</w:t>
      </w:r>
      <w:r w:rsidR="00F148F1">
        <w:rPr>
          <w:sz w:val="24"/>
          <w:szCs w:val="24"/>
        </w:rPr>
        <w:t>.</w:t>
      </w:r>
    </w:p>
    <w:p w14:paraId="2B104BC6" w14:textId="71B6F961" w:rsidR="00D74A0D" w:rsidRDefault="00D74A0D" w:rsidP="00661F43">
      <w:pPr>
        <w:rPr>
          <w:sz w:val="24"/>
          <w:szCs w:val="24"/>
        </w:rPr>
      </w:pPr>
      <w:r>
        <w:rPr>
          <w:sz w:val="24"/>
          <w:szCs w:val="24"/>
        </w:rPr>
        <w:t xml:space="preserve">However, </w:t>
      </w:r>
      <w:r w:rsidR="00661F43">
        <w:rPr>
          <w:sz w:val="24"/>
          <w:szCs w:val="24"/>
        </w:rPr>
        <w:t xml:space="preserve">AIFDR has </w:t>
      </w:r>
      <w:r w:rsidR="00AE1102">
        <w:rPr>
          <w:sz w:val="24"/>
          <w:szCs w:val="24"/>
        </w:rPr>
        <w:t xml:space="preserve">separately </w:t>
      </w:r>
      <w:r w:rsidR="00661F43">
        <w:rPr>
          <w:sz w:val="24"/>
          <w:szCs w:val="24"/>
        </w:rPr>
        <w:t>funded a small number of projects</w:t>
      </w:r>
      <w:r w:rsidR="00AE1102">
        <w:rPr>
          <w:sz w:val="24"/>
          <w:szCs w:val="24"/>
        </w:rPr>
        <w:t xml:space="preserve"> that have aimed to consolidate the relationship between OCHA and BNBP, e.g.</w:t>
      </w:r>
      <w:r w:rsidR="00661F43">
        <w:rPr>
          <w:sz w:val="24"/>
          <w:szCs w:val="24"/>
        </w:rPr>
        <w:t xml:space="preserve"> con</w:t>
      </w:r>
      <w:r w:rsidR="00661F43" w:rsidRPr="00BD1826">
        <w:rPr>
          <w:sz w:val="24"/>
          <w:szCs w:val="24"/>
        </w:rPr>
        <w:t>tingency planning in four</w:t>
      </w:r>
      <w:r w:rsidR="00661F43">
        <w:rPr>
          <w:sz w:val="24"/>
          <w:szCs w:val="24"/>
        </w:rPr>
        <w:t xml:space="preserve"> </w:t>
      </w:r>
      <w:r w:rsidR="00661F43" w:rsidRPr="00BD1826">
        <w:rPr>
          <w:sz w:val="24"/>
          <w:szCs w:val="24"/>
        </w:rPr>
        <w:t>target provincial areas</w:t>
      </w:r>
      <w:r w:rsidR="00661F43">
        <w:rPr>
          <w:sz w:val="24"/>
          <w:szCs w:val="24"/>
        </w:rPr>
        <w:t xml:space="preserve">, and senior management training to </w:t>
      </w:r>
      <w:r w:rsidR="00661F43" w:rsidRPr="00BD1826">
        <w:rPr>
          <w:sz w:val="24"/>
          <w:szCs w:val="24"/>
        </w:rPr>
        <w:t>BNPB</w:t>
      </w:r>
      <w:r w:rsidR="00661F43">
        <w:rPr>
          <w:sz w:val="24"/>
          <w:szCs w:val="24"/>
        </w:rPr>
        <w:t xml:space="preserve">. </w:t>
      </w:r>
      <w:r w:rsidR="00F570EA">
        <w:rPr>
          <w:sz w:val="24"/>
          <w:szCs w:val="24"/>
        </w:rPr>
        <w:t xml:space="preserve">These </w:t>
      </w:r>
      <w:r w:rsidR="00661F43">
        <w:rPr>
          <w:sz w:val="24"/>
          <w:szCs w:val="24"/>
        </w:rPr>
        <w:t>project</w:t>
      </w:r>
      <w:r w:rsidR="00326B88">
        <w:rPr>
          <w:sz w:val="24"/>
          <w:szCs w:val="24"/>
        </w:rPr>
        <w:t>s</w:t>
      </w:r>
      <w:r w:rsidR="00661F43">
        <w:rPr>
          <w:sz w:val="24"/>
          <w:szCs w:val="24"/>
        </w:rPr>
        <w:t xml:space="preserve"> have reportedly been successfully implemented</w:t>
      </w:r>
      <w:r>
        <w:rPr>
          <w:sz w:val="24"/>
          <w:szCs w:val="24"/>
        </w:rPr>
        <w:t xml:space="preserve"> and might</w:t>
      </w:r>
      <w:r w:rsidR="00AE1102">
        <w:rPr>
          <w:sz w:val="24"/>
          <w:szCs w:val="24"/>
        </w:rPr>
        <w:t>,</w:t>
      </w:r>
      <w:r>
        <w:rPr>
          <w:sz w:val="24"/>
          <w:szCs w:val="24"/>
        </w:rPr>
        <w:t xml:space="preserve"> </w:t>
      </w:r>
      <w:r w:rsidR="00AE1102">
        <w:rPr>
          <w:sz w:val="24"/>
          <w:szCs w:val="24"/>
        </w:rPr>
        <w:t>therefore,</w:t>
      </w:r>
      <w:r>
        <w:rPr>
          <w:sz w:val="24"/>
          <w:szCs w:val="24"/>
        </w:rPr>
        <w:t xml:space="preserve"> be deemed to have </w:t>
      </w:r>
      <w:r w:rsidR="00AE1102">
        <w:rPr>
          <w:sz w:val="24"/>
          <w:szCs w:val="24"/>
        </w:rPr>
        <w:t>achieved their aim</w:t>
      </w:r>
      <w:r w:rsidR="00661F43">
        <w:rPr>
          <w:sz w:val="24"/>
          <w:szCs w:val="24"/>
        </w:rPr>
        <w:t>.</w:t>
      </w:r>
      <w:r w:rsidR="00EC5754">
        <w:rPr>
          <w:sz w:val="24"/>
          <w:szCs w:val="24"/>
        </w:rPr>
        <w:t xml:space="preserve"> Nonetheless, the </w:t>
      </w:r>
      <w:r w:rsidR="00B267B0">
        <w:rPr>
          <w:sz w:val="24"/>
          <w:szCs w:val="24"/>
        </w:rPr>
        <w:t xml:space="preserve">review team </w:t>
      </w:r>
      <w:r w:rsidR="00EC5754">
        <w:rPr>
          <w:sz w:val="24"/>
          <w:szCs w:val="24"/>
        </w:rPr>
        <w:t>questions the partnership value in real terms of these AIFDR investments given the rather limited amount of funding.</w:t>
      </w:r>
    </w:p>
    <w:p w14:paraId="4A8A4B98" w14:textId="33D790FC" w:rsidR="003E3D22" w:rsidRDefault="003E3D22" w:rsidP="006E248F">
      <w:pPr>
        <w:spacing w:after="0" w:line="240" w:lineRule="auto"/>
        <w:rPr>
          <w:sz w:val="24"/>
          <w:szCs w:val="24"/>
        </w:rPr>
      </w:pPr>
    </w:p>
    <w:p w14:paraId="0BF800FB" w14:textId="669E6337" w:rsidR="004318DD" w:rsidRPr="00EC4CB4" w:rsidRDefault="00F25E59" w:rsidP="00F25E59">
      <w:pPr>
        <w:pStyle w:val="Heading2"/>
      </w:pPr>
      <w:bookmarkStart w:id="14" w:name="_Toc402431253"/>
      <w:r>
        <w:t>2</w:t>
      </w:r>
      <w:r w:rsidR="004318DD" w:rsidRPr="00EC4CB4">
        <w:t>.3</w:t>
      </w:r>
      <w:r w:rsidR="004318DD" w:rsidRPr="00EC4CB4">
        <w:tab/>
        <w:t>Efficiency</w:t>
      </w:r>
      <w:bookmarkEnd w:id="14"/>
    </w:p>
    <w:p w14:paraId="6740D95F" w14:textId="1B56DC92" w:rsidR="00B65EAB" w:rsidRDefault="00B65EAB" w:rsidP="00957E2D">
      <w:pPr>
        <w:spacing w:after="0"/>
        <w:rPr>
          <w:rFonts w:ascii="Calibri" w:eastAsia="Calibri" w:hAnsi="Calibri" w:cs="Calibri"/>
          <w:b/>
        </w:rPr>
      </w:pPr>
      <w:r w:rsidRPr="00174C42">
        <w:rPr>
          <w:b/>
          <w:noProof/>
          <w:sz w:val="24"/>
          <w:szCs w:val="24"/>
          <w:lang w:eastAsia="en-AU"/>
        </w:rPr>
        <mc:AlternateContent>
          <mc:Choice Requires="wps">
            <w:drawing>
              <wp:anchor distT="45720" distB="45720" distL="114300" distR="114300" simplePos="0" relativeHeight="251678720" behindDoc="0" locked="0" layoutInCell="1" allowOverlap="1" wp14:anchorId="6E587BA4" wp14:editId="59359186">
                <wp:simplePos x="0" y="0"/>
                <wp:positionH relativeFrom="column">
                  <wp:posOffset>0</wp:posOffset>
                </wp:positionH>
                <wp:positionV relativeFrom="paragraph">
                  <wp:posOffset>330835</wp:posOffset>
                </wp:positionV>
                <wp:extent cx="4762500" cy="10668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066800"/>
                        </a:xfrm>
                        <a:prstGeom prst="rect">
                          <a:avLst/>
                        </a:prstGeom>
                        <a:solidFill>
                          <a:schemeClr val="accent3">
                            <a:lumMod val="60000"/>
                            <a:lumOff val="40000"/>
                          </a:schemeClr>
                        </a:solidFill>
                        <a:ln w="9525">
                          <a:solidFill>
                            <a:schemeClr val="tx1"/>
                          </a:solidFill>
                          <a:miter lim="800000"/>
                          <a:headEnd/>
                          <a:tailEnd/>
                        </a:ln>
                      </wps:spPr>
                      <wps:txbx>
                        <w:txbxContent>
                          <w:p w14:paraId="3E08923A" w14:textId="02B9327F" w:rsidR="004D3B28" w:rsidRPr="00B114FA" w:rsidRDefault="004D3B28" w:rsidP="00B65EAB">
                            <w:pPr>
                              <w:rPr>
                                <w:b/>
                                <w:sz w:val="24"/>
                                <w:szCs w:val="24"/>
                              </w:rPr>
                            </w:pPr>
                            <w:r w:rsidRPr="00B114FA">
                              <w:rPr>
                                <w:b/>
                                <w:sz w:val="24"/>
                                <w:szCs w:val="24"/>
                              </w:rPr>
                              <w:t>Eff</w:t>
                            </w:r>
                            <w:r>
                              <w:rPr>
                                <w:b/>
                                <w:sz w:val="24"/>
                                <w:szCs w:val="24"/>
                              </w:rPr>
                              <w:t>iciency</w:t>
                            </w:r>
                            <w:r w:rsidRPr="00B114FA">
                              <w:rPr>
                                <w:b/>
                                <w:sz w:val="24"/>
                                <w:szCs w:val="24"/>
                              </w:rPr>
                              <w:t xml:space="preserve">: </w:t>
                            </w:r>
                          </w:p>
                          <w:p w14:paraId="0C0D3E93" w14:textId="77777777" w:rsidR="004D3B28" w:rsidRDefault="004D3B28" w:rsidP="00B65EAB">
                            <w:pPr>
                              <w:rPr>
                                <w:i/>
                                <w:sz w:val="24"/>
                                <w:szCs w:val="24"/>
                              </w:rPr>
                            </w:pPr>
                            <w:r w:rsidRPr="00B114FA">
                              <w:rPr>
                                <w:i/>
                                <w:sz w:val="24"/>
                                <w:szCs w:val="24"/>
                              </w:rPr>
                              <w:t>“</w:t>
                            </w:r>
                            <w:r>
                              <w:rPr>
                                <w:i/>
                                <w:sz w:val="24"/>
                                <w:szCs w:val="24"/>
                              </w:rPr>
                              <w:t>A measure of how economically resources/inputs (funds, expertise, time etc) are converted to results</w:t>
                            </w:r>
                            <w:r w:rsidRPr="00B114FA">
                              <w:rPr>
                                <w:i/>
                                <w:sz w:val="24"/>
                                <w:szCs w:val="24"/>
                              </w:rPr>
                              <w:t>”</w:t>
                            </w:r>
                            <w:r>
                              <w:rPr>
                                <w:i/>
                                <w:sz w:val="24"/>
                                <w:szCs w:val="24"/>
                              </w:rPr>
                              <w:t>.</w:t>
                            </w:r>
                            <w:r w:rsidRPr="00B114FA">
                              <w:rPr>
                                <w:i/>
                                <w:sz w:val="24"/>
                                <w:szCs w:val="24"/>
                              </w:rPr>
                              <w:t xml:space="preserve"> </w:t>
                            </w:r>
                          </w:p>
                          <w:p w14:paraId="69DE9714" w14:textId="7326485E" w:rsidR="004D3B28" w:rsidRPr="00B114FA" w:rsidRDefault="004D3B28" w:rsidP="00B65EAB">
                            <w:pPr>
                              <w:rPr>
                                <w:i/>
                                <w:sz w:val="24"/>
                                <w:szCs w:val="24"/>
                              </w:rPr>
                            </w:pPr>
                            <w:r>
                              <w:rPr>
                                <w:i/>
                                <w:sz w:val="24"/>
                                <w:szCs w:val="24"/>
                              </w:rPr>
                              <w:t>O</w:t>
                            </w:r>
                            <w:r w:rsidRPr="00B114FA">
                              <w:rPr>
                                <w:i/>
                                <w:sz w:val="24"/>
                                <w:szCs w:val="24"/>
                              </w:rPr>
                              <w:t>ECD</w:t>
                            </w:r>
                            <w:r>
                              <w:rPr>
                                <w:i/>
                                <w:sz w:val="24"/>
                                <w:szCs w:val="24"/>
                              </w:rPr>
                              <w:t xml:space="preserve"> definition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26.05pt;width:375pt;height:8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" fillcolor="#c9c9c9 [1942]" strokecolor="black [3213]">
                <v:textbox>
                  <w:txbxContent>
                    <w:p w14:paraId="3E08923A" w14:textId="02B9327F" w:rsidR="004D3B28" w:rsidRPr="00B114FA" w:rsidRDefault="004D3B28" w:rsidP="00B65EAB">
                      <w:pPr>
                        <w:rPr>
                          <w:b/>
                          <w:sz w:val="24"/>
                          <w:szCs w:val="24"/>
                        </w:rPr>
                      </w:pPr>
                      <w:r w:rsidRPr="00B114FA">
                        <w:rPr>
                          <w:b/>
                          <w:sz w:val="24"/>
                          <w:szCs w:val="24"/>
                        </w:rPr>
                        <w:t>Eff</w:t>
                      </w:r>
                      <w:r>
                        <w:rPr>
                          <w:b/>
                          <w:sz w:val="24"/>
                          <w:szCs w:val="24"/>
                        </w:rPr>
                        <w:t>iciency</w:t>
                      </w:r>
                      <w:r w:rsidRPr="00B114FA">
                        <w:rPr>
                          <w:b/>
                          <w:sz w:val="24"/>
                          <w:szCs w:val="24"/>
                        </w:rPr>
                        <w:t xml:space="preserve">: </w:t>
                      </w:r>
                    </w:p>
                    <w:p w14:paraId="0C0D3E93" w14:textId="77777777" w:rsidR="004D3B28" w:rsidRDefault="004D3B28" w:rsidP="00B65EAB">
                      <w:pPr>
                        <w:rPr>
                          <w:i/>
                          <w:sz w:val="24"/>
                          <w:szCs w:val="24"/>
                        </w:rPr>
                      </w:pPr>
                      <w:r w:rsidRPr="00B114FA">
                        <w:rPr>
                          <w:i/>
                          <w:sz w:val="24"/>
                          <w:szCs w:val="24"/>
                        </w:rPr>
                        <w:t>“</w:t>
                      </w:r>
                      <w:r>
                        <w:rPr>
                          <w:i/>
                          <w:sz w:val="24"/>
                          <w:szCs w:val="24"/>
                        </w:rPr>
                        <w:t>A measure of how economically resources/inputs (funds, expertise, time etc) are converted to results</w:t>
                      </w:r>
                      <w:r w:rsidRPr="00B114FA">
                        <w:rPr>
                          <w:i/>
                          <w:sz w:val="24"/>
                          <w:szCs w:val="24"/>
                        </w:rPr>
                        <w:t>”</w:t>
                      </w:r>
                      <w:r>
                        <w:rPr>
                          <w:i/>
                          <w:sz w:val="24"/>
                          <w:szCs w:val="24"/>
                        </w:rPr>
                        <w:t>.</w:t>
                      </w:r>
                      <w:r w:rsidRPr="00B114FA">
                        <w:rPr>
                          <w:i/>
                          <w:sz w:val="24"/>
                          <w:szCs w:val="24"/>
                        </w:rPr>
                        <w:t xml:space="preserve"> </w:t>
                      </w:r>
                    </w:p>
                    <w:p w14:paraId="69DE9714" w14:textId="7326485E" w:rsidR="004D3B28" w:rsidRPr="00B114FA" w:rsidRDefault="004D3B28" w:rsidP="00B65EAB">
                      <w:pPr>
                        <w:rPr>
                          <w:i/>
                          <w:sz w:val="24"/>
                          <w:szCs w:val="24"/>
                        </w:rPr>
                      </w:pPr>
                      <w:r>
                        <w:rPr>
                          <w:i/>
                          <w:sz w:val="24"/>
                          <w:szCs w:val="24"/>
                        </w:rPr>
                        <w:t>O</w:t>
                      </w:r>
                      <w:r w:rsidRPr="00B114FA">
                        <w:rPr>
                          <w:i/>
                          <w:sz w:val="24"/>
                          <w:szCs w:val="24"/>
                        </w:rPr>
                        <w:t>ECD</w:t>
                      </w:r>
                      <w:r>
                        <w:rPr>
                          <w:i/>
                          <w:sz w:val="24"/>
                          <w:szCs w:val="24"/>
                        </w:rPr>
                        <w:t xml:space="preserve"> definition </w:t>
                      </w:r>
                    </w:p>
                  </w:txbxContent>
                </v:textbox>
                <w10:wrap type="square"/>
              </v:shape>
            </w:pict>
          </mc:Fallback>
        </mc:AlternateContent>
      </w:r>
    </w:p>
    <w:p w14:paraId="3DE006C6" w14:textId="77777777" w:rsidR="00B65EAB" w:rsidRDefault="00B65EAB" w:rsidP="00835BB4">
      <w:pPr>
        <w:rPr>
          <w:rFonts w:ascii="Calibri" w:eastAsia="Calibri" w:hAnsi="Calibri" w:cs="Calibri"/>
          <w:b/>
        </w:rPr>
      </w:pPr>
    </w:p>
    <w:p w14:paraId="5670BE08" w14:textId="77777777" w:rsidR="00B65EAB" w:rsidRDefault="00B65EAB" w:rsidP="00835BB4">
      <w:pPr>
        <w:rPr>
          <w:rFonts w:ascii="Calibri" w:eastAsia="Calibri" w:hAnsi="Calibri" w:cs="Calibri"/>
          <w:b/>
        </w:rPr>
      </w:pPr>
    </w:p>
    <w:p w14:paraId="3E372C85" w14:textId="77777777" w:rsidR="00B65EAB" w:rsidRDefault="00B65EAB" w:rsidP="00835BB4">
      <w:pPr>
        <w:rPr>
          <w:rFonts w:ascii="Calibri" w:eastAsia="Calibri" w:hAnsi="Calibri" w:cs="Calibri"/>
          <w:b/>
        </w:rPr>
      </w:pPr>
    </w:p>
    <w:p w14:paraId="65B3CE92" w14:textId="77777777" w:rsidR="00B65EAB" w:rsidRDefault="00B65EAB" w:rsidP="00835BB4">
      <w:pPr>
        <w:rPr>
          <w:rFonts w:ascii="Calibri" w:eastAsia="Calibri" w:hAnsi="Calibri" w:cs="Calibri"/>
          <w:b/>
        </w:rPr>
      </w:pPr>
    </w:p>
    <w:p w14:paraId="5093DB1F" w14:textId="77777777" w:rsidR="00B51518" w:rsidRDefault="00B51518" w:rsidP="00835BB4">
      <w:pPr>
        <w:rPr>
          <w:rFonts w:ascii="Calibri" w:eastAsia="Calibri" w:hAnsi="Calibri" w:cs="Calibri"/>
          <w:b/>
          <w:sz w:val="24"/>
          <w:szCs w:val="24"/>
        </w:rPr>
      </w:pPr>
    </w:p>
    <w:p w14:paraId="4D1AE78A" w14:textId="6A491CFE" w:rsidR="00835BB4" w:rsidRPr="006B0CFC" w:rsidRDefault="00835BB4" w:rsidP="00835BB4">
      <w:pPr>
        <w:rPr>
          <w:rFonts w:cs="Times New Roman"/>
          <w:b/>
          <w:sz w:val="24"/>
          <w:szCs w:val="24"/>
        </w:rPr>
      </w:pPr>
      <w:r w:rsidRPr="006B0CFC">
        <w:rPr>
          <w:rFonts w:ascii="Calibri" w:eastAsia="Calibri" w:hAnsi="Calibri" w:cs="Calibri"/>
          <w:b/>
          <w:sz w:val="24"/>
          <w:szCs w:val="24"/>
        </w:rPr>
        <w:t xml:space="preserve">To what extent was AIFDR efficient? The assessment of AIFDR’s efficiency focuses primarily on assessing what has changed since the MTR. </w:t>
      </w:r>
    </w:p>
    <w:p w14:paraId="7175A5B2" w14:textId="54B204F9" w:rsidR="004318DD" w:rsidRDefault="00860933" w:rsidP="004318DD">
      <w:pPr>
        <w:widowControl w:val="0"/>
        <w:tabs>
          <w:tab w:val="left" w:pos="220"/>
          <w:tab w:val="left" w:pos="720"/>
        </w:tabs>
        <w:autoSpaceDE w:val="0"/>
        <w:autoSpaceDN w:val="0"/>
        <w:adjustRightInd w:val="0"/>
        <w:spacing w:after="280"/>
        <w:rPr>
          <w:rFonts w:cs="Times New Roman"/>
          <w:sz w:val="24"/>
          <w:szCs w:val="24"/>
        </w:rPr>
      </w:pPr>
      <w:r>
        <w:rPr>
          <w:sz w:val="24"/>
          <w:szCs w:val="24"/>
        </w:rPr>
        <w:t>AIFDR’s</w:t>
      </w:r>
      <w:r w:rsidR="004318DD" w:rsidRPr="006B0CFC">
        <w:rPr>
          <w:sz w:val="24"/>
          <w:szCs w:val="24"/>
        </w:rPr>
        <w:t xml:space="preserve"> MTR focused heavily on the question of AIFDR’s efficiency, framing its research question as </w:t>
      </w:r>
      <w:r w:rsidR="00922979">
        <w:rPr>
          <w:sz w:val="24"/>
          <w:szCs w:val="24"/>
        </w:rPr>
        <w:t>“</w:t>
      </w:r>
      <w:r w:rsidR="004318DD" w:rsidRPr="006B0CFC">
        <w:rPr>
          <w:rFonts w:cs="Times New Roman"/>
          <w:i/>
          <w:sz w:val="24"/>
          <w:szCs w:val="24"/>
        </w:rPr>
        <w:t xml:space="preserve">could the same outputs have been delivered with </w:t>
      </w:r>
      <w:proofErr w:type="gramStart"/>
      <w:r w:rsidR="004318DD" w:rsidRPr="006B0CFC">
        <w:rPr>
          <w:rFonts w:cs="Times New Roman"/>
          <w:i/>
          <w:sz w:val="24"/>
          <w:szCs w:val="24"/>
        </w:rPr>
        <w:t>less inputs</w:t>
      </w:r>
      <w:proofErr w:type="gramEnd"/>
      <w:r w:rsidR="004318DD" w:rsidRPr="006B0CFC">
        <w:rPr>
          <w:rFonts w:cs="Times New Roman"/>
          <w:i/>
          <w:sz w:val="24"/>
          <w:szCs w:val="24"/>
        </w:rPr>
        <w:t xml:space="preserve">? </w:t>
      </w:r>
      <w:r w:rsidR="003A5B82">
        <w:rPr>
          <w:rFonts w:cs="Times New Roman"/>
          <w:i/>
          <w:sz w:val="24"/>
          <w:szCs w:val="24"/>
        </w:rPr>
        <w:t>Could</w:t>
      </w:r>
      <w:r w:rsidR="004318DD" w:rsidRPr="006B0CFC">
        <w:rPr>
          <w:rFonts w:cs="Times New Roman"/>
          <w:i/>
          <w:sz w:val="24"/>
          <w:szCs w:val="24"/>
        </w:rPr>
        <w:t xml:space="preserve"> more outputs have been delivered with the same inputs</w:t>
      </w:r>
      <w:r w:rsidR="004318DD" w:rsidRPr="006B0CFC">
        <w:rPr>
          <w:rFonts w:cs="Times New Roman"/>
          <w:sz w:val="24"/>
          <w:szCs w:val="24"/>
        </w:rPr>
        <w:t>?</w:t>
      </w:r>
      <w:r w:rsidR="00922979">
        <w:rPr>
          <w:rFonts w:cs="Times New Roman"/>
          <w:sz w:val="24"/>
          <w:szCs w:val="24"/>
        </w:rPr>
        <w:t>”</w:t>
      </w:r>
      <w:r w:rsidR="004318DD" w:rsidRPr="006B0CFC">
        <w:rPr>
          <w:rFonts w:cs="Times New Roman"/>
          <w:sz w:val="24"/>
          <w:szCs w:val="24"/>
        </w:rPr>
        <w:t xml:space="preserve"> T</w:t>
      </w:r>
      <w:r w:rsidR="00B21742">
        <w:rPr>
          <w:rFonts w:cs="Times New Roman"/>
          <w:sz w:val="24"/>
          <w:szCs w:val="24"/>
        </w:rPr>
        <w:t>o make a judgement, th</w:t>
      </w:r>
      <w:r w:rsidR="004318DD" w:rsidRPr="006B0CFC">
        <w:rPr>
          <w:rFonts w:cs="Times New Roman"/>
          <w:sz w:val="24"/>
          <w:szCs w:val="24"/>
        </w:rPr>
        <w:t xml:space="preserve">e MTR investigated the </w:t>
      </w:r>
      <w:r w:rsidR="004318DD" w:rsidRPr="006B0CFC">
        <w:rPr>
          <w:sz w:val="24"/>
          <w:szCs w:val="24"/>
        </w:rPr>
        <w:t>cost-efficiency of the modality, use of international personnel engaged through the Australian Public Service (including short</w:t>
      </w:r>
      <w:r w:rsidR="008313DE">
        <w:rPr>
          <w:sz w:val="24"/>
          <w:szCs w:val="24"/>
        </w:rPr>
        <w:t>-</w:t>
      </w:r>
      <w:r w:rsidR="004318DD" w:rsidRPr="006B0CFC">
        <w:rPr>
          <w:sz w:val="24"/>
          <w:szCs w:val="24"/>
        </w:rPr>
        <w:t xml:space="preserve">term </w:t>
      </w:r>
      <w:r w:rsidR="00326B88">
        <w:rPr>
          <w:sz w:val="24"/>
          <w:szCs w:val="24"/>
        </w:rPr>
        <w:t xml:space="preserve">GA </w:t>
      </w:r>
      <w:r w:rsidR="004318DD" w:rsidRPr="006B0CFC">
        <w:rPr>
          <w:sz w:val="24"/>
          <w:szCs w:val="24"/>
        </w:rPr>
        <w:t xml:space="preserve">advisers), and </w:t>
      </w:r>
      <w:r w:rsidR="00B21742">
        <w:rPr>
          <w:sz w:val="24"/>
          <w:szCs w:val="24"/>
        </w:rPr>
        <w:t xml:space="preserve">the </w:t>
      </w:r>
      <w:r w:rsidR="004318DD" w:rsidRPr="006B0CFC">
        <w:rPr>
          <w:sz w:val="24"/>
          <w:szCs w:val="24"/>
        </w:rPr>
        <w:t xml:space="preserve">volume of small value procurements. </w:t>
      </w:r>
      <w:r w:rsidR="00B21742">
        <w:rPr>
          <w:rFonts w:cs="Times New Roman"/>
          <w:sz w:val="24"/>
          <w:szCs w:val="24"/>
        </w:rPr>
        <w:t>This investigation</w:t>
      </w:r>
      <w:r w:rsidR="00B21742" w:rsidRPr="006B0CFC">
        <w:rPr>
          <w:rFonts w:cs="Times New Roman"/>
          <w:sz w:val="24"/>
          <w:szCs w:val="24"/>
        </w:rPr>
        <w:t xml:space="preserve"> </w:t>
      </w:r>
      <w:r w:rsidR="004318DD" w:rsidRPr="006B0CFC">
        <w:rPr>
          <w:sz w:val="24"/>
          <w:szCs w:val="24"/>
        </w:rPr>
        <w:t xml:space="preserve">rated AIFDR as </w:t>
      </w:r>
      <w:r w:rsidR="004318DD" w:rsidRPr="006B0CFC">
        <w:rPr>
          <w:rFonts w:cs="Times New Roman"/>
          <w:sz w:val="24"/>
          <w:szCs w:val="24"/>
        </w:rPr>
        <w:t xml:space="preserve">‘less than adequate quality’ for </w:t>
      </w:r>
      <w:r w:rsidR="00B21742">
        <w:rPr>
          <w:rFonts w:cs="Times New Roman"/>
          <w:sz w:val="24"/>
          <w:szCs w:val="24"/>
        </w:rPr>
        <w:t xml:space="preserve">the </w:t>
      </w:r>
      <w:r w:rsidR="004318DD" w:rsidRPr="006B0CFC">
        <w:rPr>
          <w:rFonts w:cs="Times New Roman"/>
          <w:sz w:val="24"/>
          <w:szCs w:val="24"/>
        </w:rPr>
        <w:t>efficiency</w:t>
      </w:r>
      <w:r w:rsidR="00B21742">
        <w:rPr>
          <w:rFonts w:cs="Times New Roman"/>
          <w:sz w:val="24"/>
          <w:szCs w:val="24"/>
        </w:rPr>
        <w:t xml:space="preserve"> criterion - a finding that was contested by AIFDR.</w:t>
      </w:r>
    </w:p>
    <w:p w14:paraId="0322B079" w14:textId="1E66AF0D" w:rsidR="008313DE" w:rsidRDefault="00B21742" w:rsidP="004318DD">
      <w:pPr>
        <w:widowControl w:val="0"/>
        <w:tabs>
          <w:tab w:val="left" w:pos="220"/>
          <w:tab w:val="left" w:pos="720"/>
        </w:tabs>
        <w:autoSpaceDE w:val="0"/>
        <w:autoSpaceDN w:val="0"/>
        <w:adjustRightInd w:val="0"/>
        <w:spacing w:after="280"/>
        <w:rPr>
          <w:rFonts w:cs="Times New Roman"/>
          <w:sz w:val="24"/>
          <w:szCs w:val="24"/>
        </w:rPr>
      </w:pPr>
      <w:r>
        <w:rPr>
          <w:rFonts w:cs="Times New Roman"/>
          <w:sz w:val="24"/>
          <w:szCs w:val="24"/>
        </w:rPr>
        <w:t xml:space="preserve">The </w:t>
      </w:r>
      <w:r w:rsidR="000D4A2D">
        <w:rPr>
          <w:rFonts w:cs="Times New Roman"/>
          <w:sz w:val="24"/>
          <w:szCs w:val="24"/>
        </w:rPr>
        <w:t xml:space="preserve">review </w:t>
      </w:r>
      <w:r>
        <w:rPr>
          <w:rFonts w:cs="Times New Roman"/>
          <w:sz w:val="24"/>
          <w:szCs w:val="24"/>
        </w:rPr>
        <w:t xml:space="preserve">team notes </w:t>
      </w:r>
      <w:r w:rsidR="008313DE">
        <w:rPr>
          <w:rFonts w:cs="Times New Roman"/>
          <w:sz w:val="24"/>
          <w:szCs w:val="24"/>
        </w:rPr>
        <w:t xml:space="preserve">the </w:t>
      </w:r>
      <w:r w:rsidR="00C0091E">
        <w:rPr>
          <w:rFonts w:cs="Times New Roman"/>
          <w:sz w:val="24"/>
          <w:szCs w:val="24"/>
        </w:rPr>
        <w:t>political imperative to showcase Aus</w:t>
      </w:r>
      <w:r w:rsidR="002346EC">
        <w:rPr>
          <w:rFonts w:cs="Times New Roman"/>
          <w:sz w:val="24"/>
          <w:szCs w:val="24"/>
        </w:rPr>
        <w:t>t</w:t>
      </w:r>
      <w:r w:rsidR="00C0091E">
        <w:rPr>
          <w:rFonts w:cs="Times New Roman"/>
          <w:sz w:val="24"/>
          <w:szCs w:val="24"/>
        </w:rPr>
        <w:t xml:space="preserve">ralian expertise. Moreover we note the </w:t>
      </w:r>
      <w:r w:rsidR="008313DE">
        <w:rPr>
          <w:rFonts w:cs="Times New Roman"/>
          <w:sz w:val="24"/>
          <w:szCs w:val="24"/>
        </w:rPr>
        <w:t>following with regard to the MTR</w:t>
      </w:r>
      <w:r w:rsidR="0014020A">
        <w:rPr>
          <w:rFonts w:cs="Times New Roman"/>
          <w:sz w:val="24"/>
          <w:szCs w:val="24"/>
        </w:rPr>
        <w:t>:</w:t>
      </w:r>
      <w:r w:rsidR="008313DE">
        <w:rPr>
          <w:rFonts w:cs="Times New Roman"/>
          <w:sz w:val="24"/>
          <w:szCs w:val="24"/>
        </w:rPr>
        <w:t xml:space="preserve"> </w:t>
      </w:r>
    </w:p>
    <w:p w14:paraId="58C35CD5" w14:textId="77777777" w:rsidR="0014020A" w:rsidRPr="00B31B1F" w:rsidRDefault="008313DE" w:rsidP="00B31B1F">
      <w:pPr>
        <w:pStyle w:val="ListParagraph"/>
        <w:widowControl w:val="0"/>
        <w:numPr>
          <w:ilvl w:val="0"/>
          <w:numId w:val="37"/>
        </w:numPr>
        <w:tabs>
          <w:tab w:val="left" w:pos="220"/>
          <w:tab w:val="left" w:pos="720"/>
        </w:tabs>
        <w:autoSpaceDE w:val="0"/>
        <w:autoSpaceDN w:val="0"/>
        <w:adjustRightInd w:val="0"/>
        <w:spacing w:after="280"/>
        <w:rPr>
          <w:rFonts w:cs="Times New Roman"/>
          <w:sz w:val="24"/>
          <w:szCs w:val="24"/>
        </w:rPr>
      </w:pPr>
      <w:r w:rsidRPr="00B31B1F">
        <w:rPr>
          <w:rFonts w:cs="Times New Roman"/>
          <w:sz w:val="24"/>
          <w:szCs w:val="24"/>
        </w:rPr>
        <w:t>I</w:t>
      </w:r>
      <w:r w:rsidR="00B21742" w:rsidRPr="00B31B1F">
        <w:rPr>
          <w:rFonts w:cs="Times New Roman"/>
          <w:sz w:val="24"/>
          <w:szCs w:val="24"/>
        </w:rPr>
        <w:t>mplicit in the research question is a level of comparative analysis of alternative modalities and ways of conducting business.</w:t>
      </w:r>
      <w:r w:rsidRPr="00B31B1F">
        <w:rPr>
          <w:rFonts w:cs="Times New Roman"/>
          <w:sz w:val="24"/>
          <w:szCs w:val="24"/>
        </w:rPr>
        <w:t xml:space="preserve"> </w:t>
      </w:r>
    </w:p>
    <w:p w14:paraId="46BA7963" w14:textId="77777777" w:rsidR="0014020A" w:rsidRPr="00B31B1F" w:rsidRDefault="0014020A" w:rsidP="00B31B1F">
      <w:pPr>
        <w:pStyle w:val="ListParagraph"/>
        <w:widowControl w:val="0"/>
        <w:numPr>
          <w:ilvl w:val="0"/>
          <w:numId w:val="37"/>
        </w:numPr>
        <w:tabs>
          <w:tab w:val="left" w:pos="220"/>
          <w:tab w:val="left" w:pos="720"/>
        </w:tabs>
        <w:autoSpaceDE w:val="0"/>
        <w:autoSpaceDN w:val="0"/>
        <w:adjustRightInd w:val="0"/>
        <w:spacing w:after="280"/>
        <w:rPr>
          <w:rFonts w:cs="Times New Roman"/>
          <w:sz w:val="24"/>
          <w:szCs w:val="24"/>
        </w:rPr>
      </w:pPr>
      <w:r w:rsidRPr="00B31B1F">
        <w:rPr>
          <w:rFonts w:cs="Times New Roman"/>
          <w:sz w:val="24"/>
          <w:szCs w:val="24"/>
        </w:rPr>
        <w:t>‘Quality’ is an effectiveness criterion – not an efficiency criterion.</w:t>
      </w:r>
    </w:p>
    <w:p w14:paraId="448362CA" w14:textId="29A084DB" w:rsidR="00B21742" w:rsidRPr="00B31B1F" w:rsidRDefault="0014020A" w:rsidP="00B31B1F">
      <w:pPr>
        <w:pStyle w:val="ListParagraph"/>
        <w:widowControl w:val="0"/>
        <w:numPr>
          <w:ilvl w:val="0"/>
          <w:numId w:val="37"/>
        </w:numPr>
        <w:tabs>
          <w:tab w:val="left" w:pos="220"/>
          <w:tab w:val="left" w:pos="720"/>
        </w:tabs>
        <w:autoSpaceDE w:val="0"/>
        <w:autoSpaceDN w:val="0"/>
        <w:adjustRightInd w:val="0"/>
        <w:spacing w:after="280"/>
        <w:rPr>
          <w:rFonts w:cs="Times New Roman"/>
          <w:sz w:val="24"/>
          <w:szCs w:val="24"/>
        </w:rPr>
      </w:pPr>
      <w:r w:rsidRPr="00B31B1F">
        <w:rPr>
          <w:rFonts w:cs="Times New Roman"/>
          <w:sz w:val="24"/>
          <w:szCs w:val="24"/>
        </w:rPr>
        <w:t>V</w:t>
      </w:r>
      <w:r w:rsidR="008313DE" w:rsidRPr="00B31B1F">
        <w:rPr>
          <w:rFonts w:cs="Times New Roman"/>
          <w:sz w:val="24"/>
          <w:szCs w:val="24"/>
        </w:rPr>
        <w:t xml:space="preserve">alue for money (VfM) cannot be assessed against the efficiency criterion alone – rather it is a composite </w:t>
      </w:r>
      <w:r>
        <w:rPr>
          <w:rFonts w:cs="Times New Roman"/>
          <w:sz w:val="24"/>
          <w:szCs w:val="24"/>
        </w:rPr>
        <w:t>indicator</w:t>
      </w:r>
      <w:r w:rsidR="008313DE" w:rsidRPr="00B31B1F">
        <w:rPr>
          <w:rFonts w:cs="Times New Roman"/>
          <w:sz w:val="24"/>
          <w:szCs w:val="24"/>
        </w:rPr>
        <w:t xml:space="preserve"> of economy, effectiveness and efficiency (see, for example the DFID 3E’s model of VfM)</w:t>
      </w:r>
    </w:p>
    <w:p w14:paraId="1A9D0AB9" w14:textId="70831D38" w:rsidR="00247438" w:rsidRDefault="00F148F1" w:rsidP="00762B59">
      <w:pPr>
        <w:pStyle w:val="CommentText"/>
        <w:rPr>
          <w:sz w:val="24"/>
          <w:szCs w:val="24"/>
        </w:rPr>
      </w:pPr>
      <w:r w:rsidRPr="00E82F47">
        <w:rPr>
          <w:sz w:val="24"/>
          <w:szCs w:val="24"/>
        </w:rPr>
        <w:t xml:space="preserve">The AIFDR MTR </w:t>
      </w:r>
      <w:r w:rsidR="00762B59" w:rsidRPr="00E82F47">
        <w:rPr>
          <w:sz w:val="24"/>
          <w:szCs w:val="24"/>
        </w:rPr>
        <w:t>recommended an apprai</w:t>
      </w:r>
      <w:r w:rsidR="00E82F47" w:rsidRPr="00E82F47">
        <w:rPr>
          <w:sz w:val="24"/>
          <w:szCs w:val="24"/>
        </w:rPr>
        <w:t xml:space="preserve">sal of the efficiency of the modality </w:t>
      </w:r>
      <w:r w:rsidR="006F5304">
        <w:rPr>
          <w:sz w:val="24"/>
          <w:szCs w:val="24"/>
        </w:rPr>
        <w:t>be undertaken</w:t>
      </w:r>
      <w:r w:rsidR="00E82F47" w:rsidRPr="00E82F47">
        <w:rPr>
          <w:sz w:val="24"/>
          <w:szCs w:val="24"/>
        </w:rPr>
        <w:t xml:space="preserve"> to ensure AIFDR resources deliver optimal results that contribute to the facility purpose and goal. </w:t>
      </w:r>
      <w:r w:rsidRPr="00E82F47">
        <w:rPr>
          <w:sz w:val="24"/>
          <w:szCs w:val="24"/>
        </w:rPr>
        <w:t xml:space="preserve">As part of the </w:t>
      </w:r>
      <w:r w:rsidR="00E82F47" w:rsidRPr="00E82F47">
        <w:rPr>
          <w:sz w:val="24"/>
          <w:szCs w:val="24"/>
        </w:rPr>
        <w:t>AusAID</w:t>
      </w:r>
      <w:r w:rsidRPr="00E82F47">
        <w:rPr>
          <w:sz w:val="24"/>
          <w:szCs w:val="24"/>
        </w:rPr>
        <w:t xml:space="preserve"> management response to this, an independent progress review was undertaken of the Indonesian Earthquake Hazard project that included an analysis of the relative </w:t>
      </w:r>
      <w:r w:rsidR="0014020A">
        <w:rPr>
          <w:sz w:val="24"/>
          <w:szCs w:val="24"/>
        </w:rPr>
        <w:t>efficiency</w:t>
      </w:r>
      <w:r w:rsidR="0014020A" w:rsidRPr="00E82F47">
        <w:rPr>
          <w:sz w:val="24"/>
          <w:szCs w:val="24"/>
        </w:rPr>
        <w:t xml:space="preserve"> </w:t>
      </w:r>
      <w:r w:rsidRPr="00E82F47">
        <w:rPr>
          <w:sz w:val="24"/>
          <w:szCs w:val="24"/>
        </w:rPr>
        <w:t xml:space="preserve">of the use of long-term Government Officials to implement this program. The IEHP IPR draft conclusions highlighted the </w:t>
      </w:r>
      <w:r w:rsidRPr="002A54B1">
        <w:rPr>
          <w:i/>
          <w:sz w:val="24"/>
          <w:szCs w:val="24"/>
        </w:rPr>
        <w:t>“(Government) Officials are more effective for long-term positions (on the ground or combined with regular visits) that focus on building relationships. These officials provide a bridge between counterparts and other capacity building inputs</w:t>
      </w:r>
      <w:r w:rsidR="003A5B82" w:rsidRPr="002A54B1">
        <w:rPr>
          <w:i/>
          <w:sz w:val="24"/>
          <w:szCs w:val="24"/>
        </w:rPr>
        <w:t>”</w:t>
      </w:r>
      <w:r w:rsidR="004A1389">
        <w:rPr>
          <w:rStyle w:val="FootnoteReference"/>
          <w:i/>
          <w:sz w:val="24"/>
          <w:szCs w:val="24"/>
        </w:rPr>
        <w:footnoteReference w:id="21"/>
      </w:r>
      <w:r w:rsidR="003A5B82">
        <w:rPr>
          <w:i/>
          <w:sz w:val="24"/>
          <w:szCs w:val="24"/>
        </w:rPr>
        <w:t xml:space="preserve">. </w:t>
      </w:r>
      <w:r w:rsidR="0014020A">
        <w:rPr>
          <w:sz w:val="24"/>
          <w:szCs w:val="24"/>
        </w:rPr>
        <w:t>Thus, whilst more costly, the IPR concluded that the use of Australian Government officials represented better value for money at this stage.</w:t>
      </w:r>
      <w:r w:rsidR="00247438">
        <w:rPr>
          <w:sz w:val="24"/>
          <w:szCs w:val="24"/>
        </w:rPr>
        <w:t xml:space="preserve"> </w:t>
      </w:r>
    </w:p>
    <w:p w14:paraId="3C05229D" w14:textId="76869843" w:rsidR="006F5304" w:rsidRPr="0014020A" w:rsidRDefault="00247438" w:rsidP="00762B59">
      <w:pPr>
        <w:pStyle w:val="CommentText"/>
        <w:rPr>
          <w:sz w:val="24"/>
          <w:szCs w:val="24"/>
        </w:rPr>
      </w:pPr>
      <w:r>
        <w:rPr>
          <w:sz w:val="24"/>
          <w:szCs w:val="24"/>
        </w:rPr>
        <w:t xml:space="preserve">The </w:t>
      </w:r>
      <w:r w:rsidR="000D4A2D">
        <w:rPr>
          <w:sz w:val="24"/>
          <w:szCs w:val="24"/>
        </w:rPr>
        <w:t xml:space="preserve">review team </w:t>
      </w:r>
      <w:r>
        <w:rPr>
          <w:sz w:val="24"/>
          <w:szCs w:val="24"/>
        </w:rPr>
        <w:t xml:space="preserve">concurs with this finding but recommends an ‘Indonesian first’ policy be articulated wherein Indonesian expertise is preferred to international expertise. Furthermore, the </w:t>
      </w:r>
      <w:r w:rsidR="000D4A2D">
        <w:rPr>
          <w:sz w:val="24"/>
          <w:szCs w:val="24"/>
        </w:rPr>
        <w:t xml:space="preserve">review team </w:t>
      </w:r>
      <w:r>
        <w:rPr>
          <w:sz w:val="24"/>
          <w:szCs w:val="24"/>
        </w:rPr>
        <w:t xml:space="preserve">strongly encourages AIFDR to fully document approvals of all deployments of international staff to Indonesia, including justification for </w:t>
      </w:r>
      <w:r w:rsidRPr="00B31B1F">
        <w:rPr>
          <w:sz w:val="24"/>
          <w:szCs w:val="24"/>
          <w:u w:val="single"/>
        </w:rPr>
        <w:t>not</w:t>
      </w:r>
      <w:r>
        <w:rPr>
          <w:sz w:val="24"/>
          <w:szCs w:val="24"/>
        </w:rPr>
        <w:t xml:space="preserve"> utilising Indonesian expertise on VfM grounds</w:t>
      </w:r>
      <w:r w:rsidR="00C0091E">
        <w:rPr>
          <w:sz w:val="24"/>
          <w:szCs w:val="24"/>
        </w:rPr>
        <w:t>, with the view to making them contestable.</w:t>
      </w:r>
    </w:p>
    <w:p w14:paraId="02B1D838" w14:textId="348EB1A2" w:rsidR="00762B59" w:rsidRPr="00B51518" w:rsidRDefault="007B3A0B" w:rsidP="00762B59">
      <w:pPr>
        <w:pStyle w:val="CommentText"/>
        <w:rPr>
          <w:color w:val="000000" w:themeColor="text1"/>
          <w:sz w:val="24"/>
          <w:szCs w:val="24"/>
        </w:rPr>
      </w:pPr>
      <w:r w:rsidRPr="006F5304">
        <w:rPr>
          <w:rFonts w:cs="Times New Roman"/>
          <w:color w:val="000000" w:themeColor="text1"/>
          <w:sz w:val="24"/>
          <w:szCs w:val="24"/>
        </w:rPr>
        <w:t>Since the MTR</w:t>
      </w:r>
      <w:r w:rsidR="00EC5754">
        <w:rPr>
          <w:rFonts w:cs="Times New Roman"/>
          <w:color w:val="000000" w:themeColor="text1"/>
          <w:sz w:val="24"/>
          <w:szCs w:val="24"/>
        </w:rPr>
        <w:t>,</w:t>
      </w:r>
      <w:r w:rsidRPr="006F5304">
        <w:rPr>
          <w:rFonts w:cs="Times New Roman"/>
          <w:color w:val="000000" w:themeColor="text1"/>
          <w:sz w:val="24"/>
          <w:szCs w:val="24"/>
        </w:rPr>
        <w:t xml:space="preserve"> AIFDR </w:t>
      </w:r>
      <w:r w:rsidR="006F5304" w:rsidRPr="006F5304">
        <w:rPr>
          <w:rFonts w:cs="Times New Roman"/>
          <w:color w:val="000000" w:themeColor="text1"/>
          <w:sz w:val="24"/>
          <w:szCs w:val="24"/>
        </w:rPr>
        <w:t xml:space="preserve">has </w:t>
      </w:r>
      <w:r w:rsidR="009043EE">
        <w:rPr>
          <w:rFonts w:cs="Times New Roman"/>
          <w:color w:val="000000" w:themeColor="text1"/>
          <w:sz w:val="24"/>
          <w:szCs w:val="24"/>
        </w:rPr>
        <w:t>implemented</w:t>
      </w:r>
      <w:r w:rsidR="009043EE" w:rsidRPr="006F5304">
        <w:rPr>
          <w:rFonts w:cs="Times New Roman"/>
          <w:color w:val="000000" w:themeColor="text1"/>
          <w:sz w:val="24"/>
          <w:szCs w:val="24"/>
        </w:rPr>
        <w:t xml:space="preserve"> </w:t>
      </w:r>
      <w:r w:rsidRPr="006F5304">
        <w:rPr>
          <w:rFonts w:cs="Times New Roman"/>
          <w:color w:val="000000" w:themeColor="text1"/>
          <w:sz w:val="24"/>
          <w:szCs w:val="24"/>
        </w:rPr>
        <w:t>a range of changes to increase its efficiency</w:t>
      </w:r>
      <w:r w:rsidR="000D4A2D">
        <w:rPr>
          <w:rFonts w:cs="Times New Roman"/>
          <w:color w:val="000000" w:themeColor="text1"/>
          <w:sz w:val="24"/>
          <w:szCs w:val="24"/>
        </w:rPr>
        <w:t xml:space="preserve">. </w:t>
      </w:r>
      <w:r w:rsidR="002111BC">
        <w:rPr>
          <w:rFonts w:cs="Times New Roman"/>
          <w:color w:val="000000" w:themeColor="text1"/>
          <w:sz w:val="24"/>
          <w:szCs w:val="24"/>
        </w:rPr>
        <w:t>However</w:t>
      </w:r>
      <w:r w:rsidR="009254B7">
        <w:rPr>
          <w:rFonts w:cs="Times New Roman"/>
          <w:color w:val="000000" w:themeColor="text1"/>
          <w:sz w:val="24"/>
          <w:szCs w:val="24"/>
        </w:rPr>
        <w:t xml:space="preserve">, </w:t>
      </w:r>
      <w:r w:rsidR="006F5304" w:rsidRPr="006F5304">
        <w:rPr>
          <w:rFonts w:cs="Times New Roman"/>
          <w:color w:val="000000" w:themeColor="text1"/>
          <w:sz w:val="24"/>
          <w:szCs w:val="24"/>
        </w:rPr>
        <w:t xml:space="preserve">AIFDR’s </w:t>
      </w:r>
      <w:r w:rsidR="00994DFA">
        <w:rPr>
          <w:rFonts w:cs="Times New Roman"/>
          <w:color w:val="000000" w:themeColor="text1"/>
          <w:sz w:val="24"/>
          <w:szCs w:val="24"/>
        </w:rPr>
        <w:t xml:space="preserve">primary effort </w:t>
      </w:r>
      <w:r w:rsidR="006F5304" w:rsidRPr="006F5304">
        <w:rPr>
          <w:rFonts w:cs="Times New Roman"/>
          <w:color w:val="000000" w:themeColor="text1"/>
          <w:sz w:val="24"/>
          <w:szCs w:val="24"/>
        </w:rPr>
        <w:t xml:space="preserve">has been directed </w:t>
      </w:r>
      <w:r w:rsidR="00994DFA">
        <w:rPr>
          <w:rFonts w:cs="Times New Roman"/>
          <w:color w:val="000000" w:themeColor="text1"/>
          <w:sz w:val="24"/>
          <w:szCs w:val="24"/>
        </w:rPr>
        <w:t>to</w:t>
      </w:r>
      <w:r w:rsidR="006F5304" w:rsidRPr="006F5304">
        <w:rPr>
          <w:rFonts w:cs="Times New Roman"/>
          <w:color w:val="000000" w:themeColor="text1"/>
          <w:sz w:val="24"/>
          <w:szCs w:val="24"/>
        </w:rPr>
        <w:t xml:space="preserve"> ensuring </w:t>
      </w:r>
      <w:r w:rsidR="00087808">
        <w:rPr>
          <w:rFonts w:cs="Times New Roman"/>
          <w:color w:val="000000" w:themeColor="text1"/>
          <w:sz w:val="24"/>
          <w:szCs w:val="24"/>
        </w:rPr>
        <w:t>the</w:t>
      </w:r>
      <w:r w:rsidR="00087808" w:rsidRPr="006F5304">
        <w:rPr>
          <w:rFonts w:cs="Times New Roman"/>
          <w:color w:val="000000" w:themeColor="text1"/>
          <w:sz w:val="24"/>
          <w:szCs w:val="24"/>
        </w:rPr>
        <w:t xml:space="preserve"> </w:t>
      </w:r>
      <w:r w:rsidR="00762B59" w:rsidRPr="006F5304">
        <w:rPr>
          <w:color w:val="000000" w:themeColor="text1"/>
          <w:sz w:val="24"/>
          <w:szCs w:val="24"/>
        </w:rPr>
        <w:t>selection of implementation modalities and partners for Phase 2</w:t>
      </w:r>
      <w:r w:rsidR="006F5304" w:rsidRPr="006F5304">
        <w:rPr>
          <w:color w:val="000000" w:themeColor="text1"/>
          <w:sz w:val="24"/>
          <w:szCs w:val="24"/>
        </w:rPr>
        <w:t xml:space="preserve"> increase</w:t>
      </w:r>
      <w:r w:rsidR="00C0091E">
        <w:rPr>
          <w:color w:val="000000" w:themeColor="text1"/>
          <w:sz w:val="24"/>
          <w:szCs w:val="24"/>
        </w:rPr>
        <w:t>s</w:t>
      </w:r>
      <w:r w:rsidR="006F5304" w:rsidRPr="006F5304">
        <w:rPr>
          <w:color w:val="000000" w:themeColor="text1"/>
          <w:sz w:val="24"/>
          <w:szCs w:val="24"/>
        </w:rPr>
        <w:t xml:space="preserve"> the facility’s overall efficiency.</w:t>
      </w:r>
      <w:r w:rsidR="006F5304">
        <w:rPr>
          <w:color w:val="FF0000"/>
          <w:sz w:val="24"/>
          <w:szCs w:val="24"/>
        </w:rPr>
        <w:t xml:space="preserve"> </w:t>
      </w:r>
    </w:p>
    <w:p w14:paraId="11EA270D" w14:textId="3078B850" w:rsidR="009D15AB" w:rsidRDefault="009D15AB" w:rsidP="00762B59">
      <w:pPr>
        <w:pStyle w:val="CommentText"/>
        <w:rPr>
          <w:rFonts w:ascii="Calibri" w:eastAsia="Calibri" w:hAnsi="Calibri" w:cs="Calibri"/>
          <w:b/>
          <w:sz w:val="24"/>
          <w:szCs w:val="24"/>
        </w:rPr>
      </w:pPr>
      <w:r>
        <w:rPr>
          <w:rFonts w:ascii="Calibri" w:eastAsia="Calibri" w:hAnsi="Calibri" w:cs="Calibri"/>
          <w:b/>
          <w:sz w:val="24"/>
          <w:szCs w:val="24"/>
        </w:rPr>
        <w:t>W</w:t>
      </w:r>
      <w:r w:rsidRPr="006B0CFC">
        <w:rPr>
          <w:rFonts w:ascii="Calibri" w:eastAsia="Calibri" w:hAnsi="Calibri" w:cs="Calibri"/>
          <w:b/>
          <w:sz w:val="24"/>
          <w:szCs w:val="24"/>
        </w:rPr>
        <w:t>hat has changed since the MTR</w:t>
      </w:r>
      <w:r w:rsidR="001A6A4C">
        <w:rPr>
          <w:rFonts w:ascii="Calibri" w:eastAsia="Calibri" w:hAnsi="Calibri" w:cs="Calibri"/>
          <w:b/>
          <w:sz w:val="24"/>
          <w:szCs w:val="24"/>
        </w:rPr>
        <w:t xml:space="preserve"> in terms of AIFDR’s efficiency</w:t>
      </w:r>
      <w:r>
        <w:rPr>
          <w:rFonts w:ascii="Calibri" w:eastAsia="Calibri" w:hAnsi="Calibri" w:cs="Calibri"/>
          <w:b/>
          <w:sz w:val="24"/>
          <w:szCs w:val="24"/>
        </w:rPr>
        <w:t xml:space="preserve">? </w:t>
      </w:r>
    </w:p>
    <w:p w14:paraId="22439EA5" w14:textId="4D6E57D8" w:rsidR="001A6A4C" w:rsidRPr="001A6A4C" w:rsidRDefault="001A6A4C" w:rsidP="00762B59">
      <w:pPr>
        <w:pStyle w:val="CommentText"/>
        <w:rPr>
          <w:rFonts w:ascii="Calibri" w:eastAsia="Calibri" w:hAnsi="Calibri" w:cs="Calibri"/>
          <w:sz w:val="24"/>
          <w:szCs w:val="24"/>
        </w:rPr>
      </w:pPr>
      <w:r w:rsidRPr="001A6A4C">
        <w:rPr>
          <w:rFonts w:ascii="Calibri" w:eastAsia="Calibri" w:hAnsi="Calibri" w:cs="Calibri"/>
          <w:sz w:val="24"/>
          <w:szCs w:val="24"/>
        </w:rPr>
        <w:t xml:space="preserve">Overall, the review team found </w:t>
      </w:r>
      <w:r w:rsidR="00C63A38">
        <w:rPr>
          <w:rFonts w:ascii="Calibri" w:eastAsia="Calibri" w:hAnsi="Calibri" w:cs="Calibri"/>
          <w:sz w:val="24"/>
          <w:szCs w:val="24"/>
        </w:rPr>
        <w:t xml:space="preserve">AIFDR has made </w:t>
      </w:r>
      <w:r w:rsidR="00994DFA">
        <w:rPr>
          <w:rFonts w:ascii="Calibri" w:eastAsia="Calibri" w:hAnsi="Calibri" w:cs="Calibri"/>
          <w:sz w:val="24"/>
          <w:szCs w:val="24"/>
        </w:rPr>
        <w:t xml:space="preserve">a </w:t>
      </w:r>
      <w:r w:rsidR="00C63A38">
        <w:rPr>
          <w:rFonts w:ascii="Calibri" w:eastAsia="Calibri" w:hAnsi="Calibri" w:cs="Calibri"/>
          <w:sz w:val="24"/>
          <w:szCs w:val="24"/>
        </w:rPr>
        <w:t xml:space="preserve">range of changes to increase </w:t>
      </w:r>
      <w:r w:rsidRPr="001A6A4C">
        <w:rPr>
          <w:rFonts w:ascii="Calibri" w:eastAsia="Calibri" w:hAnsi="Calibri" w:cs="Calibri"/>
          <w:sz w:val="24"/>
          <w:szCs w:val="24"/>
        </w:rPr>
        <w:t>efficienc</w:t>
      </w:r>
      <w:r w:rsidR="00C63A38">
        <w:rPr>
          <w:rFonts w:ascii="Calibri" w:eastAsia="Calibri" w:hAnsi="Calibri" w:cs="Calibri"/>
          <w:sz w:val="24"/>
          <w:szCs w:val="24"/>
        </w:rPr>
        <w:t>y</w:t>
      </w:r>
      <w:r w:rsidR="00087808">
        <w:rPr>
          <w:rFonts w:ascii="Calibri" w:eastAsia="Calibri" w:hAnsi="Calibri" w:cs="Calibri"/>
          <w:sz w:val="24"/>
          <w:szCs w:val="24"/>
        </w:rPr>
        <w:t>, namely:</w:t>
      </w:r>
      <w:r w:rsidR="00536A86">
        <w:rPr>
          <w:rFonts w:ascii="Calibri" w:eastAsia="Calibri" w:hAnsi="Calibri" w:cs="Calibri"/>
          <w:sz w:val="24"/>
          <w:szCs w:val="24"/>
        </w:rPr>
        <w:t xml:space="preserve"> </w:t>
      </w:r>
    </w:p>
    <w:p w14:paraId="77A27EFC" w14:textId="6A9AEBD1" w:rsidR="006F5304" w:rsidRDefault="006F5304" w:rsidP="004130E6">
      <w:pPr>
        <w:pStyle w:val="ListParagraph"/>
        <w:widowControl w:val="0"/>
        <w:numPr>
          <w:ilvl w:val="0"/>
          <w:numId w:val="35"/>
        </w:numPr>
        <w:tabs>
          <w:tab w:val="left" w:pos="220"/>
          <w:tab w:val="left" w:pos="720"/>
        </w:tabs>
        <w:autoSpaceDE w:val="0"/>
        <w:autoSpaceDN w:val="0"/>
        <w:adjustRightInd w:val="0"/>
        <w:spacing w:after="280"/>
        <w:rPr>
          <w:rFonts w:cs="Times New Roman"/>
          <w:sz w:val="24"/>
          <w:szCs w:val="24"/>
        </w:rPr>
      </w:pPr>
      <w:r w:rsidRPr="006B0CFC">
        <w:rPr>
          <w:rFonts w:cs="Times New Roman"/>
          <w:b/>
          <w:sz w:val="24"/>
          <w:szCs w:val="24"/>
        </w:rPr>
        <w:t>Consolidation of AIFDR portfolio:</w:t>
      </w:r>
      <w:r w:rsidRPr="006B0CFC">
        <w:rPr>
          <w:rFonts w:cs="Times New Roman"/>
          <w:sz w:val="24"/>
          <w:szCs w:val="24"/>
        </w:rPr>
        <w:t xml:space="preserve"> MTR</w:t>
      </w:r>
      <w:r w:rsidR="009D15AB">
        <w:rPr>
          <w:rFonts w:cs="Times New Roman"/>
          <w:sz w:val="24"/>
          <w:szCs w:val="24"/>
        </w:rPr>
        <w:t xml:space="preserve"> found </w:t>
      </w:r>
      <w:r w:rsidR="004130E6" w:rsidRPr="006B0CFC">
        <w:rPr>
          <w:rFonts w:cs="Times New Roman"/>
          <w:sz w:val="24"/>
          <w:szCs w:val="24"/>
        </w:rPr>
        <w:t>AIFDR’s portfolio was widely spread with a large number of contracts with a large number of partners</w:t>
      </w:r>
      <w:r w:rsidR="004130E6">
        <w:rPr>
          <w:color w:val="000000" w:themeColor="text1"/>
          <w:sz w:val="24"/>
          <w:szCs w:val="24"/>
        </w:rPr>
        <w:t xml:space="preserve"> </w:t>
      </w:r>
      <w:r w:rsidR="009D15AB">
        <w:rPr>
          <w:color w:val="000000" w:themeColor="text1"/>
          <w:sz w:val="24"/>
          <w:szCs w:val="24"/>
        </w:rPr>
        <w:t>(</w:t>
      </w:r>
      <w:r w:rsidR="003A5B82">
        <w:rPr>
          <w:color w:val="000000" w:themeColor="text1"/>
          <w:sz w:val="24"/>
          <w:szCs w:val="24"/>
        </w:rPr>
        <w:t>e.g.</w:t>
      </w:r>
      <w:r w:rsidR="009D15AB">
        <w:rPr>
          <w:color w:val="000000" w:themeColor="text1"/>
          <w:sz w:val="24"/>
          <w:szCs w:val="24"/>
        </w:rPr>
        <w:t xml:space="preserve"> 37% of activities </w:t>
      </w:r>
      <w:r w:rsidR="00994DFA">
        <w:rPr>
          <w:color w:val="000000" w:themeColor="text1"/>
          <w:sz w:val="24"/>
          <w:szCs w:val="24"/>
        </w:rPr>
        <w:t>were</w:t>
      </w:r>
      <w:r w:rsidR="009D15AB">
        <w:rPr>
          <w:color w:val="000000" w:themeColor="text1"/>
          <w:sz w:val="24"/>
          <w:szCs w:val="24"/>
        </w:rPr>
        <w:t xml:space="preserve"> less than $100,000 in value). </w:t>
      </w:r>
      <w:r w:rsidRPr="006B0CFC">
        <w:rPr>
          <w:rFonts w:cs="Times New Roman"/>
          <w:sz w:val="24"/>
          <w:szCs w:val="24"/>
        </w:rPr>
        <w:t>Post</w:t>
      </w:r>
      <w:r w:rsidR="00C0091E">
        <w:rPr>
          <w:rFonts w:cs="Times New Roman"/>
          <w:sz w:val="24"/>
          <w:szCs w:val="24"/>
        </w:rPr>
        <w:t>-</w:t>
      </w:r>
      <w:r w:rsidRPr="006B0CFC">
        <w:rPr>
          <w:rFonts w:cs="Times New Roman"/>
          <w:sz w:val="24"/>
          <w:szCs w:val="24"/>
        </w:rPr>
        <w:t>MTR</w:t>
      </w:r>
      <w:r w:rsidR="00C0091E">
        <w:rPr>
          <w:rFonts w:cs="Times New Roman"/>
          <w:sz w:val="24"/>
          <w:szCs w:val="24"/>
        </w:rPr>
        <w:t>,</w:t>
      </w:r>
      <w:r w:rsidRPr="006B0CFC">
        <w:rPr>
          <w:rFonts w:cs="Times New Roman"/>
          <w:sz w:val="24"/>
          <w:szCs w:val="24"/>
        </w:rPr>
        <w:t xml:space="preserve"> AIFDR </w:t>
      </w:r>
      <w:r w:rsidR="004130E6">
        <w:rPr>
          <w:rFonts w:cs="Times New Roman"/>
          <w:sz w:val="24"/>
          <w:szCs w:val="24"/>
        </w:rPr>
        <w:t xml:space="preserve">increased </w:t>
      </w:r>
      <w:r w:rsidRPr="006B0CFC">
        <w:rPr>
          <w:rFonts w:cs="Times New Roman"/>
          <w:sz w:val="24"/>
          <w:szCs w:val="24"/>
        </w:rPr>
        <w:t xml:space="preserve">efficiency by consolidating its </w:t>
      </w:r>
      <w:r w:rsidR="00041D8E">
        <w:rPr>
          <w:rFonts w:cs="Times New Roman"/>
          <w:sz w:val="24"/>
          <w:szCs w:val="24"/>
        </w:rPr>
        <w:t>portfolio</w:t>
      </w:r>
      <w:r w:rsidR="00041D8E" w:rsidRPr="006B0CFC">
        <w:rPr>
          <w:rFonts w:cs="Times New Roman"/>
          <w:sz w:val="24"/>
          <w:szCs w:val="24"/>
        </w:rPr>
        <w:t xml:space="preserve"> </w:t>
      </w:r>
      <w:r w:rsidR="009D15AB">
        <w:rPr>
          <w:rFonts w:cs="Times New Roman"/>
          <w:sz w:val="24"/>
          <w:szCs w:val="24"/>
        </w:rPr>
        <w:t xml:space="preserve">of activities - </w:t>
      </w:r>
      <w:r w:rsidRPr="006B0CFC">
        <w:rPr>
          <w:rFonts w:cs="Times New Roman"/>
          <w:sz w:val="24"/>
          <w:szCs w:val="24"/>
        </w:rPr>
        <w:t>reducing the number of partners and contracts.</w:t>
      </w:r>
    </w:p>
    <w:p w14:paraId="15A57135" w14:textId="77777777" w:rsidR="00087808" w:rsidRDefault="00087808" w:rsidP="00D10DB8">
      <w:pPr>
        <w:pStyle w:val="ListParagraph"/>
        <w:widowControl w:val="0"/>
        <w:tabs>
          <w:tab w:val="left" w:pos="220"/>
          <w:tab w:val="left" w:pos="720"/>
        </w:tabs>
        <w:autoSpaceDE w:val="0"/>
        <w:autoSpaceDN w:val="0"/>
        <w:adjustRightInd w:val="0"/>
        <w:spacing w:after="280"/>
        <w:rPr>
          <w:rFonts w:cs="Times New Roman"/>
          <w:sz w:val="24"/>
          <w:szCs w:val="24"/>
        </w:rPr>
      </w:pPr>
    </w:p>
    <w:p w14:paraId="33089BF9" w14:textId="0F2B2747" w:rsidR="00087808" w:rsidRDefault="00087808" w:rsidP="00087808">
      <w:pPr>
        <w:pStyle w:val="ListParagraph"/>
        <w:widowControl w:val="0"/>
        <w:numPr>
          <w:ilvl w:val="0"/>
          <w:numId w:val="35"/>
        </w:numPr>
        <w:tabs>
          <w:tab w:val="left" w:pos="220"/>
          <w:tab w:val="left" w:pos="720"/>
        </w:tabs>
        <w:autoSpaceDE w:val="0"/>
        <w:autoSpaceDN w:val="0"/>
        <w:adjustRightInd w:val="0"/>
        <w:spacing w:after="280"/>
        <w:rPr>
          <w:rFonts w:cs="Times New Roman"/>
          <w:sz w:val="24"/>
          <w:szCs w:val="24"/>
        </w:rPr>
      </w:pPr>
      <w:r>
        <w:rPr>
          <w:rFonts w:cs="Times New Roman"/>
          <w:b/>
          <w:sz w:val="24"/>
          <w:szCs w:val="24"/>
        </w:rPr>
        <w:t>Facility efforts more tightly focused</w:t>
      </w:r>
      <w:r w:rsidRPr="00D10DB8">
        <w:rPr>
          <w:rFonts w:cs="Times New Roman"/>
          <w:b/>
          <w:sz w:val="24"/>
          <w:szCs w:val="24"/>
        </w:rPr>
        <w:t>:</w:t>
      </w:r>
      <w:r w:rsidRPr="00D10DB8">
        <w:rPr>
          <w:rFonts w:cs="Times New Roman"/>
          <w:sz w:val="24"/>
          <w:szCs w:val="24"/>
        </w:rPr>
        <w:t xml:space="preserve"> The MTR identified that AIFDR risked failing to attain its end-of-facility objectives if it did not focus its efforts more tightly. Accordingly, it recommended that AIFDR focus its efforts in 3-4 target provinces and explore opportunities to integrate </w:t>
      </w:r>
      <w:r w:rsidR="009043EE">
        <w:rPr>
          <w:rFonts w:cs="Times New Roman"/>
          <w:sz w:val="24"/>
          <w:szCs w:val="24"/>
        </w:rPr>
        <w:t>DRR</w:t>
      </w:r>
      <w:r w:rsidR="009043EE" w:rsidRPr="00D10DB8">
        <w:rPr>
          <w:rFonts w:cs="Times New Roman"/>
          <w:sz w:val="24"/>
          <w:szCs w:val="24"/>
        </w:rPr>
        <w:t xml:space="preserve"> </w:t>
      </w:r>
      <w:r w:rsidRPr="00D10DB8">
        <w:rPr>
          <w:rFonts w:cs="Times New Roman"/>
          <w:sz w:val="24"/>
          <w:szCs w:val="24"/>
        </w:rPr>
        <w:t xml:space="preserve">into existing programs. Post-MTR, AIFDR has focused its sub-national level investments in 5 provinces (negotiated with BNPB). </w:t>
      </w:r>
      <w:r w:rsidRPr="00D10DB8">
        <w:rPr>
          <w:sz w:val="24"/>
          <w:szCs w:val="24"/>
        </w:rPr>
        <w:t xml:space="preserve">All but one province (West Sumatra) had existing AusAID/DFAT programs including AIPD and ACCESS. </w:t>
      </w:r>
      <w:r w:rsidRPr="00D10DB8">
        <w:rPr>
          <w:rFonts w:cs="Times New Roman"/>
          <w:sz w:val="24"/>
          <w:szCs w:val="24"/>
        </w:rPr>
        <w:t xml:space="preserve"> </w:t>
      </w:r>
      <w:r w:rsidRPr="00D10DB8">
        <w:rPr>
          <w:sz w:val="24"/>
          <w:szCs w:val="24"/>
        </w:rPr>
        <w:t>AIFDR immediately started working with ACCESS on integrating OpenStreetMap into their program.</w:t>
      </w:r>
      <w:r w:rsidRPr="00D10DB8">
        <w:rPr>
          <w:rFonts w:cs="Times New Roman"/>
          <w:sz w:val="24"/>
          <w:szCs w:val="24"/>
        </w:rPr>
        <w:t xml:space="preserve"> AIFDR should seek to further expand opportunities for integrated </w:t>
      </w:r>
      <w:r w:rsidR="009043EE">
        <w:rPr>
          <w:rFonts w:cs="Times New Roman"/>
          <w:sz w:val="24"/>
          <w:szCs w:val="24"/>
        </w:rPr>
        <w:t>DRR</w:t>
      </w:r>
      <w:r w:rsidR="009043EE" w:rsidRPr="00D10DB8">
        <w:rPr>
          <w:rFonts w:cs="Times New Roman"/>
          <w:sz w:val="24"/>
          <w:szCs w:val="24"/>
        </w:rPr>
        <w:t xml:space="preserve"> </w:t>
      </w:r>
      <w:r w:rsidRPr="00D10DB8">
        <w:rPr>
          <w:rFonts w:cs="Times New Roman"/>
          <w:sz w:val="24"/>
          <w:szCs w:val="24"/>
        </w:rPr>
        <w:t>programming with complementary aid initiatives in Phase 2.</w:t>
      </w:r>
    </w:p>
    <w:p w14:paraId="1D205805" w14:textId="77777777" w:rsidR="00087808" w:rsidRPr="00D10DB8" w:rsidRDefault="00087808" w:rsidP="00D10DB8">
      <w:pPr>
        <w:pStyle w:val="ListParagraph"/>
        <w:rPr>
          <w:rFonts w:cs="Times New Roman"/>
          <w:sz w:val="24"/>
          <w:szCs w:val="24"/>
        </w:rPr>
      </w:pPr>
    </w:p>
    <w:p w14:paraId="7222F9B4" w14:textId="466B2583" w:rsidR="00087808" w:rsidRDefault="00D10DB8" w:rsidP="00087808">
      <w:pPr>
        <w:pStyle w:val="ListParagraph"/>
        <w:widowControl w:val="0"/>
        <w:numPr>
          <w:ilvl w:val="0"/>
          <w:numId w:val="35"/>
        </w:numPr>
        <w:tabs>
          <w:tab w:val="left" w:pos="220"/>
          <w:tab w:val="left" w:pos="720"/>
        </w:tabs>
        <w:autoSpaceDE w:val="0"/>
        <w:autoSpaceDN w:val="0"/>
        <w:adjustRightInd w:val="0"/>
        <w:spacing w:after="280"/>
        <w:rPr>
          <w:rFonts w:cs="Times New Roman"/>
          <w:sz w:val="24"/>
          <w:szCs w:val="24"/>
        </w:rPr>
      </w:pPr>
      <w:r>
        <w:rPr>
          <w:rFonts w:cs="Times New Roman"/>
          <w:b/>
          <w:sz w:val="24"/>
          <w:szCs w:val="24"/>
        </w:rPr>
        <w:t>Establishment of CDSP</w:t>
      </w:r>
      <w:r w:rsidR="00087808">
        <w:rPr>
          <w:rFonts w:cs="Times New Roman"/>
          <w:b/>
          <w:sz w:val="24"/>
          <w:szCs w:val="24"/>
        </w:rPr>
        <w:t>:</w:t>
      </w:r>
      <w:r w:rsidR="00087808" w:rsidRPr="006B0CFC">
        <w:rPr>
          <w:rFonts w:cs="Times New Roman"/>
          <w:sz w:val="24"/>
          <w:szCs w:val="24"/>
        </w:rPr>
        <w:t xml:space="preserve"> </w:t>
      </w:r>
      <w:r w:rsidR="00087808" w:rsidRPr="00247286">
        <w:rPr>
          <w:rFonts w:cs="Times New Roman"/>
          <w:sz w:val="24"/>
          <w:szCs w:val="24"/>
        </w:rPr>
        <w:t>The MTR identified a range of risks to the achievement of the end-of-facility outcomes and purpose including ineffective capacity development approaches. On the back of the MTR</w:t>
      </w:r>
      <w:r w:rsidR="00087808">
        <w:rPr>
          <w:rFonts w:cs="Times New Roman"/>
          <w:sz w:val="24"/>
          <w:szCs w:val="24"/>
        </w:rPr>
        <w:t>,</w:t>
      </w:r>
      <w:r w:rsidR="00087808" w:rsidRPr="00247286">
        <w:rPr>
          <w:rFonts w:cs="Times New Roman"/>
          <w:sz w:val="24"/>
          <w:szCs w:val="24"/>
        </w:rPr>
        <w:t xml:space="preserve"> the CDSP was established. A very conscious decision was made by AIFDR management to maintain control of the program </w:t>
      </w:r>
      <w:r w:rsidR="00087808">
        <w:rPr>
          <w:rFonts w:cs="Times New Roman"/>
          <w:sz w:val="24"/>
          <w:szCs w:val="24"/>
        </w:rPr>
        <w:t>by</w:t>
      </w:r>
      <w:r w:rsidR="00087808" w:rsidRPr="00247286">
        <w:rPr>
          <w:rFonts w:cs="Times New Roman"/>
          <w:sz w:val="24"/>
          <w:szCs w:val="24"/>
        </w:rPr>
        <w:t xml:space="preserve"> keep</w:t>
      </w:r>
      <w:r w:rsidR="00087808">
        <w:rPr>
          <w:rFonts w:cs="Times New Roman"/>
          <w:sz w:val="24"/>
          <w:szCs w:val="24"/>
        </w:rPr>
        <w:t>ing</w:t>
      </w:r>
      <w:r w:rsidR="00087808" w:rsidRPr="00247286">
        <w:rPr>
          <w:rFonts w:cs="Times New Roman"/>
          <w:sz w:val="24"/>
          <w:szCs w:val="24"/>
        </w:rPr>
        <w:t xml:space="preserve"> management ‘in-house’. The rationale </w:t>
      </w:r>
      <w:r w:rsidR="00087808">
        <w:rPr>
          <w:rFonts w:cs="Times New Roman"/>
          <w:sz w:val="24"/>
          <w:szCs w:val="24"/>
        </w:rPr>
        <w:t xml:space="preserve">for retention in-house </w:t>
      </w:r>
      <w:r w:rsidR="00087808" w:rsidRPr="00247286">
        <w:rPr>
          <w:rFonts w:cs="Times New Roman"/>
          <w:sz w:val="24"/>
          <w:szCs w:val="24"/>
        </w:rPr>
        <w:t xml:space="preserve">was </w:t>
      </w:r>
      <w:r w:rsidR="00087808">
        <w:rPr>
          <w:rFonts w:cs="Times New Roman"/>
          <w:sz w:val="24"/>
          <w:szCs w:val="24"/>
        </w:rPr>
        <w:t xml:space="preserve">that </w:t>
      </w:r>
      <w:r w:rsidR="00087808" w:rsidRPr="00247286">
        <w:rPr>
          <w:sz w:val="24"/>
          <w:szCs w:val="24"/>
        </w:rPr>
        <w:t>AIFDR would</w:t>
      </w:r>
      <w:r w:rsidR="009043EE">
        <w:rPr>
          <w:sz w:val="24"/>
          <w:szCs w:val="24"/>
        </w:rPr>
        <w:t xml:space="preserve"> not</w:t>
      </w:r>
      <w:r w:rsidR="00087808" w:rsidRPr="00247286">
        <w:rPr>
          <w:sz w:val="24"/>
          <w:szCs w:val="24"/>
        </w:rPr>
        <w:t xml:space="preserve"> have had control over where resources were directed if it was </w:t>
      </w:r>
      <w:r w:rsidR="00087808">
        <w:rPr>
          <w:sz w:val="24"/>
          <w:szCs w:val="24"/>
        </w:rPr>
        <w:t>sub-contracted to</w:t>
      </w:r>
      <w:r w:rsidR="00087808" w:rsidRPr="00247286">
        <w:rPr>
          <w:sz w:val="24"/>
          <w:szCs w:val="24"/>
        </w:rPr>
        <w:t xml:space="preserve"> </w:t>
      </w:r>
      <w:r w:rsidR="00087808">
        <w:rPr>
          <w:sz w:val="24"/>
          <w:szCs w:val="24"/>
        </w:rPr>
        <w:t xml:space="preserve">an external agency such as </w:t>
      </w:r>
      <w:r w:rsidR="00087808" w:rsidRPr="00247286">
        <w:rPr>
          <w:sz w:val="24"/>
          <w:szCs w:val="24"/>
        </w:rPr>
        <w:t xml:space="preserve">UNDP. CDSP </w:t>
      </w:r>
      <w:r w:rsidR="00087808">
        <w:rPr>
          <w:sz w:val="24"/>
          <w:szCs w:val="24"/>
        </w:rPr>
        <w:t xml:space="preserve">was a </w:t>
      </w:r>
      <w:r w:rsidR="00087808" w:rsidRPr="00247286">
        <w:rPr>
          <w:sz w:val="24"/>
          <w:szCs w:val="24"/>
        </w:rPr>
        <w:t>good strategic direction for AIFDR</w:t>
      </w:r>
      <w:r w:rsidR="00087808">
        <w:rPr>
          <w:sz w:val="24"/>
          <w:szCs w:val="24"/>
        </w:rPr>
        <w:t xml:space="preserve"> as it is clear </w:t>
      </w:r>
      <w:r w:rsidR="00087808" w:rsidRPr="00247286">
        <w:rPr>
          <w:sz w:val="24"/>
          <w:szCs w:val="24"/>
        </w:rPr>
        <w:t xml:space="preserve">capacity building is </w:t>
      </w:r>
      <w:proofErr w:type="gramStart"/>
      <w:r w:rsidR="00087808" w:rsidRPr="00247286">
        <w:rPr>
          <w:sz w:val="24"/>
          <w:szCs w:val="24"/>
        </w:rPr>
        <w:t>key</w:t>
      </w:r>
      <w:proofErr w:type="gramEnd"/>
      <w:r w:rsidR="00087808" w:rsidRPr="00247286">
        <w:rPr>
          <w:sz w:val="24"/>
          <w:szCs w:val="24"/>
        </w:rPr>
        <w:t xml:space="preserve"> to GoI’s efforts to </w:t>
      </w:r>
      <w:r w:rsidR="003C6D04">
        <w:rPr>
          <w:sz w:val="24"/>
          <w:szCs w:val="24"/>
        </w:rPr>
        <w:t>reduce and better manage disaster risk</w:t>
      </w:r>
      <w:r w:rsidR="00087808" w:rsidRPr="00247286">
        <w:rPr>
          <w:sz w:val="24"/>
          <w:szCs w:val="24"/>
        </w:rPr>
        <w:t xml:space="preserve">. The review team considers greater </w:t>
      </w:r>
      <w:r w:rsidR="00087808">
        <w:rPr>
          <w:sz w:val="24"/>
          <w:szCs w:val="24"/>
        </w:rPr>
        <w:t xml:space="preserve">cost </w:t>
      </w:r>
      <w:r w:rsidR="00087808" w:rsidRPr="00247286">
        <w:rPr>
          <w:sz w:val="24"/>
          <w:szCs w:val="24"/>
        </w:rPr>
        <w:t xml:space="preserve">efficiency would have been achieved by outsourcing the management of </w:t>
      </w:r>
      <w:r w:rsidR="00087808">
        <w:rPr>
          <w:sz w:val="24"/>
          <w:szCs w:val="24"/>
        </w:rPr>
        <w:t xml:space="preserve">CSDP. Whether political gains </w:t>
      </w:r>
      <w:r w:rsidR="00087808" w:rsidRPr="006B0CFC">
        <w:rPr>
          <w:rFonts w:cs="Times New Roman"/>
          <w:sz w:val="24"/>
          <w:szCs w:val="24"/>
        </w:rPr>
        <w:t>offset</w:t>
      </w:r>
      <w:r w:rsidR="00087808">
        <w:rPr>
          <w:rFonts w:cs="Times New Roman"/>
          <w:sz w:val="24"/>
          <w:szCs w:val="24"/>
        </w:rPr>
        <w:t xml:space="preserve"> cost efficiencies is a matter for conjecture.</w:t>
      </w:r>
    </w:p>
    <w:p w14:paraId="21D5A5EE" w14:textId="77777777" w:rsidR="00D10DB8" w:rsidRDefault="00D10DB8" w:rsidP="00D10DB8">
      <w:pPr>
        <w:pStyle w:val="ListParagraph"/>
        <w:widowControl w:val="0"/>
        <w:tabs>
          <w:tab w:val="left" w:pos="220"/>
          <w:tab w:val="left" w:pos="720"/>
        </w:tabs>
        <w:autoSpaceDE w:val="0"/>
        <w:autoSpaceDN w:val="0"/>
        <w:adjustRightInd w:val="0"/>
        <w:spacing w:after="280"/>
        <w:rPr>
          <w:rFonts w:cs="Times New Roman"/>
          <w:sz w:val="24"/>
          <w:szCs w:val="24"/>
        </w:rPr>
      </w:pPr>
    </w:p>
    <w:p w14:paraId="1B436F7E" w14:textId="76EFCF47" w:rsidR="00D10DB8" w:rsidRPr="0006240F" w:rsidRDefault="00D10DB8" w:rsidP="00D10DB8">
      <w:pPr>
        <w:pStyle w:val="ListParagraph"/>
        <w:numPr>
          <w:ilvl w:val="0"/>
          <w:numId w:val="35"/>
        </w:numPr>
        <w:rPr>
          <w:color w:val="000000" w:themeColor="text1"/>
          <w:sz w:val="24"/>
          <w:szCs w:val="24"/>
        </w:rPr>
      </w:pPr>
      <w:r>
        <w:rPr>
          <w:rFonts w:cs="Times New Roman"/>
          <w:b/>
          <w:sz w:val="24"/>
          <w:szCs w:val="24"/>
        </w:rPr>
        <w:t>Facility narrative developed</w:t>
      </w:r>
      <w:r w:rsidRPr="0006240F">
        <w:rPr>
          <w:rFonts w:cs="Times New Roman"/>
          <w:b/>
          <w:sz w:val="24"/>
          <w:szCs w:val="24"/>
        </w:rPr>
        <w:t>:</w:t>
      </w:r>
      <w:r w:rsidRPr="0006240F">
        <w:rPr>
          <w:rFonts w:cs="Times New Roman"/>
          <w:sz w:val="24"/>
          <w:szCs w:val="24"/>
        </w:rPr>
        <w:t xml:space="preserve"> The MTR found many AIFDR activities lacked a development rationale that links them to the facility logic. </w:t>
      </w:r>
      <w:r>
        <w:rPr>
          <w:rFonts w:cs="Times New Roman"/>
          <w:sz w:val="24"/>
          <w:szCs w:val="24"/>
        </w:rPr>
        <w:t>It</w:t>
      </w:r>
      <w:r w:rsidRPr="0006240F">
        <w:rPr>
          <w:rFonts w:cs="Times New Roman"/>
          <w:sz w:val="24"/>
          <w:szCs w:val="24"/>
        </w:rPr>
        <w:t xml:space="preserve"> stated th</w:t>
      </w:r>
      <w:r>
        <w:rPr>
          <w:rFonts w:cs="Times New Roman"/>
          <w:sz w:val="24"/>
          <w:szCs w:val="24"/>
        </w:rPr>
        <w:t>at</w:t>
      </w:r>
      <w:r w:rsidRPr="0006240F">
        <w:rPr>
          <w:rFonts w:cs="Times New Roman"/>
          <w:sz w:val="24"/>
          <w:szCs w:val="24"/>
        </w:rPr>
        <w:t xml:space="preserve"> </w:t>
      </w:r>
      <w:r w:rsidRPr="0006240F">
        <w:rPr>
          <w:rFonts w:cs="Times New Roman"/>
          <w:i/>
          <w:sz w:val="24"/>
          <w:szCs w:val="24"/>
        </w:rPr>
        <w:t>“</w:t>
      </w:r>
      <w:r>
        <w:rPr>
          <w:rFonts w:cs="Times New Roman"/>
          <w:i/>
          <w:sz w:val="24"/>
          <w:szCs w:val="24"/>
        </w:rPr>
        <w:t xml:space="preserve">this </w:t>
      </w:r>
      <w:r w:rsidRPr="0006240F">
        <w:rPr>
          <w:rFonts w:cs="Times New Roman"/>
          <w:i/>
          <w:sz w:val="24"/>
          <w:szCs w:val="24"/>
        </w:rPr>
        <w:t>increases the risk arising from fragmentation because it uses resources less likely to contribute to AIFDR outcomes or purpose”</w:t>
      </w:r>
      <w:r>
        <w:rPr>
          <w:rStyle w:val="FootnoteReference"/>
          <w:rFonts w:cs="Times New Roman"/>
          <w:i/>
          <w:sz w:val="24"/>
          <w:szCs w:val="24"/>
        </w:rPr>
        <w:footnoteReference w:id="22"/>
      </w:r>
      <w:r w:rsidRPr="0006240F">
        <w:rPr>
          <w:rFonts w:cs="Times New Roman"/>
          <w:sz w:val="24"/>
          <w:szCs w:val="24"/>
        </w:rPr>
        <w:t>. The MTR recommended AIFDR develop a development strategy that provides direction for partners and activities and ensure</w:t>
      </w:r>
      <w:r w:rsidR="008C5B70">
        <w:rPr>
          <w:rFonts w:cs="Times New Roman"/>
          <w:sz w:val="24"/>
          <w:szCs w:val="24"/>
        </w:rPr>
        <w:t xml:space="preserve">s </w:t>
      </w:r>
      <w:r w:rsidRPr="0006240F">
        <w:rPr>
          <w:rFonts w:cs="Times New Roman"/>
          <w:sz w:val="24"/>
          <w:szCs w:val="24"/>
        </w:rPr>
        <w:t xml:space="preserve">alignment with national and BNBP plans. </w:t>
      </w:r>
      <w:r>
        <w:rPr>
          <w:rFonts w:cs="Times New Roman"/>
          <w:sz w:val="24"/>
          <w:szCs w:val="24"/>
        </w:rPr>
        <w:t>In response,</w:t>
      </w:r>
      <w:r w:rsidRPr="0006240F">
        <w:rPr>
          <w:rFonts w:cs="Times New Roman"/>
          <w:sz w:val="24"/>
          <w:szCs w:val="24"/>
        </w:rPr>
        <w:t xml:space="preserve"> AIFDR </w:t>
      </w:r>
      <w:r w:rsidRPr="0006240F">
        <w:rPr>
          <w:rFonts w:cs="Times New Roman"/>
          <w:color w:val="000000" w:themeColor="text1"/>
          <w:sz w:val="24"/>
          <w:szCs w:val="24"/>
        </w:rPr>
        <w:t xml:space="preserve">produced </w:t>
      </w:r>
      <w:r>
        <w:rPr>
          <w:rFonts w:cs="Times New Roman"/>
          <w:color w:val="000000" w:themeColor="text1"/>
          <w:sz w:val="24"/>
          <w:szCs w:val="24"/>
        </w:rPr>
        <w:t>a</w:t>
      </w:r>
      <w:r w:rsidRPr="0006240F">
        <w:rPr>
          <w:rFonts w:cs="Times New Roman"/>
          <w:color w:val="000000" w:themeColor="text1"/>
          <w:sz w:val="24"/>
          <w:szCs w:val="24"/>
        </w:rPr>
        <w:t xml:space="preserve"> Development Strategy (referred to previously in this report) that assisted </w:t>
      </w:r>
      <w:r w:rsidR="008C5B70">
        <w:rPr>
          <w:rFonts w:cs="Times New Roman"/>
          <w:color w:val="000000" w:themeColor="text1"/>
          <w:sz w:val="24"/>
          <w:szCs w:val="24"/>
        </w:rPr>
        <w:t xml:space="preserve">the facility </w:t>
      </w:r>
      <w:r w:rsidRPr="0006240F">
        <w:rPr>
          <w:color w:val="000000" w:themeColor="text1"/>
          <w:sz w:val="24"/>
          <w:szCs w:val="24"/>
        </w:rPr>
        <w:t xml:space="preserve">to </w:t>
      </w:r>
      <w:r>
        <w:rPr>
          <w:color w:val="000000" w:themeColor="text1"/>
          <w:sz w:val="24"/>
          <w:szCs w:val="24"/>
        </w:rPr>
        <w:t>focus on</w:t>
      </w:r>
      <w:r w:rsidRPr="0006240F">
        <w:rPr>
          <w:color w:val="000000" w:themeColor="text1"/>
          <w:sz w:val="24"/>
          <w:szCs w:val="24"/>
        </w:rPr>
        <w:t xml:space="preserve"> deeper rather than broader initiatives. The strategy practically grouped together ongoing funded programs and initiatives in geographic areas each of which operated on varying timelines. The review team were advised by AIFDR staff </w:t>
      </w:r>
      <w:r>
        <w:rPr>
          <w:color w:val="000000" w:themeColor="text1"/>
          <w:sz w:val="24"/>
          <w:szCs w:val="24"/>
        </w:rPr>
        <w:t xml:space="preserve">the strategy was </w:t>
      </w:r>
      <w:r w:rsidRPr="0006240F">
        <w:rPr>
          <w:color w:val="000000" w:themeColor="text1"/>
          <w:sz w:val="24"/>
          <w:szCs w:val="24"/>
        </w:rPr>
        <w:t xml:space="preserve">not as useful as perceived in the MTR recommendations as a tool for </w:t>
      </w:r>
      <w:r>
        <w:rPr>
          <w:color w:val="000000" w:themeColor="text1"/>
          <w:sz w:val="24"/>
          <w:szCs w:val="24"/>
        </w:rPr>
        <w:t xml:space="preserve">developing </w:t>
      </w:r>
      <w:r w:rsidRPr="0006240F">
        <w:rPr>
          <w:color w:val="000000" w:themeColor="text1"/>
          <w:sz w:val="24"/>
          <w:szCs w:val="24"/>
        </w:rPr>
        <w:t>18-month rolling plans. Moreover, it made more sense to report against BNPB’s annual plan</w:t>
      </w:r>
      <w:r w:rsidR="008C5B70">
        <w:rPr>
          <w:color w:val="000000" w:themeColor="text1"/>
          <w:sz w:val="24"/>
          <w:szCs w:val="24"/>
        </w:rPr>
        <w:t>s</w:t>
      </w:r>
      <w:r w:rsidRPr="0006240F">
        <w:rPr>
          <w:color w:val="000000" w:themeColor="text1"/>
          <w:sz w:val="24"/>
          <w:szCs w:val="24"/>
        </w:rPr>
        <w:t xml:space="preserve"> identifying the BNPB priorities to which each of the activities related.</w:t>
      </w:r>
    </w:p>
    <w:p w14:paraId="408D4EA0" w14:textId="68EFCC6E" w:rsidR="00087808" w:rsidRDefault="00D10DB8" w:rsidP="00D10DB8">
      <w:pPr>
        <w:widowControl w:val="0"/>
        <w:tabs>
          <w:tab w:val="left" w:pos="220"/>
          <w:tab w:val="left" w:pos="720"/>
        </w:tabs>
        <w:autoSpaceDE w:val="0"/>
        <w:autoSpaceDN w:val="0"/>
        <w:adjustRightInd w:val="0"/>
        <w:spacing w:after="280"/>
        <w:rPr>
          <w:rFonts w:cs="Times New Roman"/>
          <w:sz w:val="24"/>
          <w:szCs w:val="24"/>
        </w:rPr>
      </w:pPr>
      <w:r>
        <w:rPr>
          <w:rFonts w:ascii="Calibri" w:eastAsia="Calibri" w:hAnsi="Calibri" w:cs="Calibri"/>
          <w:b/>
          <w:sz w:val="24"/>
          <w:szCs w:val="24"/>
        </w:rPr>
        <w:t>W</w:t>
      </w:r>
      <w:r w:rsidRPr="006B0CFC">
        <w:rPr>
          <w:rFonts w:ascii="Calibri" w:eastAsia="Calibri" w:hAnsi="Calibri" w:cs="Calibri"/>
          <w:b/>
          <w:sz w:val="24"/>
          <w:szCs w:val="24"/>
        </w:rPr>
        <w:t xml:space="preserve">hat has </w:t>
      </w:r>
      <w:r w:rsidR="00FB7AE4">
        <w:rPr>
          <w:rFonts w:ascii="Calibri" w:eastAsia="Calibri" w:hAnsi="Calibri" w:cs="Calibri"/>
          <w:b/>
          <w:sz w:val="24"/>
          <w:szCs w:val="24"/>
        </w:rPr>
        <w:t>been retrained</w:t>
      </w:r>
      <w:r>
        <w:rPr>
          <w:rFonts w:ascii="Calibri" w:eastAsia="Calibri" w:hAnsi="Calibri" w:cs="Calibri"/>
          <w:b/>
          <w:sz w:val="24"/>
          <w:szCs w:val="24"/>
        </w:rPr>
        <w:t xml:space="preserve"> </w:t>
      </w:r>
      <w:r w:rsidRPr="006B0CFC">
        <w:rPr>
          <w:rFonts w:ascii="Calibri" w:eastAsia="Calibri" w:hAnsi="Calibri" w:cs="Calibri"/>
          <w:b/>
          <w:sz w:val="24"/>
          <w:szCs w:val="24"/>
        </w:rPr>
        <w:t>since the MTR</w:t>
      </w:r>
      <w:r>
        <w:rPr>
          <w:rFonts w:ascii="Calibri" w:eastAsia="Calibri" w:hAnsi="Calibri" w:cs="Calibri"/>
          <w:b/>
          <w:sz w:val="24"/>
          <w:szCs w:val="24"/>
        </w:rPr>
        <w:t>?</w:t>
      </w:r>
    </w:p>
    <w:p w14:paraId="7D36C5F2" w14:textId="73056F55" w:rsidR="00700DA5" w:rsidRDefault="00A71880" w:rsidP="004130E6">
      <w:pPr>
        <w:pStyle w:val="ListParagraph"/>
        <w:widowControl w:val="0"/>
        <w:numPr>
          <w:ilvl w:val="0"/>
          <w:numId w:val="35"/>
        </w:numPr>
        <w:tabs>
          <w:tab w:val="left" w:pos="220"/>
          <w:tab w:val="left" w:pos="720"/>
        </w:tabs>
        <w:autoSpaceDE w:val="0"/>
        <w:autoSpaceDN w:val="0"/>
        <w:adjustRightInd w:val="0"/>
        <w:spacing w:after="280"/>
        <w:rPr>
          <w:rFonts w:cs="Times New Roman"/>
          <w:sz w:val="24"/>
          <w:szCs w:val="24"/>
        </w:rPr>
      </w:pPr>
      <w:r>
        <w:rPr>
          <w:rFonts w:cs="Times New Roman"/>
          <w:b/>
          <w:sz w:val="24"/>
          <w:szCs w:val="24"/>
        </w:rPr>
        <w:t xml:space="preserve">Australian Aid </w:t>
      </w:r>
      <w:r w:rsidR="004130E6">
        <w:rPr>
          <w:rFonts w:cs="Times New Roman"/>
          <w:b/>
          <w:sz w:val="24"/>
          <w:szCs w:val="24"/>
        </w:rPr>
        <w:t xml:space="preserve">management </w:t>
      </w:r>
      <w:r w:rsidR="00700DA5">
        <w:rPr>
          <w:rFonts w:cs="Times New Roman"/>
          <w:b/>
          <w:sz w:val="24"/>
          <w:szCs w:val="24"/>
        </w:rPr>
        <w:t xml:space="preserve">of </w:t>
      </w:r>
      <w:r w:rsidR="00087808">
        <w:rPr>
          <w:rFonts w:cs="Times New Roman"/>
          <w:b/>
          <w:sz w:val="24"/>
          <w:szCs w:val="24"/>
        </w:rPr>
        <w:t xml:space="preserve">facility </w:t>
      </w:r>
      <w:r w:rsidR="005632F5">
        <w:rPr>
          <w:rFonts w:cs="Times New Roman"/>
          <w:b/>
          <w:sz w:val="24"/>
          <w:szCs w:val="24"/>
        </w:rPr>
        <w:t>retained</w:t>
      </w:r>
      <w:r w:rsidR="004130E6">
        <w:rPr>
          <w:rFonts w:cs="Times New Roman"/>
          <w:b/>
          <w:sz w:val="24"/>
          <w:szCs w:val="24"/>
        </w:rPr>
        <w:t>:</w:t>
      </w:r>
      <w:r w:rsidR="004130E6">
        <w:rPr>
          <w:rFonts w:cs="Times New Roman"/>
          <w:sz w:val="24"/>
          <w:szCs w:val="24"/>
        </w:rPr>
        <w:t xml:space="preserve"> The MTR found </w:t>
      </w:r>
      <w:r w:rsidR="00B529AB">
        <w:rPr>
          <w:rFonts w:cs="Times New Roman"/>
          <w:sz w:val="24"/>
          <w:szCs w:val="24"/>
        </w:rPr>
        <w:t xml:space="preserve">that </w:t>
      </w:r>
      <w:r w:rsidR="004130E6">
        <w:rPr>
          <w:rFonts w:cs="Times New Roman"/>
          <w:sz w:val="24"/>
          <w:szCs w:val="24"/>
        </w:rPr>
        <w:t>AusAID</w:t>
      </w:r>
      <w:r w:rsidR="00994DFA">
        <w:rPr>
          <w:rFonts w:cs="Times New Roman"/>
          <w:sz w:val="24"/>
          <w:szCs w:val="24"/>
        </w:rPr>
        <w:t>/Australian-Aid</w:t>
      </w:r>
      <w:r w:rsidR="004130E6">
        <w:rPr>
          <w:rFonts w:cs="Times New Roman"/>
          <w:sz w:val="24"/>
          <w:szCs w:val="24"/>
        </w:rPr>
        <w:t xml:space="preserve"> management of the modality incurred significant costs </w:t>
      </w:r>
      <w:r w:rsidR="00C0091E">
        <w:rPr>
          <w:rFonts w:cs="Times New Roman"/>
          <w:sz w:val="24"/>
          <w:szCs w:val="24"/>
        </w:rPr>
        <w:t>in</w:t>
      </w:r>
      <w:r w:rsidR="004130E6">
        <w:rPr>
          <w:rFonts w:cs="Times New Roman"/>
          <w:sz w:val="24"/>
          <w:szCs w:val="24"/>
        </w:rPr>
        <w:t xml:space="preserve"> comply</w:t>
      </w:r>
      <w:r w:rsidR="00C0091E">
        <w:rPr>
          <w:rFonts w:cs="Times New Roman"/>
          <w:sz w:val="24"/>
          <w:szCs w:val="24"/>
        </w:rPr>
        <w:t>ing</w:t>
      </w:r>
      <w:r w:rsidR="004130E6">
        <w:rPr>
          <w:rFonts w:cs="Times New Roman"/>
          <w:sz w:val="24"/>
          <w:szCs w:val="24"/>
        </w:rPr>
        <w:t xml:space="preserve"> </w:t>
      </w:r>
      <w:r w:rsidR="00F9538D">
        <w:rPr>
          <w:rFonts w:cs="Times New Roman"/>
          <w:sz w:val="24"/>
          <w:szCs w:val="24"/>
        </w:rPr>
        <w:t xml:space="preserve">with </w:t>
      </w:r>
      <w:r w:rsidR="00B529AB">
        <w:rPr>
          <w:rFonts w:cs="Times New Roman"/>
          <w:sz w:val="24"/>
          <w:szCs w:val="24"/>
        </w:rPr>
        <w:t xml:space="preserve">mandatory </w:t>
      </w:r>
      <w:r w:rsidR="00F9538D">
        <w:rPr>
          <w:rFonts w:cs="Times New Roman"/>
          <w:sz w:val="24"/>
          <w:szCs w:val="24"/>
        </w:rPr>
        <w:t xml:space="preserve">Australian Government standards </w:t>
      </w:r>
      <w:r w:rsidR="004130E6">
        <w:rPr>
          <w:rFonts w:cs="Times New Roman"/>
          <w:sz w:val="24"/>
          <w:szCs w:val="24"/>
        </w:rPr>
        <w:t xml:space="preserve">(security, office fit out, IT etc) that reduce its </w:t>
      </w:r>
      <w:r w:rsidR="00B529AB">
        <w:rPr>
          <w:rFonts w:cs="Times New Roman"/>
          <w:sz w:val="24"/>
          <w:szCs w:val="24"/>
        </w:rPr>
        <w:t xml:space="preserve">cost </w:t>
      </w:r>
      <w:r w:rsidR="004130E6">
        <w:rPr>
          <w:rFonts w:cs="Times New Roman"/>
          <w:sz w:val="24"/>
          <w:szCs w:val="24"/>
        </w:rPr>
        <w:t>efficiency. Post</w:t>
      </w:r>
      <w:r w:rsidR="00C0091E">
        <w:rPr>
          <w:rFonts w:cs="Times New Roman"/>
          <w:sz w:val="24"/>
          <w:szCs w:val="24"/>
        </w:rPr>
        <w:t>-</w:t>
      </w:r>
      <w:r w:rsidR="004130E6">
        <w:rPr>
          <w:rFonts w:cs="Times New Roman"/>
          <w:sz w:val="24"/>
          <w:szCs w:val="24"/>
        </w:rPr>
        <w:t>MTR</w:t>
      </w:r>
      <w:r w:rsidR="00C0091E">
        <w:rPr>
          <w:rFonts w:cs="Times New Roman"/>
          <w:sz w:val="24"/>
          <w:szCs w:val="24"/>
        </w:rPr>
        <w:t>,</w:t>
      </w:r>
      <w:r w:rsidR="004130E6">
        <w:rPr>
          <w:rFonts w:cs="Times New Roman"/>
          <w:sz w:val="24"/>
          <w:szCs w:val="24"/>
        </w:rPr>
        <w:t xml:space="preserve"> AIFDR remained an Australian Aid managed facility</w:t>
      </w:r>
      <w:r w:rsidR="00C0091E">
        <w:rPr>
          <w:rFonts w:cs="Times New Roman"/>
          <w:sz w:val="24"/>
          <w:szCs w:val="24"/>
        </w:rPr>
        <w:t xml:space="preserve"> and therefore these costs continued to be incurred</w:t>
      </w:r>
      <w:r w:rsidR="00F9538D">
        <w:rPr>
          <w:rFonts w:cs="Times New Roman"/>
          <w:sz w:val="24"/>
          <w:szCs w:val="24"/>
        </w:rPr>
        <w:t xml:space="preserve">. </w:t>
      </w:r>
      <w:r w:rsidR="00700DA5" w:rsidRPr="006B0CFC">
        <w:rPr>
          <w:rFonts w:cs="Times New Roman"/>
          <w:sz w:val="24"/>
          <w:szCs w:val="24"/>
        </w:rPr>
        <w:t xml:space="preserve">The </w:t>
      </w:r>
      <w:r w:rsidR="00700DA5">
        <w:rPr>
          <w:rFonts w:cs="Times New Roman"/>
          <w:sz w:val="24"/>
          <w:szCs w:val="24"/>
        </w:rPr>
        <w:t xml:space="preserve">review team were not in a </w:t>
      </w:r>
      <w:r w:rsidR="00700DA5" w:rsidRPr="006B0CFC">
        <w:rPr>
          <w:rFonts w:cs="Times New Roman"/>
          <w:sz w:val="24"/>
          <w:szCs w:val="24"/>
        </w:rPr>
        <w:t xml:space="preserve">position to make an assessment of the </w:t>
      </w:r>
      <w:r w:rsidR="00B529AB">
        <w:rPr>
          <w:rFonts w:cs="Times New Roman"/>
          <w:sz w:val="24"/>
          <w:szCs w:val="24"/>
        </w:rPr>
        <w:t xml:space="preserve">current </w:t>
      </w:r>
      <w:r w:rsidR="00700DA5" w:rsidRPr="006B0CFC">
        <w:rPr>
          <w:rFonts w:cs="Times New Roman"/>
          <w:sz w:val="24"/>
          <w:szCs w:val="24"/>
        </w:rPr>
        <w:t xml:space="preserve">efficiency of </w:t>
      </w:r>
      <w:r w:rsidR="00994DFA">
        <w:rPr>
          <w:rFonts w:cs="Times New Roman"/>
          <w:sz w:val="24"/>
          <w:szCs w:val="24"/>
        </w:rPr>
        <w:t xml:space="preserve">the </w:t>
      </w:r>
      <w:r w:rsidR="00700DA5">
        <w:rPr>
          <w:rFonts w:cs="Times New Roman"/>
          <w:sz w:val="24"/>
          <w:szCs w:val="24"/>
        </w:rPr>
        <w:t>modality</w:t>
      </w:r>
      <w:r w:rsidR="00700DA5" w:rsidRPr="006B0CFC">
        <w:rPr>
          <w:rFonts w:cs="Times New Roman"/>
          <w:sz w:val="24"/>
          <w:szCs w:val="24"/>
        </w:rPr>
        <w:t xml:space="preserve"> as it was outside the ToRs to cost and compare alternative models.</w:t>
      </w:r>
      <w:r w:rsidR="00B529AB">
        <w:rPr>
          <w:rFonts w:cs="Times New Roman"/>
          <w:sz w:val="24"/>
          <w:szCs w:val="24"/>
        </w:rPr>
        <w:t xml:space="preserve"> However, we note that outsourcing management of AIFDR may reduce staffing costs but increase risks if compliance becomes optional. </w:t>
      </w:r>
      <w:r w:rsidR="00700DA5">
        <w:rPr>
          <w:rFonts w:cs="Times New Roman"/>
          <w:sz w:val="24"/>
          <w:szCs w:val="24"/>
        </w:rPr>
        <w:t xml:space="preserve"> </w:t>
      </w:r>
    </w:p>
    <w:p w14:paraId="36EDEFC2" w14:textId="77777777" w:rsidR="00FA5C5A" w:rsidRPr="00FA5C5A" w:rsidRDefault="00FA5C5A" w:rsidP="00FA5C5A">
      <w:pPr>
        <w:pStyle w:val="ListParagraph"/>
        <w:rPr>
          <w:rFonts w:cs="Times New Roman"/>
          <w:sz w:val="24"/>
          <w:szCs w:val="24"/>
        </w:rPr>
      </w:pPr>
    </w:p>
    <w:p w14:paraId="6A62E916" w14:textId="328CF7F5" w:rsidR="004318DD" w:rsidRPr="006E248F" w:rsidRDefault="004318DD" w:rsidP="006E248F">
      <w:pPr>
        <w:pStyle w:val="ListParagraph"/>
        <w:widowControl w:val="0"/>
        <w:numPr>
          <w:ilvl w:val="0"/>
          <w:numId w:val="19"/>
        </w:numPr>
        <w:tabs>
          <w:tab w:val="left" w:pos="220"/>
          <w:tab w:val="left" w:pos="720"/>
        </w:tabs>
        <w:autoSpaceDE w:val="0"/>
        <w:autoSpaceDN w:val="0"/>
        <w:adjustRightInd w:val="0"/>
        <w:spacing w:after="280"/>
        <w:rPr>
          <w:rFonts w:cs="Times New Roman"/>
          <w:color w:val="000000" w:themeColor="text1"/>
          <w:sz w:val="24"/>
          <w:szCs w:val="24"/>
        </w:rPr>
      </w:pPr>
      <w:r w:rsidRPr="006E248F">
        <w:rPr>
          <w:rFonts w:cs="Times New Roman"/>
          <w:b/>
          <w:color w:val="000000" w:themeColor="text1"/>
          <w:sz w:val="24"/>
          <w:szCs w:val="24"/>
        </w:rPr>
        <w:t>Co-directorship model</w:t>
      </w:r>
      <w:r w:rsidR="0037620A" w:rsidRPr="006E248F">
        <w:rPr>
          <w:rFonts w:cs="Times New Roman"/>
          <w:b/>
          <w:color w:val="000000" w:themeColor="text1"/>
          <w:sz w:val="24"/>
          <w:szCs w:val="24"/>
        </w:rPr>
        <w:t xml:space="preserve"> </w:t>
      </w:r>
      <w:r w:rsidR="005632F5" w:rsidRPr="006E248F">
        <w:rPr>
          <w:rFonts w:cs="Times New Roman"/>
          <w:b/>
          <w:color w:val="000000" w:themeColor="text1"/>
          <w:sz w:val="24"/>
          <w:szCs w:val="24"/>
        </w:rPr>
        <w:t>retained</w:t>
      </w:r>
      <w:r w:rsidRPr="006E248F">
        <w:rPr>
          <w:rFonts w:cs="Times New Roman"/>
          <w:b/>
          <w:color w:val="000000" w:themeColor="text1"/>
          <w:sz w:val="24"/>
          <w:szCs w:val="24"/>
        </w:rPr>
        <w:t>:</w:t>
      </w:r>
      <w:r w:rsidRPr="006E248F">
        <w:rPr>
          <w:rFonts w:cs="Times New Roman"/>
          <w:color w:val="000000" w:themeColor="text1"/>
          <w:sz w:val="24"/>
          <w:szCs w:val="24"/>
        </w:rPr>
        <w:t xml:space="preserve"> </w:t>
      </w:r>
      <w:r w:rsidR="00144358" w:rsidRPr="006E248F">
        <w:rPr>
          <w:rFonts w:cs="Times New Roman"/>
          <w:color w:val="000000" w:themeColor="text1"/>
          <w:sz w:val="24"/>
          <w:szCs w:val="24"/>
        </w:rPr>
        <w:t xml:space="preserve">The MTR raised the issue of competing demands for time of senior BNBP leaders as a risk to achievement of end-of-facility outcomes. </w:t>
      </w:r>
      <w:r w:rsidR="00E40246">
        <w:rPr>
          <w:rFonts w:cs="Times New Roman"/>
          <w:color w:val="000000" w:themeColor="text1"/>
          <w:sz w:val="24"/>
          <w:szCs w:val="24"/>
        </w:rPr>
        <w:t>The c</w:t>
      </w:r>
      <w:r w:rsidRPr="006E248F">
        <w:rPr>
          <w:rFonts w:cs="Times New Roman"/>
          <w:color w:val="000000" w:themeColor="text1"/>
          <w:sz w:val="24"/>
          <w:szCs w:val="24"/>
        </w:rPr>
        <w:t>o-directorship model meant decisions had to be made by both Australian and Indonesian officials. Given that BNPB Senior Leadership often had many competing demands for their time (including several disaster responses to manage)</w:t>
      </w:r>
      <w:r w:rsidR="00583441" w:rsidRPr="006E248F">
        <w:rPr>
          <w:rFonts w:cs="Times New Roman"/>
          <w:color w:val="000000" w:themeColor="text1"/>
          <w:sz w:val="24"/>
          <w:szCs w:val="24"/>
        </w:rPr>
        <w:t>,</w:t>
      </w:r>
      <w:r w:rsidRPr="006E248F">
        <w:rPr>
          <w:rFonts w:cs="Times New Roman"/>
          <w:color w:val="000000" w:themeColor="text1"/>
          <w:sz w:val="24"/>
          <w:szCs w:val="24"/>
        </w:rPr>
        <w:t xml:space="preserve"> joint decision-making often took time. On this basis, co-directorship may be regarded as an inefficient and possibly duplicative decision-making model. However, its </w:t>
      </w:r>
      <w:r w:rsidR="00087808" w:rsidRPr="006E248F">
        <w:rPr>
          <w:rFonts w:cs="Times New Roman"/>
          <w:color w:val="000000" w:themeColor="text1"/>
          <w:sz w:val="24"/>
          <w:szCs w:val="24"/>
        </w:rPr>
        <w:t xml:space="preserve">value in generating </w:t>
      </w:r>
      <w:r w:rsidRPr="006E248F">
        <w:rPr>
          <w:rFonts w:cs="Times New Roman"/>
          <w:color w:val="000000" w:themeColor="text1"/>
          <w:sz w:val="24"/>
          <w:szCs w:val="24"/>
        </w:rPr>
        <w:t>ownership may be seen to offset this.</w:t>
      </w:r>
    </w:p>
    <w:p w14:paraId="6BA059CC" w14:textId="77777777" w:rsidR="00994DFA" w:rsidRDefault="00994DFA" w:rsidP="00A71880">
      <w:pPr>
        <w:pStyle w:val="ListParagraph"/>
        <w:widowControl w:val="0"/>
        <w:tabs>
          <w:tab w:val="left" w:pos="220"/>
          <w:tab w:val="left" w:pos="720"/>
        </w:tabs>
        <w:autoSpaceDE w:val="0"/>
        <w:autoSpaceDN w:val="0"/>
        <w:adjustRightInd w:val="0"/>
        <w:spacing w:after="0" w:line="240" w:lineRule="auto"/>
        <w:rPr>
          <w:rFonts w:cs="Times New Roman"/>
          <w:sz w:val="24"/>
          <w:szCs w:val="24"/>
        </w:rPr>
      </w:pPr>
    </w:p>
    <w:p w14:paraId="73B23566" w14:textId="62810122" w:rsidR="00D75108" w:rsidRDefault="00D75108" w:rsidP="00B51518">
      <w:pPr>
        <w:pStyle w:val="Heading2"/>
        <w:numPr>
          <w:ilvl w:val="1"/>
          <w:numId w:val="29"/>
        </w:numPr>
      </w:pPr>
      <w:bookmarkStart w:id="15" w:name="_Toc402431254"/>
      <w:r>
        <w:t>Monitoring and Evaluation</w:t>
      </w:r>
      <w:bookmarkEnd w:id="15"/>
      <w:r>
        <w:t xml:space="preserve"> </w:t>
      </w:r>
    </w:p>
    <w:p w14:paraId="63FC5620" w14:textId="77777777" w:rsidR="00B51518" w:rsidRPr="00B51518" w:rsidRDefault="00B51518" w:rsidP="00B51518">
      <w:pPr>
        <w:pStyle w:val="ListParagraph"/>
        <w:spacing w:after="0"/>
        <w:ind w:left="480"/>
      </w:pPr>
    </w:p>
    <w:p w14:paraId="4F294EBD" w14:textId="7F691A8C" w:rsidR="007C0FA2" w:rsidRDefault="00AF4F77" w:rsidP="00D75108">
      <w:pPr>
        <w:rPr>
          <w:rFonts w:cs="Times New Roman"/>
          <w:sz w:val="24"/>
          <w:szCs w:val="24"/>
        </w:rPr>
      </w:pPr>
      <w:r>
        <w:rPr>
          <w:sz w:val="24"/>
          <w:szCs w:val="24"/>
        </w:rPr>
        <w:t xml:space="preserve">Facility-level monitoring and evaluation </w:t>
      </w:r>
      <w:r w:rsidR="007C0FA2">
        <w:rPr>
          <w:sz w:val="24"/>
          <w:szCs w:val="24"/>
        </w:rPr>
        <w:t>and knowledge management (see next section) are</w:t>
      </w:r>
      <w:r>
        <w:rPr>
          <w:sz w:val="24"/>
          <w:szCs w:val="24"/>
        </w:rPr>
        <w:t xml:space="preserve"> glaring weakness</w:t>
      </w:r>
      <w:r w:rsidR="007C0FA2">
        <w:rPr>
          <w:sz w:val="24"/>
          <w:szCs w:val="24"/>
        </w:rPr>
        <w:t>es</w:t>
      </w:r>
      <w:r>
        <w:rPr>
          <w:sz w:val="24"/>
          <w:szCs w:val="24"/>
        </w:rPr>
        <w:t xml:space="preserve"> within AIFDR. The</w:t>
      </w:r>
      <w:r w:rsidR="00D75108" w:rsidRPr="00F71D7A">
        <w:rPr>
          <w:sz w:val="24"/>
          <w:szCs w:val="24"/>
        </w:rPr>
        <w:t xml:space="preserve"> M&amp;E system is </w:t>
      </w:r>
      <w:r w:rsidR="007044FA" w:rsidRPr="00F71D7A">
        <w:rPr>
          <w:sz w:val="24"/>
          <w:szCs w:val="24"/>
        </w:rPr>
        <w:t>outputs</w:t>
      </w:r>
      <w:r w:rsidR="007044FA">
        <w:rPr>
          <w:sz w:val="24"/>
          <w:szCs w:val="24"/>
        </w:rPr>
        <w:t>-</w:t>
      </w:r>
      <w:r w:rsidR="00D75108" w:rsidRPr="00F71D7A">
        <w:rPr>
          <w:sz w:val="24"/>
          <w:szCs w:val="24"/>
        </w:rPr>
        <w:t>based</w:t>
      </w:r>
      <w:r w:rsidR="00D10DB8">
        <w:rPr>
          <w:sz w:val="24"/>
          <w:szCs w:val="24"/>
        </w:rPr>
        <w:t xml:space="preserve">, and many of the </w:t>
      </w:r>
      <w:r w:rsidR="00D75108" w:rsidRPr="00F71D7A">
        <w:rPr>
          <w:sz w:val="24"/>
          <w:szCs w:val="24"/>
        </w:rPr>
        <w:t xml:space="preserve">indicators are not particularly helpful for accountability or learning purposes. </w:t>
      </w:r>
      <w:r w:rsidR="00D10DB8">
        <w:rPr>
          <w:sz w:val="24"/>
          <w:szCs w:val="24"/>
        </w:rPr>
        <w:t>D</w:t>
      </w:r>
      <w:r w:rsidR="00D75108" w:rsidRPr="00F71D7A">
        <w:rPr>
          <w:sz w:val="24"/>
          <w:szCs w:val="24"/>
        </w:rPr>
        <w:t xml:space="preserve">ata </w:t>
      </w:r>
      <w:r w:rsidR="00D10DB8">
        <w:rPr>
          <w:sz w:val="24"/>
          <w:szCs w:val="24"/>
        </w:rPr>
        <w:t xml:space="preserve">reviewed is in many cases </w:t>
      </w:r>
      <w:r w:rsidR="00D75108" w:rsidRPr="00F71D7A">
        <w:rPr>
          <w:sz w:val="24"/>
          <w:szCs w:val="24"/>
        </w:rPr>
        <w:t>inaccurate as the same data sets appear under several components</w:t>
      </w:r>
      <w:r>
        <w:rPr>
          <w:sz w:val="24"/>
          <w:szCs w:val="24"/>
        </w:rPr>
        <w:t>;</w:t>
      </w:r>
      <w:r w:rsidR="00D75108" w:rsidRPr="00F71D7A">
        <w:rPr>
          <w:sz w:val="24"/>
          <w:szCs w:val="24"/>
        </w:rPr>
        <w:t xml:space="preserve"> </w:t>
      </w:r>
      <w:r>
        <w:rPr>
          <w:sz w:val="24"/>
          <w:szCs w:val="24"/>
        </w:rPr>
        <w:t>in other cases, d</w:t>
      </w:r>
      <w:r w:rsidR="00D75108" w:rsidRPr="00F71D7A">
        <w:rPr>
          <w:sz w:val="24"/>
          <w:szCs w:val="24"/>
        </w:rPr>
        <w:t xml:space="preserve">ata is simply </w:t>
      </w:r>
      <w:r>
        <w:rPr>
          <w:sz w:val="24"/>
          <w:szCs w:val="24"/>
        </w:rPr>
        <w:t>absent</w:t>
      </w:r>
      <w:r w:rsidRPr="00F71D7A">
        <w:rPr>
          <w:sz w:val="24"/>
          <w:szCs w:val="24"/>
        </w:rPr>
        <w:t xml:space="preserve"> </w:t>
      </w:r>
      <w:r w:rsidR="00D75108" w:rsidRPr="00F71D7A">
        <w:rPr>
          <w:sz w:val="24"/>
          <w:szCs w:val="24"/>
        </w:rPr>
        <w:t>against a large number of indicators (</w:t>
      </w:r>
      <w:r w:rsidR="003A5B82" w:rsidRPr="00F71D7A">
        <w:rPr>
          <w:sz w:val="24"/>
          <w:szCs w:val="24"/>
        </w:rPr>
        <w:t>e.g.</w:t>
      </w:r>
      <w:r w:rsidR="00D75108" w:rsidRPr="00F71D7A">
        <w:rPr>
          <w:sz w:val="24"/>
          <w:szCs w:val="24"/>
        </w:rPr>
        <w:t xml:space="preserve"> the ‘Corporate Pillar’ has data inputted against </w:t>
      </w:r>
      <w:r>
        <w:rPr>
          <w:sz w:val="24"/>
          <w:szCs w:val="24"/>
        </w:rPr>
        <w:t xml:space="preserve">just </w:t>
      </w:r>
      <w:r w:rsidR="00D75108" w:rsidRPr="00F71D7A">
        <w:rPr>
          <w:sz w:val="24"/>
          <w:szCs w:val="24"/>
        </w:rPr>
        <w:t xml:space="preserve">1 out of 5 indicators). The Training and </w:t>
      </w:r>
      <w:r w:rsidR="00D75108" w:rsidRPr="00F71D7A">
        <w:rPr>
          <w:rFonts w:cs="Times New Roman"/>
          <w:sz w:val="24"/>
          <w:szCs w:val="24"/>
        </w:rPr>
        <w:t xml:space="preserve">Outreach component is an exception, </w:t>
      </w:r>
      <w:r w:rsidR="007C0FA2">
        <w:rPr>
          <w:rFonts w:cs="Times New Roman"/>
          <w:sz w:val="24"/>
          <w:szCs w:val="24"/>
        </w:rPr>
        <w:t>with complete</w:t>
      </w:r>
      <w:r w:rsidR="00D75108" w:rsidRPr="00F71D7A">
        <w:rPr>
          <w:rFonts w:cs="Times New Roman"/>
          <w:sz w:val="24"/>
          <w:szCs w:val="24"/>
        </w:rPr>
        <w:t xml:space="preserve"> data.</w:t>
      </w:r>
    </w:p>
    <w:p w14:paraId="761F03A0" w14:textId="4B905150" w:rsidR="00D75108" w:rsidRDefault="00D75108" w:rsidP="00D75108">
      <w:pPr>
        <w:rPr>
          <w:rFonts w:cs="Times New Roman"/>
          <w:sz w:val="24"/>
          <w:szCs w:val="24"/>
        </w:rPr>
      </w:pPr>
      <w:r w:rsidRPr="00F71D7A">
        <w:rPr>
          <w:rFonts w:cs="Times New Roman"/>
          <w:sz w:val="24"/>
          <w:szCs w:val="24"/>
        </w:rPr>
        <w:t>For outcome-based</w:t>
      </w:r>
      <w:r w:rsidR="007C0FA2">
        <w:rPr>
          <w:rFonts w:cs="Times New Roman"/>
          <w:sz w:val="24"/>
          <w:szCs w:val="24"/>
        </w:rPr>
        <w:t>,</w:t>
      </w:r>
      <w:r w:rsidRPr="00F71D7A">
        <w:rPr>
          <w:rFonts w:cs="Times New Roman"/>
          <w:sz w:val="24"/>
          <w:szCs w:val="24"/>
        </w:rPr>
        <w:t xml:space="preserve"> program monitoring and assessment</w:t>
      </w:r>
      <w:r w:rsidR="00AF4F77">
        <w:rPr>
          <w:rFonts w:cs="Times New Roman"/>
          <w:sz w:val="24"/>
          <w:szCs w:val="24"/>
        </w:rPr>
        <w:t>,</w:t>
      </w:r>
      <w:r w:rsidRPr="00F71D7A">
        <w:rPr>
          <w:rFonts w:cs="Times New Roman"/>
          <w:sz w:val="24"/>
          <w:szCs w:val="24"/>
        </w:rPr>
        <w:t xml:space="preserve"> AIFDR relies on project/activity level evaluations (commonly completed by partners/with some AIFDR commissioned evaluations in the mix)</w:t>
      </w:r>
      <w:r w:rsidR="007C0FA2">
        <w:rPr>
          <w:rFonts w:cs="Times New Roman"/>
          <w:sz w:val="24"/>
          <w:szCs w:val="24"/>
        </w:rPr>
        <w:t xml:space="preserve"> but these are not compiled into facility level data</w:t>
      </w:r>
      <w:r w:rsidRPr="00F71D7A">
        <w:rPr>
          <w:rFonts w:cs="Times New Roman"/>
          <w:sz w:val="24"/>
          <w:szCs w:val="24"/>
        </w:rPr>
        <w:t xml:space="preserve">. </w:t>
      </w:r>
      <w:r w:rsidR="00B710BE">
        <w:rPr>
          <w:rFonts w:cs="Times New Roman"/>
          <w:sz w:val="24"/>
          <w:szCs w:val="24"/>
        </w:rPr>
        <w:t xml:space="preserve">The development of the M&amp;E framework was outsourced to an external </w:t>
      </w:r>
      <w:r w:rsidR="003F621E">
        <w:rPr>
          <w:rFonts w:cs="Times New Roman"/>
          <w:sz w:val="24"/>
          <w:szCs w:val="24"/>
        </w:rPr>
        <w:t xml:space="preserve">evaluation </w:t>
      </w:r>
      <w:r w:rsidR="00B710BE">
        <w:rPr>
          <w:rFonts w:cs="Times New Roman"/>
          <w:sz w:val="24"/>
          <w:szCs w:val="24"/>
        </w:rPr>
        <w:t>specialist. However</w:t>
      </w:r>
      <w:r w:rsidR="003F621E">
        <w:rPr>
          <w:rFonts w:cs="Times New Roman"/>
          <w:sz w:val="24"/>
          <w:szCs w:val="24"/>
        </w:rPr>
        <w:t>, AIFDR Senior Management, recognising</w:t>
      </w:r>
      <w:r w:rsidR="00B710BE">
        <w:rPr>
          <w:rFonts w:cs="Times New Roman"/>
          <w:sz w:val="24"/>
          <w:szCs w:val="24"/>
        </w:rPr>
        <w:t xml:space="preserve"> early on that the system was not useful</w:t>
      </w:r>
      <w:r w:rsidR="003F621E">
        <w:rPr>
          <w:rFonts w:cs="Times New Roman"/>
          <w:sz w:val="24"/>
          <w:szCs w:val="24"/>
        </w:rPr>
        <w:t>, d</w:t>
      </w:r>
      <w:r w:rsidR="00994DFA">
        <w:rPr>
          <w:rFonts w:cs="Times New Roman"/>
          <w:sz w:val="24"/>
          <w:szCs w:val="24"/>
        </w:rPr>
        <w:t>id</w:t>
      </w:r>
      <w:r w:rsidR="003F621E">
        <w:rPr>
          <w:rFonts w:cs="Times New Roman"/>
          <w:sz w:val="24"/>
          <w:szCs w:val="24"/>
        </w:rPr>
        <w:t xml:space="preserve"> not take steps to rectify the problem, and they </w:t>
      </w:r>
      <w:r w:rsidR="00B710BE">
        <w:rPr>
          <w:rFonts w:cs="Times New Roman"/>
          <w:sz w:val="24"/>
          <w:szCs w:val="24"/>
        </w:rPr>
        <w:t xml:space="preserve">should have done so. Instead, AIFDR’s energies in this regard </w:t>
      </w:r>
      <w:r w:rsidR="003F621E">
        <w:rPr>
          <w:rFonts w:cs="Times New Roman"/>
          <w:sz w:val="24"/>
          <w:szCs w:val="24"/>
        </w:rPr>
        <w:t>were</w:t>
      </w:r>
      <w:r w:rsidR="00B710BE">
        <w:rPr>
          <w:rFonts w:cs="Times New Roman"/>
          <w:sz w:val="24"/>
          <w:szCs w:val="24"/>
        </w:rPr>
        <w:t xml:space="preserve"> directed to ensuring that </w:t>
      </w:r>
      <w:r w:rsidR="003F621E">
        <w:rPr>
          <w:rFonts w:cs="Times New Roman"/>
          <w:sz w:val="24"/>
          <w:szCs w:val="24"/>
        </w:rPr>
        <w:t xml:space="preserve">facility level </w:t>
      </w:r>
      <w:r w:rsidR="00B710BE">
        <w:rPr>
          <w:rFonts w:cs="Times New Roman"/>
          <w:sz w:val="24"/>
          <w:szCs w:val="24"/>
        </w:rPr>
        <w:t xml:space="preserve">M&amp;E was </w:t>
      </w:r>
      <w:r w:rsidR="003F621E">
        <w:rPr>
          <w:rFonts w:cs="Times New Roman"/>
          <w:sz w:val="24"/>
          <w:szCs w:val="24"/>
        </w:rPr>
        <w:t>a core element of the</w:t>
      </w:r>
      <w:r w:rsidR="00B710BE">
        <w:rPr>
          <w:rFonts w:cs="Times New Roman"/>
          <w:sz w:val="24"/>
          <w:szCs w:val="24"/>
        </w:rPr>
        <w:t xml:space="preserve"> design for Phase 2. </w:t>
      </w:r>
      <w:r w:rsidR="007C0FA2">
        <w:rPr>
          <w:rFonts w:cs="Times New Roman"/>
          <w:sz w:val="24"/>
          <w:szCs w:val="24"/>
        </w:rPr>
        <w:t>Overall, AIFDR’s facility level M&amp;E is inadequate to provide the type of quality evidence that would make assessments of VfM of the facility defensible.</w:t>
      </w:r>
    </w:p>
    <w:p w14:paraId="7E2C633E" w14:textId="77777777" w:rsidR="00A71880" w:rsidRDefault="00A71880" w:rsidP="00A71880">
      <w:pPr>
        <w:spacing w:after="0"/>
        <w:rPr>
          <w:rFonts w:cs="Times New Roman"/>
          <w:sz w:val="24"/>
          <w:szCs w:val="24"/>
        </w:rPr>
      </w:pPr>
    </w:p>
    <w:p w14:paraId="3D2B2A2B" w14:textId="56773EDD" w:rsidR="00D75108" w:rsidRDefault="004F6E07" w:rsidP="00D75108">
      <w:pPr>
        <w:pStyle w:val="Heading2"/>
      </w:pPr>
      <w:bookmarkStart w:id="16" w:name="_Toc402431255"/>
      <w:r>
        <w:t>2.4</w:t>
      </w:r>
      <w:r>
        <w:tab/>
        <w:t>Knowledge Management</w:t>
      </w:r>
      <w:bookmarkEnd w:id="16"/>
    </w:p>
    <w:p w14:paraId="6CD3FF51" w14:textId="77777777" w:rsidR="00D74956" w:rsidRPr="00D74956" w:rsidRDefault="00D74956" w:rsidP="00D74956">
      <w:pPr>
        <w:spacing w:after="0"/>
      </w:pPr>
    </w:p>
    <w:p w14:paraId="50F8E618" w14:textId="7727D0BE" w:rsidR="00D75108" w:rsidRPr="004F6E07" w:rsidRDefault="007C0FA2" w:rsidP="00D75108">
      <w:pPr>
        <w:rPr>
          <w:sz w:val="24"/>
          <w:szCs w:val="24"/>
        </w:rPr>
      </w:pPr>
      <w:r>
        <w:rPr>
          <w:sz w:val="24"/>
          <w:szCs w:val="24"/>
        </w:rPr>
        <w:t xml:space="preserve">Associated with the weaknesses in facility-level M&amp;E, </w:t>
      </w:r>
      <w:r w:rsidR="00D75108" w:rsidRPr="00617918">
        <w:rPr>
          <w:sz w:val="24"/>
          <w:szCs w:val="24"/>
        </w:rPr>
        <w:t xml:space="preserve">AIFDR’s knowledge management </w:t>
      </w:r>
      <w:r w:rsidR="00D74956">
        <w:rPr>
          <w:sz w:val="24"/>
          <w:szCs w:val="24"/>
        </w:rPr>
        <w:t xml:space="preserve">appears to have been </w:t>
      </w:r>
      <w:r w:rsidR="00D75108" w:rsidRPr="00617918">
        <w:rPr>
          <w:sz w:val="24"/>
          <w:szCs w:val="24"/>
        </w:rPr>
        <w:t>ad hoc</w:t>
      </w:r>
      <w:r w:rsidR="00D75108">
        <w:rPr>
          <w:sz w:val="24"/>
          <w:szCs w:val="24"/>
        </w:rPr>
        <w:t xml:space="preserve">. </w:t>
      </w:r>
      <w:r w:rsidR="00D75108" w:rsidRPr="00617918">
        <w:rPr>
          <w:sz w:val="24"/>
          <w:szCs w:val="24"/>
        </w:rPr>
        <w:t xml:space="preserve"> </w:t>
      </w:r>
      <w:r w:rsidR="00D74956">
        <w:rPr>
          <w:sz w:val="24"/>
          <w:szCs w:val="24"/>
        </w:rPr>
        <w:t xml:space="preserve">The evidence suggests </w:t>
      </w:r>
      <w:r w:rsidR="00D75108" w:rsidRPr="00617918">
        <w:rPr>
          <w:sz w:val="24"/>
          <w:szCs w:val="24"/>
        </w:rPr>
        <w:t xml:space="preserve">AIFDR </w:t>
      </w:r>
      <w:r w:rsidR="00D74956">
        <w:rPr>
          <w:sz w:val="24"/>
          <w:szCs w:val="24"/>
        </w:rPr>
        <w:t>was</w:t>
      </w:r>
      <w:r w:rsidR="00D75108" w:rsidRPr="00617918">
        <w:rPr>
          <w:sz w:val="24"/>
          <w:szCs w:val="24"/>
        </w:rPr>
        <w:t xml:space="preserve"> better at facilitating the exchange of information and sharing of knowledge between its partners than </w:t>
      </w:r>
      <w:r w:rsidR="00D75108" w:rsidRPr="000E248F">
        <w:rPr>
          <w:sz w:val="24"/>
          <w:szCs w:val="24"/>
        </w:rPr>
        <w:t xml:space="preserve">incorporating facility learning internally. </w:t>
      </w:r>
      <w:r w:rsidR="00A640DD">
        <w:rPr>
          <w:sz w:val="24"/>
          <w:szCs w:val="24"/>
        </w:rPr>
        <w:t xml:space="preserve">For example, </w:t>
      </w:r>
      <w:r w:rsidR="00D75108" w:rsidRPr="000E248F">
        <w:rPr>
          <w:sz w:val="24"/>
          <w:szCs w:val="24"/>
        </w:rPr>
        <w:t xml:space="preserve">AIFDR </w:t>
      </w:r>
      <w:r w:rsidR="00D75108">
        <w:rPr>
          <w:sz w:val="24"/>
          <w:szCs w:val="24"/>
        </w:rPr>
        <w:t xml:space="preserve">routinely </w:t>
      </w:r>
      <w:r w:rsidR="00D75108" w:rsidRPr="000E248F">
        <w:rPr>
          <w:sz w:val="24"/>
          <w:szCs w:val="24"/>
        </w:rPr>
        <w:t>arrange</w:t>
      </w:r>
      <w:r w:rsidR="00D75108">
        <w:rPr>
          <w:sz w:val="24"/>
          <w:szCs w:val="24"/>
        </w:rPr>
        <w:t>d</w:t>
      </w:r>
      <w:r w:rsidR="00D75108" w:rsidRPr="000E248F">
        <w:rPr>
          <w:sz w:val="24"/>
          <w:szCs w:val="24"/>
        </w:rPr>
        <w:t xml:space="preserve"> for its partners to </w:t>
      </w:r>
      <w:r w:rsidR="00D75108">
        <w:rPr>
          <w:sz w:val="24"/>
          <w:szCs w:val="24"/>
        </w:rPr>
        <w:t xml:space="preserve">provide </w:t>
      </w:r>
      <w:r w:rsidR="00A640DD">
        <w:rPr>
          <w:sz w:val="24"/>
          <w:szCs w:val="24"/>
        </w:rPr>
        <w:t xml:space="preserve">project </w:t>
      </w:r>
      <w:r w:rsidR="00D75108">
        <w:rPr>
          <w:sz w:val="24"/>
          <w:szCs w:val="24"/>
        </w:rPr>
        <w:t>progress updates to BNPB. This allowed</w:t>
      </w:r>
      <w:r w:rsidR="00D75108" w:rsidRPr="000E248F">
        <w:rPr>
          <w:sz w:val="24"/>
          <w:szCs w:val="24"/>
        </w:rPr>
        <w:t xml:space="preserve"> BNPB to provide policy direction to AIFDR</w:t>
      </w:r>
      <w:r w:rsidR="00A640DD">
        <w:rPr>
          <w:sz w:val="24"/>
          <w:szCs w:val="24"/>
        </w:rPr>
        <w:t xml:space="preserve"> partners so that </w:t>
      </w:r>
      <w:r>
        <w:rPr>
          <w:sz w:val="24"/>
          <w:szCs w:val="24"/>
        </w:rPr>
        <w:t xml:space="preserve">they </w:t>
      </w:r>
      <w:r w:rsidR="00A640DD">
        <w:rPr>
          <w:sz w:val="24"/>
          <w:szCs w:val="24"/>
        </w:rPr>
        <w:t>aligned</w:t>
      </w:r>
      <w:r w:rsidR="00D75108" w:rsidRPr="000E248F">
        <w:rPr>
          <w:sz w:val="24"/>
          <w:szCs w:val="24"/>
        </w:rPr>
        <w:t xml:space="preserve"> with national government priorities. </w:t>
      </w:r>
      <w:r w:rsidR="00A640DD">
        <w:rPr>
          <w:sz w:val="24"/>
          <w:szCs w:val="24"/>
        </w:rPr>
        <w:t>According to a range of AIFDR partners</w:t>
      </w:r>
      <w:r>
        <w:rPr>
          <w:sz w:val="24"/>
          <w:szCs w:val="24"/>
        </w:rPr>
        <w:t>,</w:t>
      </w:r>
      <w:r w:rsidR="00A640DD">
        <w:rPr>
          <w:sz w:val="24"/>
          <w:szCs w:val="24"/>
        </w:rPr>
        <w:t xml:space="preserve"> these open exchanges with BNPB were invaluable</w:t>
      </w:r>
      <w:r w:rsidR="004F6E07">
        <w:rPr>
          <w:sz w:val="24"/>
          <w:szCs w:val="24"/>
        </w:rPr>
        <w:t>,</w:t>
      </w:r>
      <w:r w:rsidR="00A640DD">
        <w:rPr>
          <w:sz w:val="24"/>
          <w:szCs w:val="24"/>
        </w:rPr>
        <w:t xml:space="preserve"> and lay the foundations for </w:t>
      </w:r>
      <w:r>
        <w:rPr>
          <w:sz w:val="24"/>
          <w:szCs w:val="24"/>
        </w:rPr>
        <w:t xml:space="preserve">trust and </w:t>
      </w:r>
      <w:r w:rsidR="00A640DD">
        <w:rPr>
          <w:sz w:val="24"/>
          <w:szCs w:val="24"/>
        </w:rPr>
        <w:t>collaboration.</w:t>
      </w:r>
      <w:r w:rsidR="004F6E07">
        <w:rPr>
          <w:sz w:val="24"/>
          <w:szCs w:val="24"/>
        </w:rPr>
        <w:t xml:space="preserve"> At the activity level - t</w:t>
      </w:r>
      <w:r w:rsidR="00D75108" w:rsidRPr="000E248F">
        <w:rPr>
          <w:sz w:val="24"/>
          <w:szCs w:val="24"/>
        </w:rPr>
        <w:t xml:space="preserve">he CDSP has </w:t>
      </w:r>
      <w:r w:rsidR="00D75108">
        <w:rPr>
          <w:sz w:val="24"/>
          <w:szCs w:val="24"/>
        </w:rPr>
        <w:t xml:space="preserve">recently </w:t>
      </w:r>
      <w:r w:rsidR="00D75108" w:rsidRPr="000E248F">
        <w:rPr>
          <w:sz w:val="24"/>
          <w:szCs w:val="24"/>
        </w:rPr>
        <w:t xml:space="preserve">developed a stand-alone knowledge management system. </w:t>
      </w:r>
      <w:r w:rsidR="004F6E07">
        <w:rPr>
          <w:sz w:val="24"/>
          <w:szCs w:val="24"/>
        </w:rPr>
        <w:t>In addition, m</w:t>
      </w:r>
      <w:r w:rsidR="00D75108">
        <w:rPr>
          <w:sz w:val="24"/>
          <w:szCs w:val="24"/>
        </w:rPr>
        <w:t xml:space="preserve">any of AIFDR’s implementing partners have </w:t>
      </w:r>
      <w:r w:rsidR="00D75108" w:rsidRPr="000E248F">
        <w:rPr>
          <w:sz w:val="24"/>
          <w:szCs w:val="24"/>
        </w:rPr>
        <w:t xml:space="preserve">knowledge management systems – including Oxfam, ARC-PMI, </w:t>
      </w:r>
      <w:r w:rsidR="003A5B82" w:rsidRPr="000E248F">
        <w:rPr>
          <w:sz w:val="24"/>
          <w:szCs w:val="24"/>
        </w:rPr>
        <w:t>and IOM</w:t>
      </w:r>
      <w:r w:rsidR="00D75108" w:rsidRPr="000E248F">
        <w:rPr>
          <w:sz w:val="24"/>
          <w:szCs w:val="24"/>
        </w:rPr>
        <w:t xml:space="preserve"> etc.</w:t>
      </w:r>
      <w:r w:rsidR="00D75108">
        <w:rPr>
          <w:sz w:val="24"/>
          <w:szCs w:val="24"/>
        </w:rPr>
        <w:t xml:space="preserve"> Overall, t</w:t>
      </w:r>
      <w:r w:rsidR="00D75108" w:rsidRPr="000E248F">
        <w:rPr>
          <w:sz w:val="24"/>
          <w:szCs w:val="24"/>
        </w:rPr>
        <w:t xml:space="preserve">he speed of </w:t>
      </w:r>
      <w:r>
        <w:rPr>
          <w:sz w:val="24"/>
          <w:szCs w:val="24"/>
        </w:rPr>
        <w:t xml:space="preserve">establishing </w:t>
      </w:r>
      <w:r w:rsidR="00D75108" w:rsidRPr="000E248F">
        <w:rPr>
          <w:sz w:val="24"/>
          <w:szCs w:val="24"/>
        </w:rPr>
        <w:t>partnership</w:t>
      </w:r>
      <w:r>
        <w:rPr>
          <w:sz w:val="24"/>
          <w:szCs w:val="24"/>
        </w:rPr>
        <w:t>s</w:t>
      </w:r>
      <w:r w:rsidR="00D75108" w:rsidRPr="000E248F">
        <w:rPr>
          <w:sz w:val="24"/>
          <w:szCs w:val="24"/>
        </w:rPr>
        <w:t xml:space="preserve"> and programs was so quick that it </w:t>
      </w:r>
      <w:r w:rsidR="004F6E07">
        <w:rPr>
          <w:sz w:val="24"/>
          <w:szCs w:val="24"/>
        </w:rPr>
        <w:t xml:space="preserve">inhibited </w:t>
      </w:r>
      <w:r w:rsidR="00D75108" w:rsidRPr="000E248F">
        <w:rPr>
          <w:sz w:val="24"/>
          <w:szCs w:val="24"/>
        </w:rPr>
        <w:t>incorporation of facility learning.</w:t>
      </w:r>
      <w:r w:rsidR="00D74956" w:rsidRPr="00D74956">
        <w:rPr>
          <w:b/>
          <w:sz w:val="24"/>
          <w:szCs w:val="24"/>
        </w:rPr>
        <w:t xml:space="preserve"> </w:t>
      </w:r>
      <w:r w:rsidR="004F6E07" w:rsidRPr="0038546D">
        <w:rPr>
          <w:sz w:val="24"/>
          <w:szCs w:val="24"/>
        </w:rPr>
        <w:t>With that said, the</w:t>
      </w:r>
      <w:r w:rsidR="004F6E07" w:rsidRPr="004F6E07">
        <w:rPr>
          <w:sz w:val="24"/>
          <w:szCs w:val="24"/>
        </w:rPr>
        <w:t xml:space="preserve"> review team considers AIFDR </w:t>
      </w:r>
      <w:r w:rsidR="0038546D">
        <w:rPr>
          <w:sz w:val="24"/>
          <w:szCs w:val="24"/>
        </w:rPr>
        <w:t xml:space="preserve">could have addressed this issue far </w:t>
      </w:r>
      <w:r w:rsidR="00A436EA">
        <w:rPr>
          <w:sz w:val="24"/>
          <w:szCs w:val="24"/>
        </w:rPr>
        <w:t>more propitiously</w:t>
      </w:r>
      <w:r>
        <w:rPr>
          <w:sz w:val="24"/>
          <w:szCs w:val="24"/>
        </w:rPr>
        <w:t xml:space="preserve"> and therefore, </w:t>
      </w:r>
      <w:r w:rsidR="0079593B">
        <w:rPr>
          <w:sz w:val="24"/>
          <w:szCs w:val="24"/>
        </w:rPr>
        <w:t xml:space="preserve">rates AIFDR’s knowledge management as less than adequate </w:t>
      </w:r>
      <w:r>
        <w:rPr>
          <w:sz w:val="24"/>
          <w:szCs w:val="24"/>
        </w:rPr>
        <w:t>for systemic learning purposes</w:t>
      </w:r>
      <w:r w:rsidR="0079593B">
        <w:rPr>
          <w:sz w:val="24"/>
          <w:szCs w:val="24"/>
        </w:rPr>
        <w:t>.</w:t>
      </w:r>
    </w:p>
    <w:p w14:paraId="46C34E7C" w14:textId="0E9B0A69" w:rsidR="00611CAA" w:rsidRPr="00F25E59" w:rsidRDefault="00F25E59" w:rsidP="00F25E59">
      <w:pPr>
        <w:pStyle w:val="Heading1"/>
      </w:pPr>
      <w:bookmarkStart w:id="17" w:name="_Toc402431256"/>
      <w:r w:rsidRPr="00F25E59">
        <w:t>3</w:t>
      </w:r>
      <w:r w:rsidR="009E69A7" w:rsidRPr="00F25E59">
        <w:t>.</w:t>
      </w:r>
      <w:r w:rsidR="009E69A7" w:rsidRPr="00F25E59">
        <w:tab/>
      </w:r>
      <w:r w:rsidR="00611CAA" w:rsidRPr="00F25E59">
        <w:t xml:space="preserve">Evaluation </w:t>
      </w:r>
      <w:r w:rsidR="00522D4D" w:rsidRPr="00F25E59">
        <w:t xml:space="preserve">Criteria </w:t>
      </w:r>
      <w:r w:rsidR="00611CAA" w:rsidRPr="00F25E59">
        <w:t>Ratings</w:t>
      </w:r>
      <w:bookmarkEnd w:id="17"/>
      <w:r w:rsidR="00611CAA" w:rsidRPr="00F25E59">
        <w:t xml:space="preserve"> </w:t>
      </w:r>
    </w:p>
    <w:p w14:paraId="63BFD62C" w14:textId="77777777" w:rsidR="00AF3B9C" w:rsidRDefault="00AF3B9C" w:rsidP="00AF3B9C">
      <w:pPr>
        <w:spacing w:after="0"/>
      </w:pPr>
    </w:p>
    <w:p w14:paraId="56034E9D" w14:textId="10499903" w:rsidR="00AF3B9C" w:rsidRPr="00AF3B9C" w:rsidRDefault="00AF3B9C" w:rsidP="00AF3B9C">
      <w:pPr>
        <w:rPr>
          <w:sz w:val="24"/>
          <w:szCs w:val="24"/>
        </w:rPr>
      </w:pPr>
      <w:r w:rsidRPr="00AF3B9C">
        <w:rPr>
          <w:sz w:val="24"/>
          <w:szCs w:val="24"/>
        </w:rPr>
        <w:t xml:space="preserve">The ratings against the evaluation criteria are presented in the table below. Impact was outside the scope of this evaluation. </w:t>
      </w:r>
    </w:p>
    <w:tbl>
      <w:tblPr>
        <w:tblStyle w:val="TableGrid"/>
        <w:tblW w:w="0" w:type="auto"/>
        <w:tblLook w:val="04A0" w:firstRow="1" w:lastRow="0" w:firstColumn="1" w:lastColumn="0" w:noHBand="0" w:noVBand="1"/>
      </w:tblPr>
      <w:tblGrid>
        <w:gridCol w:w="1980"/>
        <w:gridCol w:w="1417"/>
        <w:gridCol w:w="5619"/>
      </w:tblGrid>
      <w:tr w:rsidR="00AF3B9C" w:rsidRPr="00AF3B9C" w14:paraId="6A19D60C" w14:textId="77777777" w:rsidTr="00AF3B9C">
        <w:tc>
          <w:tcPr>
            <w:tcW w:w="1980" w:type="dxa"/>
          </w:tcPr>
          <w:p w14:paraId="57EBAE08" w14:textId="77777777" w:rsidR="00AF3B9C" w:rsidRPr="00AF3B9C" w:rsidRDefault="00AF3B9C" w:rsidP="00AF3B9C">
            <w:pPr>
              <w:rPr>
                <w:b/>
                <w:sz w:val="24"/>
                <w:szCs w:val="24"/>
              </w:rPr>
            </w:pPr>
            <w:r w:rsidRPr="00AF3B9C">
              <w:rPr>
                <w:b/>
                <w:sz w:val="24"/>
                <w:szCs w:val="24"/>
              </w:rPr>
              <w:t xml:space="preserve">Evaluation Criteria </w:t>
            </w:r>
          </w:p>
        </w:tc>
        <w:tc>
          <w:tcPr>
            <w:tcW w:w="1417" w:type="dxa"/>
          </w:tcPr>
          <w:p w14:paraId="07805050" w14:textId="77777777" w:rsidR="00AF3B9C" w:rsidRPr="00AF3B9C" w:rsidRDefault="00AF3B9C" w:rsidP="00AF3B9C">
            <w:pPr>
              <w:rPr>
                <w:b/>
                <w:sz w:val="24"/>
                <w:szCs w:val="24"/>
              </w:rPr>
            </w:pPr>
            <w:r w:rsidRPr="00AF3B9C">
              <w:rPr>
                <w:b/>
                <w:sz w:val="24"/>
                <w:szCs w:val="24"/>
              </w:rPr>
              <w:t>Rating (1-6)</w:t>
            </w:r>
          </w:p>
        </w:tc>
        <w:tc>
          <w:tcPr>
            <w:tcW w:w="5619" w:type="dxa"/>
          </w:tcPr>
          <w:p w14:paraId="6095B3A6" w14:textId="77777777" w:rsidR="00AF3B9C" w:rsidRPr="00AF3B9C" w:rsidRDefault="00AF3B9C" w:rsidP="00AF3B9C">
            <w:pPr>
              <w:rPr>
                <w:b/>
                <w:sz w:val="24"/>
                <w:szCs w:val="24"/>
              </w:rPr>
            </w:pPr>
            <w:r w:rsidRPr="00AF3B9C">
              <w:rPr>
                <w:b/>
                <w:sz w:val="24"/>
                <w:szCs w:val="24"/>
              </w:rPr>
              <w:t xml:space="preserve">Comments </w:t>
            </w:r>
          </w:p>
        </w:tc>
      </w:tr>
      <w:tr w:rsidR="00AF3B9C" w:rsidRPr="00AF3B9C" w14:paraId="047B98DC" w14:textId="77777777" w:rsidTr="00AF3B9C">
        <w:tc>
          <w:tcPr>
            <w:tcW w:w="1980" w:type="dxa"/>
          </w:tcPr>
          <w:p w14:paraId="7C357607" w14:textId="77777777" w:rsidR="00AF3B9C" w:rsidRPr="00AF3B9C" w:rsidRDefault="00AF3B9C" w:rsidP="00AF3B9C">
            <w:pPr>
              <w:rPr>
                <w:b/>
                <w:sz w:val="24"/>
                <w:szCs w:val="24"/>
              </w:rPr>
            </w:pPr>
            <w:r w:rsidRPr="00AF3B9C">
              <w:rPr>
                <w:b/>
                <w:sz w:val="24"/>
                <w:szCs w:val="24"/>
              </w:rPr>
              <w:t xml:space="preserve">Relevance </w:t>
            </w:r>
          </w:p>
        </w:tc>
        <w:tc>
          <w:tcPr>
            <w:tcW w:w="1417" w:type="dxa"/>
          </w:tcPr>
          <w:p w14:paraId="29FDEB6C" w14:textId="77777777" w:rsidR="00AF3B9C" w:rsidRPr="00AF3B9C" w:rsidRDefault="00AF3B9C" w:rsidP="00AF3B9C">
            <w:pPr>
              <w:rPr>
                <w:b/>
                <w:sz w:val="24"/>
                <w:szCs w:val="24"/>
              </w:rPr>
            </w:pPr>
            <w:r w:rsidRPr="00AF3B9C">
              <w:rPr>
                <w:b/>
                <w:sz w:val="24"/>
                <w:szCs w:val="24"/>
              </w:rPr>
              <w:t>5</w:t>
            </w:r>
          </w:p>
        </w:tc>
        <w:tc>
          <w:tcPr>
            <w:tcW w:w="5619" w:type="dxa"/>
          </w:tcPr>
          <w:p w14:paraId="0D3D51E6" w14:textId="65113104" w:rsidR="00AF3B9C" w:rsidRPr="00AF3B9C" w:rsidRDefault="00AF3B9C" w:rsidP="006E248F">
            <w:pPr>
              <w:rPr>
                <w:b/>
                <w:sz w:val="24"/>
                <w:szCs w:val="24"/>
              </w:rPr>
            </w:pPr>
            <w:r w:rsidRPr="00AF3B9C">
              <w:rPr>
                <w:b/>
                <w:sz w:val="24"/>
                <w:szCs w:val="24"/>
              </w:rPr>
              <w:t xml:space="preserve">High relevance against development goals. </w:t>
            </w:r>
            <w:r w:rsidRPr="00AF3B9C">
              <w:rPr>
                <w:rFonts w:cs="Century"/>
                <w:sz w:val="24"/>
                <w:szCs w:val="24"/>
              </w:rPr>
              <w:t xml:space="preserve">The impacts of natural disasters in Indonesia have time and time again reversed economic and social development gains. Consequently, investing in reducing disaster </w:t>
            </w:r>
            <w:proofErr w:type="gramStart"/>
            <w:r w:rsidRPr="00AF3B9C">
              <w:rPr>
                <w:rFonts w:cs="Century"/>
                <w:sz w:val="24"/>
                <w:szCs w:val="24"/>
              </w:rPr>
              <w:t>risk,</w:t>
            </w:r>
            <w:proofErr w:type="gramEnd"/>
            <w:r w:rsidRPr="00AF3B9C">
              <w:rPr>
                <w:rFonts w:cs="Century"/>
                <w:sz w:val="24"/>
                <w:szCs w:val="24"/>
              </w:rPr>
              <w:t xml:space="preserve"> and strengthening community preparedness capacities to respond to disasters makes good development sense. Reducing disaster risk is one of the 11 priorities of GoI’s medium-term development plan (2010-2014). AIFDR has supported the genesis and early years of Indonesia establishing its national </w:t>
            </w:r>
            <w:r w:rsidR="00D81F6F">
              <w:rPr>
                <w:rFonts w:cs="Century"/>
                <w:sz w:val="24"/>
                <w:szCs w:val="24"/>
              </w:rPr>
              <w:t>disaster management system</w:t>
            </w:r>
            <w:r w:rsidRPr="00AF3B9C">
              <w:rPr>
                <w:rFonts w:cs="Century"/>
                <w:sz w:val="24"/>
                <w:szCs w:val="24"/>
              </w:rPr>
              <w:t xml:space="preserve">. Australian support has been deployed at a critically important time when other donors were only providing relatively minor support. </w:t>
            </w:r>
          </w:p>
        </w:tc>
      </w:tr>
      <w:tr w:rsidR="00AF3B9C" w:rsidRPr="00AF3B9C" w14:paraId="114FE65E" w14:textId="77777777" w:rsidTr="00AF3B9C">
        <w:tc>
          <w:tcPr>
            <w:tcW w:w="1980" w:type="dxa"/>
          </w:tcPr>
          <w:p w14:paraId="14A3DB29" w14:textId="77777777" w:rsidR="00AF3B9C" w:rsidRPr="00AF3B9C" w:rsidRDefault="00AF3B9C" w:rsidP="00AF3B9C">
            <w:pPr>
              <w:rPr>
                <w:b/>
                <w:sz w:val="24"/>
                <w:szCs w:val="24"/>
              </w:rPr>
            </w:pPr>
            <w:r w:rsidRPr="00AF3B9C">
              <w:rPr>
                <w:b/>
                <w:sz w:val="24"/>
                <w:szCs w:val="24"/>
              </w:rPr>
              <w:t xml:space="preserve">Effectiveness </w:t>
            </w:r>
          </w:p>
        </w:tc>
        <w:tc>
          <w:tcPr>
            <w:tcW w:w="1417" w:type="dxa"/>
          </w:tcPr>
          <w:p w14:paraId="6D1B5FF3" w14:textId="77777777" w:rsidR="00AF3B9C" w:rsidRPr="00AF3B9C" w:rsidRDefault="00AF3B9C" w:rsidP="00AF3B9C">
            <w:pPr>
              <w:rPr>
                <w:b/>
                <w:sz w:val="24"/>
                <w:szCs w:val="24"/>
              </w:rPr>
            </w:pPr>
            <w:r w:rsidRPr="00AF3B9C">
              <w:rPr>
                <w:b/>
                <w:sz w:val="24"/>
                <w:szCs w:val="24"/>
              </w:rPr>
              <w:t>5</w:t>
            </w:r>
          </w:p>
        </w:tc>
        <w:tc>
          <w:tcPr>
            <w:tcW w:w="5619" w:type="dxa"/>
          </w:tcPr>
          <w:p w14:paraId="4E3CE5FC" w14:textId="5F925D70" w:rsidR="00AF3B9C" w:rsidRPr="00AF3B9C" w:rsidRDefault="00AF3B9C" w:rsidP="006E248F">
            <w:pPr>
              <w:rPr>
                <w:b/>
                <w:sz w:val="24"/>
                <w:szCs w:val="24"/>
              </w:rPr>
            </w:pPr>
            <w:r w:rsidRPr="00AF3B9C">
              <w:rPr>
                <w:b/>
                <w:sz w:val="24"/>
                <w:szCs w:val="24"/>
              </w:rPr>
              <w:t>High</w:t>
            </w:r>
            <w:r w:rsidR="00DC3642">
              <w:rPr>
                <w:b/>
                <w:sz w:val="24"/>
                <w:szCs w:val="24"/>
              </w:rPr>
              <w:t>ly effective</w:t>
            </w:r>
            <w:r w:rsidRPr="00AF3B9C">
              <w:rPr>
                <w:b/>
                <w:sz w:val="24"/>
                <w:szCs w:val="24"/>
              </w:rPr>
              <w:t xml:space="preserve">. </w:t>
            </w:r>
            <w:r w:rsidRPr="00AF3B9C">
              <w:rPr>
                <w:sz w:val="24"/>
                <w:szCs w:val="24"/>
              </w:rPr>
              <w:t xml:space="preserve">Despite the enormous challenges the </w:t>
            </w:r>
            <w:r w:rsidR="000F039F">
              <w:rPr>
                <w:sz w:val="24"/>
                <w:szCs w:val="24"/>
              </w:rPr>
              <w:t>review</w:t>
            </w:r>
            <w:r w:rsidR="000F039F" w:rsidRPr="00AF3B9C">
              <w:rPr>
                <w:sz w:val="24"/>
                <w:szCs w:val="24"/>
              </w:rPr>
              <w:t xml:space="preserve"> </w:t>
            </w:r>
            <w:r w:rsidRPr="00AF3B9C">
              <w:rPr>
                <w:sz w:val="24"/>
                <w:szCs w:val="24"/>
              </w:rPr>
              <w:t xml:space="preserve">team has had pinning down </w:t>
            </w:r>
            <w:proofErr w:type="gramStart"/>
            <w:r w:rsidRPr="00AF3B9C">
              <w:rPr>
                <w:sz w:val="24"/>
                <w:szCs w:val="24"/>
              </w:rPr>
              <w:t>a program</w:t>
            </w:r>
            <w:proofErr w:type="gramEnd"/>
            <w:r w:rsidRPr="00AF3B9C">
              <w:rPr>
                <w:sz w:val="24"/>
                <w:szCs w:val="24"/>
              </w:rPr>
              <w:t xml:space="preserve"> logic. AIFDR’s portfolio post MTR appears well defined, targeted and its focus on capacity development and sub-national level engagement highly appropriate. AIFDR appears to have had a ‘rocky’ start but has evolved into a credible DRM</w:t>
            </w:r>
            <w:r w:rsidR="000F039F">
              <w:rPr>
                <w:sz w:val="24"/>
                <w:szCs w:val="24"/>
              </w:rPr>
              <w:t xml:space="preserve"> &amp; DRR</w:t>
            </w:r>
            <w:r w:rsidRPr="00AF3B9C">
              <w:rPr>
                <w:sz w:val="24"/>
                <w:szCs w:val="24"/>
              </w:rPr>
              <w:t xml:space="preserve"> facility with solid achievements made across all of its core components: risk and vulnerability; partnerships; and training and outreach. There is now clear evidence of ‘genuine’ interconnectivity between components.</w:t>
            </w:r>
            <w:r w:rsidR="003A3BE1">
              <w:rPr>
                <w:sz w:val="24"/>
                <w:szCs w:val="24"/>
              </w:rPr>
              <w:t xml:space="preserve"> </w:t>
            </w:r>
            <w:r w:rsidR="003A3BE1" w:rsidRPr="00174C42">
              <w:rPr>
                <w:rFonts w:cs="Times New Roman"/>
                <w:sz w:val="24"/>
                <w:szCs w:val="24"/>
              </w:rPr>
              <w:t xml:space="preserve">The evidence suggests AIFDR can claim to have made a significant contribution to increasing BNPB’s capacity to perform its mandated function, and a contribution (albeit less conclusive) to increasing community and local government capacities in the five demonstration provinces (West Sumatra; East Java; West Java; South Sulawesi; Nusa Tenggara Timur). </w:t>
            </w:r>
          </w:p>
        </w:tc>
      </w:tr>
      <w:tr w:rsidR="00AF3B9C" w:rsidRPr="00AF3B9C" w14:paraId="6D72D899" w14:textId="77777777" w:rsidTr="00AF3B9C">
        <w:tc>
          <w:tcPr>
            <w:tcW w:w="1980" w:type="dxa"/>
          </w:tcPr>
          <w:p w14:paraId="41455441" w14:textId="77777777" w:rsidR="00AF3B9C" w:rsidRPr="00AF3B9C" w:rsidRDefault="00AF3B9C" w:rsidP="00AF3B9C">
            <w:pPr>
              <w:rPr>
                <w:b/>
                <w:sz w:val="24"/>
                <w:szCs w:val="24"/>
              </w:rPr>
            </w:pPr>
            <w:r w:rsidRPr="00AF3B9C">
              <w:rPr>
                <w:b/>
                <w:sz w:val="24"/>
                <w:szCs w:val="24"/>
              </w:rPr>
              <w:t xml:space="preserve">Efficiency </w:t>
            </w:r>
          </w:p>
        </w:tc>
        <w:tc>
          <w:tcPr>
            <w:tcW w:w="1417" w:type="dxa"/>
          </w:tcPr>
          <w:p w14:paraId="1BBE0C9E" w14:textId="76E324E9" w:rsidR="00AF3B9C" w:rsidRPr="00AF3B9C" w:rsidRDefault="00041D8E" w:rsidP="00AF3B9C">
            <w:pPr>
              <w:rPr>
                <w:b/>
                <w:sz w:val="24"/>
                <w:szCs w:val="24"/>
              </w:rPr>
            </w:pPr>
            <w:r>
              <w:rPr>
                <w:b/>
                <w:sz w:val="24"/>
                <w:szCs w:val="24"/>
              </w:rPr>
              <w:t>4</w:t>
            </w:r>
          </w:p>
        </w:tc>
        <w:tc>
          <w:tcPr>
            <w:tcW w:w="5619" w:type="dxa"/>
          </w:tcPr>
          <w:p w14:paraId="64F6DC6B" w14:textId="62C0B589" w:rsidR="00AF3B9C" w:rsidRPr="00AF3B9C" w:rsidRDefault="00041D8E" w:rsidP="008A4760">
            <w:pPr>
              <w:rPr>
                <w:b/>
                <w:sz w:val="24"/>
                <w:szCs w:val="24"/>
              </w:rPr>
            </w:pPr>
            <w:r>
              <w:rPr>
                <w:b/>
                <w:sz w:val="24"/>
                <w:szCs w:val="24"/>
              </w:rPr>
              <w:t>Adequate</w:t>
            </w:r>
            <w:r w:rsidR="00DC3642">
              <w:rPr>
                <w:b/>
                <w:sz w:val="24"/>
                <w:szCs w:val="24"/>
              </w:rPr>
              <w:t xml:space="preserve"> efficiency</w:t>
            </w:r>
            <w:r>
              <w:rPr>
                <w:b/>
                <w:sz w:val="24"/>
                <w:szCs w:val="24"/>
              </w:rPr>
              <w:t xml:space="preserve">. </w:t>
            </w:r>
            <w:r>
              <w:rPr>
                <w:rFonts w:cs="Times New Roman"/>
                <w:sz w:val="24"/>
                <w:szCs w:val="24"/>
              </w:rPr>
              <w:t xml:space="preserve">The review team notes the political imperative to showcase Australian expertise, and efforts made to address issues regarding AIFDR’s efficiency raised in the MTR. </w:t>
            </w:r>
            <w:r w:rsidR="000F039F">
              <w:rPr>
                <w:rFonts w:cs="Times New Roman"/>
                <w:sz w:val="24"/>
                <w:szCs w:val="24"/>
              </w:rPr>
              <w:t>The review teams rating is</w:t>
            </w:r>
            <w:r>
              <w:rPr>
                <w:rFonts w:cs="Times New Roman"/>
                <w:sz w:val="24"/>
                <w:szCs w:val="24"/>
              </w:rPr>
              <w:t xml:space="preserve"> based on efforts made post MTR to consolidate the facility’s</w:t>
            </w:r>
            <w:r w:rsidRPr="006B0CFC">
              <w:rPr>
                <w:rFonts w:cs="Times New Roman"/>
                <w:sz w:val="24"/>
                <w:szCs w:val="24"/>
              </w:rPr>
              <w:t xml:space="preserve"> </w:t>
            </w:r>
            <w:r>
              <w:rPr>
                <w:rFonts w:cs="Times New Roman"/>
                <w:sz w:val="24"/>
                <w:szCs w:val="24"/>
              </w:rPr>
              <w:t>portfolio</w:t>
            </w:r>
            <w:r w:rsidRPr="006B0CFC">
              <w:rPr>
                <w:rFonts w:cs="Times New Roman"/>
                <w:sz w:val="24"/>
                <w:szCs w:val="24"/>
              </w:rPr>
              <w:t xml:space="preserve"> </w:t>
            </w:r>
            <w:r>
              <w:rPr>
                <w:rFonts w:cs="Times New Roman"/>
                <w:sz w:val="24"/>
                <w:szCs w:val="24"/>
              </w:rPr>
              <w:t xml:space="preserve">of activities by </w:t>
            </w:r>
            <w:r w:rsidRPr="006B0CFC">
              <w:rPr>
                <w:rFonts w:cs="Times New Roman"/>
                <w:sz w:val="24"/>
                <w:szCs w:val="24"/>
              </w:rPr>
              <w:t>reducing the number of partners and contracts</w:t>
            </w:r>
            <w:r>
              <w:rPr>
                <w:rFonts w:cs="Times New Roman"/>
                <w:sz w:val="24"/>
                <w:szCs w:val="24"/>
              </w:rPr>
              <w:t xml:space="preserve">; and </w:t>
            </w:r>
            <w:r w:rsidR="00DE3B33">
              <w:rPr>
                <w:rFonts w:cs="Times New Roman"/>
                <w:sz w:val="24"/>
                <w:szCs w:val="24"/>
              </w:rPr>
              <w:t xml:space="preserve">tightening </w:t>
            </w:r>
            <w:r>
              <w:rPr>
                <w:rFonts w:cs="Times New Roman"/>
                <w:sz w:val="24"/>
                <w:szCs w:val="24"/>
              </w:rPr>
              <w:t xml:space="preserve">its geographic focus through the selection of </w:t>
            </w:r>
            <w:r w:rsidRPr="00D10DB8">
              <w:rPr>
                <w:rFonts w:cs="Times New Roman"/>
                <w:sz w:val="24"/>
                <w:szCs w:val="24"/>
              </w:rPr>
              <w:t xml:space="preserve">5 </w:t>
            </w:r>
            <w:r>
              <w:rPr>
                <w:rFonts w:cs="Times New Roman"/>
                <w:sz w:val="24"/>
                <w:szCs w:val="24"/>
              </w:rPr>
              <w:t xml:space="preserve">target </w:t>
            </w:r>
            <w:r w:rsidRPr="00D10DB8">
              <w:rPr>
                <w:rFonts w:cs="Times New Roman"/>
                <w:sz w:val="24"/>
                <w:szCs w:val="24"/>
              </w:rPr>
              <w:t>provinces</w:t>
            </w:r>
            <w:r>
              <w:rPr>
                <w:rFonts w:cs="Times New Roman"/>
                <w:sz w:val="24"/>
                <w:szCs w:val="24"/>
              </w:rPr>
              <w:t>.</w:t>
            </w:r>
            <w:r w:rsidRPr="00D10DB8">
              <w:rPr>
                <w:rFonts w:cs="Times New Roman"/>
                <w:sz w:val="24"/>
                <w:szCs w:val="24"/>
              </w:rPr>
              <w:t xml:space="preserve"> </w:t>
            </w:r>
          </w:p>
        </w:tc>
      </w:tr>
    </w:tbl>
    <w:p w14:paraId="69EC5CB7" w14:textId="77777777" w:rsidR="00AF3B9C" w:rsidRPr="00AF3B9C" w:rsidRDefault="00AF3B9C" w:rsidP="00AF3B9C">
      <w:pPr>
        <w:rPr>
          <w:sz w:val="24"/>
          <w:szCs w:val="24"/>
        </w:rPr>
      </w:pPr>
    </w:p>
    <w:p w14:paraId="2BADD17E" w14:textId="77777777" w:rsidR="00AF3B9C" w:rsidRPr="00AF3B9C" w:rsidRDefault="00AF3B9C" w:rsidP="00AF3B9C">
      <w:pPr>
        <w:rPr>
          <w:sz w:val="24"/>
          <w:szCs w:val="24"/>
        </w:rPr>
      </w:pPr>
      <w:r w:rsidRPr="00AF3B9C">
        <w:rPr>
          <w:sz w:val="24"/>
          <w:szCs w:val="24"/>
        </w:rPr>
        <w:t xml:space="preserve">Additional ratings provided: </w:t>
      </w:r>
    </w:p>
    <w:tbl>
      <w:tblPr>
        <w:tblStyle w:val="TableGrid"/>
        <w:tblW w:w="0" w:type="auto"/>
        <w:tblLook w:val="04A0" w:firstRow="1" w:lastRow="0" w:firstColumn="1" w:lastColumn="0" w:noHBand="0" w:noVBand="1"/>
      </w:tblPr>
      <w:tblGrid>
        <w:gridCol w:w="1980"/>
        <w:gridCol w:w="1417"/>
        <w:gridCol w:w="5619"/>
      </w:tblGrid>
      <w:tr w:rsidR="00AF3B9C" w:rsidRPr="00AF3B9C" w14:paraId="0806FC00" w14:textId="77777777" w:rsidTr="00AF3B9C">
        <w:tc>
          <w:tcPr>
            <w:tcW w:w="1980" w:type="dxa"/>
          </w:tcPr>
          <w:p w14:paraId="464A8FA9" w14:textId="77777777" w:rsidR="00AF3B9C" w:rsidRPr="00AF3B9C" w:rsidRDefault="00AF3B9C" w:rsidP="00AF3B9C">
            <w:pPr>
              <w:rPr>
                <w:b/>
                <w:sz w:val="24"/>
                <w:szCs w:val="24"/>
              </w:rPr>
            </w:pPr>
            <w:r w:rsidRPr="00AF3B9C">
              <w:rPr>
                <w:b/>
                <w:sz w:val="24"/>
                <w:szCs w:val="24"/>
              </w:rPr>
              <w:t xml:space="preserve">Monitoring and Evaluation </w:t>
            </w:r>
          </w:p>
        </w:tc>
        <w:tc>
          <w:tcPr>
            <w:tcW w:w="1417" w:type="dxa"/>
          </w:tcPr>
          <w:p w14:paraId="35762BC6" w14:textId="727FCA8C" w:rsidR="00AF3B9C" w:rsidRPr="00AF3B9C" w:rsidRDefault="00CB7EDB" w:rsidP="00AF3B9C">
            <w:pPr>
              <w:rPr>
                <w:b/>
                <w:sz w:val="24"/>
                <w:szCs w:val="24"/>
              </w:rPr>
            </w:pPr>
            <w:r>
              <w:rPr>
                <w:b/>
                <w:sz w:val="24"/>
                <w:szCs w:val="24"/>
              </w:rPr>
              <w:t>2</w:t>
            </w:r>
          </w:p>
        </w:tc>
        <w:tc>
          <w:tcPr>
            <w:tcW w:w="5619" w:type="dxa"/>
          </w:tcPr>
          <w:p w14:paraId="117A1B8E" w14:textId="47E03B78" w:rsidR="00AF3B9C" w:rsidRPr="00AF3B9C" w:rsidRDefault="00AF3B9C" w:rsidP="00AF3B9C">
            <w:pPr>
              <w:rPr>
                <w:rFonts w:cs="Times New Roman"/>
                <w:sz w:val="24"/>
                <w:szCs w:val="24"/>
              </w:rPr>
            </w:pPr>
            <w:r w:rsidRPr="00AF3B9C">
              <w:rPr>
                <w:b/>
                <w:sz w:val="24"/>
                <w:szCs w:val="24"/>
              </w:rPr>
              <w:t>Less than adequate</w:t>
            </w:r>
            <w:r w:rsidR="00DC3642">
              <w:rPr>
                <w:b/>
                <w:sz w:val="24"/>
                <w:szCs w:val="24"/>
              </w:rPr>
              <w:t xml:space="preserve"> standard of facility level M&amp;E</w:t>
            </w:r>
            <w:r w:rsidRPr="00AF3B9C">
              <w:rPr>
                <w:b/>
                <w:sz w:val="24"/>
                <w:szCs w:val="24"/>
              </w:rPr>
              <w:t xml:space="preserve">. </w:t>
            </w:r>
            <w:r w:rsidRPr="00AF3B9C">
              <w:rPr>
                <w:sz w:val="24"/>
                <w:szCs w:val="24"/>
              </w:rPr>
              <w:t xml:space="preserve">AIFDR’s facility level M&amp;E system is weak, and is considered by the </w:t>
            </w:r>
            <w:r w:rsidR="009E04BF">
              <w:rPr>
                <w:sz w:val="24"/>
                <w:szCs w:val="24"/>
              </w:rPr>
              <w:t>review</w:t>
            </w:r>
            <w:r w:rsidR="009E04BF" w:rsidRPr="00AF3B9C">
              <w:rPr>
                <w:sz w:val="24"/>
                <w:szCs w:val="24"/>
              </w:rPr>
              <w:t xml:space="preserve"> </w:t>
            </w:r>
            <w:r w:rsidRPr="00AF3B9C">
              <w:rPr>
                <w:sz w:val="24"/>
                <w:szCs w:val="24"/>
              </w:rPr>
              <w:t xml:space="preserve">team as not particularly helpful for accountability or learning. The system has not been updated by all AIFDR work streams as indicators reportedly were superseded in some cases. </w:t>
            </w:r>
            <w:r w:rsidRPr="00AF3B9C">
              <w:rPr>
                <w:rFonts w:cs="Times New Roman"/>
                <w:sz w:val="24"/>
                <w:szCs w:val="24"/>
              </w:rPr>
              <w:t>AIFDR’s weak facility level M&amp;E should have been addressed by AIFDR’s Senior Management Team.</w:t>
            </w:r>
          </w:p>
          <w:p w14:paraId="147FDB26" w14:textId="77777777" w:rsidR="00AF3B9C" w:rsidRPr="00AF3B9C" w:rsidRDefault="00AF3B9C" w:rsidP="00AF3B9C">
            <w:pPr>
              <w:rPr>
                <w:b/>
                <w:sz w:val="24"/>
                <w:szCs w:val="24"/>
              </w:rPr>
            </w:pPr>
            <w:r w:rsidRPr="00AF3B9C">
              <w:rPr>
                <w:rFonts w:cs="Times New Roman"/>
                <w:sz w:val="24"/>
                <w:szCs w:val="24"/>
              </w:rPr>
              <w:t xml:space="preserve">AIFDR’s project level M&amp;E was solid with individual mid-term and final evaluations conducted on all programs supported by AIFDR.  </w:t>
            </w:r>
          </w:p>
        </w:tc>
      </w:tr>
      <w:tr w:rsidR="00AF3B9C" w:rsidRPr="00AF3B9C" w14:paraId="12015C7D" w14:textId="77777777" w:rsidTr="00AF3B9C">
        <w:tc>
          <w:tcPr>
            <w:tcW w:w="1980" w:type="dxa"/>
          </w:tcPr>
          <w:p w14:paraId="0EFE5283" w14:textId="77777777" w:rsidR="00AF3B9C" w:rsidRPr="00AF3B9C" w:rsidRDefault="00AF3B9C" w:rsidP="00AF3B9C">
            <w:pPr>
              <w:rPr>
                <w:b/>
                <w:sz w:val="24"/>
                <w:szCs w:val="24"/>
              </w:rPr>
            </w:pPr>
            <w:r w:rsidRPr="00AF3B9C">
              <w:rPr>
                <w:b/>
                <w:sz w:val="24"/>
                <w:szCs w:val="24"/>
              </w:rPr>
              <w:t xml:space="preserve">Knowledge Management </w:t>
            </w:r>
          </w:p>
        </w:tc>
        <w:tc>
          <w:tcPr>
            <w:tcW w:w="1417" w:type="dxa"/>
          </w:tcPr>
          <w:p w14:paraId="4DB01C25" w14:textId="2B8A617C" w:rsidR="00AF3B9C" w:rsidRPr="00AF3B9C" w:rsidRDefault="00CB7EDB" w:rsidP="00AF3B9C">
            <w:pPr>
              <w:rPr>
                <w:b/>
                <w:sz w:val="24"/>
                <w:szCs w:val="24"/>
              </w:rPr>
            </w:pPr>
            <w:r>
              <w:rPr>
                <w:b/>
                <w:sz w:val="24"/>
                <w:szCs w:val="24"/>
              </w:rPr>
              <w:t>2</w:t>
            </w:r>
          </w:p>
        </w:tc>
        <w:tc>
          <w:tcPr>
            <w:tcW w:w="5619" w:type="dxa"/>
          </w:tcPr>
          <w:p w14:paraId="783485E3" w14:textId="15555314" w:rsidR="00AF3B9C" w:rsidRPr="00AF3B9C" w:rsidRDefault="00AF3B9C" w:rsidP="00111A7F">
            <w:pPr>
              <w:rPr>
                <w:b/>
                <w:sz w:val="24"/>
                <w:szCs w:val="24"/>
              </w:rPr>
            </w:pPr>
            <w:r w:rsidRPr="00AF3B9C">
              <w:rPr>
                <w:b/>
                <w:sz w:val="24"/>
                <w:szCs w:val="24"/>
              </w:rPr>
              <w:t xml:space="preserve">Less than adequate </w:t>
            </w:r>
            <w:r w:rsidR="00DC3642">
              <w:rPr>
                <w:b/>
                <w:sz w:val="24"/>
                <w:szCs w:val="24"/>
              </w:rPr>
              <w:t>standard of knowledge management</w:t>
            </w:r>
            <w:r w:rsidRPr="00AF3B9C">
              <w:rPr>
                <w:b/>
                <w:sz w:val="24"/>
                <w:szCs w:val="24"/>
              </w:rPr>
              <w:t xml:space="preserve">.  </w:t>
            </w:r>
            <w:r w:rsidRPr="00AF3B9C">
              <w:rPr>
                <w:sz w:val="24"/>
                <w:szCs w:val="24"/>
              </w:rPr>
              <w:t xml:space="preserve">AIFDR had no formal knowledge management system in place and therefore missed opportunities for facility learning. AIFDR appears to have been better at facilitating the sharing of knowledge between its partners than </w:t>
            </w:r>
            <w:r w:rsidRPr="00AF3B9C">
              <w:rPr>
                <w:color w:val="000000" w:themeColor="text1"/>
                <w:sz w:val="24"/>
                <w:szCs w:val="24"/>
              </w:rPr>
              <w:t>incorporating facility learning appropriately internally.</w:t>
            </w:r>
          </w:p>
        </w:tc>
      </w:tr>
    </w:tbl>
    <w:p w14:paraId="5945E72C" w14:textId="77777777" w:rsidR="00AF3B9C" w:rsidRPr="00AF3B9C" w:rsidRDefault="00AF3B9C" w:rsidP="00AF3B9C">
      <w:pPr>
        <w:rPr>
          <w:sz w:val="24"/>
          <w:szCs w:val="24"/>
        </w:rPr>
      </w:pPr>
    </w:p>
    <w:p w14:paraId="0E85D955" w14:textId="71B457C7" w:rsidR="00611CAA" w:rsidRPr="00F25E59" w:rsidRDefault="00F25E59" w:rsidP="00F25E59">
      <w:pPr>
        <w:pStyle w:val="Heading1"/>
      </w:pPr>
      <w:bookmarkStart w:id="18" w:name="_Toc402431257"/>
      <w:r w:rsidRPr="00F25E59">
        <w:t>4</w:t>
      </w:r>
      <w:r w:rsidR="00522D4D" w:rsidRPr="00F25E59">
        <w:t>.</w:t>
      </w:r>
      <w:r w:rsidR="00522D4D" w:rsidRPr="00F25E59">
        <w:tab/>
      </w:r>
      <w:r w:rsidR="00611CAA" w:rsidRPr="00F25E59">
        <w:t>Lessons Learnt</w:t>
      </w:r>
      <w:bookmarkEnd w:id="18"/>
      <w:r w:rsidR="00611CAA" w:rsidRPr="00F25E59">
        <w:t xml:space="preserve"> </w:t>
      </w:r>
    </w:p>
    <w:p w14:paraId="6682C576" w14:textId="77777777" w:rsidR="00A13EA4" w:rsidRDefault="00A13EA4" w:rsidP="00AF3B9C">
      <w:pPr>
        <w:rPr>
          <w:b/>
          <w:u w:val="single"/>
        </w:rPr>
      </w:pPr>
    </w:p>
    <w:p w14:paraId="0612248F" w14:textId="736BF756" w:rsidR="00005614" w:rsidRPr="009536B9" w:rsidRDefault="00A13EA4" w:rsidP="00AF3B9C">
      <w:pPr>
        <w:rPr>
          <w:sz w:val="24"/>
          <w:szCs w:val="24"/>
        </w:rPr>
      </w:pPr>
      <w:r w:rsidRPr="009536B9">
        <w:rPr>
          <w:sz w:val="24"/>
          <w:szCs w:val="24"/>
        </w:rPr>
        <w:t xml:space="preserve">This section of the report outlines the key lessons learnt from Phase 1 </w:t>
      </w:r>
      <w:r w:rsidR="00AC550D">
        <w:rPr>
          <w:sz w:val="24"/>
          <w:szCs w:val="24"/>
        </w:rPr>
        <w:t xml:space="preserve">considered relevant </w:t>
      </w:r>
      <w:r w:rsidRPr="009536B9">
        <w:rPr>
          <w:sz w:val="24"/>
          <w:szCs w:val="24"/>
        </w:rPr>
        <w:t xml:space="preserve">to the implementation of AIFDR Phase 2. </w:t>
      </w:r>
    </w:p>
    <w:p w14:paraId="46F0B150" w14:textId="0056390C" w:rsidR="00613651" w:rsidRPr="009536B9" w:rsidRDefault="004B0C57" w:rsidP="00CC694C">
      <w:pPr>
        <w:rPr>
          <w:b/>
          <w:sz w:val="24"/>
          <w:szCs w:val="24"/>
        </w:rPr>
      </w:pPr>
      <w:r>
        <w:rPr>
          <w:b/>
          <w:sz w:val="24"/>
          <w:szCs w:val="24"/>
        </w:rPr>
        <w:t xml:space="preserve">1. </w:t>
      </w:r>
      <w:r w:rsidR="00CC694C" w:rsidRPr="009536B9">
        <w:rPr>
          <w:b/>
          <w:sz w:val="24"/>
          <w:szCs w:val="24"/>
        </w:rPr>
        <w:t xml:space="preserve">Lack of </w:t>
      </w:r>
      <w:r w:rsidR="00613651" w:rsidRPr="009536B9">
        <w:rPr>
          <w:b/>
          <w:sz w:val="24"/>
          <w:szCs w:val="24"/>
        </w:rPr>
        <w:t xml:space="preserve">facility level </w:t>
      </w:r>
      <w:r w:rsidR="00CC694C" w:rsidRPr="009536B9">
        <w:rPr>
          <w:b/>
          <w:sz w:val="24"/>
          <w:szCs w:val="24"/>
        </w:rPr>
        <w:t>narrative</w:t>
      </w:r>
      <w:r w:rsidR="00613651" w:rsidRPr="009536B9">
        <w:rPr>
          <w:b/>
          <w:sz w:val="24"/>
          <w:szCs w:val="24"/>
        </w:rPr>
        <w:t xml:space="preserve">: </w:t>
      </w:r>
      <w:r w:rsidR="00613651" w:rsidRPr="009536B9">
        <w:rPr>
          <w:sz w:val="24"/>
          <w:szCs w:val="24"/>
        </w:rPr>
        <w:t xml:space="preserve">AIFDR lacked a facility level narrative until the production in mid 2012 of the </w:t>
      </w:r>
      <w:r w:rsidR="005122C1">
        <w:rPr>
          <w:sz w:val="24"/>
          <w:szCs w:val="24"/>
        </w:rPr>
        <w:t xml:space="preserve">facility’s </w:t>
      </w:r>
      <w:r w:rsidR="00613651" w:rsidRPr="009536B9">
        <w:rPr>
          <w:sz w:val="24"/>
          <w:szCs w:val="24"/>
        </w:rPr>
        <w:t>Development Strategy</w:t>
      </w:r>
      <w:r w:rsidR="0079593B">
        <w:rPr>
          <w:sz w:val="24"/>
          <w:szCs w:val="24"/>
        </w:rPr>
        <w:t xml:space="preserve">. This document sets </w:t>
      </w:r>
      <w:r w:rsidR="00613651" w:rsidRPr="009536B9">
        <w:rPr>
          <w:sz w:val="24"/>
          <w:szCs w:val="24"/>
        </w:rPr>
        <w:t xml:space="preserve">out </w:t>
      </w:r>
      <w:r w:rsidR="00D619A9">
        <w:rPr>
          <w:sz w:val="24"/>
          <w:szCs w:val="24"/>
        </w:rPr>
        <w:t>AIFDR’s overall purpose</w:t>
      </w:r>
      <w:r w:rsidR="0079593B">
        <w:rPr>
          <w:sz w:val="24"/>
          <w:szCs w:val="24"/>
        </w:rPr>
        <w:t>,</w:t>
      </w:r>
      <w:r w:rsidR="00D619A9">
        <w:rPr>
          <w:sz w:val="24"/>
          <w:szCs w:val="24"/>
        </w:rPr>
        <w:t xml:space="preserve"> and </w:t>
      </w:r>
      <w:r w:rsidR="006B5179">
        <w:rPr>
          <w:sz w:val="24"/>
          <w:szCs w:val="24"/>
        </w:rPr>
        <w:t xml:space="preserve">what AIFDR’s strategy for achieving success in the DRM </w:t>
      </w:r>
      <w:r w:rsidR="00251FA0">
        <w:rPr>
          <w:sz w:val="24"/>
          <w:szCs w:val="24"/>
        </w:rPr>
        <w:t xml:space="preserve">&amp; DRR </w:t>
      </w:r>
      <w:r w:rsidR="006B5179">
        <w:rPr>
          <w:sz w:val="24"/>
          <w:szCs w:val="24"/>
        </w:rPr>
        <w:t xml:space="preserve">space in Indonesia would look like. </w:t>
      </w:r>
      <w:r w:rsidR="0079593B">
        <w:rPr>
          <w:sz w:val="24"/>
          <w:szCs w:val="24"/>
        </w:rPr>
        <w:t>F</w:t>
      </w:r>
      <w:r w:rsidR="005122C1">
        <w:rPr>
          <w:sz w:val="24"/>
          <w:szCs w:val="24"/>
        </w:rPr>
        <w:t xml:space="preserve">our out of </w:t>
      </w:r>
      <w:r w:rsidR="006B5179">
        <w:rPr>
          <w:sz w:val="24"/>
          <w:szCs w:val="24"/>
        </w:rPr>
        <w:t>AIFDR</w:t>
      </w:r>
      <w:r w:rsidR="005122C1">
        <w:rPr>
          <w:sz w:val="24"/>
          <w:szCs w:val="24"/>
        </w:rPr>
        <w:t>’s five years (Phase 1) its</w:t>
      </w:r>
      <w:r w:rsidR="00613651" w:rsidRPr="009536B9">
        <w:rPr>
          <w:sz w:val="24"/>
          <w:szCs w:val="24"/>
        </w:rPr>
        <w:t xml:space="preserve"> facility level purpose was </w:t>
      </w:r>
      <w:r w:rsidR="006B5179">
        <w:rPr>
          <w:sz w:val="24"/>
          <w:szCs w:val="24"/>
        </w:rPr>
        <w:t xml:space="preserve">not well documented and unclear </w:t>
      </w:r>
      <w:r w:rsidR="005122C1">
        <w:rPr>
          <w:sz w:val="24"/>
          <w:szCs w:val="24"/>
        </w:rPr>
        <w:t xml:space="preserve">to many of its </w:t>
      </w:r>
      <w:r w:rsidR="00251FA0">
        <w:rPr>
          <w:sz w:val="24"/>
          <w:szCs w:val="24"/>
        </w:rPr>
        <w:t xml:space="preserve">project </w:t>
      </w:r>
      <w:r w:rsidR="005122C1">
        <w:rPr>
          <w:sz w:val="24"/>
          <w:szCs w:val="24"/>
        </w:rPr>
        <w:t>partners</w:t>
      </w:r>
      <w:r w:rsidR="00613651" w:rsidRPr="009536B9">
        <w:rPr>
          <w:sz w:val="24"/>
          <w:szCs w:val="24"/>
        </w:rPr>
        <w:t xml:space="preserve">. It will be important AIFDR </w:t>
      </w:r>
      <w:r w:rsidR="006B5179">
        <w:rPr>
          <w:sz w:val="24"/>
          <w:szCs w:val="24"/>
        </w:rPr>
        <w:t xml:space="preserve">develop a clear </w:t>
      </w:r>
      <w:r w:rsidR="00613651" w:rsidRPr="009536B9">
        <w:rPr>
          <w:sz w:val="24"/>
          <w:szCs w:val="24"/>
        </w:rPr>
        <w:t xml:space="preserve">facility level narrative for Phase 2 </w:t>
      </w:r>
      <w:r w:rsidR="006B5179">
        <w:rPr>
          <w:sz w:val="24"/>
          <w:szCs w:val="24"/>
        </w:rPr>
        <w:t>to ensure other donors and partners are clear about its overall purpose</w:t>
      </w:r>
      <w:r w:rsidR="005122C1">
        <w:rPr>
          <w:sz w:val="24"/>
          <w:szCs w:val="24"/>
        </w:rPr>
        <w:t xml:space="preserve"> thereby supporting good coordination and harmonisation</w:t>
      </w:r>
      <w:r w:rsidR="006B5179">
        <w:rPr>
          <w:sz w:val="24"/>
          <w:szCs w:val="24"/>
        </w:rPr>
        <w:t>.</w:t>
      </w:r>
    </w:p>
    <w:p w14:paraId="76A6C981" w14:textId="63E9AF81" w:rsidR="001628C5" w:rsidRPr="001628C5" w:rsidRDefault="004B0C57" w:rsidP="001628C5">
      <w:pPr>
        <w:rPr>
          <w:sz w:val="24"/>
          <w:szCs w:val="24"/>
        </w:rPr>
      </w:pPr>
      <w:r>
        <w:rPr>
          <w:b/>
          <w:sz w:val="24"/>
          <w:szCs w:val="24"/>
        </w:rPr>
        <w:t xml:space="preserve">2. </w:t>
      </w:r>
      <w:r w:rsidR="001628C5" w:rsidRPr="001628C5">
        <w:rPr>
          <w:b/>
          <w:sz w:val="24"/>
          <w:szCs w:val="24"/>
        </w:rPr>
        <w:t xml:space="preserve">Changing </w:t>
      </w:r>
      <w:r w:rsidR="001628C5">
        <w:rPr>
          <w:b/>
          <w:sz w:val="24"/>
          <w:szCs w:val="24"/>
        </w:rPr>
        <w:t>g</w:t>
      </w:r>
      <w:r w:rsidR="001628C5" w:rsidRPr="001628C5">
        <w:rPr>
          <w:b/>
          <w:sz w:val="24"/>
          <w:szCs w:val="24"/>
        </w:rPr>
        <w:t xml:space="preserve">oal </w:t>
      </w:r>
      <w:r w:rsidR="001628C5">
        <w:rPr>
          <w:b/>
          <w:sz w:val="24"/>
          <w:szCs w:val="24"/>
        </w:rPr>
        <w:t>p</w:t>
      </w:r>
      <w:r w:rsidR="001628C5" w:rsidRPr="001628C5">
        <w:rPr>
          <w:b/>
          <w:sz w:val="24"/>
          <w:szCs w:val="24"/>
        </w:rPr>
        <w:t xml:space="preserve">osts creating confusion:  </w:t>
      </w:r>
      <w:r w:rsidR="001628C5" w:rsidRPr="001628C5">
        <w:rPr>
          <w:sz w:val="24"/>
          <w:szCs w:val="24"/>
        </w:rPr>
        <w:t xml:space="preserve">The review team identified 4 different sets of expected outcomes for AIFDR. </w:t>
      </w:r>
      <w:r w:rsidR="00BC7D7B">
        <w:rPr>
          <w:sz w:val="24"/>
          <w:szCs w:val="24"/>
        </w:rPr>
        <w:t>As previously mentioned, t</w:t>
      </w:r>
      <w:r w:rsidR="001628C5" w:rsidRPr="001628C5">
        <w:rPr>
          <w:sz w:val="24"/>
          <w:szCs w:val="24"/>
        </w:rPr>
        <w:t xml:space="preserve">he first set of expected outcomes appear in the initial design commissioned in 2009; a second set were developed by AIFDR’s Management Team in 2011 drawing on lessons learnt from the previous two years; a third set appears in AIFDR’s Development Strategy (mid 2012); and a fourth set are contained in AIFDR’s Quality at Implementation Report (dated 13 Jan 2012). The result is enormous confusion in terms of what AIFDR was trying to achieve. </w:t>
      </w:r>
      <w:r w:rsidR="00BC7D7B">
        <w:rPr>
          <w:sz w:val="24"/>
          <w:szCs w:val="24"/>
        </w:rPr>
        <w:t xml:space="preserve">In </w:t>
      </w:r>
      <w:r w:rsidR="00E4003D">
        <w:rPr>
          <w:sz w:val="24"/>
          <w:szCs w:val="24"/>
        </w:rPr>
        <w:t xml:space="preserve">Phase 2 it will be important </w:t>
      </w:r>
      <w:r w:rsidR="00A15D1E">
        <w:rPr>
          <w:sz w:val="24"/>
          <w:szCs w:val="24"/>
        </w:rPr>
        <w:t xml:space="preserve">the </w:t>
      </w:r>
      <w:r w:rsidR="00E4003D">
        <w:rPr>
          <w:sz w:val="24"/>
          <w:szCs w:val="24"/>
        </w:rPr>
        <w:t xml:space="preserve">AIFDR team better manage </w:t>
      </w:r>
      <w:r w:rsidR="005122C1">
        <w:rPr>
          <w:sz w:val="24"/>
          <w:szCs w:val="24"/>
        </w:rPr>
        <w:t>any change</w:t>
      </w:r>
      <w:r w:rsidR="00E4003D">
        <w:rPr>
          <w:sz w:val="24"/>
          <w:szCs w:val="24"/>
        </w:rPr>
        <w:t xml:space="preserve"> to </w:t>
      </w:r>
      <w:r w:rsidR="0079593B">
        <w:rPr>
          <w:sz w:val="24"/>
          <w:szCs w:val="24"/>
        </w:rPr>
        <w:t xml:space="preserve">the </w:t>
      </w:r>
      <w:r w:rsidR="00E4003D">
        <w:rPr>
          <w:sz w:val="24"/>
          <w:szCs w:val="24"/>
        </w:rPr>
        <w:t xml:space="preserve">program logic by </w:t>
      </w:r>
      <w:r w:rsidR="00A15D1E">
        <w:rPr>
          <w:sz w:val="24"/>
          <w:szCs w:val="24"/>
        </w:rPr>
        <w:t xml:space="preserve">ensuring changes are well documented and the rationale for change </w:t>
      </w:r>
      <w:r w:rsidR="006058A7">
        <w:rPr>
          <w:sz w:val="24"/>
          <w:szCs w:val="24"/>
        </w:rPr>
        <w:t xml:space="preserve">clearly </w:t>
      </w:r>
      <w:r w:rsidR="00A15D1E">
        <w:rPr>
          <w:sz w:val="24"/>
          <w:szCs w:val="24"/>
        </w:rPr>
        <w:t>recorded and communicated to relevant parties.</w:t>
      </w:r>
    </w:p>
    <w:p w14:paraId="48462EA7" w14:textId="16FEE5BF" w:rsidR="006058A7" w:rsidRPr="006058A7" w:rsidRDefault="004B0C57" w:rsidP="006058A7">
      <w:pPr>
        <w:rPr>
          <w:b/>
          <w:sz w:val="24"/>
          <w:szCs w:val="24"/>
        </w:rPr>
      </w:pPr>
      <w:r>
        <w:rPr>
          <w:b/>
          <w:sz w:val="24"/>
          <w:szCs w:val="24"/>
        </w:rPr>
        <w:t xml:space="preserve">3. </w:t>
      </w:r>
      <w:r w:rsidR="006058A7" w:rsidRPr="006058A7">
        <w:rPr>
          <w:b/>
          <w:sz w:val="24"/>
          <w:szCs w:val="24"/>
        </w:rPr>
        <w:t xml:space="preserve">AIFDR took a long time </w:t>
      </w:r>
      <w:r w:rsidR="006643ED">
        <w:rPr>
          <w:b/>
          <w:sz w:val="24"/>
          <w:szCs w:val="24"/>
        </w:rPr>
        <w:t xml:space="preserve">to </w:t>
      </w:r>
      <w:r w:rsidR="006058A7" w:rsidRPr="006058A7">
        <w:rPr>
          <w:b/>
          <w:sz w:val="24"/>
          <w:szCs w:val="24"/>
        </w:rPr>
        <w:t>integrate its components</w:t>
      </w:r>
      <w:r w:rsidR="006058A7" w:rsidRPr="006058A7">
        <w:rPr>
          <w:b/>
          <w:i/>
          <w:sz w:val="24"/>
          <w:szCs w:val="24"/>
        </w:rPr>
        <w:t xml:space="preserve">: </w:t>
      </w:r>
      <w:r w:rsidR="006058A7" w:rsidRPr="006058A7">
        <w:rPr>
          <w:sz w:val="24"/>
          <w:szCs w:val="24"/>
        </w:rPr>
        <w:t xml:space="preserve">Evidence suggests AIFDR components were not well integrated until late 2011-2012. With more time spent upfront on design, and drawing on the right technical skill sets earlier, AIFDR would have delivered </w:t>
      </w:r>
      <w:proofErr w:type="gramStart"/>
      <w:r w:rsidR="006058A7" w:rsidRPr="006058A7">
        <w:rPr>
          <w:sz w:val="24"/>
          <w:szCs w:val="24"/>
        </w:rPr>
        <w:t>a stronger</w:t>
      </w:r>
      <w:proofErr w:type="gramEnd"/>
      <w:r w:rsidR="006058A7" w:rsidRPr="006058A7">
        <w:rPr>
          <w:sz w:val="24"/>
          <w:szCs w:val="24"/>
        </w:rPr>
        <w:t xml:space="preserve"> program logic sooner.</w:t>
      </w:r>
      <w:r w:rsidR="006058A7">
        <w:rPr>
          <w:sz w:val="24"/>
          <w:szCs w:val="24"/>
        </w:rPr>
        <w:t xml:space="preserve"> A large investment has been made in </w:t>
      </w:r>
      <w:r w:rsidR="006643ED">
        <w:rPr>
          <w:sz w:val="24"/>
          <w:szCs w:val="24"/>
        </w:rPr>
        <w:t>the design for Phase 2 that should reduce the risk of weak connectivity between components</w:t>
      </w:r>
      <w:r w:rsidR="005122C1">
        <w:rPr>
          <w:sz w:val="24"/>
          <w:szCs w:val="24"/>
        </w:rPr>
        <w:t>.</w:t>
      </w:r>
    </w:p>
    <w:p w14:paraId="20932906" w14:textId="4BC089DB" w:rsidR="00F71D7A" w:rsidRPr="00F71D7A" w:rsidRDefault="004B0C57" w:rsidP="00F71D7A">
      <w:pPr>
        <w:rPr>
          <w:sz w:val="24"/>
          <w:szCs w:val="24"/>
        </w:rPr>
      </w:pPr>
      <w:r>
        <w:rPr>
          <w:b/>
          <w:sz w:val="24"/>
          <w:szCs w:val="24"/>
        </w:rPr>
        <w:t xml:space="preserve">4. </w:t>
      </w:r>
      <w:r w:rsidR="00F71D7A">
        <w:rPr>
          <w:b/>
          <w:sz w:val="24"/>
          <w:szCs w:val="24"/>
        </w:rPr>
        <w:t xml:space="preserve">A partnership strategy is needed for Phase 2: </w:t>
      </w:r>
      <w:r w:rsidR="00F71D7A">
        <w:rPr>
          <w:sz w:val="24"/>
          <w:szCs w:val="24"/>
        </w:rPr>
        <w:t xml:space="preserve">AIFDR has </w:t>
      </w:r>
      <w:r w:rsidR="00F71D7A" w:rsidRPr="00F71D7A">
        <w:rPr>
          <w:sz w:val="24"/>
          <w:szCs w:val="24"/>
        </w:rPr>
        <w:t xml:space="preserve">established </w:t>
      </w:r>
      <w:r w:rsidR="00F71D7A">
        <w:rPr>
          <w:sz w:val="24"/>
          <w:szCs w:val="24"/>
        </w:rPr>
        <w:t xml:space="preserve">a range of </w:t>
      </w:r>
      <w:r w:rsidR="00F71D7A" w:rsidRPr="00F71D7A">
        <w:rPr>
          <w:sz w:val="24"/>
          <w:szCs w:val="24"/>
        </w:rPr>
        <w:t>partnerships with government and non-government organisations</w:t>
      </w:r>
      <w:r w:rsidR="00F71D7A">
        <w:rPr>
          <w:sz w:val="24"/>
          <w:szCs w:val="24"/>
        </w:rPr>
        <w:t xml:space="preserve">. Its key partner is BNPB. The facility has no partnership strategy, or agreed criteria for measuring partnership success. It is critically important in Phase 2 AIFDR confirm the type of partnership it aims to have with BNPB, and </w:t>
      </w:r>
      <w:r w:rsidR="00F71D7A" w:rsidRPr="00F71D7A">
        <w:rPr>
          <w:sz w:val="24"/>
          <w:szCs w:val="24"/>
        </w:rPr>
        <w:t xml:space="preserve">criteria for </w:t>
      </w:r>
      <w:r w:rsidR="00F71D7A">
        <w:rPr>
          <w:sz w:val="24"/>
          <w:szCs w:val="24"/>
        </w:rPr>
        <w:t xml:space="preserve">measuring partnership success. </w:t>
      </w:r>
    </w:p>
    <w:p w14:paraId="6E5B5B68" w14:textId="34757C9D" w:rsidR="00AF3B9C" w:rsidRPr="00F71D7A" w:rsidRDefault="004B0C57" w:rsidP="00AF3B9C">
      <w:pPr>
        <w:rPr>
          <w:sz w:val="24"/>
          <w:szCs w:val="24"/>
        </w:rPr>
      </w:pPr>
      <w:r>
        <w:rPr>
          <w:b/>
          <w:sz w:val="24"/>
          <w:szCs w:val="24"/>
        </w:rPr>
        <w:t xml:space="preserve">5. </w:t>
      </w:r>
      <w:r w:rsidR="00AF3B9C" w:rsidRPr="00F71D7A">
        <w:rPr>
          <w:b/>
          <w:sz w:val="24"/>
          <w:szCs w:val="24"/>
        </w:rPr>
        <w:t xml:space="preserve">Weak monitoring of AIFDR by AusAID Senior Management: </w:t>
      </w:r>
      <w:r w:rsidR="00AF3B9C" w:rsidRPr="00F71D7A">
        <w:rPr>
          <w:sz w:val="24"/>
          <w:szCs w:val="24"/>
        </w:rPr>
        <w:t>The</w:t>
      </w:r>
      <w:r w:rsidR="00AF3B9C" w:rsidRPr="00F71D7A">
        <w:rPr>
          <w:b/>
          <w:i/>
          <w:sz w:val="24"/>
          <w:szCs w:val="24"/>
        </w:rPr>
        <w:t xml:space="preserve"> </w:t>
      </w:r>
      <w:r w:rsidR="00AF3B9C" w:rsidRPr="00F71D7A">
        <w:rPr>
          <w:sz w:val="24"/>
          <w:szCs w:val="24"/>
        </w:rPr>
        <w:t xml:space="preserve">evidence gathered by the </w:t>
      </w:r>
      <w:r w:rsidR="00FD49B1" w:rsidRPr="00F71D7A">
        <w:rPr>
          <w:sz w:val="24"/>
          <w:szCs w:val="24"/>
        </w:rPr>
        <w:t>review</w:t>
      </w:r>
      <w:r w:rsidR="00AF3B9C" w:rsidRPr="00F71D7A">
        <w:rPr>
          <w:sz w:val="24"/>
          <w:szCs w:val="24"/>
        </w:rPr>
        <w:t xml:space="preserve"> team suggests AIFDR was not closely monitored by AusAID Senior Management at Post in Jakarta and in Canberra. From an organisational management perspective AIFDR, appears to have been treated more as a ‘stand-alone’ or outlier program than as a component of the broader Australian Aid Program portfolio. Consequently, AIFDR appears to have not been required to comply with standard AusAID program design, management and quality assurance processes.</w:t>
      </w:r>
    </w:p>
    <w:p w14:paraId="6D4A2586" w14:textId="10324A0E" w:rsidR="00D22F2C" w:rsidRDefault="004B0C57" w:rsidP="00AF3B9C">
      <w:pPr>
        <w:rPr>
          <w:sz w:val="24"/>
          <w:szCs w:val="24"/>
        </w:rPr>
      </w:pPr>
      <w:r>
        <w:rPr>
          <w:b/>
          <w:sz w:val="24"/>
          <w:szCs w:val="24"/>
        </w:rPr>
        <w:t xml:space="preserve">6. </w:t>
      </w:r>
      <w:r w:rsidR="00AF3B9C" w:rsidRPr="00F71D7A">
        <w:rPr>
          <w:b/>
          <w:sz w:val="24"/>
          <w:szCs w:val="24"/>
        </w:rPr>
        <w:t xml:space="preserve">AIFDR-BNPB Partnership potentially restrictive: </w:t>
      </w:r>
      <w:r w:rsidR="00AF3B9C" w:rsidRPr="00F71D7A">
        <w:rPr>
          <w:sz w:val="24"/>
          <w:szCs w:val="24"/>
        </w:rPr>
        <w:t xml:space="preserve">Close alignment with BNPB’s priorities and work program restricts AIFDR’s capacity to engage with a range of GoI line ministries (BAPPENAS; Finance and Urban Planning etc) to support implementation of the Hyogo Framework priority areas for action for disaster resilient nations and communities. </w:t>
      </w:r>
      <w:r w:rsidR="007A6F85">
        <w:rPr>
          <w:sz w:val="24"/>
          <w:szCs w:val="24"/>
        </w:rPr>
        <w:t xml:space="preserve">The Hyogo Framework advocates for </w:t>
      </w:r>
      <w:r w:rsidR="001B4E7F">
        <w:rPr>
          <w:sz w:val="24"/>
          <w:szCs w:val="24"/>
        </w:rPr>
        <w:t xml:space="preserve">a shift from a sectoral approach </w:t>
      </w:r>
      <w:r w:rsidR="00D22F2C">
        <w:rPr>
          <w:sz w:val="24"/>
          <w:szCs w:val="24"/>
        </w:rPr>
        <w:t xml:space="preserve">(confined to NDMO’s) </w:t>
      </w:r>
      <w:r w:rsidR="001B4E7F">
        <w:rPr>
          <w:sz w:val="24"/>
          <w:szCs w:val="24"/>
        </w:rPr>
        <w:t xml:space="preserve">to a </w:t>
      </w:r>
      <w:r w:rsidR="007A6F85">
        <w:rPr>
          <w:sz w:val="24"/>
          <w:szCs w:val="24"/>
        </w:rPr>
        <w:t>whole of government approach to DRR</w:t>
      </w:r>
      <w:r w:rsidR="001B4E7F">
        <w:rPr>
          <w:sz w:val="24"/>
          <w:szCs w:val="24"/>
        </w:rPr>
        <w:t xml:space="preserve"> ie, </w:t>
      </w:r>
      <w:r w:rsidR="00AF3B9C" w:rsidRPr="00F71D7A">
        <w:rPr>
          <w:sz w:val="24"/>
          <w:szCs w:val="24"/>
        </w:rPr>
        <w:t xml:space="preserve">DRR </w:t>
      </w:r>
      <w:r w:rsidR="007A6F85">
        <w:rPr>
          <w:sz w:val="24"/>
          <w:szCs w:val="24"/>
        </w:rPr>
        <w:t>is a</w:t>
      </w:r>
      <w:r w:rsidR="00AF3B9C" w:rsidRPr="00F71D7A">
        <w:rPr>
          <w:sz w:val="24"/>
          <w:szCs w:val="24"/>
        </w:rPr>
        <w:t xml:space="preserve"> cross cutting </w:t>
      </w:r>
      <w:r w:rsidR="00005614" w:rsidRPr="00F71D7A">
        <w:rPr>
          <w:sz w:val="24"/>
          <w:szCs w:val="24"/>
        </w:rPr>
        <w:t>issue that requires cross sectoral engagement</w:t>
      </w:r>
      <w:r w:rsidR="00D22F2C">
        <w:rPr>
          <w:sz w:val="24"/>
          <w:szCs w:val="24"/>
        </w:rPr>
        <w:t xml:space="preserve">. </w:t>
      </w:r>
      <w:r w:rsidR="00251FA0">
        <w:rPr>
          <w:sz w:val="24"/>
          <w:szCs w:val="24"/>
        </w:rPr>
        <w:t xml:space="preserve">It will be important for AIFDR in Phase 2 to support BNBP to </w:t>
      </w:r>
      <w:r w:rsidR="00251FA0" w:rsidRPr="005F2113">
        <w:rPr>
          <w:sz w:val="24"/>
          <w:szCs w:val="24"/>
        </w:rPr>
        <w:t xml:space="preserve">mobilise interest in DRR within </w:t>
      </w:r>
      <w:r w:rsidR="00251FA0">
        <w:rPr>
          <w:sz w:val="24"/>
          <w:szCs w:val="24"/>
        </w:rPr>
        <w:t xml:space="preserve">GoI </w:t>
      </w:r>
      <w:r w:rsidR="00251FA0" w:rsidRPr="005F2113">
        <w:rPr>
          <w:sz w:val="24"/>
          <w:szCs w:val="24"/>
        </w:rPr>
        <w:t>line ministries</w:t>
      </w:r>
      <w:r w:rsidR="00251FA0">
        <w:rPr>
          <w:sz w:val="24"/>
          <w:szCs w:val="24"/>
        </w:rPr>
        <w:t>.</w:t>
      </w:r>
    </w:p>
    <w:p w14:paraId="2DD8DDAD" w14:textId="1601357E" w:rsidR="00AF3B9C" w:rsidRPr="00F71D7A" w:rsidRDefault="004B0C57" w:rsidP="00AF3B9C">
      <w:pPr>
        <w:rPr>
          <w:rFonts w:cs="Times New Roman"/>
          <w:sz w:val="24"/>
          <w:szCs w:val="24"/>
        </w:rPr>
      </w:pPr>
      <w:r>
        <w:rPr>
          <w:b/>
          <w:sz w:val="24"/>
          <w:szCs w:val="24"/>
        </w:rPr>
        <w:t xml:space="preserve">7. </w:t>
      </w:r>
      <w:r w:rsidR="00AF3B9C" w:rsidRPr="00F71D7A">
        <w:rPr>
          <w:b/>
          <w:sz w:val="24"/>
          <w:szCs w:val="24"/>
        </w:rPr>
        <w:t>Weak facility-level monitoring and evaluation:</w:t>
      </w:r>
      <w:r w:rsidR="00AF3B9C" w:rsidRPr="00F71D7A">
        <w:rPr>
          <w:sz w:val="24"/>
          <w:szCs w:val="24"/>
        </w:rPr>
        <w:t xml:space="preserve"> AIFDR’s </w:t>
      </w:r>
      <w:r w:rsidR="0038546D">
        <w:rPr>
          <w:sz w:val="24"/>
          <w:szCs w:val="24"/>
        </w:rPr>
        <w:t xml:space="preserve">facility level </w:t>
      </w:r>
      <w:r w:rsidR="00AF3B9C" w:rsidRPr="00F71D7A">
        <w:rPr>
          <w:sz w:val="24"/>
          <w:szCs w:val="24"/>
        </w:rPr>
        <w:t xml:space="preserve">M&amp;E </w:t>
      </w:r>
      <w:r w:rsidR="0038546D">
        <w:rPr>
          <w:sz w:val="24"/>
          <w:szCs w:val="24"/>
        </w:rPr>
        <w:t xml:space="preserve">was poor throughout Phase 1. As previously mentioned, </w:t>
      </w:r>
      <w:r w:rsidR="00AF3B9C" w:rsidRPr="00F71D7A">
        <w:rPr>
          <w:rFonts w:cs="Times New Roman"/>
          <w:sz w:val="24"/>
          <w:szCs w:val="24"/>
        </w:rPr>
        <w:t xml:space="preserve">AIFDR’s Senior Management Team should have addressed </w:t>
      </w:r>
      <w:r w:rsidR="0038546D">
        <w:rPr>
          <w:rFonts w:cs="Times New Roman"/>
          <w:sz w:val="24"/>
          <w:szCs w:val="24"/>
        </w:rPr>
        <w:t xml:space="preserve">problems with </w:t>
      </w:r>
      <w:r w:rsidR="00AF3B9C" w:rsidRPr="00F71D7A">
        <w:rPr>
          <w:rFonts w:cs="Times New Roman"/>
          <w:sz w:val="24"/>
          <w:szCs w:val="24"/>
        </w:rPr>
        <w:t>the facility’s M&amp;E system</w:t>
      </w:r>
      <w:r w:rsidR="00317727">
        <w:rPr>
          <w:rFonts w:cs="Times New Roman"/>
          <w:sz w:val="24"/>
          <w:szCs w:val="24"/>
        </w:rPr>
        <w:t>, but did not</w:t>
      </w:r>
      <w:r w:rsidR="00AF3B9C" w:rsidRPr="00F71D7A">
        <w:rPr>
          <w:rFonts w:cs="Times New Roman"/>
          <w:sz w:val="24"/>
          <w:szCs w:val="24"/>
        </w:rPr>
        <w:t xml:space="preserve">. </w:t>
      </w:r>
      <w:r w:rsidR="00E7556C">
        <w:rPr>
          <w:rFonts w:cs="Times New Roman"/>
          <w:sz w:val="24"/>
          <w:szCs w:val="24"/>
        </w:rPr>
        <w:t>The design for Phase 2 address</w:t>
      </w:r>
      <w:r w:rsidR="00317727">
        <w:rPr>
          <w:rFonts w:cs="Times New Roman"/>
          <w:sz w:val="24"/>
          <w:szCs w:val="24"/>
        </w:rPr>
        <w:t>es</w:t>
      </w:r>
      <w:r w:rsidR="00E7556C">
        <w:rPr>
          <w:rFonts w:cs="Times New Roman"/>
          <w:sz w:val="24"/>
          <w:szCs w:val="24"/>
        </w:rPr>
        <w:t xml:space="preserve"> AIFDR’s weak M&amp;E. It will be important in Phase 2 that quality systems are not only developed, but are </w:t>
      </w:r>
      <w:r w:rsidR="00317727">
        <w:rPr>
          <w:rFonts w:cs="Times New Roman"/>
          <w:sz w:val="24"/>
          <w:szCs w:val="24"/>
        </w:rPr>
        <w:t>used to track performance</w:t>
      </w:r>
      <w:r w:rsidR="009140EA">
        <w:rPr>
          <w:rFonts w:cs="Times New Roman"/>
          <w:sz w:val="24"/>
          <w:szCs w:val="24"/>
        </w:rPr>
        <w:t>, and measure aid impact.</w:t>
      </w:r>
    </w:p>
    <w:p w14:paraId="2AA45C27" w14:textId="21F12EA5" w:rsidR="0038546D" w:rsidRDefault="004B0C57" w:rsidP="00CC694C">
      <w:pPr>
        <w:rPr>
          <w:sz w:val="24"/>
          <w:szCs w:val="24"/>
        </w:rPr>
      </w:pPr>
      <w:r>
        <w:rPr>
          <w:b/>
          <w:sz w:val="24"/>
          <w:szCs w:val="24"/>
        </w:rPr>
        <w:t xml:space="preserve">8. </w:t>
      </w:r>
      <w:r w:rsidR="00AF3B9C" w:rsidRPr="00F71D7A">
        <w:rPr>
          <w:b/>
          <w:sz w:val="24"/>
          <w:szCs w:val="24"/>
        </w:rPr>
        <w:t>Missed opportunities for facility learning due to weak knowledge management:</w:t>
      </w:r>
      <w:r w:rsidR="00AF3B9C" w:rsidRPr="00F71D7A">
        <w:rPr>
          <w:b/>
          <w:i/>
          <w:sz w:val="24"/>
          <w:szCs w:val="24"/>
        </w:rPr>
        <w:t xml:space="preserve"> </w:t>
      </w:r>
      <w:r w:rsidR="000E248F" w:rsidRPr="00617918">
        <w:rPr>
          <w:sz w:val="24"/>
          <w:szCs w:val="24"/>
        </w:rPr>
        <w:t>A</w:t>
      </w:r>
      <w:r w:rsidR="0038546D">
        <w:rPr>
          <w:sz w:val="24"/>
          <w:szCs w:val="24"/>
        </w:rPr>
        <w:t>s previously discussed, A</w:t>
      </w:r>
      <w:r w:rsidR="000E248F" w:rsidRPr="00617918">
        <w:rPr>
          <w:sz w:val="24"/>
          <w:szCs w:val="24"/>
        </w:rPr>
        <w:t xml:space="preserve">IFDR’s knowledge management </w:t>
      </w:r>
      <w:r w:rsidR="0038546D">
        <w:rPr>
          <w:sz w:val="24"/>
          <w:szCs w:val="24"/>
        </w:rPr>
        <w:t xml:space="preserve">was poor, and opportunities for more effective facility level learning were lost. It will be critically important in Phase 2 that knowledge management systems and processes are firmly in place and a culture of learning is fostered. </w:t>
      </w:r>
    </w:p>
    <w:p w14:paraId="7021B64A" w14:textId="3C973D1E" w:rsidR="00726634" w:rsidRDefault="004B0C57" w:rsidP="006D2309">
      <w:pPr>
        <w:spacing w:after="0" w:line="276" w:lineRule="auto"/>
        <w:rPr>
          <w:rFonts w:cs="Calibri"/>
          <w:sz w:val="24"/>
          <w:szCs w:val="24"/>
        </w:rPr>
      </w:pPr>
      <w:r>
        <w:rPr>
          <w:rFonts w:cs="Calibri"/>
          <w:b/>
          <w:sz w:val="24"/>
          <w:szCs w:val="24"/>
        </w:rPr>
        <w:t xml:space="preserve">9. </w:t>
      </w:r>
      <w:r w:rsidR="002B7668" w:rsidRPr="00726634">
        <w:rPr>
          <w:rFonts w:cs="Calibri"/>
          <w:b/>
          <w:sz w:val="24"/>
          <w:szCs w:val="24"/>
        </w:rPr>
        <w:t xml:space="preserve">Leveraging resources and collaborating with the broader bi-lateral program is also critical for achieving results: </w:t>
      </w:r>
      <w:r w:rsidR="00ED5C3E" w:rsidRPr="00ED5C3E">
        <w:rPr>
          <w:rFonts w:cs="Calibri"/>
          <w:sz w:val="24"/>
          <w:szCs w:val="24"/>
        </w:rPr>
        <w:t xml:space="preserve">AIFDR Phase 1 appears to have not been well integrated within the broader bi-lateral development program. </w:t>
      </w:r>
      <w:r w:rsidR="003C2EEF">
        <w:rPr>
          <w:rFonts w:cs="Calibri"/>
          <w:sz w:val="24"/>
          <w:szCs w:val="24"/>
        </w:rPr>
        <w:t xml:space="preserve">Increased effort should be made in </w:t>
      </w:r>
      <w:r w:rsidR="00726634" w:rsidRPr="00ED5C3E">
        <w:rPr>
          <w:rFonts w:cs="Calibri"/>
          <w:sz w:val="24"/>
          <w:szCs w:val="24"/>
        </w:rPr>
        <w:t xml:space="preserve">Phase 2 </w:t>
      </w:r>
      <w:r w:rsidR="003C2EEF">
        <w:rPr>
          <w:rFonts w:cs="Calibri"/>
          <w:sz w:val="24"/>
          <w:szCs w:val="24"/>
        </w:rPr>
        <w:t xml:space="preserve">to </w:t>
      </w:r>
      <w:r w:rsidR="00ED5C3E" w:rsidRPr="00ED5C3E">
        <w:rPr>
          <w:rFonts w:cs="Calibri"/>
          <w:sz w:val="24"/>
          <w:szCs w:val="24"/>
        </w:rPr>
        <w:t>f</w:t>
      </w:r>
      <w:r w:rsidR="00726634" w:rsidRPr="00ED5C3E">
        <w:rPr>
          <w:rFonts w:cs="Calibri"/>
          <w:sz w:val="24"/>
          <w:szCs w:val="24"/>
        </w:rPr>
        <w:t xml:space="preserve">oster cooperative and mutually beneficial relationships </w:t>
      </w:r>
      <w:r w:rsidR="00ED5C3E" w:rsidRPr="00ED5C3E">
        <w:rPr>
          <w:rFonts w:cs="Calibri"/>
          <w:sz w:val="24"/>
          <w:szCs w:val="24"/>
        </w:rPr>
        <w:t xml:space="preserve">with other programs to help </w:t>
      </w:r>
      <w:r w:rsidR="00726634" w:rsidRPr="00ED5C3E">
        <w:rPr>
          <w:rFonts w:cs="Calibri"/>
          <w:sz w:val="24"/>
          <w:szCs w:val="24"/>
        </w:rPr>
        <w:t xml:space="preserve">build a constituency for integrated DRR across </w:t>
      </w:r>
      <w:r w:rsidR="00ED5C3E" w:rsidRPr="00ED5C3E">
        <w:rPr>
          <w:rFonts w:cs="Calibri"/>
          <w:sz w:val="24"/>
          <w:szCs w:val="24"/>
        </w:rPr>
        <w:t>the entire program.</w:t>
      </w:r>
      <w:r w:rsidR="003C2EEF">
        <w:rPr>
          <w:rFonts w:cs="Calibri"/>
          <w:sz w:val="24"/>
          <w:szCs w:val="24"/>
        </w:rPr>
        <w:t xml:space="preserve"> The most obvious entry point is DFAT’s other investments supporting Indonesia’s </w:t>
      </w:r>
      <w:r w:rsidR="009140EA">
        <w:rPr>
          <w:rFonts w:cs="Calibri"/>
          <w:sz w:val="24"/>
          <w:szCs w:val="24"/>
        </w:rPr>
        <w:t>decentralisation agenda</w:t>
      </w:r>
      <w:r w:rsidR="003C2EEF">
        <w:rPr>
          <w:rFonts w:cs="Calibri"/>
          <w:sz w:val="24"/>
          <w:szCs w:val="24"/>
        </w:rPr>
        <w:t>.</w:t>
      </w:r>
      <w:r w:rsidR="0079593B">
        <w:rPr>
          <w:rFonts w:cs="Calibri"/>
          <w:sz w:val="24"/>
          <w:szCs w:val="24"/>
        </w:rPr>
        <w:t xml:space="preserve"> AIFDR has commenced some small scale joint programming with ACCESS – hopefully this can be built upon in Phase 2.</w:t>
      </w:r>
    </w:p>
    <w:p w14:paraId="431771A9" w14:textId="77777777" w:rsidR="006D2309" w:rsidRPr="00ED5C3E" w:rsidRDefault="006D2309" w:rsidP="006D2309">
      <w:pPr>
        <w:spacing w:after="0" w:line="276" w:lineRule="auto"/>
        <w:rPr>
          <w:rFonts w:cs="Calibri"/>
          <w:sz w:val="24"/>
          <w:szCs w:val="24"/>
        </w:rPr>
      </w:pPr>
    </w:p>
    <w:p w14:paraId="60339A30" w14:textId="5F226AE6" w:rsidR="00522D4D" w:rsidRDefault="00F25E59" w:rsidP="00F25E59">
      <w:pPr>
        <w:pStyle w:val="Heading1"/>
      </w:pPr>
      <w:bookmarkStart w:id="19" w:name="_Toc402431258"/>
      <w:r w:rsidRPr="00F25E59">
        <w:t>5</w:t>
      </w:r>
      <w:r w:rsidR="00B114FA" w:rsidRPr="00F25E59">
        <w:t>.</w:t>
      </w:r>
      <w:r w:rsidR="00B114FA" w:rsidRPr="00F25E59">
        <w:tab/>
      </w:r>
      <w:r w:rsidR="00522D4D" w:rsidRPr="00F25E59">
        <w:t>Moving Forward</w:t>
      </w:r>
      <w:bookmarkEnd w:id="19"/>
      <w:r w:rsidR="00522D4D" w:rsidRPr="00F25E59">
        <w:t xml:space="preserve"> </w:t>
      </w:r>
    </w:p>
    <w:p w14:paraId="7B621F29" w14:textId="77777777" w:rsidR="006B45F9" w:rsidRDefault="006B45F9" w:rsidP="006B45F9">
      <w:pPr>
        <w:pStyle w:val="Subtitle"/>
      </w:pPr>
    </w:p>
    <w:p w14:paraId="4B58F5D3" w14:textId="12E9985D" w:rsidR="000D6146" w:rsidRPr="000D6146" w:rsidRDefault="001E3F55" w:rsidP="000D6146">
      <w:pPr>
        <w:pStyle w:val="Subtitle"/>
        <w:rPr>
          <w:b/>
        </w:rPr>
      </w:pPr>
      <w:r>
        <w:rPr>
          <w:b/>
        </w:rPr>
        <w:t xml:space="preserve">Aid Investments </w:t>
      </w:r>
      <w:r w:rsidR="00251FA0">
        <w:rPr>
          <w:b/>
        </w:rPr>
        <w:t>aimed at reducing and managing disaster risk</w:t>
      </w:r>
      <w:r w:rsidRPr="000D6146">
        <w:rPr>
          <w:b/>
        </w:rPr>
        <w:t xml:space="preserve"> </w:t>
      </w:r>
      <w:r>
        <w:rPr>
          <w:b/>
        </w:rPr>
        <w:t>make good humanitarian and development sense</w:t>
      </w:r>
    </w:p>
    <w:p w14:paraId="2EDB78E5" w14:textId="7A73C8C8" w:rsidR="000D6146" w:rsidRPr="006E248F" w:rsidRDefault="000D6146" w:rsidP="006E248F">
      <w:pPr>
        <w:widowControl w:val="0"/>
        <w:tabs>
          <w:tab w:val="left" w:pos="220"/>
          <w:tab w:val="left" w:pos="720"/>
        </w:tabs>
        <w:autoSpaceDE w:val="0"/>
        <w:autoSpaceDN w:val="0"/>
        <w:adjustRightInd w:val="0"/>
        <w:spacing w:after="0"/>
        <w:rPr>
          <w:rFonts w:cs="Century"/>
          <w:sz w:val="24"/>
          <w:szCs w:val="24"/>
        </w:rPr>
      </w:pPr>
      <w:r w:rsidRPr="00F33756">
        <w:rPr>
          <w:sz w:val="24"/>
          <w:szCs w:val="24"/>
        </w:rPr>
        <w:t xml:space="preserve">It is not yet clear whether </w:t>
      </w:r>
      <w:r>
        <w:rPr>
          <w:sz w:val="24"/>
          <w:szCs w:val="24"/>
        </w:rPr>
        <w:t xml:space="preserve">Indonesia’s new </w:t>
      </w:r>
      <w:r w:rsidRPr="00F33756">
        <w:rPr>
          <w:sz w:val="24"/>
          <w:szCs w:val="24"/>
        </w:rPr>
        <w:t xml:space="preserve">President-Widodo harbors similar aspirations </w:t>
      </w:r>
      <w:r>
        <w:rPr>
          <w:sz w:val="24"/>
          <w:szCs w:val="24"/>
        </w:rPr>
        <w:t xml:space="preserve">to SBY as a champion for DRR, indeed, </w:t>
      </w:r>
      <w:r w:rsidRPr="00F33756">
        <w:rPr>
          <w:sz w:val="24"/>
          <w:szCs w:val="24"/>
        </w:rPr>
        <w:t xml:space="preserve">or whether </w:t>
      </w:r>
      <w:r w:rsidR="009F5D87">
        <w:rPr>
          <w:sz w:val="24"/>
          <w:szCs w:val="24"/>
        </w:rPr>
        <w:t>it</w:t>
      </w:r>
      <w:r w:rsidR="00323A73">
        <w:rPr>
          <w:sz w:val="24"/>
          <w:szCs w:val="24"/>
        </w:rPr>
        <w:t xml:space="preserve"> </w:t>
      </w:r>
      <w:r w:rsidRPr="00F33756">
        <w:rPr>
          <w:sz w:val="24"/>
          <w:szCs w:val="24"/>
        </w:rPr>
        <w:t>will retain the same high-level profile within the new policy environment</w:t>
      </w:r>
      <w:r>
        <w:rPr>
          <w:sz w:val="24"/>
          <w:szCs w:val="24"/>
        </w:rPr>
        <w:t xml:space="preserve">. BNBP may continue to operate as a stand-alone agency, or may be integrated into a large central ministry (ie, Home Affairs). If integration were to occur, there may be a real opportunity to raise the profile of DRR to a broader WOG audience by leveraging the profile and political weight held by Home Affairs. Irrespective of </w:t>
      </w:r>
      <w:r w:rsidRPr="006E248F">
        <w:rPr>
          <w:sz w:val="24"/>
          <w:szCs w:val="24"/>
        </w:rPr>
        <w:t xml:space="preserve">where BNBP will sit </w:t>
      </w:r>
      <w:r w:rsidR="002F57A9" w:rsidRPr="006E248F">
        <w:rPr>
          <w:sz w:val="24"/>
          <w:szCs w:val="24"/>
        </w:rPr>
        <w:t xml:space="preserve">within GoI - </w:t>
      </w:r>
      <w:r w:rsidR="00ED5971" w:rsidRPr="006E248F">
        <w:rPr>
          <w:rFonts w:cs="Century"/>
          <w:sz w:val="24"/>
          <w:szCs w:val="24"/>
        </w:rPr>
        <w:t>a</w:t>
      </w:r>
      <w:r w:rsidRPr="006E248F">
        <w:rPr>
          <w:rFonts w:cs="Century"/>
          <w:sz w:val="24"/>
          <w:szCs w:val="24"/>
        </w:rPr>
        <w:t xml:space="preserve">id investments that </w:t>
      </w:r>
      <w:r w:rsidR="003A014D" w:rsidRPr="006E248F">
        <w:rPr>
          <w:rFonts w:cs="Century"/>
          <w:sz w:val="24"/>
          <w:szCs w:val="24"/>
        </w:rPr>
        <w:t xml:space="preserve">help to reduce disaster risks </w:t>
      </w:r>
      <w:r w:rsidR="003A014D" w:rsidRPr="006E248F">
        <w:rPr>
          <w:rFonts w:eastAsia="Times New Roman" w:cs="Arial"/>
          <w:color w:val="000000"/>
          <w:sz w:val="24"/>
          <w:szCs w:val="24"/>
          <w:lang w:eastAsia="en-AU"/>
        </w:rPr>
        <w:t>through systematic efforts to analyse and manage the causal factors of disasters</w:t>
      </w:r>
      <w:r w:rsidR="00CE088B" w:rsidRPr="006E248F">
        <w:rPr>
          <w:rFonts w:eastAsia="Times New Roman" w:cs="Arial"/>
          <w:color w:val="000000"/>
          <w:sz w:val="24"/>
          <w:szCs w:val="24"/>
          <w:lang w:eastAsia="en-AU"/>
        </w:rPr>
        <w:t xml:space="preserve">; </w:t>
      </w:r>
      <w:r w:rsidR="00CE088B" w:rsidRPr="006E248F">
        <w:rPr>
          <w:rFonts w:cs="Century"/>
          <w:sz w:val="24"/>
          <w:szCs w:val="24"/>
        </w:rPr>
        <w:t xml:space="preserve">strengthen community disaster preparedness capacities; and strengthen </w:t>
      </w:r>
      <w:r w:rsidR="003A014D" w:rsidRPr="006E248F">
        <w:rPr>
          <w:rFonts w:cs="Century"/>
          <w:sz w:val="24"/>
          <w:szCs w:val="24"/>
        </w:rPr>
        <w:t>disaster resilience make good humanitarian and development sense.</w:t>
      </w:r>
    </w:p>
    <w:p w14:paraId="29AAFD63" w14:textId="77777777" w:rsidR="002F57A9" w:rsidRPr="00D67329" w:rsidRDefault="002F57A9" w:rsidP="002F57A9">
      <w:pPr>
        <w:widowControl w:val="0"/>
        <w:tabs>
          <w:tab w:val="left" w:pos="220"/>
          <w:tab w:val="left" w:pos="720"/>
        </w:tabs>
        <w:autoSpaceDE w:val="0"/>
        <w:autoSpaceDN w:val="0"/>
        <w:adjustRightInd w:val="0"/>
        <w:spacing w:after="0"/>
        <w:rPr>
          <w:rFonts w:cs="Times New Roman"/>
          <w:color w:val="000000" w:themeColor="text1"/>
          <w:sz w:val="24"/>
          <w:szCs w:val="24"/>
        </w:rPr>
      </w:pPr>
    </w:p>
    <w:p w14:paraId="7E14B49E" w14:textId="5FA6DE55" w:rsidR="006B45F9" w:rsidRPr="006E248F" w:rsidRDefault="006B45F9" w:rsidP="006B45F9">
      <w:pPr>
        <w:pStyle w:val="Subtitle"/>
        <w:rPr>
          <w:b/>
        </w:rPr>
      </w:pPr>
      <w:r w:rsidRPr="006E248F">
        <w:rPr>
          <w:b/>
        </w:rPr>
        <w:t xml:space="preserve">Strong foundations </w:t>
      </w:r>
      <w:r w:rsidR="002F57A9" w:rsidRPr="006E248F">
        <w:rPr>
          <w:b/>
        </w:rPr>
        <w:t xml:space="preserve">are </w:t>
      </w:r>
      <w:r w:rsidRPr="006E248F">
        <w:rPr>
          <w:b/>
        </w:rPr>
        <w:t xml:space="preserve">in place for AIFDR Phase Two </w:t>
      </w:r>
    </w:p>
    <w:p w14:paraId="04E64D7C" w14:textId="476DEBC1" w:rsidR="00B55B21" w:rsidRPr="00D67329" w:rsidRDefault="00B55B21" w:rsidP="00046AF2">
      <w:pPr>
        <w:widowControl w:val="0"/>
        <w:tabs>
          <w:tab w:val="left" w:pos="220"/>
          <w:tab w:val="left" w:pos="720"/>
        </w:tabs>
        <w:autoSpaceDE w:val="0"/>
        <w:autoSpaceDN w:val="0"/>
        <w:adjustRightInd w:val="0"/>
        <w:spacing w:after="0"/>
        <w:rPr>
          <w:rFonts w:cs="Times New Roman"/>
          <w:color w:val="000000" w:themeColor="text1"/>
          <w:sz w:val="24"/>
          <w:szCs w:val="24"/>
        </w:rPr>
      </w:pPr>
      <w:r>
        <w:rPr>
          <w:sz w:val="24"/>
          <w:szCs w:val="24"/>
        </w:rPr>
        <w:t xml:space="preserve">Although born from a political </w:t>
      </w:r>
      <w:r w:rsidR="002F00F4">
        <w:rPr>
          <w:sz w:val="24"/>
          <w:szCs w:val="24"/>
        </w:rPr>
        <w:t>initiative</w:t>
      </w:r>
      <w:r>
        <w:rPr>
          <w:sz w:val="24"/>
          <w:szCs w:val="24"/>
        </w:rPr>
        <w:t xml:space="preserve"> </w:t>
      </w:r>
      <w:r w:rsidR="00620868">
        <w:rPr>
          <w:sz w:val="24"/>
          <w:szCs w:val="24"/>
        </w:rPr>
        <w:t xml:space="preserve">in 2009, </w:t>
      </w:r>
      <w:r>
        <w:rPr>
          <w:sz w:val="24"/>
          <w:szCs w:val="24"/>
        </w:rPr>
        <w:t xml:space="preserve">AIFDR has evolved into a credible </w:t>
      </w:r>
      <w:r w:rsidR="00154C4F">
        <w:rPr>
          <w:sz w:val="24"/>
          <w:szCs w:val="24"/>
        </w:rPr>
        <w:t xml:space="preserve">disaster </w:t>
      </w:r>
      <w:r w:rsidR="00531F55">
        <w:rPr>
          <w:sz w:val="24"/>
          <w:szCs w:val="24"/>
        </w:rPr>
        <w:t xml:space="preserve">reduction and disaster management </w:t>
      </w:r>
      <w:r w:rsidRPr="00AF3B9C">
        <w:rPr>
          <w:sz w:val="24"/>
          <w:szCs w:val="24"/>
        </w:rPr>
        <w:t xml:space="preserve">facility </w:t>
      </w:r>
      <w:r w:rsidR="00620868">
        <w:rPr>
          <w:sz w:val="24"/>
          <w:szCs w:val="24"/>
        </w:rPr>
        <w:t xml:space="preserve">with clear development objectives and a </w:t>
      </w:r>
      <w:r w:rsidRPr="00AF3B9C">
        <w:rPr>
          <w:sz w:val="24"/>
          <w:szCs w:val="24"/>
        </w:rPr>
        <w:t xml:space="preserve">solid </w:t>
      </w:r>
      <w:r w:rsidR="00620868">
        <w:rPr>
          <w:sz w:val="24"/>
          <w:szCs w:val="24"/>
        </w:rPr>
        <w:t xml:space="preserve">track record of </w:t>
      </w:r>
      <w:r w:rsidRPr="00AF3B9C">
        <w:rPr>
          <w:sz w:val="24"/>
          <w:szCs w:val="24"/>
        </w:rPr>
        <w:t>achievements</w:t>
      </w:r>
      <w:r w:rsidR="00620868">
        <w:rPr>
          <w:sz w:val="24"/>
          <w:szCs w:val="24"/>
        </w:rPr>
        <w:t>.</w:t>
      </w:r>
      <w:r w:rsidRPr="00AF3B9C">
        <w:rPr>
          <w:sz w:val="24"/>
          <w:szCs w:val="24"/>
        </w:rPr>
        <w:t xml:space="preserve"> </w:t>
      </w:r>
      <w:r w:rsidR="00034796">
        <w:rPr>
          <w:sz w:val="24"/>
          <w:szCs w:val="24"/>
        </w:rPr>
        <w:t xml:space="preserve">AIFDR has successfully positioned Australia as </w:t>
      </w:r>
      <w:r w:rsidR="00620868">
        <w:rPr>
          <w:sz w:val="24"/>
          <w:szCs w:val="24"/>
        </w:rPr>
        <w:t>a lead</w:t>
      </w:r>
      <w:r w:rsidR="00034796">
        <w:rPr>
          <w:sz w:val="24"/>
          <w:szCs w:val="24"/>
        </w:rPr>
        <w:t xml:space="preserve"> donor in the </w:t>
      </w:r>
      <w:r w:rsidR="00531F55">
        <w:rPr>
          <w:sz w:val="24"/>
          <w:szCs w:val="24"/>
        </w:rPr>
        <w:t xml:space="preserve">disaster management </w:t>
      </w:r>
      <w:r w:rsidR="00034796">
        <w:rPr>
          <w:sz w:val="24"/>
          <w:szCs w:val="24"/>
        </w:rPr>
        <w:t xml:space="preserve">space </w:t>
      </w:r>
      <w:r w:rsidR="00046AF2">
        <w:rPr>
          <w:sz w:val="24"/>
          <w:szCs w:val="24"/>
        </w:rPr>
        <w:t xml:space="preserve">- leveraging this position, </w:t>
      </w:r>
      <w:r w:rsidR="006D2309">
        <w:rPr>
          <w:sz w:val="24"/>
          <w:szCs w:val="24"/>
        </w:rPr>
        <w:t xml:space="preserve">plus </w:t>
      </w:r>
      <w:r w:rsidR="00046AF2">
        <w:rPr>
          <w:sz w:val="24"/>
          <w:szCs w:val="24"/>
        </w:rPr>
        <w:t>knowledge and relationships gained through Phase 1</w:t>
      </w:r>
      <w:r w:rsidR="00CD5FBF">
        <w:rPr>
          <w:sz w:val="24"/>
          <w:szCs w:val="24"/>
        </w:rPr>
        <w:t>, it</w:t>
      </w:r>
      <w:r w:rsidR="00620868">
        <w:rPr>
          <w:sz w:val="24"/>
          <w:szCs w:val="24"/>
        </w:rPr>
        <w:t xml:space="preserve"> is well positioned to build on previous successes</w:t>
      </w:r>
      <w:r w:rsidR="00046AF2">
        <w:rPr>
          <w:sz w:val="24"/>
          <w:szCs w:val="24"/>
        </w:rPr>
        <w:t xml:space="preserve">. </w:t>
      </w:r>
      <w:r w:rsidR="00034796" w:rsidRPr="006B45F9">
        <w:rPr>
          <w:rFonts w:cs="Times New Roman"/>
          <w:color w:val="000000" w:themeColor="text1"/>
          <w:sz w:val="24"/>
          <w:szCs w:val="24"/>
        </w:rPr>
        <w:t xml:space="preserve">AIFDR Phase 1 </w:t>
      </w:r>
      <w:r w:rsidR="00046AF2" w:rsidRPr="006B45F9">
        <w:rPr>
          <w:rFonts w:cs="Times New Roman"/>
          <w:color w:val="000000" w:themeColor="text1"/>
          <w:sz w:val="24"/>
          <w:szCs w:val="24"/>
        </w:rPr>
        <w:t>began</w:t>
      </w:r>
      <w:r w:rsidR="00034796" w:rsidRPr="006B45F9">
        <w:rPr>
          <w:rFonts w:cs="Times New Roman"/>
          <w:color w:val="000000" w:themeColor="text1"/>
          <w:sz w:val="24"/>
          <w:szCs w:val="24"/>
        </w:rPr>
        <w:t xml:space="preserve"> the journey of</w:t>
      </w:r>
      <w:r w:rsidR="006B45F9" w:rsidRPr="006B45F9">
        <w:rPr>
          <w:rFonts w:cs="Times New Roman"/>
          <w:color w:val="000000" w:themeColor="text1"/>
          <w:sz w:val="24"/>
          <w:szCs w:val="24"/>
        </w:rPr>
        <w:t xml:space="preserve"> </w:t>
      </w:r>
      <w:r w:rsidR="0037076C">
        <w:rPr>
          <w:rFonts w:cs="Times New Roman"/>
          <w:color w:val="000000" w:themeColor="text1"/>
          <w:sz w:val="24"/>
          <w:szCs w:val="24"/>
        </w:rPr>
        <w:t>‘end to end programming</w:t>
      </w:r>
      <w:r w:rsidR="00D67329">
        <w:rPr>
          <w:rFonts w:cs="Times New Roman"/>
          <w:color w:val="000000" w:themeColor="text1"/>
          <w:sz w:val="24"/>
          <w:szCs w:val="24"/>
        </w:rPr>
        <w:t>’</w:t>
      </w:r>
      <w:r w:rsidR="0037076C">
        <w:rPr>
          <w:rFonts w:cs="Times New Roman"/>
          <w:color w:val="000000" w:themeColor="text1"/>
          <w:sz w:val="24"/>
          <w:szCs w:val="24"/>
        </w:rPr>
        <w:t xml:space="preserve"> through investments in science, tools and capacity development</w:t>
      </w:r>
      <w:r w:rsidR="00CD5FBF">
        <w:rPr>
          <w:rFonts w:cs="Times New Roman"/>
          <w:color w:val="000000" w:themeColor="text1"/>
          <w:sz w:val="24"/>
          <w:szCs w:val="24"/>
        </w:rPr>
        <w:t>. T</w:t>
      </w:r>
      <w:r w:rsidR="0037076C">
        <w:rPr>
          <w:rFonts w:cs="Times New Roman"/>
          <w:color w:val="000000" w:themeColor="text1"/>
          <w:sz w:val="24"/>
          <w:szCs w:val="24"/>
        </w:rPr>
        <w:t>he</w:t>
      </w:r>
      <w:r w:rsidR="00034796">
        <w:rPr>
          <w:rFonts w:cs="Times New Roman"/>
          <w:sz w:val="24"/>
          <w:szCs w:val="24"/>
        </w:rPr>
        <w:t xml:space="preserve"> right foundations are in place for AIFDR Phase 2 to populate the tools, and socialise them with disaster managers and communities.</w:t>
      </w:r>
      <w:r w:rsidR="00D67329">
        <w:rPr>
          <w:rFonts w:cs="Times New Roman"/>
          <w:sz w:val="24"/>
          <w:szCs w:val="24"/>
        </w:rPr>
        <w:t xml:space="preserve"> </w:t>
      </w:r>
      <w:r w:rsidR="00D67329" w:rsidRPr="00D67329">
        <w:rPr>
          <w:rFonts w:cs="Times New Roman"/>
          <w:sz w:val="24"/>
          <w:szCs w:val="24"/>
        </w:rPr>
        <w:t xml:space="preserve">Sub-national level </w:t>
      </w:r>
      <w:r w:rsidR="00D67329">
        <w:rPr>
          <w:rFonts w:cs="Times New Roman"/>
          <w:sz w:val="24"/>
          <w:szCs w:val="24"/>
        </w:rPr>
        <w:t xml:space="preserve">investments </w:t>
      </w:r>
      <w:r w:rsidR="00D67329" w:rsidRPr="00D67329">
        <w:rPr>
          <w:rFonts w:cs="Times New Roman"/>
          <w:sz w:val="24"/>
          <w:szCs w:val="24"/>
        </w:rPr>
        <w:t xml:space="preserve">supporting </w:t>
      </w:r>
      <w:r w:rsidR="00D67329" w:rsidRPr="00D67329">
        <w:rPr>
          <w:rFonts w:ascii="Calibri" w:hAnsi="Calibri" w:cs="Calibri"/>
          <w:color w:val="000000" w:themeColor="text1"/>
          <w:sz w:val="24"/>
          <w:szCs w:val="24"/>
        </w:rPr>
        <w:t>linkages between local government, civil society and communities will be critical to the task head.</w:t>
      </w:r>
      <w:r w:rsidR="007A4873" w:rsidRPr="007A4873">
        <w:rPr>
          <w:rFonts w:cs="Century"/>
          <w:sz w:val="24"/>
          <w:szCs w:val="24"/>
        </w:rPr>
        <w:t xml:space="preserve"> </w:t>
      </w:r>
    </w:p>
    <w:p w14:paraId="4E582788" w14:textId="77777777" w:rsidR="00D67329" w:rsidRDefault="00D67329" w:rsidP="00046AF2">
      <w:pPr>
        <w:widowControl w:val="0"/>
        <w:tabs>
          <w:tab w:val="left" w:pos="220"/>
          <w:tab w:val="left" w:pos="720"/>
        </w:tabs>
        <w:autoSpaceDE w:val="0"/>
        <w:autoSpaceDN w:val="0"/>
        <w:adjustRightInd w:val="0"/>
        <w:spacing w:after="0"/>
        <w:rPr>
          <w:rFonts w:cs="Arial"/>
          <w:color w:val="000000" w:themeColor="text1"/>
          <w:sz w:val="24"/>
          <w:szCs w:val="24"/>
          <w:lang w:val="en-US"/>
        </w:rPr>
      </w:pPr>
    </w:p>
    <w:p w14:paraId="164D4F28" w14:textId="05D5F8EE" w:rsidR="009432B1" w:rsidRDefault="009432B1" w:rsidP="009432B1">
      <w:pPr>
        <w:pStyle w:val="Subtitle"/>
      </w:pPr>
      <w:r>
        <w:t>Recommendations:</w:t>
      </w:r>
      <w:r w:rsidR="00067BD2">
        <w:t xml:space="preserve"> </w:t>
      </w:r>
    </w:p>
    <w:p w14:paraId="596A7BB8" w14:textId="53DF9BA5" w:rsidR="003E0B90" w:rsidRDefault="002F57A9" w:rsidP="006E248F">
      <w:pPr>
        <w:spacing w:after="0"/>
        <w:rPr>
          <w:sz w:val="24"/>
          <w:szCs w:val="24"/>
          <w:lang w:val="en-US"/>
        </w:rPr>
      </w:pPr>
      <w:r w:rsidRPr="006E248F">
        <w:rPr>
          <w:sz w:val="24"/>
          <w:szCs w:val="24"/>
          <w:lang w:val="en-US"/>
        </w:rPr>
        <w:t xml:space="preserve">Acknowledging the design for </w:t>
      </w:r>
      <w:r w:rsidR="002D023A" w:rsidRPr="006E248F">
        <w:rPr>
          <w:sz w:val="24"/>
          <w:szCs w:val="24"/>
          <w:lang w:val="en-US"/>
        </w:rPr>
        <w:t xml:space="preserve">AIFDR </w:t>
      </w:r>
      <w:r w:rsidRPr="006E248F">
        <w:rPr>
          <w:sz w:val="24"/>
          <w:szCs w:val="24"/>
          <w:lang w:val="en-US"/>
        </w:rPr>
        <w:t xml:space="preserve">Phase 2 addresses </w:t>
      </w:r>
      <w:r w:rsidR="002D023A" w:rsidRPr="006E248F">
        <w:rPr>
          <w:sz w:val="24"/>
          <w:szCs w:val="24"/>
          <w:lang w:val="en-US"/>
        </w:rPr>
        <w:t>many of the facility</w:t>
      </w:r>
      <w:r w:rsidR="003E0B90">
        <w:rPr>
          <w:sz w:val="24"/>
          <w:szCs w:val="24"/>
          <w:lang w:val="en-US"/>
        </w:rPr>
        <w:t>’s</w:t>
      </w:r>
      <w:r w:rsidR="002D023A" w:rsidRPr="006E248F">
        <w:rPr>
          <w:sz w:val="24"/>
          <w:szCs w:val="24"/>
          <w:lang w:val="en-US"/>
        </w:rPr>
        <w:t xml:space="preserve"> </w:t>
      </w:r>
      <w:r w:rsidRPr="006E248F">
        <w:rPr>
          <w:sz w:val="24"/>
          <w:szCs w:val="24"/>
          <w:lang w:val="en-US"/>
        </w:rPr>
        <w:t xml:space="preserve">weaknesses </w:t>
      </w:r>
      <w:r w:rsidR="002D023A" w:rsidRPr="006E248F">
        <w:rPr>
          <w:sz w:val="24"/>
          <w:szCs w:val="24"/>
          <w:lang w:val="en-US"/>
        </w:rPr>
        <w:t>identified in this review</w:t>
      </w:r>
      <w:r w:rsidR="003E0B90">
        <w:rPr>
          <w:sz w:val="24"/>
          <w:szCs w:val="24"/>
          <w:lang w:val="en-US"/>
        </w:rPr>
        <w:t xml:space="preserve"> -</w:t>
      </w:r>
      <w:r w:rsidR="004B0C57" w:rsidRPr="006E248F">
        <w:rPr>
          <w:sz w:val="24"/>
          <w:szCs w:val="24"/>
          <w:lang w:val="en-US"/>
        </w:rPr>
        <w:t xml:space="preserve"> </w:t>
      </w:r>
      <w:r w:rsidR="002D023A" w:rsidRPr="006E248F">
        <w:rPr>
          <w:sz w:val="24"/>
          <w:szCs w:val="24"/>
          <w:lang w:val="en-US"/>
        </w:rPr>
        <w:t xml:space="preserve">the review </w:t>
      </w:r>
      <w:proofErr w:type="gramStart"/>
      <w:r w:rsidR="002D023A" w:rsidRPr="006E248F">
        <w:rPr>
          <w:sz w:val="24"/>
          <w:szCs w:val="24"/>
          <w:lang w:val="en-US"/>
        </w:rPr>
        <w:t xml:space="preserve">team </w:t>
      </w:r>
      <w:r w:rsidR="001C3CBE">
        <w:rPr>
          <w:sz w:val="24"/>
          <w:szCs w:val="24"/>
          <w:lang w:val="en-US"/>
        </w:rPr>
        <w:t>make</w:t>
      </w:r>
      <w:proofErr w:type="gramEnd"/>
      <w:r w:rsidR="001C3CBE">
        <w:rPr>
          <w:sz w:val="24"/>
          <w:szCs w:val="24"/>
          <w:lang w:val="en-US"/>
        </w:rPr>
        <w:t xml:space="preserve"> the following </w:t>
      </w:r>
      <w:r w:rsidR="00094558" w:rsidRPr="006E248F">
        <w:rPr>
          <w:sz w:val="24"/>
          <w:szCs w:val="24"/>
          <w:lang w:val="en-US"/>
        </w:rPr>
        <w:t>recommendation</w:t>
      </w:r>
      <w:r w:rsidR="003E0B90">
        <w:rPr>
          <w:sz w:val="24"/>
          <w:szCs w:val="24"/>
          <w:lang w:val="en-US"/>
        </w:rPr>
        <w:t>s</w:t>
      </w:r>
      <w:r w:rsidR="00094558" w:rsidRPr="006E248F">
        <w:rPr>
          <w:sz w:val="24"/>
          <w:szCs w:val="24"/>
          <w:lang w:val="en-US"/>
        </w:rPr>
        <w:t xml:space="preserve"> </w:t>
      </w:r>
    </w:p>
    <w:p w14:paraId="275FF985" w14:textId="0F207E99" w:rsidR="002F57A9" w:rsidRDefault="00094558" w:rsidP="006E248F">
      <w:pPr>
        <w:spacing w:after="0"/>
        <w:rPr>
          <w:sz w:val="24"/>
          <w:szCs w:val="24"/>
          <w:lang w:val="en-US"/>
        </w:rPr>
      </w:pPr>
      <w:proofErr w:type="gramStart"/>
      <w:r w:rsidRPr="006E248F">
        <w:rPr>
          <w:sz w:val="24"/>
          <w:szCs w:val="24"/>
          <w:lang w:val="en-US"/>
        </w:rPr>
        <w:t>for</w:t>
      </w:r>
      <w:proofErr w:type="gramEnd"/>
      <w:r w:rsidRPr="006E248F">
        <w:rPr>
          <w:sz w:val="24"/>
          <w:szCs w:val="24"/>
          <w:lang w:val="en-US"/>
        </w:rPr>
        <w:t xml:space="preserve"> Phase 2</w:t>
      </w:r>
      <w:r w:rsidR="004B0C57" w:rsidRPr="006E248F">
        <w:rPr>
          <w:sz w:val="24"/>
          <w:szCs w:val="24"/>
          <w:lang w:val="en-US"/>
        </w:rPr>
        <w:t>:</w:t>
      </w:r>
    </w:p>
    <w:p w14:paraId="7D5453C4" w14:textId="77777777" w:rsidR="003E0B90" w:rsidRPr="006E248F" w:rsidRDefault="003E0B90" w:rsidP="006E248F">
      <w:pPr>
        <w:spacing w:after="0" w:line="240" w:lineRule="auto"/>
        <w:rPr>
          <w:sz w:val="24"/>
          <w:szCs w:val="24"/>
          <w:lang w:val="en-US"/>
        </w:rPr>
      </w:pPr>
    </w:p>
    <w:p w14:paraId="1726FDAE" w14:textId="423A18C8" w:rsidR="004210F5" w:rsidRDefault="004B0C57" w:rsidP="006E248F">
      <w:pPr>
        <w:rPr>
          <w:sz w:val="24"/>
          <w:szCs w:val="24"/>
        </w:rPr>
      </w:pPr>
      <w:r w:rsidRPr="006E248F">
        <w:rPr>
          <w:sz w:val="24"/>
          <w:szCs w:val="24"/>
          <w:u w:val="single"/>
          <w:lang w:val="en-US"/>
        </w:rPr>
        <w:t>Recommendation 1</w:t>
      </w:r>
      <w:r w:rsidRPr="004B0F42">
        <w:rPr>
          <w:sz w:val="24"/>
          <w:szCs w:val="24"/>
          <w:lang w:val="en-US"/>
        </w:rPr>
        <w:t xml:space="preserve">: </w:t>
      </w:r>
      <w:r w:rsidR="004210F5" w:rsidRPr="006E248F">
        <w:rPr>
          <w:sz w:val="24"/>
          <w:szCs w:val="24"/>
        </w:rPr>
        <w:t xml:space="preserve">Develop a facility level narrative for Phase 2 to </w:t>
      </w:r>
      <w:r w:rsidR="001C3CBE">
        <w:rPr>
          <w:sz w:val="24"/>
          <w:szCs w:val="24"/>
        </w:rPr>
        <w:t>provide clarity of purpose</w:t>
      </w:r>
      <w:r w:rsidR="000F777B">
        <w:rPr>
          <w:sz w:val="24"/>
          <w:szCs w:val="24"/>
        </w:rPr>
        <w:t xml:space="preserve">. The narrative </w:t>
      </w:r>
      <w:r w:rsidR="001C3CBE">
        <w:rPr>
          <w:sz w:val="24"/>
          <w:szCs w:val="24"/>
        </w:rPr>
        <w:t xml:space="preserve">should </w:t>
      </w:r>
      <w:r w:rsidR="00094558">
        <w:rPr>
          <w:sz w:val="24"/>
          <w:szCs w:val="24"/>
        </w:rPr>
        <w:t xml:space="preserve">provide </w:t>
      </w:r>
      <w:r w:rsidR="00094558" w:rsidRPr="0006240F">
        <w:rPr>
          <w:rFonts w:cs="Times New Roman"/>
          <w:sz w:val="24"/>
          <w:szCs w:val="24"/>
        </w:rPr>
        <w:t>direction for partners and activities and ensure alignment with national and BNBP plans</w:t>
      </w:r>
      <w:r w:rsidR="00094558">
        <w:rPr>
          <w:sz w:val="24"/>
          <w:szCs w:val="24"/>
        </w:rPr>
        <w:t>.</w:t>
      </w:r>
      <w:r w:rsidRPr="006E248F">
        <w:rPr>
          <w:sz w:val="24"/>
          <w:szCs w:val="24"/>
        </w:rPr>
        <w:t xml:space="preserve"> </w:t>
      </w:r>
      <w:r w:rsidR="001C3CBE">
        <w:rPr>
          <w:sz w:val="24"/>
          <w:szCs w:val="24"/>
        </w:rPr>
        <w:t xml:space="preserve">It will be important </w:t>
      </w:r>
      <w:r w:rsidR="00842B7D">
        <w:rPr>
          <w:sz w:val="24"/>
          <w:szCs w:val="24"/>
        </w:rPr>
        <w:t xml:space="preserve">the facility narrative </w:t>
      </w:r>
      <w:r w:rsidR="003E0B90">
        <w:rPr>
          <w:sz w:val="24"/>
          <w:szCs w:val="24"/>
        </w:rPr>
        <w:t>spells out</w:t>
      </w:r>
      <w:r w:rsidR="000F777B">
        <w:rPr>
          <w:sz w:val="24"/>
          <w:szCs w:val="24"/>
        </w:rPr>
        <w:t xml:space="preserve"> the facility’s program logic, and </w:t>
      </w:r>
      <w:r w:rsidR="00842B7D">
        <w:rPr>
          <w:sz w:val="24"/>
          <w:szCs w:val="24"/>
        </w:rPr>
        <w:t>documents</w:t>
      </w:r>
      <w:r w:rsidR="000F777B">
        <w:rPr>
          <w:sz w:val="24"/>
          <w:szCs w:val="24"/>
        </w:rPr>
        <w:t xml:space="preserve"> any changes made to it</w:t>
      </w:r>
      <w:r w:rsidR="001C3CBE">
        <w:rPr>
          <w:sz w:val="24"/>
          <w:szCs w:val="24"/>
        </w:rPr>
        <w:t xml:space="preserve"> over the course of Phase 2</w:t>
      </w:r>
      <w:r w:rsidR="00842B7D">
        <w:rPr>
          <w:sz w:val="24"/>
          <w:szCs w:val="24"/>
        </w:rPr>
        <w:t>. This recommendation relates to Lesson Learnt 1 and 2</w:t>
      </w:r>
      <w:r w:rsidR="00BF0D5E">
        <w:rPr>
          <w:sz w:val="24"/>
          <w:szCs w:val="24"/>
        </w:rPr>
        <w:t xml:space="preserve">. </w:t>
      </w:r>
    </w:p>
    <w:p w14:paraId="1134E44D" w14:textId="5EFA21CE" w:rsidR="004B0C57" w:rsidRPr="006E248F" w:rsidRDefault="004B0C57" w:rsidP="006E248F">
      <w:pPr>
        <w:rPr>
          <w:sz w:val="24"/>
          <w:szCs w:val="24"/>
          <w:lang w:val="en-US"/>
        </w:rPr>
      </w:pPr>
      <w:r w:rsidRPr="006E248F">
        <w:rPr>
          <w:sz w:val="24"/>
          <w:szCs w:val="24"/>
          <w:u w:val="single"/>
          <w:lang w:val="en-US"/>
        </w:rPr>
        <w:t>Recommendation 2</w:t>
      </w:r>
      <w:r w:rsidRPr="004B0F42">
        <w:rPr>
          <w:sz w:val="24"/>
          <w:szCs w:val="24"/>
          <w:lang w:val="en-US"/>
        </w:rPr>
        <w:t xml:space="preserve">: </w:t>
      </w:r>
      <w:r w:rsidR="003E0B90">
        <w:rPr>
          <w:sz w:val="24"/>
          <w:szCs w:val="24"/>
          <w:lang w:val="en-US"/>
        </w:rPr>
        <w:t xml:space="preserve">Develop a </w:t>
      </w:r>
      <w:r w:rsidRPr="006E248F">
        <w:rPr>
          <w:sz w:val="24"/>
          <w:szCs w:val="24"/>
          <w:lang w:val="en-US"/>
        </w:rPr>
        <w:t xml:space="preserve">Partnership Strategy </w:t>
      </w:r>
      <w:r w:rsidR="003E0B90">
        <w:rPr>
          <w:sz w:val="24"/>
          <w:szCs w:val="24"/>
          <w:lang w:val="en-US"/>
        </w:rPr>
        <w:t xml:space="preserve">jointly with BNBP to guide the AIFDR-BNBP Phase 2 partnership. The strategy should articulate the type of partnership, partnership principles, </w:t>
      </w:r>
      <w:r w:rsidRPr="006E248F">
        <w:rPr>
          <w:sz w:val="24"/>
          <w:szCs w:val="24"/>
          <w:lang w:val="en-US"/>
        </w:rPr>
        <w:t xml:space="preserve">and criteria for measuring </w:t>
      </w:r>
      <w:r w:rsidR="005B12B3">
        <w:rPr>
          <w:sz w:val="24"/>
          <w:szCs w:val="24"/>
          <w:lang w:val="en-US"/>
        </w:rPr>
        <w:t xml:space="preserve">the partnership. </w:t>
      </w:r>
      <w:r w:rsidR="00FF3D88">
        <w:rPr>
          <w:sz w:val="24"/>
          <w:szCs w:val="24"/>
          <w:lang w:val="en-US"/>
        </w:rPr>
        <w:t xml:space="preserve">A partnership strategy could be developed through a facilitated workshop between the partners in the lead </w:t>
      </w:r>
      <w:r w:rsidR="00A65C40">
        <w:rPr>
          <w:sz w:val="24"/>
          <w:szCs w:val="24"/>
          <w:lang w:val="en-US"/>
        </w:rPr>
        <w:t xml:space="preserve">up </w:t>
      </w:r>
      <w:r w:rsidR="00FF3D88">
        <w:rPr>
          <w:sz w:val="24"/>
          <w:szCs w:val="24"/>
          <w:lang w:val="en-US"/>
        </w:rPr>
        <w:t xml:space="preserve">to Phase 2. </w:t>
      </w:r>
      <w:r w:rsidR="0098315B">
        <w:rPr>
          <w:sz w:val="24"/>
          <w:szCs w:val="24"/>
          <w:lang w:val="en-US"/>
        </w:rPr>
        <w:t>There are a range of international and domestic examples of partnership principles that can inform the development of AIFDR specific principles. T</w:t>
      </w:r>
      <w:r w:rsidR="005B12B3">
        <w:rPr>
          <w:sz w:val="24"/>
          <w:szCs w:val="24"/>
          <w:lang w:val="en-US"/>
        </w:rPr>
        <w:t>his recommendation relate</w:t>
      </w:r>
      <w:r w:rsidR="00371915">
        <w:rPr>
          <w:sz w:val="24"/>
          <w:szCs w:val="24"/>
          <w:lang w:val="en-US"/>
        </w:rPr>
        <w:t>s</w:t>
      </w:r>
      <w:r w:rsidR="005B12B3">
        <w:rPr>
          <w:sz w:val="24"/>
          <w:szCs w:val="24"/>
          <w:lang w:val="en-US"/>
        </w:rPr>
        <w:t xml:space="preserve"> to Lesson Learnt 4</w:t>
      </w:r>
      <w:r w:rsidR="00FF3D88">
        <w:rPr>
          <w:sz w:val="24"/>
          <w:szCs w:val="24"/>
          <w:lang w:val="en-US"/>
        </w:rPr>
        <w:t xml:space="preserve">, and BNBP’s request for greater clarity </w:t>
      </w:r>
      <w:r w:rsidR="00A65C40">
        <w:rPr>
          <w:sz w:val="24"/>
          <w:szCs w:val="24"/>
          <w:lang w:val="en-US"/>
        </w:rPr>
        <w:t xml:space="preserve">around the </w:t>
      </w:r>
      <w:r w:rsidR="00FF3D88">
        <w:rPr>
          <w:sz w:val="24"/>
          <w:szCs w:val="24"/>
          <w:lang w:val="en-US"/>
        </w:rPr>
        <w:t>role and responsibilities of co-directors in Phase 2</w:t>
      </w:r>
      <w:r w:rsidR="005B12B3">
        <w:rPr>
          <w:sz w:val="24"/>
          <w:szCs w:val="24"/>
          <w:lang w:val="en-US"/>
        </w:rPr>
        <w:t>.</w:t>
      </w:r>
    </w:p>
    <w:p w14:paraId="1DB8C426" w14:textId="0AF6572F" w:rsidR="00D95798" w:rsidRPr="006E248F" w:rsidRDefault="004B0C57" w:rsidP="006E248F">
      <w:pPr>
        <w:spacing w:after="0"/>
        <w:rPr>
          <w:sz w:val="24"/>
          <w:szCs w:val="24"/>
          <w:lang w:val="en-US"/>
        </w:rPr>
      </w:pPr>
      <w:r w:rsidRPr="006E248F">
        <w:rPr>
          <w:sz w:val="24"/>
          <w:szCs w:val="24"/>
          <w:u w:val="single"/>
          <w:lang w:val="en-US"/>
        </w:rPr>
        <w:t>Recommendation 3</w:t>
      </w:r>
      <w:r w:rsidRPr="004B0F42">
        <w:rPr>
          <w:sz w:val="24"/>
          <w:szCs w:val="24"/>
          <w:lang w:val="en-US"/>
        </w:rPr>
        <w:t xml:space="preserve">: </w:t>
      </w:r>
      <w:r w:rsidR="00281C96">
        <w:rPr>
          <w:sz w:val="24"/>
          <w:szCs w:val="24"/>
          <w:lang w:val="en-US"/>
        </w:rPr>
        <w:t>Include</w:t>
      </w:r>
      <w:r w:rsidR="00A65C40">
        <w:rPr>
          <w:sz w:val="24"/>
          <w:szCs w:val="24"/>
          <w:lang w:val="en-US"/>
        </w:rPr>
        <w:t xml:space="preserve"> a</w:t>
      </w:r>
      <w:r w:rsidR="00040101">
        <w:rPr>
          <w:sz w:val="24"/>
          <w:szCs w:val="24"/>
          <w:lang w:val="en-US"/>
        </w:rPr>
        <w:t xml:space="preserve"> DRR </w:t>
      </w:r>
      <w:r w:rsidR="007B67E3">
        <w:rPr>
          <w:sz w:val="24"/>
          <w:szCs w:val="24"/>
          <w:lang w:val="en-US"/>
        </w:rPr>
        <w:t>research</w:t>
      </w:r>
      <w:r w:rsidR="00040101">
        <w:rPr>
          <w:sz w:val="24"/>
          <w:szCs w:val="24"/>
          <w:lang w:val="en-US"/>
        </w:rPr>
        <w:t xml:space="preserve"> agenda </w:t>
      </w:r>
      <w:r w:rsidR="00281C96">
        <w:rPr>
          <w:sz w:val="24"/>
          <w:szCs w:val="24"/>
          <w:lang w:val="en-US"/>
        </w:rPr>
        <w:t xml:space="preserve">in Phase 2 </w:t>
      </w:r>
      <w:r w:rsidR="00040101">
        <w:rPr>
          <w:sz w:val="24"/>
          <w:szCs w:val="24"/>
          <w:lang w:val="en-US"/>
        </w:rPr>
        <w:t xml:space="preserve">whereby </w:t>
      </w:r>
      <w:r w:rsidR="00281C96">
        <w:rPr>
          <w:sz w:val="24"/>
          <w:szCs w:val="24"/>
          <w:lang w:val="en-US"/>
        </w:rPr>
        <w:t>AIFDR</w:t>
      </w:r>
      <w:r w:rsidR="00040101">
        <w:rPr>
          <w:sz w:val="24"/>
          <w:szCs w:val="24"/>
          <w:lang w:val="en-US"/>
        </w:rPr>
        <w:t xml:space="preserve"> funds research into issues such as: </w:t>
      </w:r>
    </w:p>
    <w:p w14:paraId="5FBFB11D" w14:textId="608D9313" w:rsidR="003C2EEF" w:rsidRPr="006E248F" w:rsidRDefault="00D95798" w:rsidP="006E248F">
      <w:pPr>
        <w:spacing w:after="0"/>
        <w:rPr>
          <w:sz w:val="24"/>
          <w:szCs w:val="24"/>
          <w:lang w:val="en-US"/>
        </w:rPr>
      </w:pPr>
      <w:r w:rsidRPr="006E248F">
        <w:rPr>
          <w:sz w:val="24"/>
          <w:szCs w:val="24"/>
          <w:lang w:val="en-US"/>
        </w:rPr>
        <w:t xml:space="preserve">(1) </w:t>
      </w:r>
      <w:r w:rsidR="004B0F42" w:rsidRPr="004B0F42">
        <w:rPr>
          <w:sz w:val="24"/>
          <w:szCs w:val="24"/>
          <w:lang w:val="en-US"/>
        </w:rPr>
        <w:t>Research into the s</w:t>
      </w:r>
      <w:r w:rsidRPr="006E248F">
        <w:rPr>
          <w:sz w:val="24"/>
          <w:szCs w:val="24"/>
          <w:lang w:val="en-US"/>
        </w:rPr>
        <w:t>ustainability</w:t>
      </w:r>
      <w:r w:rsidR="003C2EEF" w:rsidRPr="006E248F">
        <w:rPr>
          <w:sz w:val="24"/>
          <w:szCs w:val="24"/>
          <w:lang w:val="en-US"/>
        </w:rPr>
        <w:t xml:space="preserve"> of DR</w:t>
      </w:r>
      <w:r w:rsidR="00FF3D88">
        <w:rPr>
          <w:sz w:val="24"/>
          <w:szCs w:val="24"/>
          <w:lang w:val="en-US"/>
        </w:rPr>
        <w:t>R initiatives</w:t>
      </w:r>
      <w:r w:rsidRPr="006E248F">
        <w:rPr>
          <w:sz w:val="24"/>
          <w:szCs w:val="24"/>
          <w:lang w:val="en-US"/>
        </w:rPr>
        <w:t xml:space="preserve"> </w:t>
      </w:r>
      <w:r w:rsidR="003D12B3" w:rsidRPr="006E248F">
        <w:rPr>
          <w:sz w:val="24"/>
          <w:szCs w:val="24"/>
          <w:lang w:val="en-US"/>
        </w:rPr>
        <w:t xml:space="preserve">particularly at sub-national level. </w:t>
      </w:r>
    </w:p>
    <w:p w14:paraId="3E7873E1" w14:textId="46995874" w:rsidR="00A65C40" w:rsidRDefault="00D95798" w:rsidP="006E248F">
      <w:pPr>
        <w:spacing w:after="0"/>
        <w:rPr>
          <w:sz w:val="24"/>
          <w:szCs w:val="24"/>
          <w:lang w:val="en-US"/>
        </w:rPr>
      </w:pPr>
      <w:r w:rsidRPr="006E248F">
        <w:rPr>
          <w:sz w:val="24"/>
          <w:szCs w:val="24"/>
          <w:lang w:val="en-US"/>
        </w:rPr>
        <w:t xml:space="preserve">(2) </w:t>
      </w:r>
      <w:r w:rsidR="00FF3D88">
        <w:rPr>
          <w:sz w:val="24"/>
          <w:szCs w:val="24"/>
          <w:lang w:val="en-US"/>
        </w:rPr>
        <w:t>Documenting</w:t>
      </w:r>
      <w:r w:rsidRPr="006E248F">
        <w:rPr>
          <w:sz w:val="24"/>
          <w:szCs w:val="24"/>
          <w:lang w:val="en-US"/>
        </w:rPr>
        <w:t xml:space="preserve"> good </w:t>
      </w:r>
      <w:r w:rsidR="00040101">
        <w:rPr>
          <w:sz w:val="24"/>
          <w:szCs w:val="24"/>
          <w:lang w:val="en-US"/>
        </w:rPr>
        <w:t xml:space="preserve">community disaster resilience </w:t>
      </w:r>
      <w:r w:rsidR="00FF3D88">
        <w:rPr>
          <w:sz w:val="24"/>
          <w:szCs w:val="24"/>
          <w:lang w:val="en-US"/>
        </w:rPr>
        <w:t>practices/approaches.</w:t>
      </w:r>
    </w:p>
    <w:p w14:paraId="22C41B1A" w14:textId="30612344" w:rsidR="00FF3D88" w:rsidRDefault="00A65C40" w:rsidP="00281C96">
      <w:pPr>
        <w:spacing w:after="0"/>
        <w:rPr>
          <w:sz w:val="24"/>
          <w:szCs w:val="24"/>
          <w:lang w:val="en-US"/>
        </w:rPr>
      </w:pPr>
      <w:r>
        <w:rPr>
          <w:sz w:val="24"/>
          <w:szCs w:val="24"/>
          <w:lang w:val="en-US"/>
        </w:rPr>
        <w:t>These examples are indicative</w:t>
      </w:r>
      <w:r w:rsidR="0064040D">
        <w:rPr>
          <w:sz w:val="24"/>
          <w:szCs w:val="24"/>
          <w:lang w:val="en-US"/>
        </w:rPr>
        <w:t xml:space="preserve"> only</w:t>
      </w:r>
      <w:r>
        <w:rPr>
          <w:sz w:val="24"/>
          <w:szCs w:val="24"/>
          <w:lang w:val="en-US"/>
        </w:rPr>
        <w:t xml:space="preserve">, as part of </w:t>
      </w:r>
      <w:r w:rsidR="003470A7">
        <w:rPr>
          <w:sz w:val="24"/>
          <w:szCs w:val="24"/>
          <w:lang w:val="en-US"/>
        </w:rPr>
        <w:t xml:space="preserve">the </w:t>
      </w:r>
      <w:r w:rsidR="00BB6443">
        <w:rPr>
          <w:sz w:val="24"/>
          <w:szCs w:val="24"/>
          <w:lang w:val="en-US"/>
        </w:rPr>
        <w:t xml:space="preserve">development of a DRR research </w:t>
      </w:r>
      <w:r w:rsidR="00281C96">
        <w:rPr>
          <w:sz w:val="24"/>
          <w:szCs w:val="24"/>
          <w:lang w:val="en-US"/>
        </w:rPr>
        <w:t xml:space="preserve">agenda </w:t>
      </w:r>
      <w:r w:rsidR="00BB6443">
        <w:rPr>
          <w:sz w:val="24"/>
          <w:szCs w:val="24"/>
          <w:lang w:val="en-US"/>
        </w:rPr>
        <w:t xml:space="preserve">will be </w:t>
      </w:r>
      <w:r w:rsidR="009E7099">
        <w:rPr>
          <w:sz w:val="24"/>
          <w:szCs w:val="24"/>
          <w:lang w:val="en-US"/>
        </w:rPr>
        <w:t>the</w:t>
      </w:r>
      <w:r w:rsidR="00BB6443">
        <w:rPr>
          <w:sz w:val="24"/>
          <w:szCs w:val="24"/>
          <w:lang w:val="en-US"/>
        </w:rPr>
        <w:t xml:space="preserve"> </w:t>
      </w:r>
      <w:r w:rsidR="009E7099">
        <w:rPr>
          <w:sz w:val="24"/>
          <w:szCs w:val="24"/>
          <w:lang w:val="en-US"/>
        </w:rPr>
        <w:t xml:space="preserve">identification of </w:t>
      </w:r>
      <w:r w:rsidR="00281C96">
        <w:rPr>
          <w:sz w:val="24"/>
          <w:szCs w:val="24"/>
          <w:lang w:val="en-US"/>
        </w:rPr>
        <w:t>research priorities that align with AIFDR’s goal</w:t>
      </w:r>
      <w:r w:rsidR="00930032">
        <w:rPr>
          <w:sz w:val="24"/>
          <w:szCs w:val="24"/>
          <w:lang w:val="en-US"/>
        </w:rPr>
        <w:t>, and GoI policies and workplans</w:t>
      </w:r>
      <w:r w:rsidR="00281C96">
        <w:rPr>
          <w:sz w:val="24"/>
          <w:szCs w:val="24"/>
          <w:lang w:val="en-US"/>
        </w:rPr>
        <w:t xml:space="preserve">. </w:t>
      </w:r>
      <w:r w:rsidR="00FF3D88">
        <w:rPr>
          <w:sz w:val="24"/>
          <w:szCs w:val="24"/>
          <w:lang w:val="en-US"/>
        </w:rPr>
        <w:t xml:space="preserve">This recommendation relates to Lessons Learnt 8. </w:t>
      </w:r>
    </w:p>
    <w:p w14:paraId="64D29F34" w14:textId="77777777" w:rsidR="00281C96" w:rsidRDefault="00281C96" w:rsidP="00281C96">
      <w:pPr>
        <w:spacing w:after="0"/>
        <w:rPr>
          <w:sz w:val="24"/>
          <w:szCs w:val="24"/>
          <w:lang w:val="en-US"/>
        </w:rPr>
      </w:pPr>
    </w:p>
    <w:p w14:paraId="6C41885E" w14:textId="3CEFBBBF" w:rsidR="00371915" w:rsidRPr="00F30A06" w:rsidRDefault="004B0C57" w:rsidP="00371915">
      <w:pPr>
        <w:rPr>
          <w:sz w:val="24"/>
          <w:szCs w:val="24"/>
          <w:lang w:val="en-US"/>
        </w:rPr>
      </w:pPr>
      <w:r w:rsidRPr="006E248F">
        <w:rPr>
          <w:sz w:val="24"/>
          <w:szCs w:val="24"/>
          <w:u w:val="single"/>
          <w:lang w:val="en-US"/>
        </w:rPr>
        <w:t>Recommendation 4</w:t>
      </w:r>
      <w:r w:rsidR="00371915">
        <w:rPr>
          <w:sz w:val="24"/>
          <w:szCs w:val="24"/>
          <w:lang w:val="en-US"/>
        </w:rPr>
        <w:t xml:space="preserve">: AIFDR Phase 2 should actively seek to </w:t>
      </w:r>
      <w:r w:rsidR="00371915" w:rsidRPr="004B0F42">
        <w:rPr>
          <w:rFonts w:cs="Calibri"/>
          <w:sz w:val="24"/>
          <w:szCs w:val="24"/>
        </w:rPr>
        <w:t>leverage</w:t>
      </w:r>
      <w:r w:rsidR="004210F5" w:rsidRPr="004B0F42">
        <w:rPr>
          <w:rFonts w:cs="Calibri"/>
          <w:sz w:val="24"/>
          <w:szCs w:val="24"/>
        </w:rPr>
        <w:t xml:space="preserve"> resources and collaborate with the broader bi-lateral program </w:t>
      </w:r>
      <w:r w:rsidR="003C2EEF" w:rsidRPr="004B0F42">
        <w:rPr>
          <w:rFonts w:cs="Calibri"/>
          <w:sz w:val="24"/>
          <w:szCs w:val="24"/>
        </w:rPr>
        <w:t>to help build a constituency for integrated DRR across the program</w:t>
      </w:r>
      <w:r w:rsidR="00371915">
        <w:rPr>
          <w:rFonts w:cs="Calibri"/>
          <w:sz w:val="24"/>
          <w:szCs w:val="24"/>
        </w:rPr>
        <w:t xml:space="preserve">. </w:t>
      </w:r>
      <w:r w:rsidR="006E628E">
        <w:rPr>
          <w:rFonts w:cs="Calibri"/>
          <w:sz w:val="24"/>
          <w:szCs w:val="24"/>
        </w:rPr>
        <w:t xml:space="preserve">The most obvious entry point is DFAT’s other investments supporting Indonesia’s decentralisation agenda. </w:t>
      </w:r>
      <w:r w:rsidR="00930032">
        <w:rPr>
          <w:rFonts w:cs="Calibri"/>
          <w:sz w:val="24"/>
          <w:szCs w:val="24"/>
        </w:rPr>
        <w:t xml:space="preserve">AIFDR Phase 2 should strategically approach this task by exploring obvious synergies with programs with a footprint in AIFDR’s five target provinces. </w:t>
      </w:r>
      <w:r w:rsidR="00371915">
        <w:rPr>
          <w:rFonts w:cs="Calibri"/>
          <w:sz w:val="24"/>
          <w:szCs w:val="24"/>
        </w:rPr>
        <w:t>This</w:t>
      </w:r>
      <w:r w:rsidR="00371915" w:rsidRPr="00371915">
        <w:rPr>
          <w:sz w:val="24"/>
          <w:szCs w:val="24"/>
          <w:lang w:val="en-US"/>
        </w:rPr>
        <w:t xml:space="preserve"> </w:t>
      </w:r>
      <w:r w:rsidR="00371915">
        <w:rPr>
          <w:sz w:val="24"/>
          <w:szCs w:val="24"/>
          <w:lang w:val="en-US"/>
        </w:rPr>
        <w:t>recommendation relates to Lesson Learnt 9.</w:t>
      </w:r>
    </w:p>
    <w:p w14:paraId="49FF50F5" w14:textId="59C77214" w:rsidR="00684184" w:rsidRPr="00F25E59" w:rsidRDefault="00611CAA" w:rsidP="00F25E59">
      <w:pPr>
        <w:pStyle w:val="Heading1"/>
      </w:pPr>
      <w:r>
        <w:br w:type="page"/>
      </w:r>
      <w:bookmarkStart w:id="20" w:name="_Toc402431259"/>
      <w:r w:rsidR="00684184" w:rsidRPr="00F25E59">
        <w:t xml:space="preserve">Annex </w:t>
      </w:r>
      <w:r w:rsidR="00522D4D" w:rsidRPr="00F25E59">
        <w:t>1</w:t>
      </w:r>
      <w:r w:rsidR="00684184" w:rsidRPr="00F25E59">
        <w:t>: Terms of Reference</w:t>
      </w:r>
      <w:bookmarkEnd w:id="20"/>
      <w:r w:rsidR="00684184" w:rsidRPr="00F25E59">
        <w:t xml:space="preserve"> </w:t>
      </w:r>
    </w:p>
    <w:p w14:paraId="06FBC455" w14:textId="77777777" w:rsidR="00D40BC5" w:rsidRDefault="00D40BC5" w:rsidP="00D40BC5"/>
    <w:p w14:paraId="4282E493" w14:textId="77777777" w:rsidR="009D0F76" w:rsidRPr="00C17440" w:rsidRDefault="009D0F76" w:rsidP="009D0F76">
      <w:pPr>
        <w:jc w:val="center"/>
        <w:rPr>
          <w:rFonts w:ascii="Times New Roman" w:hAnsi="Times New Roman" w:cs="Times New Roman"/>
          <w:b/>
          <w:sz w:val="24"/>
          <w:szCs w:val="24"/>
        </w:rPr>
      </w:pPr>
      <w:r>
        <w:rPr>
          <w:rFonts w:ascii="Times New Roman" w:hAnsi="Times New Roman" w:cs="Times New Roman"/>
          <w:b/>
          <w:sz w:val="24"/>
          <w:szCs w:val="24"/>
        </w:rPr>
        <w:t>Independent Review of the 1</w:t>
      </w:r>
      <w:r w:rsidRPr="00BB33C4">
        <w:rPr>
          <w:rFonts w:ascii="Times New Roman" w:hAnsi="Times New Roman" w:cs="Times New Roman"/>
          <w:b/>
          <w:sz w:val="24"/>
          <w:szCs w:val="24"/>
          <w:vertAlign w:val="superscript"/>
        </w:rPr>
        <w:t>st</w:t>
      </w:r>
      <w:r>
        <w:rPr>
          <w:rFonts w:ascii="Times New Roman" w:hAnsi="Times New Roman" w:cs="Times New Roman"/>
          <w:b/>
          <w:sz w:val="24"/>
          <w:szCs w:val="24"/>
        </w:rPr>
        <w:t xml:space="preserve"> phase of the</w:t>
      </w:r>
      <w:r>
        <w:rPr>
          <w:rFonts w:ascii="Times New Roman" w:hAnsi="Times New Roman" w:cs="Times New Roman"/>
          <w:b/>
          <w:sz w:val="24"/>
          <w:szCs w:val="24"/>
        </w:rPr>
        <w:br/>
        <w:t>Australia-Indonesia Facility for Disaster Reduction (AIFDR)</w:t>
      </w:r>
    </w:p>
    <w:p w14:paraId="3287AD73" w14:textId="77777777" w:rsidR="009D0F76" w:rsidRPr="009354C1" w:rsidRDefault="009D0F76" w:rsidP="009D0F76">
      <w:pPr>
        <w:rPr>
          <w:rFonts w:ascii="Times New Roman" w:hAnsi="Times New Roman" w:cs="Times New Roman"/>
          <w:b/>
          <w:sz w:val="24"/>
          <w:szCs w:val="24"/>
          <w:u w:val="single"/>
        </w:rPr>
      </w:pPr>
      <w:r>
        <w:rPr>
          <w:rFonts w:ascii="Times New Roman" w:hAnsi="Times New Roman" w:cs="Times New Roman"/>
          <w:b/>
          <w:sz w:val="24"/>
          <w:szCs w:val="24"/>
          <w:u w:val="single"/>
        </w:rPr>
        <w:t>___________________________________________________________________________</w:t>
      </w:r>
    </w:p>
    <w:p w14:paraId="1A15EAA6" w14:textId="77777777" w:rsidR="009D0F76" w:rsidRPr="00EA0252" w:rsidRDefault="009D0F76" w:rsidP="009D0F76">
      <w:pPr>
        <w:rPr>
          <w:rFonts w:ascii="Times New Roman" w:hAnsi="Times New Roman" w:cs="Times New Roman"/>
          <w:b/>
          <w:sz w:val="24"/>
          <w:szCs w:val="24"/>
        </w:rPr>
      </w:pPr>
      <w:r w:rsidRPr="00EA0252">
        <w:rPr>
          <w:rFonts w:ascii="Times New Roman" w:hAnsi="Times New Roman" w:cs="Times New Roman"/>
          <w:b/>
          <w:sz w:val="24"/>
          <w:szCs w:val="24"/>
        </w:rPr>
        <w:t>Introduction</w:t>
      </w:r>
    </w:p>
    <w:p w14:paraId="55D79BEC" w14:textId="77777777" w:rsidR="009D0F76" w:rsidRDefault="009D0F76" w:rsidP="009D0F76">
      <w:pPr>
        <w:pStyle w:val="ListParagraph"/>
        <w:numPr>
          <w:ilvl w:val="0"/>
          <w:numId w:val="25"/>
        </w:numPr>
        <w:spacing w:after="200" w:line="276" w:lineRule="auto"/>
        <w:rPr>
          <w:rFonts w:ascii="Times New Roman" w:hAnsi="Times New Roman" w:cs="Times New Roman"/>
          <w:sz w:val="24"/>
          <w:szCs w:val="24"/>
        </w:rPr>
      </w:pPr>
      <w:r w:rsidRPr="00DA3E12">
        <w:rPr>
          <w:rFonts w:ascii="Times New Roman" w:hAnsi="Times New Roman" w:cs="Times New Roman"/>
          <w:sz w:val="24"/>
          <w:szCs w:val="24"/>
        </w:rPr>
        <w:t xml:space="preserve">The Department of Foreign Affairs and Trade will undertake an independent </w:t>
      </w:r>
      <w:r>
        <w:rPr>
          <w:rFonts w:ascii="Times New Roman" w:hAnsi="Times New Roman" w:cs="Times New Roman"/>
          <w:sz w:val="24"/>
          <w:szCs w:val="24"/>
        </w:rPr>
        <w:t xml:space="preserve">review </w:t>
      </w:r>
      <w:r>
        <w:rPr>
          <w:rFonts w:ascii="Times New Roman" w:hAnsi="Times New Roman" w:cs="Times New Roman"/>
          <w:b/>
          <w:sz w:val="24"/>
          <w:szCs w:val="24"/>
        </w:rPr>
        <w:t xml:space="preserve">–Part 1 - </w:t>
      </w:r>
      <w:r>
        <w:rPr>
          <w:rFonts w:ascii="Times New Roman" w:hAnsi="Times New Roman" w:cs="Times New Roman"/>
          <w:sz w:val="24"/>
          <w:szCs w:val="24"/>
        </w:rPr>
        <w:t>of</w:t>
      </w:r>
      <w:r w:rsidRPr="00DA3E12">
        <w:rPr>
          <w:rFonts w:ascii="Times New Roman" w:hAnsi="Times New Roman" w:cs="Times New Roman"/>
          <w:sz w:val="24"/>
          <w:szCs w:val="24"/>
        </w:rPr>
        <w:t xml:space="preserve"> the </w:t>
      </w:r>
      <w:r>
        <w:rPr>
          <w:rFonts w:ascii="Times New Roman" w:hAnsi="Times New Roman" w:cs="Times New Roman"/>
          <w:sz w:val="24"/>
          <w:szCs w:val="24"/>
        </w:rPr>
        <w:t>1st</w:t>
      </w:r>
      <w:r w:rsidRPr="00DA3E12">
        <w:rPr>
          <w:rFonts w:ascii="Times New Roman" w:hAnsi="Times New Roman" w:cs="Times New Roman"/>
          <w:sz w:val="24"/>
          <w:szCs w:val="24"/>
        </w:rPr>
        <w:t xml:space="preserve"> phase of the Australia-Indonesia Facility for Disaster Reduction (AIFDR). AIFDR’s initial 5 year program concluded on 30 June 2013. A major scale-up </w:t>
      </w:r>
      <w:r>
        <w:rPr>
          <w:rFonts w:ascii="Times New Roman" w:hAnsi="Times New Roman" w:cs="Times New Roman"/>
          <w:sz w:val="24"/>
          <w:szCs w:val="24"/>
        </w:rPr>
        <w:t>to a sectoral program had been designed</w:t>
      </w:r>
      <w:r w:rsidRPr="00DA3E12">
        <w:rPr>
          <w:rFonts w:ascii="Times New Roman" w:hAnsi="Times New Roman" w:cs="Times New Roman"/>
          <w:sz w:val="24"/>
          <w:szCs w:val="24"/>
        </w:rPr>
        <w:t xml:space="preserve"> but due to Australian Government budget decisions in 2013, a smaller program</w:t>
      </w:r>
      <w:r>
        <w:rPr>
          <w:rFonts w:ascii="Times New Roman" w:hAnsi="Times New Roman" w:cs="Times New Roman"/>
          <w:sz w:val="24"/>
          <w:szCs w:val="24"/>
        </w:rPr>
        <w:t xml:space="preserve"> called AIFDR-2</w:t>
      </w:r>
      <w:r w:rsidRPr="00DA3E12">
        <w:rPr>
          <w:rFonts w:ascii="Times New Roman" w:hAnsi="Times New Roman" w:cs="Times New Roman"/>
          <w:sz w:val="24"/>
          <w:szCs w:val="24"/>
        </w:rPr>
        <w:t xml:space="preserve"> is currently </w:t>
      </w:r>
      <w:r>
        <w:rPr>
          <w:rFonts w:ascii="Times New Roman" w:hAnsi="Times New Roman" w:cs="Times New Roman"/>
          <w:sz w:val="24"/>
          <w:szCs w:val="24"/>
        </w:rPr>
        <w:t>under preparation for a January 2015 start</w:t>
      </w:r>
      <w:r w:rsidRPr="00DA3E12">
        <w:rPr>
          <w:rFonts w:ascii="Times New Roman" w:hAnsi="Times New Roman" w:cs="Times New Roman"/>
          <w:sz w:val="24"/>
          <w:szCs w:val="24"/>
        </w:rPr>
        <w:t>.</w:t>
      </w:r>
      <w:r>
        <w:rPr>
          <w:rFonts w:ascii="Times New Roman" w:hAnsi="Times New Roman" w:cs="Times New Roman"/>
          <w:sz w:val="24"/>
          <w:szCs w:val="24"/>
        </w:rPr>
        <w:t xml:space="preserve"> This review will ensure that</w:t>
      </w:r>
      <w:r w:rsidRPr="00BB4D74">
        <w:rPr>
          <w:rFonts w:ascii="Times New Roman" w:hAnsi="Times New Roman" w:cs="Times New Roman"/>
          <w:sz w:val="24"/>
          <w:szCs w:val="24"/>
        </w:rPr>
        <w:t xml:space="preserve"> future support aligns </w:t>
      </w:r>
      <w:r>
        <w:rPr>
          <w:rFonts w:ascii="Times New Roman" w:hAnsi="Times New Roman" w:cs="Times New Roman"/>
          <w:sz w:val="24"/>
          <w:szCs w:val="24"/>
        </w:rPr>
        <w:t>with the emerging priorities of the new Australian Government, and feed into the implementation of AIFDR-2.</w:t>
      </w:r>
    </w:p>
    <w:p w14:paraId="4B85A0B9" w14:textId="77777777" w:rsidR="009D0F76" w:rsidRDefault="009D0F76" w:rsidP="009D0F76">
      <w:pPr>
        <w:pStyle w:val="ListParagraph"/>
        <w:ind w:left="360"/>
        <w:rPr>
          <w:rFonts w:ascii="Times New Roman" w:hAnsi="Times New Roman" w:cs="Times New Roman"/>
          <w:sz w:val="24"/>
          <w:szCs w:val="24"/>
        </w:rPr>
      </w:pPr>
    </w:p>
    <w:p w14:paraId="6073B9F0" w14:textId="77777777" w:rsidR="009D0F76" w:rsidRDefault="009D0F76" w:rsidP="009D0F76">
      <w:pPr>
        <w:pStyle w:val="ListParagraph"/>
        <w:numPr>
          <w:ilvl w:val="0"/>
          <w:numId w:val="25"/>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The independent review </w:t>
      </w:r>
      <w:r w:rsidRPr="00CA1335">
        <w:rPr>
          <w:rFonts w:ascii="Times New Roman" w:hAnsi="Times New Roman" w:cs="Times New Roman"/>
          <w:sz w:val="24"/>
          <w:szCs w:val="24"/>
        </w:rPr>
        <w:t>will include a review of Australian support for ASEAN disaster management (DM)</w:t>
      </w:r>
      <w:r>
        <w:rPr>
          <w:rFonts w:ascii="Times New Roman" w:hAnsi="Times New Roman" w:cs="Times New Roman"/>
          <w:sz w:val="24"/>
          <w:szCs w:val="24"/>
        </w:rPr>
        <w:t xml:space="preserve"> </w:t>
      </w:r>
      <w:r>
        <w:rPr>
          <w:rFonts w:ascii="Times New Roman" w:hAnsi="Times New Roman" w:cs="Times New Roman"/>
          <w:b/>
          <w:sz w:val="24"/>
          <w:szCs w:val="24"/>
        </w:rPr>
        <w:t>– Part 2 -</w:t>
      </w:r>
      <w:r>
        <w:rPr>
          <w:rFonts w:ascii="Times New Roman" w:hAnsi="Times New Roman" w:cs="Times New Roman"/>
          <w:sz w:val="24"/>
          <w:szCs w:val="24"/>
        </w:rPr>
        <w:t xml:space="preserve"> currently funded through </w:t>
      </w:r>
      <w:r w:rsidRPr="00CA1335">
        <w:rPr>
          <w:rFonts w:ascii="Times New Roman" w:hAnsi="Times New Roman" w:cs="Times New Roman"/>
          <w:sz w:val="24"/>
          <w:szCs w:val="24"/>
        </w:rPr>
        <w:t>DFAT’s bilateral disaster man</w:t>
      </w:r>
      <w:r>
        <w:rPr>
          <w:rFonts w:ascii="Times New Roman" w:hAnsi="Times New Roman" w:cs="Times New Roman"/>
          <w:sz w:val="24"/>
          <w:szCs w:val="24"/>
        </w:rPr>
        <w:t>agement program with Indonesia. This part of the review will include</w:t>
      </w:r>
      <w:r w:rsidRPr="00CA1335">
        <w:rPr>
          <w:rFonts w:ascii="Times New Roman" w:hAnsi="Times New Roman" w:cs="Times New Roman"/>
          <w:sz w:val="24"/>
          <w:szCs w:val="24"/>
        </w:rPr>
        <w:t xml:space="preserve"> the finalisation of a draft concept note</w:t>
      </w:r>
      <w:r>
        <w:rPr>
          <w:rFonts w:ascii="Times New Roman" w:hAnsi="Times New Roman" w:cs="Times New Roman"/>
          <w:sz w:val="24"/>
          <w:szCs w:val="24"/>
        </w:rPr>
        <w:t xml:space="preserve"> to guide </w:t>
      </w:r>
      <w:r w:rsidRPr="00CA1335">
        <w:rPr>
          <w:rFonts w:ascii="Times New Roman" w:hAnsi="Times New Roman" w:cs="Times New Roman"/>
          <w:sz w:val="24"/>
          <w:szCs w:val="24"/>
        </w:rPr>
        <w:t>Australia’</w:t>
      </w:r>
      <w:r>
        <w:rPr>
          <w:rFonts w:ascii="Times New Roman" w:hAnsi="Times New Roman" w:cs="Times New Roman"/>
          <w:sz w:val="24"/>
          <w:szCs w:val="24"/>
        </w:rPr>
        <w:t>s future investment in ASEAN DM,</w:t>
      </w:r>
      <w:r w:rsidRPr="00CA1335">
        <w:rPr>
          <w:rFonts w:ascii="Times New Roman" w:hAnsi="Times New Roman" w:cs="Times New Roman"/>
          <w:sz w:val="24"/>
          <w:szCs w:val="24"/>
        </w:rPr>
        <w:t xml:space="preserve"> </w:t>
      </w:r>
      <w:r w:rsidRPr="00BB4D74">
        <w:rPr>
          <w:rFonts w:ascii="Times New Roman" w:hAnsi="Times New Roman" w:cs="Times New Roman"/>
          <w:sz w:val="24"/>
          <w:szCs w:val="24"/>
        </w:rPr>
        <w:t>to ensure that any future support aligns with Australia’s evolving interests in regional DM</w:t>
      </w:r>
      <w:r>
        <w:rPr>
          <w:rFonts w:ascii="Times New Roman" w:hAnsi="Times New Roman" w:cs="Times New Roman"/>
          <w:sz w:val="24"/>
          <w:szCs w:val="24"/>
        </w:rPr>
        <w:t xml:space="preserve"> and the emerging priorities of the new Australian Government</w:t>
      </w:r>
      <w:r w:rsidRPr="00BB4D74">
        <w:rPr>
          <w:rFonts w:ascii="Times New Roman" w:hAnsi="Times New Roman" w:cs="Times New Roman"/>
          <w:sz w:val="24"/>
          <w:szCs w:val="24"/>
        </w:rPr>
        <w:t xml:space="preserve">. </w:t>
      </w:r>
      <w:r w:rsidRPr="00CA1335">
        <w:rPr>
          <w:rFonts w:ascii="Times New Roman" w:hAnsi="Times New Roman" w:cs="Times New Roman"/>
          <w:sz w:val="24"/>
          <w:szCs w:val="24"/>
        </w:rPr>
        <w:t>Se</w:t>
      </w:r>
      <w:r>
        <w:rPr>
          <w:rFonts w:ascii="Times New Roman" w:hAnsi="Times New Roman" w:cs="Times New Roman"/>
          <w:sz w:val="24"/>
          <w:szCs w:val="24"/>
        </w:rPr>
        <w:t>parate TORs for the writing of the</w:t>
      </w:r>
      <w:r w:rsidRPr="00CA1335">
        <w:rPr>
          <w:rFonts w:ascii="Times New Roman" w:hAnsi="Times New Roman" w:cs="Times New Roman"/>
          <w:sz w:val="24"/>
          <w:szCs w:val="24"/>
        </w:rPr>
        <w:t xml:space="preserve"> concept note on the scope, size and ongoing DFAT management arrangements of Australia’s support for ASEAN DM can be found in </w:t>
      </w:r>
      <w:r w:rsidRPr="00CA1335">
        <w:rPr>
          <w:rFonts w:ascii="Times New Roman" w:hAnsi="Times New Roman" w:cs="Times New Roman"/>
          <w:b/>
          <w:sz w:val="24"/>
          <w:szCs w:val="24"/>
        </w:rPr>
        <w:t>Part 2</w:t>
      </w:r>
      <w:r w:rsidRPr="00CA1335">
        <w:rPr>
          <w:rFonts w:ascii="Times New Roman" w:hAnsi="Times New Roman" w:cs="Times New Roman"/>
          <w:sz w:val="24"/>
          <w:szCs w:val="24"/>
        </w:rPr>
        <w:t xml:space="preserve"> of this document.</w:t>
      </w:r>
    </w:p>
    <w:p w14:paraId="52B11922" w14:textId="77777777" w:rsidR="009D0F76" w:rsidRPr="00425F3F" w:rsidRDefault="009D0F76" w:rsidP="009D0F76">
      <w:pPr>
        <w:pStyle w:val="ListParagraph"/>
        <w:rPr>
          <w:rFonts w:ascii="Times New Roman" w:hAnsi="Times New Roman" w:cs="Times New Roman"/>
          <w:sz w:val="24"/>
          <w:szCs w:val="24"/>
        </w:rPr>
      </w:pPr>
    </w:p>
    <w:p w14:paraId="6F1E0B3C" w14:textId="77777777" w:rsidR="009D0F76" w:rsidRPr="00CA1335" w:rsidRDefault="009D0F76" w:rsidP="009D0F76">
      <w:pPr>
        <w:pStyle w:val="ListParagraph"/>
        <w:numPr>
          <w:ilvl w:val="0"/>
          <w:numId w:val="25"/>
        </w:numPr>
        <w:spacing w:after="200" w:line="276" w:lineRule="auto"/>
        <w:rPr>
          <w:rFonts w:ascii="Times New Roman" w:hAnsi="Times New Roman" w:cs="Times New Roman"/>
          <w:sz w:val="24"/>
          <w:szCs w:val="24"/>
        </w:rPr>
      </w:pPr>
      <w:r>
        <w:rPr>
          <w:rFonts w:ascii="Times New Roman" w:hAnsi="Times New Roman" w:cs="Times New Roman"/>
          <w:sz w:val="24"/>
          <w:szCs w:val="24"/>
        </w:rPr>
        <w:t>Duration, phasing and timing for the independent review of the 1</w:t>
      </w:r>
      <w:r w:rsidRPr="00425F3F">
        <w:rPr>
          <w:rFonts w:ascii="Times New Roman" w:hAnsi="Times New Roman" w:cs="Times New Roman"/>
          <w:sz w:val="24"/>
          <w:szCs w:val="24"/>
          <w:vertAlign w:val="superscript"/>
        </w:rPr>
        <w:t>st</w:t>
      </w:r>
      <w:r>
        <w:rPr>
          <w:rFonts w:ascii="Times New Roman" w:hAnsi="Times New Roman" w:cs="Times New Roman"/>
          <w:sz w:val="24"/>
          <w:szCs w:val="24"/>
        </w:rPr>
        <w:t xml:space="preserve"> phase of AIFDR and the finalisation of a concept note to guide Australia’s future investment in ASEAN DM can be found in </w:t>
      </w:r>
      <w:r>
        <w:rPr>
          <w:rFonts w:ascii="Times New Roman" w:hAnsi="Times New Roman" w:cs="Times New Roman"/>
          <w:b/>
          <w:sz w:val="24"/>
          <w:szCs w:val="24"/>
        </w:rPr>
        <w:t xml:space="preserve">Part 3 </w:t>
      </w:r>
      <w:r>
        <w:rPr>
          <w:rFonts w:ascii="Times New Roman" w:hAnsi="Times New Roman" w:cs="Times New Roman"/>
          <w:sz w:val="24"/>
          <w:szCs w:val="24"/>
        </w:rPr>
        <w:t>of this document.</w:t>
      </w:r>
    </w:p>
    <w:p w14:paraId="6EA1ED7D" w14:textId="77777777" w:rsidR="009D0F76" w:rsidRDefault="009D0F76" w:rsidP="009D0F76">
      <w:pPr>
        <w:pStyle w:val="ListParagraph"/>
        <w:ind w:left="360"/>
        <w:rPr>
          <w:rFonts w:ascii="Times New Roman" w:hAnsi="Times New Roman" w:cs="Times New Roman"/>
          <w:sz w:val="24"/>
          <w:szCs w:val="24"/>
        </w:rPr>
      </w:pPr>
    </w:p>
    <w:p w14:paraId="5520B571" w14:textId="77777777" w:rsidR="009D0F76" w:rsidRDefault="009D0F76" w:rsidP="009D0F76">
      <w:pPr>
        <w:rPr>
          <w:rFonts w:ascii="Times New Roman" w:hAnsi="Times New Roman" w:cs="Times New Roman"/>
          <w:b/>
          <w:sz w:val="24"/>
          <w:szCs w:val="24"/>
        </w:rPr>
      </w:pPr>
      <w:r w:rsidRPr="00BB33C4">
        <w:rPr>
          <w:rFonts w:ascii="Times New Roman" w:hAnsi="Times New Roman" w:cs="Times New Roman"/>
          <w:b/>
          <w:sz w:val="24"/>
          <w:szCs w:val="24"/>
        </w:rPr>
        <w:t>Backgrou</w:t>
      </w:r>
      <w:r>
        <w:rPr>
          <w:rFonts w:ascii="Times New Roman" w:hAnsi="Times New Roman" w:cs="Times New Roman"/>
          <w:b/>
          <w:sz w:val="24"/>
          <w:szCs w:val="24"/>
        </w:rPr>
        <w:t>n</w:t>
      </w:r>
      <w:r w:rsidRPr="00BB33C4">
        <w:rPr>
          <w:rFonts w:ascii="Times New Roman" w:hAnsi="Times New Roman" w:cs="Times New Roman"/>
          <w:b/>
          <w:sz w:val="24"/>
          <w:szCs w:val="24"/>
        </w:rPr>
        <w:t>d</w:t>
      </w:r>
    </w:p>
    <w:p w14:paraId="62DD9294" w14:textId="77777777" w:rsidR="009D0F76" w:rsidRDefault="009D0F76" w:rsidP="009D0F76">
      <w:pPr>
        <w:pStyle w:val="ListParagraph"/>
        <w:numPr>
          <w:ilvl w:val="0"/>
          <w:numId w:val="25"/>
        </w:numPr>
        <w:spacing w:after="200" w:line="276" w:lineRule="auto"/>
        <w:rPr>
          <w:rFonts w:ascii="Times New Roman" w:hAnsi="Times New Roman" w:cs="Times New Roman"/>
          <w:sz w:val="24"/>
          <w:szCs w:val="24"/>
        </w:rPr>
      </w:pPr>
      <w:r w:rsidRPr="00613076">
        <w:rPr>
          <w:rFonts w:ascii="Times New Roman" w:hAnsi="Times New Roman" w:cs="Times New Roman"/>
          <w:sz w:val="24"/>
          <w:szCs w:val="24"/>
        </w:rPr>
        <w:t xml:space="preserve">AIFDR’s initial 5 year program concluded on 30 June 2013. We are currently in a transition year prior to </w:t>
      </w:r>
      <w:r>
        <w:rPr>
          <w:rFonts w:ascii="Times New Roman" w:hAnsi="Times New Roman" w:cs="Times New Roman"/>
          <w:sz w:val="24"/>
          <w:szCs w:val="24"/>
        </w:rPr>
        <w:t>a new program commencing in January 2015</w:t>
      </w:r>
      <w:r w:rsidRPr="00613076">
        <w:rPr>
          <w:rFonts w:ascii="Times New Roman" w:hAnsi="Times New Roman" w:cs="Times New Roman"/>
          <w:sz w:val="24"/>
          <w:szCs w:val="24"/>
        </w:rPr>
        <w:t>. A major scale-up had been planned and a design completed but due to Australian Government budget decisions in 2013, a smaller program is currently being designed.</w:t>
      </w:r>
      <w:r>
        <w:rPr>
          <w:rFonts w:ascii="Times New Roman" w:hAnsi="Times New Roman" w:cs="Times New Roman"/>
          <w:sz w:val="24"/>
          <w:szCs w:val="24"/>
        </w:rPr>
        <w:t xml:space="preserve"> </w:t>
      </w:r>
      <w:r w:rsidRPr="00282E78">
        <w:rPr>
          <w:rFonts w:ascii="Times New Roman" w:hAnsi="Times New Roman" w:cs="Times New Roman"/>
          <w:sz w:val="24"/>
          <w:szCs w:val="24"/>
        </w:rPr>
        <w:t xml:space="preserve">AIFDR is a joint initiative by the Australian and Indonesian governments to “Strengthen national and local capacity in disaster management in Indonesia and create a more disaster resilient region”. </w:t>
      </w:r>
    </w:p>
    <w:p w14:paraId="694D327F" w14:textId="77777777" w:rsidR="009D0F76" w:rsidRDefault="009D0F76" w:rsidP="009D0F76">
      <w:pPr>
        <w:pStyle w:val="ListParagraph"/>
        <w:ind w:left="360"/>
        <w:rPr>
          <w:rFonts w:ascii="Times New Roman" w:hAnsi="Times New Roman" w:cs="Times New Roman"/>
          <w:sz w:val="24"/>
          <w:szCs w:val="24"/>
        </w:rPr>
      </w:pPr>
    </w:p>
    <w:p w14:paraId="51972035" w14:textId="77777777" w:rsidR="009D0F76" w:rsidRPr="00282E78" w:rsidRDefault="009D0F76" w:rsidP="009D0F76">
      <w:pPr>
        <w:pStyle w:val="ListParagraph"/>
        <w:numPr>
          <w:ilvl w:val="0"/>
          <w:numId w:val="25"/>
        </w:numPr>
        <w:spacing w:after="200" w:line="276" w:lineRule="auto"/>
        <w:rPr>
          <w:rFonts w:ascii="Times New Roman" w:hAnsi="Times New Roman" w:cs="Times New Roman"/>
          <w:sz w:val="24"/>
          <w:szCs w:val="24"/>
        </w:rPr>
      </w:pPr>
      <w:r>
        <w:rPr>
          <w:rFonts w:ascii="Times New Roman" w:hAnsi="Times New Roman" w:cs="Times New Roman"/>
          <w:sz w:val="24"/>
          <w:szCs w:val="24"/>
        </w:rPr>
        <w:t>During the 1</w:t>
      </w:r>
      <w:r w:rsidRPr="00282E78">
        <w:rPr>
          <w:rFonts w:ascii="Times New Roman" w:hAnsi="Times New Roman" w:cs="Times New Roman"/>
          <w:sz w:val="24"/>
          <w:szCs w:val="24"/>
          <w:vertAlign w:val="superscript"/>
        </w:rPr>
        <w:t>st</w:t>
      </w:r>
      <w:r>
        <w:rPr>
          <w:rFonts w:ascii="Times New Roman" w:hAnsi="Times New Roman" w:cs="Times New Roman"/>
          <w:sz w:val="24"/>
          <w:szCs w:val="24"/>
        </w:rPr>
        <w:t xml:space="preserve"> phase, </w:t>
      </w:r>
      <w:r w:rsidRPr="00282E78">
        <w:rPr>
          <w:rFonts w:ascii="Times New Roman" w:hAnsi="Times New Roman" w:cs="Times New Roman"/>
          <w:sz w:val="24"/>
          <w:szCs w:val="24"/>
        </w:rPr>
        <w:t>AIFDR undertook activities in five program areas: risk &amp; vulnerability</w:t>
      </w:r>
      <w:r>
        <w:rPr>
          <w:rFonts w:ascii="Times New Roman" w:hAnsi="Times New Roman" w:cs="Times New Roman"/>
          <w:sz w:val="24"/>
          <w:szCs w:val="24"/>
        </w:rPr>
        <w:t xml:space="preserve"> </w:t>
      </w:r>
      <w:r w:rsidRPr="00613076">
        <w:rPr>
          <w:rFonts w:ascii="Times New Roman" w:hAnsi="Times New Roman" w:cs="Times New Roman"/>
          <w:sz w:val="24"/>
          <w:szCs w:val="24"/>
        </w:rPr>
        <w:t>(implemented by Geoscience Australia)</w:t>
      </w:r>
      <w:r w:rsidRPr="00282E78">
        <w:rPr>
          <w:rFonts w:ascii="Times New Roman" w:hAnsi="Times New Roman" w:cs="Times New Roman"/>
          <w:sz w:val="24"/>
          <w:szCs w:val="24"/>
        </w:rPr>
        <w:t>; training &amp; outreach; partnerships; research &amp; innovation; and emergency and humanitarian response.</w:t>
      </w:r>
      <w:r>
        <w:rPr>
          <w:rFonts w:ascii="Times New Roman" w:hAnsi="Times New Roman" w:cs="Times New Roman"/>
          <w:sz w:val="24"/>
          <w:szCs w:val="24"/>
        </w:rPr>
        <w:t xml:space="preserve"> </w:t>
      </w:r>
      <w:r w:rsidRPr="00282E78">
        <w:rPr>
          <w:rFonts w:ascii="Times New Roman" w:hAnsi="Times New Roman" w:cs="Times New Roman"/>
          <w:sz w:val="24"/>
          <w:szCs w:val="24"/>
        </w:rPr>
        <w:t>AIFDR uses a co-director model - one from DFAT and one from Indonesia’s National Disaster Management Agency (BNPB) - and an Executive Committee (DFAT and BNPB) meets twice yearly to provide program oversight and direction.</w:t>
      </w:r>
    </w:p>
    <w:p w14:paraId="2DBB6493" w14:textId="77777777" w:rsidR="009D0F76" w:rsidRPr="00BB33C4" w:rsidRDefault="009D0F76" w:rsidP="009D0F76">
      <w:pPr>
        <w:pStyle w:val="ListParagraph"/>
        <w:ind w:left="360"/>
        <w:rPr>
          <w:rFonts w:ascii="Times New Roman" w:hAnsi="Times New Roman" w:cs="Times New Roman"/>
          <w:sz w:val="24"/>
          <w:szCs w:val="24"/>
        </w:rPr>
      </w:pPr>
    </w:p>
    <w:p w14:paraId="090E34A5" w14:textId="77777777" w:rsidR="009D0F76" w:rsidRDefault="009D0F76" w:rsidP="009D0F76">
      <w:pPr>
        <w:pStyle w:val="ListParagraph"/>
        <w:numPr>
          <w:ilvl w:val="0"/>
          <w:numId w:val="25"/>
        </w:numPr>
        <w:spacing w:after="200" w:line="276" w:lineRule="auto"/>
        <w:rPr>
          <w:rFonts w:ascii="Times New Roman" w:hAnsi="Times New Roman" w:cs="Times New Roman"/>
          <w:sz w:val="24"/>
          <w:szCs w:val="24"/>
        </w:rPr>
      </w:pPr>
      <w:r w:rsidRPr="00BB33C4">
        <w:rPr>
          <w:rFonts w:ascii="Times New Roman" w:hAnsi="Times New Roman" w:cs="Times New Roman"/>
          <w:sz w:val="24"/>
          <w:szCs w:val="24"/>
        </w:rPr>
        <w:t xml:space="preserve">AIFDR uses Australian and Indonesian science to identify and define natural disaster hazards in Indonesia. AIFDR works closely with BNPB and Indonesian science institutions to improve hazard modelling and develop evidence-based disaster management tools such as real time earthquake shake maps and the disaster scenario development tool InaSAFE. These activities complement AIFDR’s suite of disaster management capacity building programs at national level with BNPB and with Provincial and District Disaster Management Agencies (BPBDs). Through partnerships with NGOs and CSOs, AIFDR supports community resilience to disasters in a number of provinces, including NTT, South Sulawesi, East and West Java, Papua and West Sumatra. </w:t>
      </w:r>
      <w:r>
        <w:rPr>
          <w:rFonts w:ascii="Times New Roman" w:hAnsi="Times New Roman" w:cs="Times New Roman"/>
          <w:sz w:val="24"/>
          <w:szCs w:val="24"/>
        </w:rPr>
        <w:t>We also work in partnership with ASEAN and key UN agencies to strengthen DM across the region.</w:t>
      </w:r>
    </w:p>
    <w:p w14:paraId="01065E3C" w14:textId="77777777" w:rsidR="009D0F76" w:rsidRPr="00BB33C4" w:rsidRDefault="009D0F76" w:rsidP="009D0F76">
      <w:pPr>
        <w:pStyle w:val="ListParagraph"/>
        <w:ind w:left="360"/>
        <w:rPr>
          <w:rFonts w:ascii="Times New Roman" w:hAnsi="Times New Roman" w:cs="Times New Roman"/>
          <w:sz w:val="24"/>
          <w:szCs w:val="24"/>
        </w:rPr>
      </w:pPr>
    </w:p>
    <w:p w14:paraId="6C59D16D" w14:textId="77777777" w:rsidR="009D0F76" w:rsidRDefault="009D0F76" w:rsidP="009D0F76">
      <w:pPr>
        <w:pStyle w:val="ListParagraph"/>
        <w:numPr>
          <w:ilvl w:val="0"/>
          <w:numId w:val="25"/>
        </w:numPr>
        <w:spacing w:after="200" w:line="276" w:lineRule="auto"/>
        <w:rPr>
          <w:rFonts w:ascii="Times New Roman" w:hAnsi="Times New Roman" w:cs="Times New Roman"/>
          <w:sz w:val="24"/>
          <w:szCs w:val="24"/>
        </w:rPr>
      </w:pPr>
      <w:r w:rsidRPr="00613076">
        <w:rPr>
          <w:rFonts w:ascii="Times New Roman" w:hAnsi="Times New Roman" w:cs="Times New Roman"/>
          <w:sz w:val="24"/>
          <w:szCs w:val="24"/>
        </w:rPr>
        <w:t>AIFDR’s mid-term Independent Progress Review (IPR) was completed in September 2011 and found that:</w:t>
      </w:r>
      <w:r>
        <w:rPr>
          <w:rFonts w:ascii="Times New Roman" w:hAnsi="Times New Roman" w:cs="Times New Roman"/>
          <w:sz w:val="24"/>
          <w:szCs w:val="24"/>
        </w:rPr>
        <w:t xml:space="preserve"> </w:t>
      </w:r>
      <w:r w:rsidRPr="00613076">
        <w:rPr>
          <w:rFonts w:ascii="Times New Roman" w:hAnsi="Times New Roman" w:cs="Times New Roman"/>
          <w:sz w:val="24"/>
          <w:szCs w:val="24"/>
        </w:rPr>
        <w:t>AIFDR is of high relevance to the Indonesian developmen</w:t>
      </w:r>
      <w:r>
        <w:rPr>
          <w:rFonts w:ascii="Times New Roman" w:hAnsi="Times New Roman" w:cs="Times New Roman"/>
          <w:sz w:val="24"/>
          <w:szCs w:val="24"/>
        </w:rPr>
        <w:t>t context and the Australian development</w:t>
      </w:r>
      <w:r w:rsidRPr="00613076">
        <w:rPr>
          <w:rFonts w:ascii="Times New Roman" w:hAnsi="Times New Roman" w:cs="Times New Roman"/>
          <w:sz w:val="24"/>
          <w:szCs w:val="24"/>
        </w:rPr>
        <w:t xml:space="preserve"> program, that good progress is being made towards effectiveness and sustainability, and that while time efficiency is considered good, the cost-efficiency of the AIFDR modality should be assessed. </w:t>
      </w:r>
    </w:p>
    <w:p w14:paraId="4CC43431" w14:textId="77777777" w:rsidR="009D0F76" w:rsidRPr="00CA1335" w:rsidRDefault="009D0F76" w:rsidP="009D0F76">
      <w:pPr>
        <w:pStyle w:val="ListParagraph"/>
        <w:ind w:left="360"/>
        <w:rPr>
          <w:rFonts w:ascii="Times New Roman" w:hAnsi="Times New Roman" w:cs="Times New Roman"/>
          <w:sz w:val="24"/>
          <w:szCs w:val="24"/>
        </w:rPr>
      </w:pPr>
    </w:p>
    <w:p w14:paraId="1E1308E8" w14:textId="77777777" w:rsidR="009D0F76" w:rsidRDefault="009D0F76" w:rsidP="009D0F76">
      <w:pPr>
        <w:pStyle w:val="ListParagraph"/>
        <w:numPr>
          <w:ilvl w:val="0"/>
          <w:numId w:val="25"/>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This review </w:t>
      </w:r>
      <w:r w:rsidRPr="00BB33C4">
        <w:rPr>
          <w:rFonts w:ascii="Times New Roman" w:hAnsi="Times New Roman" w:cs="Times New Roman"/>
          <w:sz w:val="24"/>
          <w:szCs w:val="24"/>
        </w:rPr>
        <w:t>will provide important lessons to inform the implementation of Australia’s new disaster management program, which is expected to commence in 2015.</w:t>
      </w:r>
    </w:p>
    <w:p w14:paraId="5B495C3C" w14:textId="77777777" w:rsidR="009D0F76" w:rsidRPr="00BB33C4" w:rsidRDefault="009D0F76" w:rsidP="009D0F76">
      <w:pPr>
        <w:pStyle w:val="ListParagraph"/>
        <w:ind w:left="360"/>
        <w:rPr>
          <w:rFonts w:ascii="Times New Roman" w:hAnsi="Times New Roman" w:cs="Times New Roman"/>
          <w:sz w:val="24"/>
          <w:szCs w:val="24"/>
        </w:rPr>
      </w:pPr>
    </w:p>
    <w:p w14:paraId="28644D3A" w14:textId="77777777" w:rsidR="009D0F76" w:rsidRDefault="009D0F76" w:rsidP="009D0F76">
      <w:pPr>
        <w:pStyle w:val="ListParagraph"/>
        <w:numPr>
          <w:ilvl w:val="0"/>
          <w:numId w:val="25"/>
        </w:numPr>
        <w:spacing w:after="200" w:line="276" w:lineRule="auto"/>
        <w:rPr>
          <w:rFonts w:ascii="Times New Roman" w:hAnsi="Times New Roman" w:cs="Times New Roman"/>
          <w:sz w:val="24"/>
          <w:szCs w:val="24"/>
        </w:rPr>
      </w:pPr>
      <w:r>
        <w:rPr>
          <w:rFonts w:ascii="Times New Roman" w:hAnsi="Times New Roman" w:cs="Times New Roman"/>
          <w:sz w:val="24"/>
          <w:szCs w:val="24"/>
        </w:rPr>
        <w:t>The cost of the activity will be approximately $60,000 and is expected to take up to 45 days to complete.</w:t>
      </w:r>
    </w:p>
    <w:p w14:paraId="2AF38556" w14:textId="77777777" w:rsidR="009D0F76" w:rsidRPr="00BD4A13" w:rsidRDefault="009D0F76" w:rsidP="009D0F76">
      <w:pPr>
        <w:pStyle w:val="ListParagraph"/>
        <w:ind w:left="360"/>
        <w:rPr>
          <w:rFonts w:ascii="Times New Roman" w:hAnsi="Times New Roman" w:cs="Times New Roman"/>
          <w:sz w:val="24"/>
          <w:szCs w:val="24"/>
        </w:rPr>
      </w:pPr>
    </w:p>
    <w:p w14:paraId="5B4EF0DC" w14:textId="77777777" w:rsidR="009D0F76" w:rsidRDefault="009D0F76" w:rsidP="009D0F76">
      <w:pPr>
        <w:pStyle w:val="ListParagraph"/>
        <w:numPr>
          <w:ilvl w:val="0"/>
          <w:numId w:val="25"/>
        </w:numPr>
        <w:spacing w:after="200" w:line="276" w:lineRule="auto"/>
        <w:rPr>
          <w:rFonts w:ascii="Times New Roman" w:hAnsi="Times New Roman" w:cs="Times New Roman"/>
          <w:sz w:val="24"/>
          <w:szCs w:val="24"/>
        </w:rPr>
      </w:pPr>
      <w:r>
        <w:rPr>
          <w:rFonts w:ascii="Times New Roman" w:hAnsi="Times New Roman" w:cs="Times New Roman"/>
          <w:sz w:val="24"/>
          <w:szCs w:val="24"/>
        </w:rPr>
        <w:t>The independent review of the 1</w:t>
      </w:r>
      <w:r w:rsidRPr="00BD4A13">
        <w:rPr>
          <w:rFonts w:ascii="Times New Roman" w:hAnsi="Times New Roman" w:cs="Times New Roman"/>
          <w:sz w:val="24"/>
          <w:szCs w:val="24"/>
          <w:vertAlign w:val="superscript"/>
        </w:rPr>
        <w:t>st</w:t>
      </w:r>
      <w:r>
        <w:rPr>
          <w:rFonts w:ascii="Times New Roman" w:hAnsi="Times New Roman" w:cs="Times New Roman"/>
          <w:sz w:val="24"/>
          <w:szCs w:val="24"/>
        </w:rPr>
        <w:t xml:space="preserve"> phase of AIFDR and the writing of a concept note to guide Australia’s future investment in ASEAN DM will be conducted within one exercise as they are within the skill set of a single consultant and it represents value for money.</w:t>
      </w:r>
    </w:p>
    <w:p w14:paraId="7E7AFFBC" w14:textId="77777777" w:rsidR="009D0F76" w:rsidRPr="00BD4A13" w:rsidRDefault="009D0F76" w:rsidP="009D0F76">
      <w:pPr>
        <w:rPr>
          <w:rFonts w:ascii="Times New Roman" w:hAnsi="Times New Roman" w:cs="Times New Roman"/>
          <w:b/>
          <w:sz w:val="24"/>
          <w:szCs w:val="24"/>
          <w:u w:val="single"/>
        </w:rPr>
      </w:pPr>
      <w:r w:rsidRPr="00BD4A13">
        <w:rPr>
          <w:rFonts w:ascii="Times New Roman" w:hAnsi="Times New Roman" w:cs="Times New Roman"/>
          <w:b/>
          <w:sz w:val="24"/>
          <w:szCs w:val="24"/>
          <w:u w:val="single"/>
        </w:rPr>
        <w:t xml:space="preserve">Part 1 – </w:t>
      </w:r>
      <w:r>
        <w:rPr>
          <w:rFonts w:ascii="Times New Roman" w:hAnsi="Times New Roman" w:cs="Times New Roman"/>
          <w:b/>
          <w:sz w:val="24"/>
          <w:szCs w:val="24"/>
          <w:u w:val="single"/>
        </w:rPr>
        <w:t>Independent Review o</w:t>
      </w:r>
      <w:r w:rsidRPr="00BD4A13">
        <w:rPr>
          <w:rFonts w:ascii="Times New Roman" w:hAnsi="Times New Roman" w:cs="Times New Roman"/>
          <w:b/>
          <w:sz w:val="24"/>
          <w:szCs w:val="24"/>
          <w:u w:val="single"/>
        </w:rPr>
        <w:t>f the 1</w:t>
      </w:r>
      <w:r w:rsidRPr="00BD4A13">
        <w:rPr>
          <w:rFonts w:ascii="Times New Roman" w:hAnsi="Times New Roman" w:cs="Times New Roman"/>
          <w:b/>
          <w:sz w:val="24"/>
          <w:szCs w:val="24"/>
          <w:u w:val="single"/>
          <w:vertAlign w:val="superscript"/>
        </w:rPr>
        <w:t>st</w:t>
      </w:r>
      <w:r w:rsidRPr="00BD4A13">
        <w:rPr>
          <w:rFonts w:ascii="Times New Roman" w:hAnsi="Times New Roman" w:cs="Times New Roman"/>
          <w:b/>
          <w:sz w:val="24"/>
          <w:szCs w:val="24"/>
          <w:u w:val="single"/>
        </w:rPr>
        <w:t xml:space="preserve"> phase of AIFDR</w:t>
      </w:r>
    </w:p>
    <w:p w14:paraId="4FB1CB01" w14:textId="77777777" w:rsidR="009D0F76" w:rsidRPr="00BB33C4" w:rsidRDefault="009D0F76" w:rsidP="009D0F76">
      <w:pPr>
        <w:rPr>
          <w:rFonts w:ascii="Times New Roman" w:hAnsi="Times New Roman" w:cs="Times New Roman"/>
          <w:b/>
          <w:sz w:val="24"/>
          <w:szCs w:val="24"/>
        </w:rPr>
      </w:pPr>
      <w:r w:rsidRPr="00BB33C4">
        <w:rPr>
          <w:rFonts w:ascii="Times New Roman" w:hAnsi="Times New Roman" w:cs="Times New Roman"/>
          <w:b/>
          <w:sz w:val="24"/>
          <w:szCs w:val="24"/>
        </w:rPr>
        <w:t>Purpose and objectives</w:t>
      </w:r>
    </w:p>
    <w:p w14:paraId="72C5BB01" w14:textId="77777777" w:rsidR="009D0F76" w:rsidRDefault="009D0F76" w:rsidP="009D0F76">
      <w:pPr>
        <w:pStyle w:val="ListParagraph"/>
        <w:numPr>
          <w:ilvl w:val="0"/>
          <w:numId w:val="25"/>
        </w:numPr>
        <w:spacing w:after="200" w:line="276" w:lineRule="auto"/>
        <w:rPr>
          <w:rFonts w:ascii="Times New Roman" w:hAnsi="Times New Roman" w:cs="Times New Roman"/>
          <w:sz w:val="24"/>
          <w:szCs w:val="24"/>
        </w:rPr>
      </w:pPr>
      <w:r w:rsidRPr="00937EB3">
        <w:rPr>
          <w:rFonts w:ascii="Times New Roman" w:hAnsi="Times New Roman" w:cs="Times New Roman"/>
          <w:sz w:val="24"/>
          <w:szCs w:val="24"/>
        </w:rPr>
        <w:t xml:space="preserve">The </w:t>
      </w:r>
      <w:r>
        <w:rPr>
          <w:rFonts w:ascii="Times New Roman" w:hAnsi="Times New Roman" w:cs="Times New Roman"/>
          <w:sz w:val="24"/>
          <w:szCs w:val="24"/>
        </w:rPr>
        <w:t>three objectives of the</w:t>
      </w:r>
      <w:r w:rsidRPr="00937EB3">
        <w:rPr>
          <w:rFonts w:ascii="Times New Roman" w:hAnsi="Times New Roman" w:cs="Times New Roman"/>
          <w:sz w:val="24"/>
          <w:szCs w:val="24"/>
        </w:rPr>
        <w:t xml:space="preserve"> </w:t>
      </w:r>
      <w:r>
        <w:rPr>
          <w:rFonts w:ascii="Times New Roman" w:hAnsi="Times New Roman" w:cs="Times New Roman"/>
          <w:sz w:val="24"/>
          <w:szCs w:val="24"/>
        </w:rPr>
        <w:t>Independent Review of the 1</w:t>
      </w:r>
      <w:r w:rsidRPr="00CA1335">
        <w:rPr>
          <w:rFonts w:ascii="Times New Roman" w:hAnsi="Times New Roman" w:cs="Times New Roman"/>
          <w:sz w:val="24"/>
          <w:szCs w:val="24"/>
          <w:vertAlign w:val="superscript"/>
        </w:rPr>
        <w:t>st</w:t>
      </w:r>
      <w:r>
        <w:rPr>
          <w:rFonts w:ascii="Times New Roman" w:hAnsi="Times New Roman" w:cs="Times New Roman"/>
          <w:sz w:val="24"/>
          <w:szCs w:val="24"/>
        </w:rPr>
        <w:t xml:space="preserve"> phase of AIFDR are: </w:t>
      </w:r>
    </w:p>
    <w:p w14:paraId="26A406CE" w14:textId="77777777" w:rsidR="009D0F76" w:rsidRPr="002653F6" w:rsidRDefault="009D0F76" w:rsidP="009D0F76">
      <w:pPr>
        <w:pStyle w:val="ListParagraph"/>
        <w:ind w:left="360"/>
        <w:rPr>
          <w:rFonts w:ascii="Times New Roman" w:hAnsi="Times New Roman" w:cs="Times New Roman"/>
          <w:sz w:val="16"/>
          <w:szCs w:val="16"/>
        </w:rPr>
      </w:pPr>
    </w:p>
    <w:p w14:paraId="7DA5E6F9"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to assess key program deliverables and key development outcomes of relevance to the Government of Indonesia (GoI) and the Government of Australia (GoA);</w:t>
      </w:r>
    </w:p>
    <w:p w14:paraId="609ACC00" w14:textId="77777777" w:rsidR="009D0F76" w:rsidRDefault="009D0F76" w:rsidP="009D0F76">
      <w:pPr>
        <w:pStyle w:val="ListParagraph"/>
        <w:rPr>
          <w:rFonts w:ascii="Times New Roman" w:hAnsi="Times New Roman" w:cs="Times New Roman"/>
          <w:sz w:val="24"/>
          <w:szCs w:val="24"/>
        </w:rPr>
      </w:pPr>
    </w:p>
    <w:p w14:paraId="2D910B6B"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to </w:t>
      </w:r>
      <w:r w:rsidRPr="005874B3">
        <w:rPr>
          <w:rFonts w:ascii="Times New Roman" w:hAnsi="Times New Roman" w:cs="Times New Roman"/>
          <w:sz w:val="24"/>
          <w:szCs w:val="24"/>
        </w:rPr>
        <w:t xml:space="preserve"> </w:t>
      </w:r>
      <w:r>
        <w:rPr>
          <w:rFonts w:ascii="Times New Roman" w:hAnsi="Times New Roman" w:cs="Times New Roman"/>
          <w:sz w:val="24"/>
          <w:szCs w:val="24"/>
        </w:rPr>
        <w:t>evaluate and assess AIFDR’s partnership with Indonesia’s National Disaster Management Agency (BNPB) and other key partners (such as ASEAN, UNDP, NGOs and CSOs) in terms of relevance, effectiveness and efficiency;</w:t>
      </w:r>
    </w:p>
    <w:p w14:paraId="306FE588" w14:textId="77777777" w:rsidR="009D0F76" w:rsidRPr="008849FD" w:rsidRDefault="009D0F76" w:rsidP="009D0F76">
      <w:pPr>
        <w:pStyle w:val="ListParagraph"/>
        <w:rPr>
          <w:rFonts w:ascii="Times New Roman" w:hAnsi="Times New Roman" w:cs="Times New Roman"/>
          <w:sz w:val="24"/>
          <w:szCs w:val="24"/>
        </w:rPr>
      </w:pPr>
    </w:p>
    <w:p w14:paraId="4FC56E31"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support the </w:t>
      </w:r>
      <w:r w:rsidRPr="005874B3">
        <w:rPr>
          <w:rFonts w:ascii="Times New Roman" w:hAnsi="Times New Roman" w:cs="Times New Roman"/>
          <w:sz w:val="24"/>
          <w:szCs w:val="24"/>
        </w:rPr>
        <w:t>implementation of Australia’s new disaster risk management program for Indonesia</w:t>
      </w:r>
      <w:r>
        <w:rPr>
          <w:rFonts w:ascii="Times New Roman" w:hAnsi="Times New Roman" w:cs="Times New Roman"/>
          <w:sz w:val="24"/>
          <w:szCs w:val="24"/>
        </w:rPr>
        <w:t xml:space="preserve"> </w:t>
      </w:r>
      <w:r w:rsidRPr="005874B3">
        <w:rPr>
          <w:rFonts w:ascii="Times New Roman" w:hAnsi="Times New Roman" w:cs="Times New Roman"/>
          <w:sz w:val="24"/>
          <w:szCs w:val="24"/>
        </w:rPr>
        <w:t>(AIFDR 2)</w:t>
      </w:r>
      <w:r>
        <w:rPr>
          <w:rFonts w:ascii="Times New Roman" w:hAnsi="Times New Roman" w:cs="Times New Roman"/>
          <w:sz w:val="24"/>
          <w:szCs w:val="24"/>
        </w:rPr>
        <w:t>, including the science program delivered by Geoscience Australia, by capturing and documenting key lessons learned.</w:t>
      </w:r>
    </w:p>
    <w:p w14:paraId="64213B32" w14:textId="77777777" w:rsidR="009D0F76" w:rsidRPr="00C466F6" w:rsidRDefault="009D0F76" w:rsidP="009D0F76">
      <w:pPr>
        <w:rPr>
          <w:rFonts w:ascii="Times New Roman" w:hAnsi="Times New Roman" w:cs="Times New Roman"/>
          <w:b/>
          <w:sz w:val="24"/>
          <w:szCs w:val="24"/>
        </w:rPr>
      </w:pPr>
      <w:r w:rsidRPr="00C466F6">
        <w:rPr>
          <w:rFonts w:ascii="Times New Roman" w:hAnsi="Times New Roman" w:cs="Times New Roman"/>
          <w:b/>
          <w:sz w:val="24"/>
          <w:szCs w:val="24"/>
        </w:rPr>
        <w:t>Review methodology</w:t>
      </w:r>
    </w:p>
    <w:p w14:paraId="69E8CE7E" w14:textId="77777777" w:rsidR="009D0F76" w:rsidRPr="00BD4A13" w:rsidRDefault="009D0F76" w:rsidP="009D0F76">
      <w:pPr>
        <w:pStyle w:val="ListParagraph"/>
        <w:numPr>
          <w:ilvl w:val="0"/>
          <w:numId w:val="25"/>
        </w:numPr>
        <w:spacing w:after="200" w:line="276" w:lineRule="auto"/>
        <w:rPr>
          <w:rFonts w:ascii="Times New Roman" w:hAnsi="Times New Roman" w:cs="Times New Roman"/>
          <w:i/>
          <w:sz w:val="24"/>
          <w:szCs w:val="24"/>
          <w:u w:val="single"/>
        </w:rPr>
      </w:pPr>
      <w:r w:rsidRPr="00BD4A13">
        <w:rPr>
          <w:rFonts w:ascii="Times New Roman" w:hAnsi="Times New Roman" w:cs="Times New Roman"/>
          <w:sz w:val="24"/>
          <w:szCs w:val="24"/>
        </w:rPr>
        <w:t xml:space="preserve">An independent </w:t>
      </w:r>
      <w:r>
        <w:rPr>
          <w:rFonts w:ascii="Times New Roman" w:hAnsi="Times New Roman" w:cs="Times New Roman"/>
          <w:sz w:val="24"/>
          <w:szCs w:val="24"/>
        </w:rPr>
        <w:t>DM</w:t>
      </w:r>
      <w:r w:rsidRPr="00BD4A13">
        <w:rPr>
          <w:rFonts w:ascii="Times New Roman" w:hAnsi="Times New Roman" w:cs="Times New Roman"/>
          <w:sz w:val="24"/>
          <w:szCs w:val="24"/>
        </w:rPr>
        <w:t xml:space="preserve"> specialist with experience in </w:t>
      </w:r>
      <w:r>
        <w:rPr>
          <w:rFonts w:ascii="Times New Roman" w:hAnsi="Times New Roman" w:cs="Times New Roman"/>
          <w:sz w:val="24"/>
          <w:szCs w:val="24"/>
        </w:rPr>
        <w:t>evaluation and</w:t>
      </w:r>
      <w:r w:rsidRPr="00BD4A13">
        <w:rPr>
          <w:rFonts w:ascii="Times New Roman" w:hAnsi="Times New Roman" w:cs="Times New Roman"/>
          <w:sz w:val="24"/>
          <w:szCs w:val="24"/>
        </w:rPr>
        <w:t xml:space="preserve"> design will be selected to undertake a thorough document review of all program and project evaluations and conduct interviews and consultations with key stakeholders. </w:t>
      </w:r>
      <w:r>
        <w:rPr>
          <w:rFonts w:ascii="Times New Roman" w:hAnsi="Times New Roman" w:cs="Times New Roman"/>
          <w:sz w:val="24"/>
          <w:szCs w:val="24"/>
        </w:rPr>
        <w:t>This specialist may</w:t>
      </w:r>
      <w:r w:rsidRPr="00BD4A13">
        <w:rPr>
          <w:rFonts w:ascii="Times New Roman" w:hAnsi="Times New Roman" w:cs="Times New Roman"/>
          <w:sz w:val="24"/>
          <w:szCs w:val="24"/>
        </w:rPr>
        <w:t xml:space="preserve"> be supported by </w:t>
      </w:r>
      <w:r>
        <w:rPr>
          <w:rFonts w:ascii="Times New Roman" w:hAnsi="Times New Roman" w:cs="Times New Roman"/>
          <w:sz w:val="24"/>
          <w:szCs w:val="24"/>
        </w:rPr>
        <w:t>a relevant DFAT</w:t>
      </w:r>
      <w:r w:rsidRPr="00BD4A13">
        <w:rPr>
          <w:rFonts w:ascii="Times New Roman" w:hAnsi="Times New Roman" w:cs="Times New Roman"/>
          <w:sz w:val="24"/>
          <w:szCs w:val="24"/>
        </w:rPr>
        <w:t xml:space="preserve"> official</w:t>
      </w:r>
      <w:r>
        <w:rPr>
          <w:rFonts w:ascii="Times New Roman" w:hAnsi="Times New Roman" w:cs="Times New Roman"/>
          <w:sz w:val="24"/>
          <w:szCs w:val="24"/>
        </w:rPr>
        <w:t xml:space="preserve"> from Canberra</w:t>
      </w:r>
      <w:r w:rsidRPr="00BD4A13">
        <w:rPr>
          <w:rFonts w:ascii="Times New Roman" w:hAnsi="Times New Roman" w:cs="Times New Roman"/>
          <w:sz w:val="24"/>
          <w:szCs w:val="24"/>
        </w:rPr>
        <w:t xml:space="preserve">. </w:t>
      </w:r>
    </w:p>
    <w:p w14:paraId="2346B61B" w14:textId="77777777" w:rsidR="009D0F76" w:rsidRPr="00BD4A13" w:rsidRDefault="009D0F76" w:rsidP="009D0F76">
      <w:pPr>
        <w:pStyle w:val="ListParagraph"/>
        <w:ind w:left="360"/>
        <w:rPr>
          <w:rFonts w:ascii="Times New Roman" w:hAnsi="Times New Roman" w:cs="Times New Roman"/>
          <w:i/>
          <w:sz w:val="24"/>
          <w:szCs w:val="24"/>
          <w:u w:val="single"/>
        </w:rPr>
      </w:pPr>
    </w:p>
    <w:p w14:paraId="6AC4E6B9" w14:textId="77777777" w:rsidR="009D0F76" w:rsidRPr="00BD4A13" w:rsidRDefault="009D0F76" w:rsidP="009D0F76">
      <w:pPr>
        <w:rPr>
          <w:rFonts w:ascii="Times New Roman" w:hAnsi="Times New Roman" w:cs="Times New Roman"/>
          <w:b/>
          <w:sz w:val="24"/>
          <w:szCs w:val="24"/>
        </w:rPr>
      </w:pPr>
      <w:r w:rsidRPr="00BD4A13">
        <w:rPr>
          <w:rFonts w:ascii="Times New Roman" w:hAnsi="Times New Roman" w:cs="Times New Roman"/>
          <w:b/>
          <w:sz w:val="24"/>
          <w:szCs w:val="24"/>
        </w:rPr>
        <w:t>Key Stakeholders</w:t>
      </w:r>
    </w:p>
    <w:p w14:paraId="1ED43AE6"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Indonesia’s National Disaster Management Agency (BNPB) and selected provincial and district disaster management offices (BPBDs);</w:t>
      </w:r>
    </w:p>
    <w:p w14:paraId="4EE44E6A" w14:textId="77777777" w:rsidR="009D0F76" w:rsidRDefault="009D0F76" w:rsidP="009D0F76">
      <w:pPr>
        <w:pStyle w:val="ListParagraph"/>
        <w:rPr>
          <w:rFonts w:ascii="Times New Roman" w:hAnsi="Times New Roman" w:cs="Times New Roman"/>
          <w:sz w:val="24"/>
          <w:szCs w:val="24"/>
        </w:rPr>
      </w:pPr>
    </w:p>
    <w:p w14:paraId="27A10F94" w14:textId="77777777" w:rsidR="009D0F76" w:rsidRPr="00086B2F"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Other relevant Indonesian ministries and agencies such as Bappenas;</w:t>
      </w:r>
    </w:p>
    <w:p w14:paraId="68DF56C9" w14:textId="77777777" w:rsidR="009D0F76" w:rsidRPr="002653F6" w:rsidRDefault="009D0F76" w:rsidP="009D0F76">
      <w:pPr>
        <w:pStyle w:val="ListParagraph"/>
        <w:rPr>
          <w:rFonts w:ascii="Times New Roman" w:hAnsi="Times New Roman" w:cs="Times New Roman"/>
          <w:sz w:val="16"/>
          <w:szCs w:val="16"/>
        </w:rPr>
      </w:pPr>
    </w:p>
    <w:p w14:paraId="5B115BCC"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Indonesian science agencies;</w:t>
      </w:r>
    </w:p>
    <w:p w14:paraId="43FB87D6" w14:textId="77777777" w:rsidR="009D0F76" w:rsidRPr="002653F6" w:rsidRDefault="009D0F76" w:rsidP="009D0F76">
      <w:pPr>
        <w:pStyle w:val="ListParagraph"/>
        <w:rPr>
          <w:rFonts w:ascii="Times New Roman" w:hAnsi="Times New Roman" w:cs="Times New Roman"/>
          <w:sz w:val="16"/>
          <w:szCs w:val="16"/>
        </w:rPr>
      </w:pPr>
    </w:p>
    <w:p w14:paraId="2396F7B5" w14:textId="77777777" w:rsidR="009D0F76" w:rsidRPr="00086FB5" w:rsidRDefault="009D0F76" w:rsidP="009D0F76">
      <w:pPr>
        <w:pStyle w:val="ListParagraph"/>
        <w:numPr>
          <w:ilvl w:val="0"/>
          <w:numId w:val="10"/>
        </w:numPr>
        <w:spacing w:after="200" w:line="276" w:lineRule="auto"/>
        <w:rPr>
          <w:rFonts w:ascii="Times New Roman" w:hAnsi="Times New Roman" w:cs="Times New Roman"/>
          <w:sz w:val="24"/>
          <w:szCs w:val="24"/>
        </w:rPr>
      </w:pPr>
      <w:proofErr w:type="gramStart"/>
      <w:r>
        <w:rPr>
          <w:rFonts w:ascii="Times New Roman" w:hAnsi="Times New Roman" w:cs="Times New Roman"/>
          <w:sz w:val="24"/>
          <w:szCs w:val="24"/>
        </w:rPr>
        <w:t>selected</w:t>
      </w:r>
      <w:proofErr w:type="gramEnd"/>
      <w:r>
        <w:rPr>
          <w:rFonts w:ascii="Times New Roman" w:hAnsi="Times New Roman" w:cs="Times New Roman"/>
          <w:sz w:val="24"/>
          <w:szCs w:val="24"/>
        </w:rPr>
        <w:t xml:space="preserve"> implementing partners including ASEAN, Nahdlatul Ulama (NU), the International Organisation for Migration (IOM), the United Nations Development Program (UNDP), Oxfam and the Australian Red Cross (ARC).</w:t>
      </w:r>
    </w:p>
    <w:p w14:paraId="71A9A1DC" w14:textId="77777777" w:rsidR="009D0F76" w:rsidRPr="00920435" w:rsidRDefault="009D0F76" w:rsidP="009D0F76">
      <w:pPr>
        <w:pStyle w:val="ListParagraph"/>
        <w:rPr>
          <w:rFonts w:ascii="Times New Roman" w:hAnsi="Times New Roman" w:cs="Times New Roman"/>
          <w:sz w:val="24"/>
          <w:szCs w:val="24"/>
        </w:rPr>
      </w:pPr>
    </w:p>
    <w:p w14:paraId="13B35D3A" w14:textId="77777777" w:rsidR="009D0F76" w:rsidRPr="00BF4415" w:rsidRDefault="009D0F76" w:rsidP="009D0F76">
      <w:pPr>
        <w:rPr>
          <w:rFonts w:ascii="Times New Roman" w:hAnsi="Times New Roman" w:cs="Times New Roman"/>
          <w:b/>
          <w:sz w:val="24"/>
          <w:szCs w:val="24"/>
        </w:rPr>
      </w:pPr>
      <w:r w:rsidRPr="00BF4415">
        <w:rPr>
          <w:rFonts w:ascii="Times New Roman" w:hAnsi="Times New Roman" w:cs="Times New Roman"/>
          <w:b/>
          <w:sz w:val="24"/>
          <w:szCs w:val="24"/>
        </w:rPr>
        <w:t>Key Documents</w:t>
      </w:r>
    </w:p>
    <w:p w14:paraId="630C278D" w14:textId="77777777" w:rsidR="009D0F76" w:rsidRPr="002653F6" w:rsidRDefault="009D0F76" w:rsidP="009D0F76">
      <w:pPr>
        <w:pStyle w:val="ListParagraph"/>
        <w:ind w:left="360"/>
        <w:rPr>
          <w:rFonts w:ascii="Times New Roman" w:hAnsi="Times New Roman" w:cs="Times New Roman"/>
          <w:sz w:val="16"/>
          <w:szCs w:val="16"/>
        </w:rPr>
      </w:pPr>
    </w:p>
    <w:p w14:paraId="64562FE0"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M</w:t>
      </w:r>
      <w:r w:rsidRPr="00937EB3">
        <w:rPr>
          <w:rFonts w:ascii="Times New Roman" w:hAnsi="Times New Roman" w:cs="Times New Roman"/>
          <w:sz w:val="24"/>
          <w:szCs w:val="24"/>
        </w:rPr>
        <w:t>id-term AIFDR In</w:t>
      </w:r>
      <w:r>
        <w:rPr>
          <w:rFonts w:ascii="Times New Roman" w:hAnsi="Times New Roman" w:cs="Times New Roman"/>
          <w:sz w:val="24"/>
          <w:szCs w:val="24"/>
        </w:rPr>
        <w:t>dependent Progress Review (IPR) – September 2011;</w:t>
      </w:r>
    </w:p>
    <w:p w14:paraId="5977948B" w14:textId="77777777" w:rsidR="009D0F76" w:rsidRPr="002653F6" w:rsidRDefault="009D0F76" w:rsidP="009D0F76">
      <w:pPr>
        <w:pStyle w:val="ListParagraph"/>
        <w:rPr>
          <w:rFonts w:ascii="Times New Roman" w:hAnsi="Times New Roman" w:cs="Times New Roman"/>
          <w:sz w:val="16"/>
          <w:szCs w:val="16"/>
        </w:rPr>
      </w:pPr>
    </w:p>
    <w:p w14:paraId="5B8A6F1D"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Mid-term review - Capacity Development Support Program – June 2013;</w:t>
      </w:r>
    </w:p>
    <w:p w14:paraId="68D58479" w14:textId="77777777" w:rsidR="009D0F76" w:rsidRPr="002653F6" w:rsidRDefault="009D0F76" w:rsidP="009D0F76">
      <w:pPr>
        <w:pStyle w:val="ListParagraph"/>
        <w:rPr>
          <w:rFonts w:ascii="Times New Roman" w:hAnsi="Times New Roman" w:cs="Times New Roman"/>
          <w:sz w:val="16"/>
          <w:szCs w:val="16"/>
        </w:rPr>
      </w:pPr>
    </w:p>
    <w:p w14:paraId="62480719"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Independent mid-term review - NU’s disaster management program in East Java – October 2012;</w:t>
      </w:r>
    </w:p>
    <w:p w14:paraId="00452E91" w14:textId="77777777" w:rsidR="009D0F76" w:rsidRPr="002653F6" w:rsidRDefault="009D0F76" w:rsidP="009D0F76">
      <w:pPr>
        <w:pStyle w:val="ListParagraph"/>
        <w:rPr>
          <w:rFonts w:ascii="Times New Roman" w:hAnsi="Times New Roman" w:cs="Times New Roman"/>
          <w:sz w:val="16"/>
          <w:szCs w:val="16"/>
        </w:rPr>
      </w:pPr>
    </w:p>
    <w:p w14:paraId="7918140A"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All reviews/evaluations produced by Geoscience Australia as part of AIFDR’s Risk and Vulnerability program;</w:t>
      </w:r>
    </w:p>
    <w:p w14:paraId="2BC5B9A6" w14:textId="77777777" w:rsidR="009D0F76" w:rsidRPr="002653F6" w:rsidRDefault="009D0F76" w:rsidP="009D0F76">
      <w:pPr>
        <w:pStyle w:val="ListParagraph"/>
        <w:rPr>
          <w:rFonts w:ascii="Times New Roman" w:hAnsi="Times New Roman" w:cs="Times New Roman"/>
          <w:sz w:val="16"/>
          <w:szCs w:val="16"/>
        </w:rPr>
      </w:pPr>
    </w:p>
    <w:p w14:paraId="5B6FDA76"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Independent evaluation of Build Back Better program – March 2011;</w:t>
      </w:r>
    </w:p>
    <w:p w14:paraId="6D1CD3CE" w14:textId="77777777" w:rsidR="009D0F76" w:rsidRPr="005949D3" w:rsidRDefault="009D0F76" w:rsidP="009D0F76">
      <w:pPr>
        <w:pStyle w:val="ListParagraph"/>
        <w:rPr>
          <w:rFonts w:ascii="Times New Roman" w:hAnsi="Times New Roman" w:cs="Times New Roman"/>
          <w:sz w:val="16"/>
          <w:szCs w:val="16"/>
        </w:rPr>
      </w:pPr>
    </w:p>
    <w:p w14:paraId="05F6781B"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Mid-term review – Oxfam’s Building Resilience in Eastern Indonesia – June 2011;</w:t>
      </w:r>
    </w:p>
    <w:p w14:paraId="5B6A576F" w14:textId="77777777" w:rsidR="009D0F76" w:rsidRPr="005949D3" w:rsidRDefault="009D0F76" w:rsidP="009D0F76">
      <w:pPr>
        <w:pStyle w:val="ListParagraph"/>
        <w:rPr>
          <w:rFonts w:ascii="Times New Roman" w:hAnsi="Times New Roman" w:cs="Times New Roman"/>
          <w:sz w:val="16"/>
          <w:szCs w:val="16"/>
        </w:rPr>
      </w:pPr>
    </w:p>
    <w:p w14:paraId="19A91CEF"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Internal final evaluation – UNDP’s Safer Community for DRR – November 2011;</w:t>
      </w:r>
    </w:p>
    <w:p w14:paraId="07C7CDFA" w14:textId="77777777" w:rsidR="009D0F76" w:rsidRPr="005949D3" w:rsidRDefault="009D0F76" w:rsidP="009D0F76">
      <w:pPr>
        <w:pStyle w:val="ListParagraph"/>
        <w:rPr>
          <w:rFonts w:ascii="Times New Roman" w:hAnsi="Times New Roman" w:cs="Times New Roman"/>
          <w:sz w:val="16"/>
          <w:szCs w:val="16"/>
        </w:rPr>
      </w:pPr>
    </w:p>
    <w:p w14:paraId="1735986F"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Independent evaluation – Mercy Corp’s Resilient Village (RAGAM) program – May 2012;</w:t>
      </w:r>
    </w:p>
    <w:p w14:paraId="7E259F08" w14:textId="77777777" w:rsidR="009D0F76" w:rsidRPr="005949D3" w:rsidRDefault="009D0F76" w:rsidP="009D0F76">
      <w:pPr>
        <w:pStyle w:val="ListParagraph"/>
        <w:rPr>
          <w:rFonts w:ascii="Times New Roman" w:hAnsi="Times New Roman" w:cs="Times New Roman"/>
          <w:sz w:val="16"/>
          <w:szCs w:val="16"/>
        </w:rPr>
      </w:pPr>
    </w:p>
    <w:p w14:paraId="0452E567"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Mid-term review – ARC’s Strengthened Disaster Coordination and Response in East Indonesia – December 2012;</w:t>
      </w:r>
    </w:p>
    <w:p w14:paraId="7B375EAE" w14:textId="77777777" w:rsidR="009D0F76" w:rsidRPr="005949D3" w:rsidRDefault="009D0F76" w:rsidP="009D0F76">
      <w:pPr>
        <w:pStyle w:val="ListParagraph"/>
        <w:rPr>
          <w:rFonts w:ascii="Times New Roman" w:hAnsi="Times New Roman" w:cs="Times New Roman"/>
          <w:sz w:val="16"/>
          <w:szCs w:val="16"/>
        </w:rPr>
      </w:pPr>
    </w:p>
    <w:p w14:paraId="1638373E"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Internal review of Research and Innovation program;</w:t>
      </w:r>
    </w:p>
    <w:p w14:paraId="05AC0D15" w14:textId="77777777" w:rsidR="009D0F76" w:rsidRPr="005949D3" w:rsidRDefault="009D0F76" w:rsidP="009D0F76">
      <w:pPr>
        <w:pStyle w:val="ListParagraph"/>
        <w:rPr>
          <w:rFonts w:ascii="Times New Roman" w:hAnsi="Times New Roman" w:cs="Times New Roman"/>
          <w:sz w:val="16"/>
          <w:szCs w:val="16"/>
        </w:rPr>
      </w:pPr>
    </w:p>
    <w:p w14:paraId="347EA403"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Project progress reports, back-to-office reports, i</w:t>
      </w:r>
      <w:r w:rsidRPr="005949D3">
        <w:rPr>
          <w:rFonts w:ascii="Times New Roman" w:hAnsi="Times New Roman" w:cs="Times New Roman"/>
          <w:sz w:val="24"/>
          <w:szCs w:val="24"/>
        </w:rPr>
        <w:t>n</w:t>
      </w:r>
      <w:r>
        <w:rPr>
          <w:rFonts w:ascii="Times New Roman" w:hAnsi="Times New Roman" w:cs="Times New Roman"/>
          <w:sz w:val="24"/>
          <w:szCs w:val="24"/>
        </w:rPr>
        <w:t>ternal assessments, work-plans and budget plans, media coverage and web-based articles; and</w:t>
      </w:r>
      <w:r w:rsidRPr="005949D3">
        <w:rPr>
          <w:rFonts w:ascii="Times New Roman" w:hAnsi="Times New Roman" w:cs="Times New Roman"/>
          <w:sz w:val="24"/>
          <w:szCs w:val="24"/>
        </w:rPr>
        <w:t xml:space="preserve"> </w:t>
      </w:r>
    </w:p>
    <w:p w14:paraId="7966E892" w14:textId="77777777" w:rsidR="009D0F76" w:rsidRPr="009F0B1E" w:rsidRDefault="009D0F76" w:rsidP="009D0F76">
      <w:pPr>
        <w:pStyle w:val="ListParagraph"/>
        <w:rPr>
          <w:rFonts w:ascii="Times New Roman" w:hAnsi="Times New Roman" w:cs="Times New Roman"/>
          <w:sz w:val="24"/>
          <w:szCs w:val="24"/>
        </w:rPr>
      </w:pPr>
    </w:p>
    <w:p w14:paraId="7BF50EF0"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ASEAN-Australia Cooperation Arrangement and associated documents such as progress and financial reports.</w:t>
      </w:r>
    </w:p>
    <w:p w14:paraId="034B0E98" w14:textId="77777777" w:rsidR="009D0F76" w:rsidRPr="00086FB5" w:rsidRDefault="009D0F76" w:rsidP="009D0F76">
      <w:pPr>
        <w:pStyle w:val="ListParagraph"/>
        <w:rPr>
          <w:rFonts w:ascii="Times New Roman" w:hAnsi="Times New Roman" w:cs="Times New Roman"/>
          <w:sz w:val="24"/>
          <w:szCs w:val="24"/>
        </w:rPr>
      </w:pPr>
    </w:p>
    <w:p w14:paraId="717B8501" w14:textId="77777777" w:rsidR="009D0F76" w:rsidRPr="005949D3"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Records of ASEAN Committee on Disaster Management – Dialogue Partner meetings; East Asia Summit meetings; ASEAN Technical Working Group meetings; AADMER and associated documents; AADMER phase 2 strategy;  ASEAN publications related to regional DM. </w:t>
      </w:r>
    </w:p>
    <w:p w14:paraId="2AAA6284" w14:textId="77777777" w:rsidR="009D0F76" w:rsidRPr="00EA0252" w:rsidRDefault="009D0F76" w:rsidP="009D0F76">
      <w:pPr>
        <w:rPr>
          <w:rFonts w:ascii="Times New Roman" w:hAnsi="Times New Roman" w:cs="Times New Roman"/>
          <w:b/>
          <w:sz w:val="24"/>
          <w:szCs w:val="24"/>
        </w:rPr>
      </w:pPr>
      <w:r w:rsidRPr="00840614">
        <w:rPr>
          <w:rFonts w:ascii="Times New Roman" w:hAnsi="Times New Roman" w:cs="Times New Roman"/>
          <w:b/>
          <w:sz w:val="24"/>
          <w:szCs w:val="24"/>
        </w:rPr>
        <w:t>Scope of services</w:t>
      </w:r>
    </w:p>
    <w:p w14:paraId="659222C4" w14:textId="77777777" w:rsidR="009D0F76" w:rsidRPr="00840614" w:rsidRDefault="009D0F76" w:rsidP="009D0F76">
      <w:pPr>
        <w:pStyle w:val="ListParagraph"/>
        <w:numPr>
          <w:ilvl w:val="0"/>
          <w:numId w:val="25"/>
        </w:numPr>
        <w:spacing w:after="200" w:line="276" w:lineRule="auto"/>
        <w:rPr>
          <w:rFonts w:ascii="Times New Roman" w:hAnsi="Times New Roman" w:cs="Times New Roman"/>
          <w:sz w:val="24"/>
          <w:szCs w:val="24"/>
        </w:rPr>
      </w:pPr>
      <w:r w:rsidRPr="00840614">
        <w:rPr>
          <w:rFonts w:ascii="Times New Roman" w:hAnsi="Times New Roman" w:cs="Times New Roman"/>
          <w:sz w:val="24"/>
          <w:szCs w:val="24"/>
        </w:rPr>
        <w:t xml:space="preserve">The independent </w:t>
      </w:r>
      <w:r>
        <w:rPr>
          <w:rFonts w:ascii="Times New Roman" w:hAnsi="Times New Roman" w:cs="Times New Roman"/>
          <w:sz w:val="24"/>
          <w:szCs w:val="24"/>
        </w:rPr>
        <w:t xml:space="preserve">DM specialist </w:t>
      </w:r>
      <w:r w:rsidRPr="00840614">
        <w:rPr>
          <w:rFonts w:ascii="Times New Roman" w:hAnsi="Times New Roman" w:cs="Times New Roman"/>
          <w:sz w:val="24"/>
          <w:szCs w:val="24"/>
        </w:rPr>
        <w:t xml:space="preserve">will </w:t>
      </w:r>
      <w:r>
        <w:rPr>
          <w:rFonts w:ascii="Times New Roman" w:hAnsi="Times New Roman" w:cs="Times New Roman"/>
          <w:sz w:val="24"/>
          <w:szCs w:val="24"/>
        </w:rPr>
        <w:t xml:space="preserve">plan and conduct the review </w:t>
      </w:r>
      <w:r w:rsidRPr="00840614">
        <w:rPr>
          <w:rFonts w:ascii="Times New Roman" w:hAnsi="Times New Roman" w:cs="Times New Roman"/>
          <w:sz w:val="24"/>
          <w:szCs w:val="24"/>
        </w:rPr>
        <w:t xml:space="preserve">which will consist of a thorough document review </w:t>
      </w:r>
      <w:r>
        <w:rPr>
          <w:rFonts w:ascii="Times New Roman" w:hAnsi="Times New Roman" w:cs="Times New Roman"/>
          <w:sz w:val="24"/>
          <w:szCs w:val="24"/>
        </w:rPr>
        <w:t xml:space="preserve">and interviews </w:t>
      </w:r>
      <w:r w:rsidRPr="00840614">
        <w:rPr>
          <w:rFonts w:ascii="Times New Roman" w:hAnsi="Times New Roman" w:cs="Times New Roman"/>
          <w:sz w:val="24"/>
          <w:szCs w:val="24"/>
        </w:rPr>
        <w:t xml:space="preserve">with key stakeholders.  </w:t>
      </w:r>
      <w:r>
        <w:rPr>
          <w:rFonts w:ascii="Times New Roman" w:hAnsi="Times New Roman" w:cs="Times New Roman"/>
          <w:sz w:val="24"/>
          <w:szCs w:val="24"/>
        </w:rPr>
        <w:t>The independent DM specialist will assess AIFDR’s performance against the review questions outlined in Paragraph 14. The independent review team will:</w:t>
      </w:r>
    </w:p>
    <w:p w14:paraId="324C979D" w14:textId="77777777" w:rsidR="009D0F76" w:rsidRDefault="009D0F76" w:rsidP="009D0F76">
      <w:pPr>
        <w:pStyle w:val="ListParagraph"/>
        <w:ind w:left="360"/>
        <w:rPr>
          <w:rFonts w:ascii="Times New Roman" w:hAnsi="Times New Roman" w:cs="Times New Roman"/>
          <w:sz w:val="24"/>
          <w:szCs w:val="24"/>
        </w:rPr>
      </w:pPr>
    </w:p>
    <w:p w14:paraId="3F6136C8"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sidRPr="00840614">
        <w:rPr>
          <w:rFonts w:ascii="Times New Roman" w:hAnsi="Times New Roman" w:cs="Times New Roman"/>
          <w:sz w:val="24"/>
          <w:szCs w:val="24"/>
        </w:rPr>
        <w:t>conduct a thorough document review and analysis base</w:t>
      </w:r>
      <w:r>
        <w:rPr>
          <w:rFonts w:ascii="Times New Roman" w:hAnsi="Times New Roman" w:cs="Times New Roman"/>
          <w:sz w:val="24"/>
          <w:szCs w:val="24"/>
        </w:rPr>
        <w:t>d on the existing documentation;</w:t>
      </w:r>
    </w:p>
    <w:p w14:paraId="0F7F5AD8" w14:textId="77777777" w:rsidR="009D0F76" w:rsidRPr="00D832B0" w:rsidRDefault="009D0F76" w:rsidP="009D0F76">
      <w:pPr>
        <w:pStyle w:val="ListParagraph"/>
        <w:rPr>
          <w:rFonts w:ascii="Times New Roman" w:hAnsi="Times New Roman" w:cs="Times New Roman"/>
          <w:sz w:val="16"/>
          <w:szCs w:val="16"/>
        </w:rPr>
      </w:pPr>
    </w:p>
    <w:p w14:paraId="23CCCF30"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sidRPr="005874B3">
        <w:rPr>
          <w:rFonts w:ascii="Times New Roman" w:hAnsi="Times New Roman" w:cs="Times New Roman"/>
          <w:sz w:val="24"/>
          <w:szCs w:val="24"/>
        </w:rPr>
        <w:t xml:space="preserve">identify </w:t>
      </w:r>
      <w:r>
        <w:rPr>
          <w:rFonts w:ascii="Times New Roman" w:hAnsi="Times New Roman" w:cs="Times New Roman"/>
          <w:sz w:val="24"/>
          <w:szCs w:val="24"/>
        </w:rPr>
        <w:t>any missing</w:t>
      </w:r>
      <w:r w:rsidRPr="005874B3">
        <w:rPr>
          <w:rFonts w:ascii="Times New Roman" w:hAnsi="Times New Roman" w:cs="Times New Roman"/>
          <w:sz w:val="24"/>
          <w:szCs w:val="24"/>
        </w:rPr>
        <w:t xml:space="preserve"> information in relation to answering the key </w:t>
      </w:r>
      <w:r>
        <w:rPr>
          <w:rFonts w:ascii="Times New Roman" w:hAnsi="Times New Roman" w:cs="Times New Roman"/>
          <w:sz w:val="24"/>
          <w:szCs w:val="24"/>
        </w:rPr>
        <w:t>questions outlined in Paragraph 14;</w:t>
      </w:r>
    </w:p>
    <w:p w14:paraId="03351931" w14:textId="77777777" w:rsidR="009D0F76" w:rsidRPr="00D832B0" w:rsidRDefault="009D0F76" w:rsidP="009D0F76">
      <w:pPr>
        <w:pStyle w:val="ListParagraph"/>
        <w:rPr>
          <w:rFonts w:ascii="Times New Roman" w:hAnsi="Times New Roman" w:cs="Times New Roman"/>
          <w:sz w:val="16"/>
          <w:szCs w:val="16"/>
        </w:rPr>
      </w:pPr>
    </w:p>
    <w:p w14:paraId="27141B7C"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sidRPr="005874B3">
        <w:rPr>
          <w:rFonts w:ascii="Times New Roman" w:hAnsi="Times New Roman" w:cs="Times New Roman"/>
          <w:sz w:val="24"/>
          <w:szCs w:val="24"/>
        </w:rPr>
        <w:t>explore (through interviewing/consult</w:t>
      </w:r>
      <w:r>
        <w:rPr>
          <w:rFonts w:ascii="Times New Roman" w:hAnsi="Times New Roman" w:cs="Times New Roman"/>
          <w:sz w:val="24"/>
          <w:szCs w:val="24"/>
        </w:rPr>
        <w:t>ing with AIFDR, BNPB, ASEAN and key implementing partners</w:t>
      </w:r>
      <w:r w:rsidRPr="005874B3">
        <w:rPr>
          <w:rFonts w:ascii="Times New Roman" w:hAnsi="Times New Roman" w:cs="Times New Roman"/>
          <w:sz w:val="24"/>
          <w:szCs w:val="24"/>
        </w:rPr>
        <w:t>) any possible documentation/reports that become additional source</w:t>
      </w:r>
      <w:r>
        <w:rPr>
          <w:rFonts w:ascii="Times New Roman" w:hAnsi="Times New Roman" w:cs="Times New Roman"/>
          <w:sz w:val="24"/>
          <w:szCs w:val="24"/>
        </w:rPr>
        <w:t>s</w:t>
      </w:r>
      <w:r w:rsidRPr="005874B3">
        <w:rPr>
          <w:rFonts w:ascii="Times New Roman" w:hAnsi="Times New Roman" w:cs="Times New Roman"/>
          <w:sz w:val="24"/>
          <w:szCs w:val="24"/>
        </w:rPr>
        <w:t xml:space="preserve"> of information</w:t>
      </w:r>
      <w:r>
        <w:rPr>
          <w:rFonts w:ascii="Times New Roman" w:hAnsi="Times New Roman" w:cs="Times New Roman"/>
          <w:sz w:val="24"/>
          <w:szCs w:val="24"/>
        </w:rPr>
        <w:t>;</w:t>
      </w:r>
    </w:p>
    <w:p w14:paraId="496F1DBE" w14:textId="77777777" w:rsidR="009D0F76" w:rsidRPr="00D718BD" w:rsidRDefault="009D0F76" w:rsidP="009D0F76">
      <w:pPr>
        <w:pStyle w:val="ListParagraph"/>
        <w:rPr>
          <w:rFonts w:ascii="Times New Roman" w:hAnsi="Times New Roman" w:cs="Times New Roman"/>
          <w:sz w:val="16"/>
          <w:szCs w:val="16"/>
        </w:rPr>
      </w:pPr>
    </w:p>
    <w:p w14:paraId="46D4ED9F"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conduct interviews and meetings with key stakeholders;</w:t>
      </w:r>
    </w:p>
    <w:p w14:paraId="71ACC04E" w14:textId="77777777" w:rsidR="009D0F76" w:rsidRPr="00D832B0" w:rsidRDefault="009D0F76" w:rsidP="009D0F76">
      <w:pPr>
        <w:pStyle w:val="ListParagraph"/>
        <w:rPr>
          <w:rFonts w:ascii="Times New Roman" w:hAnsi="Times New Roman" w:cs="Times New Roman"/>
          <w:sz w:val="16"/>
          <w:szCs w:val="16"/>
        </w:rPr>
      </w:pPr>
    </w:p>
    <w:p w14:paraId="0B5A5E7C"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produce </w:t>
      </w:r>
      <w:r w:rsidRPr="005874B3">
        <w:rPr>
          <w:rFonts w:ascii="Times New Roman" w:hAnsi="Times New Roman" w:cs="Times New Roman"/>
          <w:sz w:val="24"/>
          <w:szCs w:val="24"/>
        </w:rPr>
        <w:t>synthesis to the reports/</w:t>
      </w:r>
      <w:r>
        <w:rPr>
          <w:rFonts w:ascii="Times New Roman" w:hAnsi="Times New Roman" w:cs="Times New Roman"/>
          <w:sz w:val="24"/>
          <w:szCs w:val="24"/>
        </w:rPr>
        <w:t>documents in answering the review questions;</w:t>
      </w:r>
    </w:p>
    <w:p w14:paraId="24E76F20" w14:textId="77777777" w:rsidR="009D0F76" w:rsidRPr="00D832B0" w:rsidRDefault="009D0F76" w:rsidP="009D0F76">
      <w:pPr>
        <w:pStyle w:val="ListParagraph"/>
        <w:rPr>
          <w:rFonts w:ascii="Times New Roman" w:hAnsi="Times New Roman" w:cs="Times New Roman"/>
          <w:sz w:val="16"/>
          <w:szCs w:val="16"/>
        </w:rPr>
      </w:pPr>
    </w:p>
    <w:p w14:paraId="5D9EDB51"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present the first draft independent review for discussion, comment and feedback; and</w:t>
      </w:r>
      <w:r w:rsidRPr="005874B3">
        <w:rPr>
          <w:rFonts w:ascii="Times New Roman" w:hAnsi="Times New Roman" w:cs="Times New Roman"/>
          <w:sz w:val="24"/>
          <w:szCs w:val="24"/>
        </w:rPr>
        <w:t xml:space="preserve"> </w:t>
      </w:r>
    </w:p>
    <w:p w14:paraId="32509136" w14:textId="77777777" w:rsidR="009D0F76" w:rsidRPr="00D832B0" w:rsidRDefault="009D0F76" w:rsidP="009D0F76">
      <w:pPr>
        <w:pStyle w:val="ListParagraph"/>
        <w:rPr>
          <w:rFonts w:ascii="Times New Roman" w:hAnsi="Times New Roman" w:cs="Times New Roman"/>
          <w:sz w:val="16"/>
          <w:szCs w:val="16"/>
        </w:rPr>
      </w:pPr>
    </w:p>
    <w:p w14:paraId="57DF95D7" w14:textId="77777777" w:rsidR="009D0F76" w:rsidRPr="005874B3" w:rsidRDefault="009D0F76" w:rsidP="009D0F76">
      <w:pPr>
        <w:pStyle w:val="ListParagraph"/>
        <w:numPr>
          <w:ilvl w:val="0"/>
          <w:numId w:val="10"/>
        </w:numPr>
        <w:spacing w:after="200" w:line="276" w:lineRule="auto"/>
        <w:rPr>
          <w:rFonts w:ascii="Times New Roman" w:hAnsi="Times New Roman" w:cs="Times New Roman"/>
          <w:sz w:val="24"/>
          <w:szCs w:val="24"/>
        </w:rPr>
      </w:pPr>
      <w:proofErr w:type="gramStart"/>
      <w:r w:rsidRPr="005874B3">
        <w:rPr>
          <w:rFonts w:ascii="Times New Roman" w:hAnsi="Times New Roman" w:cs="Times New Roman"/>
          <w:sz w:val="24"/>
          <w:szCs w:val="24"/>
        </w:rPr>
        <w:t>finalise</w:t>
      </w:r>
      <w:proofErr w:type="gramEnd"/>
      <w:r>
        <w:rPr>
          <w:rFonts w:ascii="Times New Roman" w:hAnsi="Times New Roman" w:cs="Times New Roman"/>
          <w:sz w:val="24"/>
          <w:szCs w:val="24"/>
        </w:rPr>
        <w:t xml:space="preserve"> the independent review of the 1</w:t>
      </w:r>
      <w:r w:rsidRPr="000A199C">
        <w:rPr>
          <w:rFonts w:ascii="Times New Roman" w:hAnsi="Times New Roman" w:cs="Times New Roman"/>
          <w:sz w:val="24"/>
          <w:szCs w:val="24"/>
          <w:vertAlign w:val="superscript"/>
        </w:rPr>
        <w:t>st</w:t>
      </w:r>
      <w:r>
        <w:rPr>
          <w:rFonts w:ascii="Times New Roman" w:hAnsi="Times New Roman" w:cs="Times New Roman"/>
          <w:sz w:val="24"/>
          <w:szCs w:val="24"/>
        </w:rPr>
        <w:t xml:space="preserve"> phase of AIFDR.</w:t>
      </w:r>
      <w:r w:rsidRPr="005874B3">
        <w:rPr>
          <w:rFonts w:ascii="Times New Roman" w:hAnsi="Times New Roman" w:cs="Times New Roman"/>
          <w:sz w:val="24"/>
          <w:szCs w:val="24"/>
        </w:rPr>
        <w:t xml:space="preserve"> </w:t>
      </w:r>
    </w:p>
    <w:p w14:paraId="37842F0D" w14:textId="77777777" w:rsidR="009D0F76" w:rsidRPr="003D7AF0" w:rsidRDefault="009D0F76" w:rsidP="009D0F76">
      <w:pPr>
        <w:rPr>
          <w:rFonts w:ascii="Times New Roman" w:hAnsi="Times New Roman" w:cs="Times New Roman"/>
          <w:b/>
          <w:sz w:val="24"/>
          <w:szCs w:val="24"/>
        </w:rPr>
      </w:pPr>
      <w:r>
        <w:rPr>
          <w:rFonts w:ascii="Times New Roman" w:hAnsi="Times New Roman" w:cs="Times New Roman"/>
          <w:b/>
          <w:sz w:val="24"/>
          <w:szCs w:val="24"/>
        </w:rPr>
        <w:t xml:space="preserve">Review Questions </w:t>
      </w:r>
    </w:p>
    <w:p w14:paraId="650DC64F" w14:textId="77777777" w:rsidR="009D0F76" w:rsidRDefault="009D0F76" w:rsidP="009D0F76">
      <w:pPr>
        <w:pStyle w:val="ListParagraph"/>
        <w:numPr>
          <w:ilvl w:val="0"/>
          <w:numId w:val="25"/>
        </w:numPr>
        <w:spacing w:after="200" w:line="276" w:lineRule="auto"/>
        <w:rPr>
          <w:rFonts w:ascii="Times New Roman" w:hAnsi="Times New Roman" w:cs="Times New Roman"/>
          <w:sz w:val="24"/>
          <w:szCs w:val="24"/>
        </w:rPr>
      </w:pPr>
      <w:r w:rsidRPr="002279EF">
        <w:rPr>
          <w:rFonts w:ascii="Times New Roman" w:hAnsi="Times New Roman" w:cs="Times New Roman"/>
          <w:sz w:val="24"/>
          <w:szCs w:val="24"/>
        </w:rPr>
        <w:t xml:space="preserve">What are the </w:t>
      </w:r>
      <w:r>
        <w:rPr>
          <w:rFonts w:ascii="Times New Roman" w:hAnsi="Times New Roman" w:cs="Times New Roman"/>
          <w:sz w:val="24"/>
          <w:szCs w:val="24"/>
        </w:rPr>
        <w:t>key lessons learned from the 1</w:t>
      </w:r>
      <w:r w:rsidRPr="000A199C">
        <w:rPr>
          <w:rFonts w:ascii="Times New Roman" w:hAnsi="Times New Roman" w:cs="Times New Roman"/>
          <w:sz w:val="24"/>
          <w:szCs w:val="24"/>
          <w:vertAlign w:val="superscript"/>
        </w:rPr>
        <w:t>st</w:t>
      </w:r>
      <w:r>
        <w:rPr>
          <w:rFonts w:ascii="Times New Roman" w:hAnsi="Times New Roman" w:cs="Times New Roman"/>
          <w:sz w:val="24"/>
          <w:szCs w:val="24"/>
        </w:rPr>
        <w:t xml:space="preserve"> phase of AIFDR</w:t>
      </w:r>
      <w:r w:rsidRPr="002279EF">
        <w:rPr>
          <w:rFonts w:ascii="Times New Roman" w:hAnsi="Times New Roman" w:cs="Times New Roman"/>
          <w:sz w:val="24"/>
          <w:szCs w:val="24"/>
        </w:rPr>
        <w:t xml:space="preserve"> in terms of:</w:t>
      </w:r>
    </w:p>
    <w:p w14:paraId="5C7DB491" w14:textId="77777777" w:rsidR="009D0F76" w:rsidRPr="00D832B0" w:rsidRDefault="009D0F76" w:rsidP="009D0F76">
      <w:pPr>
        <w:pStyle w:val="ListParagraph"/>
        <w:ind w:left="360"/>
        <w:rPr>
          <w:rFonts w:ascii="Times New Roman" w:hAnsi="Times New Roman" w:cs="Times New Roman"/>
          <w:sz w:val="24"/>
          <w:szCs w:val="24"/>
        </w:rPr>
      </w:pPr>
    </w:p>
    <w:p w14:paraId="5D84FFC8"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sidRPr="00DA48FB">
        <w:rPr>
          <w:rFonts w:ascii="Times New Roman" w:hAnsi="Times New Roman" w:cs="Times New Roman"/>
          <w:sz w:val="24"/>
          <w:szCs w:val="24"/>
        </w:rPr>
        <w:t>AIFDR-2 implementation</w:t>
      </w:r>
      <w:r>
        <w:rPr>
          <w:rFonts w:ascii="Times New Roman" w:hAnsi="Times New Roman" w:cs="Times New Roman"/>
          <w:sz w:val="24"/>
          <w:szCs w:val="24"/>
        </w:rPr>
        <w:t>?</w:t>
      </w:r>
    </w:p>
    <w:p w14:paraId="52558514" w14:textId="77777777" w:rsidR="009D0F76" w:rsidRPr="00DA48FB" w:rsidRDefault="009D0F76" w:rsidP="009D0F76">
      <w:pPr>
        <w:pStyle w:val="ListParagraph"/>
        <w:rPr>
          <w:rFonts w:ascii="Times New Roman" w:hAnsi="Times New Roman" w:cs="Times New Roman"/>
          <w:sz w:val="24"/>
          <w:szCs w:val="24"/>
        </w:rPr>
      </w:pPr>
    </w:p>
    <w:p w14:paraId="35DF3FE9" w14:textId="77777777" w:rsidR="009D0F76" w:rsidRPr="00120DE7" w:rsidRDefault="009D0F76" w:rsidP="009D0F76">
      <w:pPr>
        <w:pStyle w:val="ListParagraph"/>
        <w:numPr>
          <w:ilvl w:val="0"/>
          <w:numId w:val="10"/>
        </w:numPr>
        <w:spacing w:after="200" w:line="276" w:lineRule="auto"/>
        <w:rPr>
          <w:rFonts w:ascii="Times New Roman" w:hAnsi="Times New Roman" w:cs="Times New Roman"/>
          <w:sz w:val="24"/>
          <w:szCs w:val="24"/>
        </w:rPr>
      </w:pPr>
      <w:r w:rsidRPr="00120DE7">
        <w:rPr>
          <w:rFonts w:ascii="Times New Roman" w:hAnsi="Times New Roman" w:cs="Times New Roman"/>
          <w:sz w:val="24"/>
          <w:szCs w:val="24"/>
        </w:rPr>
        <w:t>Mainstreaming DM in Australia’s d</w:t>
      </w:r>
      <w:r>
        <w:rPr>
          <w:rFonts w:ascii="Times New Roman" w:hAnsi="Times New Roman" w:cs="Times New Roman"/>
          <w:sz w:val="24"/>
          <w:szCs w:val="24"/>
        </w:rPr>
        <w:t>evelopment program to Indonesia?</w:t>
      </w:r>
      <w:r w:rsidRPr="00120DE7">
        <w:rPr>
          <w:rFonts w:ascii="Times New Roman" w:hAnsi="Times New Roman" w:cs="Times New Roman"/>
          <w:sz w:val="24"/>
          <w:szCs w:val="24"/>
        </w:rPr>
        <w:t xml:space="preserve"> </w:t>
      </w:r>
    </w:p>
    <w:p w14:paraId="50A399D9" w14:textId="77777777" w:rsidR="009D0F76" w:rsidRDefault="009D0F76" w:rsidP="009D0F76">
      <w:pPr>
        <w:pStyle w:val="ListParagraph"/>
        <w:rPr>
          <w:rFonts w:ascii="Times New Roman" w:hAnsi="Times New Roman" w:cs="Times New Roman"/>
          <w:sz w:val="24"/>
          <w:szCs w:val="24"/>
        </w:rPr>
      </w:pPr>
    </w:p>
    <w:p w14:paraId="2F51E942" w14:textId="77777777"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DM</w:t>
      </w:r>
      <w:r w:rsidRPr="00DA48FB">
        <w:rPr>
          <w:rFonts w:ascii="Times New Roman" w:hAnsi="Times New Roman" w:cs="Times New Roman"/>
          <w:sz w:val="24"/>
          <w:szCs w:val="24"/>
        </w:rPr>
        <w:t xml:space="preserve"> practice across </w:t>
      </w:r>
      <w:r>
        <w:rPr>
          <w:rFonts w:ascii="Times New Roman" w:hAnsi="Times New Roman" w:cs="Times New Roman"/>
          <w:sz w:val="24"/>
          <w:szCs w:val="24"/>
        </w:rPr>
        <w:t>Indonesia?</w:t>
      </w:r>
    </w:p>
    <w:p w14:paraId="746E5121" w14:textId="77777777" w:rsidR="009D0F76" w:rsidRDefault="009D0F76" w:rsidP="009D0F76">
      <w:pPr>
        <w:pStyle w:val="ListParagraph"/>
        <w:rPr>
          <w:rFonts w:ascii="Times New Roman" w:hAnsi="Times New Roman" w:cs="Times New Roman"/>
          <w:sz w:val="24"/>
          <w:szCs w:val="24"/>
        </w:rPr>
      </w:pPr>
    </w:p>
    <w:p w14:paraId="472B5C1E" w14:textId="77777777" w:rsidR="009D0F76" w:rsidRPr="005874B3" w:rsidRDefault="009D0F76" w:rsidP="009D0F76">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Key outcomes of relevance to GoI, and </w:t>
      </w:r>
      <w:r w:rsidRPr="005874B3">
        <w:rPr>
          <w:rFonts w:ascii="Times New Roman" w:hAnsi="Times New Roman" w:cs="Times New Roman"/>
          <w:sz w:val="24"/>
          <w:szCs w:val="24"/>
        </w:rPr>
        <w:t>are they still relevant</w:t>
      </w:r>
      <w:r>
        <w:rPr>
          <w:rFonts w:ascii="Times New Roman" w:hAnsi="Times New Roman" w:cs="Times New Roman"/>
          <w:sz w:val="24"/>
          <w:szCs w:val="24"/>
        </w:rPr>
        <w:t xml:space="preserve"> with a new Indonesian President to take office in late 2014</w:t>
      </w:r>
      <w:r w:rsidRPr="005874B3">
        <w:rPr>
          <w:rFonts w:ascii="Times New Roman" w:hAnsi="Times New Roman" w:cs="Times New Roman"/>
          <w:sz w:val="24"/>
          <w:szCs w:val="24"/>
        </w:rPr>
        <w:t>?</w:t>
      </w:r>
    </w:p>
    <w:p w14:paraId="6579D1EC" w14:textId="77777777" w:rsidR="009D0F76" w:rsidRDefault="009D0F76" w:rsidP="009D0F76">
      <w:pPr>
        <w:pStyle w:val="ListParagraph"/>
        <w:rPr>
          <w:rFonts w:ascii="Times New Roman" w:hAnsi="Times New Roman" w:cs="Times New Roman"/>
          <w:sz w:val="24"/>
          <w:szCs w:val="24"/>
        </w:rPr>
      </w:pPr>
    </w:p>
    <w:p w14:paraId="0D774193" w14:textId="77777777" w:rsidR="009D0F76" w:rsidRPr="00120DE7" w:rsidRDefault="009D0F76" w:rsidP="009D0F76">
      <w:pPr>
        <w:pStyle w:val="ListParagraph"/>
        <w:numPr>
          <w:ilvl w:val="0"/>
          <w:numId w:val="10"/>
        </w:numPr>
        <w:spacing w:after="200" w:line="276" w:lineRule="auto"/>
        <w:rPr>
          <w:rFonts w:ascii="Times New Roman" w:hAnsi="Times New Roman" w:cs="Times New Roman"/>
          <w:sz w:val="24"/>
          <w:szCs w:val="24"/>
        </w:rPr>
      </w:pPr>
      <w:r w:rsidRPr="00120DE7">
        <w:rPr>
          <w:rFonts w:ascii="Times New Roman" w:hAnsi="Times New Roman" w:cs="Times New Roman"/>
          <w:sz w:val="24"/>
          <w:szCs w:val="24"/>
        </w:rPr>
        <w:t>Key outcomes</w:t>
      </w:r>
      <w:r>
        <w:rPr>
          <w:rFonts w:ascii="Times New Roman" w:hAnsi="Times New Roman" w:cs="Times New Roman"/>
          <w:sz w:val="24"/>
          <w:szCs w:val="24"/>
        </w:rPr>
        <w:t xml:space="preserve"> of relevance to GoA, </w:t>
      </w:r>
      <w:r w:rsidRPr="00120DE7">
        <w:rPr>
          <w:rFonts w:ascii="Times New Roman" w:hAnsi="Times New Roman" w:cs="Times New Roman"/>
          <w:sz w:val="24"/>
          <w:szCs w:val="24"/>
        </w:rPr>
        <w:t>are they still relevant</w:t>
      </w:r>
      <w:r>
        <w:rPr>
          <w:rFonts w:ascii="Times New Roman" w:hAnsi="Times New Roman" w:cs="Times New Roman"/>
          <w:sz w:val="24"/>
          <w:szCs w:val="24"/>
        </w:rPr>
        <w:t xml:space="preserve"> in light of the emerging priorities of the new Australian Government</w:t>
      </w:r>
      <w:r w:rsidRPr="00120DE7">
        <w:rPr>
          <w:rFonts w:ascii="Times New Roman" w:hAnsi="Times New Roman" w:cs="Times New Roman"/>
          <w:sz w:val="24"/>
          <w:szCs w:val="24"/>
        </w:rPr>
        <w:t>?</w:t>
      </w:r>
    </w:p>
    <w:p w14:paraId="331B5B07" w14:textId="77777777" w:rsidR="009D0F76" w:rsidRDefault="009D0F76" w:rsidP="009D0F76">
      <w:pPr>
        <w:pStyle w:val="ListParagraph"/>
        <w:rPr>
          <w:rFonts w:ascii="Times New Roman" w:hAnsi="Times New Roman" w:cs="Times New Roman"/>
          <w:sz w:val="24"/>
          <w:szCs w:val="24"/>
        </w:rPr>
      </w:pPr>
    </w:p>
    <w:p w14:paraId="3B7FDEFB" w14:textId="77777777" w:rsidR="009D0F76" w:rsidRPr="00D832B0" w:rsidRDefault="009D0F76" w:rsidP="009D0F76">
      <w:pPr>
        <w:pStyle w:val="ListParagraph"/>
        <w:numPr>
          <w:ilvl w:val="0"/>
          <w:numId w:val="10"/>
        </w:numPr>
        <w:spacing w:after="200" w:line="276" w:lineRule="auto"/>
        <w:rPr>
          <w:rFonts w:ascii="Times New Roman" w:hAnsi="Times New Roman" w:cs="Times New Roman"/>
          <w:sz w:val="24"/>
          <w:szCs w:val="24"/>
        </w:rPr>
      </w:pPr>
      <w:r w:rsidRPr="00DA48FB">
        <w:rPr>
          <w:rFonts w:ascii="Times New Roman" w:hAnsi="Times New Roman" w:cs="Times New Roman"/>
          <w:sz w:val="24"/>
          <w:szCs w:val="24"/>
        </w:rPr>
        <w:t>Features of good partnership</w:t>
      </w:r>
      <w:r>
        <w:rPr>
          <w:rFonts w:ascii="Times New Roman" w:hAnsi="Times New Roman" w:cs="Times New Roman"/>
          <w:sz w:val="24"/>
          <w:szCs w:val="24"/>
        </w:rPr>
        <w:t xml:space="preserve"> with BNPB and other key partners</w:t>
      </w:r>
      <w:r w:rsidRPr="00DA48FB">
        <w:rPr>
          <w:rFonts w:ascii="Times New Roman" w:hAnsi="Times New Roman" w:cs="Times New Roman"/>
          <w:sz w:val="24"/>
          <w:szCs w:val="24"/>
        </w:rPr>
        <w:t>?</w:t>
      </w:r>
    </w:p>
    <w:p w14:paraId="339A08F1" w14:textId="77777777" w:rsidR="009D0F76" w:rsidRDefault="009D0F76" w:rsidP="009D0F76">
      <w:pPr>
        <w:pStyle w:val="ListParagraph"/>
        <w:rPr>
          <w:rFonts w:ascii="Times New Roman" w:hAnsi="Times New Roman" w:cs="Times New Roman"/>
          <w:sz w:val="24"/>
          <w:szCs w:val="24"/>
        </w:rPr>
      </w:pPr>
    </w:p>
    <w:p w14:paraId="3755E383" w14:textId="77777777" w:rsidR="009D0F76" w:rsidRPr="00EA0252" w:rsidRDefault="009D0F76" w:rsidP="009D0F76">
      <w:pPr>
        <w:rPr>
          <w:rFonts w:ascii="Times New Roman" w:hAnsi="Times New Roman" w:cs="Times New Roman"/>
          <w:b/>
          <w:sz w:val="24"/>
          <w:szCs w:val="24"/>
        </w:rPr>
      </w:pPr>
      <w:r w:rsidRPr="00EA0252">
        <w:rPr>
          <w:rFonts w:ascii="Times New Roman" w:hAnsi="Times New Roman" w:cs="Times New Roman"/>
          <w:b/>
          <w:sz w:val="24"/>
          <w:szCs w:val="24"/>
        </w:rPr>
        <w:t>Reporting Requirements</w:t>
      </w:r>
    </w:p>
    <w:p w14:paraId="7505E9E2" w14:textId="77777777" w:rsidR="009D0F76" w:rsidRDefault="009D0F76" w:rsidP="009D0F76">
      <w:pPr>
        <w:pStyle w:val="ListParagraph"/>
        <w:numPr>
          <w:ilvl w:val="0"/>
          <w:numId w:val="25"/>
        </w:numPr>
        <w:spacing w:after="200" w:line="276" w:lineRule="auto"/>
        <w:rPr>
          <w:rFonts w:ascii="Times New Roman" w:hAnsi="Times New Roman" w:cs="Times New Roman"/>
          <w:sz w:val="24"/>
          <w:szCs w:val="24"/>
        </w:rPr>
      </w:pPr>
      <w:r>
        <w:rPr>
          <w:rFonts w:ascii="Times New Roman" w:hAnsi="Times New Roman" w:cs="Times New Roman"/>
          <w:sz w:val="24"/>
          <w:szCs w:val="24"/>
        </w:rPr>
        <w:t>The independent DM specialist is</w:t>
      </w:r>
      <w:r w:rsidRPr="008141E8">
        <w:rPr>
          <w:rFonts w:ascii="Times New Roman" w:hAnsi="Times New Roman" w:cs="Times New Roman"/>
          <w:sz w:val="24"/>
          <w:szCs w:val="24"/>
        </w:rPr>
        <w:t xml:space="preserve"> required to submit the following Report</w:t>
      </w:r>
      <w:r>
        <w:rPr>
          <w:rFonts w:ascii="Times New Roman" w:hAnsi="Times New Roman" w:cs="Times New Roman"/>
          <w:sz w:val="24"/>
          <w:szCs w:val="24"/>
        </w:rPr>
        <w:t>s</w:t>
      </w:r>
      <w:r w:rsidRPr="008141E8">
        <w:rPr>
          <w:rFonts w:ascii="Times New Roman" w:hAnsi="Times New Roman" w:cs="Times New Roman"/>
          <w:sz w:val="24"/>
          <w:szCs w:val="24"/>
        </w:rPr>
        <w:t>:</w:t>
      </w:r>
    </w:p>
    <w:p w14:paraId="7EEA865F" w14:textId="77777777" w:rsidR="009D0F76" w:rsidRPr="008141E8" w:rsidRDefault="009D0F76" w:rsidP="009D0F76">
      <w:pPr>
        <w:pStyle w:val="ListParagraph"/>
        <w:ind w:left="360"/>
        <w:rPr>
          <w:rFonts w:ascii="Times New Roman" w:hAnsi="Times New Roman" w:cs="Times New Roman"/>
          <w:sz w:val="24"/>
          <w:szCs w:val="24"/>
        </w:rPr>
      </w:pPr>
    </w:p>
    <w:p w14:paraId="0631F3B6" w14:textId="5AE8303C"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sidRPr="008141E8">
        <w:rPr>
          <w:rFonts w:ascii="Times New Roman" w:hAnsi="Times New Roman" w:cs="Times New Roman"/>
          <w:b/>
          <w:sz w:val="24"/>
          <w:szCs w:val="24"/>
        </w:rPr>
        <w:t xml:space="preserve">First Draft </w:t>
      </w:r>
      <w:r>
        <w:rPr>
          <w:rFonts w:ascii="Times New Roman" w:hAnsi="Times New Roman" w:cs="Times New Roman"/>
          <w:b/>
          <w:sz w:val="24"/>
          <w:szCs w:val="24"/>
        </w:rPr>
        <w:t>independent review</w:t>
      </w:r>
      <w:r w:rsidRPr="008141E8">
        <w:rPr>
          <w:rFonts w:ascii="Times New Roman" w:hAnsi="Times New Roman" w:cs="Times New Roman"/>
          <w:sz w:val="24"/>
          <w:szCs w:val="24"/>
        </w:rPr>
        <w:t xml:space="preserve">: </w:t>
      </w:r>
      <w:r>
        <w:rPr>
          <w:rFonts w:ascii="Times New Roman" w:hAnsi="Times New Roman" w:cs="Times New Roman"/>
          <w:sz w:val="24"/>
          <w:szCs w:val="24"/>
        </w:rPr>
        <w:t xml:space="preserve">addressing the key </w:t>
      </w:r>
      <w:r w:rsidRPr="008141E8">
        <w:rPr>
          <w:rFonts w:ascii="Times New Roman" w:hAnsi="Times New Roman" w:cs="Times New Roman"/>
          <w:sz w:val="24"/>
          <w:szCs w:val="24"/>
        </w:rPr>
        <w:t>questions above</w:t>
      </w:r>
      <w:r>
        <w:rPr>
          <w:rFonts w:ascii="Times New Roman" w:hAnsi="Times New Roman" w:cs="Times New Roman"/>
          <w:sz w:val="24"/>
          <w:szCs w:val="24"/>
        </w:rPr>
        <w:t xml:space="preserve"> by late September 2014</w:t>
      </w:r>
    </w:p>
    <w:p w14:paraId="455F30B5" w14:textId="77777777" w:rsidR="009D0F76" w:rsidRPr="00BA072D" w:rsidRDefault="009D0F76" w:rsidP="009D0F76">
      <w:pPr>
        <w:pStyle w:val="ListParagraph"/>
        <w:rPr>
          <w:rFonts w:ascii="Times New Roman" w:hAnsi="Times New Roman" w:cs="Times New Roman"/>
          <w:sz w:val="24"/>
          <w:szCs w:val="24"/>
        </w:rPr>
      </w:pPr>
    </w:p>
    <w:p w14:paraId="6FDC744E" w14:textId="70F11CF2" w:rsidR="009D0F76" w:rsidRDefault="009D0F76" w:rsidP="009D0F76">
      <w:pPr>
        <w:pStyle w:val="ListParagraph"/>
        <w:numPr>
          <w:ilvl w:val="0"/>
          <w:numId w:val="10"/>
        </w:numPr>
        <w:spacing w:after="200" w:line="276" w:lineRule="auto"/>
        <w:rPr>
          <w:rFonts w:ascii="Times New Roman" w:hAnsi="Times New Roman" w:cs="Times New Roman"/>
          <w:sz w:val="24"/>
          <w:szCs w:val="24"/>
        </w:rPr>
      </w:pPr>
      <w:r w:rsidRPr="008141E8">
        <w:rPr>
          <w:rFonts w:ascii="Times New Roman" w:hAnsi="Times New Roman" w:cs="Times New Roman"/>
          <w:b/>
          <w:sz w:val="24"/>
          <w:szCs w:val="24"/>
        </w:rPr>
        <w:t>Final Draft</w:t>
      </w:r>
      <w:r>
        <w:rPr>
          <w:rFonts w:ascii="Times New Roman" w:hAnsi="Times New Roman" w:cs="Times New Roman"/>
          <w:b/>
          <w:sz w:val="24"/>
          <w:szCs w:val="24"/>
        </w:rPr>
        <w:t xml:space="preserve"> independent review</w:t>
      </w:r>
      <w:r>
        <w:rPr>
          <w:rFonts w:ascii="Times New Roman" w:hAnsi="Times New Roman" w:cs="Times New Roman"/>
          <w:sz w:val="24"/>
          <w:szCs w:val="24"/>
        </w:rPr>
        <w:t xml:space="preserve">: </w:t>
      </w:r>
      <w:r w:rsidRPr="008141E8">
        <w:rPr>
          <w:rFonts w:ascii="Times New Roman" w:hAnsi="Times New Roman" w:cs="Times New Roman"/>
          <w:sz w:val="24"/>
          <w:szCs w:val="24"/>
        </w:rPr>
        <w:t>a</w:t>
      </w:r>
      <w:r>
        <w:rPr>
          <w:rFonts w:ascii="Times New Roman" w:hAnsi="Times New Roman" w:cs="Times New Roman"/>
          <w:sz w:val="24"/>
          <w:szCs w:val="24"/>
        </w:rPr>
        <w:t xml:space="preserve">ccommodating feedback from </w:t>
      </w:r>
      <w:r w:rsidRPr="008141E8">
        <w:rPr>
          <w:rFonts w:ascii="Times New Roman" w:hAnsi="Times New Roman" w:cs="Times New Roman"/>
          <w:sz w:val="24"/>
          <w:szCs w:val="24"/>
        </w:rPr>
        <w:t>D</w:t>
      </w:r>
      <w:r>
        <w:rPr>
          <w:rFonts w:ascii="Times New Roman" w:hAnsi="Times New Roman" w:cs="Times New Roman"/>
          <w:sz w:val="24"/>
          <w:szCs w:val="24"/>
        </w:rPr>
        <w:t>FAT (AIFDR) and GoI (BNPB) by 31 October 2014</w:t>
      </w:r>
    </w:p>
    <w:p w14:paraId="7766CB65" w14:textId="77777777" w:rsidR="009D0F76" w:rsidRPr="007D7A14" w:rsidRDefault="009D0F76" w:rsidP="009D0F76">
      <w:pPr>
        <w:pStyle w:val="ListParagraph"/>
        <w:rPr>
          <w:rFonts w:ascii="Times New Roman" w:hAnsi="Times New Roman" w:cs="Times New Roman"/>
          <w:sz w:val="24"/>
          <w:szCs w:val="24"/>
        </w:rPr>
      </w:pPr>
    </w:p>
    <w:p w14:paraId="001E8304" w14:textId="115A6B35" w:rsidR="00684184" w:rsidRDefault="00684184">
      <w:pPr>
        <w:rPr>
          <w:b/>
        </w:rPr>
      </w:pPr>
      <w:r>
        <w:rPr>
          <w:b/>
        </w:rPr>
        <w:br w:type="page"/>
      </w:r>
    </w:p>
    <w:p w14:paraId="62D1A2CA" w14:textId="58037C45" w:rsidR="00684184" w:rsidRPr="00F25E59" w:rsidRDefault="00684184" w:rsidP="00F25E59">
      <w:pPr>
        <w:pStyle w:val="Heading1"/>
      </w:pPr>
      <w:bookmarkStart w:id="21" w:name="_Toc402431260"/>
      <w:r w:rsidRPr="00F25E59">
        <w:t xml:space="preserve">Annex </w:t>
      </w:r>
      <w:r w:rsidR="00522D4D" w:rsidRPr="00F25E59">
        <w:t>2</w:t>
      </w:r>
      <w:r w:rsidRPr="00F25E59">
        <w:t>: Evaluation Plan</w:t>
      </w:r>
      <w:bookmarkEnd w:id="21"/>
      <w:r w:rsidRPr="00F25E59">
        <w:t xml:space="preserve"> </w:t>
      </w:r>
    </w:p>
    <w:p w14:paraId="4184F8D4" w14:textId="77777777" w:rsidR="00B54846" w:rsidRPr="009705F2" w:rsidRDefault="00B54846" w:rsidP="009705F2">
      <w:pPr>
        <w:jc w:val="center"/>
        <w:rPr>
          <w:b/>
          <w:sz w:val="28"/>
          <w:szCs w:val="28"/>
          <w:lang w:val="en-US"/>
        </w:rPr>
      </w:pPr>
      <w:r w:rsidRPr="009705F2">
        <w:rPr>
          <w:b/>
          <w:sz w:val="28"/>
          <w:szCs w:val="28"/>
          <w:lang w:val="en-US"/>
        </w:rPr>
        <w:t xml:space="preserve">Evaluation Plan for the </w:t>
      </w:r>
      <w:r w:rsidRPr="009705F2">
        <w:rPr>
          <w:b/>
          <w:sz w:val="28"/>
          <w:szCs w:val="28"/>
        </w:rPr>
        <w:t xml:space="preserve">Independent Review of the </w:t>
      </w:r>
      <w:r w:rsidRPr="009705F2">
        <w:rPr>
          <w:b/>
          <w:sz w:val="28"/>
          <w:szCs w:val="28"/>
          <w:lang w:val="en-US"/>
        </w:rPr>
        <w:t>Australia–Indonesia Facility for Disaster Reduction (Phase 1)</w:t>
      </w:r>
    </w:p>
    <w:p w14:paraId="254AA732" w14:textId="77777777" w:rsidR="00B54846" w:rsidRPr="009705F2" w:rsidRDefault="00B54846" w:rsidP="009705F2">
      <w:pPr>
        <w:rPr>
          <w:b/>
          <w:sz w:val="24"/>
          <w:szCs w:val="24"/>
        </w:rPr>
      </w:pPr>
      <w:r w:rsidRPr="009705F2">
        <w:rPr>
          <w:b/>
          <w:sz w:val="24"/>
          <w:szCs w:val="24"/>
        </w:rPr>
        <w:t xml:space="preserve">Background </w:t>
      </w:r>
    </w:p>
    <w:p w14:paraId="3BFCFC43" w14:textId="77777777" w:rsidR="00B54846" w:rsidRPr="00B54846" w:rsidRDefault="00B54846" w:rsidP="00B54846">
      <w:pPr>
        <w:rPr>
          <w:rFonts w:cs="Arial"/>
          <w:color w:val="000000" w:themeColor="text1"/>
          <w:sz w:val="24"/>
          <w:szCs w:val="24"/>
          <w:lang w:val="en-US"/>
        </w:rPr>
      </w:pPr>
      <w:r w:rsidRPr="00B54846">
        <w:rPr>
          <w:sz w:val="24"/>
          <w:szCs w:val="24"/>
        </w:rPr>
        <w:t xml:space="preserve">The Department of Foreign Affairs and Trade (DFAT) has requested assistance to undertake an independent review of Phase 1 of the </w:t>
      </w:r>
      <w:r w:rsidRPr="00B54846">
        <w:rPr>
          <w:rFonts w:cs="Arial"/>
          <w:color w:val="000000" w:themeColor="text1"/>
          <w:sz w:val="24"/>
          <w:szCs w:val="24"/>
          <w:lang w:val="en-US"/>
        </w:rPr>
        <w:t xml:space="preserve">Australia–Indonesia Facility for Disaster Reduction (AIFDR). </w:t>
      </w:r>
    </w:p>
    <w:p w14:paraId="73665AAC" w14:textId="77777777" w:rsidR="00B54846" w:rsidRPr="00B54846" w:rsidRDefault="00B54846" w:rsidP="00B54846">
      <w:pPr>
        <w:rPr>
          <w:rFonts w:cs="Arial"/>
          <w:color w:val="000000" w:themeColor="text1"/>
          <w:sz w:val="24"/>
          <w:szCs w:val="24"/>
          <w:lang w:val="en-US"/>
        </w:rPr>
      </w:pPr>
      <w:r w:rsidRPr="00B54846">
        <w:rPr>
          <w:rFonts w:cs="Arial"/>
          <w:color w:val="000000" w:themeColor="text1"/>
          <w:sz w:val="24"/>
          <w:szCs w:val="24"/>
          <w:lang w:val="en-US"/>
        </w:rPr>
        <w:t xml:space="preserve">AIFDR represents Australia’s largest bilateral commitment to reducing the impact of disasters and is a joint initiative by Australian and Indonesian governments which commenced in April 2009.  </w:t>
      </w:r>
    </w:p>
    <w:p w14:paraId="38B16B80" w14:textId="77777777" w:rsidR="00B54846" w:rsidRPr="00B54846" w:rsidRDefault="00B54846" w:rsidP="00B54846">
      <w:pPr>
        <w:rPr>
          <w:rFonts w:cs="Times New Roman"/>
          <w:sz w:val="24"/>
          <w:szCs w:val="24"/>
        </w:rPr>
      </w:pPr>
      <w:r w:rsidRPr="00B54846">
        <w:rPr>
          <w:rFonts w:cs="Arial"/>
          <w:color w:val="000000" w:themeColor="text1"/>
          <w:sz w:val="24"/>
          <w:szCs w:val="24"/>
          <w:lang w:val="en-US"/>
        </w:rPr>
        <w:t xml:space="preserve">The goal of AIFDR is to </w:t>
      </w:r>
      <w:r w:rsidRPr="00B54846">
        <w:rPr>
          <w:rFonts w:cs="Arial"/>
          <w:i/>
          <w:color w:val="000000" w:themeColor="text1"/>
          <w:sz w:val="24"/>
          <w:szCs w:val="24"/>
          <w:lang w:val="en-US"/>
        </w:rPr>
        <w:t>“strengthen national and local capacity in disaster management in Indonesia and promotion of a more disaster resilient region”</w:t>
      </w:r>
      <w:r w:rsidRPr="00B54846">
        <w:rPr>
          <w:rFonts w:cs="Arial"/>
          <w:color w:val="000000" w:themeColor="text1"/>
          <w:sz w:val="24"/>
          <w:szCs w:val="24"/>
          <w:lang w:val="en-US"/>
        </w:rPr>
        <w:t xml:space="preserve">. </w:t>
      </w:r>
      <w:r w:rsidRPr="00B54846">
        <w:rPr>
          <w:rFonts w:cs="Times New Roman"/>
          <w:sz w:val="24"/>
          <w:szCs w:val="24"/>
        </w:rPr>
        <w:t>AIFDR undertook activities in five program areas: risk &amp; vulnerability (implemented by Geoscience Australia); training &amp; outreach; partnerships; research &amp; innovation; and emergency and humanitarian response.</w:t>
      </w:r>
    </w:p>
    <w:p w14:paraId="0975E073" w14:textId="77777777" w:rsidR="00B54846" w:rsidRPr="00B54846" w:rsidRDefault="00B54846" w:rsidP="00B54846">
      <w:pPr>
        <w:rPr>
          <w:rFonts w:cs="Times New Roman"/>
          <w:sz w:val="24"/>
          <w:szCs w:val="24"/>
        </w:rPr>
      </w:pPr>
      <w:r w:rsidRPr="00B54846">
        <w:rPr>
          <w:rFonts w:cs="Times New Roman"/>
          <w:sz w:val="24"/>
          <w:szCs w:val="24"/>
        </w:rPr>
        <w:t xml:space="preserve">AIFDR’s initial 5 year program concluded on 30 June 2013. DFAT are currently in a transition year prior to a new program commencing in January 2015. A major scale-up had been planned and a design completed but due to Australian Government budget decisions in 2013, a design for a smaller program is currently being finalised. </w:t>
      </w:r>
    </w:p>
    <w:p w14:paraId="0A30522E" w14:textId="77777777" w:rsidR="00B54846" w:rsidRPr="009705F2" w:rsidRDefault="00B54846" w:rsidP="009705F2">
      <w:pPr>
        <w:rPr>
          <w:b/>
          <w:sz w:val="24"/>
          <w:szCs w:val="24"/>
        </w:rPr>
      </w:pPr>
      <w:r w:rsidRPr="009705F2">
        <w:rPr>
          <w:b/>
          <w:sz w:val="24"/>
          <w:szCs w:val="24"/>
        </w:rPr>
        <w:t xml:space="preserve">Purpose of the Evaluation </w:t>
      </w:r>
    </w:p>
    <w:p w14:paraId="7ACD5D3D" w14:textId="77777777" w:rsidR="00B54846" w:rsidRPr="00B54846" w:rsidRDefault="00B54846" w:rsidP="00B54846">
      <w:pPr>
        <w:rPr>
          <w:sz w:val="24"/>
          <w:szCs w:val="24"/>
        </w:rPr>
      </w:pPr>
      <w:r w:rsidRPr="00B54846">
        <w:rPr>
          <w:sz w:val="24"/>
          <w:szCs w:val="24"/>
        </w:rPr>
        <w:t xml:space="preserve">There are two main drivers behind this evaluation. </w:t>
      </w:r>
      <w:proofErr w:type="gramStart"/>
      <w:r w:rsidRPr="00B54846">
        <w:rPr>
          <w:sz w:val="24"/>
          <w:szCs w:val="24"/>
        </w:rPr>
        <w:t>First, to provide an independent performance review of Phase 1 of AIFDR (‘accountability driver’).</w:t>
      </w:r>
      <w:proofErr w:type="gramEnd"/>
      <w:r w:rsidRPr="00B54846">
        <w:rPr>
          <w:sz w:val="24"/>
          <w:szCs w:val="24"/>
        </w:rPr>
        <w:t xml:space="preserve"> Two, to draw out lessons learnt from Phase 1 that are relevant to facility learning to inform Phase 2 (‘learning driver’). </w:t>
      </w:r>
    </w:p>
    <w:p w14:paraId="337EE5A5" w14:textId="77777777" w:rsidR="00B54846" w:rsidRPr="00B54846" w:rsidRDefault="00B54846" w:rsidP="00B54846">
      <w:pPr>
        <w:rPr>
          <w:sz w:val="24"/>
          <w:szCs w:val="24"/>
        </w:rPr>
      </w:pPr>
      <w:r w:rsidRPr="00B54846">
        <w:rPr>
          <w:sz w:val="24"/>
          <w:szCs w:val="24"/>
        </w:rPr>
        <w:t xml:space="preserve">This evaluation aims to assess AIFDR Phase 1 achievements against AIFDR’s program logic, and identify and analyse lessons learnt from Phase 1. </w:t>
      </w:r>
    </w:p>
    <w:p w14:paraId="263CC7C8" w14:textId="77777777" w:rsidR="00B54846" w:rsidRPr="009705F2" w:rsidRDefault="00B54846" w:rsidP="009705F2">
      <w:pPr>
        <w:rPr>
          <w:b/>
          <w:sz w:val="24"/>
          <w:szCs w:val="24"/>
        </w:rPr>
      </w:pPr>
      <w:r w:rsidRPr="009705F2">
        <w:rPr>
          <w:b/>
          <w:sz w:val="24"/>
          <w:szCs w:val="24"/>
        </w:rPr>
        <w:t>Approach and Methodology</w:t>
      </w:r>
    </w:p>
    <w:p w14:paraId="04C8F929" w14:textId="77777777" w:rsidR="00B54846" w:rsidRPr="00B54846" w:rsidRDefault="00B54846" w:rsidP="00B54846">
      <w:pPr>
        <w:rPr>
          <w:rFonts w:cs="Times New Roman"/>
          <w:sz w:val="24"/>
          <w:szCs w:val="24"/>
        </w:rPr>
      </w:pPr>
      <w:r w:rsidRPr="00B54846">
        <w:rPr>
          <w:rFonts w:cs="Times New Roman"/>
          <w:sz w:val="24"/>
          <w:szCs w:val="24"/>
        </w:rPr>
        <w:t xml:space="preserve">The evaluation framework is informed by the facility logic presented in Annexure 1. This demonstrates the 3 programmatic elements of the facility and the contribution they were expected to make to the achievement of the facility purpose and goal. </w:t>
      </w:r>
    </w:p>
    <w:p w14:paraId="2D0B4188" w14:textId="77777777" w:rsidR="00B54846" w:rsidRPr="00B54846" w:rsidRDefault="00B54846" w:rsidP="00B54846">
      <w:pPr>
        <w:rPr>
          <w:rFonts w:cs="Times New Roman"/>
          <w:sz w:val="24"/>
          <w:szCs w:val="24"/>
        </w:rPr>
      </w:pPr>
      <w:r w:rsidRPr="00B54846">
        <w:rPr>
          <w:rFonts w:cs="Times New Roman"/>
          <w:sz w:val="24"/>
          <w:szCs w:val="24"/>
        </w:rPr>
        <w:t xml:space="preserve">The evaluation will use a qualitative mix-method approach. This approach involves document </w:t>
      </w:r>
      <w:proofErr w:type="gramStart"/>
      <w:r w:rsidRPr="00B54846">
        <w:rPr>
          <w:rFonts w:cs="Times New Roman"/>
          <w:sz w:val="24"/>
          <w:szCs w:val="24"/>
        </w:rPr>
        <w:t>analysis,</w:t>
      </w:r>
      <w:proofErr w:type="gramEnd"/>
      <w:r w:rsidRPr="00B54846">
        <w:rPr>
          <w:rFonts w:cs="Times New Roman"/>
          <w:sz w:val="24"/>
          <w:szCs w:val="24"/>
        </w:rPr>
        <w:t xml:space="preserve"> and semi-structured interviews with a modest number of key stakeholders in Australia (Canberra) and Indonesia (Jakarta). </w:t>
      </w:r>
    </w:p>
    <w:p w14:paraId="23DDDB9E" w14:textId="77777777" w:rsidR="00B54846" w:rsidRPr="00B54846" w:rsidRDefault="00B54846" w:rsidP="00B54846">
      <w:pPr>
        <w:rPr>
          <w:sz w:val="24"/>
          <w:szCs w:val="24"/>
        </w:rPr>
      </w:pPr>
      <w:r w:rsidRPr="00B54846">
        <w:rPr>
          <w:sz w:val="24"/>
          <w:szCs w:val="24"/>
        </w:rPr>
        <w:t>The evaluation team has been tasked by DFAT to commit significant time during the inquiry process to analysing lessons learnt that will be relevant to AIFDR Phase 2. The ToRs for this independent review refer to a series of questions the evaluation team should aim to address. Questions extracted from ToRs are included below.</w:t>
      </w:r>
    </w:p>
    <w:p w14:paraId="113F14BE" w14:textId="77777777" w:rsidR="00B54846" w:rsidRPr="00B54846" w:rsidRDefault="00B54846" w:rsidP="00B54846">
      <w:pPr>
        <w:rPr>
          <w:rFonts w:cs="Times New Roman"/>
          <w:i/>
          <w:sz w:val="24"/>
          <w:szCs w:val="24"/>
        </w:rPr>
      </w:pPr>
      <w:r w:rsidRPr="00B54846">
        <w:rPr>
          <w:rFonts w:cs="Times New Roman"/>
          <w:i/>
          <w:sz w:val="24"/>
          <w:szCs w:val="24"/>
        </w:rPr>
        <w:t>What are the key lessons learned from the 1</w:t>
      </w:r>
      <w:r w:rsidRPr="00B54846">
        <w:rPr>
          <w:rFonts w:cs="Times New Roman"/>
          <w:i/>
          <w:sz w:val="24"/>
          <w:szCs w:val="24"/>
          <w:vertAlign w:val="superscript"/>
        </w:rPr>
        <w:t>st</w:t>
      </w:r>
      <w:r w:rsidRPr="00B54846">
        <w:rPr>
          <w:rFonts w:cs="Times New Roman"/>
          <w:i/>
          <w:sz w:val="24"/>
          <w:szCs w:val="24"/>
        </w:rPr>
        <w:t xml:space="preserve"> phase of AIFDR in terms of:</w:t>
      </w:r>
    </w:p>
    <w:p w14:paraId="3C0B766B" w14:textId="77777777" w:rsidR="00B54846" w:rsidRPr="00B54846" w:rsidRDefault="00B54846" w:rsidP="00B54846">
      <w:pPr>
        <w:numPr>
          <w:ilvl w:val="0"/>
          <w:numId w:val="10"/>
        </w:numPr>
        <w:spacing w:after="200" w:line="276" w:lineRule="auto"/>
        <w:contextualSpacing/>
        <w:rPr>
          <w:rFonts w:cs="Times New Roman"/>
          <w:i/>
          <w:sz w:val="24"/>
          <w:szCs w:val="24"/>
        </w:rPr>
      </w:pPr>
      <w:r w:rsidRPr="00B54846">
        <w:rPr>
          <w:rFonts w:cs="Times New Roman"/>
          <w:i/>
          <w:sz w:val="24"/>
          <w:szCs w:val="24"/>
        </w:rPr>
        <w:t>AIFDR-2 implementation?</w:t>
      </w:r>
    </w:p>
    <w:p w14:paraId="1ECAC5F5" w14:textId="77777777" w:rsidR="00B54846" w:rsidRPr="00B54846" w:rsidRDefault="00B54846" w:rsidP="00B54846">
      <w:pPr>
        <w:numPr>
          <w:ilvl w:val="0"/>
          <w:numId w:val="10"/>
        </w:numPr>
        <w:spacing w:after="200" w:line="276" w:lineRule="auto"/>
        <w:contextualSpacing/>
        <w:rPr>
          <w:rFonts w:cs="Times New Roman"/>
          <w:i/>
          <w:sz w:val="24"/>
          <w:szCs w:val="24"/>
        </w:rPr>
      </w:pPr>
      <w:r w:rsidRPr="00B54846">
        <w:rPr>
          <w:rFonts w:cs="Times New Roman"/>
          <w:i/>
          <w:sz w:val="24"/>
          <w:szCs w:val="24"/>
        </w:rPr>
        <w:t xml:space="preserve">Mainstreaming DM in Australia’s development program to Indonesia? </w:t>
      </w:r>
    </w:p>
    <w:p w14:paraId="64190EBC" w14:textId="77777777" w:rsidR="00B54846" w:rsidRPr="00B54846" w:rsidRDefault="00B54846" w:rsidP="00B54846">
      <w:pPr>
        <w:numPr>
          <w:ilvl w:val="0"/>
          <w:numId w:val="10"/>
        </w:numPr>
        <w:spacing w:after="200" w:line="276" w:lineRule="auto"/>
        <w:contextualSpacing/>
        <w:rPr>
          <w:rFonts w:cs="Times New Roman"/>
          <w:i/>
          <w:sz w:val="24"/>
          <w:szCs w:val="24"/>
        </w:rPr>
      </w:pPr>
      <w:r w:rsidRPr="00B54846">
        <w:rPr>
          <w:rFonts w:cs="Times New Roman"/>
          <w:i/>
          <w:sz w:val="24"/>
          <w:szCs w:val="24"/>
        </w:rPr>
        <w:t>DM practice across Indonesia?</w:t>
      </w:r>
    </w:p>
    <w:p w14:paraId="30572E1F" w14:textId="77777777" w:rsidR="00B54846" w:rsidRPr="00B54846" w:rsidRDefault="00B54846" w:rsidP="00B54846">
      <w:pPr>
        <w:numPr>
          <w:ilvl w:val="0"/>
          <w:numId w:val="10"/>
        </w:numPr>
        <w:spacing w:after="200" w:line="276" w:lineRule="auto"/>
        <w:contextualSpacing/>
        <w:rPr>
          <w:rFonts w:cs="Times New Roman"/>
          <w:i/>
          <w:sz w:val="24"/>
          <w:szCs w:val="24"/>
        </w:rPr>
      </w:pPr>
      <w:r w:rsidRPr="00B54846">
        <w:rPr>
          <w:rFonts w:cs="Times New Roman"/>
          <w:i/>
          <w:sz w:val="24"/>
          <w:szCs w:val="24"/>
        </w:rPr>
        <w:t>Key outcomes of relevance to GoI, and are they still relevant with a new Indonesian President to take office in late 2014?</w:t>
      </w:r>
    </w:p>
    <w:p w14:paraId="1B911D5A" w14:textId="77777777" w:rsidR="00B54846" w:rsidRPr="00B54846" w:rsidRDefault="00B54846" w:rsidP="00B54846">
      <w:pPr>
        <w:numPr>
          <w:ilvl w:val="0"/>
          <w:numId w:val="10"/>
        </w:numPr>
        <w:spacing w:after="200" w:line="276" w:lineRule="auto"/>
        <w:contextualSpacing/>
        <w:rPr>
          <w:rFonts w:cs="Times New Roman"/>
          <w:i/>
          <w:sz w:val="24"/>
          <w:szCs w:val="24"/>
        </w:rPr>
      </w:pPr>
      <w:r w:rsidRPr="00B54846">
        <w:rPr>
          <w:rFonts w:cs="Times New Roman"/>
          <w:i/>
          <w:sz w:val="24"/>
          <w:szCs w:val="24"/>
        </w:rPr>
        <w:t>Key outcomes of relevance to GoA, are they still relevant in light of the emerging priorities of the new Australian Government?</w:t>
      </w:r>
    </w:p>
    <w:p w14:paraId="291FC11D" w14:textId="77777777" w:rsidR="00B54846" w:rsidRPr="00B54846" w:rsidRDefault="00B54846" w:rsidP="00B54846">
      <w:pPr>
        <w:numPr>
          <w:ilvl w:val="0"/>
          <w:numId w:val="10"/>
        </w:numPr>
        <w:spacing w:after="200" w:line="276" w:lineRule="auto"/>
        <w:contextualSpacing/>
        <w:rPr>
          <w:rFonts w:cs="Times New Roman"/>
          <w:i/>
          <w:sz w:val="24"/>
          <w:szCs w:val="24"/>
        </w:rPr>
      </w:pPr>
      <w:r w:rsidRPr="00B54846">
        <w:rPr>
          <w:rFonts w:cs="Times New Roman"/>
          <w:i/>
          <w:sz w:val="24"/>
          <w:szCs w:val="24"/>
        </w:rPr>
        <w:t>Features of good partnership with BNPB and other key partners?</w:t>
      </w:r>
    </w:p>
    <w:p w14:paraId="05098213" w14:textId="77777777" w:rsidR="009705F2" w:rsidRDefault="009705F2" w:rsidP="009705F2">
      <w:pPr>
        <w:rPr>
          <w:b/>
          <w:sz w:val="24"/>
          <w:szCs w:val="24"/>
        </w:rPr>
      </w:pPr>
    </w:p>
    <w:p w14:paraId="424050F3" w14:textId="77777777" w:rsidR="00B54846" w:rsidRPr="009705F2" w:rsidRDefault="00B54846" w:rsidP="009705F2">
      <w:pPr>
        <w:rPr>
          <w:b/>
          <w:sz w:val="24"/>
          <w:szCs w:val="24"/>
        </w:rPr>
      </w:pPr>
      <w:r w:rsidRPr="009705F2">
        <w:rPr>
          <w:b/>
          <w:sz w:val="24"/>
          <w:szCs w:val="24"/>
        </w:rPr>
        <w:t xml:space="preserve">Primary Intended Users </w:t>
      </w:r>
    </w:p>
    <w:p w14:paraId="386E44D5" w14:textId="77777777" w:rsidR="00B54846" w:rsidRPr="00B54846" w:rsidRDefault="00B54846" w:rsidP="00B54846">
      <w:pPr>
        <w:rPr>
          <w:sz w:val="24"/>
          <w:szCs w:val="24"/>
        </w:rPr>
      </w:pPr>
      <w:r w:rsidRPr="00B54846">
        <w:rPr>
          <w:sz w:val="24"/>
          <w:szCs w:val="24"/>
        </w:rPr>
        <w:t>The primary intended users of the evaluation are DFAT and BNPB staff responsible for finalising the scaled down design for Phase 2, and staff responsible for Phase 2 implementation. Secondary users will include DFAT Canberra (Humanitarian and ASEAN Directorate), Geoscience Australia, and potentially other donors and development partners working in the DRM/DRR space in Indonesia.</w:t>
      </w:r>
    </w:p>
    <w:p w14:paraId="79536EF3" w14:textId="77777777" w:rsidR="00B54846" w:rsidRPr="009705F2" w:rsidRDefault="00B54846" w:rsidP="009705F2">
      <w:pPr>
        <w:rPr>
          <w:b/>
          <w:sz w:val="24"/>
          <w:szCs w:val="24"/>
        </w:rPr>
      </w:pPr>
      <w:r w:rsidRPr="009705F2">
        <w:rPr>
          <w:b/>
          <w:sz w:val="24"/>
          <w:szCs w:val="24"/>
        </w:rPr>
        <w:t xml:space="preserve">Limitations </w:t>
      </w:r>
    </w:p>
    <w:p w14:paraId="10D45CBD" w14:textId="77777777" w:rsidR="00B54846" w:rsidRPr="00B54846" w:rsidRDefault="00B54846" w:rsidP="00B54846">
      <w:pPr>
        <w:rPr>
          <w:sz w:val="24"/>
          <w:szCs w:val="24"/>
        </w:rPr>
      </w:pPr>
      <w:r w:rsidRPr="00B54846">
        <w:rPr>
          <w:sz w:val="24"/>
          <w:szCs w:val="24"/>
        </w:rPr>
        <w:t>The evaluation will be conducted by a two person team over a short time frame (with 6 working days in Jakarta, Indonesia). Broad stakeholder consultations are not within the scope of this evaluation. The team comprises of two sector specialists, namely: Lisa Roberts (an independent consultant engaged off DFAT’s Aid Advisory Services Disaster Management and Humanitarian Panel) and Steve Darvill (DFAT’s Humanitarian Adviser based in Canberra).  AIFDR staff will provide logistical and language translation support to the evaluation team during Jakarta based consultations.</w:t>
      </w:r>
    </w:p>
    <w:p w14:paraId="3DF666E6" w14:textId="77777777" w:rsidR="00B54846" w:rsidRPr="00B54846" w:rsidRDefault="00B54846" w:rsidP="00B54846">
      <w:pPr>
        <w:rPr>
          <w:sz w:val="24"/>
          <w:szCs w:val="24"/>
        </w:rPr>
      </w:pPr>
    </w:p>
    <w:p w14:paraId="30D64DC9" w14:textId="77777777" w:rsidR="00B54846" w:rsidRPr="00B54846" w:rsidRDefault="00B54846" w:rsidP="00B54846">
      <w:pPr>
        <w:rPr>
          <w:sz w:val="24"/>
          <w:szCs w:val="24"/>
        </w:rPr>
        <w:sectPr w:rsidR="00B54846" w:rsidRPr="00B54846" w:rsidSect="00F62D8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0"/>
          <w:cols w:space="708"/>
          <w:docGrid w:linePitch="360"/>
        </w:sectPr>
      </w:pPr>
    </w:p>
    <w:p w14:paraId="2872F5C2" w14:textId="77777777" w:rsidR="00B54846" w:rsidRPr="009705F2" w:rsidRDefault="00B54846" w:rsidP="009705F2">
      <w:pPr>
        <w:rPr>
          <w:b/>
          <w:sz w:val="28"/>
          <w:szCs w:val="28"/>
        </w:rPr>
      </w:pPr>
      <w:r w:rsidRPr="009705F2">
        <w:rPr>
          <w:b/>
          <w:sz w:val="28"/>
          <w:szCs w:val="28"/>
        </w:rPr>
        <w:t xml:space="preserve">Key Evaluation Questions </w:t>
      </w:r>
    </w:p>
    <w:p w14:paraId="5D4ACFDE" w14:textId="77777777" w:rsidR="00B54846" w:rsidRPr="00B54846" w:rsidRDefault="00B54846" w:rsidP="00B54846"/>
    <w:tbl>
      <w:tblPr>
        <w:tblStyle w:val="TableGrid1"/>
        <w:tblW w:w="0" w:type="auto"/>
        <w:tblInd w:w="-289" w:type="dxa"/>
        <w:tblLayout w:type="fixed"/>
        <w:tblLook w:val="04A0" w:firstRow="1" w:lastRow="0" w:firstColumn="1" w:lastColumn="0" w:noHBand="0" w:noVBand="1"/>
      </w:tblPr>
      <w:tblGrid>
        <w:gridCol w:w="1277"/>
        <w:gridCol w:w="3668"/>
        <w:gridCol w:w="7285"/>
        <w:gridCol w:w="2007"/>
      </w:tblGrid>
      <w:tr w:rsidR="00B54846" w:rsidRPr="00B54846" w14:paraId="7B126EC2" w14:textId="77777777" w:rsidTr="00F62D81">
        <w:tc>
          <w:tcPr>
            <w:tcW w:w="1277" w:type="dxa"/>
          </w:tcPr>
          <w:p w14:paraId="1A1560ED" w14:textId="77777777" w:rsidR="00B54846" w:rsidRPr="00B54846" w:rsidRDefault="00B54846" w:rsidP="00B54846">
            <w:pPr>
              <w:widowControl w:val="0"/>
              <w:tabs>
                <w:tab w:val="left" w:pos="220"/>
                <w:tab w:val="left" w:pos="720"/>
              </w:tabs>
              <w:spacing w:after="280"/>
              <w:jc w:val="center"/>
              <w:rPr>
                <w:rFonts w:cs="Times New Roman"/>
                <w:b/>
              </w:rPr>
            </w:pPr>
            <w:r w:rsidRPr="00B54846">
              <w:rPr>
                <w:rFonts w:cs="Times New Roman"/>
                <w:b/>
              </w:rPr>
              <w:t>Evaluation Criteria</w:t>
            </w:r>
          </w:p>
        </w:tc>
        <w:tc>
          <w:tcPr>
            <w:tcW w:w="3668" w:type="dxa"/>
          </w:tcPr>
          <w:p w14:paraId="41341F71" w14:textId="77777777" w:rsidR="00B54846" w:rsidRPr="00B54846" w:rsidRDefault="00B54846" w:rsidP="00B54846">
            <w:pPr>
              <w:widowControl w:val="0"/>
              <w:tabs>
                <w:tab w:val="left" w:pos="220"/>
                <w:tab w:val="left" w:pos="720"/>
              </w:tabs>
              <w:spacing w:after="280"/>
              <w:jc w:val="center"/>
              <w:rPr>
                <w:rFonts w:cs="Times New Roman"/>
                <w:b/>
              </w:rPr>
            </w:pPr>
            <w:r w:rsidRPr="00B54846">
              <w:rPr>
                <w:rFonts w:cs="Times New Roman"/>
                <w:b/>
              </w:rPr>
              <w:t>Key evaluation questions</w:t>
            </w:r>
          </w:p>
        </w:tc>
        <w:tc>
          <w:tcPr>
            <w:tcW w:w="7285" w:type="dxa"/>
          </w:tcPr>
          <w:p w14:paraId="07A70680" w14:textId="77777777" w:rsidR="00B54846" w:rsidRPr="00B54846" w:rsidRDefault="00B54846" w:rsidP="00B54846">
            <w:pPr>
              <w:widowControl w:val="0"/>
              <w:tabs>
                <w:tab w:val="left" w:pos="220"/>
                <w:tab w:val="left" w:pos="720"/>
              </w:tabs>
              <w:spacing w:after="280"/>
              <w:jc w:val="center"/>
              <w:rPr>
                <w:rFonts w:cs="Times New Roman"/>
                <w:b/>
              </w:rPr>
            </w:pPr>
            <w:r w:rsidRPr="00B54846">
              <w:rPr>
                <w:rFonts w:cs="Times New Roman"/>
                <w:b/>
              </w:rPr>
              <w:t>Sub-evaluation Questions</w:t>
            </w:r>
          </w:p>
        </w:tc>
        <w:tc>
          <w:tcPr>
            <w:tcW w:w="2007" w:type="dxa"/>
          </w:tcPr>
          <w:p w14:paraId="2DB104D0" w14:textId="77777777" w:rsidR="00B54846" w:rsidRPr="00B54846" w:rsidRDefault="00B54846" w:rsidP="00B54846">
            <w:pPr>
              <w:widowControl w:val="0"/>
              <w:tabs>
                <w:tab w:val="left" w:pos="220"/>
                <w:tab w:val="left" w:pos="720"/>
              </w:tabs>
              <w:spacing w:after="280"/>
              <w:jc w:val="center"/>
              <w:rPr>
                <w:rFonts w:cs="Times New Roman"/>
                <w:b/>
              </w:rPr>
            </w:pPr>
            <w:r w:rsidRPr="00B54846">
              <w:rPr>
                <w:rFonts w:cs="Times New Roman"/>
                <w:b/>
              </w:rPr>
              <w:t>Inquiry Methods Used to Answer the Questions</w:t>
            </w:r>
          </w:p>
        </w:tc>
      </w:tr>
      <w:tr w:rsidR="00B54846" w:rsidRPr="00B54846" w14:paraId="3DE96A8C" w14:textId="77777777" w:rsidTr="00F62D81">
        <w:trPr>
          <w:cantSplit/>
          <w:trHeight w:val="1134"/>
        </w:trPr>
        <w:tc>
          <w:tcPr>
            <w:tcW w:w="1277" w:type="dxa"/>
            <w:shd w:val="clear" w:color="auto" w:fill="D9D9D9" w:themeFill="background1" w:themeFillShade="D9"/>
            <w:textDirection w:val="btLr"/>
          </w:tcPr>
          <w:p w14:paraId="0D300875" w14:textId="77777777" w:rsidR="00B54846" w:rsidRPr="00B54846" w:rsidRDefault="00B54846" w:rsidP="00B54846">
            <w:pPr>
              <w:widowControl w:val="0"/>
              <w:tabs>
                <w:tab w:val="left" w:pos="220"/>
                <w:tab w:val="left" w:pos="720"/>
              </w:tabs>
              <w:spacing w:after="280"/>
              <w:ind w:left="113" w:right="113"/>
              <w:jc w:val="center"/>
              <w:rPr>
                <w:rFonts w:cs="Times New Roman"/>
                <w:b/>
                <w:sz w:val="28"/>
                <w:szCs w:val="28"/>
              </w:rPr>
            </w:pPr>
            <w:r w:rsidRPr="00B54846">
              <w:rPr>
                <w:rFonts w:cs="Times New Roman"/>
                <w:b/>
                <w:sz w:val="32"/>
                <w:szCs w:val="32"/>
              </w:rPr>
              <w:t>Relevance</w:t>
            </w:r>
          </w:p>
          <w:p w14:paraId="06C12D46" w14:textId="77777777" w:rsidR="00B54846" w:rsidRPr="00B54846" w:rsidRDefault="00B54846" w:rsidP="00B54846">
            <w:pPr>
              <w:widowControl w:val="0"/>
              <w:tabs>
                <w:tab w:val="left" w:pos="220"/>
                <w:tab w:val="left" w:pos="720"/>
              </w:tabs>
              <w:spacing w:after="280"/>
              <w:ind w:left="113" w:right="113"/>
              <w:rPr>
                <w:rFonts w:cs="Times New Roman"/>
                <w:b/>
              </w:rPr>
            </w:pPr>
          </w:p>
          <w:p w14:paraId="3BF295D2" w14:textId="77777777" w:rsidR="00B54846" w:rsidRPr="00B54846" w:rsidRDefault="00B54846" w:rsidP="00B54846">
            <w:pPr>
              <w:widowControl w:val="0"/>
              <w:tabs>
                <w:tab w:val="left" w:pos="220"/>
                <w:tab w:val="left" w:pos="720"/>
              </w:tabs>
              <w:spacing w:after="280"/>
              <w:ind w:left="113" w:right="113"/>
              <w:rPr>
                <w:rFonts w:cs="Times New Roman"/>
                <w:b/>
              </w:rPr>
            </w:pPr>
          </w:p>
        </w:tc>
        <w:tc>
          <w:tcPr>
            <w:tcW w:w="3668" w:type="dxa"/>
          </w:tcPr>
          <w:p w14:paraId="646A6663" w14:textId="77777777" w:rsidR="00B54846" w:rsidRPr="00B54846" w:rsidRDefault="00B54846" w:rsidP="00B54846">
            <w:pPr>
              <w:widowControl w:val="0"/>
              <w:tabs>
                <w:tab w:val="left" w:pos="220"/>
                <w:tab w:val="left" w:pos="720"/>
              </w:tabs>
              <w:spacing w:after="280"/>
              <w:rPr>
                <w:rFonts w:cs="Times New Roman"/>
                <w:b/>
              </w:rPr>
            </w:pPr>
            <w:r w:rsidRPr="00B54846">
              <w:rPr>
                <w:rFonts w:cs="Times New Roman"/>
                <w:b/>
              </w:rPr>
              <w:t xml:space="preserve">To what extent was AIFDR resources allocated to the most appropriate and relevant activities given the hazard profile, national and local capacities and development context in Indonesia? </w:t>
            </w:r>
          </w:p>
        </w:tc>
        <w:tc>
          <w:tcPr>
            <w:tcW w:w="7285" w:type="dxa"/>
          </w:tcPr>
          <w:p w14:paraId="60E6E0A5" w14:textId="77777777" w:rsidR="00B54846" w:rsidRPr="00B54846" w:rsidRDefault="00B54846" w:rsidP="00B54846">
            <w:pPr>
              <w:rPr>
                <w:rFonts w:cs="Times New Roman"/>
              </w:rPr>
            </w:pPr>
            <w:r w:rsidRPr="00B54846">
              <w:rPr>
                <w:rFonts w:cs="Times New Roman"/>
              </w:rPr>
              <w:t>What value has AIFDR added to supporting partnerships at regional, national and local level for sustainable disaster reduction in Indonesia and the region?</w:t>
            </w:r>
          </w:p>
          <w:p w14:paraId="1444FD60" w14:textId="77777777" w:rsidR="00B54846" w:rsidRPr="00B54846" w:rsidRDefault="00B54846" w:rsidP="00B54846">
            <w:pPr>
              <w:rPr>
                <w:rFonts w:cs="Times New Roman"/>
              </w:rPr>
            </w:pPr>
          </w:p>
          <w:p w14:paraId="35B900C6" w14:textId="77777777" w:rsidR="00B54846" w:rsidRPr="00B54846" w:rsidRDefault="00B54846" w:rsidP="00B54846">
            <w:pPr>
              <w:rPr>
                <w:rFonts w:cs="Times New Roman"/>
              </w:rPr>
            </w:pPr>
            <w:r w:rsidRPr="00B54846">
              <w:rPr>
                <w:rFonts w:cs="Times New Roman"/>
              </w:rPr>
              <w:t>What value has AIFDR added to the understanding of disaster risk and vulnerability of disaster managers, and promotion of innovative approaches to reducing risk?</w:t>
            </w:r>
          </w:p>
          <w:p w14:paraId="155F8EEA" w14:textId="77777777" w:rsidR="00B54846" w:rsidRPr="00B54846" w:rsidRDefault="00B54846" w:rsidP="00B54846">
            <w:pPr>
              <w:rPr>
                <w:rFonts w:cs="Times New Roman"/>
              </w:rPr>
            </w:pPr>
          </w:p>
          <w:p w14:paraId="0DFA5877" w14:textId="77777777" w:rsidR="00B54846" w:rsidRPr="00B54846" w:rsidRDefault="00B54846" w:rsidP="00B54846">
            <w:pPr>
              <w:rPr>
                <w:rFonts w:cs="Times New Roman"/>
              </w:rPr>
            </w:pPr>
            <w:r w:rsidRPr="00B54846">
              <w:rPr>
                <w:rFonts w:cs="Times New Roman"/>
              </w:rPr>
              <w:t xml:space="preserve">What value has AIFDR delivered in terms of improvements in disaster risk management planning at regional, national and local levels? </w:t>
            </w:r>
          </w:p>
          <w:p w14:paraId="58207C36" w14:textId="77777777" w:rsidR="00B54846" w:rsidRPr="00B54846" w:rsidRDefault="00B54846" w:rsidP="00B54846">
            <w:pPr>
              <w:rPr>
                <w:rFonts w:cs="Times New Roman"/>
              </w:rPr>
            </w:pPr>
          </w:p>
        </w:tc>
        <w:tc>
          <w:tcPr>
            <w:tcW w:w="2007" w:type="dxa"/>
          </w:tcPr>
          <w:p w14:paraId="7149F92F" w14:textId="77777777" w:rsidR="00B54846" w:rsidRPr="00B54846" w:rsidRDefault="00B54846" w:rsidP="00B54846">
            <w:pPr>
              <w:rPr>
                <w:rFonts w:cs="Times New Roman"/>
              </w:rPr>
            </w:pPr>
            <w:r w:rsidRPr="00B54846">
              <w:rPr>
                <w:rFonts w:cs="Times New Roman"/>
              </w:rPr>
              <w:t>Document review; semi-structured interviews with key stakeholders and AIFDR staff.</w:t>
            </w:r>
          </w:p>
        </w:tc>
      </w:tr>
      <w:tr w:rsidR="00B54846" w:rsidRPr="00B54846" w14:paraId="6A0BACBF" w14:textId="77777777" w:rsidTr="00F62D81">
        <w:trPr>
          <w:cantSplit/>
          <w:trHeight w:val="9085"/>
        </w:trPr>
        <w:tc>
          <w:tcPr>
            <w:tcW w:w="1277" w:type="dxa"/>
            <w:shd w:val="clear" w:color="auto" w:fill="D9D9D9" w:themeFill="background1" w:themeFillShade="D9"/>
            <w:textDirection w:val="btLr"/>
          </w:tcPr>
          <w:p w14:paraId="3EA95B0B" w14:textId="77777777" w:rsidR="00B54846" w:rsidRPr="00B54846" w:rsidRDefault="00B54846" w:rsidP="00B54846">
            <w:pPr>
              <w:widowControl w:val="0"/>
              <w:tabs>
                <w:tab w:val="left" w:pos="220"/>
                <w:tab w:val="left" w:pos="720"/>
              </w:tabs>
              <w:spacing w:after="280"/>
              <w:ind w:left="113" w:right="113"/>
              <w:jc w:val="center"/>
              <w:rPr>
                <w:rFonts w:cs="Times New Roman"/>
                <w:b/>
                <w:sz w:val="28"/>
                <w:szCs w:val="28"/>
              </w:rPr>
            </w:pPr>
            <w:r w:rsidRPr="00B54846">
              <w:rPr>
                <w:rFonts w:cs="Times New Roman"/>
                <w:b/>
                <w:sz w:val="28"/>
                <w:szCs w:val="28"/>
              </w:rPr>
              <w:t>Effectiveness</w:t>
            </w:r>
          </w:p>
          <w:p w14:paraId="02169B34" w14:textId="77777777" w:rsidR="00B54846" w:rsidRPr="00B54846" w:rsidRDefault="00B54846" w:rsidP="00B54846">
            <w:pPr>
              <w:widowControl w:val="0"/>
              <w:tabs>
                <w:tab w:val="left" w:pos="220"/>
                <w:tab w:val="left" w:pos="720"/>
              </w:tabs>
              <w:spacing w:after="280"/>
              <w:ind w:left="113" w:right="113"/>
              <w:rPr>
                <w:rFonts w:cs="Times New Roman"/>
                <w:b/>
              </w:rPr>
            </w:pPr>
          </w:p>
          <w:p w14:paraId="384CC413" w14:textId="77777777" w:rsidR="00B54846" w:rsidRPr="00B54846" w:rsidRDefault="00B54846" w:rsidP="00B54846">
            <w:pPr>
              <w:widowControl w:val="0"/>
              <w:tabs>
                <w:tab w:val="left" w:pos="220"/>
                <w:tab w:val="left" w:pos="720"/>
              </w:tabs>
              <w:spacing w:after="280"/>
              <w:ind w:left="113" w:right="113"/>
              <w:rPr>
                <w:rFonts w:cs="Times New Roman"/>
                <w:b/>
              </w:rPr>
            </w:pPr>
            <w:r w:rsidRPr="00B54846">
              <w:rPr>
                <w:rFonts w:cs="Times New Roman"/>
                <w:b/>
              </w:rPr>
              <w:t xml:space="preserve"> </w:t>
            </w:r>
          </w:p>
        </w:tc>
        <w:tc>
          <w:tcPr>
            <w:tcW w:w="3668" w:type="dxa"/>
          </w:tcPr>
          <w:p w14:paraId="740AF0DB" w14:textId="77777777" w:rsidR="00B54846" w:rsidRPr="00B54846" w:rsidRDefault="00B54846" w:rsidP="00B54846">
            <w:pPr>
              <w:widowControl w:val="0"/>
              <w:tabs>
                <w:tab w:val="left" w:pos="220"/>
                <w:tab w:val="left" w:pos="720"/>
              </w:tabs>
              <w:spacing w:after="280"/>
              <w:rPr>
                <w:rFonts w:cs="Times New Roman"/>
                <w:b/>
              </w:rPr>
            </w:pPr>
            <w:r w:rsidRPr="00B54846">
              <w:rPr>
                <w:rFonts w:cs="Times New Roman"/>
                <w:b/>
              </w:rPr>
              <w:t xml:space="preserve">To what extent has AIFDR achieved its intended end-of-program outcomes? </w:t>
            </w:r>
          </w:p>
          <w:p w14:paraId="62C6FE3D" w14:textId="77777777" w:rsidR="00B54846" w:rsidRPr="00B54846" w:rsidRDefault="00B54846" w:rsidP="00B54846">
            <w:pPr>
              <w:widowControl w:val="0"/>
              <w:tabs>
                <w:tab w:val="left" w:pos="220"/>
                <w:tab w:val="left" w:pos="720"/>
              </w:tabs>
              <w:spacing w:after="280"/>
              <w:rPr>
                <w:rFonts w:cs="Times New Roman"/>
                <w:b/>
              </w:rPr>
            </w:pPr>
            <w:r w:rsidRPr="00B54846">
              <w:rPr>
                <w:rFonts w:cs="Times New Roman"/>
                <w:b/>
              </w:rPr>
              <w:t>Have there been unintended outcomes associated with AIFDR that need to be examined?</w:t>
            </w:r>
          </w:p>
        </w:tc>
        <w:tc>
          <w:tcPr>
            <w:tcW w:w="7285" w:type="dxa"/>
          </w:tcPr>
          <w:p w14:paraId="07144D98" w14:textId="77777777" w:rsidR="00B54846" w:rsidRPr="00B54846" w:rsidRDefault="00B54846" w:rsidP="00B54846">
            <w:pPr>
              <w:rPr>
                <w:rFonts w:cs="Times New Roman"/>
                <w:i/>
              </w:rPr>
            </w:pPr>
            <w:r w:rsidRPr="00B54846">
              <w:rPr>
                <w:rFonts w:cs="Times New Roman"/>
                <w:i/>
              </w:rPr>
              <w:t xml:space="preserve">Outcome 1: Better understanding of risk and vulnerability (disaster managers in priority areas of Indonesia and the region have an improved understanding of disaster risk and vulnerability): </w:t>
            </w:r>
          </w:p>
          <w:p w14:paraId="30F1751F" w14:textId="77777777" w:rsidR="00B54846" w:rsidRPr="00B54846" w:rsidRDefault="00B54846" w:rsidP="00B54846">
            <w:pPr>
              <w:numPr>
                <w:ilvl w:val="0"/>
                <w:numId w:val="28"/>
              </w:numPr>
              <w:contextualSpacing/>
              <w:rPr>
                <w:rFonts w:cs="Times New Roman"/>
              </w:rPr>
            </w:pPr>
            <w:r w:rsidRPr="00B54846">
              <w:rPr>
                <w:rFonts w:cs="Times New Roman"/>
              </w:rPr>
              <w:t>How has AIFDR contributed to increasing understanding of disaster risk and vulnerability among disaster managers?</w:t>
            </w:r>
          </w:p>
          <w:p w14:paraId="3A26E2E1" w14:textId="77777777" w:rsidR="00B54846" w:rsidRPr="00B54846" w:rsidRDefault="00B54846" w:rsidP="00B54846">
            <w:pPr>
              <w:numPr>
                <w:ilvl w:val="0"/>
                <w:numId w:val="28"/>
              </w:numPr>
              <w:contextualSpacing/>
              <w:rPr>
                <w:rFonts w:cs="Times New Roman"/>
              </w:rPr>
            </w:pPr>
            <w:r w:rsidRPr="00B54846">
              <w:rPr>
                <w:rFonts w:cs="Times New Roman"/>
              </w:rPr>
              <w:t>What is the evidence that disaster managers have increased knowledge of DRR and what evidence is available that they have applied it in practice?</w:t>
            </w:r>
          </w:p>
          <w:p w14:paraId="00DAA98F" w14:textId="77777777" w:rsidR="00B54846" w:rsidRPr="00B54846" w:rsidRDefault="00B54846" w:rsidP="00B54846">
            <w:pPr>
              <w:rPr>
                <w:rFonts w:cs="Times New Roman"/>
                <w:i/>
              </w:rPr>
            </w:pPr>
            <w:r w:rsidRPr="00B54846">
              <w:rPr>
                <w:rFonts w:cs="Times New Roman"/>
                <w:i/>
              </w:rPr>
              <w:t>(What changes have you seen in this area? Have you got a specific example of increased DRM knowledge and/or innovation you would like to discuss?)</w:t>
            </w:r>
          </w:p>
          <w:p w14:paraId="5FA781ED" w14:textId="77777777" w:rsidR="00B54846" w:rsidRPr="00B54846" w:rsidRDefault="00B54846" w:rsidP="00B54846">
            <w:pPr>
              <w:rPr>
                <w:rFonts w:cs="Times New Roman"/>
              </w:rPr>
            </w:pPr>
          </w:p>
          <w:p w14:paraId="38305D08" w14:textId="77777777" w:rsidR="00B54846" w:rsidRPr="00B54846" w:rsidRDefault="00B54846" w:rsidP="00B54846">
            <w:pPr>
              <w:rPr>
                <w:rFonts w:cs="Times New Roman"/>
                <w:i/>
              </w:rPr>
            </w:pPr>
            <w:r w:rsidRPr="00B54846">
              <w:rPr>
                <w:rFonts w:cs="Times New Roman"/>
                <w:i/>
              </w:rPr>
              <w:t>Outcome 2: Better able to reduce disaster risk in practice (Disaster managers and vulnerable communities in demonstration provinces of Indonesia are better prepared to reduce impacts through disaster management planning and practice)</w:t>
            </w:r>
          </w:p>
          <w:p w14:paraId="326DCB7B" w14:textId="77777777" w:rsidR="00B54846" w:rsidRPr="00B54846" w:rsidRDefault="00B54846" w:rsidP="00B54846">
            <w:pPr>
              <w:numPr>
                <w:ilvl w:val="0"/>
                <w:numId w:val="27"/>
              </w:numPr>
              <w:contextualSpacing/>
              <w:rPr>
                <w:rFonts w:cs="Times New Roman"/>
              </w:rPr>
            </w:pPr>
            <w:r w:rsidRPr="00B54846">
              <w:rPr>
                <w:rFonts w:cs="Times New Roman"/>
              </w:rPr>
              <w:t>How were disaster managers and vulnerable communities DRM operational practices improved as a result of AIFDR?</w:t>
            </w:r>
          </w:p>
          <w:p w14:paraId="392403C7" w14:textId="77777777" w:rsidR="00B54846" w:rsidRPr="00B54846" w:rsidRDefault="00B54846" w:rsidP="00B54846">
            <w:pPr>
              <w:numPr>
                <w:ilvl w:val="0"/>
                <w:numId w:val="27"/>
              </w:numPr>
              <w:contextualSpacing/>
              <w:rPr>
                <w:rFonts w:cs="Times New Roman"/>
              </w:rPr>
            </w:pPr>
            <w:r w:rsidRPr="00B54846">
              <w:rPr>
                <w:rFonts w:cs="Times New Roman"/>
              </w:rPr>
              <w:t>What improvements to DRM operational practices have resulted in communities and disaster managers being able to reduce disaster impacts?</w:t>
            </w:r>
          </w:p>
          <w:p w14:paraId="35B1B7D2" w14:textId="77777777" w:rsidR="00B54846" w:rsidRPr="00B54846" w:rsidRDefault="00B54846" w:rsidP="00B54846">
            <w:pPr>
              <w:rPr>
                <w:rFonts w:cs="Times New Roman"/>
              </w:rPr>
            </w:pPr>
            <w:r w:rsidRPr="00B54846">
              <w:rPr>
                <w:rFonts w:cs="Times New Roman"/>
                <w:i/>
              </w:rPr>
              <w:t>(What changes have you seen in this area? Have you got a specific example of enhanced local level disaster management capacity you would like to share?)</w:t>
            </w:r>
          </w:p>
          <w:p w14:paraId="7DE5B48C" w14:textId="77777777" w:rsidR="00B54846" w:rsidRPr="00B54846" w:rsidRDefault="00B54846" w:rsidP="00B54846">
            <w:pPr>
              <w:rPr>
                <w:rFonts w:cs="Times New Roman"/>
              </w:rPr>
            </w:pPr>
          </w:p>
          <w:p w14:paraId="704C6714" w14:textId="77777777" w:rsidR="00B54846" w:rsidRPr="00B54846" w:rsidRDefault="00B54846" w:rsidP="00B54846">
            <w:pPr>
              <w:rPr>
                <w:rFonts w:cs="Times New Roman"/>
                <w:i/>
              </w:rPr>
            </w:pPr>
            <w:r w:rsidRPr="00B54846">
              <w:rPr>
                <w:rFonts w:cs="Times New Roman"/>
                <w:i/>
              </w:rPr>
              <w:t>Outcome 3: Partnerships with national, community and international organisations (partnerships enable sustainable disaster reduction in Indonesia and the region)</w:t>
            </w:r>
          </w:p>
          <w:p w14:paraId="3E1B4CCC" w14:textId="77777777" w:rsidR="00B54846" w:rsidRPr="00B54846" w:rsidRDefault="00B54846" w:rsidP="00B54846">
            <w:pPr>
              <w:numPr>
                <w:ilvl w:val="0"/>
                <w:numId w:val="26"/>
              </w:numPr>
              <w:contextualSpacing/>
              <w:rPr>
                <w:rFonts w:cs="Times New Roman"/>
              </w:rPr>
            </w:pPr>
            <w:r w:rsidRPr="00B54846">
              <w:rPr>
                <w:rFonts w:cs="Times New Roman"/>
              </w:rPr>
              <w:t xml:space="preserve">What types of partnerships did the facility form at international, national and community level? </w:t>
            </w:r>
          </w:p>
          <w:p w14:paraId="385E028E" w14:textId="77777777" w:rsidR="00B54846" w:rsidRPr="00B54846" w:rsidRDefault="00B54846" w:rsidP="00B54846">
            <w:pPr>
              <w:numPr>
                <w:ilvl w:val="0"/>
                <w:numId w:val="26"/>
              </w:numPr>
              <w:contextualSpacing/>
              <w:rPr>
                <w:rFonts w:cs="Times New Roman"/>
              </w:rPr>
            </w:pPr>
            <w:r w:rsidRPr="00B54846">
              <w:rPr>
                <w:rFonts w:cs="Times New Roman"/>
              </w:rPr>
              <w:t xml:space="preserve">How did these partnerships help to contribute to sustainable disaster reduction in Indonesia and the region? </w:t>
            </w:r>
          </w:p>
          <w:p w14:paraId="0994D044" w14:textId="77777777" w:rsidR="00B54846" w:rsidRPr="00B54846" w:rsidRDefault="00B54846" w:rsidP="00B54846">
            <w:pPr>
              <w:rPr>
                <w:rFonts w:cs="Times New Roman"/>
                <w:i/>
              </w:rPr>
            </w:pPr>
            <w:r w:rsidRPr="00B54846">
              <w:rPr>
                <w:rFonts w:cs="Times New Roman"/>
                <w:i/>
              </w:rPr>
              <w:t>(What changes have you seen in this area? Have you got a specific example of an effective AIFDR partnership you would like to discuss?)</w:t>
            </w:r>
          </w:p>
        </w:tc>
        <w:tc>
          <w:tcPr>
            <w:tcW w:w="2007" w:type="dxa"/>
          </w:tcPr>
          <w:p w14:paraId="2D06698A" w14:textId="77777777" w:rsidR="00B54846" w:rsidRPr="00B54846" w:rsidRDefault="00B54846" w:rsidP="00B54846">
            <w:pPr>
              <w:rPr>
                <w:rFonts w:cs="Times New Roman"/>
              </w:rPr>
            </w:pPr>
            <w:r w:rsidRPr="00B54846">
              <w:rPr>
                <w:rFonts w:cs="Times New Roman"/>
              </w:rPr>
              <w:t>Document review; semi-structured interviews with key informants</w:t>
            </w:r>
          </w:p>
        </w:tc>
      </w:tr>
      <w:tr w:rsidR="00B54846" w:rsidRPr="00B54846" w14:paraId="31CFAE37" w14:textId="77777777" w:rsidTr="00F62D81">
        <w:trPr>
          <w:cantSplit/>
          <w:trHeight w:val="1134"/>
        </w:trPr>
        <w:tc>
          <w:tcPr>
            <w:tcW w:w="1277" w:type="dxa"/>
            <w:shd w:val="clear" w:color="auto" w:fill="D9D9D9" w:themeFill="background1" w:themeFillShade="D9"/>
            <w:textDirection w:val="btLr"/>
          </w:tcPr>
          <w:p w14:paraId="5CEEFE84" w14:textId="77777777" w:rsidR="00B54846" w:rsidRPr="00B54846" w:rsidRDefault="00B54846" w:rsidP="00B54846">
            <w:pPr>
              <w:widowControl w:val="0"/>
              <w:tabs>
                <w:tab w:val="left" w:pos="220"/>
                <w:tab w:val="left" w:pos="720"/>
              </w:tabs>
              <w:spacing w:after="280"/>
              <w:ind w:left="113" w:right="113"/>
              <w:jc w:val="center"/>
              <w:rPr>
                <w:rFonts w:cs="Times New Roman"/>
                <w:b/>
                <w:sz w:val="28"/>
                <w:szCs w:val="28"/>
              </w:rPr>
            </w:pPr>
            <w:r w:rsidRPr="00B54846">
              <w:rPr>
                <w:rFonts w:cs="Times New Roman"/>
                <w:b/>
                <w:sz w:val="28"/>
                <w:szCs w:val="28"/>
              </w:rPr>
              <w:t>Efficiency</w:t>
            </w:r>
          </w:p>
        </w:tc>
        <w:tc>
          <w:tcPr>
            <w:tcW w:w="3668" w:type="dxa"/>
          </w:tcPr>
          <w:p w14:paraId="57A6F3B4" w14:textId="77777777" w:rsidR="00B54846" w:rsidRPr="00B54846" w:rsidRDefault="00B54846" w:rsidP="00B54846">
            <w:pPr>
              <w:widowControl w:val="0"/>
              <w:tabs>
                <w:tab w:val="left" w:pos="220"/>
                <w:tab w:val="left" w:pos="720"/>
              </w:tabs>
              <w:spacing w:after="280"/>
              <w:rPr>
                <w:rFonts w:cs="Times New Roman"/>
                <w:b/>
              </w:rPr>
            </w:pPr>
            <w:r w:rsidRPr="00B54846">
              <w:rPr>
                <w:rFonts w:cs="Times New Roman"/>
                <w:b/>
              </w:rPr>
              <w:t xml:space="preserve">Were AIFDR’s inputs timely and well targeted? </w:t>
            </w:r>
          </w:p>
          <w:p w14:paraId="3AE033DB" w14:textId="77777777" w:rsidR="00B54846" w:rsidRPr="00B54846" w:rsidRDefault="00B54846" w:rsidP="00B54846">
            <w:pPr>
              <w:widowControl w:val="0"/>
              <w:tabs>
                <w:tab w:val="left" w:pos="220"/>
                <w:tab w:val="left" w:pos="720"/>
              </w:tabs>
              <w:spacing w:after="280"/>
              <w:rPr>
                <w:rFonts w:cs="Times New Roman"/>
                <w:b/>
              </w:rPr>
            </w:pPr>
          </w:p>
        </w:tc>
        <w:tc>
          <w:tcPr>
            <w:tcW w:w="7285" w:type="dxa"/>
          </w:tcPr>
          <w:p w14:paraId="46322EE0" w14:textId="77777777" w:rsidR="00B54846" w:rsidRPr="00B54846" w:rsidRDefault="00B54846" w:rsidP="00B54846">
            <w:pPr>
              <w:rPr>
                <w:rFonts w:ascii="Calibri" w:hAnsi="Calibri" w:cs="Calibri"/>
              </w:rPr>
            </w:pPr>
            <w:r w:rsidRPr="00B54846">
              <w:rPr>
                <w:rFonts w:ascii="Calibri" w:hAnsi="Calibri" w:cs="Calibri"/>
              </w:rPr>
              <w:t xml:space="preserve">What were the successes and challenges involved in the different parts of AIFDR’s management system: </w:t>
            </w:r>
          </w:p>
          <w:p w14:paraId="0E3D2ACF" w14:textId="77777777" w:rsidR="00B54846" w:rsidRPr="00B54846" w:rsidRDefault="00B54846" w:rsidP="00B54846">
            <w:pPr>
              <w:numPr>
                <w:ilvl w:val="0"/>
                <w:numId w:val="7"/>
              </w:numPr>
              <w:rPr>
                <w:rFonts w:ascii="Calibri" w:hAnsi="Calibri" w:cs="Calibri"/>
              </w:rPr>
            </w:pPr>
            <w:r w:rsidRPr="00B54846">
              <w:rPr>
                <w:rFonts w:ascii="Calibri" w:hAnsi="Calibri" w:cs="Calibri"/>
              </w:rPr>
              <w:t>Co-Directorship model</w:t>
            </w:r>
          </w:p>
          <w:p w14:paraId="5B9FFC19" w14:textId="77777777" w:rsidR="00B54846" w:rsidRPr="00B54846" w:rsidRDefault="00B54846" w:rsidP="00B54846">
            <w:pPr>
              <w:numPr>
                <w:ilvl w:val="0"/>
                <w:numId w:val="7"/>
              </w:numPr>
              <w:rPr>
                <w:rFonts w:ascii="Calibri" w:hAnsi="Calibri" w:cs="Calibri"/>
              </w:rPr>
            </w:pPr>
            <w:r w:rsidRPr="00B54846">
              <w:rPr>
                <w:rFonts w:ascii="Calibri" w:hAnsi="Calibri" w:cs="Calibri"/>
              </w:rPr>
              <w:t>Financial management</w:t>
            </w:r>
          </w:p>
          <w:p w14:paraId="23972E10" w14:textId="77777777" w:rsidR="00B54846" w:rsidRPr="00B54846" w:rsidRDefault="00B54846" w:rsidP="00B54846">
            <w:pPr>
              <w:numPr>
                <w:ilvl w:val="0"/>
                <w:numId w:val="7"/>
              </w:numPr>
              <w:rPr>
                <w:rFonts w:ascii="Calibri" w:hAnsi="Calibri" w:cs="Calibri"/>
              </w:rPr>
            </w:pPr>
            <w:r w:rsidRPr="00B54846">
              <w:rPr>
                <w:rFonts w:ascii="Calibri" w:hAnsi="Calibri" w:cs="Calibri"/>
              </w:rPr>
              <w:t>Procurement and contracting (particularly grants mechanism)</w:t>
            </w:r>
          </w:p>
          <w:p w14:paraId="79CEF3A0" w14:textId="77777777" w:rsidR="00B54846" w:rsidRPr="00B54846" w:rsidRDefault="00B54846" w:rsidP="00B54846">
            <w:pPr>
              <w:numPr>
                <w:ilvl w:val="0"/>
                <w:numId w:val="7"/>
              </w:numPr>
              <w:rPr>
                <w:rFonts w:ascii="Calibri" w:hAnsi="Calibri" w:cs="Calibri"/>
              </w:rPr>
            </w:pPr>
            <w:r w:rsidRPr="00B54846">
              <w:rPr>
                <w:rFonts w:ascii="Calibri" w:hAnsi="Calibri" w:cs="Calibri"/>
              </w:rPr>
              <w:t>Staffing</w:t>
            </w:r>
          </w:p>
          <w:p w14:paraId="13653CD6" w14:textId="77777777" w:rsidR="00B54846" w:rsidRPr="00B54846" w:rsidRDefault="00B54846" w:rsidP="00B54846">
            <w:pPr>
              <w:numPr>
                <w:ilvl w:val="0"/>
                <w:numId w:val="7"/>
              </w:numPr>
              <w:rPr>
                <w:rFonts w:ascii="Calibri" w:hAnsi="Calibri" w:cs="Calibri"/>
              </w:rPr>
            </w:pPr>
            <w:r w:rsidRPr="00B54846">
              <w:rPr>
                <w:rFonts w:ascii="Calibri" w:hAnsi="Calibri" w:cs="Calibri"/>
              </w:rPr>
              <w:t>Roles, responsibilities and communication lines between GoA and GoI</w:t>
            </w:r>
          </w:p>
          <w:p w14:paraId="2DDB8D06" w14:textId="77777777" w:rsidR="00B54846" w:rsidRPr="00B54846" w:rsidRDefault="00B54846" w:rsidP="00B54846">
            <w:pPr>
              <w:ind w:left="720"/>
              <w:rPr>
                <w:rFonts w:ascii="Calibri" w:hAnsi="Calibri" w:cs="Calibri"/>
              </w:rPr>
            </w:pPr>
          </w:p>
          <w:p w14:paraId="5ABDEA42" w14:textId="77777777" w:rsidR="00B54846" w:rsidRPr="00B54846" w:rsidRDefault="00B54846" w:rsidP="00B54846">
            <w:pPr>
              <w:rPr>
                <w:rFonts w:ascii="Calibri" w:hAnsi="Calibri" w:cs="Calibri"/>
              </w:rPr>
            </w:pPr>
            <w:r w:rsidRPr="00B54846">
              <w:rPr>
                <w:rFonts w:ascii="Calibri" w:hAnsi="Calibri" w:cs="Calibri"/>
              </w:rPr>
              <w:t>How did AIFDR select and support GoI institutions (BNPB and science institutions agencies) to bring about durable change to DRM policies and practices in Indonesia?</w:t>
            </w:r>
          </w:p>
          <w:p w14:paraId="42D0BFF7" w14:textId="77777777" w:rsidR="00B54846" w:rsidRPr="00B54846" w:rsidRDefault="00B54846" w:rsidP="00B54846">
            <w:pPr>
              <w:rPr>
                <w:rFonts w:ascii="Calibri" w:hAnsi="Calibri" w:cs="Calibri"/>
              </w:rPr>
            </w:pPr>
          </w:p>
          <w:p w14:paraId="5D614656" w14:textId="77777777" w:rsidR="00B54846" w:rsidRPr="00B54846" w:rsidRDefault="00B54846" w:rsidP="00B54846">
            <w:pPr>
              <w:rPr>
                <w:rFonts w:ascii="Calibri" w:hAnsi="Calibri" w:cs="Calibri"/>
              </w:rPr>
            </w:pPr>
            <w:r w:rsidRPr="00B54846">
              <w:rPr>
                <w:rFonts w:ascii="Calibri" w:hAnsi="Calibri" w:cs="Calibri"/>
              </w:rPr>
              <w:t>How did AIFDR select and support UN/INGO/CSO partners to enable sustainable disaster reduction at the sub-national level in Indonesia?</w:t>
            </w:r>
          </w:p>
          <w:p w14:paraId="77D448C0" w14:textId="77777777" w:rsidR="00B54846" w:rsidRPr="00B54846" w:rsidRDefault="00B54846" w:rsidP="00B54846">
            <w:pPr>
              <w:rPr>
                <w:rFonts w:ascii="Calibri" w:hAnsi="Calibri" w:cs="Calibri"/>
              </w:rPr>
            </w:pPr>
          </w:p>
        </w:tc>
        <w:tc>
          <w:tcPr>
            <w:tcW w:w="2007" w:type="dxa"/>
          </w:tcPr>
          <w:p w14:paraId="25F7E317" w14:textId="77777777" w:rsidR="00B54846" w:rsidRPr="00B54846" w:rsidRDefault="00B54846" w:rsidP="00B54846">
            <w:pPr>
              <w:spacing w:before="40" w:after="40"/>
              <w:rPr>
                <w:rFonts w:cs="Arial"/>
              </w:rPr>
            </w:pPr>
            <w:r w:rsidRPr="00B54846">
              <w:rPr>
                <w:rFonts w:cs="Times New Roman"/>
              </w:rPr>
              <w:t xml:space="preserve">Document review; semi-structured interviews with key stakeholders (BNBP) and AIFDR staff. </w:t>
            </w:r>
          </w:p>
        </w:tc>
      </w:tr>
    </w:tbl>
    <w:p w14:paraId="075B4B0D" w14:textId="77777777" w:rsidR="00B54846" w:rsidRPr="00B54846" w:rsidRDefault="00B54846" w:rsidP="00B54846">
      <w:pPr>
        <w:rPr>
          <w:sz w:val="24"/>
          <w:szCs w:val="24"/>
        </w:rPr>
        <w:sectPr w:rsidR="00B54846" w:rsidRPr="00B54846" w:rsidSect="00F62D81">
          <w:pgSz w:w="16838" w:h="11906" w:orient="landscape"/>
          <w:pgMar w:top="1440" w:right="1440" w:bottom="1440" w:left="1440" w:header="708" w:footer="708" w:gutter="0"/>
          <w:pgNumType w:start="0"/>
          <w:cols w:space="708"/>
          <w:titlePg/>
          <w:docGrid w:linePitch="360"/>
        </w:sectPr>
      </w:pPr>
    </w:p>
    <w:p w14:paraId="545AE7BF" w14:textId="77777777" w:rsidR="00B54846" w:rsidRPr="009705F2" w:rsidRDefault="00B54846" w:rsidP="009705F2">
      <w:pPr>
        <w:rPr>
          <w:b/>
          <w:sz w:val="24"/>
          <w:szCs w:val="24"/>
        </w:rPr>
      </w:pPr>
      <w:r w:rsidRPr="009705F2">
        <w:rPr>
          <w:b/>
          <w:sz w:val="24"/>
          <w:szCs w:val="24"/>
        </w:rPr>
        <w:t>Data Collection and Analysis</w:t>
      </w:r>
    </w:p>
    <w:p w14:paraId="3E7962CD" w14:textId="77777777" w:rsidR="00B54846" w:rsidRPr="00B54846" w:rsidRDefault="00B54846" w:rsidP="00B54846">
      <w:pPr>
        <w:rPr>
          <w:sz w:val="24"/>
          <w:szCs w:val="24"/>
        </w:rPr>
      </w:pPr>
      <w:r w:rsidRPr="00B54846">
        <w:rPr>
          <w:sz w:val="24"/>
          <w:szCs w:val="24"/>
        </w:rPr>
        <w:t xml:space="preserve">A range of documents will be reviewed by the evaluation team and evidence extracted from these documents will be fed into phase 4 of the evaluation process (ie, ‘data analysis and interpretation’ stage). Given the short time frame allocated for this evaluation not every document provided by DFAT will be reviewed. Only a select sample of documents will be reviewed, and the selection will be made by the evaluation team in consultation with AIFDR staff. The evaluation team will aim to interview all key stakeholders and AIFDR staff in person where possible. Some of the interviews will occur in Australia (Canberra), but the majority will take place in Indonesia (Jakarta). Results from the interviews will be documented, categorised, reviewed and themes and issues identified. </w:t>
      </w:r>
    </w:p>
    <w:p w14:paraId="51D03933" w14:textId="77777777" w:rsidR="00B54846" w:rsidRPr="00B54846" w:rsidRDefault="00B54846" w:rsidP="00B54846">
      <w:pPr>
        <w:autoSpaceDE w:val="0"/>
        <w:autoSpaceDN w:val="0"/>
        <w:adjustRightInd w:val="0"/>
        <w:spacing w:after="0" w:line="240" w:lineRule="auto"/>
        <w:rPr>
          <w:rFonts w:ascii="Calibri" w:hAnsi="Calibri" w:cs="Calibri"/>
          <w:color w:val="000000"/>
          <w:sz w:val="24"/>
          <w:szCs w:val="24"/>
        </w:rPr>
      </w:pPr>
    </w:p>
    <w:p w14:paraId="3C2F347E" w14:textId="77777777" w:rsidR="00B54846" w:rsidRPr="00B54846" w:rsidRDefault="00B54846" w:rsidP="00B54846">
      <w:pPr>
        <w:autoSpaceDE w:val="0"/>
        <w:autoSpaceDN w:val="0"/>
        <w:adjustRightInd w:val="0"/>
        <w:spacing w:after="0" w:line="240" w:lineRule="auto"/>
        <w:rPr>
          <w:rFonts w:ascii="Calibri" w:hAnsi="Calibri" w:cs="Calibri"/>
          <w:color w:val="000000"/>
          <w:sz w:val="24"/>
          <w:szCs w:val="24"/>
        </w:rPr>
      </w:pPr>
      <w:r w:rsidRPr="00B54846">
        <w:rPr>
          <w:rFonts w:ascii="Calibri" w:hAnsi="Calibri" w:cs="Calibri"/>
          <w:color w:val="000000"/>
          <w:sz w:val="24"/>
          <w:szCs w:val="24"/>
        </w:rPr>
        <w:t xml:space="preserve">The team reserves the right to return to selected key stakeholders to clarify responses and ask additional questions if necessary in the process of testing the results through the triangulation of data sources. </w:t>
      </w:r>
    </w:p>
    <w:p w14:paraId="64E77210" w14:textId="77777777" w:rsidR="009705F2" w:rsidRDefault="009705F2" w:rsidP="009705F2">
      <w:pPr>
        <w:rPr>
          <w:b/>
          <w:sz w:val="24"/>
          <w:szCs w:val="24"/>
        </w:rPr>
      </w:pPr>
    </w:p>
    <w:p w14:paraId="79FD8CE1" w14:textId="77777777" w:rsidR="00B54846" w:rsidRPr="009705F2" w:rsidRDefault="00B54846" w:rsidP="009705F2">
      <w:pPr>
        <w:rPr>
          <w:b/>
          <w:sz w:val="24"/>
          <w:szCs w:val="24"/>
        </w:rPr>
      </w:pPr>
      <w:r w:rsidRPr="009705F2">
        <w:rPr>
          <w:b/>
          <w:sz w:val="24"/>
          <w:szCs w:val="24"/>
        </w:rPr>
        <w:t xml:space="preserve">Evaluation Steps </w:t>
      </w:r>
    </w:p>
    <w:p w14:paraId="0F127C0B" w14:textId="77777777" w:rsidR="00B54846" w:rsidRPr="00B54846" w:rsidRDefault="00B54846" w:rsidP="00B54846">
      <w:pPr>
        <w:widowControl w:val="0"/>
        <w:tabs>
          <w:tab w:val="left" w:pos="220"/>
          <w:tab w:val="left" w:pos="720"/>
        </w:tabs>
        <w:autoSpaceDE w:val="0"/>
        <w:autoSpaceDN w:val="0"/>
        <w:adjustRightInd w:val="0"/>
        <w:spacing w:after="280"/>
        <w:rPr>
          <w:rFonts w:cs="Times New Roman"/>
          <w:sz w:val="24"/>
          <w:szCs w:val="24"/>
        </w:rPr>
      </w:pPr>
      <w:r w:rsidRPr="00B54846">
        <w:rPr>
          <w:rFonts w:cs="Times New Roman"/>
          <w:sz w:val="24"/>
          <w:szCs w:val="24"/>
        </w:rPr>
        <w:t xml:space="preserve">The evaluation will occur over a series of steps as outlined below. </w:t>
      </w:r>
    </w:p>
    <w:p w14:paraId="532D5F7A" w14:textId="77777777" w:rsidR="00B54846" w:rsidRPr="00B54846" w:rsidRDefault="00B54846" w:rsidP="00B54846">
      <w:pPr>
        <w:widowControl w:val="0"/>
        <w:tabs>
          <w:tab w:val="left" w:pos="220"/>
          <w:tab w:val="left" w:pos="720"/>
        </w:tabs>
        <w:autoSpaceDE w:val="0"/>
        <w:autoSpaceDN w:val="0"/>
        <w:adjustRightInd w:val="0"/>
        <w:spacing w:after="280"/>
        <w:rPr>
          <w:rFonts w:cs="Times New Roman"/>
          <w:sz w:val="24"/>
          <w:szCs w:val="24"/>
        </w:rPr>
      </w:pPr>
      <w:r w:rsidRPr="00B54846">
        <w:rPr>
          <w:rFonts w:cs="Times New Roman"/>
          <w:sz w:val="24"/>
          <w:szCs w:val="24"/>
          <w:u w:val="single"/>
        </w:rPr>
        <w:t>Step 1:</w:t>
      </w:r>
      <w:r w:rsidRPr="00B54846">
        <w:rPr>
          <w:rFonts w:cs="Times New Roman"/>
          <w:sz w:val="24"/>
          <w:szCs w:val="24"/>
        </w:rPr>
        <w:t xml:space="preserve"> Agreement on Evaluation Plan</w:t>
      </w:r>
    </w:p>
    <w:p w14:paraId="0EB4AEFA" w14:textId="77777777" w:rsidR="00B54846" w:rsidRPr="00B54846" w:rsidRDefault="00B54846" w:rsidP="00B54846">
      <w:pPr>
        <w:widowControl w:val="0"/>
        <w:tabs>
          <w:tab w:val="left" w:pos="220"/>
          <w:tab w:val="left" w:pos="720"/>
        </w:tabs>
        <w:autoSpaceDE w:val="0"/>
        <w:autoSpaceDN w:val="0"/>
        <w:adjustRightInd w:val="0"/>
        <w:spacing w:after="280"/>
        <w:rPr>
          <w:rFonts w:cs="Times New Roman"/>
          <w:sz w:val="24"/>
          <w:szCs w:val="24"/>
        </w:rPr>
      </w:pPr>
      <w:r w:rsidRPr="00B54846">
        <w:rPr>
          <w:rFonts w:cs="Times New Roman"/>
          <w:sz w:val="24"/>
          <w:szCs w:val="24"/>
          <w:u w:val="single"/>
        </w:rPr>
        <w:t>Step 2:</w:t>
      </w:r>
      <w:r w:rsidRPr="00B54846">
        <w:rPr>
          <w:rFonts w:cs="Times New Roman"/>
          <w:sz w:val="24"/>
          <w:szCs w:val="24"/>
        </w:rPr>
        <w:t xml:space="preserve"> Document Review </w:t>
      </w:r>
    </w:p>
    <w:p w14:paraId="44A976A0" w14:textId="77777777" w:rsidR="00B54846" w:rsidRPr="00B54846" w:rsidRDefault="00B54846" w:rsidP="00B54846">
      <w:pPr>
        <w:widowControl w:val="0"/>
        <w:tabs>
          <w:tab w:val="left" w:pos="220"/>
          <w:tab w:val="left" w:pos="720"/>
        </w:tabs>
        <w:autoSpaceDE w:val="0"/>
        <w:autoSpaceDN w:val="0"/>
        <w:adjustRightInd w:val="0"/>
        <w:spacing w:after="280"/>
        <w:rPr>
          <w:rFonts w:cs="Times New Roman"/>
          <w:sz w:val="24"/>
          <w:szCs w:val="24"/>
        </w:rPr>
      </w:pPr>
      <w:r w:rsidRPr="00B54846">
        <w:rPr>
          <w:rFonts w:cs="Times New Roman"/>
          <w:sz w:val="24"/>
          <w:szCs w:val="24"/>
          <w:u w:val="single"/>
        </w:rPr>
        <w:t xml:space="preserve">Step 3: </w:t>
      </w:r>
      <w:r w:rsidRPr="00B54846">
        <w:rPr>
          <w:rFonts w:cs="Times New Roman"/>
          <w:sz w:val="24"/>
          <w:szCs w:val="24"/>
        </w:rPr>
        <w:t>Interviews with key stakeholders and AIFDR staff (Jakarta and Canberra)</w:t>
      </w:r>
    </w:p>
    <w:p w14:paraId="3438AEBE" w14:textId="77777777" w:rsidR="00B54846" w:rsidRPr="00B54846" w:rsidRDefault="00B54846" w:rsidP="00B54846">
      <w:pPr>
        <w:widowControl w:val="0"/>
        <w:tabs>
          <w:tab w:val="left" w:pos="220"/>
          <w:tab w:val="left" w:pos="720"/>
        </w:tabs>
        <w:autoSpaceDE w:val="0"/>
        <w:autoSpaceDN w:val="0"/>
        <w:adjustRightInd w:val="0"/>
        <w:spacing w:after="280"/>
        <w:rPr>
          <w:rFonts w:cs="Times New Roman"/>
          <w:sz w:val="24"/>
          <w:szCs w:val="24"/>
        </w:rPr>
      </w:pPr>
      <w:r w:rsidRPr="00B54846">
        <w:rPr>
          <w:rFonts w:cs="Times New Roman"/>
          <w:sz w:val="24"/>
          <w:szCs w:val="24"/>
          <w:u w:val="single"/>
        </w:rPr>
        <w:t>Step 4:</w:t>
      </w:r>
      <w:r w:rsidRPr="00B54846">
        <w:rPr>
          <w:rFonts w:cs="Times New Roman"/>
          <w:sz w:val="24"/>
          <w:szCs w:val="24"/>
        </w:rPr>
        <w:t xml:space="preserve"> Data Analysis and Interpretation </w:t>
      </w:r>
    </w:p>
    <w:p w14:paraId="7D9487F6" w14:textId="77777777" w:rsidR="00B54846" w:rsidRPr="00B54846" w:rsidRDefault="00B54846" w:rsidP="00B54846">
      <w:pPr>
        <w:widowControl w:val="0"/>
        <w:tabs>
          <w:tab w:val="left" w:pos="220"/>
          <w:tab w:val="left" w:pos="720"/>
        </w:tabs>
        <w:autoSpaceDE w:val="0"/>
        <w:autoSpaceDN w:val="0"/>
        <w:adjustRightInd w:val="0"/>
        <w:spacing w:after="280"/>
        <w:rPr>
          <w:rFonts w:cs="Times New Roman"/>
          <w:sz w:val="24"/>
          <w:szCs w:val="24"/>
        </w:rPr>
      </w:pPr>
      <w:r w:rsidRPr="00B54846">
        <w:rPr>
          <w:rFonts w:cs="Times New Roman"/>
          <w:sz w:val="24"/>
          <w:szCs w:val="24"/>
          <w:u w:val="single"/>
        </w:rPr>
        <w:t>Step 5</w:t>
      </w:r>
      <w:r w:rsidRPr="00B54846">
        <w:rPr>
          <w:rFonts w:cs="Times New Roman"/>
          <w:sz w:val="24"/>
          <w:szCs w:val="24"/>
        </w:rPr>
        <w:t xml:space="preserve">: Clarification and testing of results </w:t>
      </w:r>
    </w:p>
    <w:p w14:paraId="4630D982" w14:textId="77777777" w:rsidR="00B54846" w:rsidRPr="00B54846" w:rsidRDefault="00B54846" w:rsidP="00B54846">
      <w:pPr>
        <w:widowControl w:val="0"/>
        <w:tabs>
          <w:tab w:val="left" w:pos="220"/>
          <w:tab w:val="left" w:pos="720"/>
        </w:tabs>
        <w:autoSpaceDE w:val="0"/>
        <w:autoSpaceDN w:val="0"/>
        <w:adjustRightInd w:val="0"/>
        <w:spacing w:after="280"/>
        <w:rPr>
          <w:rFonts w:cs="Times New Roman"/>
          <w:sz w:val="24"/>
          <w:szCs w:val="24"/>
        </w:rPr>
      </w:pPr>
      <w:r w:rsidRPr="00B54846">
        <w:rPr>
          <w:rFonts w:cs="Times New Roman"/>
          <w:sz w:val="24"/>
          <w:szCs w:val="24"/>
          <w:u w:val="single"/>
        </w:rPr>
        <w:t>Step 6:</w:t>
      </w:r>
      <w:r w:rsidRPr="00B54846">
        <w:rPr>
          <w:rFonts w:cs="Times New Roman"/>
          <w:sz w:val="24"/>
          <w:szCs w:val="24"/>
        </w:rPr>
        <w:t xml:space="preserve"> Preparation of Independent Review Report</w:t>
      </w:r>
    </w:p>
    <w:p w14:paraId="5B1534DB" w14:textId="77777777" w:rsidR="00B54846" w:rsidRPr="00B54846" w:rsidRDefault="00B54846" w:rsidP="00B54846">
      <w:pPr>
        <w:widowControl w:val="0"/>
        <w:tabs>
          <w:tab w:val="left" w:pos="220"/>
          <w:tab w:val="left" w:pos="720"/>
        </w:tabs>
        <w:autoSpaceDE w:val="0"/>
        <w:autoSpaceDN w:val="0"/>
        <w:adjustRightInd w:val="0"/>
        <w:spacing w:after="280"/>
        <w:rPr>
          <w:rFonts w:cs="Times New Roman"/>
          <w:sz w:val="24"/>
          <w:szCs w:val="24"/>
        </w:rPr>
      </w:pPr>
      <w:r w:rsidRPr="00B54846">
        <w:rPr>
          <w:rFonts w:cs="Times New Roman"/>
          <w:sz w:val="24"/>
          <w:szCs w:val="24"/>
          <w:u w:val="single"/>
        </w:rPr>
        <w:t>Step 7:</w:t>
      </w:r>
      <w:r w:rsidRPr="00B54846">
        <w:rPr>
          <w:rFonts w:cs="Times New Roman"/>
          <w:sz w:val="24"/>
          <w:szCs w:val="24"/>
        </w:rPr>
        <w:t xml:space="preserve"> Presentation of Evaluation Findings, and Lessons Learnt</w:t>
      </w:r>
    </w:p>
    <w:p w14:paraId="57998D39" w14:textId="77777777" w:rsidR="00B54846" w:rsidRPr="009705F2" w:rsidRDefault="00B54846" w:rsidP="009705F2">
      <w:pPr>
        <w:rPr>
          <w:b/>
          <w:sz w:val="24"/>
          <w:szCs w:val="24"/>
        </w:rPr>
      </w:pPr>
      <w:r w:rsidRPr="009705F2">
        <w:rPr>
          <w:b/>
          <w:sz w:val="24"/>
          <w:szCs w:val="24"/>
        </w:rPr>
        <w:t>Evaluation Workplan</w:t>
      </w:r>
    </w:p>
    <w:p w14:paraId="38CBB17A" w14:textId="77777777" w:rsidR="00B54846" w:rsidRPr="00B54846" w:rsidRDefault="00B54846" w:rsidP="00B54846"/>
    <w:tbl>
      <w:tblPr>
        <w:tblStyle w:val="TableGrid1"/>
        <w:tblW w:w="0" w:type="auto"/>
        <w:tblLook w:val="04A0" w:firstRow="1" w:lastRow="0" w:firstColumn="1" w:lastColumn="0" w:noHBand="0" w:noVBand="1"/>
      </w:tblPr>
      <w:tblGrid>
        <w:gridCol w:w="4508"/>
        <w:gridCol w:w="4508"/>
      </w:tblGrid>
      <w:tr w:rsidR="00B54846" w:rsidRPr="00B54846" w14:paraId="5CEC0558" w14:textId="77777777" w:rsidTr="00F62D81">
        <w:tc>
          <w:tcPr>
            <w:tcW w:w="4508" w:type="dxa"/>
          </w:tcPr>
          <w:p w14:paraId="79647321" w14:textId="77777777" w:rsidR="00B54846" w:rsidRPr="00B54846" w:rsidRDefault="00B54846" w:rsidP="00B54846">
            <w:pPr>
              <w:rPr>
                <w:b/>
              </w:rPr>
            </w:pPr>
            <w:r w:rsidRPr="00B54846">
              <w:rPr>
                <w:b/>
              </w:rPr>
              <w:t xml:space="preserve">Evaluation Task </w:t>
            </w:r>
          </w:p>
        </w:tc>
        <w:tc>
          <w:tcPr>
            <w:tcW w:w="4508" w:type="dxa"/>
          </w:tcPr>
          <w:p w14:paraId="1DA1A2B7" w14:textId="77777777" w:rsidR="00B54846" w:rsidRPr="00B54846" w:rsidRDefault="00B54846" w:rsidP="00B54846">
            <w:pPr>
              <w:rPr>
                <w:b/>
              </w:rPr>
            </w:pPr>
            <w:r w:rsidRPr="00B54846">
              <w:rPr>
                <w:b/>
              </w:rPr>
              <w:t>Dates</w:t>
            </w:r>
          </w:p>
        </w:tc>
      </w:tr>
      <w:tr w:rsidR="00B54846" w:rsidRPr="00B54846" w14:paraId="45A002AD" w14:textId="77777777" w:rsidTr="00F62D81">
        <w:tc>
          <w:tcPr>
            <w:tcW w:w="4508" w:type="dxa"/>
          </w:tcPr>
          <w:p w14:paraId="6595EA04" w14:textId="77777777" w:rsidR="00B54846" w:rsidRPr="00B54846" w:rsidRDefault="00B54846" w:rsidP="00B54846">
            <w:r w:rsidRPr="00B54846">
              <w:t xml:space="preserve">Inception and Planning </w:t>
            </w:r>
          </w:p>
          <w:p w14:paraId="433F8E9E" w14:textId="77777777" w:rsidR="00B54846" w:rsidRPr="00B54846" w:rsidRDefault="00B54846" w:rsidP="00B54846">
            <w:r w:rsidRPr="00B54846">
              <w:t>Confirmation of evaluation team membership.</w:t>
            </w:r>
          </w:p>
          <w:p w14:paraId="784F2434" w14:textId="77777777" w:rsidR="00B54846" w:rsidRPr="00B54846" w:rsidRDefault="00B54846" w:rsidP="00B54846"/>
        </w:tc>
        <w:tc>
          <w:tcPr>
            <w:tcW w:w="4508" w:type="dxa"/>
          </w:tcPr>
          <w:p w14:paraId="0F2CD2CF" w14:textId="77777777" w:rsidR="00B54846" w:rsidRPr="00B54846" w:rsidRDefault="00B54846" w:rsidP="00B54846">
            <w:r w:rsidRPr="00B54846">
              <w:t>2 June  – 18 June 2014</w:t>
            </w:r>
          </w:p>
        </w:tc>
      </w:tr>
      <w:tr w:rsidR="00B54846" w:rsidRPr="00B54846" w14:paraId="130B9229" w14:textId="77777777" w:rsidTr="00F62D81">
        <w:tc>
          <w:tcPr>
            <w:tcW w:w="4508" w:type="dxa"/>
          </w:tcPr>
          <w:p w14:paraId="26937885" w14:textId="77777777" w:rsidR="00B54846" w:rsidRPr="00B54846" w:rsidRDefault="00B54846" w:rsidP="00B54846">
            <w:r w:rsidRPr="00B54846">
              <w:t xml:space="preserve">Evaluation Plan </w:t>
            </w:r>
          </w:p>
          <w:p w14:paraId="02835FB6" w14:textId="77777777" w:rsidR="00B54846" w:rsidRPr="00B54846" w:rsidRDefault="00B54846" w:rsidP="00B54846"/>
        </w:tc>
        <w:tc>
          <w:tcPr>
            <w:tcW w:w="4508" w:type="dxa"/>
          </w:tcPr>
          <w:p w14:paraId="04FB70FC" w14:textId="77777777" w:rsidR="00B54846" w:rsidRPr="00B54846" w:rsidRDefault="00B54846" w:rsidP="00B54846">
            <w:r w:rsidRPr="00B54846">
              <w:t xml:space="preserve">20 June 2014 (Draft)/ </w:t>
            </w:r>
          </w:p>
          <w:p w14:paraId="3D2A18F0" w14:textId="77777777" w:rsidR="00B54846" w:rsidRPr="00B54846" w:rsidRDefault="00B54846" w:rsidP="00B54846">
            <w:r w:rsidRPr="00B54846">
              <w:t>Final TBC</w:t>
            </w:r>
          </w:p>
        </w:tc>
      </w:tr>
      <w:tr w:rsidR="00B54846" w:rsidRPr="00B54846" w14:paraId="73D6E86E" w14:textId="77777777" w:rsidTr="00F62D81">
        <w:tc>
          <w:tcPr>
            <w:tcW w:w="4508" w:type="dxa"/>
          </w:tcPr>
          <w:p w14:paraId="3DF2F76D" w14:textId="77777777" w:rsidR="00B54846" w:rsidRPr="00B54846" w:rsidRDefault="00B54846" w:rsidP="00B54846">
            <w:r w:rsidRPr="00B54846">
              <w:t>Evaluation Plan Meeting – Evaluation Team (Lisa Roberts) to work with AIFDR Staff in JKT to clarify theory of change/or program logic; and reach agreement on evaluation approach; evaluation questions, general expectations.</w:t>
            </w:r>
          </w:p>
          <w:p w14:paraId="2D0AE3D8" w14:textId="77777777" w:rsidR="00B54846" w:rsidRPr="00B54846" w:rsidRDefault="00B54846" w:rsidP="00B54846">
            <w:r w:rsidRPr="00B54846">
              <w:t xml:space="preserve"> </w:t>
            </w:r>
          </w:p>
        </w:tc>
        <w:tc>
          <w:tcPr>
            <w:tcW w:w="4508" w:type="dxa"/>
          </w:tcPr>
          <w:p w14:paraId="15D3A7BE" w14:textId="77777777" w:rsidR="00B54846" w:rsidRPr="00B54846" w:rsidRDefault="00B54846" w:rsidP="00B54846">
            <w:r w:rsidRPr="00B54846">
              <w:t>27 June 2014</w:t>
            </w:r>
          </w:p>
        </w:tc>
      </w:tr>
      <w:tr w:rsidR="00B54846" w:rsidRPr="00B54846" w14:paraId="2D6CDF98" w14:textId="77777777" w:rsidTr="00F62D81">
        <w:tc>
          <w:tcPr>
            <w:tcW w:w="4508" w:type="dxa"/>
          </w:tcPr>
          <w:p w14:paraId="169FBDF2" w14:textId="77777777" w:rsidR="00B54846" w:rsidRPr="00B54846" w:rsidRDefault="00B54846" w:rsidP="00B54846">
            <w:r w:rsidRPr="00B54846">
              <w:t xml:space="preserve">Evaluation Team to meet in JKT to finalise Interview Questions </w:t>
            </w:r>
          </w:p>
          <w:p w14:paraId="0946BBAB" w14:textId="77777777" w:rsidR="00B54846" w:rsidRPr="00B54846" w:rsidRDefault="00B54846" w:rsidP="00B54846"/>
        </w:tc>
        <w:tc>
          <w:tcPr>
            <w:tcW w:w="4508" w:type="dxa"/>
          </w:tcPr>
          <w:p w14:paraId="799A3EEC" w14:textId="77777777" w:rsidR="00B54846" w:rsidRPr="00B54846" w:rsidRDefault="00B54846" w:rsidP="00B54846">
            <w:r w:rsidRPr="00B54846">
              <w:t xml:space="preserve">29/30 June 2014 </w:t>
            </w:r>
          </w:p>
        </w:tc>
      </w:tr>
      <w:tr w:rsidR="00B54846" w:rsidRPr="00B54846" w14:paraId="7ECB7A6F" w14:textId="77777777" w:rsidTr="00F62D81">
        <w:tc>
          <w:tcPr>
            <w:tcW w:w="4508" w:type="dxa"/>
          </w:tcPr>
          <w:p w14:paraId="44CA876F" w14:textId="77777777" w:rsidR="00B54846" w:rsidRPr="00B54846" w:rsidRDefault="00B54846" w:rsidP="00B54846">
            <w:r w:rsidRPr="00B54846">
              <w:t xml:space="preserve">Document review </w:t>
            </w:r>
          </w:p>
        </w:tc>
        <w:tc>
          <w:tcPr>
            <w:tcW w:w="4508" w:type="dxa"/>
          </w:tcPr>
          <w:p w14:paraId="28BA9686" w14:textId="77777777" w:rsidR="00B54846" w:rsidRPr="00B54846" w:rsidRDefault="00B54846" w:rsidP="00B54846">
            <w:r w:rsidRPr="00B54846">
              <w:t>From 10 June 2014 (documents provided by DFAT to evaluation team)</w:t>
            </w:r>
          </w:p>
          <w:p w14:paraId="192D6D6C" w14:textId="77777777" w:rsidR="00B54846" w:rsidRPr="00B54846" w:rsidRDefault="00B54846" w:rsidP="00B54846"/>
        </w:tc>
      </w:tr>
      <w:tr w:rsidR="00B54846" w:rsidRPr="00B54846" w14:paraId="2ECD034B" w14:textId="77777777" w:rsidTr="00F62D81">
        <w:tc>
          <w:tcPr>
            <w:tcW w:w="4508" w:type="dxa"/>
          </w:tcPr>
          <w:p w14:paraId="5F24E8FC" w14:textId="77777777" w:rsidR="00B54846" w:rsidRPr="00B54846" w:rsidRDefault="00B54846" w:rsidP="00B54846">
            <w:r w:rsidRPr="00B54846">
              <w:t>Semi-structured interviews with key stakeholders and AIFDR staff - Jakarta</w:t>
            </w:r>
          </w:p>
        </w:tc>
        <w:tc>
          <w:tcPr>
            <w:tcW w:w="4508" w:type="dxa"/>
          </w:tcPr>
          <w:p w14:paraId="260B04B5" w14:textId="77777777" w:rsidR="00B54846" w:rsidRPr="00B54846" w:rsidRDefault="00B54846" w:rsidP="00B54846">
            <w:r w:rsidRPr="00B54846">
              <w:t xml:space="preserve">30 June – 4 July 2014 </w:t>
            </w:r>
          </w:p>
          <w:p w14:paraId="0FC06295" w14:textId="77777777" w:rsidR="00B54846" w:rsidRPr="00B54846" w:rsidRDefault="00B54846" w:rsidP="00B54846"/>
          <w:p w14:paraId="6292A4E6" w14:textId="77777777" w:rsidR="00B54846" w:rsidRPr="00B54846" w:rsidRDefault="00B54846" w:rsidP="00B54846"/>
        </w:tc>
      </w:tr>
      <w:tr w:rsidR="00B54846" w:rsidRPr="00B54846" w14:paraId="71B6E562" w14:textId="77777777" w:rsidTr="00F62D81">
        <w:tc>
          <w:tcPr>
            <w:tcW w:w="4508" w:type="dxa"/>
          </w:tcPr>
          <w:p w14:paraId="0A0411C4" w14:textId="77777777" w:rsidR="00B54846" w:rsidRPr="00B54846" w:rsidRDefault="00B54846" w:rsidP="00B54846">
            <w:r w:rsidRPr="00B54846">
              <w:t xml:space="preserve">Semi-structured interviews with key stakeholders – Canberra </w:t>
            </w:r>
          </w:p>
        </w:tc>
        <w:tc>
          <w:tcPr>
            <w:tcW w:w="4508" w:type="dxa"/>
          </w:tcPr>
          <w:p w14:paraId="592A448C" w14:textId="77777777" w:rsidR="00B54846" w:rsidRPr="00B54846" w:rsidRDefault="00B54846" w:rsidP="00B54846">
            <w:r w:rsidRPr="00B54846">
              <w:t xml:space="preserve">TBC </w:t>
            </w:r>
          </w:p>
          <w:p w14:paraId="45949F7A" w14:textId="77777777" w:rsidR="00B54846" w:rsidRPr="00B54846" w:rsidRDefault="00B54846" w:rsidP="00B54846"/>
        </w:tc>
      </w:tr>
      <w:tr w:rsidR="00B54846" w:rsidRPr="00B54846" w14:paraId="20A1D42C" w14:textId="77777777" w:rsidTr="00F62D81">
        <w:tc>
          <w:tcPr>
            <w:tcW w:w="4508" w:type="dxa"/>
          </w:tcPr>
          <w:p w14:paraId="108AC72E" w14:textId="77777777" w:rsidR="00B54846" w:rsidRPr="00B54846" w:rsidRDefault="00B54846" w:rsidP="00B54846">
            <w:r w:rsidRPr="00B54846">
              <w:t>Data analysis, interpretation, and testing of findings</w:t>
            </w:r>
          </w:p>
        </w:tc>
        <w:tc>
          <w:tcPr>
            <w:tcW w:w="4508" w:type="dxa"/>
          </w:tcPr>
          <w:p w14:paraId="3707FCD0" w14:textId="77777777" w:rsidR="00B54846" w:rsidRPr="00B54846" w:rsidRDefault="00B54846" w:rsidP="00B54846">
            <w:r w:rsidRPr="00B54846">
              <w:t>Est. 7 – 9 July 2014 (insufficient time frame - to be discussed)</w:t>
            </w:r>
          </w:p>
          <w:p w14:paraId="487A8DE1" w14:textId="77777777" w:rsidR="00B54846" w:rsidRPr="00B54846" w:rsidRDefault="00B54846" w:rsidP="00B54846"/>
        </w:tc>
      </w:tr>
      <w:tr w:rsidR="00B54846" w:rsidRPr="00B54846" w14:paraId="29DACCA1" w14:textId="77777777" w:rsidTr="00F62D81">
        <w:tc>
          <w:tcPr>
            <w:tcW w:w="4508" w:type="dxa"/>
          </w:tcPr>
          <w:p w14:paraId="7B5550E1" w14:textId="77777777" w:rsidR="00B54846" w:rsidRPr="00B54846" w:rsidRDefault="00B54846" w:rsidP="00B54846">
            <w:r w:rsidRPr="00B54846">
              <w:t xml:space="preserve">Submission of Draft Independent Review </w:t>
            </w:r>
          </w:p>
        </w:tc>
        <w:tc>
          <w:tcPr>
            <w:tcW w:w="4508" w:type="dxa"/>
          </w:tcPr>
          <w:p w14:paraId="130CD116" w14:textId="77777777" w:rsidR="00B54846" w:rsidRPr="00B54846" w:rsidRDefault="00B54846" w:rsidP="00B54846">
            <w:pPr>
              <w:rPr>
                <w:rFonts w:cs="Times New Roman"/>
              </w:rPr>
            </w:pPr>
            <w:r w:rsidRPr="00B54846">
              <w:rPr>
                <w:rFonts w:cs="Times New Roman"/>
              </w:rPr>
              <w:t>11 July 2014 (as per ToRs/to be discussed)</w:t>
            </w:r>
          </w:p>
          <w:p w14:paraId="6DBDEA84" w14:textId="77777777" w:rsidR="00B54846" w:rsidRPr="00B54846" w:rsidRDefault="00B54846" w:rsidP="00B54846"/>
        </w:tc>
      </w:tr>
      <w:tr w:rsidR="00B54846" w:rsidRPr="00B54846" w14:paraId="0130C514" w14:textId="77777777" w:rsidTr="00F62D81">
        <w:tc>
          <w:tcPr>
            <w:tcW w:w="4508" w:type="dxa"/>
          </w:tcPr>
          <w:p w14:paraId="49E90DEF" w14:textId="77777777" w:rsidR="00B54846" w:rsidRPr="00B54846" w:rsidRDefault="00B54846" w:rsidP="00B54846">
            <w:r w:rsidRPr="00B54846">
              <w:t>Submission of Final Independent Review</w:t>
            </w:r>
          </w:p>
        </w:tc>
        <w:tc>
          <w:tcPr>
            <w:tcW w:w="4508" w:type="dxa"/>
          </w:tcPr>
          <w:p w14:paraId="0CC874AD" w14:textId="77777777" w:rsidR="00B54846" w:rsidRPr="00B54846" w:rsidRDefault="00B54846" w:rsidP="00B54846">
            <w:r w:rsidRPr="00B54846">
              <w:rPr>
                <w:rFonts w:cs="Times New Roman"/>
              </w:rPr>
              <w:t>25 July 2014 (as per ToRs)</w:t>
            </w:r>
          </w:p>
        </w:tc>
      </w:tr>
    </w:tbl>
    <w:p w14:paraId="47053488" w14:textId="77777777" w:rsidR="00B54846" w:rsidRPr="00B54846" w:rsidRDefault="00B54846" w:rsidP="00B54846"/>
    <w:p w14:paraId="2DBD1BF3" w14:textId="77777777" w:rsidR="00B54846" w:rsidRPr="00B54846" w:rsidRDefault="00B54846" w:rsidP="00B54846">
      <w:pPr>
        <w:sectPr w:rsidR="00B54846" w:rsidRPr="00B54846" w:rsidSect="00F62D81">
          <w:pgSz w:w="11906" w:h="16838"/>
          <w:pgMar w:top="1440" w:right="1440" w:bottom="1440" w:left="1440" w:header="708" w:footer="708" w:gutter="0"/>
          <w:pgNumType w:start="0"/>
          <w:cols w:space="708"/>
          <w:titlePg/>
          <w:docGrid w:linePitch="360"/>
        </w:sectPr>
      </w:pPr>
    </w:p>
    <w:p w14:paraId="58D4EA6B" w14:textId="55C0F54A" w:rsidR="00611CAA" w:rsidRPr="00F25E59" w:rsidRDefault="00684184">
      <w:pPr>
        <w:pStyle w:val="Heading1"/>
      </w:pPr>
      <w:bookmarkStart w:id="22" w:name="_Toc402431261"/>
      <w:r w:rsidRPr="00F25E59">
        <w:t xml:space="preserve">Annex </w:t>
      </w:r>
      <w:r w:rsidR="00522D4D" w:rsidRPr="00F25E59">
        <w:t>3</w:t>
      </w:r>
      <w:r w:rsidRPr="00F25E59">
        <w:t>: List of People and Organisations Consulted</w:t>
      </w:r>
      <w:bookmarkEnd w:id="22"/>
    </w:p>
    <w:p w14:paraId="06A60F57" w14:textId="77777777" w:rsidR="00522D4D" w:rsidRDefault="00522D4D" w:rsidP="00522D4D"/>
    <w:tbl>
      <w:tblPr>
        <w:tblStyle w:val="TableGrid"/>
        <w:tblW w:w="9067" w:type="dxa"/>
        <w:tblLook w:val="04A0" w:firstRow="1" w:lastRow="0" w:firstColumn="1" w:lastColumn="0" w:noHBand="0" w:noVBand="1"/>
      </w:tblPr>
      <w:tblGrid>
        <w:gridCol w:w="1392"/>
        <w:gridCol w:w="1870"/>
        <w:gridCol w:w="5805"/>
      </w:tblGrid>
      <w:tr w:rsidR="00152D95" w:rsidRPr="007D7C78" w14:paraId="16C0E628" w14:textId="77777777" w:rsidTr="00653F28">
        <w:tc>
          <w:tcPr>
            <w:tcW w:w="1392" w:type="dxa"/>
          </w:tcPr>
          <w:p w14:paraId="2B579C88" w14:textId="77777777" w:rsidR="00152D95" w:rsidRPr="007D7C78" w:rsidRDefault="00152D95" w:rsidP="00653F28">
            <w:pPr>
              <w:rPr>
                <w:rFonts w:cs="Times New Roman"/>
                <w:b/>
                <w:sz w:val="24"/>
                <w:szCs w:val="24"/>
              </w:rPr>
            </w:pPr>
            <w:r w:rsidRPr="007D7C78">
              <w:rPr>
                <w:rFonts w:cs="Times New Roman"/>
                <w:b/>
                <w:sz w:val="24"/>
                <w:szCs w:val="24"/>
              </w:rPr>
              <w:t xml:space="preserve">Location </w:t>
            </w:r>
          </w:p>
        </w:tc>
        <w:tc>
          <w:tcPr>
            <w:tcW w:w="1870" w:type="dxa"/>
          </w:tcPr>
          <w:p w14:paraId="5B1CE8BE" w14:textId="77777777" w:rsidR="00152D95" w:rsidRPr="007D7C78" w:rsidRDefault="00152D95" w:rsidP="00653F28">
            <w:pPr>
              <w:rPr>
                <w:rFonts w:cs="Times New Roman"/>
                <w:b/>
                <w:sz w:val="24"/>
                <w:szCs w:val="24"/>
              </w:rPr>
            </w:pPr>
            <w:r w:rsidRPr="007D7C78">
              <w:rPr>
                <w:rFonts w:cs="Times New Roman"/>
                <w:b/>
                <w:sz w:val="24"/>
                <w:szCs w:val="24"/>
              </w:rPr>
              <w:t xml:space="preserve">Organisation </w:t>
            </w:r>
          </w:p>
        </w:tc>
        <w:tc>
          <w:tcPr>
            <w:tcW w:w="5805" w:type="dxa"/>
          </w:tcPr>
          <w:p w14:paraId="7F19AAF8" w14:textId="77777777" w:rsidR="00152D95" w:rsidRPr="007D7C78" w:rsidRDefault="00152D95" w:rsidP="00653F28">
            <w:pPr>
              <w:rPr>
                <w:rFonts w:cs="Times New Roman"/>
                <w:b/>
                <w:sz w:val="24"/>
                <w:szCs w:val="24"/>
              </w:rPr>
            </w:pPr>
            <w:r w:rsidRPr="007D7C78">
              <w:rPr>
                <w:rFonts w:cs="Times New Roman"/>
                <w:b/>
                <w:sz w:val="24"/>
                <w:szCs w:val="24"/>
              </w:rPr>
              <w:t xml:space="preserve">Representative </w:t>
            </w:r>
          </w:p>
        </w:tc>
      </w:tr>
      <w:tr w:rsidR="00152D95" w:rsidRPr="007D7C78" w14:paraId="062F2C32" w14:textId="77777777" w:rsidTr="00653F28">
        <w:tc>
          <w:tcPr>
            <w:tcW w:w="1392" w:type="dxa"/>
          </w:tcPr>
          <w:p w14:paraId="014A3BF7" w14:textId="77777777" w:rsidR="00152D95" w:rsidRPr="007D7C78" w:rsidRDefault="00152D95" w:rsidP="00653F28">
            <w:pPr>
              <w:rPr>
                <w:rFonts w:cs="Times New Roman"/>
                <w:sz w:val="24"/>
                <w:szCs w:val="24"/>
              </w:rPr>
            </w:pPr>
            <w:r w:rsidRPr="007D7C78">
              <w:rPr>
                <w:rFonts w:cs="Times New Roman"/>
                <w:sz w:val="24"/>
                <w:szCs w:val="24"/>
              </w:rPr>
              <w:t xml:space="preserve">Jakarta </w:t>
            </w:r>
          </w:p>
        </w:tc>
        <w:tc>
          <w:tcPr>
            <w:tcW w:w="1870" w:type="dxa"/>
          </w:tcPr>
          <w:p w14:paraId="17EB2563" w14:textId="77777777" w:rsidR="00152D95" w:rsidRPr="007D7C78" w:rsidRDefault="00152D95" w:rsidP="00653F28">
            <w:pPr>
              <w:rPr>
                <w:rFonts w:cs="Times New Roman"/>
                <w:sz w:val="24"/>
                <w:szCs w:val="24"/>
              </w:rPr>
            </w:pPr>
            <w:r w:rsidRPr="007D7C78">
              <w:rPr>
                <w:rFonts w:cs="Times New Roman"/>
                <w:sz w:val="24"/>
                <w:szCs w:val="24"/>
              </w:rPr>
              <w:t>DFAT</w:t>
            </w:r>
          </w:p>
        </w:tc>
        <w:tc>
          <w:tcPr>
            <w:tcW w:w="5805" w:type="dxa"/>
          </w:tcPr>
          <w:p w14:paraId="3305F25A" w14:textId="77777777" w:rsidR="00152D95" w:rsidRPr="007D7C78" w:rsidRDefault="00152D95" w:rsidP="00653F28">
            <w:pPr>
              <w:rPr>
                <w:rFonts w:cs="Times New Roman"/>
                <w:sz w:val="24"/>
                <w:szCs w:val="24"/>
              </w:rPr>
            </w:pPr>
            <w:r w:rsidRPr="007D7C78">
              <w:rPr>
                <w:rFonts w:cs="Times New Roman"/>
                <w:sz w:val="24"/>
                <w:szCs w:val="24"/>
              </w:rPr>
              <w:t>Simon Merrifield, Australian Ambassador to ASEAN</w:t>
            </w:r>
          </w:p>
        </w:tc>
      </w:tr>
      <w:tr w:rsidR="00152D95" w:rsidRPr="007D7C78" w14:paraId="55E94514" w14:textId="77777777" w:rsidTr="00653F28">
        <w:tc>
          <w:tcPr>
            <w:tcW w:w="1392" w:type="dxa"/>
          </w:tcPr>
          <w:p w14:paraId="5ABF2C8D" w14:textId="77777777" w:rsidR="00152D95" w:rsidRPr="007D7C78" w:rsidRDefault="00152D95" w:rsidP="00653F28">
            <w:pPr>
              <w:rPr>
                <w:rFonts w:cs="Times New Roman"/>
                <w:sz w:val="24"/>
                <w:szCs w:val="24"/>
              </w:rPr>
            </w:pPr>
          </w:p>
        </w:tc>
        <w:tc>
          <w:tcPr>
            <w:tcW w:w="1870" w:type="dxa"/>
          </w:tcPr>
          <w:p w14:paraId="731D101F" w14:textId="77777777" w:rsidR="00152D95" w:rsidRPr="007D7C78" w:rsidRDefault="00152D95" w:rsidP="00653F28">
            <w:pPr>
              <w:rPr>
                <w:rFonts w:cs="Times New Roman"/>
                <w:sz w:val="24"/>
                <w:szCs w:val="24"/>
              </w:rPr>
            </w:pPr>
            <w:r w:rsidRPr="007D7C78">
              <w:rPr>
                <w:rFonts w:cs="Times New Roman"/>
                <w:sz w:val="24"/>
                <w:szCs w:val="24"/>
              </w:rPr>
              <w:t xml:space="preserve">DFAT </w:t>
            </w:r>
          </w:p>
        </w:tc>
        <w:tc>
          <w:tcPr>
            <w:tcW w:w="5805" w:type="dxa"/>
          </w:tcPr>
          <w:p w14:paraId="3D007730" w14:textId="77777777" w:rsidR="00152D95" w:rsidRPr="007D7C78" w:rsidRDefault="00152D95" w:rsidP="00653F28">
            <w:pPr>
              <w:rPr>
                <w:rFonts w:cs="Times New Roman"/>
                <w:sz w:val="24"/>
                <w:szCs w:val="24"/>
              </w:rPr>
            </w:pPr>
            <w:r w:rsidRPr="007D7C78">
              <w:rPr>
                <w:rFonts w:cs="Times New Roman"/>
                <w:sz w:val="24"/>
                <w:szCs w:val="24"/>
              </w:rPr>
              <w:t>Pat Duggan, Counsellor ASEAN DFAT Development</w:t>
            </w:r>
          </w:p>
        </w:tc>
      </w:tr>
      <w:tr w:rsidR="00152D95" w:rsidRPr="007D7C78" w14:paraId="4962A9B4" w14:textId="77777777" w:rsidTr="00653F28">
        <w:tc>
          <w:tcPr>
            <w:tcW w:w="1392" w:type="dxa"/>
          </w:tcPr>
          <w:p w14:paraId="710BE588" w14:textId="77777777" w:rsidR="00152D95" w:rsidRPr="007D7C78" w:rsidRDefault="00152D95" w:rsidP="00653F28">
            <w:pPr>
              <w:rPr>
                <w:rFonts w:cs="Times New Roman"/>
                <w:sz w:val="24"/>
                <w:szCs w:val="24"/>
              </w:rPr>
            </w:pPr>
          </w:p>
        </w:tc>
        <w:tc>
          <w:tcPr>
            <w:tcW w:w="1870" w:type="dxa"/>
          </w:tcPr>
          <w:p w14:paraId="7071875E" w14:textId="77777777" w:rsidR="00152D95" w:rsidRPr="007D7C78" w:rsidRDefault="00152D95" w:rsidP="00653F28">
            <w:pPr>
              <w:rPr>
                <w:rFonts w:cs="Times New Roman"/>
                <w:sz w:val="24"/>
                <w:szCs w:val="24"/>
              </w:rPr>
            </w:pPr>
            <w:r w:rsidRPr="007D7C78">
              <w:rPr>
                <w:rFonts w:cs="Times New Roman"/>
                <w:sz w:val="24"/>
                <w:szCs w:val="24"/>
              </w:rPr>
              <w:t xml:space="preserve">DFAT </w:t>
            </w:r>
          </w:p>
        </w:tc>
        <w:tc>
          <w:tcPr>
            <w:tcW w:w="5805" w:type="dxa"/>
          </w:tcPr>
          <w:p w14:paraId="4E630FD1" w14:textId="77777777" w:rsidR="00152D95" w:rsidRPr="007D7C78" w:rsidRDefault="00152D95" w:rsidP="00653F28">
            <w:pPr>
              <w:rPr>
                <w:rFonts w:cs="Times New Roman"/>
                <w:sz w:val="24"/>
                <w:szCs w:val="24"/>
              </w:rPr>
            </w:pPr>
            <w:r w:rsidRPr="007D7C78">
              <w:rPr>
                <w:sz w:val="24"/>
                <w:szCs w:val="24"/>
              </w:rPr>
              <w:t>Jean-Bernard Carrasco, Minister Counsellor DFAT Development</w:t>
            </w:r>
          </w:p>
        </w:tc>
      </w:tr>
      <w:tr w:rsidR="00152D95" w:rsidRPr="007D7C78" w14:paraId="19F39CBD" w14:textId="77777777" w:rsidTr="00653F28">
        <w:tc>
          <w:tcPr>
            <w:tcW w:w="1392" w:type="dxa"/>
          </w:tcPr>
          <w:p w14:paraId="691543FE" w14:textId="77777777" w:rsidR="00152D95" w:rsidRPr="007D7C78" w:rsidRDefault="00152D95" w:rsidP="00653F28">
            <w:pPr>
              <w:rPr>
                <w:rFonts w:cs="Times New Roman"/>
                <w:sz w:val="24"/>
                <w:szCs w:val="24"/>
              </w:rPr>
            </w:pPr>
          </w:p>
        </w:tc>
        <w:tc>
          <w:tcPr>
            <w:tcW w:w="1870" w:type="dxa"/>
          </w:tcPr>
          <w:p w14:paraId="6FDE4CCC" w14:textId="77777777" w:rsidR="00152D95" w:rsidRPr="007D7C78" w:rsidRDefault="00152D95" w:rsidP="00653F28">
            <w:pPr>
              <w:rPr>
                <w:rFonts w:cs="Times New Roman"/>
                <w:sz w:val="24"/>
                <w:szCs w:val="24"/>
              </w:rPr>
            </w:pPr>
            <w:r w:rsidRPr="007D7C78">
              <w:rPr>
                <w:rFonts w:cs="Times New Roman"/>
                <w:sz w:val="24"/>
                <w:szCs w:val="24"/>
              </w:rPr>
              <w:t>DFAT/DRR</w:t>
            </w:r>
          </w:p>
        </w:tc>
        <w:tc>
          <w:tcPr>
            <w:tcW w:w="5805" w:type="dxa"/>
          </w:tcPr>
          <w:p w14:paraId="3E353308" w14:textId="77777777" w:rsidR="00152D95" w:rsidRPr="007D7C78" w:rsidRDefault="00152D95" w:rsidP="00653F28">
            <w:pPr>
              <w:rPr>
                <w:rFonts w:cs="Times New Roman"/>
                <w:sz w:val="24"/>
                <w:szCs w:val="24"/>
              </w:rPr>
            </w:pPr>
            <w:r w:rsidRPr="007D7C78">
              <w:rPr>
                <w:rFonts w:cs="Times New Roman"/>
                <w:sz w:val="24"/>
                <w:szCs w:val="24"/>
              </w:rPr>
              <w:t>Jeong Park, Development DRR Adviser</w:t>
            </w:r>
          </w:p>
        </w:tc>
      </w:tr>
      <w:tr w:rsidR="00152D95" w:rsidRPr="007D7C78" w14:paraId="2B66BAEA" w14:textId="77777777" w:rsidTr="00653F28">
        <w:tc>
          <w:tcPr>
            <w:tcW w:w="1392" w:type="dxa"/>
          </w:tcPr>
          <w:p w14:paraId="31D0C88A" w14:textId="77777777" w:rsidR="00152D95" w:rsidRPr="007D7C78" w:rsidRDefault="00152D95" w:rsidP="00653F28">
            <w:pPr>
              <w:rPr>
                <w:rFonts w:cs="Times New Roman"/>
                <w:sz w:val="24"/>
                <w:szCs w:val="24"/>
              </w:rPr>
            </w:pPr>
          </w:p>
        </w:tc>
        <w:tc>
          <w:tcPr>
            <w:tcW w:w="1870" w:type="dxa"/>
          </w:tcPr>
          <w:p w14:paraId="31AA33B8" w14:textId="77777777" w:rsidR="00152D95" w:rsidRPr="007D7C78" w:rsidRDefault="00152D95" w:rsidP="00653F28">
            <w:pPr>
              <w:rPr>
                <w:rFonts w:cs="Times New Roman"/>
                <w:sz w:val="24"/>
                <w:szCs w:val="24"/>
              </w:rPr>
            </w:pPr>
            <w:r w:rsidRPr="007D7C78">
              <w:rPr>
                <w:rFonts w:cs="Times New Roman"/>
                <w:sz w:val="24"/>
                <w:szCs w:val="24"/>
              </w:rPr>
              <w:t>DFAT/DRR</w:t>
            </w:r>
          </w:p>
        </w:tc>
        <w:tc>
          <w:tcPr>
            <w:tcW w:w="5805" w:type="dxa"/>
          </w:tcPr>
          <w:p w14:paraId="698EEEA9" w14:textId="77777777" w:rsidR="00152D95" w:rsidRPr="007D7C78" w:rsidRDefault="00152D95" w:rsidP="00653F28">
            <w:pPr>
              <w:rPr>
                <w:rFonts w:cs="Times New Roman"/>
                <w:sz w:val="24"/>
                <w:szCs w:val="24"/>
              </w:rPr>
            </w:pPr>
            <w:r w:rsidRPr="007D7C78">
              <w:rPr>
                <w:sz w:val="24"/>
                <w:szCs w:val="24"/>
              </w:rPr>
              <w:t>Ben O’Sullivan DFAT Disaster Response Unit Manager</w:t>
            </w:r>
          </w:p>
        </w:tc>
      </w:tr>
      <w:tr w:rsidR="00152D95" w:rsidRPr="007D7C78" w14:paraId="2ED68F49" w14:textId="77777777" w:rsidTr="00653F28">
        <w:tc>
          <w:tcPr>
            <w:tcW w:w="1392" w:type="dxa"/>
          </w:tcPr>
          <w:p w14:paraId="1F1D5D9B" w14:textId="77777777" w:rsidR="00152D95" w:rsidRPr="007D7C78" w:rsidRDefault="00152D95" w:rsidP="00653F28">
            <w:pPr>
              <w:rPr>
                <w:rFonts w:cs="Times New Roman"/>
                <w:sz w:val="24"/>
                <w:szCs w:val="24"/>
              </w:rPr>
            </w:pPr>
          </w:p>
        </w:tc>
        <w:tc>
          <w:tcPr>
            <w:tcW w:w="1870" w:type="dxa"/>
          </w:tcPr>
          <w:p w14:paraId="449CB86F" w14:textId="77777777" w:rsidR="00152D95" w:rsidRPr="007D7C78" w:rsidRDefault="00152D95" w:rsidP="00653F28">
            <w:pPr>
              <w:rPr>
                <w:rFonts w:cs="Times New Roman"/>
                <w:sz w:val="24"/>
                <w:szCs w:val="24"/>
              </w:rPr>
            </w:pPr>
            <w:r w:rsidRPr="007D7C78">
              <w:rPr>
                <w:rFonts w:cs="Times New Roman"/>
                <w:sz w:val="24"/>
                <w:szCs w:val="24"/>
              </w:rPr>
              <w:t>DFAT/AIFDR</w:t>
            </w:r>
          </w:p>
        </w:tc>
        <w:tc>
          <w:tcPr>
            <w:tcW w:w="5805" w:type="dxa"/>
          </w:tcPr>
          <w:p w14:paraId="4B5C4BD9" w14:textId="77777777" w:rsidR="00152D95" w:rsidRPr="007D7C78" w:rsidRDefault="00152D95" w:rsidP="00653F28">
            <w:pPr>
              <w:rPr>
                <w:rFonts w:cs="Times New Roman"/>
                <w:sz w:val="24"/>
                <w:szCs w:val="24"/>
              </w:rPr>
            </w:pPr>
            <w:r w:rsidRPr="007D7C78">
              <w:rPr>
                <w:sz w:val="24"/>
                <w:szCs w:val="24"/>
              </w:rPr>
              <w:t>Jon Burrough, Counsellor DFAT and AIFDR Co-Director</w:t>
            </w:r>
          </w:p>
        </w:tc>
      </w:tr>
      <w:tr w:rsidR="00152D95" w:rsidRPr="007D7C78" w14:paraId="69DC9524" w14:textId="77777777" w:rsidTr="00653F28">
        <w:tc>
          <w:tcPr>
            <w:tcW w:w="1392" w:type="dxa"/>
          </w:tcPr>
          <w:p w14:paraId="7843B9FC" w14:textId="77777777" w:rsidR="00152D95" w:rsidRPr="007D7C78" w:rsidRDefault="00152D95" w:rsidP="00653F28">
            <w:pPr>
              <w:rPr>
                <w:rFonts w:cs="Times New Roman"/>
                <w:sz w:val="24"/>
                <w:szCs w:val="24"/>
              </w:rPr>
            </w:pPr>
          </w:p>
        </w:tc>
        <w:tc>
          <w:tcPr>
            <w:tcW w:w="1870" w:type="dxa"/>
          </w:tcPr>
          <w:p w14:paraId="5942E9EA" w14:textId="77777777" w:rsidR="00152D95" w:rsidRPr="007D7C78" w:rsidRDefault="00152D95" w:rsidP="00653F28">
            <w:pPr>
              <w:rPr>
                <w:rFonts w:cs="Times New Roman"/>
                <w:sz w:val="24"/>
                <w:szCs w:val="24"/>
              </w:rPr>
            </w:pPr>
            <w:r w:rsidRPr="007D7C78">
              <w:rPr>
                <w:rFonts w:cs="Times New Roman"/>
                <w:sz w:val="24"/>
                <w:szCs w:val="24"/>
              </w:rPr>
              <w:t>DFAT/AIFDR</w:t>
            </w:r>
          </w:p>
        </w:tc>
        <w:tc>
          <w:tcPr>
            <w:tcW w:w="5805" w:type="dxa"/>
          </w:tcPr>
          <w:p w14:paraId="7714891A" w14:textId="77777777" w:rsidR="00152D95" w:rsidRPr="007D7C78" w:rsidRDefault="00152D95" w:rsidP="00653F28">
            <w:pPr>
              <w:rPr>
                <w:rFonts w:cs="Times New Roman"/>
                <w:sz w:val="24"/>
                <w:szCs w:val="24"/>
              </w:rPr>
            </w:pPr>
            <w:r w:rsidRPr="007D7C78">
              <w:rPr>
                <w:rFonts w:cs="Times New Roman"/>
                <w:sz w:val="24"/>
                <w:szCs w:val="24"/>
              </w:rPr>
              <w:t xml:space="preserve">Dominic Morice, Partnerships Manager </w:t>
            </w:r>
          </w:p>
        </w:tc>
      </w:tr>
      <w:tr w:rsidR="00152D95" w:rsidRPr="007D7C78" w14:paraId="1F92F752" w14:textId="77777777" w:rsidTr="00653F28">
        <w:tc>
          <w:tcPr>
            <w:tcW w:w="1392" w:type="dxa"/>
          </w:tcPr>
          <w:p w14:paraId="4E527918" w14:textId="77777777" w:rsidR="00152D95" w:rsidRPr="007D7C78" w:rsidRDefault="00152D95" w:rsidP="00653F28">
            <w:pPr>
              <w:rPr>
                <w:rFonts w:cs="Times New Roman"/>
                <w:sz w:val="24"/>
                <w:szCs w:val="24"/>
              </w:rPr>
            </w:pPr>
          </w:p>
        </w:tc>
        <w:tc>
          <w:tcPr>
            <w:tcW w:w="1870" w:type="dxa"/>
          </w:tcPr>
          <w:p w14:paraId="4CFC6097" w14:textId="77777777" w:rsidR="00152D95" w:rsidRPr="007D7C78" w:rsidRDefault="00152D95" w:rsidP="00653F28">
            <w:pPr>
              <w:rPr>
                <w:rFonts w:cs="Times New Roman"/>
                <w:sz w:val="24"/>
                <w:szCs w:val="24"/>
              </w:rPr>
            </w:pPr>
            <w:r w:rsidRPr="007D7C78">
              <w:rPr>
                <w:rFonts w:cs="Times New Roman"/>
                <w:sz w:val="24"/>
                <w:szCs w:val="24"/>
              </w:rPr>
              <w:t>DFAT/AIFDR</w:t>
            </w:r>
          </w:p>
        </w:tc>
        <w:tc>
          <w:tcPr>
            <w:tcW w:w="5805" w:type="dxa"/>
          </w:tcPr>
          <w:p w14:paraId="091256A7" w14:textId="77777777" w:rsidR="00152D95" w:rsidRPr="007D7C78" w:rsidRDefault="00152D95" w:rsidP="00653F28">
            <w:pPr>
              <w:rPr>
                <w:rFonts w:cs="Times New Roman"/>
                <w:sz w:val="24"/>
                <w:szCs w:val="24"/>
              </w:rPr>
            </w:pPr>
            <w:r w:rsidRPr="007D7C78">
              <w:rPr>
                <w:sz w:val="24"/>
                <w:szCs w:val="24"/>
              </w:rPr>
              <w:t>Jason Brown, Training and Outreach Unit Manager</w:t>
            </w:r>
          </w:p>
        </w:tc>
      </w:tr>
      <w:tr w:rsidR="00152D95" w:rsidRPr="007D7C78" w14:paraId="4F5E86D8" w14:textId="77777777" w:rsidTr="00653F28">
        <w:tc>
          <w:tcPr>
            <w:tcW w:w="1392" w:type="dxa"/>
          </w:tcPr>
          <w:p w14:paraId="6426D689" w14:textId="77777777" w:rsidR="00152D95" w:rsidRPr="007D7C78" w:rsidRDefault="00152D95" w:rsidP="00653F28">
            <w:pPr>
              <w:rPr>
                <w:rFonts w:cs="Times New Roman"/>
                <w:sz w:val="24"/>
                <w:szCs w:val="24"/>
              </w:rPr>
            </w:pPr>
          </w:p>
        </w:tc>
        <w:tc>
          <w:tcPr>
            <w:tcW w:w="1870" w:type="dxa"/>
          </w:tcPr>
          <w:p w14:paraId="41012621" w14:textId="77777777" w:rsidR="00152D95" w:rsidRPr="007D7C78" w:rsidRDefault="00152D95" w:rsidP="00653F28">
            <w:pPr>
              <w:rPr>
                <w:rFonts w:cs="Times New Roman"/>
                <w:sz w:val="24"/>
                <w:szCs w:val="24"/>
              </w:rPr>
            </w:pPr>
            <w:r w:rsidRPr="007D7C78">
              <w:rPr>
                <w:rFonts w:cs="Times New Roman"/>
                <w:sz w:val="24"/>
                <w:szCs w:val="24"/>
              </w:rPr>
              <w:t>DFAT/AIFDR</w:t>
            </w:r>
          </w:p>
        </w:tc>
        <w:tc>
          <w:tcPr>
            <w:tcW w:w="5805" w:type="dxa"/>
          </w:tcPr>
          <w:p w14:paraId="64208A17" w14:textId="77777777" w:rsidR="00152D95" w:rsidRPr="007D7C78" w:rsidRDefault="00152D95" w:rsidP="00653F28">
            <w:pPr>
              <w:rPr>
                <w:rFonts w:cs="Times New Roman"/>
                <w:sz w:val="24"/>
                <w:szCs w:val="24"/>
              </w:rPr>
            </w:pPr>
            <w:r w:rsidRPr="007D7C78">
              <w:rPr>
                <w:sz w:val="24"/>
                <w:szCs w:val="24"/>
              </w:rPr>
              <w:t>David Robinson, Risk and Vulnerability Manager;</w:t>
            </w:r>
          </w:p>
        </w:tc>
      </w:tr>
      <w:tr w:rsidR="00152D95" w:rsidRPr="007D7C78" w14:paraId="7EBCEBA8" w14:textId="77777777" w:rsidTr="00653F28">
        <w:tc>
          <w:tcPr>
            <w:tcW w:w="1392" w:type="dxa"/>
          </w:tcPr>
          <w:p w14:paraId="7867FB49" w14:textId="77777777" w:rsidR="00152D95" w:rsidRPr="007D7C78" w:rsidRDefault="00152D95" w:rsidP="00653F28">
            <w:pPr>
              <w:rPr>
                <w:rFonts w:cs="Times New Roman"/>
                <w:sz w:val="24"/>
                <w:szCs w:val="24"/>
              </w:rPr>
            </w:pPr>
          </w:p>
        </w:tc>
        <w:tc>
          <w:tcPr>
            <w:tcW w:w="1870" w:type="dxa"/>
          </w:tcPr>
          <w:p w14:paraId="48201229" w14:textId="77777777" w:rsidR="00152D95" w:rsidRPr="007D7C78" w:rsidRDefault="00152D95" w:rsidP="00653F28">
            <w:pPr>
              <w:rPr>
                <w:rFonts w:cs="Times New Roman"/>
                <w:sz w:val="24"/>
                <w:szCs w:val="24"/>
              </w:rPr>
            </w:pPr>
            <w:r w:rsidRPr="007D7C78">
              <w:rPr>
                <w:rFonts w:cs="Times New Roman"/>
                <w:sz w:val="24"/>
                <w:szCs w:val="24"/>
              </w:rPr>
              <w:t>DFAT/AIFDR</w:t>
            </w:r>
          </w:p>
        </w:tc>
        <w:tc>
          <w:tcPr>
            <w:tcW w:w="5805" w:type="dxa"/>
          </w:tcPr>
          <w:p w14:paraId="11658571" w14:textId="77777777" w:rsidR="00152D95" w:rsidRPr="007D7C78" w:rsidRDefault="00152D95" w:rsidP="00653F28">
            <w:pPr>
              <w:rPr>
                <w:rFonts w:cs="Times New Roman"/>
                <w:sz w:val="24"/>
                <w:szCs w:val="24"/>
              </w:rPr>
            </w:pPr>
            <w:r w:rsidRPr="007D7C78">
              <w:rPr>
                <w:sz w:val="24"/>
                <w:szCs w:val="24"/>
              </w:rPr>
              <w:t>Elia Surya, Corporate Unit Manager;</w:t>
            </w:r>
          </w:p>
        </w:tc>
      </w:tr>
      <w:tr w:rsidR="00152D95" w:rsidRPr="007D7C78" w14:paraId="3140850F" w14:textId="77777777" w:rsidTr="00653F28">
        <w:tc>
          <w:tcPr>
            <w:tcW w:w="1392" w:type="dxa"/>
          </w:tcPr>
          <w:p w14:paraId="30A9814C" w14:textId="77777777" w:rsidR="00152D95" w:rsidRPr="007D7C78" w:rsidRDefault="00152D95" w:rsidP="00653F28">
            <w:pPr>
              <w:rPr>
                <w:rFonts w:cs="Times New Roman"/>
                <w:sz w:val="24"/>
                <w:szCs w:val="24"/>
              </w:rPr>
            </w:pPr>
          </w:p>
        </w:tc>
        <w:tc>
          <w:tcPr>
            <w:tcW w:w="1870" w:type="dxa"/>
          </w:tcPr>
          <w:p w14:paraId="71D1FE6C" w14:textId="77777777" w:rsidR="00152D95" w:rsidRPr="007D7C78" w:rsidRDefault="00152D95" w:rsidP="00653F28">
            <w:pPr>
              <w:rPr>
                <w:rFonts w:cs="Times New Roman"/>
                <w:sz w:val="24"/>
                <w:szCs w:val="24"/>
              </w:rPr>
            </w:pPr>
            <w:r w:rsidRPr="007D7C78">
              <w:rPr>
                <w:rFonts w:cs="Times New Roman"/>
                <w:sz w:val="24"/>
                <w:szCs w:val="24"/>
              </w:rPr>
              <w:t>DFAT/AIFDR</w:t>
            </w:r>
          </w:p>
        </w:tc>
        <w:tc>
          <w:tcPr>
            <w:tcW w:w="5805" w:type="dxa"/>
          </w:tcPr>
          <w:p w14:paraId="201A6FD2" w14:textId="77777777" w:rsidR="00152D95" w:rsidRPr="007D7C78" w:rsidRDefault="00152D95" w:rsidP="00653F28">
            <w:pPr>
              <w:rPr>
                <w:sz w:val="24"/>
                <w:szCs w:val="24"/>
              </w:rPr>
            </w:pPr>
            <w:r w:rsidRPr="007D7C78">
              <w:rPr>
                <w:sz w:val="24"/>
                <w:szCs w:val="24"/>
              </w:rPr>
              <w:t>Henry Pirade, Program Manager Partnerships Unit;</w:t>
            </w:r>
          </w:p>
        </w:tc>
      </w:tr>
      <w:tr w:rsidR="00152D95" w:rsidRPr="007D7C78" w14:paraId="104353B6" w14:textId="77777777" w:rsidTr="00653F28">
        <w:tc>
          <w:tcPr>
            <w:tcW w:w="1392" w:type="dxa"/>
          </w:tcPr>
          <w:p w14:paraId="133D6C04" w14:textId="77777777" w:rsidR="00152D95" w:rsidRPr="007D7C78" w:rsidRDefault="00152D95" w:rsidP="00653F28">
            <w:pPr>
              <w:rPr>
                <w:rFonts w:cs="Times New Roman"/>
                <w:sz w:val="24"/>
                <w:szCs w:val="24"/>
              </w:rPr>
            </w:pPr>
          </w:p>
        </w:tc>
        <w:tc>
          <w:tcPr>
            <w:tcW w:w="1870" w:type="dxa"/>
          </w:tcPr>
          <w:p w14:paraId="36658795" w14:textId="77777777" w:rsidR="00152D95" w:rsidRPr="007D7C78" w:rsidRDefault="00152D95" w:rsidP="00653F28">
            <w:pPr>
              <w:rPr>
                <w:rFonts w:cs="Times New Roman"/>
                <w:sz w:val="24"/>
                <w:szCs w:val="24"/>
              </w:rPr>
            </w:pPr>
            <w:r w:rsidRPr="007D7C78">
              <w:rPr>
                <w:rFonts w:cs="Times New Roman"/>
                <w:sz w:val="24"/>
                <w:szCs w:val="24"/>
              </w:rPr>
              <w:t>DFAT/AIFDR</w:t>
            </w:r>
          </w:p>
        </w:tc>
        <w:tc>
          <w:tcPr>
            <w:tcW w:w="5805" w:type="dxa"/>
          </w:tcPr>
          <w:p w14:paraId="700F2675" w14:textId="77777777" w:rsidR="00152D95" w:rsidRPr="007D7C78" w:rsidRDefault="00152D95" w:rsidP="00653F28">
            <w:pPr>
              <w:rPr>
                <w:sz w:val="24"/>
                <w:szCs w:val="24"/>
              </w:rPr>
            </w:pPr>
            <w:r w:rsidRPr="007D7C78">
              <w:rPr>
                <w:sz w:val="24"/>
                <w:szCs w:val="24"/>
              </w:rPr>
              <w:t>Widya Setiabudi, Senior Program Manager, Training and Outreach.</w:t>
            </w:r>
          </w:p>
        </w:tc>
      </w:tr>
      <w:tr w:rsidR="00152D95" w:rsidRPr="007D7C78" w14:paraId="227BABEA" w14:textId="77777777" w:rsidTr="00653F28">
        <w:tc>
          <w:tcPr>
            <w:tcW w:w="1392" w:type="dxa"/>
          </w:tcPr>
          <w:p w14:paraId="01EF34AE" w14:textId="77777777" w:rsidR="00152D95" w:rsidRPr="007D7C78" w:rsidRDefault="00152D95" w:rsidP="00653F28">
            <w:pPr>
              <w:rPr>
                <w:rFonts w:cs="Times New Roman"/>
                <w:sz w:val="24"/>
                <w:szCs w:val="24"/>
              </w:rPr>
            </w:pPr>
          </w:p>
        </w:tc>
        <w:tc>
          <w:tcPr>
            <w:tcW w:w="1870" w:type="dxa"/>
          </w:tcPr>
          <w:p w14:paraId="50C4963B" w14:textId="77777777" w:rsidR="00152D95" w:rsidRPr="007D7C78" w:rsidRDefault="00152D95" w:rsidP="00653F28">
            <w:pPr>
              <w:rPr>
                <w:rFonts w:cs="Times New Roman"/>
                <w:sz w:val="24"/>
                <w:szCs w:val="24"/>
              </w:rPr>
            </w:pPr>
            <w:r w:rsidRPr="007D7C78">
              <w:rPr>
                <w:rFonts w:cs="Times New Roman"/>
                <w:sz w:val="24"/>
                <w:szCs w:val="24"/>
              </w:rPr>
              <w:t>DFAT/AIFDR</w:t>
            </w:r>
          </w:p>
        </w:tc>
        <w:tc>
          <w:tcPr>
            <w:tcW w:w="5805" w:type="dxa"/>
          </w:tcPr>
          <w:p w14:paraId="20C436EB" w14:textId="77777777" w:rsidR="00152D95" w:rsidRPr="007D7C78" w:rsidRDefault="00152D95" w:rsidP="00653F28">
            <w:pPr>
              <w:rPr>
                <w:sz w:val="24"/>
                <w:szCs w:val="24"/>
              </w:rPr>
            </w:pPr>
            <w:r w:rsidRPr="007D7C78">
              <w:rPr>
                <w:sz w:val="24"/>
                <w:szCs w:val="24"/>
              </w:rPr>
              <w:t>Radhietya Hadikusuma, Program Manager, Risk and Vulnerability</w:t>
            </w:r>
          </w:p>
        </w:tc>
      </w:tr>
      <w:tr w:rsidR="00152D95" w:rsidRPr="007D7C78" w14:paraId="78EAEF6A" w14:textId="77777777" w:rsidTr="00653F28">
        <w:tc>
          <w:tcPr>
            <w:tcW w:w="1392" w:type="dxa"/>
          </w:tcPr>
          <w:p w14:paraId="7D7F01FA" w14:textId="77777777" w:rsidR="00152D95" w:rsidRPr="007D7C78" w:rsidRDefault="00152D95" w:rsidP="00653F28">
            <w:pPr>
              <w:rPr>
                <w:rFonts w:cs="Times New Roman"/>
                <w:sz w:val="24"/>
                <w:szCs w:val="24"/>
              </w:rPr>
            </w:pPr>
          </w:p>
        </w:tc>
        <w:tc>
          <w:tcPr>
            <w:tcW w:w="1870" w:type="dxa"/>
          </w:tcPr>
          <w:p w14:paraId="0C7BC916" w14:textId="77777777" w:rsidR="00152D95" w:rsidRPr="007D7C78" w:rsidRDefault="00152D95" w:rsidP="00653F28">
            <w:pPr>
              <w:rPr>
                <w:rFonts w:cs="Times New Roman"/>
                <w:sz w:val="24"/>
                <w:szCs w:val="24"/>
              </w:rPr>
            </w:pPr>
            <w:r w:rsidRPr="007D7C78">
              <w:rPr>
                <w:rFonts w:cs="Times New Roman"/>
                <w:sz w:val="24"/>
                <w:szCs w:val="24"/>
              </w:rPr>
              <w:t>BNBP</w:t>
            </w:r>
          </w:p>
        </w:tc>
        <w:tc>
          <w:tcPr>
            <w:tcW w:w="5805" w:type="dxa"/>
          </w:tcPr>
          <w:p w14:paraId="03DE0ED0" w14:textId="50632C07" w:rsidR="00152D95" w:rsidRPr="007D7C78" w:rsidRDefault="00152D95" w:rsidP="001159D3">
            <w:pPr>
              <w:jc w:val="both"/>
              <w:rPr>
                <w:rFonts w:cs="Arial"/>
                <w:sz w:val="24"/>
                <w:szCs w:val="24"/>
                <w:lang w:val="id-ID"/>
              </w:rPr>
            </w:pPr>
            <w:r w:rsidRPr="007D7C78">
              <w:rPr>
                <w:sz w:val="24"/>
                <w:szCs w:val="24"/>
              </w:rPr>
              <w:t>Ir. Dody Ruswandi, Deputy Secretary of BNBP</w:t>
            </w:r>
          </w:p>
        </w:tc>
      </w:tr>
      <w:tr w:rsidR="00152D95" w:rsidRPr="007D7C78" w14:paraId="7424B33A" w14:textId="77777777" w:rsidTr="00653F28">
        <w:tc>
          <w:tcPr>
            <w:tcW w:w="1392" w:type="dxa"/>
          </w:tcPr>
          <w:p w14:paraId="67EFBC01" w14:textId="77777777" w:rsidR="00152D95" w:rsidRPr="007D7C78" w:rsidRDefault="00152D95" w:rsidP="00653F28">
            <w:pPr>
              <w:jc w:val="both"/>
              <w:rPr>
                <w:rFonts w:cs="Times New Roman"/>
                <w:sz w:val="24"/>
                <w:szCs w:val="24"/>
              </w:rPr>
            </w:pPr>
          </w:p>
        </w:tc>
        <w:tc>
          <w:tcPr>
            <w:tcW w:w="1870" w:type="dxa"/>
          </w:tcPr>
          <w:p w14:paraId="730C4DFF" w14:textId="77777777" w:rsidR="00152D95" w:rsidRPr="007D7C78" w:rsidRDefault="00152D95" w:rsidP="00653F28">
            <w:pPr>
              <w:jc w:val="both"/>
              <w:rPr>
                <w:rFonts w:cs="Times New Roman"/>
                <w:sz w:val="24"/>
                <w:szCs w:val="24"/>
              </w:rPr>
            </w:pPr>
            <w:r w:rsidRPr="007D7C78">
              <w:rPr>
                <w:rFonts w:cs="Times New Roman"/>
                <w:sz w:val="24"/>
                <w:szCs w:val="24"/>
              </w:rPr>
              <w:t>BNBP</w:t>
            </w:r>
          </w:p>
        </w:tc>
        <w:tc>
          <w:tcPr>
            <w:tcW w:w="5805" w:type="dxa"/>
          </w:tcPr>
          <w:p w14:paraId="3A193576" w14:textId="77777777" w:rsidR="00152D95" w:rsidRPr="007D7C78" w:rsidRDefault="00152D95" w:rsidP="00653F28">
            <w:pPr>
              <w:rPr>
                <w:rFonts w:cs="Times New Roman"/>
                <w:sz w:val="24"/>
                <w:szCs w:val="24"/>
              </w:rPr>
            </w:pPr>
            <w:r w:rsidRPr="007D7C78">
              <w:rPr>
                <w:rFonts w:cs="Arial"/>
                <w:sz w:val="24"/>
                <w:szCs w:val="24"/>
                <w:lang w:val="id-ID"/>
              </w:rPr>
              <w:t>Ir.B.</w:t>
            </w:r>
            <w:r w:rsidRPr="007D7C78">
              <w:rPr>
                <w:rFonts w:cs="Arial"/>
                <w:sz w:val="24"/>
                <w:szCs w:val="24"/>
              </w:rPr>
              <w:t xml:space="preserve"> </w:t>
            </w:r>
            <w:r w:rsidRPr="007D7C78">
              <w:rPr>
                <w:rFonts w:cs="Arial"/>
                <w:sz w:val="24"/>
                <w:szCs w:val="24"/>
                <w:lang w:val="id-ID"/>
              </w:rPr>
              <w:t>Wisnu</w:t>
            </w:r>
            <w:r w:rsidRPr="007D7C78">
              <w:rPr>
                <w:rFonts w:cs="Arial"/>
                <w:sz w:val="24"/>
                <w:szCs w:val="24"/>
              </w:rPr>
              <w:t xml:space="preserve"> </w:t>
            </w:r>
            <w:r w:rsidRPr="007D7C78">
              <w:rPr>
                <w:rFonts w:cs="Arial"/>
                <w:sz w:val="24"/>
                <w:szCs w:val="24"/>
                <w:lang w:val="id-ID"/>
              </w:rPr>
              <w:t>Widjaja</w:t>
            </w:r>
            <w:r w:rsidRPr="007D7C78">
              <w:rPr>
                <w:rFonts w:cs="Arial"/>
                <w:sz w:val="24"/>
                <w:szCs w:val="24"/>
              </w:rPr>
              <w:t>, Deputy of Rehabilitation and Reconstruction, Co-Director AIFDR</w:t>
            </w:r>
          </w:p>
        </w:tc>
      </w:tr>
      <w:tr w:rsidR="00152D95" w:rsidRPr="007D7C78" w14:paraId="60B53FB3" w14:textId="77777777" w:rsidTr="00653F28">
        <w:tc>
          <w:tcPr>
            <w:tcW w:w="1392" w:type="dxa"/>
          </w:tcPr>
          <w:p w14:paraId="3EFC9D39" w14:textId="77777777" w:rsidR="00152D95" w:rsidRPr="007D7C78" w:rsidRDefault="00152D95" w:rsidP="00653F28">
            <w:pPr>
              <w:jc w:val="both"/>
              <w:rPr>
                <w:rFonts w:cs="Times New Roman"/>
                <w:sz w:val="24"/>
                <w:szCs w:val="24"/>
              </w:rPr>
            </w:pPr>
          </w:p>
        </w:tc>
        <w:tc>
          <w:tcPr>
            <w:tcW w:w="1870" w:type="dxa"/>
          </w:tcPr>
          <w:p w14:paraId="7C2875EF" w14:textId="77777777" w:rsidR="00152D95" w:rsidRPr="007D7C78" w:rsidRDefault="00152D95" w:rsidP="00653F28">
            <w:pPr>
              <w:jc w:val="both"/>
              <w:rPr>
                <w:rFonts w:cs="Times New Roman"/>
                <w:sz w:val="24"/>
                <w:szCs w:val="24"/>
              </w:rPr>
            </w:pPr>
            <w:r w:rsidRPr="007D7C78">
              <w:rPr>
                <w:rFonts w:cs="Times New Roman"/>
                <w:sz w:val="24"/>
                <w:szCs w:val="24"/>
              </w:rPr>
              <w:t>BNBP</w:t>
            </w:r>
          </w:p>
        </w:tc>
        <w:tc>
          <w:tcPr>
            <w:tcW w:w="5805" w:type="dxa"/>
          </w:tcPr>
          <w:p w14:paraId="3741570C" w14:textId="77777777" w:rsidR="00152D95" w:rsidRPr="007D7C78" w:rsidRDefault="00152D95" w:rsidP="00653F28">
            <w:pPr>
              <w:jc w:val="both"/>
              <w:rPr>
                <w:rFonts w:cs="Times New Roman"/>
                <w:sz w:val="24"/>
                <w:szCs w:val="24"/>
              </w:rPr>
            </w:pPr>
            <w:r w:rsidRPr="007D7C78">
              <w:rPr>
                <w:sz w:val="24"/>
                <w:szCs w:val="24"/>
              </w:rPr>
              <w:t>Ir. Tri Budiarto, Deputy of Emergency Response</w:t>
            </w:r>
          </w:p>
        </w:tc>
      </w:tr>
      <w:tr w:rsidR="00152D95" w:rsidRPr="007D7C78" w14:paraId="04D93AF5" w14:textId="77777777" w:rsidTr="00653F28">
        <w:tc>
          <w:tcPr>
            <w:tcW w:w="1392" w:type="dxa"/>
          </w:tcPr>
          <w:p w14:paraId="245995CA" w14:textId="77777777" w:rsidR="00152D95" w:rsidRPr="007D7C78" w:rsidRDefault="00152D95" w:rsidP="00653F28">
            <w:pPr>
              <w:jc w:val="both"/>
              <w:rPr>
                <w:rFonts w:cs="Times New Roman"/>
                <w:sz w:val="24"/>
                <w:szCs w:val="24"/>
              </w:rPr>
            </w:pPr>
          </w:p>
        </w:tc>
        <w:tc>
          <w:tcPr>
            <w:tcW w:w="1870" w:type="dxa"/>
          </w:tcPr>
          <w:p w14:paraId="1BD41F1B" w14:textId="77777777" w:rsidR="00152D95" w:rsidRPr="007D7C78" w:rsidRDefault="00152D95" w:rsidP="00653F28">
            <w:pPr>
              <w:jc w:val="both"/>
              <w:rPr>
                <w:rFonts w:cs="Times New Roman"/>
                <w:sz w:val="24"/>
                <w:szCs w:val="24"/>
              </w:rPr>
            </w:pPr>
            <w:r w:rsidRPr="007D7C78">
              <w:rPr>
                <w:rFonts w:cs="Times New Roman"/>
                <w:sz w:val="24"/>
                <w:szCs w:val="24"/>
              </w:rPr>
              <w:t>BNBP</w:t>
            </w:r>
          </w:p>
        </w:tc>
        <w:tc>
          <w:tcPr>
            <w:tcW w:w="5805" w:type="dxa"/>
          </w:tcPr>
          <w:p w14:paraId="33BA158B" w14:textId="77777777" w:rsidR="00152D95" w:rsidRPr="007D7C78" w:rsidRDefault="00152D95" w:rsidP="00653F28">
            <w:pPr>
              <w:jc w:val="both"/>
              <w:rPr>
                <w:rFonts w:cs="Times New Roman"/>
                <w:sz w:val="24"/>
                <w:szCs w:val="24"/>
              </w:rPr>
            </w:pPr>
            <w:r w:rsidRPr="007D7C78">
              <w:rPr>
                <w:sz w:val="24"/>
                <w:szCs w:val="24"/>
              </w:rPr>
              <w:t>Dr. R. Sugiharto, Head of Bureau, Law and Cooperation</w:t>
            </w:r>
          </w:p>
        </w:tc>
      </w:tr>
      <w:tr w:rsidR="00152D95" w:rsidRPr="007D7C78" w14:paraId="469A7912" w14:textId="77777777" w:rsidTr="00653F28">
        <w:tc>
          <w:tcPr>
            <w:tcW w:w="1392" w:type="dxa"/>
          </w:tcPr>
          <w:p w14:paraId="1CB78B18" w14:textId="77777777" w:rsidR="00152D95" w:rsidRPr="007D7C78" w:rsidRDefault="00152D95" w:rsidP="00653F28">
            <w:pPr>
              <w:rPr>
                <w:rFonts w:cs="Times New Roman"/>
                <w:sz w:val="24"/>
                <w:szCs w:val="24"/>
              </w:rPr>
            </w:pPr>
          </w:p>
        </w:tc>
        <w:tc>
          <w:tcPr>
            <w:tcW w:w="1870" w:type="dxa"/>
          </w:tcPr>
          <w:p w14:paraId="485FD323" w14:textId="77777777" w:rsidR="00152D95" w:rsidRPr="007D7C78" w:rsidRDefault="00152D95" w:rsidP="00653F28">
            <w:pPr>
              <w:rPr>
                <w:rFonts w:cs="Times New Roman"/>
                <w:sz w:val="24"/>
                <w:szCs w:val="24"/>
              </w:rPr>
            </w:pPr>
            <w:r w:rsidRPr="007D7C78">
              <w:rPr>
                <w:sz w:val="24"/>
                <w:szCs w:val="24"/>
              </w:rPr>
              <w:t>Climatology and Geophysics Agency (BMKG)</w:t>
            </w:r>
          </w:p>
        </w:tc>
        <w:tc>
          <w:tcPr>
            <w:tcW w:w="5805" w:type="dxa"/>
          </w:tcPr>
          <w:p w14:paraId="1F33C121" w14:textId="77777777" w:rsidR="00152D95" w:rsidRPr="007D7C78" w:rsidRDefault="00152D95" w:rsidP="00653F28">
            <w:pPr>
              <w:rPr>
                <w:sz w:val="24"/>
                <w:szCs w:val="24"/>
              </w:rPr>
            </w:pPr>
            <w:r w:rsidRPr="007D7C78">
              <w:rPr>
                <w:sz w:val="24"/>
                <w:szCs w:val="24"/>
              </w:rPr>
              <w:t>Pak Masturyono</w:t>
            </w:r>
          </w:p>
          <w:p w14:paraId="1F84D98B" w14:textId="77777777" w:rsidR="00152D95" w:rsidRPr="007D7C78" w:rsidRDefault="00152D95" w:rsidP="00653F28">
            <w:pPr>
              <w:ind w:right="284"/>
              <w:rPr>
                <w:rFonts w:cstheme="minorHAnsi"/>
                <w:sz w:val="24"/>
                <w:szCs w:val="24"/>
              </w:rPr>
            </w:pPr>
          </w:p>
        </w:tc>
      </w:tr>
      <w:tr w:rsidR="00152D95" w:rsidRPr="007D7C78" w14:paraId="08FDE06F" w14:textId="77777777" w:rsidTr="00653F28">
        <w:tc>
          <w:tcPr>
            <w:tcW w:w="1392" w:type="dxa"/>
          </w:tcPr>
          <w:p w14:paraId="2F237DA2" w14:textId="77777777" w:rsidR="00152D95" w:rsidRPr="007D7C78" w:rsidRDefault="00152D95" w:rsidP="00653F28">
            <w:pPr>
              <w:rPr>
                <w:rFonts w:cs="Times New Roman"/>
                <w:sz w:val="24"/>
                <w:szCs w:val="24"/>
              </w:rPr>
            </w:pPr>
          </w:p>
        </w:tc>
        <w:tc>
          <w:tcPr>
            <w:tcW w:w="1870" w:type="dxa"/>
          </w:tcPr>
          <w:p w14:paraId="7F977E5F" w14:textId="77777777" w:rsidR="00152D95" w:rsidRPr="007D7C78" w:rsidRDefault="00152D95" w:rsidP="00653F28">
            <w:pPr>
              <w:rPr>
                <w:rFonts w:cs="Times New Roman"/>
                <w:sz w:val="24"/>
                <w:szCs w:val="24"/>
              </w:rPr>
            </w:pPr>
            <w:r w:rsidRPr="007D7C78">
              <w:rPr>
                <w:rFonts w:cs="Times New Roman"/>
                <w:sz w:val="24"/>
                <w:szCs w:val="24"/>
              </w:rPr>
              <w:t>UNDP</w:t>
            </w:r>
          </w:p>
        </w:tc>
        <w:tc>
          <w:tcPr>
            <w:tcW w:w="5805" w:type="dxa"/>
          </w:tcPr>
          <w:p w14:paraId="71D81080" w14:textId="77777777" w:rsidR="00152D95" w:rsidRPr="007D7C78" w:rsidRDefault="00152D95" w:rsidP="00653F28">
            <w:pPr>
              <w:ind w:right="284"/>
              <w:rPr>
                <w:rFonts w:cs="Times New Roman"/>
                <w:sz w:val="24"/>
                <w:szCs w:val="24"/>
              </w:rPr>
            </w:pPr>
            <w:r w:rsidRPr="007D7C78">
              <w:rPr>
                <w:rFonts w:cstheme="minorHAnsi"/>
                <w:sz w:val="24"/>
                <w:szCs w:val="24"/>
              </w:rPr>
              <w:t>Kristanto Sinandang, Head of Crisis Prevention and Recovery Unit</w:t>
            </w:r>
          </w:p>
        </w:tc>
      </w:tr>
      <w:tr w:rsidR="00152D95" w:rsidRPr="007D7C78" w14:paraId="47241ADB" w14:textId="77777777" w:rsidTr="00653F28">
        <w:tc>
          <w:tcPr>
            <w:tcW w:w="1392" w:type="dxa"/>
          </w:tcPr>
          <w:p w14:paraId="0E97C563" w14:textId="77777777" w:rsidR="00152D95" w:rsidRPr="007D7C78" w:rsidRDefault="00152D95" w:rsidP="00653F28">
            <w:pPr>
              <w:rPr>
                <w:rFonts w:cs="Times New Roman"/>
                <w:sz w:val="24"/>
                <w:szCs w:val="24"/>
              </w:rPr>
            </w:pPr>
          </w:p>
        </w:tc>
        <w:tc>
          <w:tcPr>
            <w:tcW w:w="1870" w:type="dxa"/>
          </w:tcPr>
          <w:p w14:paraId="6F7C303E" w14:textId="77777777" w:rsidR="00152D95" w:rsidRPr="007D7C78" w:rsidRDefault="00152D95" w:rsidP="00653F28">
            <w:pPr>
              <w:rPr>
                <w:rFonts w:cs="Times New Roman"/>
                <w:sz w:val="24"/>
                <w:szCs w:val="24"/>
              </w:rPr>
            </w:pPr>
            <w:r w:rsidRPr="007D7C78">
              <w:rPr>
                <w:rFonts w:cs="Times New Roman"/>
                <w:sz w:val="24"/>
                <w:szCs w:val="24"/>
              </w:rPr>
              <w:t>UNOCHA</w:t>
            </w:r>
          </w:p>
        </w:tc>
        <w:tc>
          <w:tcPr>
            <w:tcW w:w="5805" w:type="dxa"/>
          </w:tcPr>
          <w:p w14:paraId="0A53AD18" w14:textId="77777777" w:rsidR="00152D95" w:rsidRPr="007D7C78" w:rsidRDefault="00152D95" w:rsidP="00653F28">
            <w:pPr>
              <w:rPr>
                <w:rFonts w:cs="Times New Roman"/>
                <w:sz w:val="24"/>
                <w:szCs w:val="24"/>
              </w:rPr>
            </w:pPr>
            <w:r w:rsidRPr="007D7C78">
              <w:rPr>
                <w:rFonts w:cstheme="minorHAnsi"/>
                <w:sz w:val="24"/>
                <w:szCs w:val="24"/>
              </w:rPr>
              <w:t xml:space="preserve">Rajan Gengaje, Head of OCHA Indonesia. </w:t>
            </w:r>
          </w:p>
        </w:tc>
      </w:tr>
      <w:tr w:rsidR="00152D95" w:rsidRPr="007D7C78" w14:paraId="1C59B199" w14:textId="77777777" w:rsidTr="00653F28">
        <w:tc>
          <w:tcPr>
            <w:tcW w:w="1392" w:type="dxa"/>
          </w:tcPr>
          <w:p w14:paraId="4F2712AF" w14:textId="77777777" w:rsidR="00152D95" w:rsidRPr="007D7C78" w:rsidRDefault="00152D95" w:rsidP="00653F28">
            <w:pPr>
              <w:rPr>
                <w:rFonts w:cs="Times New Roman"/>
                <w:sz w:val="24"/>
                <w:szCs w:val="24"/>
              </w:rPr>
            </w:pPr>
          </w:p>
        </w:tc>
        <w:tc>
          <w:tcPr>
            <w:tcW w:w="1870" w:type="dxa"/>
          </w:tcPr>
          <w:p w14:paraId="29049639" w14:textId="77777777" w:rsidR="00152D95" w:rsidRPr="007D7C78" w:rsidRDefault="00152D95" w:rsidP="00653F28">
            <w:pPr>
              <w:rPr>
                <w:rFonts w:cs="Times New Roman"/>
                <w:sz w:val="24"/>
                <w:szCs w:val="24"/>
              </w:rPr>
            </w:pPr>
            <w:r w:rsidRPr="007D7C78">
              <w:rPr>
                <w:rFonts w:cs="Times New Roman"/>
                <w:sz w:val="24"/>
                <w:szCs w:val="24"/>
              </w:rPr>
              <w:t>UNOCHA</w:t>
            </w:r>
          </w:p>
        </w:tc>
        <w:tc>
          <w:tcPr>
            <w:tcW w:w="5805" w:type="dxa"/>
          </w:tcPr>
          <w:p w14:paraId="3003C999" w14:textId="77777777" w:rsidR="00152D95" w:rsidRPr="007D7C78" w:rsidRDefault="00152D95" w:rsidP="00653F28">
            <w:pPr>
              <w:rPr>
                <w:rFonts w:cs="Times New Roman"/>
                <w:sz w:val="24"/>
                <w:szCs w:val="24"/>
              </w:rPr>
            </w:pPr>
            <w:r w:rsidRPr="007D7C78">
              <w:rPr>
                <w:rFonts w:cstheme="minorHAnsi"/>
                <w:sz w:val="24"/>
                <w:szCs w:val="24"/>
              </w:rPr>
              <w:t xml:space="preserve">Titi Moektijasih, Humanitarian Affairs Analyst, OCHA Indonesia. </w:t>
            </w:r>
          </w:p>
        </w:tc>
      </w:tr>
      <w:tr w:rsidR="00152D95" w:rsidRPr="007D7C78" w14:paraId="057678C6" w14:textId="77777777" w:rsidTr="00653F28">
        <w:tc>
          <w:tcPr>
            <w:tcW w:w="1392" w:type="dxa"/>
          </w:tcPr>
          <w:p w14:paraId="37FF0B35" w14:textId="77777777" w:rsidR="00152D95" w:rsidRPr="007D7C78" w:rsidRDefault="00152D95" w:rsidP="00653F28">
            <w:pPr>
              <w:rPr>
                <w:rFonts w:cs="Times New Roman"/>
                <w:sz w:val="24"/>
                <w:szCs w:val="24"/>
              </w:rPr>
            </w:pPr>
          </w:p>
        </w:tc>
        <w:tc>
          <w:tcPr>
            <w:tcW w:w="1870" w:type="dxa"/>
          </w:tcPr>
          <w:p w14:paraId="4E5DB4D0" w14:textId="77777777" w:rsidR="00152D95" w:rsidRPr="007D7C78" w:rsidRDefault="00152D95" w:rsidP="00653F28">
            <w:pPr>
              <w:rPr>
                <w:rFonts w:cs="Times New Roman"/>
                <w:sz w:val="24"/>
                <w:szCs w:val="24"/>
              </w:rPr>
            </w:pPr>
            <w:r w:rsidRPr="007D7C78">
              <w:rPr>
                <w:rFonts w:cs="Times New Roman"/>
                <w:sz w:val="24"/>
                <w:szCs w:val="24"/>
              </w:rPr>
              <w:t xml:space="preserve">Australian Red Cross </w:t>
            </w:r>
          </w:p>
        </w:tc>
        <w:tc>
          <w:tcPr>
            <w:tcW w:w="5805" w:type="dxa"/>
          </w:tcPr>
          <w:p w14:paraId="7BEE711E" w14:textId="77777777" w:rsidR="00152D95" w:rsidRPr="007D7C78" w:rsidRDefault="00152D95" w:rsidP="00653F28">
            <w:pPr>
              <w:ind w:right="284"/>
              <w:rPr>
                <w:rFonts w:cs="Times New Roman"/>
                <w:sz w:val="24"/>
                <w:szCs w:val="24"/>
              </w:rPr>
            </w:pPr>
            <w:r w:rsidRPr="007D7C78">
              <w:rPr>
                <w:rFonts w:cstheme="minorHAnsi"/>
                <w:sz w:val="24"/>
                <w:szCs w:val="24"/>
              </w:rPr>
              <w:t>Sacha Bootsma, ARC Indonesian Country Manager</w:t>
            </w:r>
          </w:p>
        </w:tc>
      </w:tr>
      <w:tr w:rsidR="00152D95" w:rsidRPr="007D7C78" w14:paraId="5E3C2A95" w14:textId="77777777" w:rsidTr="00653F28">
        <w:tc>
          <w:tcPr>
            <w:tcW w:w="1392" w:type="dxa"/>
          </w:tcPr>
          <w:p w14:paraId="2D03F48F" w14:textId="77777777" w:rsidR="00152D95" w:rsidRPr="007D7C78" w:rsidRDefault="00152D95" w:rsidP="00653F28">
            <w:pPr>
              <w:rPr>
                <w:rFonts w:cs="Times New Roman"/>
                <w:sz w:val="24"/>
                <w:szCs w:val="24"/>
              </w:rPr>
            </w:pPr>
          </w:p>
        </w:tc>
        <w:tc>
          <w:tcPr>
            <w:tcW w:w="1870" w:type="dxa"/>
          </w:tcPr>
          <w:p w14:paraId="0BC9E75F" w14:textId="77777777" w:rsidR="00152D95" w:rsidRPr="007D7C78" w:rsidRDefault="00152D95" w:rsidP="00653F28">
            <w:pPr>
              <w:rPr>
                <w:rFonts w:cs="Times New Roman"/>
                <w:sz w:val="24"/>
                <w:szCs w:val="24"/>
              </w:rPr>
            </w:pPr>
            <w:r w:rsidRPr="007D7C78">
              <w:rPr>
                <w:rFonts w:cs="Times New Roman"/>
                <w:sz w:val="24"/>
                <w:szCs w:val="24"/>
              </w:rPr>
              <w:t>Australian Red Cross</w:t>
            </w:r>
          </w:p>
        </w:tc>
        <w:tc>
          <w:tcPr>
            <w:tcW w:w="5805" w:type="dxa"/>
          </w:tcPr>
          <w:p w14:paraId="5BBDDDAF" w14:textId="77777777" w:rsidR="00152D95" w:rsidRPr="007D7C78" w:rsidRDefault="00152D95" w:rsidP="00653F28">
            <w:pPr>
              <w:rPr>
                <w:sz w:val="24"/>
                <w:szCs w:val="24"/>
              </w:rPr>
            </w:pPr>
            <w:r w:rsidRPr="007D7C78">
              <w:rPr>
                <w:sz w:val="24"/>
                <w:szCs w:val="24"/>
              </w:rPr>
              <w:t>Godril D Yuwono, Senior Program Coordinator ARC</w:t>
            </w:r>
          </w:p>
          <w:p w14:paraId="1DEE68EE" w14:textId="77777777" w:rsidR="00152D95" w:rsidRPr="007D7C78" w:rsidRDefault="00152D95" w:rsidP="00653F28">
            <w:pPr>
              <w:rPr>
                <w:rFonts w:cs="Times New Roman"/>
                <w:sz w:val="24"/>
                <w:szCs w:val="24"/>
              </w:rPr>
            </w:pPr>
          </w:p>
        </w:tc>
      </w:tr>
      <w:tr w:rsidR="00152D95" w:rsidRPr="007D7C78" w14:paraId="08D14836" w14:textId="77777777" w:rsidTr="00653F28">
        <w:tc>
          <w:tcPr>
            <w:tcW w:w="1392" w:type="dxa"/>
          </w:tcPr>
          <w:p w14:paraId="453A71D7" w14:textId="77777777" w:rsidR="00152D95" w:rsidRPr="007D7C78" w:rsidRDefault="00152D95" w:rsidP="00653F28">
            <w:pPr>
              <w:rPr>
                <w:rFonts w:cs="Times New Roman"/>
                <w:sz w:val="24"/>
                <w:szCs w:val="24"/>
              </w:rPr>
            </w:pPr>
          </w:p>
        </w:tc>
        <w:tc>
          <w:tcPr>
            <w:tcW w:w="1870" w:type="dxa"/>
          </w:tcPr>
          <w:p w14:paraId="6E2E2B88" w14:textId="77777777" w:rsidR="00152D95" w:rsidRPr="007D7C78" w:rsidRDefault="00152D95" w:rsidP="00653F28">
            <w:pPr>
              <w:rPr>
                <w:rFonts w:cs="Times New Roman"/>
                <w:sz w:val="24"/>
                <w:szCs w:val="24"/>
              </w:rPr>
            </w:pPr>
            <w:r w:rsidRPr="007D7C78">
              <w:rPr>
                <w:rFonts w:cs="Times New Roman"/>
                <w:sz w:val="24"/>
                <w:szCs w:val="24"/>
              </w:rPr>
              <w:t>Oxfam</w:t>
            </w:r>
          </w:p>
        </w:tc>
        <w:tc>
          <w:tcPr>
            <w:tcW w:w="5805" w:type="dxa"/>
          </w:tcPr>
          <w:p w14:paraId="7C48E5DB" w14:textId="77777777" w:rsidR="00152D95" w:rsidRPr="007D7C78" w:rsidRDefault="00152D95" w:rsidP="00653F28">
            <w:pPr>
              <w:rPr>
                <w:sz w:val="24"/>
                <w:szCs w:val="24"/>
              </w:rPr>
            </w:pPr>
            <w:r w:rsidRPr="007D7C78">
              <w:rPr>
                <w:sz w:val="24"/>
                <w:szCs w:val="24"/>
              </w:rPr>
              <w:t xml:space="preserve">Nanang Dirja, Oxfam </w:t>
            </w:r>
          </w:p>
          <w:p w14:paraId="13A700AA" w14:textId="77777777" w:rsidR="00152D95" w:rsidRPr="007D7C78" w:rsidRDefault="00152D95" w:rsidP="00653F28">
            <w:pPr>
              <w:rPr>
                <w:rFonts w:cs="Times New Roman"/>
                <w:sz w:val="24"/>
                <w:szCs w:val="24"/>
              </w:rPr>
            </w:pPr>
          </w:p>
        </w:tc>
      </w:tr>
      <w:tr w:rsidR="00152D95" w:rsidRPr="007D7C78" w14:paraId="33FC3D86" w14:textId="77777777" w:rsidTr="00653F28">
        <w:tc>
          <w:tcPr>
            <w:tcW w:w="1392" w:type="dxa"/>
          </w:tcPr>
          <w:p w14:paraId="5FCBF9E9" w14:textId="77777777" w:rsidR="00152D95" w:rsidRPr="007D7C78" w:rsidRDefault="00152D95" w:rsidP="00653F28">
            <w:pPr>
              <w:rPr>
                <w:rFonts w:cs="Times New Roman"/>
                <w:sz w:val="24"/>
                <w:szCs w:val="24"/>
              </w:rPr>
            </w:pPr>
          </w:p>
        </w:tc>
        <w:tc>
          <w:tcPr>
            <w:tcW w:w="1870" w:type="dxa"/>
          </w:tcPr>
          <w:p w14:paraId="2F3F45A0" w14:textId="77777777" w:rsidR="00152D95" w:rsidRPr="007D7C78" w:rsidRDefault="00152D95" w:rsidP="00653F28">
            <w:pPr>
              <w:rPr>
                <w:rFonts w:cs="Times New Roman"/>
                <w:sz w:val="24"/>
                <w:szCs w:val="24"/>
              </w:rPr>
            </w:pPr>
            <w:r w:rsidRPr="007D7C78">
              <w:rPr>
                <w:rFonts w:cs="Times New Roman"/>
                <w:sz w:val="24"/>
                <w:szCs w:val="24"/>
              </w:rPr>
              <w:t>Oxfam</w:t>
            </w:r>
          </w:p>
        </w:tc>
        <w:tc>
          <w:tcPr>
            <w:tcW w:w="5805" w:type="dxa"/>
          </w:tcPr>
          <w:p w14:paraId="295EC6C5" w14:textId="77777777" w:rsidR="00152D95" w:rsidRPr="007D7C78" w:rsidRDefault="00152D95" w:rsidP="00653F28">
            <w:pPr>
              <w:rPr>
                <w:sz w:val="24"/>
                <w:szCs w:val="24"/>
              </w:rPr>
            </w:pPr>
            <w:r w:rsidRPr="007D7C78">
              <w:rPr>
                <w:sz w:val="24"/>
                <w:szCs w:val="24"/>
              </w:rPr>
              <w:t xml:space="preserve">Ade Sudiarno, Oxfam </w:t>
            </w:r>
          </w:p>
        </w:tc>
      </w:tr>
      <w:tr w:rsidR="00152D95" w:rsidRPr="007D7C78" w14:paraId="3844DE40" w14:textId="77777777" w:rsidTr="00653F28">
        <w:tc>
          <w:tcPr>
            <w:tcW w:w="1392" w:type="dxa"/>
          </w:tcPr>
          <w:p w14:paraId="6ED0FBDE" w14:textId="77777777" w:rsidR="00152D95" w:rsidRPr="007D7C78" w:rsidRDefault="00152D95" w:rsidP="00653F28">
            <w:pPr>
              <w:rPr>
                <w:rFonts w:cs="Times New Roman"/>
                <w:sz w:val="24"/>
                <w:szCs w:val="24"/>
              </w:rPr>
            </w:pPr>
          </w:p>
        </w:tc>
        <w:tc>
          <w:tcPr>
            <w:tcW w:w="1870" w:type="dxa"/>
          </w:tcPr>
          <w:p w14:paraId="625B6AB5" w14:textId="77777777" w:rsidR="00152D95" w:rsidRPr="007D7C78" w:rsidRDefault="00152D95" w:rsidP="00653F28">
            <w:pPr>
              <w:rPr>
                <w:rFonts w:cs="Times New Roman"/>
                <w:sz w:val="24"/>
                <w:szCs w:val="24"/>
              </w:rPr>
            </w:pPr>
            <w:r w:rsidRPr="007D7C78">
              <w:rPr>
                <w:rFonts w:cs="Times New Roman"/>
                <w:sz w:val="24"/>
                <w:szCs w:val="24"/>
              </w:rPr>
              <w:t>IOM</w:t>
            </w:r>
          </w:p>
        </w:tc>
        <w:tc>
          <w:tcPr>
            <w:tcW w:w="5805" w:type="dxa"/>
          </w:tcPr>
          <w:p w14:paraId="681993B8" w14:textId="77777777" w:rsidR="00152D95" w:rsidRPr="007D7C78" w:rsidRDefault="00152D95" w:rsidP="00653F28">
            <w:pPr>
              <w:rPr>
                <w:rFonts w:cs="Times New Roman"/>
                <w:sz w:val="24"/>
                <w:szCs w:val="24"/>
              </w:rPr>
            </w:pPr>
            <w:r w:rsidRPr="007D7C78">
              <w:rPr>
                <w:rFonts w:cs="Times New Roman"/>
                <w:sz w:val="24"/>
                <w:szCs w:val="24"/>
              </w:rPr>
              <w:t xml:space="preserve">Denis Nihill, Chief of Mission, Indonesia </w:t>
            </w:r>
          </w:p>
        </w:tc>
      </w:tr>
      <w:tr w:rsidR="00152D95" w:rsidRPr="007D7C78" w14:paraId="1DA728AD" w14:textId="77777777" w:rsidTr="00653F28">
        <w:tc>
          <w:tcPr>
            <w:tcW w:w="1392" w:type="dxa"/>
          </w:tcPr>
          <w:p w14:paraId="450F0003" w14:textId="77777777" w:rsidR="00152D95" w:rsidRPr="007D7C78" w:rsidRDefault="00152D95" w:rsidP="00653F28">
            <w:pPr>
              <w:rPr>
                <w:rFonts w:cs="Times New Roman"/>
                <w:sz w:val="24"/>
                <w:szCs w:val="24"/>
              </w:rPr>
            </w:pPr>
          </w:p>
        </w:tc>
        <w:tc>
          <w:tcPr>
            <w:tcW w:w="1870" w:type="dxa"/>
          </w:tcPr>
          <w:p w14:paraId="6B8046DB" w14:textId="77777777" w:rsidR="00152D95" w:rsidRPr="007D7C78" w:rsidRDefault="00152D95" w:rsidP="00653F28">
            <w:pPr>
              <w:rPr>
                <w:rFonts w:cs="Times New Roman"/>
                <w:sz w:val="24"/>
                <w:szCs w:val="24"/>
              </w:rPr>
            </w:pPr>
            <w:r w:rsidRPr="007D7C78">
              <w:rPr>
                <w:rFonts w:cs="Times New Roman"/>
                <w:sz w:val="24"/>
                <w:szCs w:val="24"/>
              </w:rPr>
              <w:t>IOM</w:t>
            </w:r>
          </w:p>
        </w:tc>
        <w:tc>
          <w:tcPr>
            <w:tcW w:w="5805" w:type="dxa"/>
          </w:tcPr>
          <w:p w14:paraId="332B429C" w14:textId="77777777" w:rsidR="00152D95" w:rsidRPr="007D7C78" w:rsidRDefault="00152D95" w:rsidP="00653F28">
            <w:pPr>
              <w:ind w:right="284"/>
              <w:rPr>
                <w:rFonts w:cs="Times New Roman"/>
                <w:sz w:val="24"/>
                <w:szCs w:val="24"/>
              </w:rPr>
            </w:pPr>
            <w:r w:rsidRPr="007D7C78">
              <w:rPr>
                <w:rFonts w:cstheme="minorHAnsi"/>
                <w:sz w:val="24"/>
                <w:szCs w:val="24"/>
              </w:rPr>
              <w:t>Peter Kern, Program Manager</w:t>
            </w:r>
          </w:p>
        </w:tc>
      </w:tr>
      <w:tr w:rsidR="00152D95" w:rsidRPr="007D7C78" w14:paraId="1E91F659" w14:textId="77777777" w:rsidTr="00653F28">
        <w:tc>
          <w:tcPr>
            <w:tcW w:w="1392" w:type="dxa"/>
          </w:tcPr>
          <w:p w14:paraId="30D02BB2" w14:textId="77777777" w:rsidR="00152D95" w:rsidRPr="007D7C78" w:rsidRDefault="00152D95" w:rsidP="00653F28">
            <w:pPr>
              <w:rPr>
                <w:rFonts w:cs="Times New Roman"/>
                <w:sz w:val="24"/>
                <w:szCs w:val="24"/>
              </w:rPr>
            </w:pPr>
          </w:p>
        </w:tc>
        <w:tc>
          <w:tcPr>
            <w:tcW w:w="1870" w:type="dxa"/>
          </w:tcPr>
          <w:p w14:paraId="3D292401" w14:textId="77777777" w:rsidR="00152D95" w:rsidRPr="007D7C78" w:rsidRDefault="00152D95" w:rsidP="00653F28">
            <w:pPr>
              <w:ind w:right="284"/>
              <w:jc w:val="both"/>
              <w:rPr>
                <w:rFonts w:cs="Times New Roman"/>
                <w:sz w:val="24"/>
                <w:szCs w:val="24"/>
              </w:rPr>
            </w:pPr>
            <w:r w:rsidRPr="007D7C78">
              <w:rPr>
                <w:rFonts w:cstheme="minorHAnsi"/>
                <w:sz w:val="24"/>
                <w:szCs w:val="24"/>
              </w:rPr>
              <w:t>LPBI-NU</w:t>
            </w:r>
          </w:p>
        </w:tc>
        <w:tc>
          <w:tcPr>
            <w:tcW w:w="5805" w:type="dxa"/>
          </w:tcPr>
          <w:p w14:paraId="6E571A1E" w14:textId="77777777" w:rsidR="00152D95" w:rsidRPr="007D7C78" w:rsidRDefault="00152D95" w:rsidP="00653F28">
            <w:pPr>
              <w:ind w:right="284"/>
              <w:jc w:val="both"/>
              <w:rPr>
                <w:rFonts w:cs="Times New Roman"/>
                <w:sz w:val="24"/>
                <w:szCs w:val="24"/>
              </w:rPr>
            </w:pPr>
            <w:r w:rsidRPr="007D7C78">
              <w:rPr>
                <w:rFonts w:cstheme="minorHAnsi"/>
                <w:sz w:val="24"/>
                <w:szCs w:val="24"/>
              </w:rPr>
              <w:t xml:space="preserve">Pak Muhammad Ali Yusuf, Finance and Administration Manager and two other NU representatives </w:t>
            </w:r>
          </w:p>
        </w:tc>
      </w:tr>
      <w:tr w:rsidR="00152D95" w:rsidRPr="007D7C78" w14:paraId="4102CEF5" w14:textId="77777777" w:rsidTr="00653F28">
        <w:tc>
          <w:tcPr>
            <w:tcW w:w="1392" w:type="dxa"/>
          </w:tcPr>
          <w:p w14:paraId="60A47B23" w14:textId="77777777" w:rsidR="00152D95" w:rsidRPr="007D7C78" w:rsidRDefault="00152D95" w:rsidP="00653F28">
            <w:pPr>
              <w:rPr>
                <w:rFonts w:cs="Times New Roman"/>
                <w:sz w:val="24"/>
                <w:szCs w:val="24"/>
              </w:rPr>
            </w:pPr>
          </w:p>
        </w:tc>
        <w:tc>
          <w:tcPr>
            <w:tcW w:w="1870" w:type="dxa"/>
          </w:tcPr>
          <w:p w14:paraId="2114E082" w14:textId="77777777" w:rsidR="00152D95" w:rsidRPr="007D7C78" w:rsidRDefault="00152D95" w:rsidP="00653F28">
            <w:pPr>
              <w:rPr>
                <w:rFonts w:cs="Times New Roman"/>
                <w:sz w:val="24"/>
                <w:szCs w:val="24"/>
              </w:rPr>
            </w:pPr>
            <w:r w:rsidRPr="007D7C78">
              <w:rPr>
                <w:rFonts w:cs="Times New Roman"/>
                <w:sz w:val="24"/>
                <w:szCs w:val="24"/>
              </w:rPr>
              <w:t xml:space="preserve">CDSP Project Consultants </w:t>
            </w:r>
          </w:p>
        </w:tc>
        <w:tc>
          <w:tcPr>
            <w:tcW w:w="5805" w:type="dxa"/>
          </w:tcPr>
          <w:p w14:paraId="38F59931" w14:textId="77777777" w:rsidR="00152D95" w:rsidRPr="007D7C78" w:rsidRDefault="00152D95" w:rsidP="00653F28">
            <w:pPr>
              <w:rPr>
                <w:rFonts w:cs="Times New Roman"/>
                <w:sz w:val="24"/>
                <w:szCs w:val="24"/>
              </w:rPr>
            </w:pPr>
          </w:p>
        </w:tc>
      </w:tr>
      <w:tr w:rsidR="00152D95" w:rsidRPr="007D7C78" w14:paraId="37C1D88C" w14:textId="77777777" w:rsidTr="00653F28">
        <w:tc>
          <w:tcPr>
            <w:tcW w:w="1392" w:type="dxa"/>
          </w:tcPr>
          <w:p w14:paraId="23CA64E6" w14:textId="77777777" w:rsidR="00152D95" w:rsidRPr="007D7C78" w:rsidRDefault="00152D95" w:rsidP="00653F28">
            <w:pPr>
              <w:rPr>
                <w:rFonts w:cs="Times New Roman"/>
                <w:sz w:val="24"/>
                <w:szCs w:val="24"/>
              </w:rPr>
            </w:pPr>
          </w:p>
        </w:tc>
        <w:tc>
          <w:tcPr>
            <w:tcW w:w="1870" w:type="dxa"/>
          </w:tcPr>
          <w:p w14:paraId="268D8181" w14:textId="77777777" w:rsidR="00152D95" w:rsidRPr="007D7C78" w:rsidRDefault="00152D95" w:rsidP="00653F28">
            <w:pPr>
              <w:rPr>
                <w:rFonts w:cs="Times New Roman"/>
                <w:sz w:val="24"/>
                <w:szCs w:val="24"/>
              </w:rPr>
            </w:pPr>
            <w:r w:rsidRPr="007D7C78">
              <w:rPr>
                <w:rFonts w:cs="Times New Roman"/>
                <w:sz w:val="24"/>
                <w:szCs w:val="24"/>
              </w:rPr>
              <w:t xml:space="preserve">ASEAN Secretariat </w:t>
            </w:r>
          </w:p>
        </w:tc>
        <w:tc>
          <w:tcPr>
            <w:tcW w:w="5805" w:type="dxa"/>
          </w:tcPr>
          <w:p w14:paraId="1DAE0350" w14:textId="77777777" w:rsidR="00152D95" w:rsidRPr="007D7C78" w:rsidRDefault="00152D95" w:rsidP="00653F28">
            <w:pPr>
              <w:rPr>
                <w:rFonts w:cs="Times New Roman"/>
                <w:sz w:val="24"/>
                <w:szCs w:val="24"/>
              </w:rPr>
            </w:pPr>
            <w:r w:rsidRPr="007D7C78">
              <w:rPr>
                <w:rFonts w:cs="Times New Roman"/>
                <w:sz w:val="24"/>
                <w:szCs w:val="24"/>
              </w:rPr>
              <w:t>Alicia Bala, ASEAN Deputy Secretary General</w:t>
            </w:r>
          </w:p>
        </w:tc>
      </w:tr>
      <w:tr w:rsidR="00152D95" w:rsidRPr="007D7C78" w14:paraId="26C45B87" w14:textId="77777777" w:rsidTr="00653F28">
        <w:tc>
          <w:tcPr>
            <w:tcW w:w="1392" w:type="dxa"/>
          </w:tcPr>
          <w:p w14:paraId="229D4D73" w14:textId="77777777" w:rsidR="00152D95" w:rsidRPr="007D7C78" w:rsidRDefault="00152D95" w:rsidP="00653F28">
            <w:pPr>
              <w:rPr>
                <w:rFonts w:cs="Times New Roman"/>
                <w:sz w:val="24"/>
                <w:szCs w:val="24"/>
              </w:rPr>
            </w:pPr>
          </w:p>
        </w:tc>
        <w:tc>
          <w:tcPr>
            <w:tcW w:w="1870" w:type="dxa"/>
          </w:tcPr>
          <w:p w14:paraId="07B0FF69" w14:textId="77777777" w:rsidR="00152D95" w:rsidRPr="007D7C78" w:rsidRDefault="00152D95" w:rsidP="00653F28">
            <w:pPr>
              <w:rPr>
                <w:rFonts w:cs="Times New Roman"/>
                <w:sz w:val="24"/>
                <w:szCs w:val="24"/>
              </w:rPr>
            </w:pPr>
            <w:r w:rsidRPr="007D7C78">
              <w:rPr>
                <w:rFonts w:cs="Times New Roman"/>
                <w:sz w:val="24"/>
                <w:szCs w:val="24"/>
              </w:rPr>
              <w:t xml:space="preserve">ASEAN </w:t>
            </w:r>
          </w:p>
        </w:tc>
        <w:tc>
          <w:tcPr>
            <w:tcW w:w="5805" w:type="dxa"/>
          </w:tcPr>
          <w:p w14:paraId="2C430F53" w14:textId="77777777" w:rsidR="00152D95" w:rsidRPr="007D7C78" w:rsidRDefault="00152D95" w:rsidP="00653F28">
            <w:pPr>
              <w:rPr>
                <w:rFonts w:cs="Times New Roman"/>
                <w:sz w:val="24"/>
                <w:szCs w:val="24"/>
              </w:rPr>
            </w:pPr>
            <w:r w:rsidRPr="007D7C78">
              <w:rPr>
                <w:rFonts w:cs="Times New Roman"/>
                <w:sz w:val="24"/>
                <w:szCs w:val="24"/>
              </w:rPr>
              <w:t>Larry Maramis, Director of Cross-sectoral Cooperation,</w:t>
            </w:r>
          </w:p>
          <w:p w14:paraId="23AFB520" w14:textId="77777777" w:rsidR="00152D95" w:rsidRPr="007D7C78" w:rsidRDefault="00152D95" w:rsidP="00653F28">
            <w:pPr>
              <w:rPr>
                <w:rFonts w:cs="Times New Roman"/>
                <w:sz w:val="24"/>
                <w:szCs w:val="24"/>
              </w:rPr>
            </w:pPr>
          </w:p>
        </w:tc>
      </w:tr>
      <w:tr w:rsidR="00152D95" w:rsidRPr="007D7C78" w14:paraId="368B02FA" w14:textId="77777777" w:rsidTr="00653F28">
        <w:tc>
          <w:tcPr>
            <w:tcW w:w="1392" w:type="dxa"/>
          </w:tcPr>
          <w:p w14:paraId="55F807C8" w14:textId="77777777" w:rsidR="00152D95" w:rsidRPr="007D7C78" w:rsidRDefault="00152D95" w:rsidP="00653F28">
            <w:pPr>
              <w:rPr>
                <w:rFonts w:cs="Times New Roman"/>
                <w:sz w:val="24"/>
                <w:szCs w:val="24"/>
              </w:rPr>
            </w:pPr>
          </w:p>
        </w:tc>
        <w:tc>
          <w:tcPr>
            <w:tcW w:w="1870" w:type="dxa"/>
          </w:tcPr>
          <w:p w14:paraId="274F7746" w14:textId="77777777" w:rsidR="00152D95" w:rsidRPr="007D7C78" w:rsidRDefault="00152D95" w:rsidP="00653F28">
            <w:pPr>
              <w:rPr>
                <w:rFonts w:cs="Times New Roman"/>
                <w:sz w:val="24"/>
                <w:szCs w:val="24"/>
              </w:rPr>
            </w:pPr>
            <w:r w:rsidRPr="007D7C78">
              <w:rPr>
                <w:rFonts w:cs="Times New Roman"/>
                <w:sz w:val="24"/>
                <w:szCs w:val="24"/>
              </w:rPr>
              <w:t>ASEAN</w:t>
            </w:r>
          </w:p>
        </w:tc>
        <w:tc>
          <w:tcPr>
            <w:tcW w:w="5805" w:type="dxa"/>
          </w:tcPr>
          <w:p w14:paraId="2E9F7652" w14:textId="77777777" w:rsidR="00152D95" w:rsidRPr="007D7C78" w:rsidRDefault="00152D95" w:rsidP="00653F28">
            <w:pPr>
              <w:pStyle w:val="ecxmsonormal"/>
              <w:rPr>
                <w:rFonts w:asciiTheme="minorHAnsi" w:hAnsiTheme="minorHAnsi"/>
              </w:rPr>
            </w:pPr>
            <w:r w:rsidRPr="007D7C78">
              <w:rPr>
                <w:rFonts w:asciiTheme="minorHAnsi" w:hAnsiTheme="minorHAnsi"/>
                <w:bCs/>
                <w:color w:val="000000"/>
                <w:lang w:val="en-US"/>
              </w:rPr>
              <w:t>Fenny Chandra, P</w:t>
            </w:r>
            <w:r w:rsidRPr="007D7C78">
              <w:rPr>
                <w:rFonts w:asciiTheme="minorHAnsi" w:hAnsiTheme="minorHAnsi"/>
                <w:color w:val="000000"/>
                <w:lang w:val="en-US"/>
              </w:rPr>
              <w:t>rogramme Officer, ASEAN-Australia Cooperation for the Implementation of AADMER Work Programme 2010-2015</w:t>
            </w:r>
          </w:p>
        </w:tc>
      </w:tr>
      <w:tr w:rsidR="00152D95" w:rsidRPr="007D7C78" w14:paraId="29678EC8" w14:textId="77777777" w:rsidTr="00653F28">
        <w:tc>
          <w:tcPr>
            <w:tcW w:w="1392" w:type="dxa"/>
          </w:tcPr>
          <w:p w14:paraId="0DFE0CD6" w14:textId="77777777" w:rsidR="00152D95" w:rsidRPr="007D7C78" w:rsidRDefault="00152D95" w:rsidP="00653F28">
            <w:pPr>
              <w:rPr>
                <w:rFonts w:cs="Times New Roman"/>
                <w:sz w:val="24"/>
                <w:szCs w:val="24"/>
              </w:rPr>
            </w:pPr>
          </w:p>
        </w:tc>
        <w:tc>
          <w:tcPr>
            <w:tcW w:w="1870" w:type="dxa"/>
          </w:tcPr>
          <w:p w14:paraId="663F2350" w14:textId="77777777" w:rsidR="00152D95" w:rsidRPr="007D7C78" w:rsidRDefault="00152D95" w:rsidP="00653F28">
            <w:pPr>
              <w:rPr>
                <w:rFonts w:cs="Times New Roman"/>
                <w:sz w:val="24"/>
                <w:szCs w:val="24"/>
              </w:rPr>
            </w:pPr>
            <w:r w:rsidRPr="007D7C78">
              <w:rPr>
                <w:rFonts w:cs="Times New Roman"/>
                <w:sz w:val="24"/>
                <w:szCs w:val="24"/>
              </w:rPr>
              <w:t>AHA Centre</w:t>
            </w:r>
          </w:p>
        </w:tc>
        <w:tc>
          <w:tcPr>
            <w:tcW w:w="5805" w:type="dxa"/>
          </w:tcPr>
          <w:p w14:paraId="1F3AAF66" w14:textId="77777777" w:rsidR="00152D95" w:rsidRPr="007D7C78" w:rsidRDefault="00152D95" w:rsidP="00653F28">
            <w:pPr>
              <w:ind w:right="284"/>
              <w:rPr>
                <w:rFonts w:cs="Times New Roman"/>
                <w:bCs/>
                <w:color w:val="000000"/>
                <w:sz w:val="24"/>
                <w:szCs w:val="24"/>
                <w:lang w:val="en-US"/>
              </w:rPr>
            </w:pPr>
            <w:r w:rsidRPr="007D7C78">
              <w:rPr>
                <w:rFonts w:cs="Times New Roman"/>
                <w:sz w:val="24"/>
                <w:szCs w:val="24"/>
              </w:rPr>
              <w:t>Said Faisal,</w:t>
            </w:r>
            <w:r w:rsidRPr="007D7C78">
              <w:rPr>
                <w:rFonts w:cs="Times New Roman"/>
                <w:b/>
                <w:sz w:val="24"/>
                <w:szCs w:val="24"/>
              </w:rPr>
              <w:t xml:space="preserve"> </w:t>
            </w:r>
            <w:r w:rsidRPr="007D7C78">
              <w:rPr>
                <w:rFonts w:cs="Times New Roman"/>
                <w:sz w:val="24"/>
                <w:szCs w:val="24"/>
              </w:rPr>
              <w:t>Executive Director of AHA Centre (ASEAN Coordinating Centre for Humanitarian Assistance on Disaster Management)</w:t>
            </w:r>
          </w:p>
        </w:tc>
      </w:tr>
      <w:tr w:rsidR="00152D95" w:rsidRPr="007D7C78" w14:paraId="021518DA" w14:textId="77777777" w:rsidTr="00653F28">
        <w:tc>
          <w:tcPr>
            <w:tcW w:w="1392" w:type="dxa"/>
          </w:tcPr>
          <w:p w14:paraId="04DD6760" w14:textId="77777777" w:rsidR="00152D95" w:rsidRPr="007D7C78" w:rsidRDefault="00152D95" w:rsidP="00653F28">
            <w:pPr>
              <w:rPr>
                <w:rFonts w:cs="Times New Roman"/>
                <w:sz w:val="24"/>
                <w:szCs w:val="24"/>
              </w:rPr>
            </w:pPr>
          </w:p>
        </w:tc>
        <w:tc>
          <w:tcPr>
            <w:tcW w:w="1870" w:type="dxa"/>
          </w:tcPr>
          <w:p w14:paraId="3CD383C0" w14:textId="77777777" w:rsidR="00152D95" w:rsidRPr="007D7C78" w:rsidRDefault="00152D95" w:rsidP="00653F28">
            <w:pPr>
              <w:rPr>
                <w:rFonts w:cs="Times New Roman"/>
                <w:sz w:val="24"/>
                <w:szCs w:val="24"/>
              </w:rPr>
            </w:pPr>
            <w:r w:rsidRPr="007D7C78">
              <w:rPr>
                <w:rFonts w:cs="Times New Roman"/>
                <w:sz w:val="24"/>
                <w:szCs w:val="24"/>
              </w:rPr>
              <w:t>Philippines Mission to ASEAN</w:t>
            </w:r>
          </w:p>
        </w:tc>
        <w:tc>
          <w:tcPr>
            <w:tcW w:w="5805" w:type="dxa"/>
          </w:tcPr>
          <w:p w14:paraId="1972273B" w14:textId="77777777" w:rsidR="00152D95" w:rsidRPr="007D7C78" w:rsidRDefault="00152D95" w:rsidP="00653F28">
            <w:pPr>
              <w:ind w:right="284"/>
              <w:jc w:val="both"/>
              <w:rPr>
                <w:rFonts w:cs="Times New Roman"/>
                <w:sz w:val="24"/>
                <w:szCs w:val="24"/>
              </w:rPr>
            </w:pPr>
            <w:r w:rsidRPr="007D7C78">
              <w:rPr>
                <w:rFonts w:cs="Times New Roman"/>
                <w:sz w:val="24"/>
                <w:szCs w:val="24"/>
              </w:rPr>
              <w:t>Noel Novicio, DHOM</w:t>
            </w:r>
          </w:p>
          <w:p w14:paraId="4B57CB0A" w14:textId="77777777" w:rsidR="00152D95" w:rsidRPr="007D7C78" w:rsidRDefault="00152D95" w:rsidP="00653F28">
            <w:pPr>
              <w:ind w:right="284"/>
              <w:jc w:val="both"/>
              <w:rPr>
                <w:rFonts w:cs="Times New Roman"/>
                <w:sz w:val="24"/>
                <w:szCs w:val="24"/>
              </w:rPr>
            </w:pPr>
          </w:p>
        </w:tc>
      </w:tr>
      <w:tr w:rsidR="00152D95" w:rsidRPr="007D7C78" w14:paraId="189F8580" w14:textId="77777777" w:rsidTr="00653F28">
        <w:tc>
          <w:tcPr>
            <w:tcW w:w="1392" w:type="dxa"/>
          </w:tcPr>
          <w:p w14:paraId="7E670AFB" w14:textId="77777777" w:rsidR="00152D95" w:rsidRPr="007D7C78" w:rsidRDefault="00152D95" w:rsidP="00653F28">
            <w:pPr>
              <w:rPr>
                <w:rFonts w:cs="Times New Roman"/>
                <w:sz w:val="24"/>
                <w:szCs w:val="24"/>
              </w:rPr>
            </w:pPr>
          </w:p>
        </w:tc>
        <w:tc>
          <w:tcPr>
            <w:tcW w:w="1870" w:type="dxa"/>
          </w:tcPr>
          <w:p w14:paraId="521D2A55" w14:textId="77777777" w:rsidR="00152D95" w:rsidRPr="007D7C78" w:rsidRDefault="00152D95" w:rsidP="00653F28">
            <w:pPr>
              <w:rPr>
                <w:rFonts w:cs="Times New Roman"/>
                <w:sz w:val="24"/>
                <w:szCs w:val="24"/>
              </w:rPr>
            </w:pPr>
            <w:r w:rsidRPr="007D7C78">
              <w:rPr>
                <w:rFonts w:cs="Times New Roman"/>
                <w:sz w:val="24"/>
                <w:szCs w:val="24"/>
              </w:rPr>
              <w:t>Japanese Embassy</w:t>
            </w:r>
          </w:p>
        </w:tc>
        <w:tc>
          <w:tcPr>
            <w:tcW w:w="5805" w:type="dxa"/>
          </w:tcPr>
          <w:p w14:paraId="43EDE60E" w14:textId="77777777" w:rsidR="00152D95" w:rsidRPr="007D7C78" w:rsidRDefault="00152D95" w:rsidP="00653F28">
            <w:pPr>
              <w:ind w:right="284"/>
              <w:jc w:val="both"/>
              <w:rPr>
                <w:rFonts w:cs="Times New Roman"/>
                <w:sz w:val="24"/>
                <w:szCs w:val="24"/>
              </w:rPr>
            </w:pPr>
            <w:r w:rsidRPr="007D7C78">
              <w:rPr>
                <w:rFonts w:cs="Times New Roman"/>
                <w:sz w:val="24"/>
                <w:szCs w:val="24"/>
              </w:rPr>
              <w:t>Ms Takako, Head of Development, Japanese Embassy</w:t>
            </w:r>
          </w:p>
        </w:tc>
      </w:tr>
      <w:tr w:rsidR="00152D95" w:rsidRPr="007D7C78" w14:paraId="47DF3CB2" w14:textId="77777777" w:rsidTr="00653F28">
        <w:tc>
          <w:tcPr>
            <w:tcW w:w="1392" w:type="dxa"/>
          </w:tcPr>
          <w:p w14:paraId="3AD12DE2" w14:textId="77777777" w:rsidR="00152D95" w:rsidRPr="007D7C78" w:rsidRDefault="00152D95" w:rsidP="00653F28">
            <w:pPr>
              <w:rPr>
                <w:rFonts w:cs="Times New Roman"/>
                <w:sz w:val="24"/>
                <w:szCs w:val="24"/>
              </w:rPr>
            </w:pPr>
          </w:p>
        </w:tc>
        <w:tc>
          <w:tcPr>
            <w:tcW w:w="1870" w:type="dxa"/>
          </w:tcPr>
          <w:p w14:paraId="05D9FB4A" w14:textId="77777777" w:rsidR="00152D95" w:rsidRPr="007D7C78" w:rsidRDefault="00152D95" w:rsidP="00653F28">
            <w:pPr>
              <w:rPr>
                <w:rFonts w:cs="Times New Roman"/>
                <w:sz w:val="24"/>
                <w:szCs w:val="24"/>
              </w:rPr>
            </w:pPr>
            <w:r w:rsidRPr="007D7C78">
              <w:rPr>
                <w:rFonts w:cs="Times New Roman"/>
                <w:sz w:val="24"/>
                <w:szCs w:val="24"/>
              </w:rPr>
              <w:t xml:space="preserve">US Mission to ASEAN </w:t>
            </w:r>
          </w:p>
        </w:tc>
        <w:tc>
          <w:tcPr>
            <w:tcW w:w="5805" w:type="dxa"/>
          </w:tcPr>
          <w:p w14:paraId="168A049A" w14:textId="77777777" w:rsidR="00152D95" w:rsidRPr="007D7C78" w:rsidRDefault="00152D95" w:rsidP="00653F28">
            <w:pPr>
              <w:ind w:right="284"/>
              <w:jc w:val="both"/>
              <w:rPr>
                <w:rFonts w:cs="Times New Roman"/>
                <w:sz w:val="24"/>
                <w:szCs w:val="24"/>
              </w:rPr>
            </w:pPr>
            <w:r w:rsidRPr="007D7C78">
              <w:rPr>
                <w:rFonts w:cs="Times New Roman"/>
                <w:sz w:val="24"/>
                <w:szCs w:val="24"/>
              </w:rPr>
              <w:t>Jennifer Wilson, ASEAN Affairs Program Manager</w:t>
            </w:r>
          </w:p>
        </w:tc>
      </w:tr>
      <w:tr w:rsidR="00152D95" w:rsidRPr="007D7C78" w14:paraId="52AA9324" w14:textId="77777777" w:rsidTr="00653F28">
        <w:tc>
          <w:tcPr>
            <w:tcW w:w="1392" w:type="dxa"/>
          </w:tcPr>
          <w:p w14:paraId="5A284DB5" w14:textId="77777777" w:rsidR="00152D95" w:rsidRPr="007D7C78" w:rsidRDefault="00152D95" w:rsidP="00653F28">
            <w:pPr>
              <w:rPr>
                <w:rFonts w:cs="Times New Roman"/>
                <w:sz w:val="24"/>
                <w:szCs w:val="24"/>
              </w:rPr>
            </w:pPr>
          </w:p>
        </w:tc>
        <w:tc>
          <w:tcPr>
            <w:tcW w:w="1870" w:type="dxa"/>
          </w:tcPr>
          <w:p w14:paraId="5739F8D0" w14:textId="77777777" w:rsidR="00152D95" w:rsidRPr="007D7C78" w:rsidRDefault="00152D95" w:rsidP="00653F28">
            <w:pPr>
              <w:rPr>
                <w:rFonts w:cs="Times New Roman"/>
                <w:sz w:val="24"/>
                <w:szCs w:val="24"/>
              </w:rPr>
            </w:pPr>
          </w:p>
        </w:tc>
        <w:tc>
          <w:tcPr>
            <w:tcW w:w="5805" w:type="dxa"/>
          </w:tcPr>
          <w:p w14:paraId="660B1828" w14:textId="77777777" w:rsidR="00152D95" w:rsidRPr="007D7C78" w:rsidRDefault="00152D95" w:rsidP="00653F28">
            <w:pPr>
              <w:ind w:right="284"/>
              <w:jc w:val="both"/>
              <w:rPr>
                <w:rFonts w:cs="Times New Roman"/>
                <w:sz w:val="24"/>
                <w:szCs w:val="24"/>
              </w:rPr>
            </w:pPr>
            <w:r w:rsidRPr="007D7C78">
              <w:rPr>
                <w:rFonts w:cs="Times New Roman"/>
                <w:sz w:val="24"/>
                <w:szCs w:val="24"/>
              </w:rPr>
              <w:t>Harlan Hale, Regional Adviser Disaster Assistance, USAID</w:t>
            </w:r>
          </w:p>
        </w:tc>
      </w:tr>
      <w:tr w:rsidR="00152D95" w:rsidRPr="007D7C78" w14:paraId="564F45A6" w14:textId="77777777" w:rsidTr="00653F28">
        <w:tc>
          <w:tcPr>
            <w:tcW w:w="1392" w:type="dxa"/>
          </w:tcPr>
          <w:p w14:paraId="74DBB965" w14:textId="77777777" w:rsidR="00152D95" w:rsidRPr="007D7C78" w:rsidRDefault="00152D95" w:rsidP="00653F28">
            <w:pPr>
              <w:rPr>
                <w:rFonts w:cs="Times New Roman"/>
                <w:sz w:val="24"/>
                <w:szCs w:val="24"/>
              </w:rPr>
            </w:pPr>
          </w:p>
        </w:tc>
        <w:tc>
          <w:tcPr>
            <w:tcW w:w="1870" w:type="dxa"/>
          </w:tcPr>
          <w:p w14:paraId="2C64586B" w14:textId="77777777" w:rsidR="00152D95" w:rsidRPr="007D7C78" w:rsidRDefault="00152D95" w:rsidP="00653F28">
            <w:pPr>
              <w:rPr>
                <w:rFonts w:cs="Times New Roman"/>
                <w:sz w:val="24"/>
                <w:szCs w:val="24"/>
              </w:rPr>
            </w:pPr>
          </w:p>
        </w:tc>
        <w:tc>
          <w:tcPr>
            <w:tcW w:w="5805" w:type="dxa"/>
          </w:tcPr>
          <w:p w14:paraId="20A0DD1C" w14:textId="77777777" w:rsidR="00152D95" w:rsidRPr="007D7C78" w:rsidRDefault="00152D95" w:rsidP="00653F28">
            <w:pPr>
              <w:ind w:right="284"/>
              <w:jc w:val="both"/>
              <w:rPr>
                <w:rFonts w:cs="Times New Roman"/>
                <w:sz w:val="24"/>
                <w:szCs w:val="24"/>
              </w:rPr>
            </w:pPr>
            <w:r w:rsidRPr="007D7C78">
              <w:rPr>
                <w:rFonts w:cs="Times New Roman"/>
                <w:sz w:val="24"/>
                <w:szCs w:val="24"/>
              </w:rPr>
              <w:t>Kurt Leffler, US ASEAN Military Adviser</w:t>
            </w:r>
          </w:p>
        </w:tc>
      </w:tr>
      <w:tr w:rsidR="00152D95" w:rsidRPr="007D7C78" w14:paraId="1D607481" w14:textId="77777777" w:rsidTr="00653F28">
        <w:tc>
          <w:tcPr>
            <w:tcW w:w="1392" w:type="dxa"/>
          </w:tcPr>
          <w:p w14:paraId="3A2FE046" w14:textId="77777777" w:rsidR="00152D95" w:rsidRPr="007D7C78" w:rsidRDefault="00152D95" w:rsidP="00653F28">
            <w:pPr>
              <w:rPr>
                <w:rFonts w:cs="Times New Roman"/>
                <w:sz w:val="24"/>
                <w:szCs w:val="24"/>
              </w:rPr>
            </w:pPr>
            <w:r w:rsidRPr="007D7C78">
              <w:rPr>
                <w:rFonts w:cs="Times New Roman"/>
                <w:sz w:val="24"/>
                <w:szCs w:val="24"/>
              </w:rPr>
              <w:t>Bandung</w:t>
            </w:r>
          </w:p>
        </w:tc>
        <w:tc>
          <w:tcPr>
            <w:tcW w:w="1870" w:type="dxa"/>
          </w:tcPr>
          <w:p w14:paraId="59BBB7A4" w14:textId="77777777" w:rsidR="00152D95" w:rsidRPr="007D7C78" w:rsidRDefault="00152D95" w:rsidP="00653F28">
            <w:pPr>
              <w:rPr>
                <w:rFonts w:cs="Times New Roman"/>
                <w:sz w:val="24"/>
                <w:szCs w:val="24"/>
              </w:rPr>
            </w:pPr>
            <w:r w:rsidRPr="007D7C78">
              <w:rPr>
                <w:rFonts w:cstheme="minorHAnsi"/>
                <w:sz w:val="24"/>
                <w:szCs w:val="24"/>
              </w:rPr>
              <w:t>Geology Agency of Indonesia</w:t>
            </w:r>
            <w:r w:rsidRPr="007D7C78">
              <w:rPr>
                <w:sz w:val="24"/>
                <w:szCs w:val="24"/>
              </w:rPr>
              <w:t>/Badan Geologi (BG)</w:t>
            </w:r>
          </w:p>
        </w:tc>
        <w:tc>
          <w:tcPr>
            <w:tcW w:w="5805" w:type="dxa"/>
          </w:tcPr>
          <w:p w14:paraId="11810318" w14:textId="77777777" w:rsidR="00152D95" w:rsidRPr="007D7C78" w:rsidRDefault="00152D95" w:rsidP="00653F28">
            <w:pPr>
              <w:ind w:right="284"/>
              <w:rPr>
                <w:rFonts w:cstheme="minorHAnsi"/>
                <w:sz w:val="24"/>
                <w:szCs w:val="24"/>
              </w:rPr>
            </w:pPr>
            <w:r w:rsidRPr="007D7C78">
              <w:rPr>
                <w:sz w:val="24"/>
                <w:szCs w:val="24"/>
              </w:rPr>
              <w:t xml:space="preserve">Pak Hendrasto, Head of Vulcanological Centre </w:t>
            </w:r>
          </w:p>
        </w:tc>
      </w:tr>
      <w:tr w:rsidR="00152D95" w:rsidRPr="007D7C78" w14:paraId="0E50BEC2" w14:textId="77777777" w:rsidTr="00653F28">
        <w:tc>
          <w:tcPr>
            <w:tcW w:w="1392" w:type="dxa"/>
          </w:tcPr>
          <w:p w14:paraId="186248F7" w14:textId="77777777" w:rsidR="00152D95" w:rsidRPr="007D7C78" w:rsidRDefault="00152D95" w:rsidP="00653F28">
            <w:pPr>
              <w:rPr>
                <w:rFonts w:cs="Times New Roman"/>
                <w:sz w:val="24"/>
                <w:szCs w:val="24"/>
              </w:rPr>
            </w:pPr>
            <w:r w:rsidRPr="007D7C78">
              <w:rPr>
                <w:rFonts w:cs="Times New Roman"/>
                <w:sz w:val="24"/>
                <w:szCs w:val="24"/>
              </w:rPr>
              <w:t>Bandung</w:t>
            </w:r>
          </w:p>
        </w:tc>
        <w:tc>
          <w:tcPr>
            <w:tcW w:w="1870" w:type="dxa"/>
          </w:tcPr>
          <w:p w14:paraId="0D95E5E1" w14:textId="77777777" w:rsidR="00152D95" w:rsidRPr="007D7C78" w:rsidRDefault="00152D95" w:rsidP="00653F28">
            <w:pPr>
              <w:rPr>
                <w:rFonts w:cs="Times New Roman"/>
                <w:sz w:val="24"/>
                <w:szCs w:val="24"/>
              </w:rPr>
            </w:pPr>
            <w:r w:rsidRPr="007D7C78">
              <w:rPr>
                <w:rFonts w:cstheme="minorHAnsi"/>
                <w:sz w:val="24"/>
                <w:szCs w:val="24"/>
              </w:rPr>
              <w:t>Geology Agency of Indonesia</w:t>
            </w:r>
            <w:r w:rsidRPr="007D7C78">
              <w:rPr>
                <w:sz w:val="24"/>
                <w:szCs w:val="24"/>
              </w:rPr>
              <w:t>/Badan Geologi (BG)</w:t>
            </w:r>
          </w:p>
        </w:tc>
        <w:tc>
          <w:tcPr>
            <w:tcW w:w="5805" w:type="dxa"/>
          </w:tcPr>
          <w:p w14:paraId="4AA09A6A" w14:textId="77777777" w:rsidR="00152D95" w:rsidRPr="007D7C78" w:rsidRDefault="00152D95" w:rsidP="00653F28">
            <w:pPr>
              <w:ind w:right="284"/>
              <w:rPr>
                <w:rFonts w:cstheme="minorHAnsi"/>
                <w:sz w:val="24"/>
                <w:szCs w:val="24"/>
              </w:rPr>
            </w:pPr>
            <w:r w:rsidRPr="007D7C78">
              <w:rPr>
                <w:sz w:val="24"/>
                <w:szCs w:val="24"/>
              </w:rPr>
              <w:t>Ibu Sri Hidayati, Sub-unit EQ Mitigation, PVMBG</w:t>
            </w:r>
          </w:p>
        </w:tc>
      </w:tr>
      <w:tr w:rsidR="00152D95" w:rsidRPr="007D7C78" w14:paraId="4190B22B" w14:textId="77777777" w:rsidTr="00653F28">
        <w:tc>
          <w:tcPr>
            <w:tcW w:w="1392" w:type="dxa"/>
          </w:tcPr>
          <w:p w14:paraId="4AB2E1AE" w14:textId="77777777" w:rsidR="00152D95" w:rsidRPr="007D7C78" w:rsidRDefault="00152D95" w:rsidP="00653F28">
            <w:pPr>
              <w:rPr>
                <w:rFonts w:cs="Times New Roman"/>
                <w:sz w:val="24"/>
                <w:szCs w:val="24"/>
              </w:rPr>
            </w:pPr>
            <w:r w:rsidRPr="007D7C78">
              <w:rPr>
                <w:rFonts w:cs="Times New Roman"/>
                <w:sz w:val="24"/>
                <w:szCs w:val="24"/>
              </w:rPr>
              <w:t>Bandung</w:t>
            </w:r>
          </w:p>
        </w:tc>
        <w:tc>
          <w:tcPr>
            <w:tcW w:w="1870" w:type="dxa"/>
          </w:tcPr>
          <w:p w14:paraId="4B88BBCF" w14:textId="77777777" w:rsidR="00152D95" w:rsidRPr="007D7C78" w:rsidRDefault="00152D95" w:rsidP="00653F28">
            <w:pPr>
              <w:rPr>
                <w:rFonts w:cs="Times New Roman"/>
                <w:sz w:val="24"/>
                <w:szCs w:val="24"/>
              </w:rPr>
            </w:pPr>
            <w:r w:rsidRPr="007D7C78">
              <w:rPr>
                <w:rFonts w:cstheme="minorHAnsi"/>
                <w:sz w:val="24"/>
                <w:szCs w:val="24"/>
              </w:rPr>
              <w:t>Bandung Institute of Technology (ITB)</w:t>
            </w:r>
          </w:p>
        </w:tc>
        <w:tc>
          <w:tcPr>
            <w:tcW w:w="5805" w:type="dxa"/>
          </w:tcPr>
          <w:p w14:paraId="5799C7BE" w14:textId="77777777" w:rsidR="00152D95" w:rsidRPr="007D7C78" w:rsidRDefault="00152D95" w:rsidP="00653F28">
            <w:pPr>
              <w:ind w:right="284"/>
              <w:jc w:val="both"/>
              <w:rPr>
                <w:rFonts w:cs="Times New Roman"/>
                <w:sz w:val="24"/>
                <w:szCs w:val="24"/>
              </w:rPr>
            </w:pPr>
            <w:r w:rsidRPr="007D7C78">
              <w:rPr>
                <w:sz w:val="24"/>
                <w:szCs w:val="24"/>
              </w:rPr>
              <w:t xml:space="preserve">Pak Irwan Meilano, GREAT Coordinator/plus academic representatives from ITB </w:t>
            </w:r>
          </w:p>
        </w:tc>
      </w:tr>
      <w:tr w:rsidR="00152D95" w:rsidRPr="007D7C78" w14:paraId="3D4D181F" w14:textId="77777777" w:rsidTr="00653F28">
        <w:tc>
          <w:tcPr>
            <w:tcW w:w="1392" w:type="dxa"/>
          </w:tcPr>
          <w:p w14:paraId="670FF5E8" w14:textId="77777777" w:rsidR="00152D95" w:rsidRPr="007D7C78" w:rsidRDefault="00152D95" w:rsidP="00653F28">
            <w:pPr>
              <w:rPr>
                <w:rFonts w:cs="Times New Roman"/>
                <w:sz w:val="24"/>
                <w:szCs w:val="24"/>
              </w:rPr>
            </w:pPr>
            <w:r w:rsidRPr="007D7C78">
              <w:rPr>
                <w:rFonts w:cs="Times New Roman"/>
                <w:sz w:val="24"/>
                <w:szCs w:val="24"/>
              </w:rPr>
              <w:t xml:space="preserve">Canberra </w:t>
            </w:r>
          </w:p>
        </w:tc>
        <w:tc>
          <w:tcPr>
            <w:tcW w:w="1870" w:type="dxa"/>
          </w:tcPr>
          <w:p w14:paraId="6A59C0C3" w14:textId="77777777" w:rsidR="00152D95" w:rsidRPr="007D7C78" w:rsidRDefault="00152D95" w:rsidP="00653F28">
            <w:pPr>
              <w:rPr>
                <w:rFonts w:cs="Times New Roman"/>
                <w:sz w:val="24"/>
                <w:szCs w:val="24"/>
              </w:rPr>
            </w:pPr>
            <w:r w:rsidRPr="007D7C78">
              <w:rPr>
                <w:rFonts w:cs="Times New Roman"/>
                <w:sz w:val="24"/>
                <w:szCs w:val="24"/>
              </w:rPr>
              <w:t>DFAT</w:t>
            </w:r>
          </w:p>
        </w:tc>
        <w:tc>
          <w:tcPr>
            <w:tcW w:w="5805" w:type="dxa"/>
          </w:tcPr>
          <w:p w14:paraId="1044DFDF" w14:textId="77777777" w:rsidR="00152D95" w:rsidRPr="007D7C78" w:rsidRDefault="00152D95" w:rsidP="00653F28">
            <w:pPr>
              <w:ind w:right="284"/>
              <w:jc w:val="both"/>
              <w:rPr>
                <w:rFonts w:cs="Times New Roman"/>
                <w:sz w:val="24"/>
                <w:szCs w:val="24"/>
              </w:rPr>
            </w:pPr>
            <w:r w:rsidRPr="007D7C78">
              <w:rPr>
                <w:rFonts w:cs="Times New Roman"/>
                <w:sz w:val="24"/>
                <w:szCs w:val="24"/>
              </w:rPr>
              <w:t>Craig Maclachlan a/FAS SE Asia Mainland Division</w:t>
            </w:r>
          </w:p>
        </w:tc>
      </w:tr>
      <w:tr w:rsidR="00152D95" w:rsidRPr="007D7C78" w14:paraId="1E5CC7B4" w14:textId="77777777" w:rsidTr="00653F28">
        <w:tc>
          <w:tcPr>
            <w:tcW w:w="1392" w:type="dxa"/>
          </w:tcPr>
          <w:p w14:paraId="51A33A3F" w14:textId="77777777" w:rsidR="00152D95" w:rsidRPr="007D7C78" w:rsidRDefault="00152D95" w:rsidP="00653F28">
            <w:pPr>
              <w:rPr>
                <w:rFonts w:cs="Times New Roman"/>
                <w:sz w:val="24"/>
                <w:szCs w:val="24"/>
              </w:rPr>
            </w:pPr>
          </w:p>
        </w:tc>
        <w:tc>
          <w:tcPr>
            <w:tcW w:w="1870" w:type="dxa"/>
          </w:tcPr>
          <w:p w14:paraId="7DFE6CAF" w14:textId="77777777" w:rsidR="00152D95" w:rsidRPr="007D7C78" w:rsidRDefault="00152D95" w:rsidP="00653F28">
            <w:pPr>
              <w:rPr>
                <w:rFonts w:cs="Times New Roman"/>
                <w:sz w:val="24"/>
                <w:szCs w:val="24"/>
              </w:rPr>
            </w:pPr>
            <w:r w:rsidRPr="007D7C78">
              <w:rPr>
                <w:rFonts w:cs="Times New Roman"/>
                <w:sz w:val="24"/>
                <w:szCs w:val="24"/>
              </w:rPr>
              <w:t>DFAT</w:t>
            </w:r>
          </w:p>
        </w:tc>
        <w:tc>
          <w:tcPr>
            <w:tcW w:w="5805" w:type="dxa"/>
          </w:tcPr>
          <w:p w14:paraId="249C61B3" w14:textId="77777777" w:rsidR="00152D95" w:rsidRPr="007D7C78" w:rsidRDefault="00152D95" w:rsidP="00653F28">
            <w:pPr>
              <w:ind w:right="284"/>
              <w:jc w:val="both"/>
              <w:rPr>
                <w:rFonts w:cs="Times New Roman"/>
                <w:sz w:val="24"/>
                <w:szCs w:val="24"/>
              </w:rPr>
            </w:pPr>
            <w:r w:rsidRPr="007D7C78">
              <w:rPr>
                <w:rFonts w:cs="Times New Roman"/>
                <w:sz w:val="24"/>
                <w:szCs w:val="24"/>
              </w:rPr>
              <w:t>Mark Sawyers (EAS/ARF)</w:t>
            </w:r>
          </w:p>
        </w:tc>
      </w:tr>
      <w:tr w:rsidR="00152D95" w:rsidRPr="007D7C78" w14:paraId="7887EEAD" w14:textId="77777777" w:rsidTr="00653F28">
        <w:tc>
          <w:tcPr>
            <w:tcW w:w="1392" w:type="dxa"/>
          </w:tcPr>
          <w:p w14:paraId="6865F64A" w14:textId="77777777" w:rsidR="00152D95" w:rsidRPr="007D7C78" w:rsidRDefault="00152D95" w:rsidP="00653F28">
            <w:pPr>
              <w:rPr>
                <w:rFonts w:cs="Times New Roman"/>
                <w:sz w:val="24"/>
                <w:szCs w:val="24"/>
              </w:rPr>
            </w:pPr>
          </w:p>
        </w:tc>
        <w:tc>
          <w:tcPr>
            <w:tcW w:w="1870" w:type="dxa"/>
          </w:tcPr>
          <w:p w14:paraId="2AA6740A" w14:textId="77777777" w:rsidR="00152D95" w:rsidRPr="007D7C78" w:rsidRDefault="00152D95" w:rsidP="00653F28">
            <w:pPr>
              <w:rPr>
                <w:rFonts w:cs="Times New Roman"/>
                <w:sz w:val="24"/>
                <w:szCs w:val="24"/>
              </w:rPr>
            </w:pPr>
            <w:r w:rsidRPr="007D7C78">
              <w:rPr>
                <w:rFonts w:cs="Times New Roman"/>
                <w:sz w:val="24"/>
                <w:szCs w:val="24"/>
              </w:rPr>
              <w:t>DFAT</w:t>
            </w:r>
          </w:p>
        </w:tc>
        <w:tc>
          <w:tcPr>
            <w:tcW w:w="5805" w:type="dxa"/>
          </w:tcPr>
          <w:p w14:paraId="4EBE6079" w14:textId="77777777" w:rsidR="00152D95" w:rsidRPr="007D7C78" w:rsidRDefault="00152D95" w:rsidP="00653F28">
            <w:pPr>
              <w:ind w:right="284"/>
              <w:jc w:val="both"/>
              <w:rPr>
                <w:rFonts w:cs="Times New Roman"/>
                <w:sz w:val="24"/>
                <w:szCs w:val="24"/>
              </w:rPr>
            </w:pPr>
            <w:r w:rsidRPr="007D7C78">
              <w:rPr>
                <w:rFonts w:cs="Times New Roman"/>
                <w:sz w:val="24"/>
                <w:szCs w:val="24"/>
              </w:rPr>
              <w:t>Vanessa Wood (ASEAN)</w:t>
            </w:r>
          </w:p>
        </w:tc>
      </w:tr>
      <w:tr w:rsidR="00152D95" w:rsidRPr="007D7C78" w14:paraId="130EA904" w14:textId="77777777" w:rsidTr="00653F28">
        <w:tc>
          <w:tcPr>
            <w:tcW w:w="1392" w:type="dxa"/>
          </w:tcPr>
          <w:p w14:paraId="11DC5232" w14:textId="77777777" w:rsidR="00152D95" w:rsidRPr="007D7C78" w:rsidRDefault="00152D95" w:rsidP="00653F28">
            <w:pPr>
              <w:rPr>
                <w:rFonts w:cs="Times New Roman"/>
                <w:sz w:val="24"/>
                <w:szCs w:val="24"/>
              </w:rPr>
            </w:pPr>
          </w:p>
        </w:tc>
        <w:tc>
          <w:tcPr>
            <w:tcW w:w="1870" w:type="dxa"/>
          </w:tcPr>
          <w:p w14:paraId="4C49F8A4" w14:textId="77777777" w:rsidR="00152D95" w:rsidRPr="007D7C78" w:rsidRDefault="00152D95" w:rsidP="00653F28">
            <w:pPr>
              <w:rPr>
                <w:rFonts w:cs="Times New Roman"/>
                <w:sz w:val="24"/>
                <w:szCs w:val="24"/>
              </w:rPr>
            </w:pPr>
            <w:r w:rsidRPr="007D7C78">
              <w:rPr>
                <w:rFonts w:cs="Times New Roman"/>
                <w:sz w:val="24"/>
                <w:szCs w:val="24"/>
              </w:rPr>
              <w:t>DFAT</w:t>
            </w:r>
          </w:p>
        </w:tc>
        <w:tc>
          <w:tcPr>
            <w:tcW w:w="5805" w:type="dxa"/>
          </w:tcPr>
          <w:p w14:paraId="4CD4996C" w14:textId="77777777" w:rsidR="00152D95" w:rsidRPr="007D7C78" w:rsidRDefault="00152D95" w:rsidP="00653F28">
            <w:pPr>
              <w:ind w:right="284"/>
              <w:rPr>
                <w:rFonts w:cs="Times New Roman"/>
                <w:bCs/>
                <w:color w:val="000000"/>
                <w:sz w:val="24"/>
                <w:szCs w:val="24"/>
                <w:lang w:eastAsia="en-AU"/>
              </w:rPr>
            </w:pPr>
            <w:r w:rsidRPr="007D7C78">
              <w:rPr>
                <w:rFonts w:cs="Times New Roman"/>
                <w:bCs/>
                <w:color w:val="000000"/>
                <w:sz w:val="24"/>
                <w:szCs w:val="24"/>
                <w:lang w:eastAsia="en-AU"/>
              </w:rPr>
              <w:t>Anita Dwyer, Director, Effectiveness and Risk Management Section, Analytical and Effectiveness Branch</w:t>
            </w:r>
          </w:p>
        </w:tc>
      </w:tr>
      <w:tr w:rsidR="00152D95" w:rsidRPr="007D7C78" w14:paraId="6C77D515" w14:textId="77777777" w:rsidTr="00653F28">
        <w:tc>
          <w:tcPr>
            <w:tcW w:w="1392" w:type="dxa"/>
          </w:tcPr>
          <w:p w14:paraId="3476BDB2" w14:textId="77777777" w:rsidR="00152D95" w:rsidRPr="007D7C78" w:rsidRDefault="00152D95" w:rsidP="00653F28">
            <w:pPr>
              <w:rPr>
                <w:rFonts w:cs="Times New Roman"/>
                <w:sz w:val="24"/>
                <w:szCs w:val="24"/>
              </w:rPr>
            </w:pPr>
          </w:p>
        </w:tc>
        <w:tc>
          <w:tcPr>
            <w:tcW w:w="1870" w:type="dxa"/>
          </w:tcPr>
          <w:p w14:paraId="4A5814D4" w14:textId="77777777" w:rsidR="00152D95" w:rsidRPr="007D7C78" w:rsidRDefault="00152D95" w:rsidP="00653F28">
            <w:pPr>
              <w:rPr>
                <w:rFonts w:cs="Times New Roman"/>
                <w:sz w:val="24"/>
                <w:szCs w:val="24"/>
              </w:rPr>
            </w:pPr>
            <w:r w:rsidRPr="007D7C78">
              <w:rPr>
                <w:rFonts w:cs="Times New Roman"/>
                <w:sz w:val="24"/>
                <w:szCs w:val="24"/>
              </w:rPr>
              <w:t>DFAT</w:t>
            </w:r>
          </w:p>
        </w:tc>
        <w:tc>
          <w:tcPr>
            <w:tcW w:w="5805" w:type="dxa"/>
          </w:tcPr>
          <w:p w14:paraId="3023E794" w14:textId="77777777" w:rsidR="00152D95" w:rsidRPr="007D7C78" w:rsidRDefault="00152D95" w:rsidP="00653F28">
            <w:pPr>
              <w:ind w:right="284"/>
              <w:rPr>
                <w:rFonts w:cs="Times New Roman"/>
                <w:bCs/>
                <w:color w:val="000000"/>
                <w:sz w:val="24"/>
                <w:szCs w:val="24"/>
                <w:lang w:eastAsia="en-AU"/>
              </w:rPr>
            </w:pPr>
            <w:r w:rsidRPr="007D7C78">
              <w:rPr>
                <w:rFonts w:cs="Times New Roman"/>
                <w:bCs/>
                <w:color w:val="000000"/>
                <w:sz w:val="24"/>
                <w:szCs w:val="24"/>
                <w:lang w:eastAsia="en-AU"/>
              </w:rPr>
              <w:t>Thanh Le, Director, Humanitarian Response</w:t>
            </w:r>
          </w:p>
        </w:tc>
      </w:tr>
      <w:tr w:rsidR="00152D95" w:rsidRPr="007D7C78" w14:paraId="663244DB" w14:textId="77777777" w:rsidTr="00653F28">
        <w:tc>
          <w:tcPr>
            <w:tcW w:w="1392" w:type="dxa"/>
          </w:tcPr>
          <w:p w14:paraId="4C3668EF" w14:textId="77777777" w:rsidR="00152D95" w:rsidRPr="007D7C78" w:rsidRDefault="00152D95" w:rsidP="00653F28">
            <w:pPr>
              <w:rPr>
                <w:rFonts w:cs="Times New Roman"/>
                <w:sz w:val="24"/>
                <w:szCs w:val="24"/>
              </w:rPr>
            </w:pPr>
            <w:r w:rsidRPr="007D7C78">
              <w:rPr>
                <w:rFonts w:cs="Times New Roman"/>
                <w:sz w:val="24"/>
                <w:szCs w:val="24"/>
              </w:rPr>
              <w:t xml:space="preserve">Canberra </w:t>
            </w:r>
          </w:p>
        </w:tc>
        <w:tc>
          <w:tcPr>
            <w:tcW w:w="1870" w:type="dxa"/>
          </w:tcPr>
          <w:p w14:paraId="5E647EA6" w14:textId="77777777" w:rsidR="00152D95" w:rsidRPr="007D7C78" w:rsidRDefault="00152D95" w:rsidP="00653F28">
            <w:pPr>
              <w:rPr>
                <w:rFonts w:cs="Times New Roman"/>
                <w:sz w:val="24"/>
                <w:szCs w:val="24"/>
              </w:rPr>
            </w:pPr>
            <w:r w:rsidRPr="007D7C78">
              <w:rPr>
                <w:rFonts w:cs="Times New Roman"/>
                <w:sz w:val="24"/>
                <w:szCs w:val="24"/>
              </w:rPr>
              <w:t>EMA</w:t>
            </w:r>
          </w:p>
        </w:tc>
        <w:tc>
          <w:tcPr>
            <w:tcW w:w="5805" w:type="dxa"/>
          </w:tcPr>
          <w:p w14:paraId="505BA0BD" w14:textId="77777777" w:rsidR="00152D95" w:rsidRPr="007D7C78" w:rsidRDefault="00152D95" w:rsidP="00653F28">
            <w:pPr>
              <w:ind w:right="284"/>
              <w:rPr>
                <w:rFonts w:cs="Times New Roman"/>
                <w:bCs/>
                <w:color w:val="000000"/>
                <w:sz w:val="24"/>
                <w:szCs w:val="24"/>
                <w:lang w:eastAsia="en-AU"/>
              </w:rPr>
            </w:pPr>
            <w:r w:rsidRPr="007D7C78">
              <w:rPr>
                <w:rFonts w:cs="Times New Roman"/>
                <w:bCs/>
                <w:color w:val="000000"/>
                <w:sz w:val="24"/>
                <w:szCs w:val="24"/>
                <w:lang w:eastAsia="en-AU"/>
              </w:rPr>
              <w:t xml:space="preserve">Chris Collett, </w:t>
            </w:r>
            <w:r w:rsidRPr="007D7C78">
              <w:rPr>
                <w:rFonts w:cs="Times New Roman"/>
                <w:color w:val="000000"/>
                <w:sz w:val="24"/>
                <w:szCs w:val="24"/>
                <w:lang w:eastAsia="en-AU"/>
              </w:rPr>
              <w:t>Assistant Secretary Crisis Coordination Branch</w:t>
            </w:r>
            <w:r w:rsidRPr="007D7C78">
              <w:rPr>
                <w:rFonts w:cs="Times New Roman"/>
                <w:b/>
                <w:bCs/>
                <w:color w:val="000000"/>
                <w:sz w:val="24"/>
                <w:szCs w:val="24"/>
                <w:lang w:eastAsia="en-AU"/>
              </w:rPr>
              <w:t xml:space="preserve"> </w:t>
            </w:r>
            <w:r w:rsidRPr="007D7C78">
              <w:rPr>
                <w:rFonts w:cs="Times New Roman"/>
                <w:color w:val="000000"/>
                <w:sz w:val="24"/>
                <w:szCs w:val="24"/>
                <w:lang w:eastAsia="en-AU"/>
              </w:rPr>
              <w:t>Emergency Management Australia</w:t>
            </w:r>
          </w:p>
        </w:tc>
      </w:tr>
      <w:tr w:rsidR="00152D95" w:rsidRPr="007D7C78" w14:paraId="7816738F" w14:textId="77777777" w:rsidTr="00653F28">
        <w:tc>
          <w:tcPr>
            <w:tcW w:w="1392" w:type="dxa"/>
          </w:tcPr>
          <w:p w14:paraId="3188695D" w14:textId="77777777" w:rsidR="00152D95" w:rsidRPr="007D7C78" w:rsidRDefault="00152D95" w:rsidP="00653F28">
            <w:pPr>
              <w:rPr>
                <w:rFonts w:cs="Times New Roman"/>
                <w:sz w:val="24"/>
                <w:szCs w:val="24"/>
              </w:rPr>
            </w:pPr>
          </w:p>
        </w:tc>
        <w:tc>
          <w:tcPr>
            <w:tcW w:w="1870" w:type="dxa"/>
          </w:tcPr>
          <w:p w14:paraId="593EEC86" w14:textId="77777777" w:rsidR="00152D95" w:rsidRPr="007D7C78" w:rsidRDefault="00152D95" w:rsidP="00653F28">
            <w:pPr>
              <w:rPr>
                <w:rFonts w:cs="Times New Roman"/>
                <w:sz w:val="24"/>
                <w:szCs w:val="24"/>
              </w:rPr>
            </w:pPr>
          </w:p>
        </w:tc>
        <w:tc>
          <w:tcPr>
            <w:tcW w:w="5805" w:type="dxa"/>
          </w:tcPr>
          <w:p w14:paraId="5E04C56B" w14:textId="77777777" w:rsidR="00152D95" w:rsidRPr="007D7C78" w:rsidRDefault="00152D95" w:rsidP="00653F28">
            <w:pPr>
              <w:ind w:right="284"/>
              <w:jc w:val="both"/>
              <w:rPr>
                <w:sz w:val="24"/>
                <w:szCs w:val="24"/>
              </w:rPr>
            </w:pPr>
            <w:r w:rsidRPr="007D7C78">
              <w:rPr>
                <w:sz w:val="24"/>
                <w:szCs w:val="24"/>
              </w:rPr>
              <w:t>Matt Hayne, AS/ex-AFIDR co-director</w:t>
            </w:r>
          </w:p>
        </w:tc>
      </w:tr>
      <w:tr w:rsidR="00152D95" w:rsidRPr="007D7C78" w14:paraId="07B5518D" w14:textId="77777777" w:rsidTr="00653F28">
        <w:tc>
          <w:tcPr>
            <w:tcW w:w="1392" w:type="dxa"/>
          </w:tcPr>
          <w:p w14:paraId="105C1F0D" w14:textId="77777777" w:rsidR="00152D95" w:rsidRPr="007D7C78" w:rsidRDefault="00152D95" w:rsidP="00653F28">
            <w:pPr>
              <w:rPr>
                <w:rFonts w:cs="Times New Roman"/>
                <w:sz w:val="24"/>
                <w:szCs w:val="24"/>
              </w:rPr>
            </w:pPr>
            <w:r w:rsidRPr="007D7C78">
              <w:rPr>
                <w:rFonts w:cs="Times New Roman"/>
                <w:sz w:val="24"/>
                <w:szCs w:val="24"/>
              </w:rPr>
              <w:t xml:space="preserve">Canberra </w:t>
            </w:r>
          </w:p>
        </w:tc>
        <w:tc>
          <w:tcPr>
            <w:tcW w:w="1870" w:type="dxa"/>
          </w:tcPr>
          <w:p w14:paraId="391FF0FE" w14:textId="77777777" w:rsidR="00152D95" w:rsidRPr="007D7C78" w:rsidRDefault="00152D95" w:rsidP="00653F28">
            <w:pPr>
              <w:rPr>
                <w:rFonts w:cs="Times New Roman"/>
                <w:sz w:val="24"/>
                <w:szCs w:val="24"/>
              </w:rPr>
            </w:pPr>
            <w:r w:rsidRPr="007D7C78">
              <w:rPr>
                <w:rFonts w:cs="Times New Roman"/>
                <w:sz w:val="24"/>
                <w:szCs w:val="24"/>
              </w:rPr>
              <w:t>GA</w:t>
            </w:r>
          </w:p>
        </w:tc>
        <w:tc>
          <w:tcPr>
            <w:tcW w:w="5805" w:type="dxa"/>
          </w:tcPr>
          <w:p w14:paraId="196D0DC1" w14:textId="77777777" w:rsidR="00152D95" w:rsidRPr="007D7C78" w:rsidRDefault="00152D95" w:rsidP="00653F28">
            <w:pPr>
              <w:ind w:right="284"/>
              <w:jc w:val="both"/>
              <w:rPr>
                <w:rFonts w:cs="Times New Roman"/>
                <w:bCs/>
                <w:color w:val="000000"/>
                <w:sz w:val="24"/>
                <w:szCs w:val="24"/>
                <w:lang w:eastAsia="en-AU"/>
              </w:rPr>
            </w:pPr>
            <w:r w:rsidRPr="007D7C78">
              <w:rPr>
                <w:sz w:val="24"/>
                <w:szCs w:val="24"/>
              </w:rPr>
              <w:t xml:space="preserve">Dr Trevor Dhu, ex-Head of AIFDR Risk and Vulnerability </w:t>
            </w:r>
          </w:p>
        </w:tc>
      </w:tr>
    </w:tbl>
    <w:p w14:paraId="6804F813" w14:textId="77777777" w:rsidR="006C5C0C" w:rsidRDefault="006C5C0C" w:rsidP="00522D4D"/>
    <w:p w14:paraId="33F4804D" w14:textId="4EBA263A" w:rsidR="00684184" w:rsidRDefault="00684184">
      <w:pPr>
        <w:rPr>
          <w:b/>
          <w:sz w:val="24"/>
          <w:szCs w:val="24"/>
        </w:rPr>
      </w:pPr>
    </w:p>
    <w:p w14:paraId="0C9E9811" w14:textId="56596D5D" w:rsidR="00684184" w:rsidRPr="00F25E59" w:rsidRDefault="00684184" w:rsidP="00F25E59">
      <w:pPr>
        <w:pStyle w:val="Heading1"/>
      </w:pPr>
      <w:bookmarkStart w:id="23" w:name="_Toc402431262"/>
      <w:r w:rsidRPr="00F25E59">
        <w:t>Annex</w:t>
      </w:r>
      <w:r w:rsidR="00522D4D" w:rsidRPr="00F25E59">
        <w:t xml:space="preserve"> </w:t>
      </w:r>
      <w:r w:rsidR="00395514">
        <w:t>4</w:t>
      </w:r>
      <w:r w:rsidRPr="00F25E59">
        <w:t>: List of Documents Reviewed</w:t>
      </w:r>
      <w:bookmarkEnd w:id="23"/>
      <w:r w:rsidRPr="00F25E59">
        <w:t xml:space="preserve"> </w:t>
      </w:r>
    </w:p>
    <w:p w14:paraId="4DCC066A" w14:textId="134079D2" w:rsidR="006D6FAE" w:rsidRPr="006D6FAE" w:rsidRDefault="006D6FAE" w:rsidP="006D6FAE">
      <w:pPr>
        <w:spacing w:after="200" w:line="276" w:lineRule="auto"/>
        <w:jc w:val="center"/>
        <w:rPr>
          <w:b/>
          <w:sz w:val="24"/>
          <w:szCs w:val="24"/>
        </w:rPr>
      </w:pPr>
    </w:p>
    <w:tbl>
      <w:tblPr>
        <w:tblStyle w:val="TableGrid2"/>
        <w:tblW w:w="10348" w:type="dxa"/>
        <w:tblInd w:w="-572" w:type="dxa"/>
        <w:tblLayout w:type="fixed"/>
        <w:tblLook w:val="04A0" w:firstRow="1" w:lastRow="0" w:firstColumn="1" w:lastColumn="0" w:noHBand="0" w:noVBand="1"/>
      </w:tblPr>
      <w:tblGrid>
        <w:gridCol w:w="851"/>
        <w:gridCol w:w="1417"/>
        <w:gridCol w:w="8080"/>
      </w:tblGrid>
      <w:tr w:rsidR="006D6FAE" w:rsidRPr="006D6FAE" w14:paraId="6D199426" w14:textId="77777777" w:rsidTr="008A4760">
        <w:trPr>
          <w:cantSplit/>
          <w:trHeight w:val="1134"/>
        </w:trPr>
        <w:tc>
          <w:tcPr>
            <w:tcW w:w="851" w:type="dxa"/>
            <w:shd w:val="clear" w:color="auto" w:fill="D9D9D9" w:themeFill="background1" w:themeFillShade="D9"/>
            <w:textDirection w:val="btLr"/>
          </w:tcPr>
          <w:p w14:paraId="271EFAE8" w14:textId="77777777" w:rsidR="006D6FAE" w:rsidRPr="001B558B" w:rsidRDefault="006D6FAE" w:rsidP="006E248F">
            <w:pPr>
              <w:spacing w:after="200" w:line="276" w:lineRule="auto"/>
              <w:ind w:left="113" w:right="113"/>
              <w:jc w:val="center"/>
              <w:rPr>
                <w:b/>
                <w:sz w:val="24"/>
                <w:szCs w:val="24"/>
              </w:rPr>
            </w:pPr>
            <w:r w:rsidRPr="001B558B">
              <w:rPr>
                <w:b/>
                <w:sz w:val="24"/>
                <w:szCs w:val="24"/>
              </w:rPr>
              <w:t>DFAT Policy</w:t>
            </w:r>
          </w:p>
        </w:tc>
        <w:tc>
          <w:tcPr>
            <w:tcW w:w="1417" w:type="dxa"/>
          </w:tcPr>
          <w:p w14:paraId="6A8C6D6C" w14:textId="77777777" w:rsidR="006D6FAE" w:rsidRPr="006D6FAE" w:rsidRDefault="006D6FAE" w:rsidP="006D6FAE">
            <w:pPr>
              <w:spacing w:after="200" w:line="276" w:lineRule="auto"/>
              <w:rPr>
                <w:b/>
              </w:rPr>
            </w:pPr>
            <w:r w:rsidRPr="006D6FAE">
              <w:rPr>
                <w:b/>
              </w:rPr>
              <w:t>Australian Aid Policy</w:t>
            </w:r>
          </w:p>
        </w:tc>
        <w:tc>
          <w:tcPr>
            <w:tcW w:w="8080" w:type="dxa"/>
          </w:tcPr>
          <w:p w14:paraId="284EAB97" w14:textId="77777777" w:rsidR="006D6FAE" w:rsidRPr="006D6FAE" w:rsidRDefault="006D6FAE" w:rsidP="006D6FAE">
            <w:pPr>
              <w:spacing w:after="200" w:line="276" w:lineRule="auto"/>
            </w:pPr>
            <w:r w:rsidRPr="006D6FAE">
              <w:t xml:space="preserve">Commonwealth of Australia, DFAT, </w:t>
            </w:r>
            <w:r w:rsidRPr="006D6FAE">
              <w:rPr>
                <w:i/>
              </w:rPr>
              <w:t xml:space="preserve">Australian aid: promoting prosperity, reducing poverty, enhancing stability, June 2014. </w:t>
            </w:r>
          </w:p>
        </w:tc>
      </w:tr>
      <w:tr w:rsidR="006D6FAE" w:rsidRPr="006D6FAE" w14:paraId="3DAE1F33" w14:textId="77777777" w:rsidTr="008A4760">
        <w:tc>
          <w:tcPr>
            <w:tcW w:w="851" w:type="dxa"/>
            <w:vMerge w:val="restart"/>
            <w:shd w:val="clear" w:color="auto" w:fill="D9D9D9" w:themeFill="background1" w:themeFillShade="D9"/>
            <w:textDirection w:val="btLr"/>
          </w:tcPr>
          <w:p w14:paraId="09555CE9" w14:textId="77777777" w:rsidR="006D6FAE" w:rsidRPr="006E248F" w:rsidRDefault="006D6FAE" w:rsidP="006E248F">
            <w:pPr>
              <w:spacing w:after="200" w:line="276" w:lineRule="auto"/>
              <w:ind w:left="113" w:right="113"/>
              <w:jc w:val="center"/>
              <w:rPr>
                <w:b/>
                <w:sz w:val="24"/>
                <w:szCs w:val="24"/>
              </w:rPr>
            </w:pPr>
            <w:r w:rsidRPr="006E248F">
              <w:rPr>
                <w:b/>
                <w:sz w:val="24"/>
                <w:szCs w:val="24"/>
              </w:rPr>
              <w:t>AIFDR</w:t>
            </w:r>
          </w:p>
          <w:p w14:paraId="2ADA07B9" w14:textId="77777777" w:rsidR="006D6FAE" w:rsidRPr="006E248F" w:rsidRDefault="006D6FAE" w:rsidP="006E248F">
            <w:pPr>
              <w:spacing w:after="200" w:line="276" w:lineRule="auto"/>
              <w:ind w:left="113" w:right="113"/>
              <w:jc w:val="center"/>
              <w:rPr>
                <w:b/>
                <w:sz w:val="24"/>
                <w:szCs w:val="24"/>
              </w:rPr>
            </w:pPr>
          </w:p>
        </w:tc>
        <w:tc>
          <w:tcPr>
            <w:tcW w:w="1417" w:type="dxa"/>
          </w:tcPr>
          <w:p w14:paraId="09671D13" w14:textId="77777777" w:rsidR="006D6FAE" w:rsidRPr="006D6FAE" w:rsidRDefault="006D6FAE" w:rsidP="006D6FAE">
            <w:pPr>
              <w:spacing w:after="200" w:line="276" w:lineRule="auto"/>
              <w:rPr>
                <w:b/>
              </w:rPr>
            </w:pPr>
            <w:r w:rsidRPr="006D6FAE">
              <w:rPr>
                <w:b/>
              </w:rPr>
              <w:t>Design Documents</w:t>
            </w:r>
          </w:p>
        </w:tc>
        <w:tc>
          <w:tcPr>
            <w:tcW w:w="8080" w:type="dxa"/>
          </w:tcPr>
          <w:p w14:paraId="53D325B6" w14:textId="77777777" w:rsidR="006D6FAE" w:rsidRPr="006D6FAE" w:rsidRDefault="006D6FAE" w:rsidP="006D6FAE">
            <w:pPr>
              <w:spacing w:after="200" w:line="276" w:lineRule="auto"/>
            </w:pPr>
            <w:r w:rsidRPr="006D6FAE">
              <w:t>AIFDR Design (2009) (Phase 1 Design)</w:t>
            </w:r>
          </w:p>
          <w:p w14:paraId="665A9FB7" w14:textId="77777777" w:rsidR="006D6FAE" w:rsidRPr="006D6FAE" w:rsidRDefault="006D6FAE" w:rsidP="006D6FAE">
            <w:pPr>
              <w:spacing w:after="200" w:line="276" w:lineRule="auto"/>
            </w:pPr>
            <w:r w:rsidRPr="006D6FAE">
              <w:t>AIFDR Design (2013/4) (Phase 2 Design): Volume 1 Program Design Document, and Volume 2 Annexes</w:t>
            </w:r>
          </w:p>
        </w:tc>
      </w:tr>
      <w:tr w:rsidR="006D6FAE" w:rsidRPr="006D6FAE" w14:paraId="2CA9BE5B" w14:textId="77777777" w:rsidTr="008A4760">
        <w:tc>
          <w:tcPr>
            <w:tcW w:w="851" w:type="dxa"/>
            <w:vMerge/>
            <w:shd w:val="clear" w:color="auto" w:fill="D9D9D9" w:themeFill="background1" w:themeFillShade="D9"/>
            <w:textDirection w:val="btLr"/>
          </w:tcPr>
          <w:p w14:paraId="5BEFBAB2" w14:textId="77777777" w:rsidR="006D6FAE" w:rsidRPr="006E248F" w:rsidRDefault="006D6FAE" w:rsidP="006E248F">
            <w:pPr>
              <w:spacing w:after="200" w:line="276" w:lineRule="auto"/>
              <w:ind w:left="113" w:right="113"/>
              <w:jc w:val="center"/>
              <w:rPr>
                <w:b/>
                <w:sz w:val="24"/>
                <w:szCs w:val="24"/>
              </w:rPr>
            </w:pPr>
          </w:p>
        </w:tc>
        <w:tc>
          <w:tcPr>
            <w:tcW w:w="1417" w:type="dxa"/>
          </w:tcPr>
          <w:p w14:paraId="16DA3055" w14:textId="77777777" w:rsidR="006D6FAE" w:rsidRPr="006D6FAE" w:rsidRDefault="006D6FAE" w:rsidP="006D6FAE">
            <w:pPr>
              <w:spacing w:after="200" w:line="276" w:lineRule="auto"/>
              <w:rPr>
                <w:b/>
              </w:rPr>
            </w:pPr>
            <w:r w:rsidRPr="006D6FAE">
              <w:rPr>
                <w:b/>
              </w:rPr>
              <w:t>Facility Level Strategy &amp; Review Documents</w:t>
            </w:r>
          </w:p>
        </w:tc>
        <w:tc>
          <w:tcPr>
            <w:tcW w:w="8080" w:type="dxa"/>
          </w:tcPr>
          <w:p w14:paraId="4B7CF569" w14:textId="77777777" w:rsidR="006D6FAE" w:rsidRPr="006D6FAE" w:rsidRDefault="006D6FAE" w:rsidP="006D6FAE">
            <w:pPr>
              <w:spacing w:after="200" w:line="276" w:lineRule="auto"/>
            </w:pPr>
            <w:r w:rsidRPr="006D6FAE">
              <w:t>AIFDR Independent Progress Review (AIFDR Mid-Term Evaluation) (10 September 2011)</w:t>
            </w:r>
          </w:p>
          <w:p w14:paraId="13DF9065" w14:textId="77777777" w:rsidR="006D6FAE" w:rsidRPr="006D6FAE" w:rsidRDefault="006D6FAE" w:rsidP="006D6FAE">
            <w:pPr>
              <w:spacing w:after="200" w:line="276" w:lineRule="auto"/>
            </w:pPr>
            <w:r w:rsidRPr="006D6FAE">
              <w:t>AusAID/AIFDR Management Response to AIFDR Mid-Term Evaluation (2011)</w:t>
            </w:r>
          </w:p>
          <w:p w14:paraId="02B31E9A" w14:textId="77777777" w:rsidR="006D6FAE" w:rsidRPr="006D6FAE" w:rsidRDefault="006D6FAE" w:rsidP="006D6FAE">
            <w:pPr>
              <w:spacing w:after="200" w:line="276" w:lineRule="auto"/>
            </w:pPr>
            <w:r w:rsidRPr="006D6FAE">
              <w:t xml:space="preserve">Development Strategy: AIFDR </w:t>
            </w:r>
            <w:r w:rsidRPr="006D6FAE">
              <w:rPr>
                <w:i/>
              </w:rPr>
              <w:t xml:space="preserve">‘Enhancing Disaster Management Capacity in 5 Indonesian Provinces: NTT, South Sulawesi, East Java, West Java and West Sumatra’ </w:t>
            </w:r>
            <w:r w:rsidRPr="006D6FAE">
              <w:t>(Draft)</w:t>
            </w:r>
          </w:p>
        </w:tc>
      </w:tr>
      <w:tr w:rsidR="006D6FAE" w:rsidRPr="006D6FAE" w14:paraId="7C001117" w14:textId="77777777" w:rsidTr="008A4760">
        <w:tc>
          <w:tcPr>
            <w:tcW w:w="851" w:type="dxa"/>
            <w:vMerge/>
            <w:shd w:val="clear" w:color="auto" w:fill="D9D9D9" w:themeFill="background1" w:themeFillShade="D9"/>
            <w:textDirection w:val="btLr"/>
          </w:tcPr>
          <w:p w14:paraId="06F87CAF" w14:textId="77777777" w:rsidR="006D6FAE" w:rsidRPr="006E248F" w:rsidRDefault="006D6FAE" w:rsidP="006E248F">
            <w:pPr>
              <w:spacing w:after="200" w:line="276" w:lineRule="auto"/>
              <w:ind w:left="113" w:right="113"/>
              <w:jc w:val="center"/>
              <w:rPr>
                <w:b/>
                <w:sz w:val="24"/>
                <w:szCs w:val="24"/>
              </w:rPr>
            </w:pPr>
          </w:p>
        </w:tc>
        <w:tc>
          <w:tcPr>
            <w:tcW w:w="1417" w:type="dxa"/>
          </w:tcPr>
          <w:p w14:paraId="05D404F8" w14:textId="77777777" w:rsidR="006D6FAE" w:rsidRPr="006D6FAE" w:rsidRDefault="006D6FAE" w:rsidP="006D6FAE">
            <w:pPr>
              <w:spacing w:after="200" w:line="276" w:lineRule="auto"/>
              <w:rPr>
                <w:b/>
              </w:rPr>
            </w:pPr>
            <w:r w:rsidRPr="006D6FAE">
              <w:rPr>
                <w:b/>
              </w:rPr>
              <w:t>AusAID/DFAT Internal Quality Documents</w:t>
            </w:r>
          </w:p>
        </w:tc>
        <w:tc>
          <w:tcPr>
            <w:tcW w:w="8080" w:type="dxa"/>
          </w:tcPr>
          <w:p w14:paraId="31CF44D5" w14:textId="77777777" w:rsidR="006D6FAE" w:rsidRPr="006D6FAE" w:rsidRDefault="006D6FAE" w:rsidP="006D6FAE">
            <w:pPr>
              <w:spacing w:after="200" w:line="276" w:lineRule="auto"/>
            </w:pPr>
            <w:r w:rsidRPr="006D6FAE">
              <w:t>Quality on Implementation Report for AIFDR (Aidworks: 11 Dec 2008 @ $21,200,000), plus Quality on Implementation Report for AIFDR (Aidworks: 11 Dec 2008 @ $32,597,364)</w:t>
            </w:r>
          </w:p>
          <w:p w14:paraId="779075B1" w14:textId="77777777" w:rsidR="006D6FAE" w:rsidRPr="006D6FAE" w:rsidRDefault="006D6FAE" w:rsidP="006D6FAE">
            <w:pPr>
              <w:spacing w:after="200" w:line="276" w:lineRule="auto"/>
            </w:pPr>
            <w:r w:rsidRPr="006D6FAE">
              <w:t>Quality on Implementation Report for AIFDR (Feb 2014)</w:t>
            </w:r>
          </w:p>
        </w:tc>
      </w:tr>
      <w:tr w:rsidR="006D6FAE" w:rsidRPr="006D6FAE" w14:paraId="2DF40272" w14:textId="77777777" w:rsidTr="008A4760">
        <w:tc>
          <w:tcPr>
            <w:tcW w:w="851" w:type="dxa"/>
            <w:vMerge/>
            <w:shd w:val="clear" w:color="auto" w:fill="D9D9D9" w:themeFill="background1" w:themeFillShade="D9"/>
            <w:textDirection w:val="btLr"/>
          </w:tcPr>
          <w:p w14:paraId="299CA10F" w14:textId="77777777" w:rsidR="006D6FAE" w:rsidRPr="006E248F" w:rsidRDefault="006D6FAE" w:rsidP="006E248F">
            <w:pPr>
              <w:spacing w:after="200" w:line="276" w:lineRule="auto"/>
              <w:ind w:left="113" w:right="113"/>
              <w:jc w:val="center"/>
              <w:rPr>
                <w:b/>
                <w:sz w:val="24"/>
                <w:szCs w:val="24"/>
              </w:rPr>
            </w:pPr>
          </w:p>
        </w:tc>
        <w:tc>
          <w:tcPr>
            <w:tcW w:w="1417" w:type="dxa"/>
          </w:tcPr>
          <w:p w14:paraId="78DB801B" w14:textId="77777777" w:rsidR="006D6FAE" w:rsidRPr="006D6FAE" w:rsidRDefault="006D6FAE" w:rsidP="006D6FAE">
            <w:pPr>
              <w:spacing w:after="200" w:line="276" w:lineRule="auto"/>
              <w:rPr>
                <w:b/>
              </w:rPr>
            </w:pPr>
            <w:r w:rsidRPr="006D6FAE">
              <w:rPr>
                <w:b/>
              </w:rPr>
              <w:t xml:space="preserve">Partnerships </w:t>
            </w:r>
          </w:p>
        </w:tc>
        <w:tc>
          <w:tcPr>
            <w:tcW w:w="8080" w:type="dxa"/>
          </w:tcPr>
          <w:p w14:paraId="17CE8CD7" w14:textId="77777777" w:rsidR="006D6FAE" w:rsidRPr="006D6FAE" w:rsidRDefault="006D6FAE" w:rsidP="006D6FAE">
            <w:pPr>
              <w:rPr>
                <w:u w:val="single"/>
              </w:rPr>
            </w:pPr>
            <w:r w:rsidRPr="006D6FAE">
              <w:rPr>
                <w:u w:val="single"/>
              </w:rPr>
              <w:t xml:space="preserve">United Nations: </w:t>
            </w:r>
          </w:p>
          <w:p w14:paraId="69FDBF7D" w14:textId="77777777" w:rsidR="006D6FAE" w:rsidRPr="006D6FAE" w:rsidRDefault="006D6FAE" w:rsidP="006D6FAE">
            <w:r w:rsidRPr="006D6FAE">
              <w:t>Donor Field Monitoring Questionnaire (2014) on Humanitarian Effectiveness (Completed)</w:t>
            </w:r>
          </w:p>
          <w:p w14:paraId="46A7FEC5" w14:textId="77777777" w:rsidR="006D6FAE" w:rsidRPr="006D6FAE" w:rsidRDefault="006D6FAE" w:rsidP="006D6FAE"/>
          <w:p w14:paraId="35E595AC" w14:textId="77777777" w:rsidR="006D6FAE" w:rsidRPr="006D6FAE" w:rsidRDefault="006D6FAE" w:rsidP="006D6FAE">
            <w:r w:rsidRPr="006D6FAE">
              <w:t>ODSG Field Mission to Indonesia: Mission Report (22-26 April 2013)</w:t>
            </w:r>
          </w:p>
          <w:p w14:paraId="43ABB39D" w14:textId="77777777" w:rsidR="006D6FAE" w:rsidRPr="006D6FAE" w:rsidRDefault="006D6FAE" w:rsidP="006D6FAE">
            <w:pPr>
              <w:rPr>
                <w:u w:val="single"/>
              </w:rPr>
            </w:pPr>
          </w:p>
          <w:p w14:paraId="2D16567E" w14:textId="77777777" w:rsidR="006D6FAE" w:rsidRPr="006D6FAE" w:rsidRDefault="006D6FAE" w:rsidP="006D6FAE">
            <w:pPr>
              <w:rPr>
                <w:u w:val="single"/>
              </w:rPr>
            </w:pPr>
            <w:r w:rsidRPr="006D6FAE">
              <w:rPr>
                <w:u w:val="single"/>
              </w:rPr>
              <w:t xml:space="preserve">United Nations Development Program (UNDP): </w:t>
            </w:r>
          </w:p>
          <w:p w14:paraId="4D00EC0D" w14:textId="77777777" w:rsidR="006D6FAE" w:rsidRPr="006D6FAE" w:rsidRDefault="006D6FAE" w:rsidP="006D6FAE">
            <w:r w:rsidRPr="006D6FAE">
              <w:t>UNDP Commissioned, Final Report: Capacity Assessment and Capacity Development at BNBP (date?)</w:t>
            </w:r>
          </w:p>
          <w:p w14:paraId="376C851E" w14:textId="77777777" w:rsidR="006D6FAE" w:rsidRPr="006D6FAE" w:rsidRDefault="006D6FAE" w:rsidP="006D6FAE"/>
          <w:p w14:paraId="593B93EF" w14:textId="77777777" w:rsidR="006D6FAE" w:rsidRPr="006D6FAE" w:rsidRDefault="006D6FAE" w:rsidP="006D6FAE">
            <w:r w:rsidRPr="006D6FAE">
              <w:t>UNDP, Table: Areas of Convergence for EPDRR/SCDRR2 and CDSP</w:t>
            </w:r>
          </w:p>
          <w:p w14:paraId="5DA70EF7" w14:textId="77777777" w:rsidR="006D6FAE" w:rsidRPr="006D6FAE" w:rsidRDefault="006D6FAE" w:rsidP="006D6FAE"/>
          <w:p w14:paraId="6CF5FD15" w14:textId="77777777" w:rsidR="006D6FAE" w:rsidRPr="006D6FAE" w:rsidRDefault="006D6FAE" w:rsidP="006D6FAE">
            <w:r w:rsidRPr="006D6FAE">
              <w:t>UNDP &amp; GoI, Final Report for Project ‘ Safer Communities through Disaster Risk Reduction (SC-DRR) in Development Project (25 Oct- 30 Nov 2011)</w:t>
            </w:r>
          </w:p>
          <w:p w14:paraId="33FB094A" w14:textId="77777777" w:rsidR="006D6FAE" w:rsidRPr="006D6FAE" w:rsidRDefault="006D6FAE" w:rsidP="006D6FAE"/>
          <w:p w14:paraId="40A01CB2" w14:textId="77777777" w:rsidR="006D6FAE" w:rsidRPr="006D6FAE" w:rsidRDefault="006D6FAE" w:rsidP="006D6FAE">
            <w:r w:rsidRPr="006D6FAE">
              <w:t>UNDP &amp; NDMA, ‘Enhancing Policy and Planning for Disaster Risk Reduction’ (EP-DRR): Inception Report (1 May – 30 June 2013)</w:t>
            </w:r>
          </w:p>
          <w:p w14:paraId="5979B713" w14:textId="77777777" w:rsidR="006D6FAE" w:rsidRPr="006D6FAE" w:rsidRDefault="006D6FAE" w:rsidP="006D6FAE"/>
          <w:p w14:paraId="2D7128A6" w14:textId="77777777" w:rsidR="006D6FAE" w:rsidRPr="006D6FAE" w:rsidRDefault="006D6FAE" w:rsidP="006D6FAE">
            <w:r w:rsidRPr="006D6FAE">
              <w:t>UNDP: EP-DRR: Mid-Term Review Report, Prepared for SC-DRR Phase II Project Board</w:t>
            </w:r>
          </w:p>
          <w:p w14:paraId="69312C7D" w14:textId="77777777" w:rsidR="006D6FAE" w:rsidRPr="006D6FAE" w:rsidRDefault="006D6FAE" w:rsidP="006D6FAE"/>
          <w:p w14:paraId="1E849C7E" w14:textId="77777777" w:rsidR="006D6FAE" w:rsidRPr="006D6FAE" w:rsidRDefault="006D6FAE" w:rsidP="006D6FAE">
            <w:r w:rsidRPr="006D6FAE">
              <w:t>UNDP &amp; NDMA, ‘Enhancing Policy and Planning for Disaster Risk Reduction’ (EP-DRR) Quarterly Progress Report (reporting period: 1 July – 30 Sept 2013), Nov 2013</w:t>
            </w:r>
          </w:p>
          <w:p w14:paraId="60744285" w14:textId="77777777" w:rsidR="006D6FAE" w:rsidRPr="006D6FAE" w:rsidRDefault="006D6FAE" w:rsidP="006D6FAE"/>
          <w:p w14:paraId="6728E3B9" w14:textId="77777777" w:rsidR="006D6FAE" w:rsidRPr="006D6FAE" w:rsidRDefault="006D6FAE" w:rsidP="006D6FAE">
            <w:r w:rsidRPr="006D6FAE">
              <w:t>UNDP &amp; NDMA, ‘Enhancing Policy and Planning for Disaster Risk Reduction’ (EP-DRR) Quarterly Progress Report (reporting period: 1 Oct-31 Dec 2013), Feb 2014</w:t>
            </w:r>
          </w:p>
          <w:p w14:paraId="26B51044" w14:textId="77777777" w:rsidR="006D6FAE" w:rsidRPr="006D6FAE" w:rsidRDefault="006D6FAE" w:rsidP="006D6FAE"/>
          <w:p w14:paraId="0B3DD54D" w14:textId="77777777" w:rsidR="006D6FAE" w:rsidRPr="006D6FAE" w:rsidRDefault="006D6FAE" w:rsidP="006D6FAE">
            <w:r w:rsidRPr="006D6FAE">
              <w:t>UNDP &amp; NDMA, ‘Enhancing Policy and Planning for Disaster Risk Reduction’ (EP-DRR) Quarterly Progress Report (reporting period: 1 Jan – 31 March 2014)</w:t>
            </w:r>
          </w:p>
          <w:p w14:paraId="5E2CA138" w14:textId="77777777" w:rsidR="006D6FAE" w:rsidRPr="006D6FAE" w:rsidRDefault="006D6FAE" w:rsidP="006D6FAE"/>
          <w:p w14:paraId="7131CEA9" w14:textId="77777777" w:rsidR="006D6FAE" w:rsidRPr="006D6FAE" w:rsidRDefault="006D6FAE" w:rsidP="006D6FAE">
            <w:pPr>
              <w:spacing w:line="276" w:lineRule="auto"/>
              <w:rPr>
                <w:u w:val="single"/>
              </w:rPr>
            </w:pPr>
            <w:r w:rsidRPr="006D6FAE">
              <w:rPr>
                <w:u w:val="single"/>
              </w:rPr>
              <w:t>International Organisation for Migration (IOM):</w:t>
            </w:r>
          </w:p>
          <w:p w14:paraId="1ED22A20" w14:textId="77777777" w:rsidR="006D6FAE" w:rsidRPr="006D6FAE" w:rsidRDefault="006D6FAE" w:rsidP="006D6FAE">
            <w:pPr>
              <w:spacing w:line="276" w:lineRule="auto"/>
            </w:pPr>
            <w:r w:rsidRPr="006D6FAE">
              <w:t>IOM Inception Report: Strengthening DRR Capacity and Promoting Community Resilience in West Java (report dated January 2013)</w:t>
            </w:r>
          </w:p>
          <w:p w14:paraId="7FA6C37F" w14:textId="77777777" w:rsidR="006D6FAE" w:rsidRPr="006D6FAE" w:rsidRDefault="006D6FAE" w:rsidP="006D6FAE">
            <w:pPr>
              <w:spacing w:line="276" w:lineRule="auto"/>
              <w:rPr>
                <w:u w:val="single"/>
              </w:rPr>
            </w:pPr>
          </w:p>
          <w:p w14:paraId="3BA6CFFB" w14:textId="7390114A" w:rsidR="006D6FAE" w:rsidRPr="006D6FAE" w:rsidRDefault="006D6FAE" w:rsidP="006D6FAE">
            <w:pPr>
              <w:spacing w:line="276" w:lineRule="auto"/>
            </w:pPr>
            <w:r w:rsidRPr="006D6FAE">
              <w:t xml:space="preserve">IOM Six-monthly Progress Report: Strengthening DRR Capacity and Promoting Community Resilience in West Java </w:t>
            </w:r>
            <w:r w:rsidR="000D4A2D">
              <w:t>((Report 1)</w:t>
            </w:r>
          </w:p>
          <w:p w14:paraId="098598F1" w14:textId="77777777" w:rsidR="006D6FAE" w:rsidRPr="006D6FAE" w:rsidRDefault="006D6FAE" w:rsidP="006D6FAE">
            <w:pPr>
              <w:spacing w:line="276" w:lineRule="auto"/>
            </w:pPr>
          </w:p>
          <w:p w14:paraId="65491756" w14:textId="78F430AD" w:rsidR="006D6FAE" w:rsidRPr="006D6FAE" w:rsidRDefault="006D6FAE" w:rsidP="006D6FAE">
            <w:pPr>
              <w:spacing w:line="276" w:lineRule="auto"/>
            </w:pPr>
            <w:r w:rsidRPr="006D6FAE">
              <w:t xml:space="preserve">IOM Six-monthly Progress Report: Strengthening DRR Capacity and Promoting Community Resilience in West Java </w:t>
            </w:r>
            <w:r w:rsidR="000D4A2D">
              <w:t>(Report 2)</w:t>
            </w:r>
          </w:p>
          <w:p w14:paraId="40112A84" w14:textId="77777777" w:rsidR="006D6FAE" w:rsidRPr="006D6FAE" w:rsidRDefault="006D6FAE" w:rsidP="006D6FAE">
            <w:pPr>
              <w:spacing w:line="276" w:lineRule="auto"/>
              <w:rPr>
                <w:u w:val="single"/>
              </w:rPr>
            </w:pPr>
          </w:p>
          <w:p w14:paraId="6D98CF7C" w14:textId="77777777" w:rsidR="006D6FAE" w:rsidRPr="006D6FAE" w:rsidRDefault="006D6FAE" w:rsidP="006D6FAE">
            <w:pPr>
              <w:spacing w:line="276" w:lineRule="auto"/>
              <w:rPr>
                <w:u w:val="single"/>
              </w:rPr>
            </w:pPr>
            <w:r w:rsidRPr="006D6FAE">
              <w:rPr>
                <w:u w:val="single"/>
              </w:rPr>
              <w:t>LPBI-NU:</w:t>
            </w:r>
          </w:p>
          <w:p w14:paraId="1A5CB778" w14:textId="77777777" w:rsidR="006D6FAE" w:rsidRPr="006D6FAE" w:rsidRDefault="006D6FAE" w:rsidP="006D6FAE">
            <w:pPr>
              <w:spacing w:line="276" w:lineRule="auto"/>
            </w:pPr>
            <w:r w:rsidRPr="006D6FAE">
              <w:t>Mid Term Review Report of Project ‘Advocacy in Disaster Management Institutions in Eight Regencies (Kabupaten) in East Java’ (2012)</w:t>
            </w:r>
          </w:p>
          <w:p w14:paraId="71F72DF7" w14:textId="77777777" w:rsidR="006D6FAE" w:rsidRPr="006D6FAE" w:rsidRDefault="006D6FAE" w:rsidP="006D6FAE">
            <w:pPr>
              <w:spacing w:line="276" w:lineRule="auto"/>
              <w:rPr>
                <w:u w:val="single"/>
              </w:rPr>
            </w:pPr>
          </w:p>
          <w:p w14:paraId="32AB3F7D" w14:textId="77777777" w:rsidR="006D6FAE" w:rsidRPr="006D6FAE" w:rsidRDefault="006D6FAE" w:rsidP="006D6FAE">
            <w:pPr>
              <w:spacing w:line="276" w:lineRule="auto"/>
              <w:rPr>
                <w:u w:val="single"/>
              </w:rPr>
            </w:pPr>
            <w:r w:rsidRPr="006D6FAE">
              <w:rPr>
                <w:u w:val="single"/>
              </w:rPr>
              <w:t xml:space="preserve">Oxfam: </w:t>
            </w:r>
          </w:p>
          <w:p w14:paraId="6EAF6178" w14:textId="77777777" w:rsidR="006D6FAE" w:rsidRPr="006D6FAE" w:rsidRDefault="006D6FAE" w:rsidP="006D6FAE">
            <w:pPr>
              <w:spacing w:line="276" w:lineRule="auto"/>
            </w:pPr>
            <w:r w:rsidRPr="006D6FAE">
              <w:t>Final Evaluation of Project “Building and Deepening Resilience in Eastern Indonesia” (2014)</w:t>
            </w:r>
          </w:p>
          <w:p w14:paraId="593B283C" w14:textId="77777777" w:rsidR="006D6FAE" w:rsidRPr="006D6FAE" w:rsidRDefault="006D6FAE" w:rsidP="006D6FAE">
            <w:pPr>
              <w:spacing w:line="276" w:lineRule="auto"/>
            </w:pPr>
          </w:p>
          <w:p w14:paraId="4D837883" w14:textId="77777777" w:rsidR="006D6FAE" w:rsidRPr="006D6FAE" w:rsidRDefault="006D6FAE" w:rsidP="006D6FAE">
            <w:pPr>
              <w:spacing w:line="276" w:lineRule="auto"/>
              <w:rPr>
                <w:u w:val="single"/>
              </w:rPr>
            </w:pPr>
            <w:r w:rsidRPr="006D6FAE">
              <w:rPr>
                <w:u w:val="single"/>
              </w:rPr>
              <w:t xml:space="preserve">AIFDR/Independent Evaluations: </w:t>
            </w:r>
          </w:p>
          <w:p w14:paraId="47B316F3" w14:textId="77777777" w:rsidR="006D6FAE" w:rsidRPr="006D6FAE" w:rsidRDefault="006D6FAE" w:rsidP="006D6FAE">
            <w:pPr>
              <w:spacing w:line="276" w:lineRule="auto"/>
            </w:pPr>
            <w:r w:rsidRPr="006D6FAE">
              <w:t>AIFDR “Build Back Better Campaign” Final Evaluation Report (March 2011/Guy Janssen and Donna Holden)</w:t>
            </w:r>
          </w:p>
          <w:p w14:paraId="3C844E8E" w14:textId="77777777" w:rsidR="006D6FAE" w:rsidRPr="006D6FAE" w:rsidRDefault="006D6FAE" w:rsidP="006D6FAE">
            <w:pPr>
              <w:spacing w:line="276" w:lineRule="auto"/>
            </w:pPr>
          </w:p>
          <w:p w14:paraId="3AC6751A" w14:textId="77777777" w:rsidR="006D6FAE" w:rsidRPr="006D6FAE" w:rsidRDefault="006D6FAE" w:rsidP="006D6FAE">
            <w:pPr>
              <w:spacing w:line="276" w:lineRule="auto"/>
              <w:rPr>
                <w:u w:val="single"/>
              </w:rPr>
            </w:pPr>
            <w:r w:rsidRPr="006D6FAE">
              <w:rPr>
                <w:u w:val="single"/>
              </w:rPr>
              <w:t>Mercy Corps</w:t>
            </w:r>
          </w:p>
          <w:p w14:paraId="6A874647" w14:textId="77777777" w:rsidR="006D6FAE" w:rsidRPr="006D6FAE" w:rsidRDefault="006D6FAE" w:rsidP="006D6FAE">
            <w:pPr>
              <w:spacing w:line="276" w:lineRule="auto"/>
            </w:pPr>
            <w:r w:rsidRPr="006D6FAE">
              <w:t>RAGAM Evaluation Plan for Final Review of Project ‘A Pilot for Earthquake Safe Reconstruction in West Sumatra’ (project implemented by Mercy Corps/evaluation commissioned by AIFDR)</w:t>
            </w:r>
          </w:p>
          <w:p w14:paraId="629FF7D8" w14:textId="77777777" w:rsidR="006D6FAE" w:rsidRPr="006D6FAE" w:rsidRDefault="006D6FAE" w:rsidP="006D6FAE">
            <w:pPr>
              <w:spacing w:after="200" w:line="276" w:lineRule="auto"/>
            </w:pPr>
          </w:p>
        </w:tc>
      </w:tr>
      <w:tr w:rsidR="006D6FAE" w:rsidRPr="006D6FAE" w14:paraId="0A85C446" w14:textId="77777777" w:rsidTr="008A4760">
        <w:tc>
          <w:tcPr>
            <w:tcW w:w="851" w:type="dxa"/>
            <w:vMerge/>
            <w:shd w:val="clear" w:color="auto" w:fill="D9D9D9" w:themeFill="background1" w:themeFillShade="D9"/>
            <w:textDirection w:val="btLr"/>
          </w:tcPr>
          <w:p w14:paraId="050E9540" w14:textId="77777777" w:rsidR="006D6FAE" w:rsidRPr="006E248F" w:rsidRDefault="006D6FAE" w:rsidP="006E248F">
            <w:pPr>
              <w:spacing w:after="200" w:line="276" w:lineRule="auto"/>
              <w:ind w:left="113" w:right="113"/>
              <w:jc w:val="center"/>
              <w:rPr>
                <w:b/>
                <w:sz w:val="24"/>
                <w:szCs w:val="24"/>
              </w:rPr>
            </w:pPr>
          </w:p>
        </w:tc>
        <w:tc>
          <w:tcPr>
            <w:tcW w:w="1417" w:type="dxa"/>
          </w:tcPr>
          <w:p w14:paraId="1B8076D1" w14:textId="77777777" w:rsidR="006D6FAE" w:rsidRPr="006D6FAE" w:rsidRDefault="006D6FAE" w:rsidP="006D6FAE">
            <w:pPr>
              <w:spacing w:after="200" w:line="276" w:lineRule="auto"/>
              <w:rPr>
                <w:b/>
              </w:rPr>
            </w:pPr>
            <w:r w:rsidRPr="006D6FAE">
              <w:rPr>
                <w:b/>
              </w:rPr>
              <w:t>Research &amp; Innovation Grant Projects</w:t>
            </w:r>
          </w:p>
        </w:tc>
        <w:tc>
          <w:tcPr>
            <w:tcW w:w="8080" w:type="dxa"/>
          </w:tcPr>
          <w:p w14:paraId="2A5AFD1B" w14:textId="77777777" w:rsidR="006D6FAE" w:rsidRPr="006D6FAE" w:rsidRDefault="006D6FAE" w:rsidP="006D6FAE">
            <w:pPr>
              <w:spacing w:after="200" w:line="276" w:lineRule="auto"/>
            </w:pPr>
            <w:r w:rsidRPr="006D6FAE">
              <w:t>Completion Report on World Relief Project: ‘Reducing Risk of Disasters in 15 Indonesian Villages through Community Based Disaster Mitigation and Preparedness (DMP) Planning’</w:t>
            </w:r>
          </w:p>
          <w:p w14:paraId="7FACABBA" w14:textId="77777777" w:rsidR="006D6FAE" w:rsidRPr="006D6FAE" w:rsidRDefault="006D6FAE" w:rsidP="006D6FAE">
            <w:pPr>
              <w:spacing w:after="200" w:line="276" w:lineRule="auto"/>
            </w:pPr>
            <w:r w:rsidRPr="006D6FAE">
              <w:t>Completion Report on Daya Annisa (local NGO) Project: ‘Integration of BBDRR into Sustainable Livelihoods Program’ (post-earthquake/focus on Bawuran &amp; Seloharjo Villages in Bantul-Jokjakarta)</w:t>
            </w:r>
          </w:p>
          <w:p w14:paraId="1E45043F" w14:textId="77777777" w:rsidR="006D6FAE" w:rsidRPr="006D6FAE" w:rsidRDefault="006D6FAE" w:rsidP="006D6FAE">
            <w:pPr>
              <w:spacing w:after="200" w:line="276" w:lineRule="auto"/>
            </w:pPr>
            <w:r w:rsidRPr="006D6FAE">
              <w:t>Completion Report on Arbeiter-Samariter-Bund (ASB) Project aimed at increasing resilience among children with a disability in DRR (project objective: to empower and establish active participation of women cadres in community-focused DRR in 14 villages in Ciamis, West Java).</w:t>
            </w:r>
          </w:p>
          <w:p w14:paraId="58C09A29" w14:textId="77777777" w:rsidR="006D6FAE" w:rsidRPr="006D6FAE" w:rsidRDefault="006D6FAE" w:rsidP="006D6FAE">
            <w:pPr>
              <w:spacing w:after="200" w:line="276" w:lineRule="auto"/>
            </w:pPr>
            <w:r w:rsidRPr="006D6FAE">
              <w:t xml:space="preserve">Completion Report on DELSOS (local NGO) Project: ‘Supporting Families to Save Mothers and Children’ in Fores Timur/district in Flores Island/East Nusa Tenggara Province </w:t>
            </w:r>
          </w:p>
          <w:p w14:paraId="6FE6F65A" w14:textId="77777777" w:rsidR="006D6FAE" w:rsidRPr="006D6FAE" w:rsidRDefault="006D6FAE" w:rsidP="006D6FAE">
            <w:pPr>
              <w:spacing w:after="200" w:line="276" w:lineRule="auto"/>
            </w:pPr>
            <w:r w:rsidRPr="006D6FAE">
              <w:t>Completion Report on University of Gajah Mada funded research on the ‘Impacts of Mount Merapi eruption on the local community taking into consideration cultural and anthropological conditions’</w:t>
            </w:r>
          </w:p>
        </w:tc>
      </w:tr>
      <w:tr w:rsidR="006D6FAE" w:rsidRPr="006D6FAE" w14:paraId="0824F3A9" w14:textId="77777777" w:rsidTr="008A4760">
        <w:tc>
          <w:tcPr>
            <w:tcW w:w="851" w:type="dxa"/>
            <w:vMerge/>
            <w:shd w:val="clear" w:color="auto" w:fill="D9D9D9" w:themeFill="background1" w:themeFillShade="D9"/>
            <w:textDirection w:val="btLr"/>
          </w:tcPr>
          <w:p w14:paraId="48C7625C" w14:textId="77777777" w:rsidR="006D6FAE" w:rsidRPr="006E248F" w:rsidRDefault="006D6FAE" w:rsidP="006E248F">
            <w:pPr>
              <w:spacing w:after="200" w:line="276" w:lineRule="auto"/>
              <w:ind w:left="113" w:right="113"/>
              <w:jc w:val="center"/>
              <w:rPr>
                <w:b/>
                <w:sz w:val="24"/>
                <w:szCs w:val="24"/>
              </w:rPr>
            </w:pPr>
          </w:p>
        </w:tc>
        <w:tc>
          <w:tcPr>
            <w:tcW w:w="1417" w:type="dxa"/>
          </w:tcPr>
          <w:p w14:paraId="24152E5A" w14:textId="77777777" w:rsidR="006D6FAE" w:rsidRPr="006D6FAE" w:rsidRDefault="006D6FAE" w:rsidP="006D6FAE">
            <w:pPr>
              <w:spacing w:after="200" w:line="276" w:lineRule="auto"/>
              <w:rPr>
                <w:b/>
              </w:rPr>
            </w:pPr>
            <w:r w:rsidRPr="006D6FAE">
              <w:rPr>
                <w:b/>
              </w:rPr>
              <w:t>Risk &amp; Vulnerability</w:t>
            </w:r>
          </w:p>
        </w:tc>
        <w:tc>
          <w:tcPr>
            <w:tcW w:w="8080" w:type="dxa"/>
          </w:tcPr>
          <w:p w14:paraId="5B9FFEBF" w14:textId="77777777" w:rsidR="006D6FAE" w:rsidRPr="006D6FAE" w:rsidRDefault="006D6FAE" w:rsidP="006D6FAE">
            <w:pPr>
              <w:spacing w:after="200" w:line="276" w:lineRule="auto"/>
            </w:pPr>
            <w:r w:rsidRPr="006D6FAE">
              <w:t xml:space="preserve">Pamphlet: ‘What is InaSAFE’ </w:t>
            </w:r>
          </w:p>
          <w:p w14:paraId="23FCCD3D" w14:textId="77777777" w:rsidR="006D6FAE" w:rsidRPr="006D6FAE" w:rsidRDefault="006D6FAE" w:rsidP="006D6FAE">
            <w:pPr>
              <w:spacing w:after="200" w:line="276" w:lineRule="auto"/>
            </w:pPr>
            <w:r w:rsidRPr="006D6FAE">
              <w:t xml:space="preserve">Jakarta Post Media Clip Volcano </w:t>
            </w:r>
          </w:p>
          <w:p w14:paraId="345A6D8F" w14:textId="77777777" w:rsidR="006D6FAE" w:rsidRPr="006D6FAE" w:rsidRDefault="006D6FAE" w:rsidP="006D6FAE">
            <w:pPr>
              <w:spacing w:after="200" w:line="276" w:lineRule="auto"/>
            </w:pPr>
            <w:r w:rsidRPr="006D6FAE">
              <w:t xml:space="preserve">5 MOU Agreement Between Indonesia’s BNBP and Science Agencies: Cooperation Advancement and Research in Earthquake Disaster Risk Mitigation </w:t>
            </w:r>
          </w:p>
          <w:p w14:paraId="0C29DCF8" w14:textId="77777777" w:rsidR="006D6FAE" w:rsidRPr="006D6FAE" w:rsidRDefault="006D6FAE" w:rsidP="006D6FAE">
            <w:pPr>
              <w:spacing w:after="200" w:line="276" w:lineRule="auto"/>
            </w:pPr>
            <w:r w:rsidRPr="006D6FAE">
              <w:t>Final report on ‘Earthquake Damage Model for Building in Indonesia’ (Research conducted by ITB and Geoscience Australia/funded by AIFDR)</w:t>
            </w:r>
          </w:p>
          <w:p w14:paraId="3D0EDDA7" w14:textId="77777777" w:rsidR="006D6FAE" w:rsidRPr="006D6FAE" w:rsidRDefault="006D6FAE" w:rsidP="006D6FAE">
            <w:pPr>
              <w:spacing w:after="200" w:line="276" w:lineRule="auto"/>
            </w:pPr>
            <w:r w:rsidRPr="006D6FAE">
              <w:t>AIFDR/Geoscience Australia (Dr Phil Cummins), ‘Development of Earthquake Hazard Information in Indonesia’ (Annual Progress Report for 2010 – 2011)</w:t>
            </w:r>
          </w:p>
          <w:p w14:paraId="7E5A150C" w14:textId="77777777" w:rsidR="006D6FAE" w:rsidRPr="006D6FAE" w:rsidRDefault="006D6FAE" w:rsidP="006D6FAE">
            <w:pPr>
              <w:spacing w:after="200" w:line="276" w:lineRule="auto"/>
            </w:pPr>
            <w:r w:rsidRPr="006D6FAE">
              <w:t>AIFDR/Independent Progress Review of the Indonesian Earthquake Hazard Project, 5 November 2012</w:t>
            </w:r>
          </w:p>
          <w:p w14:paraId="60E67534" w14:textId="77777777" w:rsidR="006D6FAE" w:rsidRPr="006D6FAE" w:rsidRDefault="006D6FAE" w:rsidP="006D6FAE">
            <w:pPr>
              <w:spacing w:after="200" w:line="276" w:lineRule="auto"/>
            </w:pPr>
            <w:r w:rsidRPr="006D6FAE">
              <w:t>Completion Report, ‘Further Development and Implementation of Volcanic Ash Modelling in Indonesia’ (Adele Bear-Crozier, Geoscience Australia)</w:t>
            </w:r>
          </w:p>
          <w:p w14:paraId="042B31DF" w14:textId="77777777" w:rsidR="006D6FAE" w:rsidRPr="006D6FAE" w:rsidRDefault="006D6FAE" w:rsidP="006D6FAE">
            <w:pPr>
              <w:spacing w:after="200" w:line="276" w:lineRule="auto"/>
            </w:pPr>
            <w:r w:rsidRPr="006D6FAE">
              <w:t>Annual Project Report 2011-2012 ‘ Developing Better Information for Tsunami Preparedness (AusAID and Geoscience Australia)</w:t>
            </w:r>
          </w:p>
        </w:tc>
      </w:tr>
      <w:tr w:rsidR="006D6FAE" w:rsidRPr="006D6FAE" w14:paraId="23FA4088" w14:textId="77777777" w:rsidTr="008A4760">
        <w:tc>
          <w:tcPr>
            <w:tcW w:w="851" w:type="dxa"/>
            <w:vMerge/>
            <w:shd w:val="clear" w:color="auto" w:fill="D9D9D9" w:themeFill="background1" w:themeFillShade="D9"/>
            <w:textDirection w:val="btLr"/>
          </w:tcPr>
          <w:p w14:paraId="0CA43DFD" w14:textId="77777777" w:rsidR="006D6FAE" w:rsidRPr="006E248F" w:rsidRDefault="006D6FAE" w:rsidP="006E248F">
            <w:pPr>
              <w:spacing w:after="200" w:line="276" w:lineRule="auto"/>
              <w:ind w:left="113" w:right="113"/>
              <w:jc w:val="center"/>
              <w:rPr>
                <w:b/>
                <w:sz w:val="24"/>
                <w:szCs w:val="24"/>
              </w:rPr>
            </w:pPr>
          </w:p>
        </w:tc>
        <w:tc>
          <w:tcPr>
            <w:tcW w:w="1417" w:type="dxa"/>
          </w:tcPr>
          <w:p w14:paraId="13EAD11B" w14:textId="77777777" w:rsidR="006D6FAE" w:rsidRPr="006D6FAE" w:rsidRDefault="006D6FAE" w:rsidP="006D6FAE">
            <w:pPr>
              <w:spacing w:after="200" w:line="276" w:lineRule="auto"/>
              <w:rPr>
                <w:b/>
              </w:rPr>
            </w:pPr>
            <w:r w:rsidRPr="006D6FAE">
              <w:rPr>
                <w:b/>
              </w:rPr>
              <w:t xml:space="preserve">Training &amp; Capacity Building </w:t>
            </w:r>
          </w:p>
        </w:tc>
        <w:tc>
          <w:tcPr>
            <w:tcW w:w="8080" w:type="dxa"/>
          </w:tcPr>
          <w:p w14:paraId="3264A325" w14:textId="77777777" w:rsidR="006D6FAE" w:rsidRPr="006D6FAE" w:rsidRDefault="006D6FAE" w:rsidP="006D6FAE">
            <w:pPr>
              <w:spacing w:after="200" w:line="276" w:lineRule="auto"/>
            </w:pPr>
            <w:r w:rsidRPr="006D6FAE">
              <w:t>AIFDR Commissioned, Indonesian Sub-National Disaster Management Capacity and Training Needs Analysis, (April – June 2010)</w:t>
            </w:r>
          </w:p>
          <w:p w14:paraId="59D38DF8" w14:textId="77777777" w:rsidR="006D6FAE" w:rsidRPr="006D6FAE" w:rsidRDefault="006D6FAE" w:rsidP="006D6FAE">
            <w:pPr>
              <w:spacing w:after="200" w:line="276" w:lineRule="auto"/>
            </w:pPr>
            <w:r w:rsidRPr="006D6FAE">
              <w:t>Capacity Development Support Program: Mid Term Review for BNPB and AIFDR (Draft Final Report), August 2013</w:t>
            </w:r>
          </w:p>
        </w:tc>
      </w:tr>
      <w:tr w:rsidR="006D6FAE" w:rsidRPr="006D6FAE" w14:paraId="57B55A52" w14:textId="77777777" w:rsidTr="008A4760">
        <w:tc>
          <w:tcPr>
            <w:tcW w:w="851" w:type="dxa"/>
            <w:vMerge w:val="restart"/>
            <w:shd w:val="clear" w:color="auto" w:fill="D9D9D9" w:themeFill="background1" w:themeFillShade="D9"/>
            <w:textDirection w:val="btLr"/>
          </w:tcPr>
          <w:p w14:paraId="528A684A" w14:textId="77777777" w:rsidR="006D6FAE" w:rsidRPr="006E248F" w:rsidRDefault="006D6FAE" w:rsidP="006E248F">
            <w:pPr>
              <w:spacing w:after="200" w:line="276" w:lineRule="auto"/>
              <w:ind w:left="113" w:right="113"/>
              <w:jc w:val="center"/>
              <w:rPr>
                <w:b/>
                <w:sz w:val="24"/>
                <w:szCs w:val="24"/>
              </w:rPr>
            </w:pPr>
            <w:r w:rsidRPr="006E248F">
              <w:rPr>
                <w:b/>
                <w:sz w:val="24"/>
                <w:szCs w:val="24"/>
              </w:rPr>
              <w:t>ASEAN</w:t>
            </w:r>
          </w:p>
        </w:tc>
        <w:tc>
          <w:tcPr>
            <w:tcW w:w="1417" w:type="dxa"/>
          </w:tcPr>
          <w:p w14:paraId="22CFB248" w14:textId="77777777" w:rsidR="006D6FAE" w:rsidRPr="006D6FAE" w:rsidRDefault="006D6FAE" w:rsidP="006D6FAE">
            <w:pPr>
              <w:spacing w:after="200" w:line="276" w:lineRule="auto"/>
              <w:rPr>
                <w:b/>
              </w:rPr>
            </w:pPr>
            <w:r w:rsidRPr="006D6FAE">
              <w:rPr>
                <w:b/>
              </w:rPr>
              <w:t xml:space="preserve">ASEAN </w:t>
            </w:r>
          </w:p>
        </w:tc>
        <w:tc>
          <w:tcPr>
            <w:tcW w:w="8080" w:type="dxa"/>
          </w:tcPr>
          <w:p w14:paraId="14F72E01" w14:textId="77777777" w:rsidR="006D6FAE" w:rsidRPr="006D6FAE" w:rsidRDefault="006D6FAE" w:rsidP="006D6FAE">
            <w:pPr>
              <w:spacing w:after="200" w:line="276" w:lineRule="auto"/>
            </w:pPr>
            <w:r w:rsidRPr="006D6FAE">
              <w:t xml:space="preserve">ASEAN Declaration on Enhancing Cooperation in Disaster Management </w:t>
            </w:r>
          </w:p>
          <w:p w14:paraId="69AC9887" w14:textId="77777777" w:rsidR="006D6FAE" w:rsidRPr="006D6FAE" w:rsidRDefault="006D6FAE" w:rsidP="006D6FAE">
            <w:pPr>
              <w:spacing w:after="200" w:line="276" w:lineRule="auto"/>
            </w:pPr>
            <w:r w:rsidRPr="006D6FAE">
              <w:t>Malaysian Prime Ministers Speech: The Opening Session of the National Colloquium on Malaysia’s Chairmanship of ASEAN 2015 (8 May 2014)</w:t>
            </w:r>
          </w:p>
          <w:p w14:paraId="1D646DC7" w14:textId="77777777" w:rsidR="006D6FAE" w:rsidRPr="006D6FAE" w:rsidRDefault="006D6FAE" w:rsidP="006D6FAE">
            <w:pPr>
              <w:spacing w:after="200" w:line="276" w:lineRule="auto"/>
            </w:pPr>
            <w:r w:rsidRPr="006D6FAE">
              <w:t>Report on ASEAN Capacity Building Forum on Risk Assessment: Bridging Science and Practice in Disaster Risk Management Towards Community Resilience (19-22 March 2013, Bangkok)</w:t>
            </w:r>
          </w:p>
          <w:p w14:paraId="30D43300" w14:textId="77777777" w:rsidR="006D6FAE" w:rsidRPr="006D6FAE" w:rsidRDefault="006D6FAE" w:rsidP="006D6FAE">
            <w:pPr>
              <w:spacing w:after="200" w:line="276" w:lineRule="auto"/>
            </w:pPr>
            <w:r w:rsidRPr="006D6FAE">
              <w:t>Report on ASEAN Knowledge Sharing Workshop on Mainstreaming Disaster Risk Reduction in Education (18-19 February 2011, Malacca, Malaysia)</w:t>
            </w:r>
          </w:p>
        </w:tc>
      </w:tr>
      <w:tr w:rsidR="006D6FAE" w:rsidRPr="006D6FAE" w14:paraId="34D89EAD" w14:textId="77777777" w:rsidTr="008A4760">
        <w:tc>
          <w:tcPr>
            <w:tcW w:w="851" w:type="dxa"/>
            <w:vMerge/>
            <w:shd w:val="clear" w:color="auto" w:fill="D9D9D9" w:themeFill="background1" w:themeFillShade="D9"/>
            <w:textDirection w:val="btLr"/>
          </w:tcPr>
          <w:p w14:paraId="6356D507" w14:textId="77777777" w:rsidR="006D6FAE" w:rsidRPr="006E248F" w:rsidRDefault="006D6FAE" w:rsidP="006E248F">
            <w:pPr>
              <w:spacing w:after="200" w:line="276" w:lineRule="auto"/>
              <w:ind w:left="113" w:right="113"/>
              <w:jc w:val="center"/>
              <w:rPr>
                <w:b/>
                <w:sz w:val="24"/>
                <w:szCs w:val="24"/>
              </w:rPr>
            </w:pPr>
          </w:p>
        </w:tc>
        <w:tc>
          <w:tcPr>
            <w:tcW w:w="1417" w:type="dxa"/>
          </w:tcPr>
          <w:p w14:paraId="15375433" w14:textId="77777777" w:rsidR="006D6FAE" w:rsidRPr="006D6FAE" w:rsidRDefault="006D6FAE" w:rsidP="006D6FAE">
            <w:pPr>
              <w:spacing w:after="200" w:line="276" w:lineRule="auto"/>
              <w:rPr>
                <w:b/>
              </w:rPr>
            </w:pPr>
            <w:r w:rsidRPr="006D6FAE">
              <w:rPr>
                <w:b/>
              </w:rPr>
              <w:t>AADMER</w:t>
            </w:r>
          </w:p>
        </w:tc>
        <w:tc>
          <w:tcPr>
            <w:tcW w:w="8080" w:type="dxa"/>
          </w:tcPr>
          <w:p w14:paraId="06A5D62A" w14:textId="77777777" w:rsidR="006D6FAE" w:rsidRPr="006D6FAE" w:rsidRDefault="006D6FAE" w:rsidP="006D6FAE">
            <w:pPr>
              <w:spacing w:after="200" w:line="276" w:lineRule="auto"/>
            </w:pPr>
            <w:r w:rsidRPr="006D6FAE">
              <w:t>ASEAN Strategy and Priorities for AADMER Work Programme Phase 2 (2013-2015): including Work Programme Phase 2 Strategy and all Concept Notes 1 – 21)</w:t>
            </w:r>
          </w:p>
          <w:p w14:paraId="2315AE20" w14:textId="77777777" w:rsidR="006D6FAE" w:rsidRPr="006D6FAE" w:rsidRDefault="006D6FAE" w:rsidP="006D6FAE">
            <w:pPr>
              <w:spacing w:after="200" w:line="276" w:lineRule="auto"/>
            </w:pPr>
            <w:r w:rsidRPr="006D6FAE">
              <w:t>Flagship and Priority Projects under AADMER Work Programme Phase 2 (List of Concept Notes)</w:t>
            </w:r>
          </w:p>
          <w:p w14:paraId="11C5C331" w14:textId="77777777" w:rsidR="006D6FAE" w:rsidRPr="006D6FAE" w:rsidRDefault="006D6FAE" w:rsidP="006D6FAE">
            <w:pPr>
              <w:spacing w:after="200" w:line="276" w:lineRule="auto"/>
            </w:pPr>
            <w:r w:rsidRPr="006D6FAE">
              <w:t>AADMER Work Programme – Phase 1: Accomplishment Report (Nov 2013)</w:t>
            </w:r>
          </w:p>
          <w:p w14:paraId="6ADDDFCD" w14:textId="77777777" w:rsidR="006D6FAE" w:rsidRPr="006D6FAE" w:rsidRDefault="006D6FAE" w:rsidP="006D6FAE">
            <w:pPr>
              <w:spacing w:after="200" w:line="276" w:lineRule="auto"/>
            </w:pPr>
            <w:r w:rsidRPr="006D6FAE">
              <w:t>List of Activities: Implementation of the ASEAN-Australian Cooperation for the AADMER Work Programme 2010-2015 (Produced by ASEAN Secretariat Staff)</w:t>
            </w:r>
          </w:p>
          <w:p w14:paraId="5CDFB3BB" w14:textId="77777777" w:rsidR="006D6FAE" w:rsidRPr="006D6FAE" w:rsidRDefault="006D6FAE" w:rsidP="006D6FAE">
            <w:pPr>
              <w:spacing w:after="200" w:line="276" w:lineRule="auto"/>
            </w:pPr>
            <w:r w:rsidRPr="006D6FAE">
              <w:t>Quarterly Progress Report: AIFDR Support to ASEAN and AHA Centre – Training and Knowledge Management Project (December 2012)</w:t>
            </w:r>
          </w:p>
          <w:p w14:paraId="0CFEFB4E" w14:textId="77777777" w:rsidR="006D6FAE" w:rsidRPr="006D6FAE" w:rsidRDefault="006D6FAE" w:rsidP="006D6FAE">
            <w:pPr>
              <w:spacing w:after="200" w:line="276" w:lineRule="auto"/>
            </w:pPr>
            <w:r w:rsidRPr="006D6FAE">
              <w:t>Quarterly Progress Report: AIFDR Support to ASEAN and AHA Centre – ASEAN-ERAT Project (December 2012)</w:t>
            </w:r>
          </w:p>
          <w:p w14:paraId="2CFBA82B" w14:textId="77777777" w:rsidR="006D6FAE" w:rsidRPr="006D6FAE" w:rsidRDefault="006D6FAE" w:rsidP="006D6FAE">
            <w:pPr>
              <w:spacing w:after="200" w:line="276" w:lineRule="auto"/>
            </w:pPr>
            <w:r w:rsidRPr="006D6FAE">
              <w:t>Quarterly Progress Report: AIFDR Support to ASEAN and AHA Centre –  AHA Centre Operationalization (July 2012 – November 2012)</w:t>
            </w:r>
          </w:p>
          <w:p w14:paraId="4D6F4260" w14:textId="77777777" w:rsidR="006D6FAE" w:rsidRPr="006D6FAE" w:rsidRDefault="006D6FAE" w:rsidP="006D6FAE">
            <w:pPr>
              <w:spacing w:after="200" w:line="276" w:lineRule="auto"/>
            </w:pPr>
            <w:r w:rsidRPr="006D6FAE">
              <w:t>Quarterly Progress Report: AIFDR Support to ASEAN and AHA Centre –  AHA Centre Operationalization (December 2012 – April 2013)</w:t>
            </w:r>
          </w:p>
          <w:p w14:paraId="40524507" w14:textId="77777777" w:rsidR="006D6FAE" w:rsidRPr="006D6FAE" w:rsidRDefault="006D6FAE" w:rsidP="006D6FAE">
            <w:pPr>
              <w:spacing w:after="200" w:line="276" w:lineRule="auto"/>
            </w:pPr>
            <w:r w:rsidRPr="006D6FAE">
              <w:t xml:space="preserve">Quarterly Progress Report: AIFDR Support to ASEAN and AHA Centre -  AADMER Work Programme (May 2014) </w:t>
            </w:r>
          </w:p>
          <w:p w14:paraId="2F2EE374" w14:textId="77777777" w:rsidR="006D6FAE" w:rsidRPr="006D6FAE" w:rsidRDefault="006D6FAE" w:rsidP="006D6FAE">
            <w:pPr>
              <w:spacing w:after="200" w:line="276" w:lineRule="auto"/>
            </w:pPr>
            <w:r w:rsidRPr="006D6FAE">
              <w:t>Quarterly Progress Report: AIFDR Support to ASEAN and AHA Centre – ASEAN Secretariat Capacity Building (May 2014)</w:t>
            </w:r>
          </w:p>
        </w:tc>
      </w:tr>
      <w:tr w:rsidR="006D6FAE" w:rsidRPr="006D6FAE" w14:paraId="55E32D5C" w14:textId="77777777" w:rsidTr="008A4760">
        <w:tc>
          <w:tcPr>
            <w:tcW w:w="851" w:type="dxa"/>
            <w:vMerge/>
            <w:shd w:val="clear" w:color="auto" w:fill="D9D9D9" w:themeFill="background1" w:themeFillShade="D9"/>
            <w:textDirection w:val="btLr"/>
          </w:tcPr>
          <w:p w14:paraId="754C1BE6" w14:textId="77777777" w:rsidR="006D6FAE" w:rsidRPr="006E248F" w:rsidRDefault="006D6FAE" w:rsidP="006E248F">
            <w:pPr>
              <w:spacing w:after="200" w:line="276" w:lineRule="auto"/>
              <w:ind w:left="113" w:right="113"/>
              <w:jc w:val="center"/>
              <w:rPr>
                <w:b/>
                <w:sz w:val="24"/>
                <w:szCs w:val="24"/>
              </w:rPr>
            </w:pPr>
          </w:p>
        </w:tc>
        <w:tc>
          <w:tcPr>
            <w:tcW w:w="1417" w:type="dxa"/>
          </w:tcPr>
          <w:p w14:paraId="03D74A95" w14:textId="77777777" w:rsidR="006D6FAE" w:rsidRPr="006D6FAE" w:rsidRDefault="006D6FAE" w:rsidP="006D6FAE">
            <w:pPr>
              <w:spacing w:after="200" w:line="276" w:lineRule="auto"/>
              <w:rPr>
                <w:b/>
              </w:rPr>
            </w:pPr>
            <w:r w:rsidRPr="006D6FAE">
              <w:rPr>
                <w:b/>
              </w:rPr>
              <w:t>AHA Centre</w:t>
            </w:r>
          </w:p>
        </w:tc>
        <w:tc>
          <w:tcPr>
            <w:tcW w:w="8080" w:type="dxa"/>
          </w:tcPr>
          <w:p w14:paraId="7554EBB3" w14:textId="77777777" w:rsidR="006D6FAE" w:rsidRPr="006D6FAE" w:rsidRDefault="006D6FAE" w:rsidP="006D6FAE">
            <w:pPr>
              <w:spacing w:after="200" w:line="276" w:lineRule="auto"/>
            </w:pPr>
            <w:r w:rsidRPr="006D6FAE">
              <w:t>AHA Centre, ‘Conquering the Perfect Storm: Lessons Learnt on ASEAN Response of Typhoon Haiyan’ (early draft)</w:t>
            </w:r>
          </w:p>
        </w:tc>
      </w:tr>
      <w:tr w:rsidR="006D6FAE" w:rsidRPr="006D6FAE" w14:paraId="6CA7FF49" w14:textId="77777777" w:rsidTr="008A4760">
        <w:tc>
          <w:tcPr>
            <w:tcW w:w="851" w:type="dxa"/>
            <w:vMerge w:val="restart"/>
            <w:shd w:val="clear" w:color="auto" w:fill="D9D9D9" w:themeFill="background1" w:themeFillShade="D9"/>
            <w:textDirection w:val="btLr"/>
          </w:tcPr>
          <w:p w14:paraId="074FFBAA" w14:textId="6FFAEC70" w:rsidR="006D6FAE" w:rsidRPr="006E248F" w:rsidRDefault="006D6FAE" w:rsidP="006E248F">
            <w:pPr>
              <w:spacing w:after="200" w:line="276" w:lineRule="auto"/>
              <w:ind w:left="113" w:right="113"/>
              <w:jc w:val="center"/>
              <w:rPr>
                <w:b/>
                <w:sz w:val="24"/>
                <w:szCs w:val="24"/>
              </w:rPr>
            </w:pPr>
            <w:r w:rsidRPr="006E248F">
              <w:rPr>
                <w:b/>
                <w:sz w:val="24"/>
                <w:szCs w:val="24"/>
              </w:rPr>
              <w:t>DRM REGIONAL ARRANGEMENTS</w:t>
            </w:r>
          </w:p>
        </w:tc>
        <w:tc>
          <w:tcPr>
            <w:tcW w:w="1417" w:type="dxa"/>
            <w:vMerge w:val="restart"/>
          </w:tcPr>
          <w:p w14:paraId="2276690C" w14:textId="77777777" w:rsidR="006D6FAE" w:rsidRPr="006D6FAE" w:rsidRDefault="006D6FAE" w:rsidP="006D6FAE">
            <w:pPr>
              <w:spacing w:after="200" w:line="276" w:lineRule="auto"/>
              <w:rPr>
                <w:b/>
              </w:rPr>
            </w:pPr>
          </w:p>
        </w:tc>
        <w:tc>
          <w:tcPr>
            <w:tcW w:w="8080" w:type="dxa"/>
          </w:tcPr>
          <w:p w14:paraId="33A8C55B" w14:textId="77777777" w:rsidR="006D6FAE" w:rsidRPr="006D6FAE" w:rsidRDefault="006D6FAE" w:rsidP="006D6FAE">
            <w:pPr>
              <w:spacing w:after="200" w:line="276" w:lineRule="auto"/>
            </w:pPr>
            <w:r w:rsidRPr="006D6FAE">
              <w:t xml:space="preserve">Diagram of Overlapping East Asia Pacific Communities </w:t>
            </w:r>
          </w:p>
        </w:tc>
      </w:tr>
      <w:tr w:rsidR="006D6FAE" w:rsidRPr="006D6FAE" w14:paraId="14A18E69" w14:textId="77777777" w:rsidTr="008A4760">
        <w:tc>
          <w:tcPr>
            <w:tcW w:w="851" w:type="dxa"/>
            <w:vMerge/>
          </w:tcPr>
          <w:p w14:paraId="03F97B73" w14:textId="77777777" w:rsidR="006D6FAE" w:rsidRPr="006E248F" w:rsidRDefault="006D6FAE" w:rsidP="006E248F">
            <w:pPr>
              <w:spacing w:after="200" w:line="276" w:lineRule="auto"/>
              <w:jc w:val="center"/>
              <w:rPr>
                <w:b/>
                <w:sz w:val="24"/>
                <w:szCs w:val="24"/>
              </w:rPr>
            </w:pPr>
          </w:p>
        </w:tc>
        <w:tc>
          <w:tcPr>
            <w:tcW w:w="1417" w:type="dxa"/>
            <w:vMerge/>
          </w:tcPr>
          <w:p w14:paraId="15019BDC" w14:textId="77777777" w:rsidR="006D6FAE" w:rsidRPr="006D6FAE" w:rsidRDefault="006D6FAE" w:rsidP="006D6FAE">
            <w:pPr>
              <w:spacing w:after="200" w:line="276" w:lineRule="auto"/>
              <w:rPr>
                <w:b/>
              </w:rPr>
            </w:pPr>
          </w:p>
        </w:tc>
        <w:tc>
          <w:tcPr>
            <w:tcW w:w="8080" w:type="dxa"/>
          </w:tcPr>
          <w:p w14:paraId="79C4F96C" w14:textId="77777777" w:rsidR="006D6FAE" w:rsidRPr="006D6FAE" w:rsidRDefault="006D6FAE" w:rsidP="006D6FAE">
            <w:pPr>
              <w:spacing w:after="200" w:line="276" w:lineRule="auto"/>
            </w:pPr>
            <w:r w:rsidRPr="006D6FAE">
              <w:t>AusAID Commissioned Report, ‘Disaster Management in the East Asia Summit’ (Martin Studdert; Neil Greet; Jeong Park), July 2011</w:t>
            </w:r>
          </w:p>
        </w:tc>
      </w:tr>
      <w:tr w:rsidR="006D6FAE" w:rsidRPr="006D6FAE" w14:paraId="2E0997DB" w14:textId="77777777" w:rsidTr="008A4760">
        <w:tc>
          <w:tcPr>
            <w:tcW w:w="851" w:type="dxa"/>
            <w:vMerge/>
          </w:tcPr>
          <w:p w14:paraId="14E11476" w14:textId="77777777" w:rsidR="006D6FAE" w:rsidRPr="006E248F" w:rsidRDefault="006D6FAE" w:rsidP="006E248F">
            <w:pPr>
              <w:spacing w:after="200" w:line="276" w:lineRule="auto"/>
              <w:jc w:val="center"/>
              <w:rPr>
                <w:b/>
                <w:sz w:val="24"/>
                <w:szCs w:val="24"/>
              </w:rPr>
            </w:pPr>
          </w:p>
        </w:tc>
        <w:tc>
          <w:tcPr>
            <w:tcW w:w="1417" w:type="dxa"/>
            <w:vMerge/>
          </w:tcPr>
          <w:p w14:paraId="19DA9CD4" w14:textId="77777777" w:rsidR="006D6FAE" w:rsidRPr="006D6FAE" w:rsidRDefault="006D6FAE" w:rsidP="006D6FAE">
            <w:pPr>
              <w:spacing w:after="200" w:line="276" w:lineRule="auto"/>
              <w:rPr>
                <w:b/>
              </w:rPr>
            </w:pPr>
          </w:p>
        </w:tc>
        <w:tc>
          <w:tcPr>
            <w:tcW w:w="8080" w:type="dxa"/>
          </w:tcPr>
          <w:p w14:paraId="72BF4010" w14:textId="77777777" w:rsidR="006D6FAE" w:rsidRPr="006D6FAE" w:rsidRDefault="006D6FAE" w:rsidP="006D6FAE">
            <w:pPr>
              <w:spacing w:after="200" w:line="276" w:lineRule="auto"/>
            </w:pPr>
            <w:r w:rsidRPr="006D6FAE">
              <w:t>Updated DFAT 2014-15 Regional Disaster Activities Matrix</w:t>
            </w:r>
          </w:p>
        </w:tc>
      </w:tr>
      <w:tr w:rsidR="006D6FAE" w:rsidRPr="006D6FAE" w14:paraId="5C5A13A1" w14:textId="77777777" w:rsidTr="008A4760">
        <w:tc>
          <w:tcPr>
            <w:tcW w:w="851" w:type="dxa"/>
            <w:vMerge/>
          </w:tcPr>
          <w:p w14:paraId="411371B8" w14:textId="77777777" w:rsidR="006D6FAE" w:rsidRPr="006E248F" w:rsidRDefault="006D6FAE" w:rsidP="006E248F">
            <w:pPr>
              <w:spacing w:after="200" w:line="276" w:lineRule="auto"/>
              <w:jc w:val="center"/>
              <w:rPr>
                <w:b/>
                <w:sz w:val="24"/>
                <w:szCs w:val="24"/>
              </w:rPr>
            </w:pPr>
          </w:p>
        </w:tc>
        <w:tc>
          <w:tcPr>
            <w:tcW w:w="1417" w:type="dxa"/>
          </w:tcPr>
          <w:p w14:paraId="21FE6C6C" w14:textId="77777777" w:rsidR="006D6FAE" w:rsidRPr="006D6FAE" w:rsidRDefault="006D6FAE" w:rsidP="006D6FAE">
            <w:pPr>
              <w:spacing w:after="200" w:line="276" w:lineRule="auto"/>
              <w:rPr>
                <w:b/>
              </w:rPr>
            </w:pPr>
          </w:p>
        </w:tc>
        <w:tc>
          <w:tcPr>
            <w:tcW w:w="8080" w:type="dxa"/>
          </w:tcPr>
          <w:p w14:paraId="38923723" w14:textId="77777777" w:rsidR="006D6FAE" w:rsidRPr="006D6FAE" w:rsidRDefault="006D6FAE" w:rsidP="006D6FAE">
            <w:pPr>
              <w:spacing w:after="200" w:line="276" w:lineRule="auto"/>
            </w:pPr>
            <w:r w:rsidRPr="006D6FAE">
              <w:t>Concept Paper: Multi-year Strategic Exercise Plan Workshop (concept paper outlined proposal by USA and Malaysia for an ARF workshop on creating a multi-year plan and exercise planning norms.</w:t>
            </w:r>
          </w:p>
        </w:tc>
      </w:tr>
    </w:tbl>
    <w:p w14:paraId="06AFE022" w14:textId="77777777" w:rsidR="006D6FAE" w:rsidRPr="006D6FAE" w:rsidRDefault="006D6FAE" w:rsidP="006D6FAE">
      <w:pPr>
        <w:spacing w:after="200" w:line="276" w:lineRule="auto"/>
        <w:rPr>
          <w:b/>
          <w:sz w:val="24"/>
          <w:szCs w:val="24"/>
        </w:rPr>
      </w:pPr>
    </w:p>
    <w:p w14:paraId="362B6943" w14:textId="77777777" w:rsidR="00684184" w:rsidRDefault="00684184" w:rsidP="00684184">
      <w:pPr>
        <w:rPr>
          <w:b/>
        </w:rPr>
      </w:pPr>
    </w:p>
    <w:sectPr w:rsidR="00684184" w:rsidSect="0021060C">
      <w:headerReference w:type="default" r:id="rId22"/>
      <w:footerReference w:type="defaul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9DA69" w14:textId="77777777" w:rsidR="004D3B28" w:rsidRDefault="004D3B28" w:rsidP="00EE109D">
      <w:pPr>
        <w:spacing w:after="0" w:line="240" w:lineRule="auto"/>
      </w:pPr>
      <w:r>
        <w:separator/>
      </w:r>
    </w:p>
  </w:endnote>
  <w:endnote w:type="continuationSeparator" w:id="0">
    <w:p w14:paraId="3E7DC009" w14:textId="77777777" w:rsidR="004D3B28" w:rsidRDefault="004D3B28" w:rsidP="00EE1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kzidenzGroteskBE-Regular">
    <w:panose1 w:val="00000000000000000000"/>
    <w:charset w:val="00"/>
    <w:family w:val="swiss"/>
    <w:notTrueType/>
    <w:pitch w:val="default"/>
    <w:sig w:usb0="00000003" w:usb1="00000000" w:usb2="00000000" w:usb3="00000000" w:csb0="00000001" w:csb1="00000000"/>
  </w:font>
  <w:font w:name="AkzidenzGroteskBE-Bold">
    <w:panose1 w:val="00000000000000000000"/>
    <w:charset w:val="00"/>
    <w:family w:val="swiss"/>
    <w:notTrueType/>
    <w:pitch w:val="default"/>
    <w:sig w:usb0="00000003" w:usb1="00000000" w:usb2="00000000" w:usb3="00000000" w:csb0="00000001" w:csb1="00000000"/>
  </w:font>
  <w:font w:name="AkzidenzGroteskBE-BoldI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5FDED" w14:textId="77777777" w:rsidR="00E867D0" w:rsidRDefault="00E867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883175"/>
      <w:docPartObj>
        <w:docPartGallery w:val="Page Numbers (Bottom of Page)"/>
        <w:docPartUnique/>
      </w:docPartObj>
    </w:sdtPr>
    <w:sdtEndPr>
      <w:rPr>
        <w:noProof/>
      </w:rPr>
    </w:sdtEndPr>
    <w:sdtContent>
      <w:p w14:paraId="0652C9C2" w14:textId="77777777" w:rsidR="004D3B28" w:rsidRDefault="004D3B28">
        <w:pPr>
          <w:pStyle w:val="Footer"/>
          <w:jc w:val="right"/>
        </w:pPr>
        <w:r>
          <w:fldChar w:fldCharType="begin"/>
        </w:r>
        <w:r>
          <w:instrText xml:space="preserve"> PAGE   \* MERGEFORMAT </w:instrText>
        </w:r>
        <w:r>
          <w:fldChar w:fldCharType="separate"/>
        </w:r>
        <w:r w:rsidR="00E867D0">
          <w:rPr>
            <w:noProof/>
          </w:rPr>
          <w:t>0</w:t>
        </w:r>
        <w:r>
          <w:rPr>
            <w:noProof/>
          </w:rPr>
          <w:fldChar w:fldCharType="end"/>
        </w:r>
      </w:p>
    </w:sdtContent>
  </w:sdt>
  <w:p w14:paraId="3112C8B5" w14:textId="77777777" w:rsidR="004D3B28" w:rsidRDefault="004D3B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767674"/>
      <w:docPartObj>
        <w:docPartGallery w:val="Page Numbers (Bottom of Page)"/>
        <w:docPartUnique/>
      </w:docPartObj>
    </w:sdtPr>
    <w:sdtEndPr>
      <w:rPr>
        <w:noProof/>
      </w:rPr>
    </w:sdtEndPr>
    <w:sdtContent>
      <w:p w14:paraId="0137A1BC" w14:textId="77777777" w:rsidR="004D3B28" w:rsidRDefault="004D3B28">
        <w:pPr>
          <w:pStyle w:val="Footer"/>
          <w:jc w:val="right"/>
        </w:pPr>
        <w:r>
          <w:fldChar w:fldCharType="begin"/>
        </w:r>
        <w:r>
          <w:instrText xml:space="preserve"> PAGE   \* MERGEFORMAT </w:instrText>
        </w:r>
        <w:r>
          <w:fldChar w:fldCharType="separate"/>
        </w:r>
        <w:r w:rsidR="00E867D0">
          <w:rPr>
            <w:noProof/>
          </w:rPr>
          <w:t>0</w:t>
        </w:r>
        <w:r>
          <w:rPr>
            <w:noProof/>
          </w:rPr>
          <w:fldChar w:fldCharType="end"/>
        </w:r>
      </w:p>
    </w:sdtContent>
  </w:sdt>
  <w:p w14:paraId="4E446C48" w14:textId="77777777" w:rsidR="004D3B28" w:rsidRDefault="004D3B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86F3C" w14:textId="1DE2048D" w:rsidR="004D3B28" w:rsidRPr="00067625" w:rsidRDefault="004D3B28" w:rsidP="00067625">
    <w:pPr>
      <w:pStyle w:val="Footer"/>
      <w:jc w:val="center"/>
      <w:rPr>
        <w:rFonts w:ascii="Arial" w:hAnsi="Arial" w:cs="Arial"/>
        <w:b/>
        <w:i/>
      </w:rPr>
    </w:pPr>
    <w:r w:rsidRPr="00067625">
      <w:rPr>
        <w:rFonts w:ascii="Arial" w:hAnsi="Arial" w:cs="Arial"/>
        <w:b/>
        <w:i/>
      </w:rPr>
      <w:t>Australia-Indonesia Facility for Disaster Reduction – Review of Phase 1</w:t>
    </w:r>
  </w:p>
  <w:p w14:paraId="49DCC31A" w14:textId="77777777" w:rsidR="004D3B28" w:rsidRDefault="004D3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76EAA" w14:textId="77777777" w:rsidR="004D3B28" w:rsidRDefault="004D3B28" w:rsidP="00EE109D">
      <w:pPr>
        <w:spacing w:after="0" w:line="240" w:lineRule="auto"/>
      </w:pPr>
      <w:r>
        <w:separator/>
      </w:r>
    </w:p>
  </w:footnote>
  <w:footnote w:type="continuationSeparator" w:id="0">
    <w:p w14:paraId="4F12A8B9" w14:textId="77777777" w:rsidR="004D3B28" w:rsidRDefault="004D3B28" w:rsidP="00EE109D">
      <w:pPr>
        <w:spacing w:after="0" w:line="240" w:lineRule="auto"/>
      </w:pPr>
      <w:r>
        <w:continuationSeparator/>
      </w:r>
    </w:p>
  </w:footnote>
  <w:footnote w:id="1">
    <w:p w14:paraId="3EB85654" w14:textId="277B3D20" w:rsidR="004D3B28" w:rsidRPr="00D00B8F" w:rsidRDefault="004D3B28">
      <w:pPr>
        <w:pStyle w:val="FootnoteText"/>
      </w:pPr>
      <w:r>
        <w:rPr>
          <w:rStyle w:val="FootnoteReference"/>
        </w:rPr>
        <w:footnoteRef/>
      </w:r>
      <w:r>
        <w:t xml:space="preserve"> </w:t>
      </w:r>
      <w:r w:rsidRPr="00B31B1F">
        <w:t>RPJMN 2010-2014 National Medium-Term Development Plan</w:t>
      </w:r>
    </w:p>
  </w:footnote>
  <w:footnote w:id="2">
    <w:p w14:paraId="616D3620" w14:textId="70179DB7" w:rsidR="004D3B28" w:rsidRDefault="004D3B28">
      <w:pPr>
        <w:pStyle w:val="FootnoteText"/>
      </w:pPr>
      <w:r>
        <w:rPr>
          <w:rStyle w:val="FootnoteReference"/>
        </w:rPr>
        <w:footnoteRef/>
      </w:r>
      <w:r>
        <w:t xml:space="preserve"> </w:t>
      </w:r>
      <w:r w:rsidRPr="006E248F">
        <w:rPr>
          <w:rFonts w:cs="Century"/>
          <w:i/>
        </w:rPr>
        <w:t xml:space="preserve">Hyogo Framework for Action 2005-2015 </w:t>
      </w:r>
      <w:r w:rsidRPr="006E248F">
        <w:rPr>
          <w:rFonts w:cs="Century"/>
        </w:rPr>
        <w:t>retrieved from:</w:t>
      </w:r>
      <w:r>
        <w:t xml:space="preserve"> </w:t>
      </w:r>
      <w:hyperlink r:id="rId1" w:history="1">
        <w:r w:rsidRPr="00D43F95">
          <w:rPr>
            <w:rStyle w:val="Hyperlink"/>
          </w:rPr>
          <w:t>http://www.unisdr.org/we/coordinate/hfa</w:t>
        </w:r>
      </w:hyperlink>
      <w:r>
        <w:t xml:space="preserve"> </w:t>
      </w:r>
    </w:p>
  </w:footnote>
  <w:footnote w:id="3">
    <w:p w14:paraId="72DDED9E" w14:textId="7BC51FCD" w:rsidR="004D3B28" w:rsidRDefault="004D3B28">
      <w:pPr>
        <w:pStyle w:val="FootnoteText"/>
      </w:pPr>
      <w:r>
        <w:rPr>
          <w:rStyle w:val="FootnoteReference"/>
        </w:rPr>
        <w:footnoteRef/>
      </w:r>
      <w:r>
        <w:t xml:space="preserve"> Source GFDRR Country Profile for Indonesia (2010) and GFDRR Indonesia Country Program Update (2014)</w:t>
      </w:r>
    </w:p>
  </w:footnote>
  <w:footnote w:id="4">
    <w:p w14:paraId="639966B5" w14:textId="77777777" w:rsidR="004D3B28" w:rsidRPr="00E346BB" w:rsidRDefault="004D3B28" w:rsidP="00F51CA2">
      <w:pPr>
        <w:pStyle w:val="FootnoteText"/>
      </w:pPr>
      <w:r>
        <w:rPr>
          <w:rStyle w:val="FootnoteReference"/>
        </w:rPr>
        <w:footnoteRef/>
      </w:r>
      <w:r>
        <w:t xml:space="preserve"> </w:t>
      </w:r>
      <w:r w:rsidRPr="001402D5">
        <w:rPr>
          <w:lang w:val="en"/>
        </w:rPr>
        <w:t>Source of data: "EM-DAT: The OFDA/CRED International Disaster Database, Universit</w:t>
      </w:r>
      <w:r>
        <w:rPr>
          <w:lang w:val="en"/>
        </w:rPr>
        <w:t>y</w:t>
      </w:r>
      <w:r w:rsidRPr="001402D5">
        <w:rPr>
          <w:lang w:val="en"/>
        </w:rPr>
        <w:t xml:space="preserve"> catholique de Louvain, Brussels, </w:t>
      </w:r>
      <w:proofErr w:type="gramStart"/>
      <w:r w:rsidRPr="001402D5">
        <w:rPr>
          <w:lang w:val="en"/>
        </w:rPr>
        <w:t>Bel</w:t>
      </w:r>
      <w:proofErr w:type="gramEnd"/>
      <w:r w:rsidRPr="001402D5">
        <w:rPr>
          <w:lang w:val="en"/>
        </w:rPr>
        <w:t>." Data version: v11.08</w:t>
      </w:r>
    </w:p>
  </w:footnote>
  <w:footnote w:id="5">
    <w:p w14:paraId="75EDDD6C" w14:textId="54620018" w:rsidR="004D3B28" w:rsidRDefault="004D3B28" w:rsidP="00F51CA2">
      <w:pPr>
        <w:pStyle w:val="FootnoteText"/>
      </w:pPr>
      <w:r>
        <w:rPr>
          <w:rStyle w:val="FootnoteReference"/>
        </w:rPr>
        <w:footnoteRef/>
      </w:r>
      <w:r>
        <w:t xml:space="preserve"> </w:t>
      </w:r>
      <w:r w:rsidRPr="00945638">
        <w:rPr>
          <w:lang w:val="en"/>
        </w:rPr>
        <w:t>Source of data: "EM-DAT: The OFDA/CRED International Disaster Database, Universit</w:t>
      </w:r>
      <w:r>
        <w:rPr>
          <w:lang w:val="en"/>
        </w:rPr>
        <w:t>y</w:t>
      </w:r>
      <w:r w:rsidRPr="00945638">
        <w:rPr>
          <w:lang w:val="en"/>
        </w:rPr>
        <w:t xml:space="preserve"> catholique de Louvain, Brussels, </w:t>
      </w:r>
      <w:proofErr w:type="gramStart"/>
      <w:r w:rsidRPr="00945638">
        <w:rPr>
          <w:lang w:val="en"/>
        </w:rPr>
        <w:t>Bel</w:t>
      </w:r>
      <w:proofErr w:type="gramEnd"/>
      <w:r w:rsidRPr="00945638">
        <w:rPr>
          <w:lang w:val="en"/>
        </w:rPr>
        <w:t>." Data version: v11.08</w:t>
      </w:r>
    </w:p>
  </w:footnote>
  <w:footnote w:id="6">
    <w:p w14:paraId="15D05355" w14:textId="1DDDFC50" w:rsidR="004D3B28" w:rsidRPr="006E248F" w:rsidRDefault="004D3B28">
      <w:pPr>
        <w:pStyle w:val="FootnoteText"/>
        <w:rPr>
          <w:color w:val="000000" w:themeColor="text1"/>
        </w:rPr>
      </w:pPr>
      <w:r w:rsidRPr="00B3264B">
        <w:rPr>
          <w:rStyle w:val="FootnoteReference"/>
        </w:rPr>
        <w:footnoteRef/>
      </w:r>
      <w:r w:rsidRPr="00B3264B">
        <w:t xml:space="preserve"> </w:t>
      </w:r>
      <w:r w:rsidRPr="006E248F">
        <w:rPr>
          <w:color w:val="000000" w:themeColor="text1"/>
        </w:rPr>
        <w:t xml:space="preserve">For more information see: </w:t>
      </w:r>
      <w:hyperlink r:id="rId2" w:history="1">
        <w:r w:rsidRPr="006E248F">
          <w:rPr>
            <w:rStyle w:val="Hyperlink"/>
            <w:rFonts w:cs="Arial"/>
            <w:i/>
            <w:color w:val="000000" w:themeColor="text1"/>
            <w:u w:val="none"/>
          </w:rPr>
          <w:t>Indonesia: National action plan for disaster risk reduction 2010-2012 (RAN-PRB)</w:t>
        </w:r>
      </w:hyperlink>
      <w:r w:rsidRPr="006E248F">
        <w:rPr>
          <w:color w:val="000000" w:themeColor="text1"/>
        </w:rPr>
        <w:t xml:space="preserve"> </w:t>
      </w:r>
      <w:r w:rsidRPr="00B3264B">
        <w:rPr>
          <w:color w:val="000000" w:themeColor="text1"/>
        </w:rPr>
        <w:t xml:space="preserve">and </w:t>
      </w:r>
      <w:hyperlink r:id="rId3" w:history="1">
        <w:r w:rsidRPr="006E248F">
          <w:rPr>
            <w:rStyle w:val="Hyperlink"/>
            <w:rFonts w:cs="Arial"/>
            <w:i/>
            <w:color w:val="000000" w:themeColor="text1"/>
            <w:u w:val="none"/>
          </w:rPr>
          <w:t>Indonesia: National progress report on the implementation of the Hyogo Framework for Action (2011-2013)</w:t>
        </w:r>
      </w:hyperlink>
      <w:r w:rsidRPr="006E248F">
        <w:rPr>
          <w:rFonts w:cs="Arial"/>
          <w:i/>
          <w:color w:val="000000" w:themeColor="text1"/>
        </w:rPr>
        <w:t>,</w:t>
      </w:r>
      <w:r w:rsidRPr="006E248F">
        <w:rPr>
          <w:rFonts w:cs="Arial"/>
          <w:color w:val="000000" w:themeColor="text1"/>
        </w:rPr>
        <w:t xml:space="preserve"> National Agency for Disaster Management, Indonesia </w:t>
      </w:r>
      <w:r w:rsidRPr="006E248F">
        <w:rPr>
          <w:color w:val="000000" w:themeColor="text1"/>
        </w:rPr>
        <w:t xml:space="preserve">retrieved from </w:t>
      </w:r>
      <w:hyperlink r:id="rId4" w:history="1">
        <w:r w:rsidRPr="006E248F">
          <w:rPr>
            <w:rStyle w:val="Hyperlink"/>
            <w:rFonts w:cs="Arial"/>
            <w:i/>
            <w:color w:val="000000" w:themeColor="text1"/>
            <w:u w:val="none"/>
          </w:rPr>
          <w:t>http://www.unisdr.org/partners/countries/idn</w:t>
        </w:r>
      </w:hyperlink>
      <w:r w:rsidRPr="00B3264B">
        <w:rPr>
          <w:rFonts w:cs="Arial"/>
          <w:i/>
          <w:color w:val="000000" w:themeColor="text1"/>
        </w:rPr>
        <w:t>.</w:t>
      </w:r>
      <w:r w:rsidRPr="006E248F">
        <w:rPr>
          <w:rFonts w:cs="Arial"/>
          <w:i/>
          <w:color w:val="000000" w:themeColor="text1"/>
        </w:rPr>
        <w:t xml:space="preserve"> </w:t>
      </w:r>
    </w:p>
  </w:footnote>
  <w:footnote w:id="7">
    <w:p w14:paraId="5D1C6A98" w14:textId="716D7F39" w:rsidR="004D3B28" w:rsidRDefault="004D3B28">
      <w:pPr>
        <w:pStyle w:val="FootnoteText"/>
      </w:pPr>
      <w:r>
        <w:rPr>
          <w:rStyle w:val="FootnoteReference"/>
        </w:rPr>
        <w:footnoteRef/>
      </w:r>
      <w:r>
        <w:t xml:space="preserve"> </w:t>
      </w:r>
      <w:proofErr w:type="gramStart"/>
      <w:r>
        <w:t>HFA Para 14.1 ‘</w:t>
      </w:r>
      <w:r w:rsidRPr="00B31B1F">
        <w:rPr>
          <w:i/>
        </w:rPr>
        <w:t>Ensure that disaster risk reduction is a national and local priority with a strong institutional basis for implementation</w:t>
      </w:r>
      <w:r>
        <w:t>’.</w:t>
      </w:r>
      <w:proofErr w:type="gramEnd"/>
    </w:p>
  </w:footnote>
  <w:footnote w:id="8">
    <w:p w14:paraId="66B9E5DE" w14:textId="4EAA860A" w:rsidR="004D3B28" w:rsidRDefault="004D3B28">
      <w:pPr>
        <w:pStyle w:val="FootnoteText"/>
      </w:pPr>
      <w:r>
        <w:rPr>
          <w:rStyle w:val="FootnoteReference"/>
        </w:rPr>
        <w:footnoteRef/>
      </w:r>
      <w:r>
        <w:t xml:space="preserve"> </w:t>
      </w:r>
      <w:proofErr w:type="gramStart"/>
      <w:r w:rsidRPr="0088707E">
        <w:rPr>
          <w:rFonts w:cs="Arial"/>
          <w:color w:val="000000"/>
        </w:rPr>
        <w:t xml:space="preserve">Global Facility for Disaster </w:t>
      </w:r>
      <w:r w:rsidRPr="0088707E">
        <w:rPr>
          <w:rFonts w:cs="Calibri"/>
          <w:color w:val="000000"/>
        </w:rPr>
        <w:t xml:space="preserve">Reduction and Recovery </w:t>
      </w:r>
      <w:r>
        <w:rPr>
          <w:rFonts w:cs="Arial"/>
          <w:color w:val="000000"/>
        </w:rPr>
        <w:t>(2010</w:t>
      </w:r>
      <w:r w:rsidRPr="0088707E">
        <w:rPr>
          <w:rFonts w:cs="Arial"/>
          <w:color w:val="000000"/>
        </w:rPr>
        <w:t xml:space="preserve">) </w:t>
      </w:r>
      <w:r>
        <w:rPr>
          <w:rFonts w:cs="Arial"/>
          <w:color w:val="000000"/>
        </w:rPr>
        <w:t>C</w:t>
      </w:r>
      <w:r w:rsidRPr="0088707E">
        <w:rPr>
          <w:rFonts w:cs="Arial"/>
          <w:color w:val="000000"/>
        </w:rPr>
        <w:t xml:space="preserve">ountry </w:t>
      </w:r>
      <w:r>
        <w:rPr>
          <w:rFonts w:cs="Arial"/>
          <w:color w:val="000000"/>
        </w:rPr>
        <w:t>P</w:t>
      </w:r>
      <w:r w:rsidRPr="0088707E">
        <w:rPr>
          <w:rFonts w:cs="Arial"/>
          <w:color w:val="000000"/>
        </w:rPr>
        <w:t>rofile for Indonesia</w:t>
      </w:r>
      <w:r>
        <w:rPr>
          <w:rFonts w:cs="Arial"/>
          <w:color w:val="000000"/>
        </w:rPr>
        <w:t>, pg.10.</w:t>
      </w:r>
      <w:proofErr w:type="gramEnd"/>
    </w:p>
  </w:footnote>
  <w:footnote w:id="9">
    <w:p w14:paraId="3E9969C6" w14:textId="769967A6" w:rsidR="004D3B28" w:rsidRDefault="004D3B28">
      <w:pPr>
        <w:pStyle w:val="FootnoteText"/>
      </w:pPr>
      <w:r>
        <w:rPr>
          <w:rStyle w:val="FootnoteReference"/>
        </w:rPr>
        <w:footnoteRef/>
      </w:r>
      <w:r>
        <w:t xml:space="preserve"> Ibid</w:t>
      </w:r>
    </w:p>
  </w:footnote>
  <w:footnote w:id="10">
    <w:p w14:paraId="0BAB5FF1" w14:textId="1A075C0B" w:rsidR="004D3B28" w:rsidRDefault="004D3B28">
      <w:pPr>
        <w:pStyle w:val="FootnoteText"/>
      </w:pPr>
      <w:r>
        <w:rPr>
          <w:rStyle w:val="FootnoteReference"/>
        </w:rPr>
        <w:footnoteRef/>
      </w:r>
      <w:r>
        <w:t xml:space="preserve"> The review team was informed by one of the original authors of the concept note that it was only ever intended to be the starting point for AIFDR and that further development, refinement and definition were anticipated once AIFDR began operations.</w:t>
      </w:r>
    </w:p>
  </w:footnote>
  <w:footnote w:id="11">
    <w:p w14:paraId="17BC9831" w14:textId="74BE95EA" w:rsidR="004D3B28" w:rsidRDefault="004D3B28">
      <w:pPr>
        <w:pStyle w:val="FootnoteText"/>
      </w:pPr>
      <w:r>
        <w:rPr>
          <w:rStyle w:val="FootnoteReference"/>
        </w:rPr>
        <w:footnoteRef/>
      </w:r>
      <w:r>
        <w:t xml:space="preserve"> Record of AIFDR Review Consultations (2014)</w:t>
      </w:r>
    </w:p>
  </w:footnote>
  <w:footnote w:id="12">
    <w:p w14:paraId="2864B572" w14:textId="625BBFAE" w:rsidR="004D3B28" w:rsidRPr="00C95812" w:rsidRDefault="004D3B28">
      <w:pPr>
        <w:pStyle w:val="FootnoteText"/>
      </w:pPr>
      <w:r>
        <w:rPr>
          <w:rStyle w:val="FootnoteReference"/>
        </w:rPr>
        <w:footnoteRef/>
      </w:r>
      <w:r>
        <w:t xml:space="preserve"> </w:t>
      </w:r>
      <w:r w:rsidRPr="000E3513">
        <w:rPr>
          <w:rFonts w:cs="Times New Roman"/>
        </w:rPr>
        <w:t>AIFDR’s Development Strategy (2012)</w:t>
      </w:r>
    </w:p>
  </w:footnote>
  <w:footnote w:id="13">
    <w:p w14:paraId="724D053E" w14:textId="77777777" w:rsidR="004D3B28" w:rsidRPr="004336CA" w:rsidRDefault="004D3B28" w:rsidP="00ED3371">
      <w:pPr>
        <w:shd w:val="clear" w:color="auto" w:fill="FFFFFF"/>
        <w:spacing w:after="135"/>
        <w:outlineLvl w:val="1"/>
        <w:rPr>
          <w:rFonts w:ascii="Verdana" w:eastAsia="Times New Roman" w:hAnsi="Verdana" w:cs="Times New Roman"/>
          <w:color w:val="E46A1D"/>
          <w:kern w:val="36"/>
          <w:sz w:val="28"/>
          <w:szCs w:val="28"/>
          <w:lang w:val="en" w:eastAsia="en-AU"/>
        </w:rPr>
      </w:pPr>
      <w:r>
        <w:rPr>
          <w:rStyle w:val="FootnoteReference"/>
        </w:rPr>
        <w:footnoteRef/>
      </w:r>
      <w:r>
        <w:t xml:space="preserve"> </w:t>
      </w:r>
      <w:r>
        <w:rPr>
          <w:rFonts w:eastAsia="Times New Roman" w:cs="Times New Roman"/>
          <w:sz w:val="24"/>
          <w:szCs w:val="24"/>
          <w:u w:val="single"/>
          <w:lang w:val="en" w:eastAsia="en-AU"/>
        </w:rPr>
        <w:t xml:space="preserve">Source: </w:t>
      </w:r>
      <w:r w:rsidRPr="00FB3EFD">
        <w:rPr>
          <w:rFonts w:cs="Century"/>
          <w:i/>
          <w:u w:val="single"/>
        </w:rPr>
        <w:t>Economic costs of disasters from:</w:t>
      </w:r>
      <w:r>
        <w:rPr>
          <w:rFonts w:cs="Century"/>
        </w:rPr>
        <w:t xml:space="preserve"> h</w:t>
      </w:r>
      <w:r w:rsidRPr="007A4EB6">
        <w:rPr>
          <w:rFonts w:cs="Century"/>
        </w:rPr>
        <w:t>ttp://www.preventionweb.net/english/countries/statistics/?cid=80</w:t>
      </w:r>
    </w:p>
    <w:p w14:paraId="0FCF11EA" w14:textId="77777777" w:rsidR="004D3B28" w:rsidRDefault="004D3B28" w:rsidP="00ED3371">
      <w:pPr>
        <w:pStyle w:val="FootnoteText"/>
      </w:pPr>
    </w:p>
  </w:footnote>
  <w:footnote w:id="14">
    <w:p w14:paraId="35E4F5A0" w14:textId="761A9C81" w:rsidR="004D3B28" w:rsidRDefault="004D3B28">
      <w:pPr>
        <w:pStyle w:val="FootnoteText"/>
      </w:pPr>
      <w:r w:rsidRPr="0088707E">
        <w:rPr>
          <w:rStyle w:val="FootnoteReference"/>
        </w:rPr>
        <w:footnoteRef/>
      </w:r>
      <w:r w:rsidRPr="0088707E">
        <w:t xml:space="preserve"> See separate report, DFAT Concept Note: Australia’s future investment in ASEAN Disaster Management (2014)</w:t>
      </w:r>
    </w:p>
  </w:footnote>
  <w:footnote w:id="15">
    <w:p w14:paraId="77AA967F" w14:textId="66862B75" w:rsidR="004D3B28" w:rsidRDefault="004D3B28">
      <w:pPr>
        <w:pStyle w:val="FootnoteText"/>
      </w:pPr>
      <w:r>
        <w:rPr>
          <w:rStyle w:val="FootnoteReference"/>
        </w:rPr>
        <w:footnoteRef/>
      </w:r>
      <w:r>
        <w:t xml:space="preserve"> See Executive Summary of </w:t>
      </w:r>
      <w:r w:rsidRPr="006D6FAE">
        <w:t>Final Evaluation of Project “Building and Deepening Resilience in Eastern Indonesia” (2014)</w:t>
      </w:r>
    </w:p>
  </w:footnote>
  <w:footnote w:id="16">
    <w:p w14:paraId="737C0EF7" w14:textId="33709DBA" w:rsidR="004D3B28" w:rsidRPr="00B259ED" w:rsidRDefault="004D3B28">
      <w:pPr>
        <w:pStyle w:val="FootnoteText"/>
        <w:rPr>
          <w:i/>
        </w:rPr>
      </w:pPr>
      <w:r>
        <w:rPr>
          <w:rStyle w:val="FootnoteReference"/>
        </w:rPr>
        <w:footnoteRef/>
      </w:r>
      <w:r>
        <w:t xml:space="preserve"> </w:t>
      </w:r>
      <w:proofErr w:type="gramStart"/>
      <w:r>
        <w:t>A note of terminology.</w:t>
      </w:r>
      <w:proofErr w:type="gramEnd"/>
      <w:r>
        <w:t xml:space="preserve"> ‘Perda’ commonly refers to laws produced by local governments — whether provincial, district or city, or legislative or executive. However, in strict legal terms, </w:t>
      </w:r>
      <w:r>
        <w:rPr>
          <w:i/>
          <w:iCs/>
        </w:rPr>
        <w:t>Perda</w:t>
      </w:r>
      <w:r>
        <w:t xml:space="preserve"> refers specifically only to laws passed by local legislatures, whether provincial, district or city</w:t>
      </w:r>
      <w:r>
        <w:rPr>
          <w:i/>
          <w:iCs/>
        </w:rPr>
        <w:t>.</w:t>
      </w:r>
      <w:r w:rsidRPr="009F4D17">
        <w:t xml:space="preserve"> </w:t>
      </w:r>
      <w:r>
        <w:t xml:space="preserve">A reference to a provincial </w:t>
      </w:r>
      <w:r>
        <w:rPr>
          <w:i/>
          <w:iCs/>
        </w:rPr>
        <w:t>Perda</w:t>
      </w:r>
      <w:r>
        <w:t>, for instance, is a reference to a law enacted by a provincial parliament. “By contrast, laws passed by the head of the executive arm of a local government — governors (in provinces), regents (in districts) and mayors (in cities) — are generally referred to as regulations of heads of regions (</w:t>
      </w:r>
      <w:r>
        <w:rPr>
          <w:i/>
          <w:iCs/>
        </w:rPr>
        <w:t>Peraturan Kepala Daerah</w:t>
      </w:r>
      <w:r>
        <w:t xml:space="preserve">) or more specifically as </w:t>
      </w:r>
      <w:r>
        <w:rPr>
          <w:i/>
          <w:iCs/>
        </w:rPr>
        <w:t xml:space="preserve">Peraturan Gubernur </w:t>
      </w:r>
      <w:r>
        <w:t>(governor regulation), regent regulation (</w:t>
      </w:r>
      <w:r>
        <w:rPr>
          <w:i/>
          <w:iCs/>
        </w:rPr>
        <w:t>Peraturan Bupati</w:t>
      </w:r>
      <w:r>
        <w:t>) and mayoral regulation (</w:t>
      </w:r>
      <w:r>
        <w:rPr>
          <w:i/>
          <w:iCs/>
        </w:rPr>
        <w:t>Peraturan Walikota</w:t>
      </w:r>
      <w:r>
        <w:t xml:space="preserve">)” source: </w:t>
      </w:r>
      <w:r w:rsidRPr="00B259ED">
        <w:rPr>
          <w:i/>
        </w:rPr>
        <w:t>Butt, S (2010), Regional Autonomy and Legal Disorder: The Proliferation of Local Laws in Indonesia (Abstract), Sydney Law Review vol. 32: 177</w:t>
      </w:r>
    </w:p>
  </w:footnote>
  <w:footnote w:id="17">
    <w:p w14:paraId="380EAC05" w14:textId="005B0188" w:rsidR="004D3B28" w:rsidRDefault="004D3B28" w:rsidP="006E248F">
      <w:pPr>
        <w:spacing w:after="0"/>
      </w:pPr>
      <w:r>
        <w:rPr>
          <w:rStyle w:val="FootnoteReference"/>
        </w:rPr>
        <w:footnoteRef/>
      </w:r>
      <w:r>
        <w:t xml:space="preserve"> </w:t>
      </w:r>
      <w:r w:rsidRPr="002215FE">
        <w:rPr>
          <w:sz w:val="20"/>
          <w:szCs w:val="20"/>
        </w:rPr>
        <w:t xml:space="preserve">Review team meeting with ASEAN Secretariat </w:t>
      </w:r>
      <w:r>
        <w:rPr>
          <w:sz w:val="20"/>
          <w:szCs w:val="20"/>
        </w:rPr>
        <w:t>on 3 July 2014 in</w:t>
      </w:r>
      <w:r w:rsidRPr="002215FE">
        <w:rPr>
          <w:sz w:val="20"/>
          <w:szCs w:val="20"/>
        </w:rPr>
        <w:t xml:space="preserve"> Jakarta. ASEC representatives in attendance:</w:t>
      </w:r>
      <w:r>
        <w:rPr>
          <w:sz w:val="20"/>
          <w:szCs w:val="20"/>
        </w:rPr>
        <w:t xml:space="preserve"> </w:t>
      </w:r>
      <w:r w:rsidRPr="002215FE">
        <w:rPr>
          <w:sz w:val="20"/>
          <w:szCs w:val="20"/>
        </w:rPr>
        <w:t>Alicia Bala, ASEAN Deputy Secretary-General; Larry Maramis, Director of Cross-sectoral Cooperation;</w:t>
      </w:r>
      <w:r w:rsidRPr="002215FE">
        <w:rPr>
          <w:bCs/>
          <w:color w:val="000000"/>
          <w:sz w:val="20"/>
          <w:szCs w:val="20"/>
          <w:lang w:val="en-US"/>
        </w:rPr>
        <w:t xml:space="preserve"> Fenny Chandra, P</w:t>
      </w:r>
      <w:r w:rsidRPr="002215FE">
        <w:rPr>
          <w:color w:val="000000"/>
          <w:sz w:val="20"/>
          <w:szCs w:val="20"/>
          <w:lang w:val="en-US"/>
        </w:rPr>
        <w:t>rogramme Officer, ASEAN-Australia Cooperation for the Implementation of AADMER Work Programme 2010-2015.</w:t>
      </w:r>
    </w:p>
  </w:footnote>
  <w:footnote w:id="18">
    <w:p w14:paraId="78AF7830" w14:textId="025FA531" w:rsidR="004D3B28" w:rsidRDefault="004D3B28" w:rsidP="006E248F">
      <w:pPr>
        <w:pStyle w:val="FootnoteText"/>
      </w:pPr>
      <w:r>
        <w:rPr>
          <w:rStyle w:val="FootnoteReference"/>
        </w:rPr>
        <w:footnoteRef/>
      </w:r>
      <w:r>
        <w:t xml:space="preserve"> See Further DFAT Concept Note: Australia’s Future Investment in ASEAN in Disaster Management (August 2014), S, Darvill and L, Roberts</w:t>
      </w:r>
    </w:p>
  </w:footnote>
  <w:footnote w:id="19">
    <w:p w14:paraId="6A52079E" w14:textId="77777777" w:rsidR="004D3B28" w:rsidRDefault="004D3B28" w:rsidP="00AE1102">
      <w:pPr>
        <w:pStyle w:val="FootnoteText"/>
      </w:pPr>
      <w:r>
        <w:rPr>
          <w:rStyle w:val="FootnoteReference"/>
        </w:rPr>
        <w:footnoteRef/>
      </w:r>
      <w:r>
        <w:t xml:space="preserve"> Joint Review Report on AusAID OCHA Indonesia Partnership June/July 2013, Jeong Park (AusAID) and Titi Moektijashi (OCHA Indonesia)</w:t>
      </w:r>
    </w:p>
  </w:footnote>
  <w:footnote w:id="20">
    <w:p w14:paraId="7B743817" w14:textId="77777777" w:rsidR="004D3B28" w:rsidRDefault="004D3B28" w:rsidP="00AE1102">
      <w:pPr>
        <w:pStyle w:val="FootnoteText"/>
      </w:pPr>
      <w:r>
        <w:rPr>
          <w:rStyle w:val="FootnoteReference"/>
        </w:rPr>
        <w:footnoteRef/>
      </w:r>
      <w:r>
        <w:t xml:space="preserve"> Ref, above report at pg. 7</w:t>
      </w:r>
    </w:p>
  </w:footnote>
  <w:footnote w:id="21">
    <w:p w14:paraId="7104DC9C" w14:textId="4429BB45" w:rsidR="004D3B28" w:rsidRDefault="004D3B28">
      <w:pPr>
        <w:pStyle w:val="FootnoteText"/>
      </w:pPr>
      <w:r>
        <w:rPr>
          <w:rStyle w:val="FootnoteReference"/>
        </w:rPr>
        <w:footnoteRef/>
      </w:r>
      <w:r>
        <w:t xml:space="preserve"> </w:t>
      </w:r>
      <w:r w:rsidRPr="006D6FAE">
        <w:t>AIFDR/Independent Progress Review of the Indonesian Earthquake Hazard Project, 5 November 2012</w:t>
      </w:r>
    </w:p>
  </w:footnote>
  <w:footnote w:id="22">
    <w:p w14:paraId="29223EF2" w14:textId="2EDE4A1E" w:rsidR="004D3B28" w:rsidRDefault="004D3B28" w:rsidP="00D10DB8">
      <w:pPr>
        <w:pStyle w:val="FootnoteText"/>
      </w:pPr>
      <w:r>
        <w:rPr>
          <w:rStyle w:val="FootnoteReference"/>
        </w:rPr>
        <w:footnoteRef/>
      </w:r>
      <w:r>
        <w:t xml:space="preserve"> AIFDR MTR page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9BA1F" w14:textId="77777777" w:rsidR="00E867D0" w:rsidRDefault="00E867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04514" w14:textId="080B5B11" w:rsidR="004D3B28" w:rsidRDefault="004D3B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8B658" w14:textId="77777777" w:rsidR="00E867D0" w:rsidRDefault="00E867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2EA65" w14:textId="6D103F5D" w:rsidR="004D3B28" w:rsidRDefault="004D3B28">
    <w:pPr>
      <w:pStyle w:val="Header"/>
      <w:jc w:val="right"/>
    </w:pPr>
  </w:p>
  <w:p w14:paraId="1180D70E" w14:textId="77777777" w:rsidR="004D3B28" w:rsidRDefault="004D3B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4B3"/>
    <w:multiLevelType w:val="hybridMultilevel"/>
    <w:tmpl w:val="CC403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E1D78"/>
    <w:multiLevelType w:val="hybridMultilevel"/>
    <w:tmpl w:val="AE2ECC38"/>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5D5DF2"/>
    <w:multiLevelType w:val="hybridMultilevel"/>
    <w:tmpl w:val="B9BCE94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nsid w:val="07351FAA"/>
    <w:multiLevelType w:val="hybridMultilevel"/>
    <w:tmpl w:val="E9585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E364E40"/>
    <w:multiLevelType w:val="multilevel"/>
    <w:tmpl w:val="483EBEC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905C39"/>
    <w:multiLevelType w:val="hybridMultilevel"/>
    <w:tmpl w:val="AB78B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2D33CB"/>
    <w:multiLevelType w:val="hybridMultilevel"/>
    <w:tmpl w:val="C65088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2879A3"/>
    <w:multiLevelType w:val="hybridMultilevel"/>
    <w:tmpl w:val="B234152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710095"/>
    <w:multiLevelType w:val="hybridMultilevel"/>
    <w:tmpl w:val="C0228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2749BE"/>
    <w:multiLevelType w:val="multilevel"/>
    <w:tmpl w:val="73FC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B158B6"/>
    <w:multiLevelType w:val="hybridMultilevel"/>
    <w:tmpl w:val="AF8E7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E11B00"/>
    <w:multiLevelType w:val="hybridMultilevel"/>
    <w:tmpl w:val="2D8A9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564A2B"/>
    <w:multiLevelType w:val="multilevel"/>
    <w:tmpl w:val="3842BE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4A4317F"/>
    <w:multiLevelType w:val="hybridMultilevel"/>
    <w:tmpl w:val="B0227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062C9F"/>
    <w:multiLevelType w:val="hybridMultilevel"/>
    <w:tmpl w:val="A5BE153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87F2638"/>
    <w:multiLevelType w:val="hybridMultilevel"/>
    <w:tmpl w:val="F39668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871172"/>
    <w:multiLevelType w:val="hybridMultilevel"/>
    <w:tmpl w:val="5ACA5A5C"/>
    <w:lvl w:ilvl="0" w:tplc="83A039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BF726C0"/>
    <w:multiLevelType w:val="multilevel"/>
    <w:tmpl w:val="685ADCEC"/>
    <w:lvl w:ilvl="0">
      <w:start w:val="1"/>
      <w:numFmt w:val="decimal"/>
      <w:pStyle w:val="OutlineNumbered1"/>
      <w:lvlText w:val="%1."/>
      <w:lvlJc w:val="left"/>
      <w:pPr>
        <w:tabs>
          <w:tab w:val="num" w:pos="567"/>
        </w:tabs>
        <w:ind w:left="567" w:hanging="567"/>
      </w:pPr>
    </w:lvl>
    <w:lvl w:ilvl="1">
      <w:start w:val="1"/>
      <w:numFmt w:val="lowerRoman"/>
      <w:lvlText w:val="%2."/>
      <w:lvlJc w:val="right"/>
      <w:pPr>
        <w:tabs>
          <w:tab w:val="num" w:pos="360"/>
        </w:tabs>
        <w:ind w:left="360" w:hanging="360"/>
      </w:pPr>
    </w:lvl>
    <w:lvl w:ilvl="2">
      <w:start w:val="1"/>
      <w:numFmt w:val="decimal"/>
      <w:pStyle w:val="OutlineNumbered3"/>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C6A7423"/>
    <w:multiLevelType w:val="hybridMultilevel"/>
    <w:tmpl w:val="F990CFC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128594C"/>
    <w:multiLevelType w:val="multilevel"/>
    <w:tmpl w:val="8494A7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44D73E4"/>
    <w:multiLevelType w:val="hybridMultilevel"/>
    <w:tmpl w:val="B412CC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6254B82"/>
    <w:multiLevelType w:val="hybridMultilevel"/>
    <w:tmpl w:val="34CA87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4B327CB5"/>
    <w:multiLevelType w:val="hybridMultilevel"/>
    <w:tmpl w:val="879C04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B3F7B10"/>
    <w:multiLevelType w:val="hybridMultilevel"/>
    <w:tmpl w:val="D646E9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C41264B"/>
    <w:multiLevelType w:val="hybridMultilevel"/>
    <w:tmpl w:val="9F64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F749CD"/>
    <w:multiLevelType w:val="multilevel"/>
    <w:tmpl w:val="E6108D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F496AF8"/>
    <w:multiLevelType w:val="hybridMultilevel"/>
    <w:tmpl w:val="E20C7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5DB7608"/>
    <w:multiLevelType w:val="hybridMultilevel"/>
    <w:tmpl w:val="DF929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4702CF"/>
    <w:multiLevelType w:val="multilevel"/>
    <w:tmpl w:val="E69C8C28"/>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75635FF"/>
    <w:multiLevelType w:val="hybridMultilevel"/>
    <w:tmpl w:val="CCC8A7E2"/>
    <w:lvl w:ilvl="0" w:tplc="115A13D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85462B9"/>
    <w:multiLevelType w:val="multilevel"/>
    <w:tmpl w:val="AA82BDCA"/>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360"/>
        </w:tabs>
        <w:ind w:left="360" w:hanging="360"/>
      </w:pPr>
      <w:rPr>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87F5A06"/>
    <w:multiLevelType w:val="hybridMultilevel"/>
    <w:tmpl w:val="A92818C8"/>
    <w:lvl w:ilvl="0" w:tplc="C5DC1BB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8836A21"/>
    <w:multiLevelType w:val="multilevel"/>
    <w:tmpl w:val="89D2CA7A"/>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93060D3"/>
    <w:multiLevelType w:val="hybridMultilevel"/>
    <w:tmpl w:val="39C6E984"/>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9C348C3"/>
    <w:multiLevelType w:val="hybridMultilevel"/>
    <w:tmpl w:val="A7E0E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A8570EC"/>
    <w:multiLevelType w:val="hybridMultilevel"/>
    <w:tmpl w:val="39BC3702"/>
    <w:lvl w:ilvl="0" w:tplc="3C0AB36E">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B2836EB"/>
    <w:multiLevelType w:val="hybridMultilevel"/>
    <w:tmpl w:val="39A4B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4035896"/>
    <w:multiLevelType w:val="hybridMultilevel"/>
    <w:tmpl w:val="47A84A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6527450"/>
    <w:multiLevelType w:val="hybridMultilevel"/>
    <w:tmpl w:val="B030BE14"/>
    <w:lvl w:ilvl="0" w:tplc="6D640EE2">
      <w:start w:val="1"/>
      <w:numFmt w:val="decimal"/>
      <w:lvlText w:val="%1."/>
      <w:lvlJc w:val="left"/>
      <w:pPr>
        <w:ind w:left="360" w:hanging="360"/>
      </w:pPr>
      <w:rPr>
        <w:rFonts w:hint="default"/>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766139D7"/>
    <w:multiLevelType w:val="hybridMultilevel"/>
    <w:tmpl w:val="C5CA7B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6D9238E"/>
    <w:multiLevelType w:val="multilevel"/>
    <w:tmpl w:val="5BCC337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F873C5B"/>
    <w:multiLevelType w:val="hybridMultilevel"/>
    <w:tmpl w:val="56288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39"/>
  </w:num>
  <w:num w:numId="4">
    <w:abstractNumId w:val="20"/>
  </w:num>
  <w:num w:numId="5">
    <w:abstractNumId w:val="19"/>
  </w:num>
  <w:num w:numId="6">
    <w:abstractNumId w:val="4"/>
  </w:num>
  <w:num w:numId="7">
    <w:abstractNumId w:val="35"/>
  </w:num>
  <w:num w:numId="8">
    <w:abstractNumId w:val="1"/>
  </w:num>
  <w:num w:numId="9">
    <w:abstractNumId w:val="9"/>
  </w:num>
  <w:num w:numId="10">
    <w:abstractNumId w:val="3"/>
  </w:num>
  <w:num w:numId="11">
    <w:abstractNumId w:val="23"/>
  </w:num>
  <w:num w:numId="12">
    <w:abstractNumId w:val="22"/>
  </w:num>
  <w:num w:numId="13">
    <w:abstractNumId w:val="15"/>
  </w:num>
  <w:num w:numId="14">
    <w:abstractNumId w:val="27"/>
  </w:num>
  <w:num w:numId="15">
    <w:abstractNumId w:val="25"/>
  </w:num>
  <w:num w:numId="16">
    <w:abstractNumId w:val="28"/>
  </w:num>
  <w:num w:numId="17">
    <w:abstractNumId w:val="32"/>
  </w:num>
  <w:num w:numId="18">
    <w:abstractNumId w:val="33"/>
  </w:num>
  <w:num w:numId="19">
    <w:abstractNumId w:val="14"/>
  </w:num>
  <w:num w:numId="20">
    <w:abstractNumId w:val="10"/>
  </w:num>
  <w:num w:numId="21">
    <w:abstractNumId w:val="21"/>
  </w:num>
  <w:num w:numId="22">
    <w:abstractNumId w:val="7"/>
  </w:num>
  <w:num w:numId="23">
    <w:abstractNumId w:val="13"/>
  </w:num>
  <w:num w:numId="24">
    <w:abstractNumId w:val="26"/>
  </w:num>
  <w:num w:numId="25">
    <w:abstractNumId w:val="38"/>
  </w:num>
  <w:num w:numId="26">
    <w:abstractNumId w:val="36"/>
  </w:num>
  <w:num w:numId="27">
    <w:abstractNumId w:val="11"/>
  </w:num>
  <w:num w:numId="28">
    <w:abstractNumId w:val="41"/>
  </w:num>
  <w:num w:numId="29">
    <w:abstractNumId w:val="40"/>
  </w:num>
  <w:num w:numId="30">
    <w:abstractNumId w:val="16"/>
  </w:num>
  <w:num w:numId="31">
    <w:abstractNumId w:val="5"/>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
  </w:num>
  <w:num w:numId="35">
    <w:abstractNumId w:val="8"/>
  </w:num>
  <w:num w:numId="36">
    <w:abstractNumId w:val="12"/>
  </w:num>
  <w:num w:numId="37">
    <w:abstractNumId w:val="24"/>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441"/>
    <w:rsid w:val="0000020E"/>
    <w:rsid w:val="00003954"/>
    <w:rsid w:val="00004E05"/>
    <w:rsid w:val="0000548D"/>
    <w:rsid w:val="00005614"/>
    <w:rsid w:val="000065A5"/>
    <w:rsid w:val="00007C7C"/>
    <w:rsid w:val="00010D0E"/>
    <w:rsid w:val="00020140"/>
    <w:rsid w:val="000207B5"/>
    <w:rsid w:val="00021660"/>
    <w:rsid w:val="000236D4"/>
    <w:rsid w:val="00023796"/>
    <w:rsid w:val="00023DC9"/>
    <w:rsid w:val="000250A9"/>
    <w:rsid w:val="000252D7"/>
    <w:rsid w:val="000272D1"/>
    <w:rsid w:val="0003028A"/>
    <w:rsid w:val="0003035E"/>
    <w:rsid w:val="00031E8C"/>
    <w:rsid w:val="00034796"/>
    <w:rsid w:val="00034C9C"/>
    <w:rsid w:val="00037435"/>
    <w:rsid w:val="00040101"/>
    <w:rsid w:val="00040B98"/>
    <w:rsid w:val="00041BAB"/>
    <w:rsid w:val="00041D8E"/>
    <w:rsid w:val="000428C5"/>
    <w:rsid w:val="00044DAF"/>
    <w:rsid w:val="00045008"/>
    <w:rsid w:val="00045CD3"/>
    <w:rsid w:val="0004685D"/>
    <w:rsid w:val="00046AF2"/>
    <w:rsid w:val="00046B32"/>
    <w:rsid w:val="00046FF8"/>
    <w:rsid w:val="00050AF1"/>
    <w:rsid w:val="00052DC0"/>
    <w:rsid w:val="000530B6"/>
    <w:rsid w:val="00053907"/>
    <w:rsid w:val="00061D44"/>
    <w:rsid w:val="0006240F"/>
    <w:rsid w:val="00062D39"/>
    <w:rsid w:val="00063ED7"/>
    <w:rsid w:val="000662F5"/>
    <w:rsid w:val="00067134"/>
    <w:rsid w:val="00067313"/>
    <w:rsid w:val="00067625"/>
    <w:rsid w:val="00067BD2"/>
    <w:rsid w:val="0007032C"/>
    <w:rsid w:val="000710F5"/>
    <w:rsid w:val="0007150F"/>
    <w:rsid w:val="00071F9E"/>
    <w:rsid w:val="0007491E"/>
    <w:rsid w:val="000764D0"/>
    <w:rsid w:val="00077BA9"/>
    <w:rsid w:val="00084B20"/>
    <w:rsid w:val="00084F3E"/>
    <w:rsid w:val="00087081"/>
    <w:rsid w:val="00087808"/>
    <w:rsid w:val="00090346"/>
    <w:rsid w:val="00090ABB"/>
    <w:rsid w:val="00091E57"/>
    <w:rsid w:val="00094558"/>
    <w:rsid w:val="000A29D9"/>
    <w:rsid w:val="000A5406"/>
    <w:rsid w:val="000A5BE6"/>
    <w:rsid w:val="000A7447"/>
    <w:rsid w:val="000B21E3"/>
    <w:rsid w:val="000B22B0"/>
    <w:rsid w:val="000B2C3C"/>
    <w:rsid w:val="000B4E7C"/>
    <w:rsid w:val="000B586F"/>
    <w:rsid w:val="000B7F38"/>
    <w:rsid w:val="000C04D5"/>
    <w:rsid w:val="000C251C"/>
    <w:rsid w:val="000C362F"/>
    <w:rsid w:val="000C3B19"/>
    <w:rsid w:val="000C3BCA"/>
    <w:rsid w:val="000C3E5B"/>
    <w:rsid w:val="000C40ED"/>
    <w:rsid w:val="000C4468"/>
    <w:rsid w:val="000C743E"/>
    <w:rsid w:val="000D0BBB"/>
    <w:rsid w:val="000D4A2D"/>
    <w:rsid w:val="000D4D5F"/>
    <w:rsid w:val="000D5759"/>
    <w:rsid w:val="000D5D23"/>
    <w:rsid w:val="000D6146"/>
    <w:rsid w:val="000E0D6D"/>
    <w:rsid w:val="000E1846"/>
    <w:rsid w:val="000E1CA9"/>
    <w:rsid w:val="000E248F"/>
    <w:rsid w:val="000E3513"/>
    <w:rsid w:val="000E41B4"/>
    <w:rsid w:val="000E52A6"/>
    <w:rsid w:val="000E6642"/>
    <w:rsid w:val="000E7F40"/>
    <w:rsid w:val="000F0399"/>
    <w:rsid w:val="000F039F"/>
    <w:rsid w:val="000F0D14"/>
    <w:rsid w:val="000F37B2"/>
    <w:rsid w:val="000F66B5"/>
    <w:rsid w:val="000F68E1"/>
    <w:rsid w:val="000F6FC2"/>
    <w:rsid w:val="000F777B"/>
    <w:rsid w:val="001007AD"/>
    <w:rsid w:val="00100CF8"/>
    <w:rsid w:val="001010BA"/>
    <w:rsid w:val="00101DA2"/>
    <w:rsid w:val="00102703"/>
    <w:rsid w:val="00105408"/>
    <w:rsid w:val="00106504"/>
    <w:rsid w:val="00106C6F"/>
    <w:rsid w:val="00110D99"/>
    <w:rsid w:val="0011175D"/>
    <w:rsid w:val="00111A7F"/>
    <w:rsid w:val="00112A3F"/>
    <w:rsid w:val="001136DC"/>
    <w:rsid w:val="00113767"/>
    <w:rsid w:val="001159D3"/>
    <w:rsid w:val="00115CEC"/>
    <w:rsid w:val="00116D35"/>
    <w:rsid w:val="001218AF"/>
    <w:rsid w:val="00121925"/>
    <w:rsid w:val="00122030"/>
    <w:rsid w:val="0012260C"/>
    <w:rsid w:val="0012272B"/>
    <w:rsid w:val="00122911"/>
    <w:rsid w:val="00122B93"/>
    <w:rsid w:val="0012307F"/>
    <w:rsid w:val="001252AB"/>
    <w:rsid w:val="00125E00"/>
    <w:rsid w:val="00126BF7"/>
    <w:rsid w:val="00130246"/>
    <w:rsid w:val="001303C0"/>
    <w:rsid w:val="001304E8"/>
    <w:rsid w:val="001304F0"/>
    <w:rsid w:val="001322D7"/>
    <w:rsid w:val="0013244E"/>
    <w:rsid w:val="001335DD"/>
    <w:rsid w:val="00136CC5"/>
    <w:rsid w:val="0014020A"/>
    <w:rsid w:val="00140815"/>
    <w:rsid w:val="001419A0"/>
    <w:rsid w:val="001426FB"/>
    <w:rsid w:val="00144358"/>
    <w:rsid w:val="0014465F"/>
    <w:rsid w:val="00144A90"/>
    <w:rsid w:val="00146AC0"/>
    <w:rsid w:val="00152D95"/>
    <w:rsid w:val="00154C4F"/>
    <w:rsid w:val="0015557D"/>
    <w:rsid w:val="00155EE6"/>
    <w:rsid w:val="0015602D"/>
    <w:rsid w:val="00157CC3"/>
    <w:rsid w:val="00160264"/>
    <w:rsid w:val="001609D5"/>
    <w:rsid w:val="00160A38"/>
    <w:rsid w:val="0016180D"/>
    <w:rsid w:val="00161EB5"/>
    <w:rsid w:val="001628C5"/>
    <w:rsid w:val="00163580"/>
    <w:rsid w:val="00164588"/>
    <w:rsid w:val="001652B4"/>
    <w:rsid w:val="001664CA"/>
    <w:rsid w:val="00170392"/>
    <w:rsid w:val="00171061"/>
    <w:rsid w:val="00171EF4"/>
    <w:rsid w:val="00174A0B"/>
    <w:rsid w:val="00174C42"/>
    <w:rsid w:val="00174E40"/>
    <w:rsid w:val="001770BD"/>
    <w:rsid w:val="00177C42"/>
    <w:rsid w:val="001815B5"/>
    <w:rsid w:val="00183B88"/>
    <w:rsid w:val="00184313"/>
    <w:rsid w:val="001844B3"/>
    <w:rsid w:val="00184DAF"/>
    <w:rsid w:val="00186A70"/>
    <w:rsid w:val="00186BD7"/>
    <w:rsid w:val="00190F30"/>
    <w:rsid w:val="00191B2A"/>
    <w:rsid w:val="00192112"/>
    <w:rsid w:val="00192C0A"/>
    <w:rsid w:val="00194551"/>
    <w:rsid w:val="00196639"/>
    <w:rsid w:val="001A192C"/>
    <w:rsid w:val="001A41CA"/>
    <w:rsid w:val="001A6A4C"/>
    <w:rsid w:val="001A6F0A"/>
    <w:rsid w:val="001A7FA4"/>
    <w:rsid w:val="001B00B4"/>
    <w:rsid w:val="001B1441"/>
    <w:rsid w:val="001B17BC"/>
    <w:rsid w:val="001B17EB"/>
    <w:rsid w:val="001B1A2D"/>
    <w:rsid w:val="001B28DD"/>
    <w:rsid w:val="001B4C0C"/>
    <w:rsid w:val="001B4E7F"/>
    <w:rsid w:val="001B558B"/>
    <w:rsid w:val="001B7128"/>
    <w:rsid w:val="001C10AF"/>
    <w:rsid w:val="001C10F8"/>
    <w:rsid w:val="001C1285"/>
    <w:rsid w:val="001C2E8A"/>
    <w:rsid w:val="001C3CBE"/>
    <w:rsid w:val="001C4290"/>
    <w:rsid w:val="001C4C66"/>
    <w:rsid w:val="001C4E5F"/>
    <w:rsid w:val="001C689B"/>
    <w:rsid w:val="001D1240"/>
    <w:rsid w:val="001D1E7C"/>
    <w:rsid w:val="001D3686"/>
    <w:rsid w:val="001D44E9"/>
    <w:rsid w:val="001D46F7"/>
    <w:rsid w:val="001D4B7F"/>
    <w:rsid w:val="001D54FF"/>
    <w:rsid w:val="001D6B4D"/>
    <w:rsid w:val="001E1DE1"/>
    <w:rsid w:val="001E1FF2"/>
    <w:rsid w:val="001E2F81"/>
    <w:rsid w:val="001E36A9"/>
    <w:rsid w:val="001E3975"/>
    <w:rsid w:val="001E3F55"/>
    <w:rsid w:val="001E4033"/>
    <w:rsid w:val="001E6537"/>
    <w:rsid w:val="001F01AE"/>
    <w:rsid w:val="001F0F71"/>
    <w:rsid w:val="001F17F3"/>
    <w:rsid w:val="001F2230"/>
    <w:rsid w:val="001F285D"/>
    <w:rsid w:val="001F451D"/>
    <w:rsid w:val="00200804"/>
    <w:rsid w:val="0020242E"/>
    <w:rsid w:val="002052CC"/>
    <w:rsid w:val="00205490"/>
    <w:rsid w:val="00205677"/>
    <w:rsid w:val="0020715D"/>
    <w:rsid w:val="0021060C"/>
    <w:rsid w:val="00210AC4"/>
    <w:rsid w:val="002111BC"/>
    <w:rsid w:val="00212F84"/>
    <w:rsid w:val="00214950"/>
    <w:rsid w:val="00214D6D"/>
    <w:rsid w:val="00217161"/>
    <w:rsid w:val="00217836"/>
    <w:rsid w:val="00221306"/>
    <w:rsid w:val="002218F5"/>
    <w:rsid w:val="00222AE5"/>
    <w:rsid w:val="00224652"/>
    <w:rsid w:val="002248FB"/>
    <w:rsid w:val="0022754F"/>
    <w:rsid w:val="00230780"/>
    <w:rsid w:val="002323BD"/>
    <w:rsid w:val="00232F59"/>
    <w:rsid w:val="0023392A"/>
    <w:rsid w:val="002346EC"/>
    <w:rsid w:val="00234B69"/>
    <w:rsid w:val="00237528"/>
    <w:rsid w:val="00242F2E"/>
    <w:rsid w:val="002441B6"/>
    <w:rsid w:val="00244206"/>
    <w:rsid w:val="00244509"/>
    <w:rsid w:val="00244AC6"/>
    <w:rsid w:val="00244F07"/>
    <w:rsid w:val="00247286"/>
    <w:rsid w:val="00247438"/>
    <w:rsid w:val="002476BE"/>
    <w:rsid w:val="00250E87"/>
    <w:rsid w:val="00251FA0"/>
    <w:rsid w:val="00254B5E"/>
    <w:rsid w:val="00255E34"/>
    <w:rsid w:val="00256199"/>
    <w:rsid w:val="00263869"/>
    <w:rsid w:val="00263B64"/>
    <w:rsid w:val="00263C99"/>
    <w:rsid w:val="002640E2"/>
    <w:rsid w:val="00264F57"/>
    <w:rsid w:val="00267884"/>
    <w:rsid w:val="00267B79"/>
    <w:rsid w:val="00271219"/>
    <w:rsid w:val="00271E01"/>
    <w:rsid w:val="0027367A"/>
    <w:rsid w:val="002738AA"/>
    <w:rsid w:val="00273E8F"/>
    <w:rsid w:val="00275059"/>
    <w:rsid w:val="0027516B"/>
    <w:rsid w:val="00275418"/>
    <w:rsid w:val="00275D3A"/>
    <w:rsid w:val="00276EE0"/>
    <w:rsid w:val="002772A6"/>
    <w:rsid w:val="002818DC"/>
    <w:rsid w:val="00281C96"/>
    <w:rsid w:val="00283037"/>
    <w:rsid w:val="0028348F"/>
    <w:rsid w:val="0028378B"/>
    <w:rsid w:val="00283B31"/>
    <w:rsid w:val="00283E42"/>
    <w:rsid w:val="002852CB"/>
    <w:rsid w:val="00286E2D"/>
    <w:rsid w:val="00291A0A"/>
    <w:rsid w:val="002929E2"/>
    <w:rsid w:val="002944BC"/>
    <w:rsid w:val="002945E4"/>
    <w:rsid w:val="002946C2"/>
    <w:rsid w:val="00295074"/>
    <w:rsid w:val="00296251"/>
    <w:rsid w:val="002976DA"/>
    <w:rsid w:val="002A1CD5"/>
    <w:rsid w:val="002A232C"/>
    <w:rsid w:val="002A316C"/>
    <w:rsid w:val="002A36FA"/>
    <w:rsid w:val="002A3E0C"/>
    <w:rsid w:val="002A5176"/>
    <w:rsid w:val="002A54B1"/>
    <w:rsid w:val="002A65F1"/>
    <w:rsid w:val="002A6FB6"/>
    <w:rsid w:val="002A7589"/>
    <w:rsid w:val="002B2C56"/>
    <w:rsid w:val="002B3361"/>
    <w:rsid w:val="002B5C3F"/>
    <w:rsid w:val="002B6587"/>
    <w:rsid w:val="002B7668"/>
    <w:rsid w:val="002C0998"/>
    <w:rsid w:val="002C0FB7"/>
    <w:rsid w:val="002C1F2B"/>
    <w:rsid w:val="002C2DC5"/>
    <w:rsid w:val="002C633F"/>
    <w:rsid w:val="002C7897"/>
    <w:rsid w:val="002D023A"/>
    <w:rsid w:val="002D0428"/>
    <w:rsid w:val="002D0C3A"/>
    <w:rsid w:val="002D1EB5"/>
    <w:rsid w:val="002D4C4E"/>
    <w:rsid w:val="002D662D"/>
    <w:rsid w:val="002D6BFE"/>
    <w:rsid w:val="002D73C3"/>
    <w:rsid w:val="002E0C0A"/>
    <w:rsid w:val="002E0E5A"/>
    <w:rsid w:val="002E0F78"/>
    <w:rsid w:val="002E0F9B"/>
    <w:rsid w:val="002E4309"/>
    <w:rsid w:val="002F00B1"/>
    <w:rsid w:val="002F00F4"/>
    <w:rsid w:val="002F1B5C"/>
    <w:rsid w:val="002F301E"/>
    <w:rsid w:val="002F4945"/>
    <w:rsid w:val="002F5270"/>
    <w:rsid w:val="002F53F8"/>
    <w:rsid w:val="002F57A9"/>
    <w:rsid w:val="002F5850"/>
    <w:rsid w:val="002F7B79"/>
    <w:rsid w:val="00301D01"/>
    <w:rsid w:val="00302280"/>
    <w:rsid w:val="00305C71"/>
    <w:rsid w:val="00310BC9"/>
    <w:rsid w:val="00310FF4"/>
    <w:rsid w:val="0031228D"/>
    <w:rsid w:val="00315678"/>
    <w:rsid w:val="00315EB3"/>
    <w:rsid w:val="00316F5E"/>
    <w:rsid w:val="003175D5"/>
    <w:rsid w:val="00317687"/>
    <w:rsid w:val="00317727"/>
    <w:rsid w:val="00320D52"/>
    <w:rsid w:val="00322FE9"/>
    <w:rsid w:val="00323A73"/>
    <w:rsid w:val="00323D3E"/>
    <w:rsid w:val="00324A7B"/>
    <w:rsid w:val="003257AE"/>
    <w:rsid w:val="00326B88"/>
    <w:rsid w:val="00326F1E"/>
    <w:rsid w:val="00326F8F"/>
    <w:rsid w:val="00327DBF"/>
    <w:rsid w:val="00327EA1"/>
    <w:rsid w:val="00330972"/>
    <w:rsid w:val="00330DB0"/>
    <w:rsid w:val="00331172"/>
    <w:rsid w:val="003322C6"/>
    <w:rsid w:val="0033338D"/>
    <w:rsid w:val="0033347F"/>
    <w:rsid w:val="0033586D"/>
    <w:rsid w:val="00337AD4"/>
    <w:rsid w:val="00341465"/>
    <w:rsid w:val="00341D59"/>
    <w:rsid w:val="00342A8E"/>
    <w:rsid w:val="00342F7B"/>
    <w:rsid w:val="0034331A"/>
    <w:rsid w:val="00344D8A"/>
    <w:rsid w:val="00344DD9"/>
    <w:rsid w:val="00345A1C"/>
    <w:rsid w:val="0034698A"/>
    <w:rsid w:val="00346F86"/>
    <w:rsid w:val="003470A7"/>
    <w:rsid w:val="00347D61"/>
    <w:rsid w:val="00350F32"/>
    <w:rsid w:val="00351CF1"/>
    <w:rsid w:val="00351F17"/>
    <w:rsid w:val="00352404"/>
    <w:rsid w:val="00353758"/>
    <w:rsid w:val="003537B7"/>
    <w:rsid w:val="003543AC"/>
    <w:rsid w:val="003552CA"/>
    <w:rsid w:val="00355386"/>
    <w:rsid w:val="00355DF5"/>
    <w:rsid w:val="003579BB"/>
    <w:rsid w:val="003609AC"/>
    <w:rsid w:val="00361A98"/>
    <w:rsid w:val="003635E4"/>
    <w:rsid w:val="003651D3"/>
    <w:rsid w:val="0036618F"/>
    <w:rsid w:val="00366C1E"/>
    <w:rsid w:val="00367027"/>
    <w:rsid w:val="00367FF8"/>
    <w:rsid w:val="0037076C"/>
    <w:rsid w:val="00370B83"/>
    <w:rsid w:val="00371181"/>
    <w:rsid w:val="00371915"/>
    <w:rsid w:val="00373D24"/>
    <w:rsid w:val="0037620A"/>
    <w:rsid w:val="003763A3"/>
    <w:rsid w:val="00376995"/>
    <w:rsid w:val="00382E39"/>
    <w:rsid w:val="0038546D"/>
    <w:rsid w:val="00385BA7"/>
    <w:rsid w:val="003868D1"/>
    <w:rsid w:val="00386B4E"/>
    <w:rsid w:val="00387E52"/>
    <w:rsid w:val="00390301"/>
    <w:rsid w:val="0039272A"/>
    <w:rsid w:val="00393A21"/>
    <w:rsid w:val="003945AF"/>
    <w:rsid w:val="00394849"/>
    <w:rsid w:val="00395514"/>
    <w:rsid w:val="003966D2"/>
    <w:rsid w:val="0039679C"/>
    <w:rsid w:val="00397396"/>
    <w:rsid w:val="003976FA"/>
    <w:rsid w:val="00397DFE"/>
    <w:rsid w:val="003A014D"/>
    <w:rsid w:val="003A0196"/>
    <w:rsid w:val="003A3AD1"/>
    <w:rsid w:val="003A3BE1"/>
    <w:rsid w:val="003A3F1F"/>
    <w:rsid w:val="003A52EA"/>
    <w:rsid w:val="003A5B82"/>
    <w:rsid w:val="003A5BD4"/>
    <w:rsid w:val="003A6CD9"/>
    <w:rsid w:val="003A778F"/>
    <w:rsid w:val="003B0249"/>
    <w:rsid w:val="003B6791"/>
    <w:rsid w:val="003C012E"/>
    <w:rsid w:val="003C0958"/>
    <w:rsid w:val="003C2EEF"/>
    <w:rsid w:val="003C367F"/>
    <w:rsid w:val="003C44DA"/>
    <w:rsid w:val="003C6D04"/>
    <w:rsid w:val="003D0335"/>
    <w:rsid w:val="003D12B3"/>
    <w:rsid w:val="003D34BD"/>
    <w:rsid w:val="003D3766"/>
    <w:rsid w:val="003D59ED"/>
    <w:rsid w:val="003E0B90"/>
    <w:rsid w:val="003E3D22"/>
    <w:rsid w:val="003E48CF"/>
    <w:rsid w:val="003E4B10"/>
    <w:rsid w:val="003E4B7A"/>
    <w:rsid w:val="003E4F8A"/>
    <w:rsid w:val="003E56BF"/>
    <w:rsid w:val="003E5A84"/>
    <w:rsid w:val="003F23D5"/>
    <w:rsid w:val="003F2961"/>
    <w:rsid w:val="003F4C82"/>
    <w:rsid w:val="003F5B2D"/>
    <w:rsid w:val="003F621E"/>
    <w:rsid w:val="003F6A30"/>
    <w:rsid w:val="00400410"/>
    <w:rsid w:val="0040126C"/>
    <w:rsid w:val="00403871"/>
    <w:rsid w:val="00404687"/>
    <w:rsid w:val="00405ACA"/>
    <w:rsid w:val="00407431"/>
    <w:rsid w:val="00411280"/>
    <w:rsid w:val="00411A52"/>
    <w:rsid w:val="00411D00"/>
    <w:rsid w:val="004130E6"/>
    <w:rsid w:val="004139AB"/>
    <w:rsid w:val="00413BE3"/>
    <w:rsid w:val="0041715E"/>
    <w:rsid w:val="00420B74"/>
    <w:rsid w:val="00420E7C"/>
    <w:rsid w:val="004210F5"/>
    <w:rsid w:val="0042217E"/>
    <w:rsid w:val="00422A4F"/>
    <w:rsid w:val="00422E3D"/>
    <w:rsid w:val="004235C1"/>
    <w:rsid w:val="004243DB"/>
    <w:rsid w:val="004253CB"/>
    <w:rsid w:val="0042761A"/>
    <w:rsid w:val="004313BF"/>
    <w:rsid w:val="004318DD"/>
    <w:rsid w:val="00431F6D"/>
    <w:rsid w:val="00433CC5"/>
    <w:rsid w:val="00433D46"/>
    <w:rsid w:val="00433DD8"/>
    <w:rsid w:val="004434FD"/>
    <w:rsid w:val="0044427A"/>
    <w:rsid w:val="00445FCE"/>
    <w:rsid w:val="0044662E"/>
    <w:rsid w:val="00447211"/>
    <w:rsid w:val="0045004E"/>
    <w:rsid w:val="004510B5"/>
    <w:rsid w:val="00452168"/>
    <w:rsid w:val="00455358"/>
    <w:rsid w:val="00457420"/>
    <w:rsid w:val="004610F7"/>
    <w:rsid w:val="00461E25"/>
    <w:rsid w:val="0046484E"/>
    <w:rsid w:val="004663B3"/>
    <w:rsid w:val="0046715B"/>
    <w:rsid w:val="00467CE1"/>
    <w:rsid w:val="00467D94"/>
    <w:rsid w:val="00473274"/>
    <w:rsid w:val="004740A7"/>
    <w:rsid w:val="00476A68"/>
    <w:rsid w:val="00476F50"/>
    <w:rsid w:val="00481DA8"/>
    <w:rsid w:val="00482C25"/>
    <w:rsid w:val="0048397C"/>
    <w:rsid w:val="00483B37"/>
    <w:rsid w:val="00486415"/>
    <w:rsid w:val="00486591"/>
    <w:rsid w:val="00487FD4"/>
    <w:rsid w:val="0049147A"/>
    <w:rsid w:val="00492E56"/>
    <w:rsid w:val="004930A3"/>
    <w:rsid w:val="00493892"/>
    <w:rsid w:val="0049429E"/>
    <w:rsid w:val="00496631"/>
    <w:rsid w:val="004A0A34"/>
    <w:rsid w:val="004A1389"/>
    <w:rsid w:val="004A1AFA"/>
    <w:rsid w:val="004A2942"/>
    <w:rsid w:val="004A2A6B"/>
    <w:rsid w:val="004A3CAA"/>
    <w:rsid w:val="004A3D39"/>
    <w:rsid w:val="004A44D4"/>
    <w:rsid w:val="004A4778"/>
    <w:rsid w:val="004A5674"/>
    <w:rsid w:val="004A5BEA"/>
    <w:rsid w:val="004A6535"/>
    <w:rsid w:val="004B0C57"/>
    <w:rsid w:val="004B0F42"/>
    <w:rsid w:val="004B17E0"/>
    <w:rsid w:val="004B2ADF"/>
    <w:rsid w:val="004B2EDB"/>
    <w:rsid w:val="004B49ED"/>
    <w:rsid w:val="004B587A"/>
    <w:rsid w:val="004B6BE3"/>
    <w:rsid w:val="004C0224"/>
    <w:rsid w:val="004C0E41"/>
    <w:rsid w:val="004C0EB4"/>
    <w:rsid w:val="004C1EDA"/>
    <w:rsid w:val="004C6698"/>
    <w:rsid w:val="004C6D0A"/>
    <w:rsid w:val="004D3028"/>
    <w:rsid w:val="004D3B28"/>
    <w:rsid w:val="004D46D7"/>
    <w:rsid w:val="004D63FF"/>
    <w:rsid w:val="004D6529"/>
    <w:rsid w:val="004E0ED5"/>
    <w:rsid w:val="004E2128"/>
    <w:rsid w:val="004E341D"/>
    <w:rsid w:val="004E48B4"/>
    <w:rsid w:val="004E4D72"/>
    <w:rsid w:val="004E5A34"/>
    <w:rsid w:val="004E6716"/>
    <w:rsid w:val="004E692B"/>
    <w:rsid w:val="004E79B4"/>
    <w:rsid w:val="004F0976"/>
    <w:rsid w:val="004F0C9C"/>
    <w:rsid w:val="004F0F24"/>
    <w:rsid w:val="004F282B"/>
    <w:rsid w:val="004F30FD"/>
    <w:rsid w:val="004F37A1"/>
    <w:rsid w:val="004F37B3"/>
    <w:rsid w:val="004F47BC"/>
    <w:rsid w:val="004F5A06"/>
    <w:rsid w:val="004F6164"/>
    <w:rsid w:val="004F6E07"/>
    <w:rsid w:val="005006B9"/>
    <w:rsid w:val="00501BC5"/>
    <w:rsid w:val="00501C29"/>
    <w:rsid w:val="0050204F"/>
    <w:rsid w:val="0050225E"/>
    <w:rsid w:val="00504E8E"/>
    <w:rsid w:val="00504EDE"/>
    <w:rsid w:val="00505F57"/>
    <w:rsid w:val="005061C4"/>
    <w:rsid w:val="005104F9"/>
    <w:rsid w:val="00510FDE"/>
    <w:rsid w:val="00511033"/>
    <w:rsid w:val="005112BB"/>
    <w:rsid w:val="00511A76"/>
    <w:rsid w:val="00511D6D"/>
    <w:rsid w:val="005122C1"/>
    <w:rsid w:val="005147F1"/>
    <w:rsid w:val="005206EB"/>
    <w:rsid w:val="00520776"/>
    <w:rsid w:val="00522D4D"/>
    <w:rsid w:val="00525D02"/>
    <w:rsid w:val="00525EFA"/>
    <w:rsid w:val="005274F4"/>
    <w:rsid w:val="00527A84"/>
    <w:rsid w:val="00531509"/>
    <w:rsid w:val="00531875"/>
    <w:rsid w:val="00531F55"/>
    <w:rsid w:val="0053228E"/>
    <w:rsid w:val="00535E55"/>
    <w:rsid w:val="00536A86"/>
    <w:rsid w:val="00537461"/>
    <w:rsid w:val="005409C9"/>
    <w:rsid w:val="00541075"/>
    <w:rsid w:val="00541660"/>
    <w:rsid w:val="00541C3A"/>
    <w:rsid w:val="00542709"/>
    <w:rsid w:val="0054388B"/>
    <w:rsid w:val="0054453A"/>
    <w:rsid w:val="00544577"/>
    <w:rsid w:val="00545586"/>
    <w:rsid w:val="00545D05"/>
    <w:rsid w:val="0055156D"/>
    <w:rsid w:val="00551F88"/>
    <w:rsid w:val="0055217C"/>
    <w:rsid w:val="005530BA"/>
    <w:rsid w:val="00553AD9"/>
    <w:rsid w:val="00553DA8"/>
    <w:rsid w:val="005541BE"/>
    <w:rsid w:val="00555A20"/>
    <w:rsid w:val="00562FE5"/>
    <w:rsid w:val="005632F5"/>
    <w:rsid w:val="00563E95"/>
    <w:rsid w:val="00563F35"/>
    <w:rsid w:val="00564D82"/>
    <w:rsid w:val="00566EBA"/>
    <w:rsid w:val="00566EE2"/>
    <w:rsid w:val="00567F2F"/>
    <w:rsid w:val="0057080A"/>
    <w:rsid w:val="00570FCA"/>
    <w:rsid w:val="00572527"/>
    <w:rsid w:val="0057271F"/>
    <w:rsid w:val="00573F97"/>
    <w:rsid w:val="005745E3"/>
    <w:rsid w:val="00574EF3"/>
    <w:rsid w:val="00575653"/>
    <w:rsid w:val="00577191"/>
    <w:rsid w:val="0058037B"/>
    <w:rsid w:val="005810D0"/>
    <w:rsid w:val="00581D56"/>
    <w:rsid w:val="00583441"/>
    <w:rsid w:val="0058363A"/>
    <w:rsid w:val="00586901"/>
    <w:rsid w:val="00587165"/>
    <w:rsid w:val="00591A91"/>
    <w:rsid w:val="00591EDF"/>
    <w:rsid w:val="00592620"/>
    <w:rsid w:val="0059462C"/>
    <w:rsid w:val="00594C9E"/>
    <w:rsid w:val="00594DF4"/>
    <w:rsid w:val="00595DB5"/>
    <w:rsid w:val="00597E71"/>
    <w:rsid w:val="005A087F"/>
    <w:rsid w:val="005A1877"/>
    <w:rsid w:val="005A5617"/>
    <w:rsid w:val="005A617B"/>
    <w:rsid w:val="005B0FE6"/>
    <w:rsid w:val="005B12B3"/>
    <w:rsid w:val="005B28C0"/>
    <w:rsid w:val="005B2C09"/>
    <w:rsid w:val="005B414C"/>
    <w:rsid w:val="005B7B09"/>
    <w:rsid w:val="005C13E5"/>
    <w:rsid w:val="005C671E"/>
    <w:rsid w:val="005C7804"/>
    <w:rsid w:val="005C7F3F"/>
    <w:rsid w:val="005D1630"/>
    <w:rsid w:val="005D4572"/>
    <w:rsid w:val="005D5F27"/>
    <w:rsid w:val="005D6419"/>
    <w:rsid w:val="005D6770"/>
    <w:rsid w:val="005D7A46"/>
    <w:rsid w:val="005E00EB"/>
    <w:rsid w:val="005E0127"/>
    <w:rsid w:val="005E0470"/>
    <w:rsid w:val="005E16F3"/>
    <w:rsid w:val="005E282A"/>
    <w:rsid w:val="005E3350"/>
    <w:rsid w:val="005E33E7"/>
    <w:rsid w:val="005E4435"/>
    <w:rsid w:val="005E46D8"/>
    <w:rsid w:val="005E4EAE"/>
    <w:rsid w:val="005E7426"/>
    <w:rsid w:val="005F0D5A"/>
    <w:rsid w:val="005F13FD"/>
    <w:rsid w:val="005F2113"/>
    <w:rsid w:val="005F37F3"/>
    <w:rsid w:val="005F389B"/>
    <w:rsid w:val="005F4884"/>
    <w:rsid w:val="005F5C44"/>
    <w:rsid w:val="00601546"/>
    <w:rsid w:val="006017D8"/>
    <w:rsid w:val="00601AC4"/>
    <w:rsid w:val="00603223"/>
    <w:rsid w:val="006033ED"/>
    <w:rsid w:val="006045A6"/>
    <w:rsid w:val="006050DE"/>
    <w:rsid w:val="006058A7"/>
    <w:rsid w:val="00611CAA"/>
    <w:rsid w:val="006127F5"/>
    <w:rsid w:val="00613651"/>
    <w:rsid w:val="00613964"/>
    <w:rsid w:val="006159C7"/>
    <w:rsid w:val="00616E8D"/>
    <w:rsid w:val="006174F6"/>
    <w:rsid w:val="00617918"/>
    <w:rsid w:val="00617C49"/>
    <w:rsid w:val="0062029F"/>
    <w:rsid w:val="0062061B"/>
    <w:rsid w:val="00620868"/>
    <w:rsid w:val="00620914"/>
    <w:rsid w:val="00621617"/>
    <w:rsid w:val="006218B6"/>
    <w:rsid w:val="0062348F"/>
    <w:rsid w:val="006235D4"/>
    <w:rsid w:val="00623718"/>
    <w:rsid w:val="00624283"/>
    <w:rsid w:val="00627CF1"/>
    <w:rsid w:val="0063041F"/>
    <w:rsid w:val="0063096E"/>
    <w:rsid w:val="006318CC"/>
    <w:rsid w:val="006334F0"/>
    <w:rsid w:val="00634806"/>
    <w:rsid w:val="00634DF3"/>
    <w:rsid w:val="00635797"/>
    <w:rsid w:val="006359F9"/>
    <w:rsid w:val="00636282"/>
    <w:rsid w:val="00636383"/>
    <w:rsid w:val="00636FCD"/>
    <w:rsid w:val="00637AE6"/>
    <w:rsid w:val="0064040D"/>
    <w:rsid w:val="006409DB"/>
    <w:rsid w:val="006436C8"/>
    <w:rsid w:val="006457BD"/>
    <w:rsid w:val="006468BE"/>
    <w:rsid w:val="00647460"/>
    <w:rsid w:val="006476DF"/>
    <w:rsid w:val="006478B3"/>
    <w:rsid w:val="006514D2"/>
    <w:rsid w:val="00652A38"/>
    <w:rsid w:val="00653F28"/>
    <w:rsid w:val="006563D5"/>
    <w:rsid w:val="00661F43"/>
    <w:rsid w:val="006643ED"/>
    <w:rsid w:val="0066601A"/>
    <w:rsid w:val="0066601D"/>
    <w:rsid w:val="00666C30"/>
    <w:rsid w:val="00666D7D"/>
    <w:rsid w:val="00667005"/>
    <w:rsid w:val="0066727E"/>
    <w:rsid w:val="0066730D"/>
    <w:rsid w:val="006674CD"/>
    <w:rsid w:val="006703C1"/>
    <w:rsid w:val="00675351"/>
    <w:rsid w:val="00675BE6"/>
    <w:rsid w:val="00682A12"/>
    <w:rsid w:val="00682E13"/>
    <w:rsid w:val="00684184"/>
    <w:rsid w:val="006848A1"/>
    <w:rsid w:val="00685887"/>
    <w:rsid w:val="006870D9"/>
    <w:rsid w:val="006905DE"/>
    <w:rsid w:val="006905F1"/>
    <w:rsid w:val="00690942"/>
    <w:rsid w:val="00691048"/>
    <w:rsid w:val="00691154"/>
    <w:rsid w:val="00692A07"/>
    <w:rsid w:val="006932C1"/>
    <w:rsid w:val="00694FBB"/>
    <w:rsid w:val="00695588"/>
    <w:rsid w:val="006A161B"/>
    <w:rsid w:val="006A485B"/>
    <w:rsid w:val="006B07EA"/>
    <w:rsid w:val="006B094B"/>
    <w:rsid w:val="006B0CFC"/>
    <w:rsid w:val="006B0D46"/>
    <w:rsid w:val="006B198E"/>
    <w:rsid w:val="006B374B"/>
    <w:rsid w:val="006B4473"/>
    <w:rsid w:val="006B45F9"/>
    <w:rsid w:val="006B5179"/>
    <w:rsid w:val="006B65C6"/>
    <w:rsid w:val="006C14EB"/>
    <w:rsid w:val="006C22C3"/>
    <w:rsid w:val="006C4B47"/>
    <w:rsid w:val="006C5A07"/>
    <w:rsid w:val="006C5C0C"/>
    <w:rsid w:val="006C5DCF"/>
    <w:rsid w:val="006C7220"/>
    <w:rsid w:val="006C7C55"/>
    <w:rsid w:val="006D01CC"/>
    <w:rsid w:val="006D21FB"/>
    <w:rsid w:val="006D2309"/>
    <w:rsid w:val="006D2503"/>
    <w:rsid w:val="006D6D12"/>
    <w:rsid w:val="006D6FAE"/>
    <w:rsid w:val="006E04D8"/>
    <w:rsid w:val="006E0BB4"/>
    <w:rsid w:val="006E248F"/>
    <w:rsid w:val="006E369F"/>
    <w:rsid w:val="006E408B"/>
    <w:rsid w:val="006E54DE"/>
    <w:rsid w:val="006E628E"/>
    <w:rsid w:val="006E6F14"/>
    <w:rsid w:val="006E7616"/>
    <w:rsid w:val="006E77F4"/>
    <w:rsid w:val="006E78F0"/>
    <w:rsid w:val="006F0972"/>
    <w:rsid w:val="006F0C19"/>
    <w:rsid w:val="006F13FA"/>
    <w:rsid w:val="006F1C8C"/>
    <w:rsid w:val="006F4C3A"/>
    <w:rsid w:val="006F5304"/>
    <w:rsid w:val="006F6228"/>
    <w:rsid w:val="006F7739"/>
    <w:rsid w:val="006F79B8"/>
    <w:rsid w:val="00700DA5"/>
    <w:rsid w:val="00701998"/>
    <w:rsid w:val="007019AD"/>
    <w:rsid w:val="00702FD3"/>
    <w:rsid w:val="0070329F"/>
    <w:rsid w:val="007038A0"/>
    <w:rsid w:val="007044FA"/>
    <w:rsid w:val="00705CFC"/>
    <w:rsid w:val="00706448"/>
    <w:rsid w:val="007078D9"/>
    <w:rsid w:val="00707CAB"/>
    <w:rsid w:val="00710A50"/>
    <w:rsid w:val="007114F4"/>
    <w:rsid w:val="0071175F"/>
    <w:rsid w:val="00714616"/>
    <w:rsid w:val="00714846"/>
    <w:rsid w:val="0071494A"/>
    <w:rsid w:val="00715C10"/>
    <w:rsid w:val="00716E39"/>
    <w:rsid w:val="00717DE0"/>
    <w:rsid w:val="00720B9B"/>
    <w:rsid w:val="00723170"/>
    <w:rsid w:val="00724972"/>
    <w:rsid w:val="007250A2"/>
    <w:rsid w:val="00726634"/>
    <w:rsid w:val="007273FB"/>
    <w:rsid w:val="007304C3"/>
    <w:rsid w:val="007306D7"/>
    <w:rsid w:val="0073148C"/>
    <w:rsid w:val="0073283F"/>
    <w:rsid w:val="007340EB"/>
    <w:rsid w:val="007364DF"/>
    <w:rsid w:val="0074017A"/>
    <w:rsid w:val="0074170C"/>
    <w:rsid w:val="00741AD0"/>
    <w:rsid w:val="0074363C"/>
    <w:rsid w:val="0074620B"/>
    <w:rsid w:val="007477AF"/>
    <w:rsid w:val="00747E62"/>
    <w:rsid w:val="00747FCE"/>
    <w:rsid w:val="00747FD0"/>
    <w:rsid w:val="0075016F"/>
    <w:rsid w:val="007502B6"/>
    <w:rsid w:val="00750C8C"/>
    <w:rsid w:val="007510C6"/>
    <w:rsid w:val="0075142C"/>
    <w:rsid w:val="007520FA"/>
    <w:rsid w:val="00752D05"/>
    <w:rsid w:val="00756B07"/>
    <w:rsid w:val="00757194"/>
    <w:rsid w:val="00757AE6"/>
    <w:rsid w:val="00760558"/>
    <w:rsid w:val="00761ADC"/>
    <w:rsid w:val="00762B59"/>
    <w:rsid w:val="00763698"/>
    <w:rsid w:val="0076402B"/>
    <w:rsid w:val="007646E5"/>
    <w:rsid w:val="00764D04"/>
    <w:rsid w:val="0076586C"/>
    <w:rsid w:val="00771230"/>
    <w:rsid w:val="00771755"/>
    <w:rsid w:val="00776159"/>
    <w:rsid w:val="00776D3E"/>
    <w:rsid w:val="007819C4"/>
    <w:rsid w:val="00782352"/>
    <w:rsid w:val="0078242C"/>
    <w:rsid w:val="00783086"/>
    <w:rsid w:val="00783DEE"/>
    <w:rsid w:val="00784391"/>
    <w:rsid w:val="00784ADE"/>
    <w:rsid w:val="00784EEF"/>
    <w:rsid w:val="0078583A"/>
    <w:rsid w:val="00785F24"/>
    <w:rsid w:val="007862D0"/>
    <w:rsid w:val="00786C3C"/>
    <w:rsid w:val="00786F64"/>
    <w:rsid w:val="007915E2"/>
    <w:rsid w:val="007922C7"/>
    <w:rsid w:val="0079482B"/>
    <w:rsid w:val="007956D6"/>
    <w:rsid w:val="0079593B"/>
    <w:rsid w:val="007A0659"/>
    <w:rsid w:val="007A2B7A"/>
    <w:rsid w:val="007A35D3"/>
    <w:rsid w:val="007A438D"/>
    <w:rsid w:val="007A4873"/>
    <w:rsid w:val="007A6F85"/>
    <w:rsid w:val="007A7C14"/>
    <w:rsid w:val="007B06F9"/>
    <w:rsid w:val="007B22B3"/>
    <w:rsid w:val="007B3892"/>
    <w:rsid w:val="007B3A0B"/>
    <w:rsid w:val="007B4284"/>
    <w:rsid w:val="007B436E"/>
    <w:rsid w:val="007B452E"/>
    <w:rsid w:val="007B48B3"/>
    <w:rsid w:val="007B5CE7"/>
    <w:rsid w:val="007B67E3"/>
    <w:rsid w:val="007B7AA2"/>
    <w:rsid w:val="007B7F8E"/>
    <w:rsid w:val="007C043B"/>
    <w:rsid w:val="007C0FA2"/>
    <w:rsid w:val="007C2F4D"/>
    <w:rsid w:val="007C41E1"/>
    <w:rsid w:val="007C42B6"/>
    <w:rsid w:val="007C5558"/>
    <w:rsid w:val="007C5688"/>
    <w:rsid w:val="007C6277"/>
    <w:rsid w:val="007C7D89"/>
    <w:rsid w:val="007D0C0E"/>
    <w:rsid w:val="007D1E6A"/>
    <w:rsid w:val="007D2205"/>
    <w:rsid w:val="007D327A"/>
    <w:rsid w:val="007D40FA"/>
    <w:rsid w:val="007D45D5"/>
    <w:rsid w:val="007D4B1D"/>
    <w:rsid w:val="007D5570"/>
    <w:rsid w:val="007D7F0D"/>
    <w:rsid w:val="007D7F29"/>
    <w:rsid w:val="007E1331"/>
    <w:rsid w:val="007E1729"/>
    <w:rsid w:val="007E3090"/>
    <w:rsid w:val="007E3AD2"/>
    <w:rsid w:val="007E4C03"/>
    <w:rsid w:val="007E538C"/>
    <w:rsid w:val="007F2E24"/>
    <w:rsid w:val="007F3F18"/>
    <w:rsid w:val="007F544B"/>
    <w:rsid w:val="007F654A"/>
    <w:rsid w:val="007F6889"/>
    <w:rsid w:val="007F7A7E"/>
    <w:rsid w:val="00801861"/>
    <w:rsid w:val="00801E62"/>
    <w:rsid w:val="0080216B"/>
    <w:rsid w:val="00805AE3"/>
    <w:rsid w:val="008102F9"/>
    <w:rsid w:val="00811AAD"/>
    <w:rsid w:val="00812598"/>
    <w:rsid w:val="00812AC0"/>
    <w:rsid w:val="00814199"/>
    <w:rsid w:val="0081509D"/>
    <w:rsid w:val="00815D3B"/>
    <w:rsid w:val="008179C1"/>
    <w:rsid w:val="00820451"/>
    <w:rsid w:val="00822A0D"/>
    <w:rsid w:val="0082423E"/>
    <w:rsid w:val="008268EC"/>
    <w:rsid w:val="008275EF"/>
    <w:rsid w:val="00831069"/>
    <w:rsid w:val="008313DE"/>
    <w:rsid w:val="008314AA"/>
    <w:rsid w:val="008316C2"/>
    <w:rsid w:val="00832843"/>
    <w:rsid w:val="008330FD"/>
    <w:rsid w:val="008348C7"/>
    <w:rsid w:val="0083561A"/>
    <w:rsid w:val="00835ABE"/>
    <w:rsid w:val="00835BB4"/>
    <w:rsid w:val="008363CB"/>
    <w:rsid w:val="0083791F"/>
    <w:rsid w:val="008412AE"/>
    <w:rsid w:val="00841C16"/>
    <w:rsid w:val="00841FF1"/>
    <w:rsid w:val="00842509"/>
    <w:rsid w:val="00842B7D"/>
    <w:rsid w:val="008457A1"/>
    <w:rsid w:val="00847648"/>
    <w:rsid w:val="0084774E"/>
    <w:rsid w:val="00850360"/>
    <w:rsid w:val="008503EE"/>
    <w:rsid w:val="00850815"/>
    <w:rsid w:val="00852A84"/>
    <w:rsid w:val="00852C50"/>
    <w:rsid w:val="00853C91"/>
    <w:rsid w:val="008561F4"/>
    <w:rsid w:val="008600C6"/>
    <w:rsid w:val="00860933"/>
    <w:rsid w:val="008611D0"/>
    <w:rsid w:val="0086433D"/>
    <w:rsid w:val="00864344"/>
    <w:rsid w:val="00864F41"/>
    <w:rsid w:val="0086609D"/>
    <w:rsid w:val="00866DA9"/>
    <w:rsid w:val="00867AFD"/>
    <w:rsid w:val="00870785"/>
    <w:rsid w:val="00874361"/>
    <w:rsid w:val="008748BB"/>
    <w:rsid w:val="00875C7F"/>
    <w:rsid w:val="00876DFD"/>
    <w:rsid w:val="0088050F"/>
    <w:rsid w:val="008823C2"/>
    <w:rsid w:val="0088707E"/>
    <w:rsid w:val="008870A1"/>
    <w:rsid w:val="00891870"/>
    <w:rsid w:val="00892B61"/>
    <w:rsid w:val="00894D89"/>
    <w:rsid w:val="008A18C0"/>
    <w:rsid w:val="008A2BAA"/>
    <w:rsid w:val="008A38F2"/>
    <w:rsid w:val="008A417D"/>
    <w:rsid w:val="008A4200"/>
    <w:rsid w:val="008A4760"/>
    <w:rsid w:val="008A4B0B"/>
    <w:rsid w:val="008A4B93"/>
    <w:rsid w:val="008A516F"/>
    <w:rsid w:val="008A56E3"/>
    <w:rsid w:val="008A6158"/>
    <w:rsid w:val="008A6464"/>
    <w:rsid w:val="008A7AA1"/>
    <w:rsid w:val="008A7FA5"/>
    <w:rsid w:val="008B0169"/>
    <w:rsid w:val="008B19D4"/>
    <w:rsid w:val="008B2EA0"/>
    <w:rsid w:val="008B4100"/>
    <w:rsid w:val="008B4168"/>
    <w:rsid w:val="008B4822"/>
    <w:rsid w:val="008B5DDD"/>
    <w:rsid w:val="008B7CE7"/>
    <w:rsid w:val="008C1EBF"/>
    <w:rsid w:val="008C2F94"/>
    <w:rsid w:val="008C4CB9"/>
    <w:rsid w:val="008C5B70"/>
    <w:rsid w:val="008C6A78"/>
    <w:rsid w:val="008C6CB7"/>
    <w:rsid w:val="008C779D"/>
    <w:rsid w:val="008C78A7"/>
    <w:rsid w:val="008C7B04"/>
    <w:rsid w:val="008D2AE0"/>
    <w:rsid w:val="008D2D55"/>
    <w:rsid w:val="008D3300"/>
    <w:rsid w:val="008D3305"/>
    <w:rsid w:val="008D3E45"/>
    <w:rsid w:val="008D4C30"/>
    <w:rsid w:val="008D55DB"/>
    <w:rsid w:val="008D59B7"/>
    <w:rsid w:val="008E2722"/>
    <w:rsid w:val="008E2A11"/>
    <w:rsid w:val="008E2E0A"/>
    <w:rsid w:val="008E2FF6"/>
    <w:rsid w:val="008E7528"/>
    <w:rsid w:val="008F3261"/>
    <w:rsid w:val="008F3275"/>
    <w:rsid w:val="008F4730"/>
    <w:rsid w:val="008F6900"/>
    <w:rsid w:val="008F6A9B"/>
    <w:rsid w:val="00902382"/>
    <w:rsid w:val="00902B03"/>
    <w:rsid w:val="0090317A"/>
    <w:rsid w:val="009043EE"/>
    <w:rsid w:val="00905B58"/>
    <w:rsid w:val="009074E2"/>
    <w:rsid w:val="009076EF"/>
    <w:rsid w:val="0091047D"/>
    <w:rsid w:val="009140EA"/>
    <w:rsid w:val="00914178"/>
    <w:rsid w:val="00914424"/>
    <w:rsid w:val="00914E14"/>
    <w:rsid w:val="009160A4"/>
    <w:rsid w:val="00916A5A"/>
    <w:rsid w:val="009176BA"/>
    <w:rsid w:val="009177AD"/>
    <w:rsid w:val="00917A45"/>
    <w:rsid w:val="00917EB2"/>
    <w:rsid w:val="00921261"/>
    <w:rsid w:val="00922979"/>
    <w:rsid w:val="00922C4D"/>
    <w:rsid w:val="009247CB"/>
    <w:rsid w:val="009254B7"/>
    <w:rsid w:val="0092700A"/>
    <w:rsid w:val="00927187"/>
    <w:rsid w:val="009276CC"/>
    <w:rsid w:val="0092771F"/>
    <w:rsid w:val="00927F71"/>
    <w:rsid w:val="00930032"/>
    <w:rsid w:val="0093125F"/>
    <w:rsid w:val="00931C30"/>
    <w:rsid w:val="0093326E"/>
    <w:rsid w:val="00933BAD"/>
    <w:rsid w:val="009356E3"/>
    <w:rsid w:val="00936519"/>
    <w:rsid w:val="00940BCA"/>
    <w:rsid w:val="009420E4"/>
    <w:rsid w:val="009432B1"/>
    <w:rsid w:val="0094462A"/>
    <w:rsid w:val="009475DD"/>
    <w:rsid w:val="00947B79"/>
    <w:rsid w:val="00950C1F"/>
    <w:rsid w:val="00951FC5"/>
    <w:rsid w:val="009529D8"/>
    <w:rsid w:val="00952EA1"/>
    <w:rsid w:val="00953028"/>
    <w:rsid w:val="009536B9"/>
    <w:rsid w:val="00954FF4"/>
    <w:rsid w:val="00956D6D"/>
    <w:rsid w:val="009571C8"/>
    <w:rsid w:val="0095741C"/>
    <w:rsid w:val="00957E2D"/>
    <w:rsid w:val="009606FA"/>
    <w:rsid w:val="00960B11"/>
    <w:rsid w:val="00961903"/>
    <w:rsid w:val="009626FB"/>
    <w:rsid w:val="00962846"/>
    <w:rsid w:val="009635A3"/>
    <w:rsid w:val="00963E02"/>
    <w:rsid w:val="00966B5B"/>
    <w:rsid w:val="00966E81"/>
    <w:rsid w:val="009704F2"/>
    <w:rsid w:val="009705F2"/>
    <w:rsid w:val="009737CA"/>
    <w:rsid w:val="00973A7F"/>
    <w:rsid w:val="00974ED4"/>
    <w:rsid w:val="00977391"/>
    <w:rsid w:val="009817B3"/>
    <w:rsid w:val="0098261F"/>
    <w:rsid w:val="00982996"/>
    <w:rsid w:val="00983156"/>
    <w:rsid w:val="0098315B"/>
    <w:rsid w:val="00983E23"/>
    <w:rsid w:val="00984B74"/>
    <w:rsid w:val="00985F85"/>
    <w:rsid w:val="009868CF"/>
    <w:rsid w:val="00987866"/>
    <w:rsid w:val="00987E1A"/>
    <w:rsid w:val="00992919"/>
    <w:rsid w:val="0099484E"/>
    <w:rsid w:val="00994DFA"/>
    <w:rsid w:val="00995820"/>
    <w:rsid w:val="00995AC8"/>
    <w:rsid w:val="00997737"/>
    <w:rsid w:val="009A0F54"/>
    <w:rsid w:val="009A103A"/>
    <w:rsid w:val="009A10CF"/>
    <w:rsid w:val="009A21B4"/>
    <w:rsid w:val="009A254C"/>
    <w:rsid w:val="009A25A6"/>
    <w:rsid w:val="009A2E2B"/>
    <w:rsid w:val="009A3C13"/>
    <w:rsid w:val="009A7614"/>
    <w:rsid w:val="009B19B1"/>
    <w:rsid w:val="009B2A4C"/>
    <w:rsid w:val="009B2FC0"/>
    <w:rsid w:val="009B54FF"/>
    <w:rsid w:val="009C0410"/>
    <w:rsid w:val="009C0FBE"/>
    <w:rsid w:val="009C137E"/>
    <w:rsid w:val="009C14EC"/>
    <w:rsid w:val="009C311B"/>
    <w:rsid w:val="009C349C"/>
    <w:rsid w:val="009C5360"/>
    <w:rsid w:val="009C615C"/>
    <w:rsid w:val="009C6366"/>
    <w:rsid w:val="009C74B2"/>
    <w:rsid w:val="009D091B"/>
    <w:rsid w:val="009D0F76"/>
    <w:rsid w:val="009D15AB"/>
    <w:rsid w:val="009D25A5"/>
    <w:rsid w:val="009D53D2"/>
    <w:rsid w:val="009D6457"/>
    <w:rsid w:val="009D7DD7"/>
    <w:rsid w:val="009E04BF"/>
    <w:rsid w:val="009E4722"/>
    <w:rsid w:val="009E5CB3"/>
    <w:rsid w:val="009E69A7"/>
    <w:rsid w:val="009E7099"/>
    <w:rsid w:val="009E713B"/>
    <w:rsid w:val="009F0442"/>
    <w:rsid w:val="009F0E4D"/>
    <w:rsid w:val="009F2FBE"/>
    <w:rsid w:val="009F48E8"/>
    <w:rsid w:val="009F4D17"/>
    <w:rsid w:val="009F5194"/>
    <w:rsid w:val="009F5D87"/>
    <w:rsid w:val="00A001D2"/>
    <w:rsid w:val="00A01A98"/>
    <w:rsid w:val="00A05231"/>
    <w:rsid w:val="00A075EC"/>
    <w:rsid w:val="00A079CB"/>
    <w:rsid w:val="00A117A8"/>
    <w:rsid w:val="00A11E28"/>
    <w:rsid w:val="00A13EA4"/>
    <w:rsid w:val="00A158C7"/>
    <w:rsid w:val="00A15D1E"/>
    <w:rsid w:val="00A16032"/>
    <w:rsid w:val="00A17C3D"/>
    <w:rsid w:val="00A17D99"/>
    <w:rsid w:val="00A218CC"/>
    <w:rsid w:val="00A21A5D"/>
    <w:rsid w:val="00A22A3B"/>
    <w:rsid w:val="00A231E8"/>
    <w:rsid w:val="00A23361"/>
    <w:rsid w:val="00A233B2"/>
    <w:rsid w:val="00A239C8"/>
    <w:rsid w:val="00A255BA"/>
    <w:rsid w:val="00A25BA1"/>
    <w:rsid w:val="00A25EB7"/>
    <w:rsid w:val="00A27C96"/>
    <w:rsid w:val="00A32FCF"/>
    <w:rsid w:val="00A40D9D"/>
    <w:rsid w:val="00A41290"/>
    <w:rsid w:val="00A423A6"/>
    <w:rsid w:val="00A436EA"/>
    <w:rsid w:val="00A44987"/>
    <w:rsid w:val="00A47752"/>
    <w:rsid w:val="00A54814"/>
    <w:rsid w:val="00A55587"/>
    <w:rsid w:val="00A55771"/>
    <w:rsid w:val="00A5754A"/>
    <w:rsid w:val="00A63285"/>
    <w:rsid w:val="00A640DD"/>
    <w:rsid w:val="00A65C40"/>
    <w:rsid w:val="00A70F3D"/>
    <w:rsid w:val="00A71880"/>
    <w:rsid w:val="00A72F7D"/>
    <w:rsid w:val="00A76362"/>
    <w:rsid w:val="00A76815"/>
    <w:rsid w:val="00A81A06"/>
    <w:rsid w:val="00A8225D"/>
    <w:rsid w:val="00A82E30"/>
    <w:rsid w:val="00A857DD"/>
    <w:rsid w:val="00A859A5"/>
    <w:rsid w:val="00A86652"/>
    <w:rsid w:val="00A86FE2"/>
    <w:rsid w:val="00A87868"/>
    <w:rsid w:val="00A90672"/>
    <w:rsid w:val="00A90782"/>
    <w:rsid w:val="00A93F66"/>
    <w:rsid w:val="00A942F8"/>
    <w:rsid w:val="00A94BA8"/>
    <w:rsid w:val="00A94DB2"/>
    <w:rsid w:val="00A95ABA"/>
    <w:rsid w:val="00A96463"/>
    <w:rsid w:val="00AA0854"/>
    <w:rsid w:val="00AA2B1B"/>
    <w:rsid w:val="00AA2D91"/>
    <w:rsid w:val="00AA3354"/>
    <w:rsid w:val="00AA6623"/>
    <w:rsid w:val="00AA7778"/>
    <w:rsid w:val="00AA7EB2"/>
    <w:rsid w:val="00AB04D9"/>
    <w:rsid w:val="00AB17E0"/>
    <w:rsid w:val="00AB1B22"/>
    <w:rsid w:val="00AB3338"/>
    <w:rsid w:val="00AB3DC3"/>
    <w:rsid w:val="00AB3F10"/>
    <w:rsid w:val="00AC0E52"/>
    <w:rsid w:val="00AC200F"/>
    <w:rsid w:val="00AC37E3"/>
    <w:rsid w:val="00AC4B98"/>
    <w:rsid w:val="00AC550D"/>
    <w:rsid w:val="00AC7FAB"/>
    <w:rsid w:val="00AD0C1B"/>
    <w:rsid w:val="00AD4689"/>
    <w:rsid w:val="00AD635A"/>
    <w:rsid w:val="00AD7606"/>
    <w:rsid w:val="00AE1102"/>
    <w:rsid w:val="00AE252C"/>
    <w:rsid w:val="00AE374F"/>
    <w:rsid w:val="00AE3CA6"/>
    <w:rsid w:val="00AE4097"/>
    <w:rsid w:val="00AE4200"/>
    <w:rsid w:val="00AE44D4"/>
    <w:rsid w:val="00AE4DA3"/>
    <w:rsid w:val="00AE53A1"/>
    <w:rsid w:val="00AE5FCF"/>
    <w:rsid w:val="00AE6118"/>
    <w:rsid w:val="00AF0F01"/>
    <w:rsid w:val="00AF1DDC"/>
    <w:rsid w:val="00AF3A6B"/>
    <w:rsid w:val="00AF3B9C"/>
    <w:rsid w:val="00AF4E18"/>
    <w:rsid w:val="00AF4F77"/>
    <w:rsid w:val="00AF56B3"/>
    <w:rsid w:val="00AF648B"/>
    <w:rsid w:val="00AF6913"/>
    <w:rsid w:val="00AF6995"/>
    <w:rsid w:val="00AF6A47"/>
    <w:rsid w:val="00B001A5"/>
    <w:rsid w:val="00B00695"/>
    <w:rsid w:val="00B0197F"/>
    <w:rsid w:val="00B01C9F"/>
    <w:rsid w:val="00B02A18"/>
    <w:rsid w:val="00B0302E"/>
    <w:rsid w:val="00B03E5D"/>
    <w:rsid w:val="00B041DC"/>
    <w:rsid w:val="00B10AC7"/>
    <w:rsid w:val="00B10B17"/>
    <w:rsid w:val="00B114C7"/>
    <w:rsid w:val="00B114FA"/>
    <w:rsid w:val="00B120BD"/>
    <w:rsid w:val="00B13076"/>
    <w:rsid w:val="00B133F7"/>
    <w:rsid w:val="00B15552"/>
    <w:rsid w:val="00B15590"/>
    <w:rsid w:val="00B15754"/>
    <w:rsid w:val="00B15BF2"/>
    <w:rsid w:val="00B17000"/>
    <w:rsid w:val="00B20F5C"/>
    <w:rsid w:val="00B21596"/>
    <w:rsid w:val="00B21742"/>
    <w:rsid w:val="00B21C8B"/>
    <w:rsid w:val="00B21E1F"/>
    <w:rsid w:val="00B223DD"/>
    <w:rsid w:val="00B22977"/>
    <w:rsid w:val="00B259ED"/>
    <w:rsid w:val="00B267B0"/>
    <w:rsid w:val="00B26A08"/>
    <w:rsid w:val="00B27380"/>
    <w:rsid w:val="00B274DF"/>
    <w:rsid w:val="00B302D9"/>
    <w:rsid w:val="00B30941"/>
    <w:rsid w:val="00B30AD5"/>
    <w:rsid w:val="00B31B1F"/>
    <w:rsid w:val="00B3264B"/>
    <w:rsid w:val="00B32832"/>
    <w:rsid w:val="00B3318B"/>
    <w:rsid w:val="00B34EC5"/>
    <w:rsid w:val="00B350E6"/>
    <w:rsid w:val="00B35D44"/>
    <w:rsid w:val="00B407FF"/>
    <w:rsid w:val="00B40B57"/>
    <w:rsid w:val="00B40BE5"/>
    <w:rsid w:val="00B41457"/>
    <w:rsid w:val="00B422FC"/>
    <w:rsid w:val="00B42408"/>
    <w:rsid w:val="00B43290"/>
    <w:rsid w:val="00B43331"/>
    <w:rsid w:val="00B43451"/>
    <w:rsid w:val="00B43927"/>
    <w:rsid w:val="00B446F4"/>
    <w:rsid w:val="00B44D3E"/>
    <w:rsid w:val="00B45D48"/>
    <w:rsid w:val="00B504AE"/>
    <w:rsid w:val="00B50A05"/>
    <w:rsid w:val="00B51518"/>
    <w:rsid w:val="00B529AB"/>
    <w:rsid w:val="00B52AA4"/>
    <w:rsid w:val="00B54846"/>
    <w:rsid w:val="00B54E3A"/>
    <w:rsid w:val="00B55B21"/>
    <w:rsid w:val="00B60004"/>
    <w:rsid w:val="00B614CB"/>
    <w:rsid w:val="00B61ED1"/>
    <w:rsid w:val="00B62BC4"/>
    <w:rsid w:val="00B65392"/>
    <w:rsid w:val="00B65ACD"/>
    <w:rsid w:val="00B65EAB"/>
    <w:rsid w:val="00B664D2"/>
    <w:rsid w:val="00B66624"/>
    <w:rsid w:val="00B70B8C"/>
    <w:rsid w:val="00B710BE"/>
    <w:rsid w:val="00B75A7A"/>
    <w:rsid w:val="00B762D4"/>
    <w:rsid w:val="00B7662B"/>
    <w:rsid w:val="00B76AC7"/>
    <w:rsid w:val="00B77720"/>
    <w:rsid w:val="00B801BA"/>
    <w:rsid w:val="00B81DAD"/>
    <w:rsid w:val="00B83348"/>
    <w:rsid w:val="00B8337B"/>
    <w:rsid w:val="00B84072"/>
    <w:rsid w:val="00B8498F"/>
    <w:rsid w:val="00B85800"/>
    <w:rsid w:val="00B8590A"/>
    <w:rsid w:val="00B86248"/>
    <w:rsid w:val="00B86267"/>
    <w:rsid w:val="00B91584"/>
    <w:rsid w:val="00B92327"/>
    <w:rsid w:val="00B938CE"/>
    <w:rsid w:val="00B93F07"/>
    <w:rsid w:val="00B948A1"/>
    <w:rsid w:val="00B956DF"/>
    <w:rsid w:val="00B95A91"/>
    <w:rsid w:val="00B95B17"/>
    <w:rsid w:val="00B962DD"/>
    <w:rsid w:val="00B9754A"/>
    <w:rsid w:val="00B97A78"/>
    <w:rsid w:val="00B97B12"/>
    <w:rsid w:val="00B97B92"/>
    <w:rsid w:val="00BA0B2B"/>
    <w:rsid w:val="00BA1651"/>
    <w:rsid w:val="00BA233E"/>
    <w:rsid w:val="00BA4441"/>
    <w:rsid w:val="00BA463D"/>
    <w:rsid w:val="00BA61DA"/>
    <w:rsid w:val="00BA6F2F"/>
    <w:rsid w:val="00BB162E"/>
    <w:rsid w:val="00BB236B"/>
    <w:rsid w:val="00BB6443"/>
    <w:rsid w:val="00BB650E"/>
    <w:rsid w:val="00BB6FAF"/>
    <w:rsid w:val="00BB7AB9"/>
    <w:rsid w:val="00BC227B"/>
    <w:rsid w:val="00BC2571"/>
    <w:rsid w:val="00BC306A"/>
    <w:rsid w:val="00BC7AA2"/>
    <w:rsid w:val="00BC7D7B"/>
    <w:rsid w:val="00BD1826"/>
    <w:rsid w:val="00BD2316"/>
    <w:rsid w:val="00BD380F"/>
    <w:rsid w:val="00BD5766"/>
    <w:rsid w:val="00BD6C91"/>
    <w:rsid w:val="00BE08B3"/>
    <w:rsid w:val="00BE0D02"/>
    <w:rsid w:val="00BE1AAF"/>
    <w:rsid w:val="00BE2C49"/>
    <w:rsid w:val="00BE3015"/>
    <w:rsid w:val="00BE5327"/>
    <w:rsid w:val="00BE72C9"/>
    <w:rsid w:val="00BF0D5E"/>
    <w:rsid w:val="00BF100A"/>
    <w:rsid w:val="00BF12B8"/>
    <w:rsid w:val="00BF177C"/>
    <w:rsid w:val="00BF23F8"/>
    <w:rsid w:val="00BF3352"/>
    <w:rsid w:val="00BF362C"/>
    <w:rsid w:val="00BF4F03"/>
    <w:rsid w:val="00BF7060"/>
    <w:rsid w:val="00BF7A4E"/>
    <w:rsid w:val="00BF7D4F"/>
    <w:rsid w:val="00C00125"/>
    <w:rsid w:val="00C00213"/>
    <w:rsid w:val="00C0091E"/>
    <w:rsid w:val="00C04D95"/>
    <w:rsid w:val="00C0590C"/>
    <w:rsid w:val="00C064FD"/>
    <w:rsid w:val="00C07078"/>
    <w:rsid w:val="00C07DCA"/>
    <w:rsid w:val="00C07E9E"/>
    <w:rsid w:val="00C12527"/>
    <w:rsid w:val="00C13475"/>
    <w:rsid w:val="00C13A4D"/>
    <w:rsid w:val="00C15CE6"/>
    <w:rsid w:val="00C17709"/>
    <w:rsid w:val="00C2323C"/>
    <w:rsid w:val="00C24472"/>
    <w:rsid w:val="00C25C08"/>
    <w:rsid w:val="00C25E55"/>
    <w:rsid w:val="00C27538"/>
    <w:rsid w:val="00C27EE4"/>
    <w:rsid w:val="00C328CA"/>
    <w:rsid w:val="00C33622"/>
    <w:rsid w:val="00C336C7"/>
    <w:rsid w:val="00C34567"/>
    <w:rsid w:val="00C34AD8"/>
    <w:rsid w:val="00C40C28"/>
    <w:rsid w:val="00C40F2B"/>
    <w:rsid w:val="00C42BED"/>
    <w:rsid w:val="00C45908"/>
    <w:rsid w:val="00C479A4"/>
    <w:rsid w:val="00C50315"/>
    <w:rsid w:val="00C50DA8"/>
    <w:rsid w:val="00C524B1"/>
    <w:rsid w:val="00C54922"/>
    <w:rsid w:val="00C54EFF"/>
    <w:rsid w:val="00C60194"/>
    <w:rsid w:val="00C61DE5"/>
    <w:rsid w:val="00C63A38"/>
    <w:rsid w:val="00C64069"/>
    <w:rsid w:val="00C64A8B"/>
    <w:rsid w:val="00C66596"/>
    <w:rsid w:val="00C66700"/>
    <w:rsid w:val="00C66A90"/>
    <w:rsid w:val="00C67BE3"/>
    <w:rsid w:val="00C70DEE"/>
    <w:rsid w:val="00C72B49"/>
    <w:rsid w:val="00C73DC2"/>
    <w:rsid w:val="00C750B1"/>
    <w:rsid w:val="00C750DF"/>
    <w:rsid w:val="00C75936"/>
    <w:rsid w:val="00C769A5"/>
    <w:rsid w:val="00C77C78"/>
    <w:rsid w:val="00C8268A"/>
    <w:rsid w:val="00C84875"/>
    <w:rsid w:val="00C90753"/>
    <w:rsid w:val="00C90F0F"/>
    <w:rsid w:val="00C91CA9"/>
    <w:rsid w:val="00C92D5C"/>
    <w:rsid w:val="00C932C2"/>
    <w:rsid w:val="00C94F8C"/>
    <w:rsid w:val="00C950E3"/>
    <w:rsid w:val="00C95812"/>
    <w:rsid w:val="00C959E0"/>
    <w:rsid w:val="00C95BF9"/>
    <w:rsid w:val="00C963F3"/>
    <w:rsid w:val="00C9666D"/>
    <w:rsid w:val="00C97E8D"/>
    <w:rsid w:val="00CA0883"/>
    <w:rsid w:val="00CA2C7A"/>
    <w:rsid w:val="00CA2DE9"/>
    <w:rsid w:val="00CA2E42"/>
    <w:rsid w:val="00CA42A6"/>
    <w:rsid w:val="00CA52C5"/>
    <w:rsid w:val="00CA64B0"/>
    <w:rsid w:val="00CA7599"/>
    <w:rsid w:val="00CB02A1"/>
    <w:rsid w:val="00CB1459"/>
    <w:rsid w:val="00CB169A"/>
    <w:rsid w:val="00CB197E"/>
    <w:rsid w:val="00CB375E"/>
    <w:rsid w:val="00CB4579"/>
    <w:rsid w:val="00CB6778"/>
    <w:rsid w:val="00CB7525"/>
    <w:rsid w:val="00CB7920"/>
    <w:rsid w:val="00CB7EDB"/>
    <w:rsid w:val="00CC034C"/>
    <w:rsid w:val="00CC1456"/>
    <w:rsid w:val="00CC2D96"/>
    <w:rsid w:val="00CC32BD"/>
    <w:rsid w:val="00CC36C0"/>
    <w:rsid w:val="00CC477D"/>
    <w:rsid w:val="00CC49D6"/>
    <w:rsid w:val="00CC613D"/>
    <w:rsid w:val="00CC66FE"/>
    <w:rsid w:val="00CC694C"/>
    <w:rsid w:val="00CC6C80"/>
    <w:rsid w:val="00CC6EC6"/>
    <w:rsid w:val="00CD1646"/>
    <w:rsid w:val="00CD2377"/>
    <w:rsid w:val="00CD366C"/>
    <w:rsid w:val="00CD5F04"/>
    <w:rsid w:val="00CD5FBF"/>
    <w:rsid w:val="00CD61C5"/>
    <w:rsid w:val="00CD70BE"/>
    <w:rsid w:val="00CD76F9"/>
    <w:rsid w:val="00CD784E"/>
    <w:rsid w:val="00CE03EA"/>
    <w:rsid w:val="00CE088B"/>
    <w:rsid w:val="00CE0F8D"/>
    <w:rsid w:val="00CE292F"/>
    <w:rsid w:val="00CE4B79"/>
    <w:rsid w:val="00CE7429"/>
    <w:rsid w:val="00CE781D"/>
    <w:rsid w:val="00CF0BC4"/>
    <w:rsid w:val="00CF1031"/>
    <w:rsid w:val="00CF1631"/>
    <w:rsid w:val="00CF1B5F"/>
    <w:rsid w:val="00CF1D90"/>
    <w:rsid w:val="00CF3EE6"/>
    <w:rsid w:val="00CF48B5"/>
    <w:rsid w:val="00CF6BEA"/>
    <w:rsid w:val="00D00B8F"/>
    <w:rsid w:val="00D00DB8"/>
    <w:rsid w:val="00D01993"/>
    <w:rsid w:val="00D064C7"/>
    <w:rsid w:val="00D073A0"/>
    <w:rsid w:val="00D07CB4"/>
    <w:rsid w:val="00D10DB8"/>
    <w:rsid w:val="00D11979"/>
    <w:rsid w:val="00D12349"/>
    <w:rsid w:val="00D124C9"/>
    <w:rsid w:val="00D1266C"/>
    <w:rsid w:val="00D13F52"/>
    <w:rsid w:val="00D1482B"/>
    <w:rsid w:val="00D155D5"/>
    <w:rsid w:val="00D167B6"/>
    <w:rsid w:val="00D1719F"/>
    <w:rsid w:val="00D2149F"/>
    <w:rsid w:val="00D218BF"/>
    <w:rsid w:val="00D22F2C"/>
    <w:rsid w:val="00D23890"/>
    <w:rsid w:val="00D24F77"/>
    <w:rsid w:val="00D25CD2"/>
    <w:rsid w:val="00D27726"/>
    <w:rsid w:val="00D30FA9"/>
    <w:rsid w:val="00D3285E"/>
    <w:rsid w:val="00D333A0"/>
    <w:rsid w:val="00D34ECA"/>
    <w:rsid w:val="00D34F36"/>
    <w:rsid w:val="00D36C74"/>
    <w:rsid w:val="00D37DC8"/>
    <w:rsid w:val="00D40BC5"/>
    <w:rsid w:val="00D40EEB"/>
    <w:rsid w:val="00D412C1"/>
    <w:rsid w:val="00D41AF1"/>
    <w:rsid w:val="00D42255"/>
    <w:rsid w:val="00D4354F"/>
    <w:rsid w:val="00D449C0"/>
    <w:rsid w:val="00D47498"/>
    <w:rsid w:val="00D47DD2"/>
    <w:rsid w:val="00D50292"/>
    <w:rsid w:val="00D5120A"/>
    <w:rsid w:val="00D52BAB"/>
    <w:rsid w:val="00D543BD"/>
    <w:rsid w:val="00D5567A"/>
    <w:rsid w:val="00D55E1F"/>
    <w:rsid w:val="00D55F13"/>
    <w:rsid w:val="00D5615D"/>
    <w:rsid w:val="00D60FC4"/>
    <w:rsid w:val="00D619A9"/>
    <w:rsid w:val="00D64175"/>
    <w:rsid w:val="00D643F4"/>
    <w:rsid w:val="00D64976"/>
    <w:rsid w:val="00D6574E"/>
    <w:rsid w:val="00D65E57"/>
    <w:rsid w:val="00D66D20"/>
    <w:rsid w:val="00D66F50"/>
    <w:rsid w:val="00D67329"/>
    <w:rsid w:val="00D70B29"/>
    <w:rsid w:val="00D71E2A"/>
    <w:rsid w:val="00D7281C"/>
    <w:rsid w:val="00D741F2"/>
    <w:rsid w:val="00D74956"/>
    <w:rsid w:val="00D74A0D"/>
    <w:rsid w:val="00D74EED"/>
    <w:rsid w:val="00D75108"/>
    <w:rsid w:val="00D75D3D"/>
    <w:rsid w:val="00D75FAA"/>
    <w:rsid w:val="00D7600E"/>
    <w:rsid w:val="00D81F6F"/>
    <w:rsid w:val="00D86F1A"/>
    <w:rsid w:val="00D903E2"/>
    <w:rsid w:val="00D9329B"/>
    <w:rsid w:val="00D93D23"/>
    <w:rsid w:val="00D94217"/>
    <w:rsid w:val="00D95798"/>
    <w:rsid w:val="00D97527"/>
    <w:rsid w:val="00D97F70"/>
    <w:rsid w:val="00DA04B2"/>
    <w:rsid w:val="00DA1897"/>
    <w:rsid w:val="00DA2FDE"/>
    <w:rsid w:val="00DA339A"/>
    <w:rsid w:val="00DA33AC"/>
    <w:rsid w:val="00DA7FF9"/>
    <w:rsid w:val="00DB013A"/>
    <w:rsid w:val="00DB02D8"/>
    <w:rsid w:val="00DB530F"/>
    <w:rsid w:val="00DB6279"/>
    <w:rsid w:val="00DC07BC"/>
    <w:rsid w:val="00DC0AD2"/>
    <w:rsid w:val="00DC0DF2"/>
    <w:rsid w:val="00DC2285"/>
    <w:rsid w:val="00DC29A1"/>
    <w:rsid w:val="00DC3014"/>
    <w:rsid w:val="00DC3642"/>
    <w:rsid w:val="00DC5A05"/>
    <w:rsid w:val="00DC64C1"/>
    <w:rsid w:val="00DD38B5"/>
    <w:rsid w:val="00DD5362"/>
    <w:rsid w:val="00DE292C"/>
    <w:rsid w:val="00DE2BB3"/>
    <w:rsid w:val="00DE308E"/>
    <w:rsid w:val="00DE32F9"/>
    <w:rsid w:val="00DE35EA"/>
    <w:rsid w:val="00DE3B33"/>
    <w:rsid w:val="00DE63E0"/>
    <w:rsid w:val="00DF205B"/>
    <w:rsid w:val="00DF5777"/>
    <w:rsid w:val="00E00180"/>
    <w:rsid w:val="00E01F49"/>
    <w:rsid w:val="00E04353"/>
    <w:rsid w:val="00E04591"/>
    <w:rsid w:val="00E0628E"/>
    <w:rsid w:val="00E11C5E"/>
    <w:rsid w:val="00E14965"/>
    <w:rsid w:val="00E15055"/>
    <w:rsid w:val="00E17104"/>
    <w:rsid w:val="00E17B94"/>
    <w:rsid w:val="00E20708"/>
    <w:rsid w:val="00E22624"/>
    <w:rsid w:val="00E22B8D"/>
    <w:rsid w:val="00E22E55"/>
    <w:rsid w:val="00E23BDA"/>
    <w:rsid w:val="00E3027A"/>
    <w:rsid w:val="00E30544"/>
    <w:rsid w:val="00E331E7"/>
    <w:rsid w:val="00E33FD4"/>
    <w:rsid w:val="00E36774"/>
    <w:rsid w:val="00E36D7C"/>
    <w:rsid w:val="00E36E42"/>
    <w:rsid w:val="00E36ECC"/>
    <w:rsid w:val="00E4003D"/>
    <w:rsid w:val="00E40246"/>
    <w:rsid w:val="00E40676"/>
    <w:rsid w:val="00E41740"/>
    <w:rsid w:val="00E446A6"/>
    <w:rsid w:val="00E44FFB"/>
    <w:rsid w:val="00E45962"/>
    <w:rsid w:val="00E46BBA"/>
    <w:rsid w:val="00E50DB5"/>
    <w:rsid w:val="00E51171"/>
    <w:rsid w:val="00E52315"/>
    <w:rsid w:val="00E52C3C"/>
    <w:rsid w:val="00E54D13"/>
    <w:rsid w:val="00E5520B"/>
    <w:rsid w:val="00E55A22"/>
    <w:rsid w:val="00E608B3"/>
    <w:rsid w:val="00E60A11"/>
    <w:rsid w:val="00E60FDD"/>
    <w:rsid w:val="00E61348"/>
    <w:rsid w:val="00E65558"/>
    <w:rsid w:val="00E65D34"/>
    <w:rsid w:val="00E65E3F"/>
    <w:rsid w:val="00E7132A"/>
    <w:rsid w:val="00E7535B"/>
    <w:rsid w:val="00E7556C"/>
    <w:rsid w:val="00E7573D"/>
    <w:rsid w:val="00E75F85"/>
    <w:rsid w:val="00E7632D"/>
    <w:rsid w:val="00E77873"/>
    <w:rsid w:val="00E805F7"/>
    <w:rsid w:val="00E80D09"/>
    <w:rsid w:val="00E814D3"/>
    <w:rsid w:val="00E82F47"/>
    <w:rsid w:val="00E846FF"/>
    <w:rsid w:val="00E867D0"/>
    <w:rsid w:val="00E90916"/>
    <w:rsid w:val="00E92270"/>
    <w:rsid w:val="00E92303"/>
    <w:rsid w:val="00E937D4"/>
    <w:rsid w:val="00E96D13"/>
    <w:rsid w:val="00E96FC3"/>
    <w:rsid w:val="00E97AC6"/>
    <w:rsid w:val="00EA0343"/>
    <w:rsid w:val="00EA076E"/>
    <w:rsid w:val="00EA2092"/>
    <w:rsid w:val="00EA4BB2"/>
    <w:rsid w:val="00EA600F"/>
    <w:rsid w:val="00EA74C0"/>
    <w:rsid w:val="00EB00C7"/>
    <w:rsid w:val="00EB0159"/>
    <w:rsid w:val="00EB04B1"/>
    <w:rsid w:val="00EB0773"/>
    <w:rsid w:val="00EB0B3D"/>
    <w:rsid w:val="00EB1C64"/>
    <w:rsid w:val="00EB2D64"/>
    <w:rsid w:val="00EB4F0B"/>
    <w:rsid w:val="00EB61D3"/>
    <w:rsid w:val="00EB6C73"/>
    <w:rsid w:val="00EB70C3"/>
    <w:rsid w:val="00EC01A2"/>
    <w:rsid w:val="00EC3509"/>
    <w:rsid w:val="00EC3AA0"/>
    <w:rsid w:val="00EC4517"/>
    <w:rsid w:val="00EC4CB4"/>
    <w:rsid w:val="00EC515D"/>
    <w:rsid w:val="00EC5754"/>
    <w:rsid w:val="00ED020E"/>
    <w:rsid w:val="00ED17F0"/>
    <w:rsid w:val="00ED2533"/>
    <w:rsid w:val="00ED3371"/>
    <w:rsid w:val="00ED3EB9"/>
    <w:rsid w:val="00ED4EC6"/>
    <w:rsid w:val="00ED5971"/>
    <w:rsid w:val="00ED5C3E"/>
    <w:rsid w:val="00ED622D"/>
    <w:rsid w:val="00ED66F4"/>
    <w:rsid w:val="00ED67A2"/>
    <w:rsid w:val="00ED7578"/>
    <w:rsid w:val="00EE109D"/>
    <w:rsid w:val="00EE1718"/>
    <w:rsid w:val="00EE19FF"/>
    <w:rsid w:val="00EE2409"/>
    <w:rsid w:val="00EE37BC"/>
    <w:rsid w:val="00EE501E"/>
    <w:rsid w:val="00EE5E7E"/>
    <w:rsid w:val="00EE6173"/>
    <w:rsid w:val="00EE6655"/>
    <w:rsid w:val="00EE7C19"/>
    <w:rsid w:val="00EE7CAA"/>
    <w:rsid w:val="00EF1D4A"/>
    <w:rsid w:val="00EF1DF4"/>
    <w:rsid w:val="00EF26F6"/>
    <w:rsid w:val="00EF2C0E"/>
    <w:rsid w:val="00EF62D6"/>
    <w:rsid w:val="00EF7257"/>
    <w:rsid w:val="00EF7FCF"/>
    <w:rsid w:val="00F00BCF"/>
    <w:rsid w:val="00F00CDC"/>
    <w:rsid w:val="00F00DB8"/>
    <w:rsid w:val="00F00F14"/>
    <w:rsid w:val="00F01CD6"/>
    <w:rsid w:val="00F01D0B"/>
    <w:rsid w:val="00F02692"/>
    <w:rsid w:val="00F02C17"/>
    <w:rsid w:val="00F03411"/>
    <w:rsid w:val="00F0601A"/>
    <w:rsid w:val="00F06E1A"/>
    <w:rsid w:val="00F072B3"/>
    <w:rsid w:val="00F10CBE"/>
    <w:rsid w:val="00F125B5"/>
    <w:rsid w:val="00F126C2"/>
    <w:rsid w:val="00F1314C"/>
    <w:rsid w:val="00F13BEE"/>
    <w:rsid w:val="00F148F1"/>
    <w:rsid w:val="00F14FF5"/>
    <w:rsid w:val="00F1595D"/>
    <w:rsid w:val="00F167A2"/>
    <w:rsid w:val="00F1789E"/>
    <w:rsid w:val="00F17B41"/>
    <w:rsid w:val="00F24A73"/>
    <w:rsid w:val="00F25557"/>
    <w:rsid w:val="00F25587"/>
    <w:rsid w:val="00F25C55"/>
    <w:rsid w:val="00F25E59"/>
    <w:rsid w:val="00F266A9"/>
    <w:rsid w:val="00F2676F"/>
    <w:rsid w:val="00F2700F"/>
    <w:rsid w:val="00F2751A"/>
    <w:rsid w:val="00F27ECB"/>
    <w:rsid w:val="00F30C8E"/>
    <w:rsid w:val="00F33480"/>
    <w:rsid w:val="00F33756"/>
    <w:rsid w:val="00F35D7B"/>
    <w:rsid w:val="00F375A2"/>
    <w:rsid w:val="00F41399"/>
    <w:rsid w:val="00F4196C"/>
    <w:rsid w:val="00F41DA9"/>
    <w:rsid w:val="00F428BA"/>
    <w:rsid w:val="00F437C3"/>
    <w:rsid w:val="00F50D54"/>
    <w:rsid w:val="00F51CA2"/>
    <w:rsid w:val="00F570EA"/>
    <w:rsid w:val="00F608E1"/>
    <w:rsid w:val="00F62D81"/>
    <w:rsid w:val="00F6458D"/>
    <w:rsid w:val="00F66FB8"/>
    <w:rsid w:val="00F677F5"/>
    <w:rsid w:val="00F6783E"/>
    <w:rsid w:val="00F70160"/>
    <w:rsid w:val="00F71D7A"/>
    <w:rsid w:val="00F7253F"/>
    <w:rsid w:val="00F72AEF"/>
    <w:rsid w:val="00F732CA"/>
    <w:rsid w:val="00F740E3"/>
    <w:rsid w:val="00F7633E"/>
    <w:rsid w:val="00F765CE"/>
    <w:rsid w:val="00F772B6"/>
    <w:rsid w:val="00F807B8"/>
    <w:rsid w:val="00F820A7"/>
    <w:rsid w:val="00F832A2"/>
    <w:rsid w:val="00F835A6"/>
    <w:rsid w:val="00F83F9F"/>
    <w:rsid w:val="00F841B5"/>
    <w:rsid w:val="00F85F2B"/>
    <w:rsid w:val="00F86052"/>
    <w:rsid w:val="00F8642C"/>
    <w:rsid w:val="00F90264"/>
    <w:rsid w:val="00F91130"/>
    <w:rsid w:val="00F9211C"/>
    <w:rsid w:val="00F92745"/>
    <w:rsid w:val="00F92DD4"/>
    <w:rsid w:val="00F931FD"/>
    <w:rsid w:val="00F93705"/>
    <w:rsid w:val="00F94077"/>
    <w:rsid w:val="00F94F71"/>
    <w:rsid w:val="00F9538D"/>
    <w:rsid w:val="00F95813"/>
    <w:rsid w:val="00F96453"/>
    <w:rsid w:val="00F969A8"/>
    <w:rsid w:val="00F97F20"/>
    <w:rsid w:val="00FA021A"/>
    <w:rsid w:val="00FA4223"/>
    <w:rsid w:val="00FA4FA6"/>
    <w:rsid w:val="00FA5C5A"/>
    <w:rsid w:val="00FA6B51"/>
    <w:rsid w:val="00FB435B"/>
    <w:rsid w:val="00FB44E4"/>
    <w:rsid w:val="00FB4D12"/>
    <w:rsid w:val="00FB51AD"/>
    <w:rsid w:val="00FB5DE5"/>
    <w:rsid w:val="00FB7A17"/>
    <w:rsid w:val="00FB7AE4"/>
    <w:rsid w:val="00FC0378"/>
    <w:rsid w:val="00FC0D78"/>
    <w:rsid w:val="00FC11D6"/>
    <w:rsid w:val="00FC2F1B"/>
    <w:rsid w:val="00FC3734"/>
    <w:rsid w:val="00FC41F0"/>
    <w:rsid w:val="00FC541E"/>
    <w:rsid w:val="00FC5BE5"/>
    <w:rsid w:val="00FC7150"/>
    <w:rsid w:val="00FD00DA"/>
    <w:rsid w:val="00FD1241"/>
    <w:rsid w:val="00FD1435"/>
    <w:rsid w:val="00FD4715"/>
    <w:rsid w:val="00FD49B1"/>
    <w:rsid w:val="00FD6801"/>
    <w:rsid w:val="00FD6E58"/>
    <w:rsid w:val="00FE32F1"/>
    <w:rsid w:val="00FE50DB"/>
    <w:rsid w:val="00FE672A"/>
    <w:rsid w:val="00FF03F9"/>
    <w:rsid w:val="00FF21B5"/>
    <w:rsid w:val="00FF2B66"/>
    <w:rsid w:val="00FF3D88"/>
    <w:rsid w:val="00FF46D0"/>
    <w:rsid w:val="00FF71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C4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1E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3F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337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A444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4441"/>
    <w:rPr>
      <w:rFonts w:eastAsiaTheme="minorEastAsia"/>
      <w:lang w:val="en-US"/>
    </w:rPr>
  </w:style>
  <w:style w:type="table" w:styleId="TableGrid">
    <w:name w:val="Table Grid"/>
    <w:basedOn w:val="TableNormal"/>
    <w:uiPriority w:val="39"/>
    <w:rsid w:val="00B60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1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09D"/>
  </w:style>
  <w:style w:type="paragraph" w:styleId="Footer">
    <w:name w:val="footer"/>
    <w:basedOn w:val="Normal"/>
    <w:link w:val="FooterChar"/>
    <w:uiPriority w:val="99"/>
    <w:unhideWhenUsed/>
    <w:rsid w:val="00EE1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09D"/>
  </w:style>
  <w:style w:type="paragraph" w:styleId="ListParagraph">
    <w:name w:val="List Paragraph"/>
    <w:basedOn w:val="Normal"/>
    <w:uiPriority w:val="99"/>
    <w:qFormat/>
    <w:rsid w:val="00EE109D"/>
    <w:pPr>
      <w:ind w:left="720"/>
      <w:contextualSpacing/>
    </w:pPr>
  </w:style>
  <w:style w:type="paragraph" w:customStyle="1" w:styleId="Default">
    <w:name w:val="Default"/>
    <w:rsid w:val="004510B5"/>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Emphasis">
    <w:name w:val="Emphasis"/>
    <w:basedOn w:val="DefaultParagraphFont"/>
    <w:uiPriority w:val="20"/>
    <w:qFormat/>
    <w:rsid w:val="00611CAA"/>
    <w:rPr>
      <w:rFonts w:cs="Times New Roman"/>
      <w:i/>
      <w:iCs/>
    </w:rPr>
  </w:style>
  <w:style w:type="paragraph" w:customStyle="1" w:styleId="ecxmsonormal">
    <w:name w:val="ecxmsonormal"/>
    <w:basedOn w:val="Normal"/>
    <w:rsid w:val="00611CAA"/>
    <w:pPr>
      <w:spacing w:after="324"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44F07"/>
    <w:rPr>
      <w:sz w:val="16"/>
      <w:szCs w:val="16"/>
    </w:rPr>
  </w:style>
  <w:style w:type="paragraph" w:styleId="CommentText">
    <w:name w:val="annotation text"/>
    <w:basedOn w:val="Normal"/>
    <w:link w:val="CommentTextChar"/>
    <w:uiPriority w:val="99"/>
    <w:unhideWhenUsed/>
    <w:rsid w:val="00244F07"/>
    <w:pPr>
      <w:spacing w:line="240" w:lineRule="auto"/>
    </w:pPr>
    <w:rPr>
      <w:sz w:val="20"/>
      <w:szCs w:val="20"/>
    </w:rPr>
  </w:style>
  <w:style w:type="character" w:customStyle="1" w:styleId="CommentTextChar">
    <w:name w:val="Comment Text Char"/>
    <w:basedOn w:val="DefaultParagraphFont"/>
    <w:link w:val="CommentText"/>
    <w:uiPriority w:val="99"/>
    <w:rsid w:val="00244F07"/>
    <w:rPr>
      <w:sz w:val="20"/>
      <w:szCs w:val="20"/>
    </w:rPr>
  </w:style>
  <w:style w:type="paragraph" w:styleId="FootnoteText">
    <w:name w:val="footnote text"/>
    <w:basedOn w:val="Normal"/>
    <w:link w:val="FootnoteTextChar"/>
    <w:unhideWhenUsed/>
    <w:rsid w:val="00244F07"/>
    <w:pPr>
      <w:spacing w:after="0" w:line="240" w:lineRule="auto"/>
    </w:pPr>
    <w:rPr>
      <w:sz w:val="20"/>
      <w:szCs w:val="20"/>
    </w:rPr>
  </w:style>
  <w:style w:type="character" w:customStyle="1" w:styleId="FootnoteTextChar">
    <w:name w:val="Footnote Text Char"/>
    <w:basedOn w:val="DefaultParagraphFont"/>
    <w:link w:val="FootnoteText"/>
    <w:rsid w:val="00244F07"/>
    <w:rPr>
      <w:sz w:val="20"/>
      <w:szCs w:val="20"/>
    </w:rPr>
  </w:style>
  <w:style w:type="character" w:styleId="FootnoteReference">
    <w:name w:val="footnote reference"/>
    <w:basedOn w:val="DefaultParagraphFont"/>
    <w:unhideWhenUsed/>
    <w:rsid w:val="00244F07"/>
    <w:rPr>
      <w:vertAlign w:val="superscript"/>
    </w:rPr>
  </w:style>
  <w:style w:type="paragraph" w:styleId="BalloonText">
    <w:name w:val="Balloon Text"/>
    <w:basedOn w:val="Normal"/>
    <w:link w:val="BalloonTextChar"/>
    <w:uiPriority w:val="99"/>
    <w:semiHidden/>
    <w:unhideWhenUsed/>
    <w:rsid w:val="00244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07"/>
    <w:rPr>
      <w:rFonts w:ascii="Segoe UI" w:hAnsi="Segoe UI" w:cs="Segoe UI"/>
      <w:sz w:val="18"/>
      <w:szCs w:val="18"/>
    </w:rPr>
  </w:style>
  <w:style w:type="character" w:styleId="Strong">
    <w:name w:val="Strong"/>
    <w:basedOn w:val="DefaultParagraphFont"/>
    <w:uiPriority w:val="22"/>
    <w:qFormat/>
    <w:rsid w:val="008179C1"/>
    <w:rPr>
      <w:b/>
      <w:bCs/>
    </w:rPr>
  </w:style>
  <w:style w:type="character" w:styleId="Hyperlink">
    <w:name w:val="Hyperlink"/>
    <w:basedOn w:val="DefaultParagraphFont"/>
    <w:uiPriority w:val="99"/>
    <w:unhideWhenUsed/>
    <w:rsid w:val="00684184"/>
    <w:rPr>
      <w:color w:val="0000FF"/>
      <w:u w:val="single"/>
    </w:rPr>
  </w:style>
  <w:style w:type="character" w:customStyle="1" w:styleId="Heading1Char">
    <w:name w:val="Heading 1 Char"/>
    <w:basedOn w:val="DefaultParagraphFont"/>
    <w:link w:val="Heading1"/>
    <w:uiPriority w:val="9"/>
    <w:rsid w:val="00B61ED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3FD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E33FD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AE374F"/>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AE374F"/>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AE374F"/>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AE374F"/>
    <w:rPr>
      <w:rFonts w:eastAsiaTheme="minorEastAsia" w:cs="Times New Roman"/>
      <w:color w:val="5A5A5A" w:themeColor="text1" w:themeTint="A5"/>
      <w:spacing w:val="15"/>
      <w:lang w:val="en-US"/>
    </w:rPr>
  </w:style>
  <w:style w:type="paragraph" w:styleId="TOCHeading">
    <w:name w:val="TOC Heading"/>
    <w:basedOn w:val="Heading1"/>
    <w:next w:val="Normal"/>
    <w:uiPriority w:val="39"/>
    <w:unhideWhenUsed/>
    <w:qFormat/>
    <w:rsid w:val="00B114FA"/>
    <w:pPr>
      <w:outlineLvl w:val="9"/>
    </w:pPr>
    <w:rPr>
      <w:lang w:val="en-US"/>
    </w:rPr>
  </w:style>
  <w:style w:type="paragraph" w:styleId="TOC1">
    <w:name w:val="toc 1"/>
    <w:basedOn w:val="Normal"/>
    <w:next w:val="Normal"/>
    <w:autoRedefine/>
    <w:uiPriority w:val="39"/>
    <w:unhideWhenUsed/>
    <w:rsid w:val="00B114FA"/>
    <w:pPr>
      <w:spacing w:after="100"/>
    </w:pPr>
  </w:style>
  <w:style w:type="paragraph" w:styleId="TOC2">
    <w:name w:val="toc 2"/>
    <w:basedOn w:val="Normal"/>
    <w:next w:val="Normal"/>
    <w:autoRedefine/>
    <w:uiPriority w:val="39"/>
    <w:unhideWhenUsed/>
    <w:rsid w:val="00B114FA"/>
    <w:pPr>
      <w:spacing w:after="100"/>
      <w:ind w:left="220"/>
    </w:pPr>
  </w:style>
  <w:style w:type="paragraph" w:customStyle="1" w:styleId="ecxmsoplaintext">
    <w:name w:val="ecxmsoplaintext"/>
    <w:basedOn w:val="Normal"/>
    <w:rsid w:val="00950C1F"/>
    <w:pPr>
      <w:spacing w:after="324"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9F2FBE"/>
    <w:rPr>
      <w:b/>
      <w:bCs/>
    </w:rPr>
  </w:style>
  <w:style w:type="character" w:customStyle="1" w:styleId="CommentSubjectChar">
    <w:name w:val="Comment Subject Char"/>
    <w:basedOn w:val="CommentTextChar"/>
    <w:link w:val="CommentSubject"/>
    <w:uiPriority w:val="99"/>
    <w:semiHidden/>
    <w:rsid w:val="009F2FBE"/>
    <w:rPr>
      <w:b/>
      <w:bCs/>
      <w:sz w:val="20"/>
      <w:szCs w:val="20"/>
    </w:rPr>
  </w:style>
  <w:style w:type="table" w:customStyle="1" w:styleId="TableGrid1">
    <w:name w:val="Table Grid1"/>
    <w:basedOn w:val="TableNormal"/>
    <w:next w:val="TableGrid"/>
    <w:uiPriority w:val="39"/>
    <w:rsid w:val="00B54846"/>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listparagraph">
    <w:name w:val="ecxmsolistparagraph"/>
    <w:basedOn w:val="Normal"/>
    <w:rsid w:val="00724972"/>
    <w:pPr>
      <w:spacing w:after="324" w:line="240" w:lineRule="auto"/>
    </w:pPr>
    <w:rPr>
      <w:rFonts w:ascii="Times New Roman" w:eastAsia="Times New Roman" w:hAnsi="Times New Roman" w:cs="Times New Roman"/>
      <w:sz w:val="24"/>
      <w:szCs w:val="24"/>
      <w:lang w:eastAsia="en-AU"/>
    </w:rPr>
  </w:style>
  <w:style w:type="table" w:customStyle="1" w:styleId="TableGrid2">
    <w:name w:val="Table Grid2"/>
    <w:basedOn w:val="TableNormal"/>
    <w:next w:val="TableGrid"/>
    <w:uiPriority w:val="39"/>
    <w:rsid w:val="006D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33756"/>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0F68E1"/>
    <w:pPr>
      <w:spacing w:after="0" w:line="240" w:lineRule="auto"/>
    </w:pPr>
  </w:style>
  <w:style w:type="character" w:customStyle="1" w:styleId="st">
    <w:name w:val="st"/>
    <w:basedOn w:val="DefaultParagraphFont"/>
    <w:rsid w:val="00214950"/>
  </w:style>
  <w:style w:type="character" w:customStyle="1" w:styleId="st1">
    <w:name w:val="st1"/>
    <w:basedOn w:val="DefaultParagraphFont"/>
    <w:rsid w:val="000E7F40"/>
  </w:style>
  <w:style w:type="paragraph" w:customStyle="1" w:styleId="definition-date">
    <w:name w:val="definition-date"/>
    <w:basedOn w:val="Normal"/>
    <w:rsid w:val="00C50DA8"/>
    <w:pPr>
      <w:spacing w:before="120" w:after="225" w:line="240" w:lineRule="auto"/>
    </w:pPr>
    <w:rPr>
      <w:rFonts w:ascii="Times New Roman" w:eastAsia="Times New Roman" w:hAnsi="Times New Roman" w:cs="Times New Roman"/>
      <w:sz w:val="17"/>
      <w:szCs w:val="17"/>
      <w:lang w:eastAsia="en-AU"/>
    </w:rPr>
  </w:style>
  <w:style w:type="paragraph" w:customStyle="1" w:styleId="OutlineNumbered1">
    <w:name w:val="Outline Numbered 1"/>
    <w:basedOn w:val="Normal"/>
    <w:rsid w:val="00034C9C"/>
    <w:pPr>
      <w:numPr>
        <w:numId w:val="39"/>
      </w:numPr>
      <w:spacing w:after="240" w:line="240" w:lineRule="auto"/>
    </w:pPr>
    <w:rPr>
      <w:rFonts w:ascii="Times New Roman" w:eastAsia="Times New Roman" w:hAnsi="Times New Roman" w:cs="Times New Roman"/>
      <w:sz w:val="24"/>
      <w:szCs w:val="20"/>
      <w:lang w:eastAsia="en-AU"/>
    </w:rPr>
  </w:style>
  <w:style w:type="paragraph" w:customStyle="1" w:styleId="OutlineNumbered3">
    <w:name w:val="Outline Numbered 3"/>
    <w:basedOn w:val="Normal"/>
    <w:rsid w:val="00034C9C"/>
    <w:pPr>
      <w:numPr>
        <w:ilvl w:val="2"/>
        <w:numId w:val="39"/>
      </w:numPr>
      <w:spacing w:after="240" w:line="240" w:lineRule="auto"/>
    </w:pPr>
    <w:rPr>
      <w:rFonts w:ascii="Times New Roman" w:eastAsia="Times New Roman" w:hAnsi="Times New Roman" w:cs="Times New Roman"/>
      <w:sz w:val="24"/>
      <w:szCs w:val="20"/>
      <w:lang w:eastAsia="en-AU"/>
    </w:rPr>
  </w:style>
  <w:style w:type="paragraph" w:styleId="TOC3">
    <w:name w:val="toc 3"/>
    <w:basedOn w:val="Normal"/>
    <w:next w:val="Normal"/>
    <w:autoRedefine/>
    <w:uiPriority w:val="39"/>
    <w:unhideWhenUsed/>
    <w:rsid w:val="00692A0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1E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3F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337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A444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4441"/>
    <w:rPr>
      <w:rFonts w:eastAsiaTheme="minorEastAsia"/>
      <w:lang w:val="en-US"/>
    </w:rPr>
  </w:style>
  <w:style w:type="table" w:styleId="TableGrid">
    <w:name w:val="Table Grid"/>
    <w:basedOn w:val="TableNormal"/>
    <w:uiPriority w:val="39"/>
    <w:rsid w:val="00B60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1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09D"/>
  </w:style>
  <w:style w:type="paragraph" w:styleId="Footer">
    <w:name w:val="footer"/>
    <w:basedOn w:val="Normal"/>
    <w:link w:val="FooterChar"/>
    <w:uiPriority w:val="99"/>
    <w:unhideWhenUsed/>
    <w:rsid w:val="00EE1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09D"/>
  </w:style>
  <w:style w:type="paragraph" w:styleId="ListParagraph">
    <w:name w:val="List Paragraph"/>
    <w:basedOn w:val="Normal"/>
    <w:uiPriority w:val="99"/>
    <w:qFormat/>
    <w:rsid w:val="00EE109D"/>
    <w:pPr>
      <w:ind w:left="720"/>
      <w:contextualSpacing/>
    </w:pPr>
  </w:style>
  <w:style w:type="paragraph" w:customStyle="1" w:styleId="Default">
    <w:name w:val="Default"/>
    <w:rsid w:val="004510B5"/>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Emphasis">
    <w:name w:val="Emphasis"/>
    <w:basedOn w:val="DefaultParagraphFont"/>
    <w:uiPriority w:val="20"/>
    <w:qFormat/>
    <w:rsid w:val="00611CAA"/>
    <w:rPr>
      <w:rFonts w:cs="Times New Roman"/>
      <w:i/>
      <w:iCs/>
    </w:rPr>
  </w:style>
  <w:style w:type="paragraph" w:customStyle="1" w:styleId="ecxmsonormal">
    <w:name w:val="ecxmsonormal"/>
    <w:basedOn w:val="Normal"/>
    <w:rsid w:val="00611CAA"/>
    <w:pPr>
      <w:spacing w:after="324"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44F07"/>
    <w:rPr>
      <w:sz w:val="16"/>
      <w:szCs w:val="16"/>
    </w:rPr>
  </w:style>
  <w:style w:type="paragraph" w:styleId="CommentText">
    <w:name w:val="annotation text"/>
    <w:basedOn w:val="Normal"/>
    <w:link w:val="CommentTextChar"/>
    <w:uiPriority w:val="99"/>
    <w:unhideWhenUsed/>
    <w:rsid w:val="00244F07"/>
    <w:pPr>
      <w:spacing w:line="240" w:lineRule="auto"/>
    </w:pPr>
    <w:rPr>
      <w:sz w:val="20"/>
      <w:szCs w:val="20"/>
    </w:rPr>
  </w:style>
  <w:style w:type="character" w:customStyle="1" w:styleId="CommentTextChar">
    <w:name w:val="Comment Text Char"/>
    <w:basedOn w:val="DefaultParagraphFont"/>
    <w:link w:val="CommentText"/>
    <w:uiPriority w:val="99"/>
    <w:rsid w:val="00244F07"/>
    <w:rPr>
      <w:sz w:val="20"/>
      <w:szCs w:val="20"/>
    </w:rPr>
  </w:style>
  <w:style w:type="paragraph" w:styleId="FootnoteText">
    <w:name w:val="footnote text"/>
    <w:basedOn w:val="Normal"/>
    <w:link w:val="FootnoteTextChar"/>
    <w:unhideWhenUsed/>
    <w:rsid w:val="00244F07"/>
    <w:pPr>
      <w:spacing w:after="0" w:line="240" w:lineRule="auto"/>
    </w:pPr>
    <w:rPr>
      <w:sz w:val="20"/>
      <w:szCs w:val="20"/>
    </w:rPr>
  </w:style>
  <w:style w:type="character" w:customStyle="1" w:styleId="FootnoteTextChar">
    <w:name w:val="Footnote Text Char"/>
    <w:basedOn w:val="DefaultParagraphFont"/>
    <w:link w:val="FootnoteText"/>
    <w:rsid w:val="00244F07"/>
    <w:rPr>
      <w:sz w:val="20"/>
      <w:szCs w:val="20"/>
    </w:rPr>
  </w:style>
  <w:style w:type="character" w:styleId="FootnoteReference">
    <w:name w:val="footnote reference"/>
    <w:basedOn w:val="DefaultParagraphFont"/>
    <w:unhideWhenUsed/>
    <w:rsid w:val="00244F07"/>
    <w:rPr>
      <w:vertAlign w:val="superscript"/>
    </w:rPr>
  </w:style>
  <w:style w:type="paragraph" w:styleId="BalloonText">
    <w:name w:val="Balloon Text"/>
    <w:basedOn w:val="Normal"/>
    <w:link w:val="BalloonTextChar"/>
    <w:uiPriority w:val="99"/>
    <w:semiHidden/>
    <w:unhideWhenUsed/>
    <w:rsid w:val="00244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07"/>
    <w:rPr>
      <w:rFonts w:ascii="Segoe UI" w:hAnsi="Segoe UI" w:cs="Segoe UI"/>
      <w:sz w:val="18"/>
      <w:szCs w:val="18"/>
    </w:rPr>
  </w:style>
  <w:style w:type="character" w:styleId="Strong">
    <w:name w:val="Strong"/>
    <w:basedOn w:val="DefaultParagraphFont"/>
    <w:uiPriority w:val="22"/>
    <w:qFormat/>
    <w:rsid w:val="008179C1"/>
    <w:rPr>
      <w:b/>
      <w:bCs/>
    </w:rPr>
  </w:style>
  <w:style w:type="character" w:styleId="Hyperlink">
    <w:name w:val="Hyperlink"/>
    <w:basedOn w:val="DefaultParagraphFont"/>
    <w:uiPriority w:val="99"/>
    <w:unhideWhenUsed/>
    <w:rsid w:val="00684184"/>
    <w:rPr>
      <w:color w:val="0000FF"/>
      <w:u w:val="single"/>
    </w:rPr>
  </w:style>
  <w:style w:type="character" w:customStyle="1" w:styleId="Heading1Char">
    <w:name w:val="Heading 1 Char"/>
    <w:basedOn w:val="DefaultParagraphFont"/>
    <w:link w:val="Heading1"/>
    <w:uiPriority w:val="9"/>
    <w:rsid w:val="00B61ED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3FD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E33FD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AE374F"/>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AE374F"/>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AE374F"/>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AE374F"/>
    <w:rPr>
      <w:rFonts w:eastAsiaTheme="minorEastAsia" w:cs="Times New Roman"/>
      <w:color w:val="5A5A5A" w:themeColor="text1" w:themeTint="A5"/>
      <w:spacing w:val="15"/>
      <w:lang w:val="en-US"/>
    </w:rPr>
  </w:style>
  <w:style w:type="paragraph" w:styleId="TOCHeading">
    <w:name w:val="TOC Heading"/>
    <w:basedOn w:val="Heading1"/>
    <w:next w:val="Normal"/>
    <w:uiPriority w:val="39"/>
    <w:unhideWhenUsed/>
    <w:qFormat/>
    <w:rsid w:val="00B114FA"/>
    <w:pPr>
      <w:outlineLvl w:val="9"/>
    </w:pPr>
    <w:rPr>
      <w:lang w:val="en-US"/>
    </w:rPr>
  </w:style>
  <w:style w:type="paragraph" w:styleId="TOC1">
    <w:name w:val="toc 1"/>
    <w:basedOn w:val="Normal"/>
    <w:next w:val="Normal"/>
    <w:autoRedefine/>
    <w:uiPriority w:val="39"/>
    <w:unhideWhenUsed/>
    <w:rsid w:val="00B114FA"/>
    <w:pPr>
      <w:spacing w:after="100"/>
    </w:pPr>
  </w:style>
  <w:style w:type="paragraph" w:styleId="TOC2">
    <w:name w:val="toc 2"/>
    <w:basedOn w:val="Normal"/>
    <w:next w:val="Normal"/>
    <w:autoRedefine/>
    <w:uiPriority w:val="39"/>
    <w:unhideWhenUsed/>
    <w:rsid w:val="00B114FA"/>
    <w:pPr>
      <w:spacing w:after="100"/>
      <w:ind w:left="220"/>
    </w:pPr>
  </w:style>
  <w:style w:type="paragraph" w:customStyle="1" w:styleId="ecxmsoplaintext">
    <w:name w:val="ecxmsoplaintext"/>
    <w:basedOn w:val="Normal"/>
    <w:rsid w:val="00950C1F"/>
    <w:pPr>
      <w:spacing w:after="324"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9F2FBE"/>
    <w:rPr>
      <w:b/>
      <w:bCs/>
    </w:rPr>
  </w:style>
  <w:style w:type="character" w:customStyle="1" w:styleId="CommentSubjectChar">
    <w:name w:val="Comment Subject Char"/>
    <w:basedOn w:val="CommentTextChar"/>
    <w:link w:val="CommentSubject"/>
    <w:uiPriority w:val="99"/>
    <w:semiHidden/>
    <w:rsid w:val="009F2FBE"/>
    <w:rPr>
      <w:b/>
      <w:bCs/>
      <w:sz w:val="20"/>
      <w:szCs w:val="20"/>
    </w:rPr>
  </w:style>
  <w:style w:type="table" w:customStyle="1" w:styleId="TableGrid1">
    <w:name w:val="Table Grid1"/>
    <w:basedOn w:val="TableNormal"/>
    <w:next w:val="TableGrid"/>
    <w:uiPriority w:val="39"/>
    <w:rsid w:val="00B54846"/>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listparagraph">
    <w:name w:val="ecxmsolistparagraph"/>
    <w:basedOn w:val="Normal"/>
    <w:rsid w:val="00724972"/>
    <w:pPr>
      <w:spacing w:after="324" w:line="240" w:lineRule="auto"/>
    </w:pPr>
    <w:rPr>
      <w:rFonts w:ascii="Times New Roman" w:eastAsia="Times New Roman" w:hAnsi="Times New Roman" w:cs="Times New Roman"/>
      <w:sz w:val="24"/>
      <w:szCs w:val="24"/>
      <w:lang w:eastAsia="en-AU"/>
    </w:rPr>
  </w:style>
  <w:style w:type="table" w:customStyle="1" w:styleId="TableGrid2">
    <w:name w:val="Table Grid2"/>
    <w:basedOn w:val="TableNormal"/>
    <w:next w:val="TableGrid"/>
    <w:uiPriority w:val="39"/>
    <w:rsid w:val="006D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33756"/>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0F68E1"/>
    <w:pPr>
      <w:spacing w:after="0" w:line="240" w:lineRule="auto"/>
    </w:pPr>
  </w:style>
  <w:style w:type="character" w:customStyle="1" w:styleId="st">
    <w:name w:val="st"/>
    <w:basedOn w:val="DefaultParagraphFont"/>
    <w:rsid w:val="00214950"/>
  </w:style>
  <w:style w:type="character" w:customStyle="1" w:styleId="st1">
    <w:name w:val="st1"/>
    <w:basedOn w:val="DefaultParagraphFont"/>
    <w:rsid w:val="000E7F40"/>
  </w:style>
  <w:style w:type="paragraph" w:customStyle="1" w:styleId="definition-date">
    <w:name w:val="definition-date"/>
    <w:basedOn w:val="Normal"/>
    <w:rsid w:val="00C50DA8"/>
    <w:pPr>
      <w:spacing w:before="120" w:after="225" w:line="240" w:lineRule="auto"/>
    </w:pPr>
    <w:rPr>
      <w:rFonts w:ascii="Times New Roman" w:eastAsia="Times New Roman" w:hAnsi="Times New Roman" w:cs="Times New Roman"/>
      <w:sz w:val="17"/>
      <w:szCs w:val="17"/>
      <w:lang w:eastAsia="en-AU"/>
    </w:rPr>
  </w:style>
  <w:style w:type="paragraph" w:customStyle="1" w:styleId="OutlineNumbered1">
    <w:name w:val="Outline Numbered 1"/>
    <w:basedOn w:val="Normal"/>
    <w:rsid w:val="00034C9C"/>
    <w:pPr>
      <w:numPr>
        <w:numId w:val="39"/>
      </w:numPr>
      <w:spacing w:after="240" w:line="240" w:lineRule="auto"/>
    </w:pPr>
    <w:rPr>
      <w:rFonts w:ascii="Times New Roman" w:eastAsia="Times New Roman" w:hAnsi="Times New Roman" w:cs="Times New Roman"/>
      <w:sz w:val="24"/>
      <w:szCs w:val="20"/>
      <w:lang w:eastAsia="en-AU"/>
    </w:rPr>
  </w:style>
  <w:style w:type="paragraph" w:customStyle="1" w:styleId="OutlineNumbered3">
    <w:name w:val="Outline Numbered 3"/>
    <w:basedOn w:val="Normal"/>
    <w:rsid w:val="00034C9C"/>
    <w:pPr>
      <w:numPr>
        <w:ilvl w:val="2"/>
        <w:numId w:val="39"/>
      </w:numPr>
      <w:spacing w:after="240" w:line="240" w:lineRule="auto"/>
    </w:pPr>
    <w:rPr>
      <w:rFonts w:ascii="Times New Roman" w:eastAsia="Times New Roman" w:hAnsi="Times New Roman" w:cs="Times New Roman"/>
      <w:sz w:val="24"/>
      <w:szCs w:val="20"/>
      <w:lang w:eastAsia="en-AU"/>
    </w:rPr>
  </w:style>
  <w:style w:type="paragraph" w:styleId="TOC3">
    <w:name w:val="toc 3"/>
    <w:basedOn w:val="Normal"/>
    <w:next w:val="Normal"/>
    <w:autoRedefine/>
    <w:uiPriority w:val="39"/>
    <w:unhideWhenUsed/>
    <w:rsid w:val="00692A0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39">
      <w:bodyDiv w:val="1"/>
      <w:marLeft w:val="0"/>
      <w:marRight w:val="0"/>
      <w:marTop w:val="0"/>
      <w:marBottom w:val="0"/>
      <w:divBdr>
        <w:top w:val="none" w:sz="0" w:space="0" w:color="auto"/>
        <w:left w:val="none" w:sz="0" w:space="0" w:color="auto"/>
        <w:bottom w:val="none" w:sz="0" w:space="0" w:color="auto"/>
        <w:right w:val="none" w:sz="0" w:space="0" w:color="auto"/>
      </w:divBdr>
      <w:divsChild>
        <w:div w:id="351498741">
          <w:marLeft w:val="0"/>
          <w:marRight w:val="0"/>
          <w:marTop w:val="0"/>
          <w:marBottom w:val="0"/>
          <w:divBdr>
            <w:top w:val="none" w:sz="0" w:space="0" w:color="auto"/>
            <w:left w:val="none" w:sz="0" w:space="0" w:color="auto"/>
            <w:bottom w:val="none" w:sz="0" w:space="0" w:color="auto"/>
            <w:right w:val="none" w:sz="0" w:space="0" w:color="auto"/>
          </w:divBdr>
          <w:divsChild>
            <w:div w:id="793909947">
              <w:marLeft w:val="0"/>
              <w:marRight w:val="0"/>
              <w:marTop w:val="0"/>
              <w:marBottom w:val="0"/>
              <w:divBdr>
                <w:top w:val="none" w:sz="0" w:space="0" w:color="auto"/>
                <w:left w:val="none" w:sz="0" w:space="0" w:color="auto"/>
                <w:bottom w:val="none" w:sz="0" w:space="0" w:color="auto"/>
                <w:right w:val="none" w:sz="0" w:space="0" w:color="auto"/>
              </w:divBdr>
              <w:divsChild>
                <w:div w:id="1061371629">
                  <w:marLeft w:val="0"/>
                  <w:marRight w:val="0"/>
                  <w:marTop w:val="100"/>
                  <w:marBottom w:val="100"/>
                  <w:divBdr>
                    <w:top w:val="none" w:sz="0" w:space="0" w:color="auto"/>
                    <w:left w:val="none" w:sz="0" w:space="0" w:color="auto"/>
                    <w:bottom w:val="none" w:sz="0" w:space="0" w:color="auto"/>
                    <w:right w:val="none" w:sz="0" w:space="0" w:color="auto"/>
                  </w:divBdr>
                  <w:divsChild>
                    <w:div w:id="1514301626">
                      <w:marLeft w:val="0"/>
                      <w:marRight w:val="0"/>
                      <w:marTop w:val="0"/>
                      <w:marBottom w:val="0"/>
                      <w:divBdr>
                        <w:top w:val="none" w:sz="0" w:space="0" w:color="auto"/>
                        <w:left w:val="none" w:sz="0" w:space="0" w:color="auto"/>
                        <w:bottom w:val="none" w:sz="0" w:space="0" w:color="auto"/>
                        <w:right w:val="none" w:sz="0" w:space="0" w:color="auto"/>
                      </w:divBdr>
                      <w:divsChild>
                        <w:div w:id="1248803846">
                          <w:marLeft w:val="0"/>
                          <w:marRight w:val="0"/>
                          <w:marTop w:val="0"/>
                          <w:marBottom w:val="0"/>
                          <w:divBdr>
                            <w:top w:val="none" w:sz="0" w:space="0" w:color="auto"/>
                            <w:left w:val="none" w:sz="0" w:space="0" w:color="auto"/>
                            <w:bottom w:val="none" w:sz="0" w:space="0" w:color="auto"/>
                            <w:right w:val="none" w:sz="0" w:space="0" w:color="auto"/>
                          </w:divBdr>
                          <w:divsChild>
                            <w:div w:id="523397316">
                              <w:marLeft w:val="0"/>
                              <w:marRight w:val="0"/>
                              <w:marTop w:val="0"/>
                              <w:marBottom w:val="0"/>
                              <w:divBdr>
                                <w:top w:val="none" w:sz="0" w:space="0" w:color="auto"/>
                                <w:left w:val="none" w:sz="0" w:space="0" w:color="auto"/>
                                <w:bottom w:val="none" w:sz="0" w:space="0" w:color="auto"/>
                                <w:right w:val="none" w:sz="0" w:space="0" w:color="auto"/>
                              </w:divBdr>
                              <w:divsChild>
                                <w:div w:id="621696430">
                                  <w:marLeft w:val="0"/>
                                  <w:marRight w:val="0"/>
                                  <w:marTop w:val="0"/>
                                  <w:marBottom w:val="0"/>
                                  <w:divBdr>
                                    <w:top w:val="none" w:sz="0" w:space="0" w:color="auto"/>
                                    <w:left w:val="none" w:sz="0" w:space="0" w:color="auto"/>
                                    <w:bottom w:val="none" w:sz="0" w:space="0" w:color="auto"/>
                                    <w:right w:val="none" w:sz="0" w:space="0" w:color="auto"/>
                                  </w:divBdr>
                                  <w:divsChild>
                                    <w:div w:id="798035386">
                                      <w:marLeft w:val="0"/>
                                      <w:marRight w:val="0"/>
                                      <w:marTop w:val="0"/>
                                      <w:marBottom w:val="0"/>
                                      <w:divBdr>
                                        <w:top w:val="none" w:sz="0" w:space="0" w:color="auto"/>
                                        <w:left w:val="none" w:sz="0" w:space="0" w:color="auto"/>
                                        <w:bottom w:val="none" w:sz="0" w:space="0" w:color="auto"/>
                                        <w:right w:val="none" w:sz="0" w:space="0" w:color="auto"/>
                                      </w:divBdr>
                                      <w:divsChild>
                                        <w:div w:id="758452817">
                                          <w:marLeft w:val="0"/>
                                          <w:marRight w:val="0"/>
                                          <w:marTop w:val="0"/>
                                          <w:marBottom w:val="0"/>
                                          <w:divBdr>
                                            <w:top w:val="none" w:sz="0" w:space="0" w:color="auto"/>
                                            <w:left w:val="none" w:sz="0" w:space="0" w:color="auto"/>
                                            <w:bottom w:val="none" w:sz="0" w:space="0" w:color="auto"/>
                                            <w:right w:val="none" w:sz="0" w:space="0" w:color="auto"/>
                                          </w:divBdr>
                                          <w:divsChild>
                                            <w:div w:id="1451972522">
                                              <w:marLeft w:val="0"/>
                                              <w:marRight w:val="0"/>
                                              <w:marTop w:val="0"/>
                                              <w:marBottom w:val="0"/>
                                              <w:divBdr>
                                                <w:top w:val="none" w:sz="0" w:space="0" w:color="auto"/>
                                                <w:left w:val="none" w:sz="0" w:space="0" w:color="auto"/>
                                                <w:bottom w:val="none" w:sz="0" w:space="0" w:color="auto"/>
                                                <w:right w:val="none" w:sz="0" w:space="0" w:color="auto"/>
                                              </w:divBdr>
                                              <w:divsChild>
                                                <w:div w:id="1837915478">
                                                  <w:marLeft w:val="0"/>
                                                  <w:marRight w:val="300"/>
                                                  <w:marTop w:val="0"/>
                                                  <w:marBottom w:val="0"/>
                                                  <w:divBdr>
                                                    <w:top w:val="none" w:sz="0" w:space="0" w:color="auto"/>
                                                    <w:left w:val="none" w:sz="0" w:space="0" w:color="auto"/>
                                                    <w:bottom w:val="none" w:sz="0" w:space="0" w:color="auto"/>
                                                    <w:right w:val="none" w:sz="0" w:space="0" w:color="auto"/>
                                                  </w:divBdr>
                                                  <w:divsChild>
                                                    <w:div w:id="1503353752">
                                                      <w:marLeft w:val="0"/>
                                                      <w:marRight w:val="0"/>
                                                      <w:marTop w:val="0"/>
                                                      <w:marBottom w:val="0"/>
                                                      <w:divBdr>
                                                        <w:top w:val="none" w:sz="0" w:space="0" w:color="auto"/>
                                                        <w:left w:val="none" w:sz="0" w:space="0" w:color="auto"/>
                                                        <w:bottom w:val="none" w:sz="0" w:space="0" w:color="auto"/>
                                                        <w:right w:val="none" w:sz="0" w:space="0" w:color="auto"/>
                                                      </w:divBdr>
                                                      <w:divsChild>
                                                        <w:div w:id="2002926275">
                                                          <w:marLeft w:val="0"/>
                                                          <w:marRight w:val="0"/>
                                                          <w:marTop w:val="0"/>
                                                          <w:marBottom w:val="300"/>
                                                          <w:divBdr>
                                                            <w:top w:val="single" w:sz="6" w:space="0" w:color="CCCCCC"/>
                                                            <w:left w:val="none" w:sz="0" w:space="0" w:color="auto"/>
                                                            <w:bottom w:val="none" w:sz="0" w:space="0" w:color="auto"/>
                                                            <w:right w:val="none" w:sz="0" w:space="0" w:color="auto"/>
                                                          </w:divBdr>
                                                          <w:divsChild>
                                                            <w:div w:id="1245526990">
                                                              <w:marLeft w:val="0"/>
                                                              <w:marRight w:val="0"/>
                                                              <w:marTop w:val="0"/>
                                                              <w:marBottom w:val="0"/>
                                                              <w:divBdr>
                                                                <w:top w:val="none" w:sz="0" w:space="0" w:color="auto"/>
                                                                <w:left w:val="none" w:sz="0" w:space="0" w:color="auto"/>
                                                                <w:bottom w:val="none" w:sz="0" w:space="0" w:color="auto"/>
                                                                <w:right w:val="none" w:sz="0" w:space="0" w:color="auto"/>
                                                              </w:divBdr>
                                                              <w:divsChild>
                                                                <w:div w:id="48922138">
                                                                  <w:marLeft w:val="0"/>
                                                                  <w:marRight w:val="0"/>
                                                                  <w:marTop w:val="0"/>
                                                                  <w:marBottom w:val="0"/>
                                                                  <w:divBdr>
                                                                    <w:top w:val="none" w:sz="0" w:space="0" w:color="auto"/>
                                                                    <w:left w:val="none" w:sz="0" w:space="0" w:color="auto"/>
                                                                    <w:bottom w:val="none" w:sz="0" w:space="0" w:color="auto"/>
                                                                    <w:right w:val="none" w:sz="0" w:space="0" w:color="auto"/>
                                                                  </w:divBdr>
                                                                  <w:divsChild>
                                                                    <w:div w:id="445345152">
                                                                      <w:marLeft w:val="0"/>
                                                                      <w:marRight w:val="0"/>
                                                                      <w:marTop w:val="0"/>
                                                                      <w:marBottom w:val="0"/>
                                                                      <w:divBdr>
                                                                        <w:top w:val="none" w:sz="0" w:space="0" w:color="auto"/>
                                                                        <w:left w:val="none" w:sz="0" w:space="0" w:color="auto"/>
                                                                        <w:bottom w:val="none" w:sz="0" w:space="0" w:color="auto"/>
                                                                        <w:right w:val="none" w:sz="0" w:space="0" w:color="auto"/>
                                                                      </w:divBdr>
                                                                      <w:divsChild>
                                                                        <w:div w:id="44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08140">
      <w:bodyDiv w:val="1"/>
      <w:marLeft w:val="0"/>
      <w:marRight w:val="0"/>
      <w:marTop w:val="0"/>
      <w:marBottom w:val="0"/>
      <w:divBdr>
        <w:top w:val="none" w:sz="0" w:space="0" w:color="auto"/>
        <w:left w:val="none" w:sz="0" w:space="0" w:color="auto"/>
        <w:bottom w:val="none" w:sz="0" w:space="0" w:color="auto"/>
        <w:right w:val="none" w:sz="0" w:space="0" w:color="auto"/>
      </w:divBdr>
      <w:divsChild>
        <w:div w:id="886985640">
          <w:marLeft w:val="0"/>
          <w:marRight w:val="0"/>
          <w:marTop w:val="0"/>
          <w:marBottom w:val="0"/>
          <w:divBdr>
            <w:top w:val="none" w:sz="0" w:space="0" w:color="auto"/>
            <w:left w:val="none" w:sz="0" w:space="0" w:color="auto"/>
            <w:bottom w:val="none" w:sz="0" w:space="0" w:color="auto"/>
            <w:right w:val="none" w:sz="0" w:space="0" w:color="auto"/>
          </w:divBdr>
          <w:divsChild>
            <w:div w:id="1369993832">
              <w:marLeft w:val="0"/>
              <w:marRight w:val="0"/>
              <w:marTop w:val="0"/>
              <w:marBottom w:val="0"/>
              <w:divBdr>
                <w:top w:val="none" w:sz="0" w:space="0" w:color="auto"/>
                <w:left w:val="none" w:sz="0" w:space="0" w:color="auto"/>
                <w:bottom w:val="none" w:sz="0" w:space="0" w:color="auto"/>
                <w:right w:val="none" w:sz="0" w:space="0" w:color="auto"/>
              </w:divBdr>
              <w:divsChild>
                <w:div w:id="1118069309">
                  <w:marLeft w:val="0"/>
                  <w:marRight w:val="0"/>
                  <w:marTop w:val="0"/>
                  <w:marBottom w:val="0"/>
                  <w:divBdr>
                    <w:top w:val="none" w:sz="0" w:space="0" w:color="auto"/>
                    <w:left w:val="none" w:sz="0" w:space="0" w:color="auto"/>
                    <w:bottom w:val="none" w:sz="0" w:space="0" w:color="auto"/>
                    <w:right w:val="none" w:sz="0" w:space="0" w:color="auto"/>
                  </w:divBdr>
                  <w:divsChild>
                    <w:div w:id="1819151519">
                      <w:marLeft w:val="0"/>
                      <w:marRight w:val="0"/>
                      <w:marTop w:val="0"/>
                      <w:marBottom w:val="0"/>
                      <w:divBdr>
                        <w:top w:val="none" w:sz="0" w:space="0" w:color="auto"/>
                        <w:left w:val="none" w:sz="0" w:space="0" w:color="auto"/>
                        <w:bottom w:val="none" w:sz="0" w:space="0" w:color="auto"/>
                        <w:right w:val="none" w:sz="0" w:space="0" w:color="auto"/>
                      </w:divBdr>
                      <w:divsChild>
                        <w:div w:id="1253007086">
                          <w:marLeft w:val="0"/>
                          <w:marRight w:val="0"/>
                          <w:marTop w:val="0"/>
                          <w:marBottom w:val="0"/>
                          <w:divBdr>
                            <w:top w:val="none" w:sz="0" w:space="0" w:color="auto"/>
                            <w:left w:val="none" w:sz="0" w:space="0" w:color="auto"/>
                            <w:bottom w:val="none" w:sz="0" w:space="0" w:color="auto"/>
                            <w:right w:val="none" w:sz="0" w:space="0" w:color="auto"/>
                          </w:divBdr>
                          <w:divsChild>
                            <w:div w:id="1655375851">
                              <w:marLeft w:val="0"/>
                              <w:marRight w:val="0"/>
                              <w:marTop w:val="0"/>
                              <w:marBottom w:val="615"/>
                              <w:divBdr>
                                <w:top w:val="none" w:sz="0" w:space="0" w:color="auto"/>
                                <w:left w:val="none" w:sz="0" w:space="0" w:color="auto"/>
                                <w:bottom w:val="none" w:sz="0" w:space="0" w:color="auto"/>
                                <w:right w:val="none" w:sz="0" w:space="0" w:color="auto"/>
                              </w:divBdr>
                              <w:divsChild>
                                <w:div w:id="1242566766">
                                  <w:marLeft w:val="0"/>
                                  <w:marRight w:val="0"/>
                                  <w:marTop w:val="0"/>
                                  <w:marBottom w:val="0"/>
                                  <w:divBdr>
                                    <w:top w:val="none" w:sz="0" w:space="0" w:color="auto"/>
                                    <w:left w:val="none" w:sz="0" w:space="0" w:color="auto"/>
                                    <w:bottom w:val="none" w:sz="0" w:space="0" w:color="auto"/>
                                    <w:right w:val="none" w:sz="0" w:space="0" w:color="auto"/>
                                  </w:divBdr>
                                  <w:divsChild>
                                    <w:div w:id="1493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216297">
      <w:bodyDiv w:val="1"/>
      <w:marLeft w:val="0"/>
      <w:marRight w:val="0"/>
      <w:marTop w:val="0"/>
      <w:marBottom w:val="0"/>
      <w:divBdr>
        <w:top w:val="none" w:sz="0" w:space="0" w:color="auto"/>
        <w:left w:val="none" w:sz="0" w:space="0" w:color="auto"/>
        <w:bottom w:val="none" w:sz="0" w:space="0" w:color="auto"/>
        <w:right w:val="none" w:sz="0" w:space="0" w:color="auto"/>
      </w:divBdr>
      <w:divsChild>
        <w:div w:id="530924232">
          <w:marLeft w:val="0"/>
          <w:marRight w:val="0"/>
          <w:marTop w:val="0"/>
          <w:marBottom w:val="0"/>
          <w:divBdr>
            <w:top w:val="none" w:sz="0" w:space="0" w:color="auto"/>
            <w:left w:val="none" w:sz="0" w:space="0" w:color="auto"/>
            <w:bottom w:val="none" w:sz="0" w:space="0" w:color="auto"/>
            <w:right w:val="none" w:sz="0" w:space="0" w:color="auto"/>
          </w:divBdr>
          <w:divsChild>
            <w:div w:id="900560118">
              <w:marLeft w:val="0"/>
              <w:marRight w:val="0"/>
              <w:marTop w:val="0"/>
              <w:marBottom w:val="0"/>
              <w:divBdr>
                <w:top w:val="none" w:sz="0" w:space="0" w:color="auto"/>
                <w:left w:val="none" w:sz="0" w:space="0" w:color="auto"/>
                <w:bottom w:val="none" w:sz="0" w:space="0" w:color="auto"/>
                <w:right w:val="none" w:sz="0" w:space="0" w:color="auto"/>
              </w:divBdr>
              <w:divsChild>
                <w:div w:id="447046060">
                  <w:marLeft w:val="0"/>
                  <w:marRight w:val="0"/>
                  <w:marTop w:val="0"/>
                  <w:marBottom w:val="0"/>
                  <w:divBdr>
                    <w:top w:val="none" w:sz="0" w:space="0" w:color="auto"/>
                    <w:left w:val="none" w:sz="0" w:space="0" w:color="auto"/>
                    <w:bottom w:val="none" w:sz="0" w:space="0" w:color="auto"/>
                    <w:right w:val="none" w:sz="0" w:space="0" w:color="auto"/>
                  </w:divBdr>
                  <w:divsChild>
                    <w:div w:id="2101173689">
                      <w:marLeft w:val="0"/>
                      <w:marRight w:val="0"/>
                      <w:marTop w:val="0"/>
                      <w:marBottom w:val="0"/>
                      <w:divBdr>
                        <w:top w:val="none" w:sz="0" w:space="0" w:color="auto"/>
                        <w:left w:val="none" w:sz="0" w:space="0" w:color="auto"/>
                        <w:bottom w:val="none" w:sz="0" w:space="0" w:color="auto"/>
                        <w:right w:val="none" w:sz="0" w:space="0" w:color="auto"/>
                      </w:divBdr>
                      <w:divsChild>
                        <w:div w:id="2016809418">
                          <w:marLeft w:val="0"/>
                          <w:marRight w:val="0"/>
                          <w:marTop w:val="0"/>
                          <w:marBottom w:val="0"/>
                          <w:divBdr>
                            <w:top w:val="none" w:sz="0" w:space="0" w:color="auto"/>
                            <w:left w:val="none" w:sz="0" w:space="0" w:color="auto"/>
                            <w:bottom w:val="none" w:sz="0" w:space="0" w:color="auto"/>
                            <w:right w:val="none" w:sz="0" w:space="0" w:color="auto"/>
                          </w:divBdr>
                          <w:divsChild>
                            <w:div w:id="1176262488">
                              <w:marLeft w:val="0"/>
                              <w:marRight w:val="0"/>
                              <w:marTop w:val="0"/>
                              <w:marBottom w:val="615"/>
                              <w:divBdr>
                                <w:top w:val="none" w:sz="0" w:space="0" w:color="auto"/>
                                <w:left w:val="none" w:sz="0" w:space="0" w:color="auto"/>
                                <w:bottom w:val="none" w:sz="0" w:space="0" w:color="auto"/>
                                <w:right w:val="none" w:sz="0" w:space="0" w:color="auto"/>
                              </w:divBdr>
                              <w:divsChild>
                                <w:div w:id="1689408610">
                                  <w:marLeft w:val="0"/>
                                  <w:marRight w:val="0"/>
                                  <w:marTop w:val="0"/>
                                  <w:marBottom w:val="0"/>
                                  <w:divBdr>
                                    <w:top w:val="none" w:sz="0" w:space="0" w:color="auto"/>
                                    <w:left w:val="none" w:sz="0" w:space="0" w:color="auto"/>
                                    <w:bottom w:val="none" w:sz="0" w:space="0" w:color="auto"/>
                                    <w:right w:val="none" w:sz="0" w:space="0" w:color="auto"/>
                                  </w:divBdr>
                                  <w:divsChild>
                                    <w:div w:id="2021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188472">
      <w:bodyDiv w:val="1"/>
      <w:marLeft w:val="0"/>
      <w:marRight w:val="0"/>
      <w:marTop w:val="0"/>
      <w:marBottom w:val="0"/>
      <w:divBdr>
        <w:top w:val="none" w:sz="0" w:space="0" w:color="auto"/>
        <w:left w:val="none" w:sz="0" w:space="0" w:color="auto"/>
        <w:bottom w:val="none" w:sz="0" w:space="0" w:color="auto"/>
        <w:right w:val="none" w:sz="0" w:space="0" w:color="auto"/>
      </w:divBdr>
      <w:divsChild>
        <w:div w:id="1354914035">
          <w:marLeft w:val="0"/>
          <w:marRight w:val="0"/>
          <w:marTop w:val="0"/>
          <w:marBottom w:val="0"/>
          <w:divBdr>
            <w:top w:val="none" w:sz="0" w:space="0" w:color="auto"/>
            <w:left w:val="none" w:sz="0" w:space="0" w:color="auto"/>
            <w:bottom w:val="none" w:sz="0" w:space="0" w:color="auto"/>
            <w:right w:val="none" w:sz="0" w:space="0" w:color="auto"/>
          </w:divBdr>
          <w:divsChild>
            <w:div w:id="1275555566">
              <w:marLeft w:val="0"/>
              <w:marRight w:val="0"/>
              <w:marTop w:val="100"/>
              <w:marBottom w:val="100"/>
              <w:divBdr>
                <w:top w:val="none" w:sz="0" w:space="0" w:color="auto"/>
                <w:left w:val="none" w:sz="0" w:space="0" w:color="auto"/>
                <w:bottom w:val="none" w:sz="0" w:space="0" w:color="auto"/>
                <w:right w:val="none" w:sz="0" w:space="0" w:color="auto"/>
              </w:divBdr>
              <w:divsChild>
                <w:div w:id="471365872">
                  <w:marLeft w:val="0"/>
                  <w:marRight w:val="0"/>
                  <w:marTop w:val="0"/>
                  <w:marBottom w:val="0"/>
                  <w:divBdr>
                    <w:top w:val="none" w:sz="0" w:space="0" w:color="auto"/>
                    <w:left w:val="none" w:sz="0" w:space="0" w:color="auto"/>
                    <w:bottom w:val="none" w:sz="0" w:space="0" w:color="auto"/>
                    <w:right w:val="none" w:sz="0" w:space="0" w:color="auto"/>
                  </w:divBdr>
                  <w:divsChild>
                    <w:div w:id="2052997042">
                      <w:marLeft w:val="0"/>
                      <w:marRight w:val="0"/>
                      <w:marTop w:val="0"/>
                      <w:marBottom w:val="0"/>
                      <w:divBdr>
                        <w:top w:val="none" w:sz="0" w:space="0" w:color="auto"/>
                        <w:left w:val="none" w:sz="0" w:space="0" w:color="auto"/>
                        <w:bottom w:val="single" w:sz="6" w:space="0" w:color="CCCCCC"/>
                        <w:right w:val="none" w:sz="0" w:space="0" w:color="auto"/>
                      </w:divBdr>
                      <w:divsChild>
                        <w:div w:id="559287837">
                          <w:marLeft w:val="0"/>
                          <w:marRight w:val="0"/>
                          <w:marTop w:val="0"/>
                          <w:marBottom w:val="0"/>
                          <w:divBdr>
                            <w:top w:val="none" w:sz="0" w:space="0" w:color="auto"/>
                            <w:left w:val="none" w:sz="0" w:space="0" w:color="auto"/>
                            <w:bottom w:val="none" w:sz="0" w:space="0" w:color="auto"/>
                            <w:right w:val="none" w:sz="0" w:space="0" w:color="auto"/>
                          </w:divBdr>
                          <w:divsChild>
                            <w:div w:id="15812547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538481">
      <w:bodyDiv w:val="1"/>
      <w:marLeft w:val="0"/>
      <w:marRight w:val="0"/>
      <w:marTop w:val="0"/>
      <w:marBottom w:val="0"/>
      <w:divBdr>
        <w:top w:val="none" w:sz="0" w:space="0" w:color="auto"/>
        <w:left w:val="none" w:sz="0" w:space="0" w:color="auto"/>
        <w:bottom w:val="none" w:sz="0" w:space="0" w:color="auto"/>
        <w:right w:val="none" w:sz="0" w:space="0" w:color="auto"/>
      </w:divBdr>
      <w:divsChild>
        <w:div w:id="1899852835">
          <w:marLeft w:val="0"/>
          <w:marRight w:val="0"/>
          <w:marTop w:val="0"/>
          <w:marBottom w:val="0"/>
          <w:divBdr>
            <w:top w:val="none" w:sz="0" w:space="0" w:color="auto"/>
            <w:left w:val="none" w:sz="0" w:space="0" w:color="auto"/>
            <w:bottom w:val="none" w:sz="0" w:space="0" w:color="auto"/>
            <w:right w:val="none" w:sz="0" w:space="0" w:color="auto"/>
          </w:divBdr>
          <w:divsChild>
            <w:div w:id="1806392019">
              <w:marLeft w:val="0"/>
              <w:marRight w:val="0"/>
              <w:marTop w:val="0"/>
              <w:marBottom w:val="0"/>
              <w:divBdr>
                <w:top w:val="none" w:sz="0" w:space="0" w:color="auto"/>
                <w:left w:val="none" w:sz="0" w:space="0" w:color="auto"/>
                <w:bottom w:val="none" w:sz="0" w:space="0" w:color="auto"/>
                <w:right w:val="none" w:sz="0" w:space="0" w:color="auto"/>
              </w:divBdr>
              <w:divsChild>
                <w:div w:id="1973753980">
                  <w:marLeft w:val="0"/>
                  <w:marRight w:val="0"/>
                  <w:marTop w:val="100"/>
                  <w:marBottom w:val="100"/>
                  <w:divBdr>
                    <w:top w:val="none" w:sz="0" w:space="0" w:color="auto"/>
                    <w:left w:val="none" w:sz="0" w:space="0" w:color="auto"/>
                    <w:bottom w:val="none" w:sz="0" w:space="0" w:color="auto"/>
                    <w:right w:val="none" w:sz="0" w:space="0" w:color="auto"/>
                  </w:divBdr>
                  <w:divsChild>
                    <w:div w:id="63844508">
                      <w:marLeft w:val="0"/>
                      <w:marRight w:val="0"/>
                      <w:marTop w:val="0"/>
                      <w:marBottom w:val="0"/>
                      <w:divBdr>
                        <w:top w:val="none" w:sz="0" w:space="0" w:color="auto"/>
                        <w:left w:val="none" w:sz="0" w:space="0" w:color="auto"/>
                        <w:bottom w:val="none" w:sz="0" w:space="0" w:color="auto"/>
                        <w:right w:val="none" w:sz="0" w:space="0" w:color="auto"/>
                      </w:divBdr>
                      <w:divsChild>
                        <w:div w:id="199710222">
                          <w:marLeft w:val="0"/>
                          <w:marRight w:val="0"/>
                          <w:marTop w:val="0"/>
                          <w:marBottom w:val="0"/>
                          <w:divBdr>
                            <w:top w:val="none" w:sz="0" w:space="0" w:color="auto"/>
                            <w:left w:val="none" w:sz="0" w:space="0" w:color="auto"/>
                            <w:bottom w:val="none" w:sz="0" w:space="0" w:color="auto"/>
                            <w:right w:val="none" w:sz="0" w:space="0" w:color="auto"/>
                          </w:divBdr>
                          <w:divsChild>
                            <w:div w:id="745422459">
                              <w:marLeft w:val="0"/>
                              <w:marRight w:val="0"/>
                              <w:marTop w:val="0"/>
                              <w:marBottom w:val="0"/>
                              <w:divBdr>
                                <w:top w:val="none" w:sz="0" w:space="0" w:color="auto"/>
                                <w:left w:val="none" w:sz="0" w:space="0" w:color="auto"/>
                                <w:bottom w:val="none" w:sz="0" w:space="0" w:color="auto"/>
                                <w:right w:val="none" w:sz="0" w:space="0" w:color="auto"/>
                              </w:divBdr>
                              <w:divsChild>
                                <w:div w:id="1381512267">
                                  <w:marLeft w:val="0"/>
                                  <w:marRight w:val="0"/>
                                  <w:marTop w:val="0"/>
                                  <w:marBottom w:val="0"/>
                                  <w:divBdr>
                                    <w:top w:val="none" w:sz="0" w:space="0" w:color="auto"/>
                                    <w:left w:val="none" w:sz="0" w:space="0" w:color="auto"/>
                                    <w:bottom w:val="none" w:sz="0" w:space="0" w:color="auto"/>
                                    <w:right w:val="none" w:sz="0" w:space="0" w:color="auto"/>
                                  </w:divBdr>
                                  <w:divsChild>
                                    <w:div w:id="2088576128">
                                      <w:marLeft w:val="0"/>
                                      <w:marRight w:val="0"/>
                                      <w:marTop w:val="0"/>
                                      <w:marBottom w:val="0"/>
                                      <w:divBdr>
                                        <w:top w:val="none" w:sz="0" w:space="0" w:color="auto"/>
                                        <w:left w:val="none" w:sz="0" w:space="0" w:color="auto"/>
                                        <w:bottom w:val="none" w:sz="0" w:space="0" w:color="auto"/>
                                        <w:right w:val="none" w:sz="0" w:space="0" w:color="auto"/>
                                      </w:divBdr>
                                      <w:divsChild>
                                        <w:div w:id="1710496923">
                                          <w:marLeft w:val="0"/>
                                          <w:marRight w:val="0"/>
                                          <w:marTop w:val="0"/>
                                          <w:marBottom w:val="0"/>
                                          <w:divBdr>
                                            <w:top w:val="none" w:sz="0" w:space="0" w:color="auto"/>
                                            <w:left w:val="none" w:sz="0" w:space="0" w:color="auto"/>
                                            <w:bottom w:val="none" w:sz="0" w:space="0" w:color="auto"/>
                                            <w:right w:val="none" w:sz="0" w:space="0" w:color="auto"/>
                                          </w:divBdr>
                                          <w:divsChild>
                                            <w:div w:id="1133130932">
                                              <w:marLeft w:val="0"/>
                                              <w:marRight w:val="0"/>
                                              <w:marTop w:val="0"/>
                                              <w:marBottom w:val="0"/>
                                              <w:divBdr>
                                                <w:top w:val="none" w:sz="0" w:space="0" w:color="auto"/>
                                                <w:left w:val="none" w:sz="0" w:space="0" w:color="auto"/>
                                                <w:bottom w:val="none" w:sz="0" w:space="0" w:color="auto"/>
                                                <w:right w:val="none" w:sz="0" w:space="0" w:color="auto"/>
                                              </w:divBdr>
                                              <w:divsChild>
                                                <w:div w:id="2048334318">
                                                  <w:marLeft w:val="0"/>
                                                  <w:marRight w:val="300"/>
                                                  <w:marTop w:val="0"/>
                                                  <w:marBottom w:val="0"/>
                                                  <w:divBdr>
                                                    <w:top w:val="none" w:sz="0" w:space="0" w:color="auto"/>
                                                    <w:left w:val="none" w:sz="0" w:space="0" w:color="auto"/>
                                                    <w:bottom w:val="none" w:sz="0" w:space="0" w:color="auto"/>
                                                    <w:right w:val="none" w:sz="0" w:space="0" w:color="auto"/>
                                                  </w:divBdr>
                                                  <w:divsChild>
                                                    <w:div w:id="271672904">
                                                      <w:marLeft w:val="0"/>
                                                      <w:marRight w:val="0"/>
                                                      <w:marTop w:val="0"/>
                                                      <w:marBottom w:val="0"/>
                                                      <w:divBdr>
                                                        <w:top w:val="none" w:sz="0" w:space="0" w:color="auto"/>
                                                        <w:left w:val="none" w:sz="0" w:space="0" w:color="auto"/>
                                                        <w:bottom w:val="none" w:sz="0" w:space="0" w:color="auto"/>
                                                        <w:right w:val="none" w:sz="0" w:space="0" w:color="auto"/>
                                                      </w:divBdr>
                                                      <w:divsChild>
                                                        <w:div w:id="1461847988">
                                                          <w:marLeft w:val="0"/>
                                                          <w:marRight w:val="0"/>
                                                          <w:marTop w:val="0"/>
                                                          <w:marBottom w:val="300"/>
                                                          <w:divBdr>
                                                            <w:top w:val="single" w:sz="6" w:space="0" w:color="CCCCCC"/>
                                                            <w:left w:val="none" w:sz="0" w:space="0" w:color="auto"/>
                                                            <w:bottom w:val="none" w:sz="0" w:space="0" w:color="auto"/>
                                                            <w:right w:val="none" w:sz="0" w:space="0" w:color="auto"/>
                                                          </w:divBdr>
                                                          <w:divsChild>
                                                            <w:div w:id="1646203801">
                                                              <w:marLeft w:val="0"/>
                                                              <w:marRight w:val="0"/>
                                                              <w:marTop w:val="0"/>
                                                              <w:marBottom w:val="0"/>
                                                              <w:divBdr>
                                                                <w:top w:val="none" w:sz="0" w:space="0" w:color="auto"/>
                                                                <w:left w:val="none" w:sz="0" w:space="0" w:color="auto"/>
                                                                <w:bottom w:val="none" w:sz="0" w:space="0" w:color="auto"/>
                                                                <w:right w:val="none" w:sz="0" w:space="0" w:color="auto"/>
                                                              </w:divBdr>
                                                              <w:divsChild>
                                                                <w:div w:id="1558129866">
                                                                  <w:marLeft w:val="0"/>
                                                                  <w:marRight w:val="0"/>
                                                                  <w:marTop w:val="0"/>
                                                                  <w:marBottom w:val="0"/>
                                                                  <w:divBdr>
                                                                    <w:top w:val="none" w:sz="0" w:space="0" w:color="auto"/>
                                                                    <w:left w:val="none" w:sz="0" w:space="0" w:color="auto"/>
                                                                    <w:bottom w:val="none" w:sz="0" w:space="0" w:color="auto"/>
                                                                    <w:right w:val="none" w:sz="0" w:space="0" w:color="auto"/>
                                                                  </w:divBdr>
                                                                  <w:divsChild>
                                                                    <w:div w:id="581063922">
                                                                      <w:marLeft w:val="0"/>
                                                                      <w:marRight w:val="0"/>
                                                                      <w:marTop w:val="0"/>
                                                                      <w:marBottom w:val="0"/>
                                                                      <w:divBdr>
                                                                        <w:top w:val="none" w:sz="0" w:space="0" w:color="auto"/>
                                                                        <w:left w:val="none" w:sz="0" w:space="0" w:color="auto"/>
                                                                        <w:bottom w:val="none" w:sz="0" w:space="0" w:color="auto"/>
                                                                        <w:right w:val="none" w:sz="0" w:space="0" w:color="auto"/>
                                                                      </w:divBdr>
                                                                      <w:divsChild>
                                                                        <w:div w:id="1336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70667">
      <w:bodyDiv w:val="1"/>
      <w:marLeft w:val="0"/>
      <w:marRight w:val="0"/>
      <w:marTop w:val="0"/>
      <w:marBottom w:val="0"/>
      <w:divBdr>
        <w:top w:val="none" w:sz="0" w:space="0" w:color="auto"/>
        <w:left w:val="none" w:sz="0" w:space="0" w:color="auto"/>
        <w:bottom w:val="none" w:sz="0" w:space="0" w:color="auto"/>
        <w:right w:val="none" w:sz="0" w:space="0" w:color="auto"/>
      </w:divBdr>
      <w:divsChild>
        <w:div w:id="1650742489">
          <w:marLeft w:val="0"/>
          <w:marRight w:val="0"/>
          <w:marTop w:val="0"/>
          <w:marBottom w:val="0"/>
          <w:divBdr>
            <w:top w:val="none" w:sz="0" w:space="0" w:color="auto"/>
            <w:left w:val="none" w:sz="0" w:space="0" w:color="auto"/>
            <w:bottom w:val="none" w:sz="0" w:space="0" w:color="auto"/>
            <w:right w:val="none" w:sz="0" w:space="0" w:color="auto"/>
          </w:divBdr>
          <w:divsChild>
            <w:div w:id="852379772">
              <w:marLeft w:val="0"/>
              <w:marRight w:val="0"/>
              <w:marTop w:val="0"/>
              <w:marBottom w:val="0"/>
              <w:divBdr>
                <w:top w:val="none" w:sz="0" w:space="0" w:color="auto"/>
                <w:left w:val="none" w:sz="0" w:space="0" w:color="auto"/>
                <w:bottom w:val="none" w:sz="0" w:space="0" w:color="auto"/>
                <w:right w:val="none" w:sz="0" w:space="0" w:color="auto"/>
              </w:divBdr>
              <w:divsChild>
                <w:div w:id="1977682199">
                  <w:marLeft w:val="0"/>
                  <w:marRight w:val="0"/>
                  <w:marTop w:val="0"/>
                  <w:marBottom w:val="0"/>
                  <w:divBdr>
                    <w:top w:val="none" w:sz="0" w:space="0" w:color="auto"/>
                    <w:left w:val="none" w:sz="0" w:space="0" w:color="auto"/>
                    <w:bottom w:val="none" w:sz="0" w:space="0" w:color="auto"/>
                    <w:right w:val="none" w:sz="0" w:space="0" w:color="auto"/>
                  </w:divBdr>
                  <w:divsChild>
                    <w:div w:id="1868058436">
                      <w:marLeft w:val="0"/>
                      <w:marRight w:val="0"/>
                      <w:marTop w:val="0"/>
                      <w:marBottom w:val="0"/>
                      <w:divBdr>
                        <w:top w:val="none" w:sz="0" w:space="0" w:color="auto"/>
                        <w:left w:val="none" w:sz="0" w:space="0" w:color="auto"/>
                        <w:bottom w:val="none" w:sz="0" w:space="0" w:color="auto"/>
                        <w:right w:val="none" w:sz="0" w:space="0" w:color="auto"/>
                      </w:divBdr>
                      <w:divsChild>
                        <w:div w:id="1274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022830">
      <w:bodyDiv w:val="1"/>
      <w:marLeft w:val="0"/>
      <w:marRight w:val="0"/>
      <w:marTop w:val="0"/>
      <w:marBottom w:val="0"/>
      <w:divBdr>
        <w:top w:val="none" w:sz="0" w:space="0" w:color="auto"/>
        <w:left w:val="none" w:sz="0" w:space="0" w:color="auto"/>
        <w:bottom w:val="none" w:sz="0" w:space="0" w:color="auto"/>
        <w:right w:val="none" w:sz="0" w:space="0" w:color="auto"/>
      </w:divBdr>
      <w:divsChild>
        <w:div w:id="660894492">
          <w:marLeft w:val="0"/>
          <w:marRight w:val="0"/>
          <w:marTop w:val="0"/>
          <w:marBottom w:val="0"/>
          <w:divBdr>
            <w:top w:val="none" w:sz="0" w:space="0" w:color="auto"/>
            <w:left w:val="none" w:sz="0" w:space="0" w:color="auto"/>
            <w:bottom w:val="none" w:sz="0" w:space="0" w:color="auto"/>
            <w:right w:val="none" w:sz="0" w:space="0" w:color="auto"/>
          </w:divBdr>
          <w:divsChild>
            <w:div w:id="283855324">
              <w:marLeft w:val="0"/>
              <w:marRight w:val="0"/>
              <w:marTop w:val="0"/>
              <w:marBottom w:val="0"/>
              <w:divBdr>
                <w:top w:val="none" w:sz="0" w:space="0" w:color="auto"/>
                <w:left w:val="none" w:sz="0" w:space="0" w:color="auto"/>
                <w:bottom w:val="none" w:sz="0" w:space="0" w:color="auto"/>
                <w:right w:val="none" w:sz="0" w:space="0" w:color="auto"/>
              </w:divBdr>
              <w:divsChild>
                <w:div w:id="1031493702">
                  <w:marLeft w:val="0"/>
                  <w:marRight w:val="0"/>
                  <w:marTop w:val="0"/>
                  <w:marBottom w:val="0"/>
                  <w:divBdr>
                    <w:top w:val="none" w:sz="0" w:space="0" w:color="auto"/>
                    <w:left w:val="none" w:sz="0" w:space="0" w:color="auto"/>
                    <w:bottom w:val="none" w:sz="0" w:space="0" w:color="auto"/>
                    <w:right w:val="none" w:sz="0" w:space="0" w:color="auto"/>
                  </w:divBdr>
                  <w:divsChild>
                    <w:div w:id="1081953981">
                      <w:marLeft w:val="0"/>
                      <w:marRight w:val="0"/>
                      <w:marTop w:val="0"/>
                      <w:marBottom w:val="0"/>
                      <w:divBdr>
                        <w:top w:val="none" w:sz="0" w:space="0" w:color="auto"/>
                        <w:left w:val="none" w:sz="0" w:space="0" w:color="auto"/>
                        <w:bottom w:val="none" w:sz="0" w:space="0" w:color="auto"/>
                        <w:right w:val="none" w:sz="0" w:space="0" w:color="auto"/>
                      </w:divBdr>
                      <w:divsChild>
                        <w:div w:id="1652782930">
                          <w:marLeft w:val="0"/>
                          <w:marRight w:val="0"/>
                          <w:marTop w:val="0"/>
                          <w:marBottom w:val="0"/>
                          <w:divBdr>
                            <w:top w:val="none" w:sz="0" w:space="0" w:color="auto"/>
                            <w:left w:val="none" w:sz="0" w:space="0" w:color="auto"/>
                            <w:bottom w:val="none" w:sz="0" w:space="0" w:color="auto"/>
                            <w:right w:val="none" w:sz="0" w:space="0" w:color="auto"/>
                          </w:divBdr>
                          <w:divsChild>
                            <w:div w:id="1645964138">
                              <w:marLeft w:val="0"/>
                              <w:marRight w:val="0"/>
                              <w:marTop w:val="0"/>
                              <w:marBottom w:val="0"/>
                              <w:divBdr>
                                <w:top w:val="none" w:sz="0" w:space="0" w:color="auto"/>
                                <w:left w:val="none" w:sz="0" w:space="0" w:color="auto"/>
                                <w:bottom w:val="none" w:sz="0" w:space="0" w:color="auto"/>
                                <w:right w:val="none" w:sz="0" w:space="0" w:color="auto"/>
                              </w:divBdr>
                              <w:divsChild>
                                <w:div w:id="313030146">
                                  <w:marLeft w:val="0"/>
                                  <w:marRight w:val="0"/>
                                  <w:marTop w:val="0"/>
                                  <w:marBottom w:val="0"/>
                                  <w:divBdr>
                                    <w:top w:val="none" w:sz="0" w:space="0" w:color="auto"/>
                                    <w:left w:val="none" w:sz="0" w:space="0" w:color="auto"/>
                                    <w:bottom w:val="none" w:sz="0" w:space="0" w:color="auto"/>
                                    <w:right w:val="none" w:sz="0" w:space="0" w:color="auto"/>
                                  </w:divBdr>
                                  <w:divsChild>
                                    <w:div w:id="756680138">
                                      <w:marLeft w:val="0"/>
                                      <w:marRight w:val="0"/>
                                      <w:marTop w:val="0"/>
                                      <w:marBottom w:val="0"/>
                                      <w:divBdr>
                                        <w:top w:val="none" w:sz="0" w:space="0" w:color="auto"/>
                                        <w:left w:val="none" w:sz="0" w:space="0" w:color="auto"/>
                                        <w:bottom w:val="none" w:sz="0" w:space="0" w:color="auto"/>
                                        <w:right w:val="none" w:sz="0" w:space="0" w:color="auto"/>
                                      </w:divBdr>
                                    </w:div>
                                    <w:div w:id="12941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774475">
      <w:bodyDiv w:val="1"/>
      <w:marLeft w:val="0"/>
      <w:marRight w:val="0"/>
      <w:marTop w:val="0"/>
      <w:marBottom w:val="0"/>
      <w:divBdr>
        <w:top w:val="none" w:sz="0" w:space="0" w:color="auto"/>
        <w:left w:val="none" w:sz="0" w:space="0" w:color="auto"/>
        <w:bottom w:val="none" w:sz="0" w:space="0" w:color="auto"/>
        <w:right w:val="none" w:sz="0" w:space="0" w:color="auto"/>
      </w:divBdr>
    </w:div>
    <w:div w:id="887111677">
      <w:bodyDiv w:val="1"/>
      <w:marLeft w:val="0"/>
      <w:marRight w:val="0"/>
      <w:marTop w:val="0"/>
      <w:marBottom w:val="0"/>
      <w:divBdr>
        <w:top w:val="none" w:sz="0" w:space="0" w:color="auto"/>
        <w:left w:val="none" w:sz="0" w:space="0" w:color="auto"/>
        <w:bottom w:val="none" w:sz="0" w:space="0" w:color="auto"/>
        <w:right w:val="none" w:sz="0" w:space="0" w:color="auto"/>
      </w:divBdr>
    </w:div>
    <w:div w:id="1127553392">
      <w:bodyDiv w:val="1"/>
      <w:marLeft w:val="0"/>
      <w:marRight w:val="0"/>
      <w:marTop w:val="0"/>
      <w:marBottom w:val="0"/>
      <w:divBdr>
        <w:top w:val="none" w:sz="0" w:space="0" w:color="auto"/>
        <w:left w:val="none" w:sz="0" w:space="0" w:color="auto"/>
        <w:bottom w:val="none" w:sz="0" w:space="0" w:color="auto"/>
        <w:right w:val="none" w:sz="0" w:space="0" w:color="auto"/>
      </w:divBdr>
    </w:div>
    <w:div w:id="1171985475">
      <w:bodyDiv w:val="1"/>
      <w:marLeft w:val="0"/>
      <w:marRight w:val="0"/>
      <w:marTop w:val="0"/>
      <w:marBottom w:val="0"/>
      <w:divBdr>
        <w:top w:val="none" w:sz="0" w:space="0" w:color="auto"/>
        <w:left w:val="none" w:sz="0" w:space="0" w:color="auto"/>
        <w:bottom w:val="none" w:sz="0" w:space="0" w:color="auto"/>
        <w:right w:val="none" w:sz="0" w:space="0" w:color="auto"/>
      </w:divBdr>
      <w:divsChild>
        <w:div w:id="886375876">
          <w:marLeft w:val="0"/>
          <w:marRight w:val="0"/>
          <w:marTop w:val="0"/>
          <w:marBottom w:val="0"/>
          <w:divBdr>
            <w:top w:val="none" w:sz="0" w:space="0" w:color="auto"/>
            <w:left w:val="none" w:sz="0" w:space="0" w:color="auto"/>
            <w:bottom w:val="none" w:sz="0" w:space="0" w:color="auto"/>
            <w:right w:val="none" w:sz="0" w:space="0" w:color="auto"/>
          </w:divBdr>
          <w:divsChild>
            <w:div w:id="1011643685">
              <w:marLeft w:val="0"/>
              <w:marRight w:val="0"/>
              <w:marTop w:val="0"/>
              <w:marBottom w:val="0"/>
              <w:divBdr>
                <w:top w:val="none" w:sz="0" w:space="0" w:color="auto"/>
                <w:left w:val="none" w:sz="0" w:space="0" w:color="auto"/>
                <w:bottom w:val="none" w:sz="0" w:space="0" w:color="auto"/>
                <w:right w:val="none" w:sz="0" w:space="0" w:color="auto"/>
              </w:divBdr>
              <w:divsChild>
                <w:div w:id="2029521195">
                  <w:marLeft w:val="0"/>
                  <w:marRight w:val="0"/>
                  <w:marTop w:val="100"/>
                  <w:marBottom w:val="100"/>
                  <w:divBdr>
                    <w:top w:val="none" w:sz="0" w:space="0" w:color="auto"/>
                    <w:left w:val="none" w:sz="0" w:space="0" w:color="auto"/>
                    <w:bottom w:val="none" w:sz="0" w:space="0" w:color="auto"/>
                    <w:right w:val="none" w:sz="0" w:space="0" w:color="auto"/>
                  </w:divBdr>
                  <w:divsChild>
                    <w:div w:id="1521357822">
                      <w:marLeft w:val="0"/>
                      <w:marRight w:val="0"/>
                      <w:marTop w:val="0"/>
                      <w:marBottom w:val="0"/>
                      <w:divBdr>
                        <w:top w:val="none" w:sz="0" w:space="0" w:color="auto"/>
                        <w:left w:val="none" w:sz="0" w:space="0" w:color="auto"/>
                        <w:bottom w:val="none" w:sz="0" w:space="0" w:color="auto"/>
                        <w:right w:val="none" w:sz="0" w:space="0" w:color="auto"/>
                      </w:divBdr>
                      <w:divsChild>
                        <w:div w:id="449281465">
                          <w:marLeft w:val="0"/>
                          <w:marRight w:val="0"/>
                          <w:marTop w:val="0"/>
                          <w:marBottom w:val="0"/>
                          <w:divBdr>
                            <w:top w:val="none" w:sz="0" w:space="0" w:color="auto"/>
                            <w:left w:val="none" w:sz="0" w:space="0" w:color="auto"/>
                            <w:bottom w:val="none" w:sz="0" w:space="0" w:color="auto"/>
                            <w:right w:val="none" w:sz="0" w:space="0" w:color="auto"/>
                          </w:divBdr>
                          <w:divsChild>
                            <w:div w:id="726804397">
                              <w:marLeft w:val="0"/>
                              <w:marRight w:val="0"/>
                              <w:marTop w:val="0"/>
                              <w:marBottom w:val="0"/>
                              <w:divBdr>
                                <w:top w:val="none" w:sz="0" w:space="0" w:color="auto"/>
                                <w:left w:val="none" w:sz="0" w:space="0" w:color="auto"/>
                                <w:bottom w:val="none" w:sz="0" w:space="0" w:color="auto"/>
                                <w:right w:val="none" w:sz="0" w:space="0" w:color="auto"/>
                              </w:divBdr>
                              <w:divsChild>
                                <w:div w:id="2065062893">
                                  <w:marLeft w:val="0"/>
                                  <w:marRight w:val="0"/>
                                  <w:marTop w:val="0"/>
                                  <w:marBottom w:val="0"/>
                                  <w:divBdr>
                                    <w:top w:val="none" w:sz="0" w:space="0" w:color="auto"/>
                                    <w:left w:val="none" w:sz="0" w:space="0" w:color="auto"/>
                                    <w:bottom w:val="none" w:sz="0" w:space="0" w:color="auto"/>
                                    <w:right w:val="none" w:sz="0" w:space="0" w:color="auto"/>
                                  </w:divBdr>
                                  <w:divsChild>
                                    <w:div w:id="914975184">
                                      <w:marLeft w:val="0"/>
                                      <w:marRight w:val="0"/>
                                      <w:marTop w:val="0"/>
                                      <w:marBottom w:val="0"/>
                                      <w:divBdr>
                                        <w:top w:val="none" w:sz="0" w:space="0" w:color="auto"/>
                                        <w:left w:val="none" w:sz="0" w:space="0" w:color="auto"/>
                                        <w:bottom w:val="none" w:sz="0" w:space="0" w:color="auto"/>
                                        <w:right w:val="none" w:sz="0" w:space="0" w:color="auto"/>
                                      </w:divBdr>
                                      <w:divsChild>
                                        <w:div w:id="757680134">
                                          <w:marLeft w:val="0"/>
                                          <w:marRight w:val="0"/>
                                          <w:marTop w:val="0"/>
                                          <w:marBottom w:val="0"/>
                                          <w:divBdr>
                                            <w:top w:val="none" w:sz="0" w:space="0" w:color="auto"/>
                                            <w:left w:val="none" w:sz="0" w:space="0" w:color="auto"/>
                                            <w:bottom w:val="none" w:sz="0" w:space="0" w:color="auto"/>
                                            <w:right w:val="none" w:sz="0" w:space="0" w:color="auto"/>
                                          </w:divBdr>
                                          <w:divsChild>
                                            <w:div w:id="101190861">
                                              <w:marLeft w:val="0"/>
                                              <w:marRight w:val="0"/>
                                              <w:marTop w:val="0"/>
                                              <w:marBottom w:val="0"/>
                                              <w:divBdr>
                                                <w:top w:val="none" w:sz="0" w:space="0" w:color="auto"/>
                                                <w:left w:val="none" w:sz="0" w:space="0" w:color="auto"/>
                                                <w:bottom w:val="none" w:sz="0" w:space="0" w:color="auto"/>
                                                <w:right w:val="none" w:sz="0" w:space="0" w:color="auto"/>
                                              </w:divBdr>
                                              <w:divsChild>
                                                <w:div w:id="1748267610">
                                                  <w:marLeft w:val="0"/>
                                                  <w:marRight w:val="300"/>
                                                  <w:marTop w:val="0"/>
                                                  <w:marBottom w:val="0"/>
                                                  <w:divBdr>
                                                    <w:top w:val="none" w:sz="0" w:space="0" w:color="auto"/>
                                                    <w:left w:val="none" w:sz="0" w:space="0" w:color="auto"/>
                                                    <w:bottom w:val="none" w:sz="0" w:space="0" w:color="auto"/>
                                                    <w:right w:val="none" w:sz="0" w:space="0" w:color="auto"/>
                                                  </w:divBdr>
                                                  <w:divsChild>
                                                    <w:div w:id="794832982">
                                                      <w:marLeft w:val="0"/>
                                                      <w:marRight w:val="0"/>
                                                      <w:marTop w:val="0"/>
                                                      <w:marBottom w:val="0"/>
                                                      <w:divBdr>
                                                        <w:top w:val="none" w:sz="0" w:space="0" w:color="auto"/>
                                                        <w:left w:val="none" w:sz="0" w:space="0" w:color="auto"/>
                                                        <w:bottom w:val="none" w:sz="0" w:space="0" w:color="auto"/>
                                                        <w:right w:val="none" w:sz="0" w:space="0" w:color="auto"/>
                                                      </w:divBdr>
                                                      <w:divsChild>
                                                        <w:div w:id="777139999">
                                                          <w:marLeft w:val="0"/>
                                                          <w:marRight w:val="0"/>
                                                          <w:marTop w:val="0"/>
                                                          <w:marBottom w:val="300"/>
                                                          <w:divBdr>
                                                            <w:top w:val="single" w:sz="6" w:space="0" w:color="CCCCCC"/>
                                                            <w:left w:val="none" w:sz="0" w:space="0" w:color="auto"/>
                                                            <w:bottom w:val="none" w:sz="0" w:space="0" w:color="auto"/>
                                                            <w:right w:val="none" w:sz="0" w:space="0" w:color="auto"/>
                                                          </w:divBdr>
                                                          <w:divsChild>
                                                            <w:div w:id="483089195">
                                                              <w:marLeft w:val="0"/>
                                                              <w:marRight w:val="0"/>
                                                              <w:marTop w:val="0"/>
                                                              <w:marBottom w:val="0"/>
                                                              <w:divBdr>
                                                                <w:top w:val="none" w:sz="0" w:space="0" w:color="auto"/>
                                                                <w:left w:val="none" w:sz="0" w:space="0" w:color="auto"/>
                                                                <w:bottom w:val="none" w:sz="0" w:space="0" w:color="auto"/>
                                                                <w:right w:val="none" w:sz="0" w:space="0" w:color="auto"/>
                                                              </w:divBdr>
                                                              <w:divsChild>
                                                                <w:div w:id="289558454">
                                                                  <w:marLeft w:val="0"/>
                                                                  <w:marRight w:val="0"/>
                                                                  <w:marTop w:val="0"/>
                                                                  <w:marBottom w:val="0"/>
                                                                  <w:divBdr>
                                                                    <w:top w:val="none" w:sz="0" w:space="0" w:color="auto"/>
                                                                    <w:left w:val="none" w:sz="0" w:space="0" w:color="auto"/>
                                                                    <w:bottom w:val="none" w:sz="0" w:space="0" w:color="auto"/>
                                                                    <w:right w:val="none" w:sz="0" w:space="0" w:color="auto"/>
                                                                  </w:divBdr>
                                                                  <w:divsChild>
                                                                    <w:div w:id="166527270">
                                                                      <w:marLeft w:val="0"/>
                                                                      <w:marRight w:val="0"/>
                                                                      <w:marTop w:val="0"/>
                                                                      <w:marBottom w:val="0"/>
                                                                      <w:divBdr>
                                                                        <w:top w:val="none" w:sz="0" w:space="0" w:color="auto"/>
                                                                        <w:left w:val="none" w:sz="0" w:space="0" w:color="auto"/>
                                                                        <w:bottom w:val="none" w:sz="0" w:space="0" w:color="auto"/>
                                                                        <w:right w:val="none" w:sz="0" w:space="0" w:color="auto"/>
                                                                      </w:divBdr>
                                                                      <w:divsChild>
                                                                        <w:div w:id="8732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219865">
      <w:bodyDiv w:val="1"/>
      <w:marLeft w:val="0"/>
      <w:marRight w:val="0"/>
      <w:marTop w:val="0"/>
      <w:marBottom w:val="0"/>
      <w:divBdr>
        <w:top w:val="none" w:sz="0" w:space="0" w:color="auto"/>
        <w:left w:val="none" w:sz="0" w:space="0" w:color="auto"/>
        <w:bottom w:val="none" w:sz="0" w:space="0" w:color="auto"/>
        <w:right w:val="none" w:sz="0" w:space="0" w:color="auto"/>
      </w:divBdr>
      <w:divsChild>
        <w:div w:id="94445839">
          <w:marLeft w:val="0"/>
          <w:marRight w:val="0"/>
          <w:marTop w:val="0"/>
          <w:marBottom w:val="0"/>
          <w:divBdr>
            <w:top w:val="none" w:sz="0" w:space="0" w:color="auto"/>
            <w:left w:val="none" w:sz="0" w:space="0" w:color="auto"/>
            <w:bottom w:val="none" w:sz="0" w:space="0" w:color="auto"/>
            <w:right w:val="none" w:sz="0" w:space="0" w:color="auto"/>
          </w:divBdr>
          <w:divsChild>
            <w:div w:id="2109421292">
              <w:marLeft w:val="0"/>
              <w:marRight w:val="0"/>
              <w:marTop w:val="0"/>
              <w:marBottom w:val="0"/>
              <w:divBdr>
                <w:top w:val="none" w:sz="0" w:space="0" w:color="auto"/>
                <w:left w:val="none" w:sz="0" w:space="0" w:color="auto"/>
                <w:bottom w:val="none" w:sz="0" w:space="0" w:color="auto"/>
                <w:right w:val="none" w:sz="0" w:space="0" w:color="auto"/>
              </w:divBdr>
              <w:divsChild>
                <w:div w:id="360084078">
                  <w:marLeft w:val="0"/>
                  <w:marRight w:val="0"/>
                  <w:marTop w:val="100"/>
                  <w:marBottom w:val="100"/>
                  <w:divBdr>
                    <w:top w:val="none" w:sz="0" w:space="0" w:color="auto"/>
                    <w:left w:val="none" w:sz="0" w:space="0" w:color="auto"/>
                    <w:bottom w:val="none" w:sz="0" w:space="0" w:color="auto"/>
                    <w:right w:val="none" w:sz="0" w:space="0" w:color="auto"/>
                  </w:divBdr>
                  <w:divsChild>
                    <w:div w:id="506360844">
                      <w:marLeft w:val="0"/>
                      <w:marRight w:val="0"/>
                      <w:marTop w:val="0"/>
                      <w:marBottom w:val="0"/>
                      <w:divBdr>
                        <w:top w:val="none" w:sz="0" w:space="0" w:color="auto"/>
                        <w:left w:val="none" w:sz="0" w:space="0" w:color="auto"/>
                        <w:bottom w:val="none" w:sz="0" w:space="0" w:color="auto"/>
                        <w:right w:val="none" w:sz="0" w:space="0" w:color="auto"/>
                      </w:divBdr>
                      <w:divsChild>
                        <w:div w:id="776562779">
                          <w:marLeft w:val="0"/>
                          <w:marRight w:val="0"/>
                          <w:marTop w:val="0"/>
                          <w:marBottom w:val="0"/>
                          <w:divBdr>
                            <w:top w:val="none" w:sz="0" w:space="0" w:color="auto"/>
                            <w:left w:val="none" w:sz="0" w:space="0" w:color="auto"/>
                            <w:bottom w:val="none" w:sz="0" w:space="0" w:color="auto"/>
                            <w:right w:val="none" w:sz="0" w:space="0" w:color="auto"/>
                          </w:divBdr>
                          <w:divsChild>
                            <w:div w:id="479154967">
                              <w:marLeft w:val="0"/>
                              <w:marRight w:val="0"/>
                              <w:marTop w:val="0"/>
                              <w:marBottom w:val="0"/>
                              <w:divBdr>
                                <w:top w:val="none" w:sz="0" w:space="0" w:color="auto"/>
                                <w:left w:val="none" w:sz="0" w:space="0" w:color="auto"/>
                                <w:bottom w:val="none" w:sz="0" w:space="0" w:color="auto"/>
                                <w:right w:val="none" w:sz="0" w:space="0" w:color="auto"/>
                              </w:divBdr>
                              <w:divsChild>
                                <w:div w:id="1903100395">
                                  <w:marLeft w:val="0"/>
                                  <w:marRight w:val="0"/>
                                  <w:marTop w:val="0"/>
                                  <w:marBottom w:val="0"/>
                                  <w:divBdr>
                                    <w:top w:val="none" w:sz="0" w:space="0" w:color="auto"/>
                                    <w:left w:val="none" w:sz="0" w:space="0" w:color="auto"/>
                                    <w:bottom w:val="none" w:sz="0" w:space="0" w:color="auto"/>
                                    <w:right w:val="none" w:sz="0" w:space="0" w:color="auto"/>
                                  </w:divBdr>
                                  <w:divsChild>
                                    <w:div w:id="1049498578">
                                      <w:marLeft w:val="0"/>
                                      <w:marRight w:val="0"/>
                                      <w:marTop w:val="0"/>
                                      <w:marBottom w:val="0"/>
                                      <w:divBdr>
                                        <w:top w:val="none" w:sz="0" w:space="0" w:color="auto"/>
                                        <w:left w:val="none" w:sz="0" w:space="0" w:color="auto"/>
                                        <w:bottom w:val="none" w:sz="0" w:space="0" w:color="auto"/>
                                        <w:right w:val="none" w:sz="0" w:space="0" w:color="auto"/>
                                      </w:divBdr>
                                      <w:divsChild>
                                        <w:div w:id="25831675">
                                          <w:marLeft w:val="0"/>
                                          <w:marRight w:val="0"/>
                                          <w:marTop w:val="0"/>
                                          <w:marBottom w:val="0"/>
                                          <w:divBdr>
                                            <w:top w:val="none" w:sz="0" w:space="0" w:color="auto"/>
                                            <w:left w:val="none" w:sz="0" w:space="0" w:color="auto"/>
                                            <w:bottom w:val="none" w:sz="0" w:space="0" w:color="auto"/>
                                            <w:right w:val="none" w:sz="0" w:space="0" w:color="auto"/>
                                          </w:divBdr>
                                          <w:divsChild>
                                            <w:div w:id="1769543678">
                                              <w:marLeft w:val="0"/>
                                              <w:marRight w:val="0"/>
                                              <w:marTop w:val="0"/>
                                              <w:marBottom w:val="0"/>
                                              <w:divBdr>
                                                <w:top w:val="none" w:sz="0" w:space="0" w:color="auto"/>
                                                <w:left w:val="none" w:sz="0" w:space="0" w:color="auto"/>
                                                <w:bottom w:val="none" w:sz="0" w:space="0" w:color="auto"/>
                                                <w:right w:val="none" w:sz="0" w:space="0" w:color="auto"/>
                                              </w:divBdr>
                                              <w:divsChild>
                                                <w:div w:id="1914470178">
                                                  <w:marLeft w:val="0"/>
                                                  <w:marRight w:val="300"/>
                                                  <w:marTop w:val="0"/>
                                                  <w:marBottom w:val="0"/>
                                                  <w:divBdr>
                                                    <w:top w:val="none" w:sz="0" w:space="0" w:color="auto"/>
                                                    <w:left w:val="none" w:sz="0" w:space="0" w:color="auto"/>
                                                    <w:bottom w:val="none" w:sz="0" w:space="0" w:color="auto"/>
                                                    <w:right w:val="none" w:sz="0" w:space="0" w:color="auto"/>
                                                  </w:divBdr>
                                                  <w:divsChild>
                                                    <w:div w:id="1646004384">
                                                      <w:marLeft w:val="0"/>
                                                      <w:marRight w:val="0"/>
                                                      <w:marTop w:val="0"/>
                                                      <w:marBottom w:val="0"/>
                                                      <w:divBdr>
                                                        <w:top w:val="none" w:sz="0" w:space="0" w:color="auto"/>
                                                        <w:left w:val="none" w:sz="0" w:space="0" w:color="auto"/>
                                                        <w:bottom w:val="none" w:sz="0" w:space="0" w:color="auto"/>
                                                        <w:right w:val="none" w:sz="0" w:space="0" w:color="auto"/>
                                                      </w:divBdr>
                                                      <w:divsChild>
                                                        <w:div w:id="1515920949">
                                                          <w:marLeft w:val="0"/>
                                                          <w:marRight w:val="0"/>
                                                          <w:marTop w:val="0"/>
                                                          <w:marBottom w:val="300"/>
                                                          <w:divBdr>
                                                            <w:top w:val="single" w:sz="6" w:space="0" w:color="CCCCCC"/>
                                                            <w:left w:val="none" w:sz="0" w:space="0" w:color="auto"/>
                                                            <w:bottom w:val="none" w:sz="0" w:space="0" w:color="auto"/>
                                                            <w:right w:val="none" w:sz="0" w:space="0" w:color="auto"/>
                                                          </w:divBdr>
                                                          <w:divsChild>
                                                            <w:div w:id="482431444">
                                                              <w:marLeft w:val="0"/>
                                                              <w:marRight w:val="0"/>
                                                              <w:marTop w:val="0"/>
                                                              <w:marBottom w:val="0"/>
                                                              <w:divBdr>
                                                                <w:top w:val="none" w:sz="0" w:space="0" w:color="auto"/>
                                                                <w:left w:val="none" w:sz="0" w:space="0" w:color="auto"/>
                                                                <w:bottom w:val="none" w:sz="0" w:space="0" w:color="auto"/>
                                                                <w:right w:val="none" w:sz="0" w:space="0" w:color="auto"/>
                                                              </w:divBdr>
                                                              <w:divsChild>
                                                                <w:div w:id="1783915858">
                                                                  <w:marLeft w:val="0"/>
                                                                  <w:marRight w:val="0"/>
                                                                  <w:marTop w:val="0"/>
                                                                  <w:marBottom w:val="0"/>
                                                                  <w:divBdr>
                                                                    <w:top w:val="none" w:sz="0" w:space="0" w:color="auto"/>
                                                                    <w:left w:val="none" w:sz="0" w:space="0" w:color="auto"/>
                                                                    <w:bottom w:val="none" w:sz="0" w:space="0" w:color="auto"/>
                                                                    <w:right w:val="none" w:sz="0" w:space="0" w:color="auto"/>
                                                                  </w:divBdr>
                                                                  <w:divsChild>
                                                                    <w:div w:id="1261792206">
                                                                      <w:marLeft w:val="0"/>
                                                                      <w:marRight w:val="0"/>
                                                                      <w:marTop w:val="0"/>
                                                                      <w:marBottom w:val="0"/>
                                                                      <w:divBdr>
                                                                        <w:top w:val="none" w:sz="0" w:space="0" w:color="auto"/>
                                                                        <w:left w:val="none" w:sz="0" w:space="0" w:color="auto"/>
                                                                        <w:bottom w:val="none" w:sz="0" w:space="0" w:color="auto"/>
                                                                        <w:right w:val="none" w:sz="0" w:space="0" w:color="auto"/>
                                                                      </w:divBdr>
                                                                      <w:divsChild>
                                                                        <w:div w:id="51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465194">
      <w:bodyDiv w:val="1"/>
      <w:marLeft w:val="0"/>
      <w:marRight w:val="0"/>
      <w:marTop w:val="0"/>
      <w:marBottom w:val="0"/>
      <w:divBdr>
        <w:top w:val="none" w:sz="0" w:space="0" w:color="auto"/>
        <w:left w:val="none" w:sz="0" w:space="0" w:color="auto"/>
        <w:bottom w:val="none" w:sz="0" w:space="0" w:color="auto"/>
        <w:right w:val="none" w:sz="0" w:space="0" w:color="auto"/>
      </w:divBdr>
    </w:div>
    <w:div w:id="212037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PowerPoint_Slide1.sldx"/><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foodsecuritycluster.net/document/global-humanitarian-platform-principles-partnership-2007" TargetMode="External"/><Relationship Id="rId23" Type="http://schemas.openxmlformats.org/officeDocument/2006/relationships/footer" Target="footer4.xml"/><Relationship Id="rId28" Type="http://schemas.openxmlformats.org/officeDocument/2006/relationships/customXml" Target="../customXml/item5.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foodsecuritycluster.net/document/global-humanitarian-platform-principles-partnership-2007" TargetMode="External"/><Relationship Id="rId22" Type="http://schemas.openxmlformats.org/officeDocument/2006/relationships/header" Target="header4.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preventionweb.net/english/professional/policies/v.php?id=28912" TargetMode="External"/><Relationship Id="rId2" Type="http://schemas.openxmlformats.org/officeDocument/2006/relationships/hyperlink" Target="http://www.preventionweb.net/english/professional/policies/v.php?id=26346" TargetMode="External"/><Relationship Id="rId1" Type="http://schemas.openxmlformats.org/officeDocument/2006/relationships/hyperlink" Target="http://www.unisdr.org/we/coordinate/hfa" TargetMode="External"/><Relationship Id="rId4" Type="http://schemas.openxmlformats.org/officeDocument/2006/relationships/hyperlink" Target="http://www.unisdr.org/partners/countries/id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B34681-1D1A-4B6D-AE27-8E759776F8A3}"/>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D5C97B87-C724-4F2B-A76D-37C07C20D8C7}"/>
</file>

<file path=customXml/itemProps4.xml><?xml version="1.0" encoding="utf-8"?>
<ds:datastoreItem xmlns:ds="http://schemas.openxmlformats.org/officeDocument/2006/customXml" ds:itemID="{A1806BDD-7CF0-44C2-A32C-7DC1B9ABB24F}"/>
</file>

<file path=customXml/itemProps5.xml><?xml version="1.0" encoding="utf-8"?>
<ds:datastoreItem xmlns:ds="http://schemas.openxmlformats.org/officeDocument/2006/customXml" ds:itemID="{F057AFDA-59C5-4153-855F-CBE1A6179B71}"/>
</file>

<file path=docProps/app.xml><?xml version="1.0" encoding="utf-8"?>
<Properties xmlns="http://schemas.openxmlformats.org/officeDocument/2006/extended-properties" xmlns:vt="http://schemas.openxmlformats.org/officeDocument/2006/docPropsVTypes">
  <Template>3A58BB8D.dotm</Template>
  <TotalTime>0</TotalTime>
  <Pages>62</Pages>
  <Words>18085</Words>
  <Characters>105441</Characters>
  <Application>Microsoft Office Word</Application>
  <DocSecurity>0</DocSecurity>
  <Lines>2343</Lines>
  <Paragraphs>846</Paragraphs>
  <ScaleCrop>false</ScaleCrop>
  <Company/>
  <LinksUpToDate>false</LinksUpToDate>
  <CharactersWithSpaces>122680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2015-11-03T02:32:00Z</dcterms:created>
  <dcterms:modified xsi:type="dcterms:W3CDTF">2015-11-03T02:32:00Z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984700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