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5D5D" w14:textId="5929B7B0" w:rsidR="00557A2E" w:rsidRDefault="00FA6672" w:rsidP="000A6BF2">
      <w:pPr>
        <w:pStyle w:val="Heading1"/>
        <w:jc w:val="center"/>
      </w:pPr>
      <w:r>
        <w:t xml:space="preserve">Independent </w:t>
      </w:r>
      <w:r w:rsidR="006C1DBE">
        <w:t xml:space="preserve">Joint </w:t>
      </w:r>
      <w:r>
        <w:t>Mid Term Review</w:t>
      </w:r>
      <w:r w:rsidR="006C1DBE">
        <w:t xml:space="preserve"> of Tautai</w:t>
      </w:r>
      <w:r w:rsidR="00793AA9">
        <w:t xml:space="preserve">- Governance for Economic Growth and Australia’s </w:t>
      </w:r>
      <w:r w:rsidR="004F197E">
        <w:t>Budget Support Program</w:t>
      </w:r>
    </w:p>
    <w:p w14:paraId="40C557AA" w14:textId="340A308D" w:rsidR="00FA6672" w:rsidRDefault="00FA6672" w:rsidP="000A6BF2">
      <w:pPr>
        <w:pStyle w:val="Heading1"/>
        <w:jc w:val="center"/>
      </w:pPr>
      <w:r>
        <w:t>DFAT Management Response</w:t>
      </w:r>
    </w:p>
    <w:p w14:paraId="0B914113" w14:textId="4487596F" w:rsidR="00FA6672" w:rsidRPr="00A61A00" w:rsidRDefault="00FA6672" w:rsidP="000A6BF2">
      <w:pPr>
        <w:pStyle w:val="Heading2"/>
      </w:pPr>
      <w:r w:rsidRPr="00A61A00">
        <w:t>Investment Summar</w:t>
      </w:r>
      <w:r w:rsidR="007A0915">
        <w:t>ies</w:t>
      </w:r>
    </w:p>
    <w:p w14:paraId="29021D1E" w14:textId="3A34058F" w:rsidR="000A6BF2" w:rsidRPr="003A1362" w:rsidRDefault="000A6BF2" w:rsidP="000A6BF2">
      <w:pPr>
        <w:tabs>
          <w:tab w:val="left" w:pos="3402"/>
        </w:tabs>
        <w:ind w:left="3402" w:hanging="3402"/>
      </w:pPr>
      <w:r w:rsidRPr="003A1362">
        <w:rPr>
          <w:b/>
          <w:bCs/>
        </w:rPr>
        <w:t>Investment name</w:t>
      </w:r>
      <w:r>
        <w:rPr>
          <w:b/>
          <w:bCs/>
        </w:rPr>
        <w:t>:</w:t>
      </w:r>
      <w:r>
        <w:rPr>
          <w:b/>
          <w:bCs/>
        </w:rPr>
        <w:tab/>
      </w:r>
      <w:r w:rsidRPr="003A1362">
        <w:t xml:space="preserve">Tautai- Governance for Economic Growth Facility (Tautai) </w:t>
      </w:r>
    </w:p>
    <w:p w14:paraId="5123E123" w14:textId="4F70ECAA" w:rsidR="000A6BF2" w:rsidRPr="003A1362" w:rsidRDefault="000A6BF2" w:rsidP="000A6BF2">
      <w:pPr>
        <w:tabs>
          <w:tab w:val="left" w:pos="3402"/>
        </w:tabs>
        <w:ind w:left="3402" w:hanging="3402"/>
      </w:pPr>
      <w:proofErr w:type="spellStart"/>
      <w:r w:rsidRPr="003A1362">
        <w:rPr>
          <w:b/>
          <w:bCs/>
        </w:rPr>
        <w:t>Aidworks</w:t>
      </w:r>
      <w:proofErr w:type="spellEnd"/>
      <w:r w:rsidRPr="003A1362">
        <w:rPr>
          <w:b/>
          <w:bCs/>
        </w:rPr>
        <w:t xml:space="preserve"> investment number</w:t>
      </w:r>
      <w:r>
        <w:rPr>
          <w:b/>
          <w:bCs/>
        </w:rPr>
        <w:t>:</w:t>
      </w:r>
      <w:r>
        <w:rPr>
          <w:b/>
          <w:bCs/>
        </w:rPr>
        <w:tab/>
      </w:r>
      <w:r w:rsidRPr="003A1362">
        <w:t>INN638</w:t>
      </w:r>
    </w:p>
    <w:p w14:paraId="6880E25D" w14:textId="77777777" w:rsidR="000A6BF2" w:rsidRPr="003A1362" w:rsidRDefault="000A6BF2" w:rsidP="000A6BF2">
      <w:pPr>
        <w:tabs>
          <w:tab w:val="left" w:pos="3402"/>
        </w:tabs>
        <w:ind w:left="3402" w:hanging="3402"/>
      </w:pPr>
      <w:r w:rsidRPr="003A1362">
        <w:rPr>
          <w:b/>
          <w:bCs/>
        </w:rPr>
        <w:t>Investment period</w:t>
      </w:r>
      <w:r>
        <w:rPr>
          <w:b/>
          <w:bCs/>
        </w:rPr>
        <w:t>:</w:t>
      </w:r>
      <w:r>
        <w:rPr>
          <w:b/>
          <w:bCs/>
        </w:rPr>
        <w:tab/>
      </w:r>
      <w:r w:rsidRPr="003A1362">
        <w:t>6 Jan 2021 to 30 Jun 2030</w:t>
      </w:r>
    </w:p>
    <w:p w14:paraId="33790425" w14:textId="77777777" w:rsidR="000A6BF2" w:rsidRPr="003A1362" w:rsidRDefault="000A6BF2" w:rsidP="000A6BF2">
      <w:pPr>
        <w:tabs>
          <w:tab w:val="left" w:pos="3402"/>
        </w:tabs>
        <w:ind w:left="3402" w:hanging="3402"/>
      </w:pPr>
      <w:r w:rsidRPr="003A1362">
        <w:rPr>
          <w:b/>
          <w:bCs/>
        </w:rPr>
        <w:t>Investment value</w:t>
      </w:r>
      <w:r>
        <w:rPr>
          <w:b/>
          <w:bCs/>
        </w:rPr>
        <w:t>:</w:t>
      </w:r>
      <w:r>
        <w:rPr>
          <w:b/>
          <w:bCs/>
        </w:rPr>
        <w:tab/>
      </w:r>
      <w:r w:rsidRPr="003A1362">
        <w:t>$45</w:t>
      </w:r>
      <w:r>
        <w:t xml:space="preserve"> million</w:t>
      </w:r>
    </w:p>
    <w:p w14:paraId="44A0CAAB" w14:textId="77777777" w:rsidR="000A6BF2" w:rsidRPr="003A1362" w:rsidRDefault="000A6BF2" w:rsidP="000A6BF2">
      <w:pPr>
        <w:tabs>
          <w:tab w:val="left" w:pos="3402"/>
        </w:tabs>
        <w:ind w:left="3402" w:hanging="3402"/>
      </w:pPr>
      <w:r w:rsidRPr="003A1362">
        <w:rPr>
          <w:b/>
          <w:bCs/>
        </w:rPr>
        <w:t>Country / region</w:t>
      </w:r>
      <w:r>
        <w:rPr>
          <w:b/>
          <w:bCs/>
        </w:rPr>
        <w:t>:</w:t>
      </w:r>
      <w:r>
        <w:rPr>
          <w:b/>
          <w:bCs/>
        </w:rPr>
        <w:tab/>
      </w:r>
      <w:r w:rsidRPr="003A1362">
        <w:t>Samoa</w:t>
      </w:r>
    </w:p>
    <w:p w14:paraId="678BEA0B" w14:textId="77777777" w:rsidR="000A6BF2" w:rsidRPr="003A1362" w:rsidRDefault="000A6BF2" w:rsidP="000A6BF2">
      <w:pPr>
        <w:tabs>
          <w:tab w:val="left" w:pos="3402"/>
        </w:tabs>
        <w:ind w:left="3402" w:hanging="3402"/>
      </w:pPr>
      <w:r w:rsidRPr="003A1362">
        <w:rPr>
          <w:b/>
          <w:bCs/>
        </w:rPr>
        <w:t>Primary Sector</w:t>
      </w:r>
      <w:r>
        <w:rPr>
          <w:b/>
          <w:bCs/>
        </w:rPr>
        <w:t>:</w:t>
      </w:r>
      <w:r>
        <w:rPr>
          <w:b/>
          <w:bCs/>
        </w:rPr>
        <w:tab/>
      </w:r>
      <w:r w:rsidRPr="003A1362">
        <w:t>Governance &amp; Economic Growth</w:t>
      </w:r>
    </w:p>
    <w:p w14:paraId="7D9EA5B9" w14:textId="77777777" w:rsidR="000A6BF2" w:rsidRPr="003A1362" w:rsidRDefault="000A6BF2" w:rsidP="000A6BF2">
      <w:pPr>
        <w:tabs>
          <w:tab w:val="left" w:pos="3402"/>
        </w:tabs>
        <w:ind w:left="3402" w:hanging="3402"/>
      </w:pPr>
      <w:r w:rsidRPr="003A1362">
        <w:rPr>
          <w:b/>
          <w:bCs/>
        </w:rPr>
        <w:t>Investment Objectives</w:t>
      </w:r>
      <w:r>
        <w:rPr>
          <w:b/>
          <w:bCs/>
        </w:rPr>
        <w:t>:</w:t>
      </w:r>
      <w:r>
        <w:rPr>
          <w:b/>
          <w:bCs/>
        </w:rPr>
        <w:tab/>
      </w:r>
      <w:r w:rsidRPr="003A1362">
        <w:t xml:space="preserve">The </w:t>
      </w:r>
      <w:r w:rsidRPr="003A1362">
        <w:rPr>
          <w:b/>
          <w:bCs/>
        </w:rPr>
        <w:t xml:space="preserve">Tautai </w:t>
      </w:r>
      <w:r w:rsidRPr="003A1362">
        <w:t xml:space="preserve">program is aimed at improving and strengthening Government of Samoa’s fiscal and governance resilience, public financial management, debt sustainability and promoting inclusive economic growth. </w:t>
      </w:r>
    </w:p>
    <w:p w14:paraId="4A48A277" w14:textId="78C60395" w:rsidR="000A6BF2" w:rsidRDefault="000A6BF2" w:rsidP="000A6BF2">
      <w:pPr>
        <w:tabs>
          <w:tab w:val="left" w:pos="3402"/>
        </w:tabs>
        <w:ind w:left="3402" w:hanging="3402"/>
        <w:rPr>
          <w:b/>
          <w:bCs/>
        </w:rPr>
      </w:pPr>
      <w:r w:rsidRPr="003A1362">
        <w:rPr>
          <w:b/>
          <w:bCs/>
        </w:rPr>
        <w:t>Investment name</w:t>
      </w:r>
      <w:r>
        <w:rPr>
          <w:b/>
          <w:bCs/>
        </w:rPr>
        <w:t>:</w:t>
      </w:r>
      <w:r>
        <w:rPr>
          <w:b/>
          <w:bCs/>
        </w:rPr>
        <w:tab/>
      </w:r>
      <w:r w:rsidRPr="003A1362">
        <w:t>Australia’s Budget Support Program (ABSP)</w:t>
      </w:r>
    </w:p>
    <w:p w14:paraId="5F8D9D99" w14:textId="5F8453A7" w:rsidR="000A6BF2" w:rsidRDefault="000A6BF2" w:rsidP="000A6BF2">
      <w:pPr>
        <w:tabs>
          <w:tab w:val="left" w:pos="3402"/>
        </w:tabs>
        <w:ind w:left="3402" w:hanging="3402"/>
        <w:rPr>
          <w:b/>
          <w:bCs/>
        </w:rPr>
      </w:pPr>
      <w:proofErr w:type="spellStart"/>
      <w:r w:rsidRPr="003A1362">
        <w:rPr>
          <w:b/>
          <w:bCs/>
        </w:rPr>
        <w:t>Aidworks</w:t>
      </w:r>
      <w:proofErr w:type="spellEnd"/>
      <w:r w:rsidRPr="003A1362">
        <w:rPr>
          <w:b/>
          <w:bCs/>
        </w:rPr>
        <w:t xml:space="preserve"> investment number</w:t>
      </w:r>
      <w:r>
        <w:rPr>
          <w:b/>
          <w:bCs/>
        </w:rPr>
        <w:t>:</w:t>
      </w:r>
      <w:r>
        <w:rPr>
          <w:b/>
          <w:bCs/>
        </w:rPr>
        <w:tab/>
      </w:r>
      <w:r w:rsidRPr="003A1362">
        <w:t>INN996</w:t>
      </w:r>
    </w:p>
    <w:p w14:paraId="56E3E5C6" w14:textId="77777777" w:rsidR="000A6BF2" w:rsidRPr="003A1362" w:rsidRDefault="000A6BF2" w:rsidP="000A6BF2">
      <w:pPr>
        <w:tabs>
          <w:tab w:val="left" w:pos="3402"/>
        </w:tabs>
        <w:ind w:left="3402" w:hanging="3402"/>
      </w:pPr>
      <w:r w:rsidRPr="003A1362">
        <w:rPr>
          <w:b/>
          <w:bCs/>
        </w:rPr>
        <w:t>Investment period</w:t>
      </w:r>
      <w:r>
        <w:rPr>
          <w:b/>
          <w:bCs/>
        </w:rPr>
        <w:t>:</w:t>
      </w:r>
      <w:r w:rsidRPr="003D6C4E">
        <w:t xml:space="preserve"> </w:t>
      </w:r>
      <w:r>
        <w:tab/>
      </w:r>
      <w:r w:rsidRPr="003A1362">
        <w:t>23 May 2022 to 31 August 2031</w:t>
      </w:r>
    </w:p>
    <w:p w14:paraId="7FF2CC0B" w14:textId="77777777" w:rsidR="000A6BF2" w:rsidRDefault="000A6BF2" w:rsidP="000A6BF2">
      <w:pPr>
        <w:tabs>
          <w:tab w:val="left" w:pos="3402"/>
        </w:tabs>
        <w:ind w:left="3402" w:hanging="3402"/>
        <w:rPr>
          <w:b/>
          <w:bCs/>
        </w:rPr>
      </w:pPr>
      <w:r w:rsidRPr="003A1362">
        <w:rPr>
          <w:b/>
          <w:bCs/>
        </w:rPr>
        <w:t>Investment value</w:t>
      </w:r>
      <w:r>
        <w:rPr>
          <w:b/>
          <w:bCs/>
        </w:rPr>
        <w:t>:</w:t>
      </w:r>
      <w:r>
        <w:rPr>
          <w:b/>
          <w:bCs/>
        </w:rPr>
        <w:tab/>
      </w:r>
      <w:r>
        <w:t>$50 million (bilateral) + $65 million (regional)</w:t>
      </w:r>
    </w:p>
    <w:p w14:paraId="208AD083" w14:textId="77777777" w:rsidR="000A6BF2" w:rsidRDefault="000A6BF2" w:rsidP="000A6BF2">
      <w:pPr>
        <w:tabs>
          <w:tab w:val="left" w:pos="3402"/>
        </w:tabs>
        <w:ind w:left="3402" w:hanging="3402"/>
        <w:rPr>
          <w:b/>
          <w:bCs/>
        </w:rPr>
      </w:pPr>
      <w:r w:rsidRPr="003A1362">
        <w:rPr>
          <w:b/>
          <w:bCs/>
        </w:rPr>
        <w:t>Country / region</w:t>
      </w:r>
      <w:r>
        <w:rPr>
          <w:b/>
          <w:bCs/>
        </w:rPr>
        <w:t>:</w:t>
      </w:r>
      <w:r w:rsidRPr="003D6C4E">
        <w:t xml:space="preserve"> </w:t>
      </w:r>
      <w:r>
        <w:tab/>
      </w:r>
      <w:r w:rsidRPr="003A1362">
        <w:t>Samoa</w:t>
      </w:r>
    </w:p>
    <w:p w14:paraId="086DF7A7" w14:textId="77777777" w:rsidR="000A6BF2" w:rsidRDefault="000A6BF2" w:rsidP="000A6BF2">
      <w:pPr>
        <w:tabs>
          <w:tab w:val="left" w:pos="3402"/>
        </w:tabs>
        <w:ind w:left="3402" w:hanging="3402"/>
        <w:rPr>
          <w:b/>
          <w:bCs/>
        </w:rPr>
      </w:pPr>
      <w:r w:rsidRPr="003A1362">
        <w:rPr>
          <w:b/>
          <w:bCs/>
        </w:rPr>
        <w:t>Primary Sector</w:t>
      </w:r>
      <w:r>
        <w:rPr>
          <w:b/>
          <w:bCs/>
        </w:rPr>
        <w:t>:</w:t>
      </w:r>
      <w:r>
        <w:rPr>
          <w:b/>
          <w:bCs/>
        </w:rPr>
        <w:tab/>
      </w:r>
      <w:r w:rsidRPr="003A1362">
        <w:t>General Budget Support</w:t>
      </w:r>
    </w:p>
    <w:p w14:paraId="7DC26EC5" w14:textId="77777777" w:rsidR="000A6BF2" w:rsidRDefault="000A6BF2" w:rsidP="000A6BF2">
      <w:pPr>
        <w:pStyle w:val="NoSpacing"/>
        <w:tabs>
          <w:tab w:val="left" w:pos="3402"/>
        </w:tabs>
        <w:ind w:left="3402" w:hanging="3402"/>
        <w:jc w:val="both"/>
      </w:pPr>
      <w:r w:rsidRPr="003A1362">
        <w:rPr>
          <w:b/>
          <w:bCs/>
        </w:rPr>
        <w:t>Investment Objectives</w:t>
      </w:r>
      <w:r>
        <w:rPr>
          <w:b/>
          <w:bCs/>
        </w:rPr>
        <w:t>:</w:t>
      </w:r>
      <w:r>
        <w:rPr>
          <w:b/>
          <w:bCs/>
        </w:rPr>
        <w:tab/>
      </w:r>
      <w:r w:rsidRPr="003A1362">
        <w:rPr>
          <w:b/>
          <w:bCs/>
        </w:rPr>
        <w:t>ABSP</w:t>
      </w:r>
      <w:r w:rsidRPr="003A1362">
        <w:t xml:space="preserve"> is a strategic investment to support Samoa’s economic and social well-being, in line with Australia’s commitments articulated in the Samoa-Australia Bilateral Partner Arrangement and the Samoa</w:t>
      </w:r>
      <w:r>
        <w:t>-</w:t>
      </w:r>
      <w:r w:rsidRPr="003A1362">
        <w:t>Australia Development Partnership Plan. It includes allocations from bilateral funding and the regional budget support program Pacific Direct Financing Fund (PDFF)</w:t>
      </w:r>
      <w:r>
        <w:t xml:space="preserve"> but is delivered under a single Direct Funding Arrangement and through the Joint Policy Action Matrix.</w:t>
      </w:r>
    </w:p>
    <w:p w14:paraId="7B6A434E" w14:textId="77777777" w:rsidR="00FA6672" w:rsidRDefault="00FA6672"/>
    <w:p w14:paraId="7095938A" w14:textId="5A81E387" w:rsidR="00FA6672" w:rsidRPr="00A310FA" w:rsidRDefault="00FA6672" w:rsidP="000A6BF2">
      <w:pPr>
        <w:pStyle w:val="Heading2"/>
      </w:pPr>
      <w:r w:rsidRPr="00A310FA">
        <w:lastRenderedPageBreak/>
        <w:t>Evaluation Summary</w:t>
      </w:r>
    </w:p>
    <w:p w14:paraId="35FE2CC4" w14:textId="23035EFB" w:rsidR="00C25DE4" w:rsidRPr="003A1362" w:rsidRDefault="00C25DE4" w:rsidP="00C25DE4">
      <w:pPr>
        <w:pStyle w:val="NoSpacing"/>
        <w:jc w:val="both"/>
        <w:rPr>
          <w:spacing w:val="-4"/>
        </w:rPr>
      </w:pPr>
      <w:r w:rsidRPr="003A1362">
        <w:t>The Australian Department of Foreign Affairs and Trade (DFAT) engage</w:t>
      </w:r>
      <w:r w:rsidR="007D6787" w:rsidRPr="003A1362">
        <w:t>d</w:t>
      </w:r>
      <w:r w:rsidRPr="003A1362">
        <w:t xml:space="preserve"> the services of an </w:t>
      </w:r>
      <w:r w:rsidR="0016095F">
        <w:t>i</w:t>
      </w:r>
      <w:r w:rsidRPr="003A1362">
        <w:t xml:space="preserve">ndependent </w:t>
      </w:r>
      <w:r w:rsidR="0016095F">
        <w:t>c</w:t>
      </w:r>
      <w:r w:rsidRPr="003A1362">
        <w:t xml:space="preserve">onsultancy firm to undertake a joint Mid-term Review </w:t>
      </w:r>
      <w:r w:rsidRPr="003A1362">
        <w:rPr>
          <w:b/>
          <w:bCs/>
        </w:rPr>
        <w:t>(MTR)</w:t>
      </w:r>
      <w:r w:rsidRPr="003A1362">
        <w:rPr>
          <w:spacing w:val="-2"/>
        </w:rPr>
        <w:t xml:space="preserve"> </w:t>
      </w:r>
      <w:r w:rsidRPr="003A1362">
        <w:t xml:space="preserve">for </w:t>
      </w:r>
      <w:r w:rsidRPr="003A1362">
        <w:rPr>
          <w:spacing w:val="-1"/>
        </w:rPr>
        <w:t xml:space="preserve">DFAT’s flagship bilateral governance program, </w:t>
      </w:r>
      <w:r w:rsidRPr="003A1362">
        <w:rPr>
          <w:b/>
          <w:bCs/>
        </w:rPr>
        <w:t xml:space="preserve">Tautai - Governance for Economic Growth (Tautai) </w:t>
      </w:r>
      <w:r w:rsidRPr="003A1362">
        <w:t xml:space="preserve">and </w:t>
      </w:r>
      <w:r w:rsidRPr="003A1362">
        <w:rPr>
          <w:b/>
          <w:bCs/>
        </w:rPr>
        <w:t xml:space="preserve">Australia’s Budget Support Program (ABSP) </w:t>
      </w:r>
      <w:r w:rsidRPr="003A1362">
        <w:t>to the Government of Samoa (GoS). The ABSP and Tautai Programs work in tandem to support the Government of Samoa’s fiscal and economic priorities to improve and strengthen resilience through inclusive economic growth, to contribute to a prosperous and stable nation for its citizens.</w:t>
      </w:r>
      <w:r w:rsidRPr="003A1362">
        <w:rPr>
          <w:spacing w:val="-4"/>
        </w:rPr>
        <w:t xml:space="preserve"> </w:t>
      </w:r>
    </w:p>
    <w:p w14:paraId="77C3118D" w14:textId="77777777" w:rsidR="008015D6" w:rsidRPr="003A1362" w:rsidRDefault="008015D6" w:rsidP="00C25DE4">
      <w:pPr>
        <w:pStyle w:val="NoSpacing"/>
        <w:jc w:val="both"/>
        <w:rPr>
          <w:spacing w:val="-4"/>
        </w:rPr>
      </w:pPr>
    </w:p>
    <w:p w14:paraId="74112C98" w14:textId="443F916A" w:rsidR="008015D6" w:rsidRPr="003A1362" w:rsidRDefault="008015D6" w:rsidP="008015D6">
      <w:pPr>
        <w:pStyle w:val="NoSpacing"/>
        <w:jc w:val="both"/>
      </w:pPr>
      <w:r w:rsidRPr="003A1362">
        <w:t>The primary purpose of this MTR w</w:t>
      </w:r>
      <w:r w:rsidR="00995A98" w:rsidRPr="003A1362">
        <w:t>as</w:t>
      </w:r>
      <w:r w:rsidRPr="003A1362">
        <w:t xml:space="preserve"> to evaluate the extent to which the ABSP and Tautai Program have been effective in targeting levers of change to progress on </w:t>
      </w:r>
      <w:r w:rsidR="0026028A">
        <w:t>their respective</w:t>
      </w:r>
      <w:r w:rsidRPr="003A1362">
        <w:t xml:space="preserve"> Intermediate Outcomes and achieve End of Program Outcomes</w:t>
      </w:r>
      <w:r w:rsidR="00C03BB5" w:rsidRPr="003A1362">
        <w:t xml:space="preserve">, paying particular attention to </w:t>
      </w:r>
      <w:r w:rsidR="001C6F86" w:rsidRPr="003A1362">
        <w:t>any major obstacles hindering progress and/or opportunities to accelerate progress</w:t>
      </w:r>
      <w:r w:rsidRPr="003A1362">
        <w:t>.</w:t>
      </w:r>
      <w:r w:rsidR="00FE303D" w:rsidRPr="003A1362">
        <w:t xml:space="preserve"> The secondary purposes of the </w:t>
      </w:r>
      <w:r w:rsidR="00C03BB5" w:rsidRPr="003A1362">
        <w:t xml:space="preserve">evaluation </w:t>
      </w:r>
      <w:r w:rsidR="004A553F" w:rsidRPr="003A1362">
        <w:t>include</w:t>
      </w:r>
      <w:r w:rsidR="00341889">
        <w:t>d</w:t>
      </w:r>
      <w:r w:rsidR="00101CB7" w:rsidRPr="003A1362">
        <w:t>:</w:t>
      </w:r>
      <w:r w:rsidR="004A553F" w:rsidRPr="003A1362">
        <w:t xml:space="preserve"> </w:t>
      </w:r>
      <w:r w:rsidR="00A14811" w:rsidRPr="003A1362">
        <w:t>e</w:t>
      </w:r>
      <w:r w:rsidR="004A553F" w:rsidRPr="003A1362">
        <w:t>valuat</w:t>
      </w:r>
      <w:r w:rsidR="00A14811" w:rsidRPr="003A1362">
        <w:t>ing</w:t>
      </w:r>
      <w:r w:rsidR="004A553F" w:rsidRPr="003A1362">
        <w:t xml:space="preserve"> the relevance and coherence of the program designs, scope and implementation approaches</w:t>
      </w:r>
      <w:r w:rsidR="00173134" w:rsidRPr="003A1362">
        <w:t xml:space="preserve"> to inform </w:t>
      </w:r>
      <w:r w:rsidR="00EA4017" w:rsidRPr="003A1362">
        <w:t>whether or not an extension into the planned second phase of the investments is appropriate</w:t>
      </w:r>
      <w:r w:rsidR="00101CB7" w:rsidRPr="003A1362">
        <w:t>;</w:t>
      </w:r>
      <w:r w:rsidR="004A553F" w:rsidRPr="003A1362">
        <w:t xml:space="preserve"> whether adjustments to the Program Logic, Monitoring, Evaluation, Research and Learning (MERL) Strategy, and/or other strategies/approaches may be required</w:t>
      </w:r>
      <w:r w:rsidR="000229AC" w:rsidRPr="003A1362">
        <w:t>; Synthesise lessons learned, identify areas for improvement and offer contextually appropriate and politically feasible recommendations</w:t>
      </w:r>
      <w:r w:rsidR="00F25637">
        <w:t>.</w:t>
      </w:r>
    </w:p>
    <w:p w14:paraId="51E8BBA1" w14:textId="77777777" w:rsidR="008015D6" w:rsidRPr="003A1362" w:rsidRDefault="008015D6" w:rsidP="008015D6">
      <w:pPr>
        <w:pStyle w:val="NoSpacing"/>
        <w:jc w:val="both"/>
      </w:pPr>
    </w:p>
    <w:p w14:paraId="3135E958" w14:textId="3B9E3D3B" w:rsidR="00FA6672" w:rsidRPr="003A1362" w:rsidRDefault="009857AD">
      <w:r w:rsidRPr="003A1362">
        <w:t xml:space="preserve">The independent </w:t>
      </w:r>
      <w:r w:rsidR="00A70A85">
        <w:t>review</w:t>
      </w:r>
      <w:r w:rsidRPr="003A1362">
        <w:t xml:space="preserve"> </w:t>
      </w:r>
      <w:r w:rsidR="00C10B19" w:rsidRPr="003A1362">
        <w:t xml:space="preserve">included </w:t>
      </w:r>
      <w:r w:rsidR="00EE43F8" w:rsidRPr="003A1362">
        <w:t xml:space="preserve">an in-country mission </w:t>
      </w:r>
      <w:r w:rsidR="004C3939">
        <w:t xml:space="preserve">in November 2026 </w:t>
      </w:r>
      <w:r w:rsidR="00EE43F8" w:rsidRPr="003A1362">
        <w:t xml:space="preserve">to undertake </w:t>
      </w:r>
      <w:r w:rsidR="00C10B19" w:rsidRPr="003A1362">
        <w:t>extensive consultation with many stakeholders</w:t>
      </w:r>
      <w:r w:rsidR="00035CFE" w:rsidRPr="003A1362">
        <w:t xml:space="preserve"> in Samoa as well as numerous online consultations for </w:t>
      </w:r>
      <w:r w:rsidR="00E26258" w:rsidRPr="003A1362">
        <w:t>overseas based stakeholders</w:t>
      </w:r>
      <w:r w:rsidR="000F3546" w:rsidRPr="003A1362">
        <w:t xml:space="preserve"> to ensure </w:t>
      </w:r>
      <w:r w:rsidR="00E26258" w:rsidRPr="003A1362">
        <w:t>that a broad base of perspectives were captured</w:t>
      </w:r>
      <w:r w:rsidR="003332C0" w:rsidRPr="003A1362">
        <w:t xml:space="preserve">. This process was </w:t>
      </w:r>
      <w:r w:rsidR="00A940B6" w:rsidRPr="003A1362">
        <w:t xml:space="preserve">coordinated by DFAT </w:t>
      </w:r>
      <w:r w:rsidR="00352DDD" w:rsidRPr="003A1362">
        <w:t>Apia Post and Tautai</w:t>
      </w:r>
      <w:r w:rsidR="00DE239D">
        <w:t>.</w:t>
      </w:r>
    </w:p>
    <w:p w14:paraId="154DAF89" w14:textId="59A29EA2" w:rsidR="00FA6672" w:rsidRPr="003A1362" w:rsidRDefault="004E037E">
      <w:r>
        <w:t xml:space="preserve">The </w:t>
      </w:r>
      <w:r w:rsidR="007628E5">
        <w:t>MTR</w:t>
      </w:r>
      <w:r>
        <w:t xml:space="preserve"> report was presented to </w:t>
      </w:r>
      <w:r w:rsidR="00010560">
        <w:t xml:space="preserve">Samoan stakeholders at the Tautai </w:t>
      </w:r>
      <w:r w:rsidR="0091643C">
        <w:t xml:space="preserve">External </w:t>
      </w:r>
      <w:r w:rsidR="00010560">
        <w:t xml:space="preserve">Reflections Workshop </w:t>
      </w:r>
      <w:r w:rsidR="0091643C">
        <w:t>on 5 March</w:t>
      </w:r>
      <w:r w:rsidR="00D90F98">
        <w:t xml:space="preserve"> </w:t>
      </w:r>
      <w:r w:rsidR="005F1216">
        <w:t xml:space="preserve">2026 </w:t>
      </w:r>
      <w:r w:rsidR="00D90F98">
        <w:t xml:space="preserve">as a validation exercise. </w:t>
      </w:r>
      <w:r w:rsidR="00476102">
        <w:t>The report was finalised 7 April</w:t>
      </w:r>
      <w:r w:rsidR="00284E74">
        <w:t xml:space="preserve"> 2026.</w:t>
      </w:r>
    </w:p>
    <w:p w14:paraId="6A22D17D" w14:textId="77777777" w:rsidR="00FA6672" w:rsidRPr="003A1362" w:rsidRDefault="00FA6672"/>
    <w:p w14:paraId="246C5C92" w14:textId="0C5A89CD" w:rsidR="00FA6672" w:rsidRPr="003A1362" w:rsidRDefault="00FA6672" w:rsidP="000A6BF2">
      <w:pPr>
        <w:pStyle w:val="Heading2"/>
      </w:pPr>
      <w:r w:rsidRPr="003A1362">
        <w:t>Evaluation Team:</w:t>
      </w:r>
    </w:p>
    <w:p w14:paraId="59FF2491" w14:textId="71D4516D" w:rsidR="00FA6672" w:rsidRPr="000A6BF2" w:rsidRDefault="00FA6672">
      <w:pPr>
        <w:rPr>
          <w:b/>
          <w:bCs/>
          <w:u w:val="single"/>
        </w:rPr>
      </w:pPr>
      <w:r w:rsidRPr="000A6BF2">
        <w:rPr>
          <w:b/>
          <w:bCs/>
          <w:u w:val="single"/>
        </w:rPr>
        <w:t>Sustineo</w:t>
      </w:r>
    </w:p>
    <w:p w14:paraId="3CEC02E1" w14:textId="02777AE6" w:rsidR="005F5436" w:rsidRPr="003A1362" w:rsidRDefault="00E04D57">
      <w:r w:rsidRPr="003A1362">
        <w:t>Nicky Thatcher</w:t>
      </w:r>
      <w:r w:rsidR="00777D08" w:rsidRPr="003A1362">
        <w:t xml:space="preserve">- </w:t>
      </w:r>
      <w:r w:rsidR="00C97FC4" w:rsidRPr="003A1362">
        <w:t>Team leader and public sector funding specialist</w:t>
      </w:r>
    </w:p>
    <w:p w14:paraId="635BC5D9" w14:textId="19FFD803" w:rsidR="000B0D38" w:rsidRPr="003A1362" w:rsidRDefault="000B0D38">
      <w:r w:rsidRPr="003A1362">
        <w:t>Douglas Smith</w:t>
      </w:r>
      <w:r w:rsidR="00C97FC4" w:rsidRPr="003A1362">
        <w:t>- Evaluation specialist</w:t>
      </w:r>
    </w:p>
    <w:p w14:paraId="3EF5984F" w14:textId="14E493EA" w:rsidR="000B0D38" w:rsidRPr="003A1362" w:rsidRDefault="00562DF0">
      <w:r w:rsidRPr="003A1362">
        <w:t>Asenati Chan Tung</w:t>
      </w:r>
      <w:r w:rsidR="00C97FC4" w:rsidRPr="003A1362">
        <w:t xml:space="preserve">- </w:t>
      </w:r>
      <w:r w:rsidR="00360790" w:rsidRPr="003A1362">
        <w:t>Samoa research and GEDSI specialist</w:t>
      </w:r>
    </w:p>
    <w:p w14:paraId="5C95F5F4" w14:textId="15253383" w:rsidR="00562DF0" w:rsidRPr="003A1362" w:rsidRDefault="00562DF0">
      <w:r w:rsidRPr="003A1362">
        <w:t>H</w:t>
      </w:r>
      <w:r w:rsidR="00360790" w:rsidRPr="003A1362">
        <w:t>e</w:t>
      </w:r>
      <w:r w:rsidRPr="003A1362">
        <w:t>len Tanielu</w:t>
      </w:r>
      <w:r w:rsidR="00360790" w:rsidRPr="003A1362">
        <w:t>- Local engagement specialist</w:t>
      </w:r>
    </w:p>
    <w:p w14:paraId="5E1482AA" w14:textId="77777777" w:rsidR="00FA6672" w:rsidRPr="003A1362" w:rsidRDefault="00FA6672"/>
    <w:p w14:paraId="2D893DCD" w14:textId="7CCEED03" w:rsidR="00FA6672" w:rsidRPr="000A6BF2" w:rsidRDefault="00FA6672">
      <w:pPr>
        <w:rPr>
          <w:b/>
          <w:bCs/>
          <w:u w:val="single"/>
        </w:rPr>
      </w:pPr>
      <w:r w:rsidRPr="000A6BF2">
        <w:rPr>
          <w:b/>
          <w:bCs/>
          <w:u w:val="single"/>
        </w:rPr>
        <w:t>DFAT Apia Post</w:t>
      </w:r>
    </w:p>
    <w:p w14:paraId="0402507C" w14:textId="0DCEBDDC" w:rsidR="00FA6672" w:rsidRPr="003A1362" w:rsidRDefault="00FA6672">
      <w:r w:rsidRPr="003A1362">
        <w:t>Ariane Stevenson, Senior Program Manager- Economic Governance and Scholarships (Evaluation Manager)</w:t>
      </w:r>
    </w:p>
    <w:p w14:paraId="62401221" w14:textId="0A55CAB5" w:rsidR="00562DF0" w:rsidRDefault="00FA6672">
      <w:r w:rsidRPr="003A1362">
        <w:t xml:space="preserve">Greg Furness, </w:t>
      </w:r>
      <w:r w:rsidR="0016095F">
        <w:t xml:space="preserve">First </w:t>
      </w:r>
      <w:r w:rsidRPr="003A1362">
        <w:t>Secretary- Development</w:t>
      </w:r>
    </w:p>
    <w:p w14:paraId="4F045740" w14:textId="77777777" w:rsidR="00562DF0" w:rsidRDefault="00562DF0">
      <w:pPr>
        <w:sectPr w:rsidR="00562DF0" w:rsidSect="00562DF0">
          <w:pgSz w:w="12240" w:h="15840"/>
          <w:pgMar w:top="1440" w:right="1440" w:bottom="1440" w:left="1440" w:header="720" w:footer="720" w:gutter="0"/>
          <w:cols w:space="720"/>
          <w:docGrid w:linePitch="360"/>
        </w:sectPr>
      </w:pPr>
    </w:p>
    <w:p w14:paraId="67103195" w14:textId="77777777" w:rsidR="00B04BBD" w:rsidRPr="00A310FA" w:rsidRDefault="00B04BBD" w:rsidP="000A6BF2">
      <w:pPr>
        <w:pStyle w:val="Heading2"/>
      </w:pPr>
      <w:r w:rsidRPr="00A310FA">
        <w:lastRenderedPageBreak/>
        <w:t>Summary of the Management Response</w:t>
      </w:r>
    </w:p>
    <w:p w14:paraId="523FD6D7" w14:textId="1A956FF6" w:rsidR="003050A6" w:rsidRDefault="00B04BBD" w:rsidP="003050A6">
      <w:pPr>
        <w:pStyle w:val="NoSpacing"/>
        <w:jc w:val="both"/>
      </w:pPr>
      <w:r w:rsidRPr="00792C97">
        <w:t xml:space="preserve">The MTR serves as an important data source for DFAT and Tautai leadership. The findings </w:t>
      </w:r>
      <w:r>
        <w:t>have</w:t>
      </w:r>
      <w:r w:rsidRPr="00792C97">
        <w:t xml:space="preserve"> inform</w:t>
      </w:r>
      <w:r>
        <w:t>ed</w:t>
      </w:r>
      <w:r w:rsidRPr="00792C97">
        <w:t xml:space="preserve"> discussions and decision making on</w:t>
      </w:r>
      <w:r>
        <w:t xml:space="preserve"> </w:t>
      </w:r>
      <w:r w:rsidRPr="00792C97">
        <w:t xml:space="preserve">the relevance and appropriateness of extending the Tautai Program for an additional four years </w:t>
      </w:r>
      <w:r w:rsidR="0016095F">
        <w:t>(</w:t>
      </w:r>
      <w:r w:rsidRPr="00792C97">
        <w:t>2026-2030</w:t>
      </w:r>
      <w:proofErr w:type="gramStart"/>
      <w:r w:rsidR="0016095F">
        <w:t>)</w:t>
      </w:r>
      <w:r w:rsidRPr="00792C97">
        <w:t>, and</w:t>
      </w:r>
      <w:proofErr w:type="gramEnd"/>
      <w:r w:rsidRPr="00792C97">
        <w:t xml:space="preserve"> extending the ABSP for an additional four years </w:t>
      </w:r>
      <w:r w:rsidR="0016095F">
        <w:t>(</w:t>
      </w:r>
      <w:r w:rsidRPr="00792C97">
        <w:t>2027-2031</w:t>
      </w:r>
      <w:r w:rsidR="0016095F">
        <w:t>)</w:t>
      </w:r>
      <w:r>
        <w:t>.</w:t>
      </w:r>
      <w:r w:rsidR="003050A6">
        <w:t xml:space="preserve"> </w:t>
      </w:r>
    </w:p>
    <w:p w14:paraId="098F6FF6" w14:textId="77777777" w:rsidR="003050A6" w:rsidRDefault="003050A6" w:rsidP="003050A6">
      <w:pPr>
        <w:pStyle w:val="NoSpacing"/>
        <w:jc w:val="both"/>
      </w:pPr>
    </w:p>
    <w:p w14:paraId="0EF823A1" w14:textId="2518EA26" w:rsidR="00B04BBD" w:rsidRDefault="00B04BBD" w:rsidP="003050A6">
      <w:pPr>
        <w:pStyle w:val="NoSpacing"/>
        <w:jc w:val="both"/>
      </w:pPr>
      <w:r>
        <w:t xml:space="preserve">DFAT </w:t>
      </w:r>
      <w:r w:rsidR="008A303C">
        <w:t xml:space="preserve">acknowledges and </w:t>
      </w:r>
      <w:r>
        <w:t xml:space="preserve">agrees with </w:t>
      </w:r>
      <w:r w:rsidR="00630710">
        <w:t xml:space="preserve">the </w:t>
      </w:r>
      <w:r w:rsidR="0016095F">
        <w:t>seven</w:t>
      </w:r>
      <w:r w:rsidR="00A474E7">
        <w:t xml:space="preserve"> recommendations provided </w:t>
      </w:r>
      <w:r w:rsidR="008A303C">
        <w:t xml:space="preserve">by the review team. </w:t>
      </w:r>
      <w:r w:rsidR="00E12C1E">
        <w:t>DFAT</w:t>
      </w:r>
      <w:r w:rsidR="00A07C0C">
        <w:t xml:space="preserve"> and Tautai </w:t>
      </w:r>
      <w:r w:rsidR="00A113EA">
        <w:t xml:space="preserve">have </w:t>
      </w:r>
      <w:r w:rsidR="005A0A35">
        <w:t xml:space="preserve">commenced measures to implement the recommendations </w:t>
      </w:r>
      <w:r w:rsidR="00990EC9">
        <w:t xml:space="preserve">and </w:t>
      </w:r>
      <w:r w:rsidR="00A07C0C">
        <w:t xml:space="preserve">will continue to seek opportunities </w:t>
      </w:r>
      <w:r>
        <w:t>to strengthen the coordination of priorities and workplans of the two investments</w:t>
      </w:r>
      <w:r w:rsidR="000A7D64">
        <w:t xml:space="preserve">. The responses </w:t>
      </w:r>
      <w:r w:rsidR="00BD436F">
        <w:t xml:space="preserve">to </w:t>
      </w:r>
      <w:r w:rsidR="0051228B">
        <w:t xml:space="preserve">each of the </w:t>
      </w:r>
      <w:r w:rsidR="00BD436F">
        <w:t xml:space="preserve">specific recommendations identify actions already being taken and </w:t>
      </w:r>
      <w:r w:rsidR="001B291F">
        <w:t>opportunities for further action that will be implemented</w:t>
      </w:r>
      <w:r w:rsidR="006D6D51">
        <w:t xml:space="preserve"> to strengthen the approach of both programs.</w:t>
      </w:r>
    </w:p>
    <w:p w14:paraId="26F0FDB1" w14:textId="77777777" w:rsidR="00495D81" w:rsidRDefault="00495D81">
      <w:pPr>
        <w:rPr>
          <w:b/>
          <w:bCs/>
        </w:rPr>
      </w:pPr>
    </w:p>
    <w:p w14:paraId="40B3A465" w14:textId="5C4D9243" w:rsidR="00FA6672" w:rsidRPr="00427D39" w:rsidRDefault="00FA6672" w:rsidP="000A6BF2">
      <w:pPr>
        <w:pStyle w:val="Heading3"/>
      </w:pPr>
      <w:r w:rsidRPr="00427D39">
        <w:t>Response to the recommendations made in the report</w:t>
      </w:r>
    </w:p>
    <w:tbl>
      <w:tblPr>
        <w:tblStyle w:val="TableGrid"/>
        <w:tblW w:w="13135" w:type="dxa"/>
        <w:tblLook w:val="04A0" w:firstRow="1" w:lastRow="0" w:firstColumn="1" w:lastColumn="0" w:noHBand="0" w:noVBand="1"/>
      </w:tblPr>
      <w:tblGrid>
        <w:gridCol w:w="5662"/>
        <w:gridCol w:w="1210"/>
        <w:gridCol w:w="3923"/>
        <w:gridCol w:w="2340"/>
      </w:tblGrid>
      <w:tr w:rsidR="0025019D" w:rsidRPr="00FA6672" w14:paraId="63576A67" w14:textId="77777777" w:rsidTr="000A6BF2">
        <w:trPr>
          <w:tblHeader/>
        </w:trPr>
        <w:tc>
          <w:tcPr>
            <w:tcW w:w="5662" w:type="dxa"/>
          </w:tcPr>
          <w:p w14:paraId="35A1A753" w14:textId="4C25A543" w:rsidR="0025019D" w:rsidRPr="00FA6672" w:rsidRDefault="0025019D">
            <w:pPr>
              <w:rPr>
                <w:b/>
                <w:bCs/>
              </w:rPr>
            </w:pPr>
            <w:r w:rsidRPr="00FA6672">
              <w:rPr>
                <w:b/>
                <w:bCs/>
              </w:rPr>
              <w:t>Recommendation</w:t>
            </w:r>
          </w:p>
        </w:tc>
        <w:tc>
          <w:tcPr>
            <w:tcW w:w="1210" w:type="dxa"/>
          </w:tcPr>
          <w:p w14:paraId="159CDC7E" w14:textId="42B2B91C" w:rsidR="0025019D" w:rsidRPr="00FA6672" w:rsidRDefault="0025019D">
            <w:pPr>
              <w:rPr>
                <w:b/>
                <w:bCs/>
              </w:rPr>
            </w:pPr>
            <w:r w:rsidRPr="00FA6672">
              <w:rPr>
                <w:b/>
                <w:bCs/>
              </w:rPr>
              <w:t>Response</w:t>
            </w:r>
          </w:p>
        </w:tc>
        <w:tc>
          <w:tcPr>
            <w:tcW w:w="3923" w:type="dxa"/>
          </w:tcPr>
          <w:p w14:paraId="12812C0F" w14:textId="35D34E05" w:rsidR="0025019D" w:rsidRPr="00FA6672" w:rsidRDefault="0025019D">
            <w:pPr>
              <w:rPr>
                <w:b/>
                <w:bCs/>
              </w:rPr>
            </w:pPr>
            <w:r w:rsidRPr="00FA6672">
              <w:rPr>
                <w:b/>
                <w:bCs/>
              </w:rPr>
              <w:t>Action Plan</w:t>
            </w:r>
          </w:p>
        </w:tc>
        <w:tc>
          <w:tcPr>
            <w:tcW w:w="2340" w:type="dxa"/>
          </w:tcPr>
          <w:p w14:paraId="00840243" w14:textId="381406E9" w:rsidR="0025019D" w:rsidRPr="00FA6672" w:rsidRDefault="0025019D">
            <w:pPr>
              <w:rPr>
                <w:b/>
                <w:bCs/>
              </w:rPr>
            </w:pPr>
            <w:r w:rsidRPr="00FA6672">
              <w:rPr>
                <w:b/>
                <w:bCs/>
              </w:rPr>
              <w:t>Timeframe</w:t>
            </w:r>
          </w:p>
        </w:tc>
      </w:tr>
      <w:tr w:rsidR="0025019D" w14:paraId="22EAE777" w14:textId="77777777" w:rsidTr="00500728">
        <w:tc>
          <w:tcPr>
            <w:tcW w:w="5662" w:type="dxa"/>
          </w:tcPr>
          <w:p w14:paraId="2E14A145" w14:textId="77777777" w:rsidR="0025019D" w:rsidRPr="00265057" w:rsidRDefault="0025019D" w:rsidP="00265057">
            <w:r w:rsidRPr="00265057">
              <w:t>Reaffirm ABSP as the primary budget</w:t>
            </w:r>
            <w:r w:rsidRPr="00265057">
              <w:noBreakHyphen/>
              <w:t>support instrument and Tautai as the main governance and systems facility, with a tighter focus on a limited set of core focus areas.</w:t>
            </w:r>
          </w:p>
          <w:p w14:paraId="531DECD6" w14:textId="77777777" w:rsidR="0025019D" w:rsidRDefault="0025019D" w:rsidP="00CD5E16"/>
          <w:p w14:paraId="1AE020BB" w14:textId="40854110" w:rsidR="0025019D" w:rsidRDefault="0025019D" w:rsidP="00CD5E16">
            <w:r w:rsidRPr="00265057">
              <w:t>Lead: DFAT Post (for ABSP positioning), MoF (for GoS confirmation of roles), Tautai facility (for operational focus).</w:t>
            </w:r>
          </w:p>
          <w:p w14:paraId="2B99D5C0" w14:textId="498DE3BB" w:rsidR="0025019D" w:rsidRDefault="0025019D" w:rsidP="00CD5E16">
            <w:r w:rsidRPr="00265057">
              <w:t xml:space="preserve">Support: DFAT Canberra (policy alignment), </w:t>
            </w:r>
            <w:r w:rsidR="005D3774">
              <w:t>Public Service Commission (</w:t>
            </w:r>
            <w:r w:rsidRPr="00265057">
              <w:t>PSC</w:t>
            </w:r>
            <w:r w:rsidR="005D3774">
              <w:t>)</w:t>
            </w:r>
            <w:r w:rsidRPr="00265057">
              <w:t xml:space="preserve"> and other central agencies (for systems and workforce focus).</w:t>
            </w:r>
          </w:p>
        </w:tc>
        <w:tc>
          <w:tcPr>
            <w:tcW w:w="1210" w:type="dxa"/>
          </w:tcPr>
          <w:p w14:paraId="47A9EE02" w14:textId="0377EBA8" w:rsidR="0025019D" w:rsidRDefault="0025019D">
            <w:r>
              <w:t>Agree</w:t>
            </w:r>
          </w:p>
        </w:tc>
        <w:tc>
          <w:tcPr>
            <w:tcW w:w="3923" w:type="dxa"/>
          </w:tcPr>
          <w:p w14:paraId="722BB78C" w14:textId="4CC55843" w:rsidR="0025019D" w:rsidRDefault="00043812">
            <w:r>
              <w:t xml:space="preserve">The new Tautai workplan </w:t>
            </w:r>
            <w:r w:rsidR="00FE444D">
              <w:t xml:space="preserve">focuses work on </w:t>
            </w:r>
            <w:r w:rsidR="00BC4FD7">
              <w:t xml:space="preserve">a reduced number of </w:t>
            </w:r>
            <w:r w:rsidR="00A570B0">
              <w:t xml:space="preserve">‘Major </w:t>
            </w:r>
            <w:r w:rsidR="00F95012">
              <w:t>Projects’</w:t>
            </w:r>
            <w:r w:rsidR="00843A8E">
              <w:t>, enabling it to deepen its</w:t>
            </w:r>
            <w:r w:rsidR="00F95012">
              <w:t xml:space="preserve"> focus on</w:t>
            </w:r>
            <w:r w:rsidR="00843A8E">
              <w:t xml:space="preserve"> the following areas:</w:t>
            </w:r>
            <w:r w:rsidR="00F95012">
              <w:t xml:space="preserve"> Strengthening Fiscal Management, Public Sector Strengthening, and Strengthening Governance of Economic Sectors</w:t>
            </w:r>
            <w:r w:rsidR="00A947D7">
              <w:t xml:space="preserve">. </w:t>
            </w:r>
          </w:p>
          <w:p w14:paraId="74B559F4" w14:textId="77777777" w:rsidR="00A1182A" w:rsidRDefault="00A1182A"/>
          <w:p w14:paraId="4FBC2D32" w14:textId="2E6DCA4D" w:rsidR="00A1182A" w:rsidRDefault="00DB7AE9">
            <w:r>
              <w:t>Through the provision of</w:t>
            </w:r>
            <w:r w:rsidR="00A1182A">
              <w:t xml:space="preserve"> general budget support</w:t>
            </w:r>
            <w:r>
              <w:t xml:space="preserve">, ABSP is the vehicle by which requests for support in GoS priority areas that do not fall under the remit of Tautai (or other Australian investments) </w:t>
            </w:r>
            <w:r w:rsidR="00A1182A">
              <w:t xml:space="preserve">can be </w:t>
            </w:r>
            <w:r w:rsidR="00904F89">
              <w:t>responded to</w:t>
            </w:r>
            <w:r>
              <w:t>.</w:t>
            </w:r>
          </w:p>
          <w:p w14:paraId="4A55E8F5" w14:textId="77777777" w:rsidR="00137723" w:rsidRDefault="00137723"/>
          <w:p w14:paraId="2C30E98D" w14:textId="02D59C68" w:rsidR="00137723" w:rsidRDefault="00137723">
            <w:r>
              <w:t>An A</w:t>
            </w:r>
            <w:r w:rsidR="00DA61AD">
              <w:t>ssessment</w:t>
            </w:r>
            <w:r>
              <w:t xml:space="preserve"> of National </w:t>
            </w:r>
            <w:r w:rsidR="002D496E">
              <w:t xml:space="preserve">Systems, planned for the </w:t>
            </w:r>
            <w:proofErr w:type="gramStart"/>
            <w:r w:rsidR="002D496E">
              <w:t>second-half of 2026</w:t>
            </w:r>
            <w:proofErr w:type="gramEnd"/>
            <w:r w:rsidR="002D496E">
              <w:t>, will be important in informing decision</w:t>
            </w:r>
            <w:r w:rsidR="00E54DE4">
              <w:t>-</w:t>
            </w:r>
            <w:r w:rsidR="00E54DE4">
              <w:lastRenderedPageBreak/>
              <w:t>making around the</w:t>
            </w:r>
            <w:r w:rsidR="00776753">
              <w:t xml:space="preserve"> scale and focus</w:t>
            </w:r>
            <w:r w:rsidR="00E54DE4">
              <w:t xml:space="preserve"> of the ABSP.</w:t>
            </w:r>
            <w:r w:rsidR="002D496E">
              <w:t xml:space="preserve"> </w:t>
            </w:r>
          </w:p>
        </w:tc>
        <w:tc>
          <w:tcPr>
            <w:tcW w:w="2340" w:type="dxa"/>
          </w:tcPr>
          <w:p w14:paraId="6B7C8443" w14:textId="50609658" w:rsidR="0025019D" w:rsidRDefault="0025019D">
            <w:r>
              <w:lastRenderedPageBreak/>
              <w:t>Ongoing</w:t>
            </w:r>
          </w:p>
        </w:tc>
      </w:tr>
      <w:tr w:rsidR="0025019D" w14:paraId="393CE727" w14:textId="77777777" w:rsidTr="00500728">
        <w:tc>
          <w:tcPr>
            <w:tcW w:w="5662" w:type="dxa"/>
          </w:tcPr>
          <w:p w14:paraId="5FB9ABD8" w14:textId="77777777" w:rsidR="0025019D" w:rsidRPr="002064A6" w:rsidRDefault="0025019D" w:rsidP="002064A6">
            <w:r w:rsidRPr="002064A6">
              <w:t>Elevate domestic revenue mobilisation to a central objective for the next phase, with a clearly articulated ABSP–Tautai package that centres on the new customs and revenue entities and the tax system.</w:t>
            </w:r>
          </w:p>
          <w:p w14:paraId="02BEB9C9" w14:textId="77777777" w:rsidR="0025019D" w:rsidRDefault="0025019D" w:rsidP="00CD5E16"/>
          <w:p w14:paraId="71027547" w14:textId="3F9F1000" w:rsidR="0025019D" w:rsidRPr="002064A6" w:rsidRDefault="0025019D" w:rsidP="00CD5E16">
            <w:r w:rsidRPr="002064A6">
              <w:t xml:space="preserve">Lead: MoF and Ministry of Revenue (policy and administration), DFAT Post (ABSP </w:t>
            </w:r>
            <w:r w:rsidR="005D3774">
              <w:t>Joint Policy Action Matrix (</w:t>
            </w:r>
            <w:r w:rsidRPr="002064A6">
              <w:t>JPAM</w:t>
            </w:r>
            <w:r w:rsidR="005D3774">
              <w:t>)</w:t>
            </w:r>
            <w:r w:rsidRPr="002064A6">
              <w:t xml:space="preserve"> framing), Tautai facility (TA and capacity support).</w:t>
            </w:r>
          </w:p>
          <w:p w14:paraId="28BE9414" w14:textId="037A7EF6" w:rsidR="0025019D" w:rsidRDefault="0025019D">
            <w:r w:rsidRPr="002064A6">
              <w:t>Support: DFAT Canberra (financing parameters), other JPAM partners (technical and policy inputs).</w:t>
            </w:r>
          </w:p>
        </w:tc>
        <w:tc>
          <w:tcPr>
            <w:tcW w:w="1210" w:type="dxa"/>
          </w:tcPr>
          <w:p w14:paraId="3243808F" w14:textId="0D0458CC" w:rsidR="0025019D" w:rsidRDefault="0025019D">
            <w:r>
              <w:t>Agree</w:t>
            </w:r>
          </w:p>
        </w:tc>
        <w:tc>
          <w:tcPr>
            <w:tcW w:w="3923" w:type="dxa"/>
          </w:tcPr>
          <w:p w14:paraId="67E874AF" w14:textId="386B6570" w:rsidR="0025019D" w:rsidRDefault="00103CE5">
            <w:r>
              <w:t xml:space="preserve">DFAT has agreed with Government of Samoa that domestic revenue generation will be an important objective for the next phase. </w:t>
            </w:r>
            <w:r w:rsidR="0025019D">
              <w:t>Tautai ha</w:t>
            </w:r>
            <w:r w:rsidR="00843A8E">
              <w:t>s already</w:t>
            </w:r>
            <w:r w:rsidR="0025019D">
              <w:t xml:space="preserve"> incorporated work with the Ministry of Revenue and Ministry of Customs in the workplan for 2026/27, including support</w:t>
            </w:r>
            <w:r w:rsidR="00843A8E">
              <w:t>ing</w:t>
            </w:r>
            <w:r w:rsidR="0025019D">
              <w:t xml:space="preserve"> the new tax system</w:t>
            </w:r>
            <w:r w:rsidR="001C6118">
              <w:t xml:space="preserve">. </w:t>
            </w:r>
          </w:p>
          <w:p w14:paraId="454FA4F0" w14:textId="77777777" w:rsidR="00904F89" w:rsidRDefault="00904F89"/>
          <w:p w14:paraId="57413DBB" w14:textId="7E112689" w:rsidR="001C6118" w:rsidRDefault="00926180">
            <w:r>
              <w:t>Domestic revenue mobilisation was raised as an emerging issue of importance at the Dec</w:t>
            </w:r>
            <w:r w:rsidR="00843A8E">
              <w:t>ember</w:t>
            </w:r>
            <w:r>
              <w:t xml:space="preserve"> </w:t>
            </w:r>
            <w:r w:rsidR="004261A2">
              <w:t>2025 JPAM mission</w:t>
            </w:r>
            <w:r w:rsidR="00904F89">
              <w:t>. There is ongoing discussion on potential inclusion of a new revenue related action in the JPAM</w:t>
            </w:r>
            <w:r w:rsidR="00843A8E">
              <w:t>.</w:t>
            </w:r>
            <w:r w:rsidR="004261A2">
              <w:t xml:space="preserve"> </w:t>
            </w:r>
          </w:p>
        </w:tc>
        <w:tc>
          <w:tcPr>
            <w:tcW w:w="2340" w:type="dxa"/>
          </w:tcPr>
          <w:p w14:paraId="6D7494A0" w14:textId="77777777" w:rsidR="0025019D" w:rsidRDefault="0025019D">
            <w:r>
              <w:t>Tautai annual workplan to be finalised 30 June 2026</w:t>
            </w:r>
          </w:p>
          <w:p w14:paraId="6122FD43" w14:textId="77777777" w:rsidR="0025019D" w:rsidRDefault="0025019D"/>
          <w:p w14:paraId="7CEA07DF" w14:textId="7E3CD8F7" w:rsidR="0025019D" w:rsidRDefault="0025019D">
            <w:r>
              <w:t>ABSP plan to be finalised August 2026</w:t>
            </w:r>
          </w:p>
        </w:tc>
      </w:tr>
      <w:tr w:rsidR="0025019D" w14:paraId="6BC774AD" w14:textId="77777777" w:rsidTr="00500728">
        <w:tc>
          <w:tcPr>
            <w:tcW w:w="5662" w:type="dxa"/>
          </w:tcPr>
          <w:p w14:paraId="37694EF7" w14:textId="6DFDFF8D" w:rsidR="0025019D" w:rsidRPr="00845753" w:rsidRDefault="0025019D" w:rsidP="00845753">
            <w:r w:rsidRPr="00845753">
              <w:t>Review and update Tautai’s program logic and selected indicators, to ensure expectations capture cross-government outcomes achieved to date and align with updated GoS priorities.</w:t>
            </w:r>
          </w:p>
          <w:p w14:paraId="5406DAF1" w14:textId="77777777" w:rsidR="0025019D" w:rsidRDefault="0025019D" w:rsidP="00CD5E16"/>
          <w:p w14:paraId="2F5E43F2" w14:textId="77777777" w:rsidR="00977316" w:rsidRDefault="0025019D" w:rsidP="00CD5E16">
            <w:r w:rsidRPr="00845753">
              <w:t>Lead: Tautai facility leadership and MERLA team.</w:t>
            </w:r>
          </w:p>
          <w:p w14:paraId="707CA7CB" w14:textId="2406AE6D" w:rsidR="0025019D" w:rsidRDefault="0025019D" w:rsidP="00CD5E16">
            <w:r w:rsidRPr="00845753">
              <w:t>Support: DFAT Post (MEL standards and approvals), MoF and PSC (validation and alignment with GoS frameworks).</w:t>
            </w:r>
          </w:p>
        </w:tc>
        <w:tc>
          <w:tcPr>
            <w:tcW w:w="1210" w:type="dxa"/>
          </w:tcPr>
          <w:p w14:paraId="793E14C6" w14:textId="6B9C1586" w:rsidR="0025019D" w:rsidRDefault="0025019D">
            <w:r>
              <w:t>Agree</w:t>
            </w:r>
          </w:p>
        </w:tc>
        <w:tc>
          <w:tcPr>
            <w:tcW w:w="3923" w:type="dxa"/>
          </w:tcPr>
          <w:p w14:paraId="3EDEB9A7" w14:textId="728749C2" w:rsidR="0025019D" w:rsidRDefault="00147A5A">
            <w:r>
              <w:t xml:space="preserve">DFAT and Tautai / DT Global are discussing </w:t>
            </w:r>
            <w:r w:rsidR="003A7CD9">
              <w:t xml:space="preserve">the usability of the current program logic, alignment with GoS </w:t>
            </w:r>
            <w:r w:rsidR="00F228BA">
              <w:t>frameworks</w:t>
            </w:r>
            <w:r w:rsidR="00DB7AE9">
              <w:t xml:space="preserve"> including the Pathway for the Development of Samoa (FY2026/27 – 2030-31)</w:t>
            </w:r>
            <w:r w:rsidR="00F228BA">
              <w:t xml:space="preserve"> and </w:t>
            </w:r>
            <w:proofErr w:type="gramStart"/>
            <w:r w:rsidR="00F228BA">
              <w:t xml:space="preserve">whether </w:t>
            </w:r>
            <w:r w:rsidR="00760E07">
              <w:t>or not</w:t>
            </w:r>
            <w:proofErr w:type="gramEnd"/>
            <w:r w:rsidR="00760E07">
              <w:t xml:space="preserve"> </w:t>
            </w:r>
            <w:r w:rsidR="00D84415">
              <w:t xml:space="preserve">GEDSI </w:t>
            </w:r>
            <w:r w:rsidR="005A1104">
              <w:t xml:space="preserve">should have </w:t>
            </w:r>
            <w:r w:rsidR="004F66B1">
              <w:t>a standalone IO or</w:t>
            </w:r>
            <w:r w:rsidR="00391445">
              <w:t xml:space="preserve"> should instead be</w:t>
            </w:r>
            <w:r w:rsidR="004F66B1">
              <w:t xml:space="preserve"> maintain</w:t>
            </w:r>
            <w:r w:rsidR="00391445">
              <w:t>ed</w:t>
            </w:r>
            <w:r w:rsidR="004F66B1">
              <w:t xml:space="preserve"> as a </w:t>
            </w:r>
            <w:proofErr w:type="gramStart"/>
            <w:r w:rsidR="004F66B1">
              <w:t>cross cutting</w:t>
            </w:r>
            <w:proofErr w:type="gramEnd"/>
            <w:r w:rsidR="004F66B1">
              <w:t xml:space="preserve"> theme.</w:t>
            </w:r>
          </w:p>
        </w:tc>
        <w:tc>
          <w:tcPr>
            <w:tcW w:w="2340" w:type="dxa"/>
          </w:tcPr>
          <w:p w14:paraId="0185241F" w14:textId="62454D92" w:rsidR="0025019D" w:rsidRDefault="004B25F0">
            <w:r>
              <w:t>The current contract ends Nov 2026</w:t>
            </w:r>
            <w:r w:rsidR="00FA7770">
              <w:t xml:space="preserve">. </w:t>
            </w:r>
            <w:r w:rsidR="004266B4">
              <w:t>Any changes</w:t>
            </w:r>
            <w:r w:rsidR="00FA7770">
              <w:t xml:space="preserve"> </w:t>
            </w:r>
            <w:r w:rsidR="004266B4">
              <w:t>to</w:t>
            </w:r>
            <w:r w:rsidR="00FA7770">
              <w:t xml:space="preserve"> the program logic </w:t>
            </w:r>
            <w:r w:rsidR="00507179">
              <w:t>and/or indicators will need to be finalised by Aug</w:t>
            </w:r>
            <w:r w:rsidR="004266B4">
              <w:t>ust.</w:t>
            </w:r>
          </w:p>
        </w:tc>
      </w:tr>
      <w:tr w:rsidR="0025019D" w14:paraId="483055E6" w14:textId="77777777" w:rsidTr="00500728">
        <w:tc>
          <w:tcPr>
            <w:tcW w:w="5662" w:type="dxa"/>
          </w:tcPr>
          <w:p w14:paraId="5ED9C808" w14:textId="77777777" w:rsidR="0025019D" w:rsidRPr="00D64B4A" w:rsidRDefault="0025019D" w:rsidP="00D64B4A">
            <w:r w:rsidRPr="00D64B4A">
              <w:t>Adopt and apply concise, jointly agreed principles for ABSP policy actions and Tautai facility funding decisions, including explicit tests for additionality and substitution.</w:t>
            </w:r>
          </w:p>
          <w:p w14:paraId="4F828A3E" w14:textId="77777777" w:rsidR="0025019D" w:rsidRDefault="0025019D" w:rsidP="00CD5E16"/>
          <w:p w14:paraId="63DBD0D7" w14:textId="4FCB90E5" w:rsidR="0025019D" w:rsidRPr="00D64B4A" w:rsidRDefault="0025019D" w:rsidP="00CD5E16">
            <w:r w:rsidRPr="00EE216D">
              <w:rPr>
                <w:b/>
                <w:bCs/>
              </w:rPr>
              <w:lastRenderedPageBreak/>
              <w:t>Lead</w:t>
            </w:r>
            <w:r w:rsidRPr="00D64B4A">
              <w:t>: DFAT Post and MoF (agreement of principles and application to JPAM and facility governance).</w:t>
            </w:r>
          </w:p>
          <w:p w14:paraId="5DD412A0" w14:textId="7DDB73D7" w:rsidR="0025019D" w:rsidRDefault="0025019D" w:rsidP="00CD5E16">
            <w:r w:rsidRPr="00EE216D">
              <w:rPr>
                <w:b/>
                <w:bCs/>
              </w:rPr>
              <w:t>Support</w:t>
            </w:r>
            <w:r w:rsidRPr="00D64B4A">
              <w:t>: DFAT Canberra (corporate alignment), Tautai facility (operationalisation in programming and appraisal tools).</w:t>
            </w:r>
          </w:p>
        </w:tc>
        <w:tc>
          <w:tcPr>
            <w:tcW w:w="1210" w:type="dxa"/>
          </w:tcPr>
          <w:p w14:paraId="2BDB5A38" w14:textId="04E62599" w:rsidR="0025019D" w:rsidRDefault="0025019D">
            <w:r>
              <w:lastRenderedPageBreak/>
              <w:t>Agree</w:t>
            </w:r>
          </w:p>
        </w:tc>
        <w:tc>
          <w:tcPr>
            <w:tcW w:w="3923" w:type="dxa"/>
          </w:tcPr>
          <w:p w14:paraId="759AC56A" w14:textId="4E3B73B7" w:rsidR="0032552D" w:rsidRPr="0032552D" w:rsidRDefault="0032552D" w:rsidP="0032552D">
            <w:r w:rsidRPr="0032552D">
              <w:t>Since the MTR, DFAT has held discussions with Tautai on better aligning the two programs</w:t>
            </w:r>
            <w:r w:rsidR="009503E4">
              <w:t>’</w:t>
            </w:r>
            <w:r w:rsidRPr="0032552D">
              <w:t xml:space="preserve"> theories of change, planning, monitoring and reporting processes. </w:t>
            </w:r>
            <w:r w:rsidR="00103CE5">
              <w:t xml:space="preserve"> </w:t>
            </w:r>
            <w:r w:rsidR="00103CE5" w:rsidRPr="00103CE5">
              <w:t xml:space="preserve">DFAT and Tautai </w:t>
            </w:r>
            <w:r w:rsidR="00103CE5" w:rsidRPr="00103CE5">
              <w:lastRenderedPageBreak/>
              <w:t xml:space="preserve">will jointly develop the principles and criteria for ABSP policy actions and Tautai facility funding decisions, including explicit tests for additionality and substitution, in time for the beginning of phase </w:t>
            </w:r>
            <w:r w:rsidR="00103CE5">
              <w:t xml:space="preserve">two. </w:t>
            </w:r>
          </w:p>
          <w:p w14:paraId="4D946C4B" w14:textId="77777777" w:rsidR="0032552D" w:rsidRPr="0032552D" w:rsidRDefault="0032552D" w:rsidP="0032552D"/>
          <w:p w14:paraId="1DF90047" w14:textId="69E5EFED" w:rsidR="0025019D" w:rsidRDefault="0032552D">
            <w:r w:rsidRPr="0032552D">
              <w:t xml:space="preserve">DFAT </w:t>
            </w:r>
            <w:r w:rsidR="00904F89">
              <w:t>has commenced</w:t>
            </w:r>
            <w:r w:rsidRPr="0032552D">
              <w:t xml:space="preserve"> work with Tautai to better integrate the MEL frameworks and accountability processes of the two programs</w:t>
            </w:r>
            <w:r w:rsidR="00904F89">
              <w:t>. This includes</w:t>
            </w:r>
            <w:r w:rsidRPr="0032552D">
              <w:t xml:space="preserve"> integrating the ABSP into the Tautai 6 monthly reflections</w:t>
            </w:r>
            <w:r w:rsidR="005D3774">
              <w:t xml:space="preserve"> sessions</w:t>
            </w:r>
            <w:r w:rsidR="00904F89">
              <w:t xml:space="preserve"> commencing with the next reflection session in August or September 2026</w:t>
            </w:r>
            <w:r w:rsidRPr="0032552D">
              <w:t xml:space="preserve">.  </w:t>
            </w:r>
          </w:p>
        </w:tc>
        <w:tc>
          <w:tcPr>
            <w:tcW w:w="2340" w:type="dxa"/>
          </w:tcPr>
          <w:p w14:paraId="748C5F48" w14:textId="559CDDFA" w:rsidR="00904F89" w:rsidRDefault="006717D1">
            <w:r>
              <w:lastRenderedPageBreak/>
              <w:t>Ongoing</w:t>
            </w:r>
          </w:p>
        </w:tc>
      </w:tr>
      <w:tr w:rsidR="0025019D" w14:paraId="77ED53F5" w14:textId="77777777" w:rsidTr="00500728">
        <w:tc>
          <w:tcPr>
            <w:tcW w:w="5662" w:type="dxa"/>
          </w:tcPr>
          <w:p w14:paraId="21BA5E0B" w14:textId="77777777" w:rsidR="0025019D" w:rsidRPr="002A12F1" w:rsidRDefault="0025019D" w:rsidP="002A12F1">
            <w:r w:rsidRPr="002A12F1">
              <w:t>Use JPAM and sector platforms to define and periodically review division of labour between ABSP, Tautai, Tautua and other partners, starting with finance, statistics, ICT and community development.</w:t>
            </w:r>
          </w:p>
          <w:p w14:paraId="44B9E027" w14:textId="77777777" w:rsidR="0025019D" w:rsidRDefault="0025019D" w:rsidP="00CD5E16"/>
          <w:p w14:paraId="05B67F07" w14:textId="46D717D3" w:rsidR="0025019D" w:rsidRPr="002A12F1" w:rsidRDefault="0025019D" w:rsidP="00CD5E16">
            <w:r w:rsidRPr="00EE216D">
              <w:rPr>
                <w:b/>
                <w:bCs/>
              </w:rPr>
              <w:t>Lead</w:t>
            </w:r>
            <w:r w:rsidRPr="002A12F1">
              <w:t>: MoF / MFAT (JPAM and aid coordination), DFAT Post (Australian portfolio coherence).</w:t>
            </w:r>
          </w:p>
          <w:p w14:paraId="015C456E" w14:textId="08D6C5BF" w:rsidR="0025019D" w:rsidRDefault="0025019D" w:rsidP="00F97638">
            <w:r w:rsidRPr="00EE216D">
              <w:rPr>
                <w:b/>
                <w:bCs/>
              </w:rPr>
              <w:t>Support</w:t>
            </w:r>
            <w:r w:rsidRPr="002A12F1">
              <w:t>: Tautai and Tautua facilities (inputs on comparative advantage and activity mapping), other partners (World Bank, NZ MFAT, ADB, European Union).</w:t>
            </w:r>
          </w:p>
        </w:tc>
        <w:tc>
          <w:tcPr>
            <w:tcW w:w="1210" w:type="dxa"/>
          </w:tcPr>
          <w:p w14:paraId="4BE03D84" w14:textId="272F0142" w:rsidR="0025019D" w:rsidRDefault="00103CE5">
            <w:r>
              <w:t>Agree</w:t>
            </w:r>
          </w:p>
        </w:tc>
        <w:tc>
          <w:tcPr>
            <w:tcW w:w="3923" w:type="dxa"/>
          </w:tcPr>
          <w:p w14:paraId="36F230D2" w14:textId="2AD290FB" w:rsidR="0087112E" w:rsidRDefault="0087112E">
            <w:r>
              <w:t xml:space="preserve">JPAM </w:t>
            </w:r>
            <w:r w:rsidR="00486F8C">
              <w:t>planning</w:t>
            </w:r>
            <w:r w:rsidR="000A146C">
              <w:t xml:space="preserve"> meetings </w:t>
            </w:r>
            <w:r w:rsidR="00872E01">
              <w:t xml:space="preserve">and missions </w:t>
            </w:r>
            <w:r w:rsidR="000A146C">
              <w:t xml:space="preserve">(including Tautai) currently act </w:t>
            </w:r>
            <w:r w:rsidR="00872E01">
              <w:t xml:space="preserve">as </w:t>
            </w:r>
            <w:r w:rsidR="004B04A3">
              <w:t>an effective</w:t>
            </w:r>
            <w:r w:rsidR="00872E01">
              <w:t xml:space="preserve"> mechanism by which </w:t>
            </w:r>
            <w:r w:rsidR="00486F8C">
              <w:t>development partners coordinate</w:t>
            </w:r>
            <w:r w:rsidR="009C75AF">
              <w:t xml:space="preserve"> development assistance</w:t>
            </w:r>
            <w:r w:rsidR="00B31C8A">
              <w:t xml:space="preserve"> including technical advice</w:t>
            </w:r>
            <w:r w:rsidR="009C75AF">
              <w:t xml:space="preserve">. </w:t>
            </w:r>
          </w:p>
          <w:p w14:paraId="4F488529" w14:textId="77777777" w:rsidR="007037F9" w:rsidRDefault="007037F9"/>
          <w:p w14:paraId="6F4FBE89" w14:textId="5B1BE2AC" w:rsidR="007037F9" w:rsidRDefault="007037F9">
            <w:r>
              <w:t xml:space="preserve">Great efforts were </w:t>
            </w:r>
            <w:r w:rsidR="00800337">
              <w:t xml:space="preserve">put into the differentiation and coordination between </w:t>
            </w:r>
            <w:r w:rsidR="00AE6B8D">
              <w:t xml:space="preserve">DFAT, GoS, </w:t>
            </w:r>
            <w:r w:rsidR="00800337">
              <w:t xml:space="preserve">Tautai and Tautua during </w:t>
            </w:r>
            <w:r w:rsidR="00AE6B8D">
              <w:t>the design of the two facilities</w:t>
            </w:r>
            <w:r w:rsidR="00774725">
              <w:t>. This coordination continues through DFAT Bilateral Aid Coordination meetings</w:t>
            </w:r>
            <w:r w:rsidR="00B44799">
              <w:t>, and DFAT/Tautai/Tautua meetings</w:t>
            </w:r>
            <w:r w:rsidR="001317FD">
              <w:t xml:space="preserve">. </w:t>
            </w:r>
          </w:p>
        </w:tc>
        <w:tc>
          <w:tcPr>
            <w:tcW w:w="2340" w:type="dxa"/>
          </w:tcPr>
          <w:p w14:paraId="266347C2" w14:textId="76AD31E3" w:rsidR="0025019D" w:rsidRDefault="000E0FFB">
            <w:r>
              <w:t xml:space="preserve">At </w:t>
            </w:r>
            <w:proofErr w:type="gramStart"/>
            <w:r w:rsidR="005D3774">
              <w:t>regularly-scheduled</w:t>
            </w:r>
            <w:proofErr w:type="gramEnd"/>
            <w:r>
              <w:t xml:space="preserve"> Bilateral Aid Coordination meeting</w:t>
            </w:r>
            <w:r w:rsidR="005D3774">
              <w:t>s</w:t>
            </w:r>
          </w:p>
          <w:p w14:paraId="0F7A1028" w14:textId="77777777" w:rsidR="000A6BF2" w:rsidRDefault="000A6BF2"/>
          <w:p w14:paraId="614D922B" w14:textId="58CA7A37" w:rsidR="006341E4" w:rsidRDefault="007037F9" w:rsidP="000A6BF2">
            <w:r>
              <w:t xml:space="preserve">Ongoing JPAM missions </w:t>
            </w:r>
            <w:r w:rsidR="00BE5D2E">
              <w:t>(</w:t>
            </w:r>
            <w:r w:rsidR="005D3774">
              <w:t xml:space="preserve">next in </w:t>
            </w:r>
            <w:r w:rsidR="00BE5D2E">
              <w:t>Dec</w:t>
            </w:r>
            <w:r w:rsidR="005D3774">
              <w:t>ember</w:t>
            </w:r>
            <w:r w:rsidR="00BE5D2E">
              <w:t xml:space="preserve"> 2026</w:t>
            </w:r>
            <w:r w:rsidR="006341E4">
              <w:t>)</w:t>
            </w:r>
          </w:p>
        </w:tc>
      </w:tr>
      <w:tr w:rsidR="0025019D" w14:paraId="3EADB9B1" w14:textId="77777777" w:rsidTr="00500728">
        <w:tc>
          <w:tcPr>
            <w:tcW w:w="5662" w:type="dxa"/>
          </w:tcPr>
          <w:p w14:paraId="7AEB6B3D" w14:textId="77777777" w:rsidR="0025019D" w:rsidRPr="00BE07EB" w:rsidRDefault="0025019D" w:rsidP="00BE07EB">
            <w:r w:rsidRPr="00BE07EB">
              <w:t xml:space="preserve">Systematically align Tautai’s training and advisory support with PSC and sector workforce </w:t>
            </w:r>
            <w:proofErr w:type="gramStart"/>
            <w:r w:rsidRPr="00BE07EB">
              <w:t>priorities, and</w:t>
            </w:r>
            <w:proofErr w:type="gramEnd"/>
            <w:r w:rsidRPr="00BE07EB">
              <w:t xml:space="preserve"> centre a small number of high-impact ICT / data </w:t>
            </w:r>
            <w:r w:rsidRPr="00BE07EB">
              <w:lastRenderedPageBreak/>
              <w:t>investments that enable revenue, PFM and service-delivery reforms.</w:t>
            </w:r>
          </w:p>
          <w:p w14:paraId="2D969F84" w14:textId="77777777" w:rsidR="0025019D" w:rsidRDefault="0025019D" w:rsidP="00F97638"/>
          <w:p w14:paraId="347E0FF4" w14:textId="1DC1C45B" w:rsidR="0025019D" w:rsidRPr="00BE07EB" w:rsidRDefault="0025019D" w:rsidP="00F97638">
            <w:r w:rsidRPr="00EE216D">
              <w:rPr>
                <w:b/>
                <w:bCs/>
              </w:rPr>
              <w:t>Lead</w:t>
            </w:r>
            <w:r w:rsidRPr="00BE07EB">
              <w:t>: PSC (workforce priorities and sustainability parameters), MoF and MCIT (ICT / data priorities), Tautai facility (design and delivery).</w:t>
            </w:r>
          </w:p>
          <w:p w14:paraId="0DE131B6" w14:textId="29D92497" w:rsidR="0025019D" w:rsidRDefault="0025019D" w:rsidP="00F97638">
            <w:r w:rsidRPr="00EE216D">
              <w:rPr>
                <w:b/>
                <w:bCs/>
              </w:rPr>
              <w:t>Support</w:t>
            </w:r>
            <w:r w:rsidRPr="00BE07EB">
              <w:t>: DFAT Post (resourcing and approvals), line ministries and non-state actors (demand articulation and participation).</w:t>
            </w:r>
          </w:p>
        </w:tc>
        <w:tc>
          <w:tcPr>
            <w:tcW w:w="1210" w:type="dxa"/>
          </w:tcPr>
          <w:p w14:paraId="133CCE17" w14:textId="33995648" w:rsidR="0025019D" w:rsidRDefault="0025019D">
            <w:r>
              <w:lastRenderedPageBreak/>
              <w:t>Agree</w:t>
            </w:r>
          </w:p>
        </w:tc>
        <w:tc>
          <w:tcPr>
            <w:tcW w:w="3923" w:type="dxa"/>
          </w:tcPr>
          <w:p w14:paraId="16B9513C" w14:textId="10B6DECD" w:rsidR="0025019D" w:rsidRDefault="00581DB9">
            <w:r>
              <w:t xml:space="preserve">The </w:t>
            </w:r>
            <w:r w:rsidR="00456D38">
              <w:t xml:space="preserve">National Workforce Plan </w:t>
            </w:r>
            <w:r w:rsidR="00BE0D60">
              <w:t xml:space="preserve">2030 was launched </w:t>
            </w:r>
            <w:r w:rsidR="00EA1150">
              <w:t xml:space="preserve">28 May 2026 </w:t>
            </w:r>
            <w:r w:rsidR="00456D38">
              <w:t xml:space="preserve">and </w:t>
            </w:r>
            <w:r w:rsidR="00BF491A">
              <w:t xml:space="preserve">now provides clear guidance </w:t>
            </w:r>
            <w:r w:rsidR="00C744F2">
              <w:t xml:space="preserve">on </w:t>
            </w:r>
            <w:proofErr w:type="spellStart"/>
            <w:r w:rsidR="00C744F2">
              <w:t>GoS</w:t>
            </w:r>
            <w:r w:rsidR="005D3774">
              <w:t>’</w:t>
            </w:r>
            <w:proofErr w:type="spellEnd"/>
            <w:r w:rsidR="00C744F2">
              <w:t xml:space="preserve"> </w:t>
            </w:r>
            <w:r w:rsidR="00C744F2">
              <w:lastRenderedPageBreak/>
              <w:t xml:space="preserve">workforce priorities. The </w:t>
            </w:r>
            <w:r>
              <w:t xml:space="preserve">Public Administration Sector </w:t>
            </w:r>
            <w:r w:rsidR="009C7E25">
              <w:t xml:space="preserve">Annual </w:t>
            </w:r>
            <w:r>
              <w:t xml:space="preserve">Review </w:t>
            </w:r>
            <w:r w:rsidR="002632B6">
              <w:t>(</w:t>
            </w:r>
            <w:r w:rsidR="00DD7977">
              <w:t xml:space="preserve">25 &amp; 26 June 2026) </w:t>
            </w:r>
            <w:r w:rsidR="00C744F2">
              <w:t xml:space="preserve">includes </w:t>
            </w:r>
            <w:r w:rsidR="00D2339A">
              <w:t>a</w:t>
            </w:r>
            <w:r w:rsidR="00C744F2">
              <w:t xml:space="preserve"> </w:t>
            </w:r>
            <w:r w:rsidR="008258A3">
              <w:t xml:space="preserve">workforce planning and development </w:t>
            </w:r>
            <w:r w:rsidR="00C744F2">
              <w:t xml:space="preserve">panel </w:t>
            </w:r>
            <w:r w:rsidR="008258A3">
              <w:t xml:space="preserve">discussion </w:t>
            </w:r>
            <w:r w:rsidR="0018581A">
              <w:t xml:space="preserve">bringing together development partners to discuss </w:t>
            </w:r>
            <w:r w:rsidR="001F1806">
              <w:t>opportunities to strengthen coordination of workforce development</w:t>
            </w:r>
            <w:r w:rsidR="00CB732A">
              <w:t>.</w:t>
            </w:r>
          </w:p>
          <w:p w14:paraId="41ABD3AE" w14:textId="77777777" w:rsidR="00CB732A" w:rsidRDefault="00CB732A"/>
          <w:p w14:paraId="06140F4A" w14:textId="4D047AC7" w:rsidR="00CB732A" w:rsidRDefault="00CB732A">
            <w:r>
              <w:t xml:space="preserve">The 2026 Tautai </w:t>
            </w:r>
            <w:r w:rsidR="00574E33">
              <w:t xml:space="preserve">Workplan includes </w:t>
            </w:r>
            <w:proofErr w:type="gramStart"/>
            <w:r w:rsidR="00574E33">
              <w:t>a number of</w:t>
            </w:r>
            <w:proofErr w:type="gramEnd"/>
            <w:r w:rsidR="00574E33">
              <w:t xml:space="preserve"> ICT investments including the </w:t>
            </w:r>
            <w:r w:rsidR="004463A3">
              <w:t xml:space="preserve">PSC </w:t>
            </w:r>
            <w:r w:rsidR="00FE62A4">
              <w:t xml:space="preserve">State of Technology </w:t>
            </w:r>
            <w:r w:rsidR="0045024D">
              <w:t xml:space="preserve">uplift and ICT projects with </w:t>
            </w:r>
            <w:r w:rsidR="000C2A51">
              <w:t>the ministries of Customs and Revenue.</w:t>
            </w:r>
          </w:p>
        </w:tc>
        <w:tc>
          <w:tcPr>
            <w:tcW w:w="2340" w:type="dxa"/>
          </w:tcPr>
          <w:p w14:paraId="4A9B30D8" w14:textId="4D650640" w:rsidR="0025019D" w:rsidRDefault="003F064A">
            <w:r>
              <w:lastRenderedPageBreak/>
              <w:t>Ongoing</w:t>
            </w:r>
          </w:p>
        </w:tc>
      </w:tr>
      <w:tr w:rsidR="0025019D" w14:paraId="5361CBCB" w14:textId="77777777" w:rsidTr="00500728">
        <w:tc>
          <w:tcPr>
            <w:tcW w:w="5662" w:type="dxa"/>
          </w:tcPr>
          <w:p w14:paraId="486C84E1" w14:textId="77777777" w:rsidR="0025019D" w:rsidRPr="002D1D16" w:rsidRDefault="0025019D" w:rsidP="002D1D16">
            <w:r w:rsidRPr="002D1D16">
              <w:t>Integrate GEDSI, climate change and locally led development requirements into Tautai workplans and use ABSP’s JPAM policy dialogue and Annual Plan process to progressively promote these considerations as standard expectations in JPAM actions, monitored through existing GoS MERL systems.</w:t>
            </w:r>
          </w:p>
          <w:p w14:paraId="46C66D2E" w14:textId="77777777" w:rsidR="0025019D" w:rsidRDefault="0025019D" w:rsidP="00B9736A"/>
          <w:p w14:paraId="06329684" w14:textId="6E4777A8" w:rsidR="0025019D" w:rsidRPr="002D1D16" w:rsidRDefault="0025019D" w:rsidP="00B9736A">
            <w:r w:rsidRPr="00EE216D">
              <w:rPr>
                <w:b/>
                <w:bCs/>
              </w:rPr>
              <w:t>Lead:</w:t>
            </w:r>
            <w:r w:rsidRPr="002D1D16">
              <w:t xml:space="preserve"> MoF and MWCSD (policy and systems integration), Tautai facility (practical tools and support to capacity-building), DFAT Post (JPAM dialogue and ABSP Annual Plans).</w:t>
            </w:r>
          </w:p>
          <w:p w14:paraId="29B9925F" w14:textId="4143BF54" w:rsidR="0025019D" w:rsidRDefault="0025019D">
            <w:r w:rsidRPr="00EE216D">
              <w:rPr>
                <w:b/>
                <w:bCs/>
              </w:rPr>
              <w:t>Support:</w:t>
            </w:r>
            <w:r w:rsidRPr="002D1D16">
              <w:t xml:space="preserve"> PSC (integration into HR, performance frameworks), other central and sector agencies (sector-specific implementation).</w:t>
            </w:r>
          </w:p>
        </w:tc>
        <w:tc>
          <w:tcPr>
            <w:tcW w:w="1210" w:type="dxa"/>
          </w:tcPr>
          <w:p w14:paraId="4F30FC89" w14:textId="7CD1B694" w:rsidR="0025019D" w:rsidRDefault="0025019D">
            <w:r>
              <w:t>Agree</w:t>
            </w:r>
          </w:p>
        </w:tc>
        <w:tc>
          <w:tcPr>
            <w:tcW w:w="3923" w:type="dxa"/>
          </w:tcPr>
          <w:p w14:paraId="7474C143" w14:textId="6F5B232A" w:rsidR="0025019D" w:rsidRDefault="008F15D8">
            <w:r>
              <w:t xml:space="preserve">Post </w:t>
            </w:r>
            <w:r w:rsidR="00B10B8E">
              <w:t xml:space="preserve">will work </w:t>
            </w:r>
            <w:r w:rsidR="008324B1">
              <w:t>with the P</w:t>
            </w:r>
            <w:r w:rsidR="00DB7AE9">
              <w:t xml:space="preserve">acific </w:t>
            </w:r>
            <w:r w:rsidR="008324B1">
              <w:t>D</w:t>
            </w:r>
            <w:r w:rsidR="00DB7AE9">
              <w:t xml:space="preserve">irect </w:t>
            </w:r>
            <w:r w:rsidR="008324B1">
              <w:t>F</w:t>
            </w:r>
            <w:r w:rsidR="00DB7AE9">
              <w:t xml:space="preserve">inancing </w:t>
            </w:r>
            <w:r w:rsidR="008324B1">
              <w:t>F</w:t>
            </w:r>
            <w:r w:rsidR="00DB7AE9">
              <w:t>acility</w:t>
            </w:r>
            <w:r w:rsidR="008324B1">
              <w:t xml:space="preserve"> team </w:t>
            </w:r>
            <w:r w:rsidR="005D6423">
              <w:t xml:space="preserve">and </w:t>
            </w:r>
            <w:r w:rsidR="005D0E29">
              <w:t>Pacific Recovery Economic Support phase 2 (</w:t>
            </w:r>
            <w:r w:rsidR="005D6423">
              <w:t>PRES+</w:t>
            </w:r>
            <w:r w:rsidR="002B2879">
              <w:t>)</w:t>
            </w:r>
            <w:r w:rsidR="005D6423">
              <w:t xml:space="preserve"> to strengthen </w:t>
            </w:r>
            <w:r w:rsidR="00885F13">
              <w:t xml:space="preserve">integration of GEDSI and Climate Change </w:t>
            </w:r>
            <w:r w:rsidR="00A97282">
              <w:t>considerations into ABSP Plans and JPAM dialogue.</w:t>
            </w:r>
          </w:p>
          <w:p w14:paraId="7E6CD984" w14:textId="77777777" w:rsidR="001E638F" w:rsidRDefault="001E638F"/>
          <w:p w14:paraId="45F5ADCD" w14:textId="7885C453" w:rsidR="001E638F" w:rsidRDefault="001E638F">
            <w:r>
              <w:t xml:space="preserve">Tautai’s </w:t>
            </w:r>
            <w:r w:rsidR="00E214BD">
              <w:t xml:space="preserve">current contract requires the submission of a separate GEDSI </w:t>
            </w:r>
            <w:r w:rsidR="000D3EDB">
              <w:t xml:space="preserve">strategy, </w:t>
            </w:r>
            <w:r w:rsidR="00E214BD">
              <w:t>workplan</w:t>
            </w:r>
            <w:r w:rsidR="000D3EDB">
              <w:t xml:space="preserve"> and </w:t>
            </w:r>
            <w:r w:rsidR="00F913E9">
              <w:t>budget</w:t>
            </w:r>
            <w:r w:rsidR="00F01B64">
              <w:t>. Tautai and DFAT</w:t>
            </w:r>
            <w:r w:rsidR="00F913E9">
              <w:t xml:space="preserve"> will consider the opportunity to incorporate this document into the broader workplan for the next iteration </w:t>
            </w:r>
            <w:r w:rsidR="002F476C">
              <w:t>of the contract</w:t>
            </w:r>
            <w:r w:rsidR="00C335B8">
              <w:t>, due to commence November 2026</w:t>
            </w:r>
            <w:r w:rsidR="002F476C">
              <w:t>.</w:t>
            </w:r>
          </w:p>
        </w:tc>
        <w:tc>
          <w:tcPr>
            <w:tcW w:w="2340" w:type="dxa"/>
          </w:tcPr>
          <w:p w14:paraId="7D196C6F" w14:textId="1B5387AF" w:rsidR="0025019D" w:rsidRDefault="003065DE">
            <w:r>
              <w:t xml:space="preserve">FY 2026/27 </w:t>
            </w:r>
            <w:r w:rsidR="009924B9">
              <w:t xml:space="preserve">once </w:t>
            </w:r>
            <w:r w:rsidR="005435DC">
              <w:t xml:space="preserve">PRES+ </w:t>
            </w:r>
            <w:r w:rsidR="00D67CE8">
              <w:t>is operational</w:t>
            </w:r>
          </w:p>
        </w:tc>
      </w:tr>
    </w:tbl>
    <w:p w14:paraId="46B2B6EB" w14:textId="77777777" w:rsidR="00FA6672" w:rsidRDefault="00FA6672"/>
    <w:sectPr w:rsidR="00FA6672" w:rsidSect="00562DF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35E7" w14:textId="77777777" w:rsidR="00F75876" w:rsidRDefault="00F75876" w:rsidP="00E97526">
      <w:pPr>
        <w:spacing w:after="0" w:line="240" w:lineRule="auto"/>
      </w:pPr>
      <w:r>
        <w:separator/>
      </w:r>
    </w:p>
  </w:endnote>
  <w:endnote w:type="continuationSeparator" w:id="0">
    <w:p w14:paraId="4A640B36" w14:textId="77777777" w:rsidR="00F75876" w:rsidRDefault="00F75876" w:rsidP="00E9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D414" w14:textId="77777777" w:rsidR="00F75876" w:rsidRDefault="00F75876" w:rsidP="00E97526">
      <w:pPr>
        <w:spacing w:after="0" w:line="240" w:lineRule="auto"/>
      </w:pPr>
      <w:r>
        <w:separator/>
      </w:r>
    </w:p>
  </w:footnote>
  <w:footnote w:type="continuationSeparator" w:id="0">
    <w:p w14:paraId="7A5E959D" w14:textId="77777777" w:rsidR="00F75876" w:rsidRDefault="00F75876" w:rsidP="00E97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0488"/>
    <w:multiLevelType w:val="hybridMultilevel"/>
    <w:tmpl w:val="1C7C0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9B7CE9"/>
    <w:multiLevelType w:val="hybridMultilevel"/>
    <w:tmpl w:val="9634A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282D33"/>
    <w:multiLevelType w:val="multilevel"/>
    <w:tmpl w:val="6B727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0E758C"/>
    <w:multiLevelType w:val="multilevel"/>
    <w:tmpl w:val="9D707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236D7D"/>
    <w:multiLevelType w:val="multilevel"/>
    <w:tmpl w:val="48CC2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E07FA7"/>
    <w:multiLevelType w:val="multilevel"/>
    <w:tmpl w:val="1F1CE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BC55C0"/>
    <w:multiLevelType w:val="multilevel"/>
    <w:tmpl w:val="C61E0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297EF3"/>
    <w:multiLevelType w:val="multilevel"/>
    <w:tmpl w:val="F3E08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986CF7"/>
    <w:multiLevelType w:val="multilevel"/>
    <w:tmpl w:val="3E8CF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48660817">
    <w:abstractNumId w:val="5"/>
  </w:num>
  <w:num w:numId="2" w16cid:durableId="326636748">
    <w:abstractNumId w:val="7"/>
  </w:num>
  <w:num w:numId="3" w16cid:durableId="1574856465">
    <w:abstractNumId w:val="3"/>
  </w:num>
  <w:num w:numId="4" w16cid:durableId="227569680">
    <w:abstractNumId w:val="4"/>
  </w:num>
  <w:num w:numId="5" w16cid:durableId="783429040">
    <w:abstractNumId w:val="2"/>
  </w:num>
  <w:num w:numId="6" w16cid:durableId="9262342">
    <w:abstractNumId w:val="6"/>
  </w:num>
  <w:num w:numId="7" w16cid:durableId="646401948">
    <w:abstractNumId w:val="8"/>
  </w:num>
  <w:num w:numId="8" w16cid:durableId="559706606">
    <w:abstractNumId w:val="0"/>
  </w:num>
  <w:num w:numId="9" w16cid:durableId="1695616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72"/>
    <w:rsid w:val="00010560"/>
    <w:rsid w:val="000229AC"/>
    <w:rsid w:val="000335FE"/>
    <w:rsid w:val="00035CFE"/>
    <w:rsid w:val="00036F5A"/>
    <w:rsid w:val="00043812"/>
    <w:rsid w:val="00044549"/>
    <w:rsid w:val="000528B5"/>
    <w:rsid w:val="00072F52"/>
    <w:rsid w:val="00073E83"/>
    <w:rsid w:val="00093C3F"/>
    <w:rsid w:val="000A146C"/>
    <w:rsid w:val="000A6BF2"/>
    <w:rsid w:val="000A7D64"/>
    <w:rsid w:val="000B0D38"/>
    <w:rsid w:val="000B1F2C"/>
    <w:rsid w:val="000C1DF8"/>
    <w:rsid w:val="000C2A51"/>
    <w:rsid w:val="000D3EDB"/>
    <w:rsid w:val="000D7D4E"/>
    <w:rsid w:val="000E0FFB"/>
    <w:rsid w:val="000F3546"/>
    <w:rsid w:val="000F3B1B"/>
    <w:rsid w:val="00101CB7"/>
    <w:rsid w:val="00103CE5"/>
    <w:rsid w:val="0011514D"/>
    <w:rsid w:val="001317FD"/>
    <w:rsid w:val="00137723"/>
    <w:rsid w:val="00147A5A"/>
    <w:rsid w:val="00151B9B"/>
    <w:rsid w:val="00151D2D"/>
    <w:rsid w:val="0016072C"/>
    <w:rsid w:val="0016095F"/>
    <w:rsid w:val="00162532"/>
    <w:rsid w:val="00173134"/>
    <w:rsid w:val="0018581A"/>
    <w:rsid w:val="00190DEF"/>
    <w:rsid w:val="001A2792"/>
    <w:rsid w:val="001B291F"/>
    <w:rsid w:val="001C6118"/>
    <w:rsid w:val="001C6F86"/>
    <w:rsid w:val="001E17E9"/>
    <w:rsid w:val="001E5EDD"/>
    <w:rsid w:val="001E638F"/>
    <w:rsid w:val="001F1806"/>
    <w:rsid w:val="002064A6"/>
    <w:rsid w:val="002110BF"/>
    <w:rsid w:val="0025019D"/>
    <w:rsid w:val="0026028A"/>
    <w:rsid w:val="00262FED"/>
    <w:rsid w:val="002632B6"/>
    <w:rsid w:val="00265057"/>
    <w:rsid w:val="00267C42"/>
    <w:rsid w:val="00284E74"/>
    <w:rsid w:val="002A12F1"/>
    <w:rsid w:val="002B2879"/>
    <w:rsid w:val="002C2A34"/>
    <w:rsid w:val="002C3A39"/>
    <w:rsid w:val="002D1D16"/>
    <w:rsid w:val="002D3BE2"/>
    <w:rsid w:val="002D496E"/>
    <w:rsid w:val="002F476C"/>
    <w:rsid w:val="00301E47"/>
    <w:rsid w:val="003050A6"/>
    <w:rsid w:val="003065DE"/>
    <w:rsid w:val="003155EC"/>
    <w:rsid w:val="0032552D"/>
    <w:rsid w:val="003332C0"/>
    <w:rsid w:val="00341889"/>
    <w:rsid w:val="003528A0"/>
    <w:rsid w:val="00352DDD"/>
    <w:rsid w:val="00355A29"/>
    <w:rsid w:val="00360790"/>
    <w:rsid w:val="00360C0F"/>
    <w:rsid w:val="0036319F"/>
    <w:rsid w:val="00391445"/>
    <w:rsid w:val="00393E26"/>
    <w:rsid w:val="003A1362"/>
    <w:rsid w:val="003A1699"/>
    <w:rsid w:val="003A7CD9"/>
    <w:rsid w:val="003F064A"/>
    <w:rsid w:val="003F33FA"/>
    <w:rsid w:val="003F5940"/>
    <w:rsid w:val="00405034"/>
    <w:rsid w:val="00405FAD"/>
    <w:rsid w:val="00410BE5"/>
    <w:rsid w:val="00412C5B"/>
    <w:rsid w:val="004261A2"/>
    <w:rsid w:val="004266B4"/>
    <w:rsid w:val="00427D39"/>
    <w:rsid w:val="00444894"/>
    <w:rsid w:val="004463A3"/>
    <w:rsid w:val="0045024D"/>
    <w:rsid w:val="00456D38"/>
    <w:rsid w:val="00476102"/>
    <w:rsid w:val="00477623"/>
    <w:rsid w:val="00486F8C"/>
    <w:rsid w:val="00495D81"/>
    <w:rsid w:val="00495F44"/>
    <w:rsid w:val="004A553F"/>
    <w:rsid w:val="004B04A3"/>
    <w:rsid w:val="004B25F0"/>
    <w:rsid w:val="004B75EA"/>
    <w:rsid w:val="004C2CE4"/>
    <w:rsid w:val="004C3939"/>
    <w:rsid w:val="004E037E"/>
    <w:rsid w:val="004F197E"/>
    <w:rsid w:val="004F5976"/>
    <w:rsid w:val="004F66B1"/>
    <w:rsid w:val="00500728"/>
    <w:rsid w:val="00507179"/>
    <w:rsid w:val="0051228B"/>
    <w:rsid w:val="005364C1"/>
    <w:rsid w:val="005435DC"/>
    <w:rsid w:val="00557A2E"/>
    <w:rsid w:val="00562DF0"/>
    <w:rsid w:val="005656C9"/>
    <w:rsid w:val="00574E33"/>
    <w:rsid w:val="00581DB9"/>
    <w:rsid w:val="00590D22"/>
    <w:rsid w:val="00594335"/>
    <w:rsid w:val="00597BF6"/>
    <w:rsid w:val="005A0A35"/>
    <w:rsid w:val="005A1104"/>
    <w:rsid w:val="005A1A8A"/>
    <w:rsid w:val="005C3E27"/>
    <w:rsid w:val="005D0E29"/>
    <w:rsid w:val="005D3774"/>
    <w:rsid w:val="005D42DC"/>
    <w:rsid w:val="005D6423"/>
    <w:rsid w:val="005F1216"/>
    <w:rsid w:val="005F5436"/>
    <w:rsid w:val="00611A59"/>
    <w:rsid w:val="00613A71"/>
    <w:rsid w:val="00630710"/>
    <w:rsid w:val="006341E4"/>
    <w:rsid w:val="00655FB6"/>
    <w:rsid w:val="00657AB0"/>
    <w:rsid w:val="00657DFF"/>
    <w:rsid w:val="00664614"/>
    <w:rsid w:val="0067012C"/>
    <w:rsid w:val="006717D1"/>
    <w:rsid w:val="00677AF3"/>
    <w:rsid w:val="00682479"/>
    <w:rsid w:val="006908CA"/>
    <w:rsid w:val="006A588C"/>
    <w:rsid w:val="006B50D5"/>
    <w:rsid w:val="006C1DBE"/>
    <w:rsid w:val="006C582A"/>
    <w:rsid w:val="006D4EEF"/>
    <w:rsid w:val="006D54CA"/>
    <w:rsid w:val="006D6064"/>
    <w:rsid w:val="006D6D51"/>
    <w:rsid w:val="006E6911"/>
    <w:rsid w:val="006E7A58"/>
    <w:rsid w:val="00702896"/>
    <w:rsid w:val="007037F9"/>
    <w:rsid w:val="00711486"/>
    <w:rsid w:val="00720D08"/>
    <w:rsid w:val="007323B2"/>
    <w:rsid w:val="0073315B"/>
    <w:rsid w:val="00744A16"/>
    <w:rsid w:val="00760E07"/>
    <w:rsid w:val="007628E5"/>
    <w:rsid w:val="00774725"/>
    <w:rsid w:val="00776753"/>
    <w:rsid w:val="00777D08"/>
    <w:rsid w:val="00781458"/>
    <w:rsid w:val="00785EA7"/>
    <w:rsid w:val="00792C97"/>
    <w:rsid w:val="007930FB"/>
    <w:rsid w:val="00793AA9"/>
    <w:rsid w:val="0079661B"/>
    <w:rsid w:val="007A0915"/>
    <w:rsid w:val="007B6409"/>
    <w:rsid w:val="007C0D74"/>
    <w:rsid w:val="007C256C"/>
    <w:rsid w:val="007D6787"/>
    <w:rsid w:val="007D74A2"/>
    <w:rsid w:val="007D7E5D"/>
    <w:rsid w:val="007F582A"/>
    <w:rsid w:val="00800337"/>
    <w:rsid w:val="008015D6"/>
    <w:rsid w:val="00803D4C"/>
    <w:rsid w:val="008134DB"/>
    <w:rsid w:val="008258A3"/>
    <w:rsid w:val="008324B1"/>
    <w:rsid w:val="00832DDD"/>
    <w:rsid w:val="00832E28"/>
    <w:rsid w:val="008365A9"/>
    <w:rsid w:val="0084319F"/>
    <w:rsid w:val="00843A8E"/>
    <w:rsid w:val="00845753"/>
    <w:rsid w:val="008574DE"/>
    <w:rsid w:val="008626C8"/>
    <w:rsid w:val="0087112E"/>
    <w:rsid w:val="00872E01"/>
    <w:rsid w:val="00877480"/>
    <w:rsid w:val="00885F13"/>
    <w:rsid w:val="008A303C"/>
    <w:rsid w:val="008B43BD"/>
    <w:rsid w:val="008B59FB"/>
    <w:rsid w:val="008F15D8"/>
    <w:rsid w:val="00904F89"/>
    <w:rsid w:val="0090682C"/>
    <w:rsid w:val="0091643C"/>
    <w:rsid w:val="00926180"/>
    <w:rsid w:val="00937083"/>
    <w:rsid w:val="009503E4"/>
    <w:rsid w:val="009736AD"/>
    <w:rsid w:val="00977316"/>
    <w:rsid w:val="0098157E"/>
    <w:rsid w:val="009857AD"/>
    <w:rsid w:val="00990EC9"/>
    <w:rsid w:val="009924B9"/>
    <w:rsid w:val="00995A98"/>
    <w:rsid w:val="009C0BE8"/>
    <w:rsid w:val="009C6968"/>
    <w:rsid w:val="009C75AF"/>
    <w:rsid w:val="009C7E25"/>
    <w:rsid w:val="009E3AA2"/>
    <w:rsid w:val="009E5800"/>
    <w:rsid w:val="009F0B60"/>
    <w:rsid w:val="00A04DB5"/>
    <w:rsid w:val="00A0756A"/>
    <w:rsid w:val="00A07C0C"/>
    <w:rsid w:val="00A113EA"/>
    <w:rsid w:val="00A1182A"/>
    <w:rsid w:val="00A11D00"/>
    <w:rsid w:val="00A11E15"/>
    <w:rsid w:val="00A12B90"/>
    <w:rsid w:val="00A14811"/>
    <w:rsid w:val="00A310FA"/>
    <w:rsid w:val="00A474E7"/>
    <w:rsid w:val="00A570B0"/>
    <w:rsid w:val="00A61A00"/>
    <w:rsid w:val="00A70A85"/>
    <w:rsid w:val="00A836AD"/>
    <w:rsid w:val="00A91982"/>
    <w:rsid w:val="00A940B6"/>
    <w:rsid w:val="00A947D7"/>
    <w:rsid w:val="00A97282"/>
    <w:rsid w:val="00AA2DD7"/>
    <w:rsid w:val="00AA7768"/>
    <w:rsid w:val="00AB771D"/>
    <w:rsid w:val="00AD0FD4"/>
    <w:rsid w:val="00AE6B8D"/>
    <w:rsid w:val="00B04BBD"/>
    <w:rsid w:val="00B10B8E"/>
    <w:rsid w:val="00B23ACB"/>
    <w:rsid w:val="00B31C8A"/>
    <w:rsid w:val="00B44799"/>
    <w:rsid w:val="00B801D7"/>
    <w:rsid w:val="00B81373"/>
    <w:rsid w:val="00B9736A"/>
    <w:rsid w:val="00BA3CCC"/>
    <w:rsid w:val="00BB4397"/>
    <w:rsid w:val="00BC3AF6"/>
    <w:rsid w:val="00BC4FD7"/>
    <w:rsid w:val="00BD1A54"/>
    <w:rsid w:val="00BD436F"/>
    <w:rsid w:val="00BE07EB"/>
    <w:rsid w:val="00BE0D60"/>
    <w:rsid w:val="00BE1B30"/>
    <w:rsid w:val="00BE5D2E"/>
    <w:rsid w:val="00BF491A"/>
    <w:rsid w:val="00C03BB5"/>
    <w:rsid w:val="00C077FC"/>
    <w:rsid w:val="00C10B19"/>
    <w:rsid w:val="00C12923"/>
    <w:rsid w:val="00C13093"/>
    <w:rsid w:val="00C25C91"/>
    <w:rsid w:val="00C25DE4"/>
    <w:rsid w:val="00C335B8"/>
    <w:rsid w:val="00C47FE0"/>
    <w:rsid w:val="00C5128E"/>
    <w:rsid w:val="00C578BF"/>
    <w:rsid w:val="00C744F2"/>
    <w:rsid w:val="00C83127"/>
    <w:rsid w:val="00C97238"/>
    <w:rsid w:val="00C97FC4"/>
    <w:rsid w:val="00CA274F"/>
    <w:rsid w:val="00CB732A"/>
    <w:rsid w:val="00CC2CFF"/>
    <w:rsid w:val="00CD5E16"/>
    <w:rsid w:val="00D0055E"/>
    <w:rsid w:val="00D0408D"/>
    <w:rsid w:val="00D2194C"/>
    <w:rsid w:val="00D2339A"/>
    <w:rsid w:val="00D35A89"/>
    <w:rsid w:val="00D56C0A"/>
    <w:rsid w:val="00D64B4A"/>
    <w:rsid w:val="00D67CE8"/>
    <w:rsid w:val="00D73628"/>
    <w:rsid w:val="00D84415"/>
    <w:rsid w:val="00D849C4"/>
    <w:rsid w:val="00D90F98"/>
    <w:rsid w:val="00D94CAE"/>
    <w:rsid w:val="00DA61AD"/>
    <w:rsid w:val="00DB635F"/>
    <w:rsid w:val="00DB7AE9"/>
    <w:rsid w:val="00DD7977"/>
    <w:rsid w:val="00DE239D"/>
    <w:rsid w:val="00E04D57"/>
    <w:rsid w:val="00E12C1E"/>
    <w:rsid w:val="00E15117"/>
    <w:rsid w:val="00E159E0"/>
    <w:rsid w:val="00E214BD"/>
    <w:rsid w:val="00E26258"/>
    <w:rsid w:val="00E34F36"/>
    <w:rsid w:val="00E37A2F"/>
    <w:rsid w:val="00E50EB9"/>
    <w:rsid w:val="00E54DE4"/>
    <w:rsid w:val="00E6067C"/>
    <w:rsid w:val="00E97526"/>
    <w:rsid w:val="00EA1150"/>
    <w:rsid w:val="00EA4017"/>
    <w:rsid w:val="00EC25BC"/>
    <w:rsid w:val="00EC571C"/>
    <w:rsid w:val="00ED5AE3"/>
    <w:rsid w:val="00EE216D"/>
    <w:rsid w:val="00EE43F8"/>
    <w:rsid w:val="00F000B5"/>
    <w:rsid w:val="00F01B64"/>
    <w:rsid w:val="00F228BA"/>
    <w:rsid w:val="00F25637"/>
    <w:rsid w:val="00F308AE"/>
    <w:rsid w:val="00F45169"/>
    <w:rsid w:val="00F50D51"/>
    <w:rsid w:val="00F75876"/>
    <w:rsid w:val="00F7754C"/>
    <w:rsid w:val="00F8127D"/>
    <w:rsid w:val="00F82F6C"/>
    <w:rsid w:val="00F913E9"/>
    <w:rsid w:val="00F93523"/>
    <w:rsid w:val="00F95012"/>
    <w:rsid w:val="00F97638"/>
    <w:rsid w:val="00FA6672"/>
    <w:rsid w:val="00FA7770"/>
    <w:rsid w:val="00FE225B"/>
    <w:rsid w:val="00FE2B9D"/>
    <w:rsid w:val="00FE303D"/>
    <w:rsid w:val="00FE444D"/>
    <w:rsid w:val="00FE62A4"/>
    <w:rsid w:val="00FF3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FF374"/>
  <w15:chartTrackingRefBased/>
  <w15:docId w15:val="{04893D6E-FB87-480E-A8B6-B4702F3E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6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6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6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6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72"/>
    <w:rPr>
      <w:rFonts w:eastAsiaTheme="majorEastAsia" w:cstheme="majorBidi"/>
      <w:color w:val="272727" w:themeColor="text1" w:themeTint="D8"/>
    </w:rPr>
  </w:style>
  <w:style w:type="paragraph" w:styleId="Title">
    <w:name w:val="Title"/>
    <w:basedOn w:val="Normal"/>
    <w:next w:val="Normal"/>
    <w:link w:val="TitleChar"/>
    <w:uiPriority w:val="10"/>
    <w:qFormat/>
    <w:rsid w:val="00FA6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72"/>
    <w:pPr>
      <w:spacing w:before="160"/>
      <w:jc w:val="center"/>
    </w:pPr>
    <w:rPr>
      <w:i/>
      <w:iCs/>
      <w:color w:val="404040" w:themeColor="text1" w:themeTint="BF"/>
    </w:rPr>
  </w:style>
  <w:style w:type="character" w:customStyle="1" w:styleId="QuoteChar">
    <w:name w:val="Quote Char"/>
    <w:basedOn w:val="DefaultParagraphFont"/>
    <w:link w:val="Quote"/>
    <w:uiPriority w:val="29"/>
    <w:rsid w:val="00FA6672"/>
    <w:rPr>
      <w:i/>
      <w:iCs/>
      <w:color w:val="404040" w:themeColor="text1" w:themeTint="BF"/>
    </w:rPr>
  </w:style>
  <w:style w:type="paragraph" w:styleId="ListParagraph">
    <w:name w:val="List Paragraph"/>
    <w:basedOn w:val="Normal"/>
    <w:uiPriority w:val="34"/>
    <w:qFormat/>
    <w:rsid w:val="00FA6672"/>
    <w:pPr>
      <w:ind w:left="720"/>
      <w:contextualSpacing/>
    </w:pPr>
  </w:style>
  <w:style w:type="character" w:styleId="IntenseEmphasis">
    <w:name w:val="Intense Emphasis"/>
    <w:basedOn w:val="DefaultParagraphFont"/>
    <w:uiPriority w:val="21"/>
    <w:qFormat/>
    <w:rsid w:val="00FA6672"/>
    <w:rPr>
      <w:i/>
      <w:iCs/>
      <w:color w:val="0F4761" w:themeColor="accent1" w:themeShade="BF"/>
    </w:rPr>
  </w:style>
  <w:style w:type="paragraph" w:styleId="IntenseQuote">
    <w:name w:val="Intense Quote"/>
    <w:basedOn w:val="Normal"/>
    <w:next w:val="Normal"/>
    <w:link w:val="IntenseQuoteChar"/>
    <w:uiPriority w:val="30"/>
    <w:qFormat/>
    <w:rsid w:val="00FA6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72"/>
    <w:rPr>
      <w:i/>
      <w:iCs/>
      <w:color w:val="0F4761" w:themeColor="accent1" w:themeShade="BF"/>
    </w:rPr>
  </w:style>
  <w:style w:type="character" w:styleId="IntenseReference">
    <w:name w:val="Intense Reference"/>
    <w:basedOn w:val="DefaultParagraphFont"/>
    <w:uiPriority w:val="32"/>
    <w:qFormat/>
    <w:rsid w:val="00FA6672"/>
    <w:rPr>
      <w:b/>
      <w:bCs/>
      <w:smallCaps/>
      <w:color w:val="0F4761" w:themeColor="accent1" w:themeShade="BF"/>
      <w:spacing w:val="5"/>
    </w:rPr>
  </w:style>
  <w:style w:type="table" w:styleId="TableGrid">
    <w:name w:val="Table Grid"/>
    <w:basedOn w:val="TableNormal"/>
    <w:uiPriority w:val="39"/>
    <w:rsid w:val="00FA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7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526"/>
  </w:style>
  <w:style w:type="paragraph" w:styleId="Footer">
    <w:name w:val="footer"/>
    <w:basedOn w:val="Normal"/>
    <w:link w:val="FooterChar"/>
    <w:uiPriority w:val="99"/>
    <w:unhideWhenUsed/>
    <w:rsid w:val="00E97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526"/>
  </w:style>
  <w:style w:type="paragraph" w:styleId="NoSpacing">
    <w:name w:val="No Spacing"/>
    <w:uiPriority w:val="1"/>
    <w:qFormat/>
    <w:rsid w:val="00A11E15"/>
    <w:pPr>
      <w:spacing w:after="0" w:line="240" w:lineRule="auto"/>
    </w:pPr>
    <w:rPr>
      <w:kern w:val="2"/>
    </w:rPr>
  </w:style>
  <w:style w:type="paragraph" w:styleId="Revision">
    <w:name w:val="Revision"/>
    <w:hidden/>
    <w:uiPriority w:val="99"/>
    <w:semiHidden/>
    <w:rsid w:val="0016095F"/>
    <w:pPr>
      <w:spacing w:after="0" w:line="240" w:lineRule="auto"/>
    </w:pPr>
  </w:style>
  <w:style w:type="character" w:styleId="CommentReference">
    <w:name w:val="annotation reference"/>
    <w:basedOn w:val="DefaultParagraphFont"/>
    <w:uiPriority w:val="99"/>
    <w:semiHidden/>
    <w:unhideWhenUsed/>
    <w:rsid w:val="00391445"/>
    <w:rPr>
      <w:sz w:val="16"/>
      <w:szCs w:val="16"/>
    </w:rPr>
  </w:style>
  <w:style w:type="paragraph" w:styleId="CommentText">
    <w:name w:val="annotation text"/>
    <w:basedOn w:val="Normal"/>
    <w:link w:val="CommentTextChar"/>
    <w:uiPriority w:val="99"/>
    <w:unhideWhenUsed/>
    <w:rsid w:val="00391445"/>
    <w:pPr>
      <w:spacing w:line="240" w:lineRule="auto"/>
    </w:pPr>
    <w:rPr>
      <w:sz w:val="20"/>
      <w:szCs w:val="20"/>
    </w:rPr>
  </w:style>
  <w:style w:type="character" w:customStyle="1" w:styleId="CommentTextChar">
    <w:name w:val="Comment Text Char"/>
    <w:basedOn w:val="DefaultParagraphFont"/>
    <w:link w:val="CommentText"/>
    <w:uiPriority w:val="99"/>
    <w:rsid w:val="00391445"/>
    <w:rPr>
      <w:sz w:val="20"/>
      <w:szCs w:val="20"/>
    </w:rPr>
  </w:style>
  <w:style w:type="paragraph" w:styleId="CommentSubject">
    <w:name w:val="annotation subject"/>
    <w:basedOn w:val="CommentText"/>
    <w:next w:val="CommentText"/>
    <w:link w:val="CommentSubjectChar"/>
    <w:uiPriority w:val="99"/>
    <w:semiHidden/>
    <w:unhideWhenUsed/>
    <w:rsid w:val="00391445"/>
    <w:rPr>
      <w:b/>
      <w:bCs/>
    </w:rPr>
  </w:style>
  <w:style w:type="character" w:customStyle="1" w:styleId="CommentSubjectChar">
    <w:name w:val="Comment Subject Char"/>
    <w:basedOn w:val="CommentTextChar"/>
    <w:link w:val="CommentSubject"/>
    <w:uiPriority w:val="99"/>
    <w:semiHidden/>
    <w:rsid w:val="003914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1693</Words>
  <Characters>10143</Characters>
  <Application>Microsoft Office Word</Application>
  <DocSecurity>4</DocSecurity>
  <Lines>308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Joint Mid Term Review of Tautai- Governance for Economic Growth and Australia’s Budget Support Program - DFAT Management Response</dc:title>
  <dc:subject/>
  <dc:creator>Ariane Stevenson</dc:creator>
  <cp:keywords/>
  <dc:description/>
  <cp:lastModifiedBy>Cameron Owers</cp:lastModifiedBy>
  <cp:revision>2</cp:revision>
  <dcterms:created xsi:type="dcterms:W3CDTF">2026-07-01T03:44:00Z</dcterms:created>
  <dcterms:modified xsi:type="dcterms:W3CDTF">2026-07-01T03:44:00Z</dcterms:modified>
</cp:coreProperties>
</file>