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2F14E" w14:textId="40AF9B02" w:rsidR="002C3216" w:rsidRPr="006475FE" w:rsidRDefault="002C3216" w:rsidP="002C3216">
      <w:pPr>
        <w:pStyle w:val="Title"/>
        <w:rPr>
          <w:color w:val="000000" w:themeColor="text1"/>
          <w:sz w:val="44"/>
          <w:szCs w:val="44"/>
        </w:rPr>
      </w:pPr>
      <w:r w:rsidRPr="006475FE">
        <w:rPr>
          <w:color w:val="000000" w:themeColor="text1"/>
          <w:sz w:val="44"/>
          <w:szCs w:val="44"/>
        </w:rPr>
        <w:t xml:space="preserve">Independent Evaluation of the Impact Private Sector Partnerships </w:t>
      </w:r>
      <w:r w:rsidR="00714464">
        <w:rPr>
          <w:color w:val="000000" w:themeColor="text1"/>
          <w:sz w:val="44"/>
          <w:szCs w:val="44"/>
        </w:rPr>
        <w:t xml:space="preserve">(IPSP) </w:t>
      </w:r>
      <w:r w:rsidRPr="006475FE">
        <w:rPr>
          <w:color w:val="000000" w:themeColor="text1"/>
          <w:sz w:val="44"/>
          <w:szCs w:val="44"/>
        </w:rPr>
        <w:t>Program</w:t>
      </w:r>
    </w:p>
    <w:p w14:paraId="39ACED17" w14:textId="2EAED90B" w:rsidR="00AA4BF9" w:rsidRPr="003F7420" w:rsidRDefault="00AA4BF9" w:rsidP="003F7420">
      <w:pPr>
        <w:pStyle w:val="Heading1"/>
      </w:pPr>
      <w:r w:rsidRPr="003F7420">
        <w:t xml:space="preserve">DFAT Management Response to </w:t>
      </w:r>
      <w:r w:rsidR="005C72DB" w:rsidRPr="003F7420">
        <w:t xml:space="preserve">DFAT-led </w:t>
      </w:r>
      <w:r w:rsidRPr="003F7420">
        <w:t xml:space="preserve">Independent Evaluation – </w:t>
      </w:r>
      <w:r w:rsidR="00622A22" w:rsidRPr="003F7420">
        <w:t>July 2025</w:t>
      </w:r>
    </w:p>
    <w:p w14:paraId="7042DA71" w14:textId="3386CA8D" w:rsidR="00A7108E" w:rsidRPr="006475FE" w:rsidRDefault="00A7108E" w:rsidP="00A7108E">
      <w:pPr>
        <w:rPr>
          <w:rFonts w:cstheme="minorHAnsi"/>
          <w:color w:val="000000" w:themeColor="text1"/>
        </w:rPr>
      </w:pPr>
      <w:r w:rsidRPr="006475FE">
        <w:rPr>
          <w:rFonts w:cstheme="minorHAnsi"/>
          <w:color w:val="000000" w:themeColor="text1"/>
        </w:rPr>
        <w:t xml:space="preserve">The </w:t>
      </w:r>
      <w:r w:rsidR="00734C4A" w:rsidRPr="006475FE">
        <w:rPr>
          <w:rFonts w:cstheme="minorHAnsi"/>
          <w:color w:val="000000" w:themeColor="text1"/>
        </w:rPr>
        <w:t>Impact Private Sector Partnerships (</w:t>
      </w:r>
      <w:r w:rsidRPr="006475FE">
        <w:rPr>
          <w:rFonts w:cstheme="minorHAnsi"/>
          <w:color w:val="000000" w:themeColor="text1"/>
        </w:rPr>
        <w:t>IPSP</w:t>
      </w:r>
      <w:r w:rsidR="00734C4A" w:rsidRPr="006475FE">
        <w:rPr>
          <w:rFonts w:cstheme="minorHAnsi"/>
          <w:color w:val="000000" w:themeColor="text1"/>
        </w:rPr>
        <w:t>)</w:t>
      </w:r>
      <w:r w:rsidRPr="006475FE">
        <w:rPr>
          <w:rFonts w:cstheme="minorHAnsi"/>
          <w:color w:val="000000" w:themeColor="text1"/>
        </w:rPr>
        <w:t xml:space="preserve"> </w:t>
      </w:r>
      <w:r w:rsidR="002507D6" w:rsidRPr="006475FE">
        <w:rPr>
          <w:rFonts w:cstheme="minorHAnsi"/>
          <w:color w:val="000000" w:themeColor="text1"/>
        </w:rPr>
        <w:t xml:space="preserve">Program </w:t>
      </w:r>
      <w:r w:rsidRPr="006475FE">
        <w:rPr>
          <w:rFonts w:cstheme="minorHAnsi"/>
          <w:color w:val="000000" w:themeColor="text1"/>
        </w:rPr>
        <w:t>was established as part of DFAT's broader strategy to enhance private sector engagement in development. Launched in 2020, the program aim</w:t>
      </w:r>
      <w:r w:rsidR="0068043A" w:rsidRPr="006475FE">
        <w:rPr>
          <w:rFonts w:cstheme="minorHAnsi"/>
          <w:color w:val="000000" w:themeColor="text1"/>
        </w:rPr>
        <w:t xml:space="preserve">ed </w:t>
      </w:r>
      <w:r w:rsidRPr="006475FE">
        <w:rPr>
          <w:rFonts w:cstheme="minorHAnsi"/>
          <w:color w:val="000000" w:themeColor="text1"/>
        </w:rPr>
        <w:t>to leverage private sector engagement to address development and climate challenges in the Indo-Pacific.</w:t>
      </w:r>
      <w:r w:rsidR="001452BC">
        <w:rPr>
          <w:rFonts w:cstheme="minorHAnsi"/>
          <w:color w:val="000000" w:themeColor="text1"/>
        </w:rPr>
        <w:t xml:space="preserve"> </w:t>
      </w:r>
      <w:r w:rsidRPr="006475FE">
        <w:rPr>
          <w:rFonts w:cstheme="minorHAnsi"/>
          <w:color w:val="000000" w:themeColor="text1"/>
        </w:rPr>
        <w:t xml:space="preserve">IPSP </w:t>
      </w:r>
      <w:r w:rsidR="001452BC">
        <w:rPr>
          <w:rFonts w:cstheme="minorHAnsi"/>
          <w:color w:val="000000" w:themeColor="text1"/>
        </w:rPr>
        <w:t xml:space="preserve">has </w:t>
      </w:r>
      <w:r w:rsidRPr="006475FE">
        <w:rPr>
          <w:rFonts w:cstheme="minorHAnsi"/>
          <w:color w:val="000000" w:themeColor="text1"/>
        </w:rPr>
        <w:t>enable</w:t>
      </w:r>
      <w:r w:rsidR="001452BC">
        <w:rPr>
          <w:rFonts w:cstheme="minorHAnsi"/>
          <w:color w:val="000000" w:themeColor="text1"/>
        </w:rPr>
        <w:t>d</w:t>
      </w:r>
      <w:r w:rsidRPr="006475FE">
        <w:rPr>
          <w:rFonts w:cstheme="minorHAnsi"/>
          <w:color w:val="000000" w:themeColor="text1"/>
        </w:rPr>
        <w:t xml:space="preserve"> DFAT to engage with the private sector through two mechanisms</w:t>
      </w:r>
    </w:p>
    <w:p w14:paraId="3A270F04" w14:textId="77777777" w:rsidR="0068043A" w:rsidRPr="006475FE" w:rsidRDefault="00A7108E" w:rsidP="0068043A">
      <w:pPr>
        <w:pStyle w:val="ListBullet"/>
        <w:numPr>
          <w:ilvl w:val="0"/>
          <w:numId w:val="3"/>
        </w:numPr>
        <w:rPr>
          <w:rFonts w:asciiTheme="minorHAnsi" w:eastAsiaTheme="minorHAnsi" w:hAnsiTheme="minorHAnsi" w:cstheme="minorHAnsi"/>
          <w:color w:val="000000" w:themeColor="text1"/>
          <w:sz w:val="22"/>
          <w:szCs w:val="22"/>
          <w:lang w:eastAsia="en-US"/>
        </w:rPr>
      </w:pPr>
      <w:r w:rsidRPr="006475FE">
        <w:rPr>
          <w:rFonts w:asciiTheme="minorHAnsi" w:eastAsiaTheme="minorHAnsi" w:hAnsiTheme="minorHAnsi" w:cstheme="minorHAnsi"/>
          <w:color w:val="000000" w:themeColor="text1"/>
          <w:sz w:val="22"/>
          <w:szCs w:val="22"/>
          <w:lang w:eastAsia="en-US"/>
        </w:rPr>
        <w:t>The Business Partnerships Platform (BPP) which enables partnerships between DFAT, business and other partners to bring together their investment, ideas and capabilities to test, trial and scale inclusive business models</w:t>
      </w:r>
      <w:r w:rsidR="0068043A" w:rsidRPr="006475FE">
        <w:rPr>
          <w:rFonts w:asciiTheme="minorHAnsi" w:eastAsiaTheme="minorHAnsi" w:hAnsiTheme="minorHAnsi" w:cstheme="minorHAnsi"/>
          <w:color w:val="000000" w:themeColor="text1"/>
          <w:sz w:val="22"/>
          <w:szCs w:val="22"/>
          <w:lang w:eastAsia="en-US"/>
        </w:rPr>
        <w:t>.</w:t>
      </w:r>
    </w:p>
    <w:p w14:paraId="782477A8" w14:textId="7D032608" w:rsidR="00E67B76" w:rsidRPr="00363E0C" w:rsidRDefault="00A7108E" w:rsidP="00363E0C">
      <w:pPr>
        <w:pStyle w:val="ListBullet"/>
        <w:numPr>
          <w:ilvl w:val="0"/>
          <w:numId w:val="3"/>
        </w:numPr>
        <w:rPr>
          <w:rFonts w:asciiTheme="minorHAnsi" w:eastAsiaTheme="minorHAnsi" w:hAnsiTheme="minorHAnsi" w:cstheme="minorHAnsi"/>
          <w:color w:val="000000" w:themeColor="text1"/>
          <w:sz w:val="22"/>
          <w:szCs w:val="22"/>
          <w:lang w:eastAsia="en-US"/>
        </w:rPr>
      </w:pPr>
      <w:r w:rsidRPr="006475FE">
        <w:rPr>
          <w:rFonts w:asciiTheme="minorHAnsi" w:eastAsiaTheme="minorHAnsi" w:hAnsiTheme="minorHAnsi" w:cstheme="minorHAnsi"/>
          <w:color w:val="000000" w:themeColor="text1"/>
          <w:sz w:val="22"/>
          <w:szCs w:val="22"/>
          <w:lang w:eastAsia="en-US"/>
        </w:rPr>
        <w:t xml:space="preserve">The Business Engagement Support Unit (BESU) which provided short term advisory and training services to DFAT to assist in advancing development and climate outcomes through private sector engagement. </w:t>
      </w:r>
    </w:p>
    <w:p w14:paraId="7D999AF1" w14:textId="38F4EA85" w:rsidR="00E67B76" w:rsidRPr="00E67B76" w:rsidRDefault="00496A59" w:rsidP="00194E11">
      <w:pPr>
        <w:rPr>
          <w:color w:val="000000" w:themeColor="text1"/>
        </w:rPr>
      </w:pPr>
      <w:r w:rsidRPr="00194E11">
        <w:rPr>
          <w:color w:val="000000" w:themeColor="text1"/>
        </w:rPr>
        <w:t>IPSP’s overarching g</w:t>
      </w:r>
      <w:r w:rsidR="00E67B76" w:rsidRPr="00E67B76">
        <w:rPr>
          <w:color w:val="000000" w:themeColor="text1"/>
        </w:rPr>
        <w:t>oal</w:t>
      </w:r>
      <w:r w:rsidRPr="00194E11">
        <w:rPr>
          <w:color w:val="000000" w:themeColor="text1"/>
        </w:rPr>
        <w:t xml:space="preserve"> is that</w:t>
      </w:r>
      <w:r w:rsidR="00E67B76" w:rsidRPr="00E67B76">
        <w:rPr>
          <w:color w:val="000000" w:themeColor="text1"/>
        </w:rPr>
        <w:t>: </w:t>
      </w:r>
      <w:r w:rsidRPr="00194E11">
        <w:rPr>
          <w:color w:val="000000" w:themeColor="text1"/>
        </w:rPr>
        <w:t>“</w:t>
      </w:r>
      <w:r w:rsidR="00E67B76" w:rsidRPr="00E67B76">
        <w:rPr>
          <w:color w:val="000000" w:themeColor="text1"/>
        </w:rPr>
        <w:t>Australia serves as a catalyst to unlock private sector-led</w:t>
      </w:r>
      <w:r w:rsidR="00194E11" w:rsidRPr="00194E11">
        <w:rPr>
          <w:color w:val="000000" w:themeColor="text1"/>
        </w:rPr>
        <w:t xml:space="preserve"> </w:t>
      </w:r>
      <w:r w:rsidR="00E67B76" w:rsidRPr="00E67B76">
        <w:rPr>
          <w:color w:val="000000" w:themeColor="text1"/>
        </w:rPr>
        <w:t>solutions to development and climate challenges (and contribute towards the Sustainable Development Goals) in the Indo Pacific region</w:t>
      </w:r>
      <w:r w:rsidR="00194E11">
        <w:rPr>
          <w:color w:val="000000" w:themeColor="text1"/>
        </w:rPr>
        <w:t xml:space="preserve">”. The </w:t>
      </w:r>
      <w:r w:rsidR="00E67B76" w:rsidRPr="00E67B76">
        <w:rPr>
          <w:color w:val="000000" w:themeColor="text1"/>
        </w:rPr>
        <w:t>End of Program Outcomes (EOPOs)</w:t>
      </w:r>
      <w:r w:rsidR="00194E11">
        <w:rPr>
          <w:color w:val="000000" w:themeColor="text1"/>
        </w:rPr>
        <w:t xml:space="preserve"> are:</w:t>
      </w:r>
    </w:p>
    <w:p w14:paraId="23238375" w14:textId="77777777" w:rsidR="00194E11" w:rsidRDefault="00E67B76" w:rsidP="00194E11">
      <w:pPr>
        <w:pStyle w:val="ListParagraph"/>
        <w:numPr>
          <w:ilvl w:val="0"/>
          <w:numId w:val="7"/>
        </w:numPr>
        <w:rPr>
          <w:color w:val="000000" w:themeColor="text1"/>
        </w:rPr>
      </w:pPr>
      <w:r w:rsidRPr="00194E11">
        <w:rPr>
          <w:color w:val="000000" w:themeColor="text1"/>
        </w:rPr>
        <w:t>EOPO1 - Climate Impact: Businesses and communities adopt sustainable practices and technologies to address climate challenges</w:t>
      </w:r>
    </w:p>
    <w:p w14:paraId="5131E5E7" w14:textId="77777777" w:rsidR="00194E11" w:rsidRDefault="00E67B76" w:rsidP="00194E11">
      <w:pPr>
        <w:pStyle w:val="ListParagraph"/>
        <w:numPr>
          <w:ilvl w:val="0"/>
          <w:numId w:val="7"/>
        </w:numPr>
        <w:rPr>
          <w:color w:val="000000" w:themeColor="text1"/>
        </w:rPr>
      </w:pPr>
      <w:r w:rsidRPr="00194E11">
        <w:rPr>
          <w:color w:val="000000" w:themeColor="text1"/>
        </w:rPr>
        <w:t>EOPO2 - Socio-Economic Impact: Businesses improve social and economic outcomes, including for women and underserved groups.</w:t>
      </w:r>
    </w:p>
    <w:p w14:paraId="1FF6E1F5" w14:textId="3E40A620" w:rsidR="00E67B76" w:rsidRPr="00194E11" w:rsidRDefault="00E67B76" w:rsidP="00194E11">
      <w:pPr>
        <w:pStyle w:val="ListParagraph"/>
        <w:numPr>
          <w:ilvl w:val="0"/>
          <w:numId w:val="7"/>
        </w:numPr>
        <w:rPr>
          <w:color w:val="000000" w:themeColor="text1"/>
        </w:rPr>
      </w:pPr>
      <w:r w:rsidRPr="00194E11">
        <w:rPr>
          <w:color w:val="000000" w:themeColor="text1"/>
        </w:rPr>
        <w:t>EOPO3 - Gender Impact: Private sector-led solutions improve gender equality through products practices or policies.</w:t>
      </w:r>
    </w:p>
    <w:p w14:paraId="685B2630" w14:textId="6D80302B" w:rsidR="00642C79" w:rsidRPr="006475FE" w:rsidRDefault="00642C79" w:rsidP="00642C79">
      <w:pPr>
        <w:rPr>
          <w:color w:val="000000" w:themeColor="text1"/>
        </w:rPr>
      </w:pPr>
      <w:r w:rsidRPr="006475FE">
        <w:rPr>
          <w:color w:val="000000" w:themeColor="text1"/>
        </w:rPr>
        <w:t xml:space="preserve">The evaluation's primary objective was to assess IPSP's realisation of its EOPOs and the factors that have contributed to its progress. Secondary to that, the evaluation was intended to identify any lessons learned to better inform decision-making around the scope, governance, objectives, and modalities for any Posts or Regional Programs considering similar investments in the future. This is noted especially in the context that IPSP is now in its final year of </w:t>
      </w:r>
      <w:r w:rsidR="0062039D" w:rsidRPr="006475FE">
        <w:rPr>
          <w:color w:val="000000" w:themeColor="text1"/>
        </w:rPr>
        <w:t>implementation,</w:t>
      </w:r>
      <w:r w:rsidR="0062039D">
        <w:rPr>
          <w:color w:val="000000" w:themeColor="text1"/>
        </w:rPr>
        <w:t xml:space="preserve"> </w:t>
      </w:r>
      <w:r w:rsidR="0062039D" w:rsidRPr="0062039D">
        <w:rPr>
          <w:color w:val="000000" w:themeColor="text1"/>
        </w:rPr>
        <w:t>and a</w:t>
      </w:r>
      <w:r w:rsidR="0062039D" w:rsidRPr="0062039D">
        <w:rPr>
          <w:rFonts w:cstheme="minorHAnsi"/>
          <w:color w:val="000000" w:themeColor="text1"/>
        </w:rPr>
        <w:t xml:space="preserve"> specific follow-on phase/program is not currently planned.</w:t>
      </w:r>
      <w:r w:rsidR="0062039D">
        <w:rPr>
          <w:color w:val="000000" w:themeColor="text1"/>
        </w:rPr>
        <w:t xml:space="preserve"> </w:t>
      </w:r>
      <w:r w:rsidR="00872D78" w:rsidRPr="0062039D">
        <w:rPr>
          <w:color w:val="000000" w:themeColor="text1"/>
        </w:rPr>
        <w:t>The</w:t>
      </w:r>
      <w:r w:rsidR="00872D78" w:rsidRPr="006475FE">
        <w:rPr>
          <w:color w:val="000000" w:themeColor="text1"/>
        </w:rPr>
        <w:t xml:space="preserve"> evaluation’s recommendations to DFAT therefore reflect this context</w:t>
      </w:r>
      <w:r w:rsidR="00872D78">
        <w:rPr>
          <w:color w:val="000000" w:themeColor="text1"/>
        </w:rPr>
        <w:t xml:space="preserve">. </w:t>
      </w:r>
    </w:p>
    <w:p w14:paraId="0923D14B" w14:textId="64F44088" w:rsidR="00A7108E" w:rsidRPr="006475FE" w:rsidRDefault="00A7108E" w:rsidP="00A7108E">
      <w:pPr>
        <w:rPr>
          <w:rFonts w:cstheme="minorHAnsi"/>
          <w:color w:val="000000" w:themeColor="text1"/>
        </w:rPr>
      </w:pPr>
      <w:r w:rsidRPr="006475FE">
        <w:rPr>
          <w:rFonts w:cstheme="minorHAnsi"/>
          <w:color w:val="000000" w:themeColor="text1"/>
        </w:rPr>
        <w:t xml:space="preserve">The evaluation examined the program’s work across three funding rounds: the COVID-19 Recovery and Vietnam Green Recovery round, the Vietnam Carbon Markets round and the Climate Adaptation for the Mekong Delta round. Of the 29 partnership projects delivered through these three rounds, 13 were implemented in Vietnam, while the COVID-19 Recovery partnerships were also implemented in Bangladesh, Fiji, Nepal, the Philippines, Samoa, Sri Lanka and Timor-Leste. </w:t>
      </w:r>
    </w:p>
    <w:p w14:paraId="791EDCDD" w14:textId="72CA4A09" w:rsidR="00736736" w:rsidRPr="00CB1859" w:rsidRDefault="00F74227" w:rsidP="0094186A">
      <w:pPr>
        <w:pStyle w:val="Sub-heading3"/>
        <w:rPr>
          <w:rFonts w:asciiTheme="minorHAnsi" w:eastAsiaTheme="minorHAnsi" w:hAnsiTheme="minorHAnsi" w:cstheme="minorHAnsi"/>
          <w:b w:val="0"/>
          <w:iCs w:val="0"/>
          <w:color w:val="000000" w:themeColor="text1"/>
          <w:szCs w:val="22"/>
        </w:rPr>
      </w:pPr>
      <w:r w:rsidRPr="006475FE">
        <w:rPr>
          <w:rFonts w:asciiTheme="minorHAnsi" w:eastAsiaTheme="minorHAnsi" w:hAnsiTheme="minorHAnsi" w:cstheme="minorHAnsi"/>
          <w:b w:val="0"/>
          <w:iCs w:val="0"/>
          <w:color w:val="000000" w:themeColor="text1"/>
          <w:szCs w:val="22"/>
        </w:rPr>
        <w:lastRenderedPageBreak/>
        <w:t xml:space="preserve">In </w:t>
      </w:r>
      <w:r w:rsidRPr="00CB1859">
        <w:rPr>
          <w:rFonts w:asciiTheme="minorHAnsi" w:eastAsiaTheme="minorHAnsi" w:hAnsiTheme="minorHAnsi" w:cstheme="minorHAnsi"/>
          <w:b w:val="0"/>
          <w:iCs w:val="0"/>
          <w:color w:val="000000" w:themeColor="text1"/>
          <w:szCs w:val="22"/>
        </w:rPr>
        <w:t>summary, t</w:t>
      </w:r>
      <w:r w:rsidR="0094186A" w:rsidRPr="00CB1859">
        <w:rPr>
          <w:rFonts w:asciiTheme="minorHAnsi" w:eastAsiaTheme="minorHAnsi" w:hAnsiTheme="minorHAnsi" w:cstheme="minorHAnsi"/>
          <w:b w:val="0"/>
          <w:iCs w:val="0"/>
          <w:color w:val="000000" w:themeColor="text1"/>
          <w:szCs w:val="22"/>
        </w:rPr>
        <w:t xml:space="preserve">he evaluation found that IPSP’s flexible model </w:t>
      </w:r>
      <w:r w:rsidRPr="00CB1859">
        <w:rPr>
          <w:rFonts w:asciiTheme="minorHAnsi" w:eastAsiaTheme="minorHAnsi" w:hAnsiTheme="minorHAnsi" w:cstheme="minorHAnsi"/>
          <w:b w:val="0"/>
          <w:iCs w:val="0"/>
          <w:color w:val="000000" w:themeColor="text1"/>
          <w:szCs w:val="22"/>
        </w:rPr>
        <w:t xml:space="preserve">has been </w:t>
      </w:r>
      <w:r w:rsidR="0094186A" w:rsidRPr="00CB1859">
        <w:rPr>
          <w:rFonts w:asciiTheme="minorHAnsi" w:eastAsiaTheme="minorHAnsi" w:hAnsiTheme="minorHAnsi" w:cstheme="minorHAnsi"/>
          <w:b w:val="0"/>
          <w:iCs w:val="0"/>
          <w:color w:val="000000" w:themeColor="text1"/>
          <w:szCs w:val="22"/>
        </w:rPr>
        <w:t>valuable to DFAT’s overseas Posts</w:t>
      </w:r>
      <w:r w:rsidRPr="00CB1859">
        <w:rPr>
          <w:rFonts w:asciiTheme="minorHAnsi" w:eastAsiaTheme="minorHAnsi" w:hAnsiTheme="minorHAnsi" w:cstheme="minorHAnsi"/>
          <w:b w:val="0"/>
          <w:iCs w:val="0"/>
          <w:color w:val="000000" w:themeColor="text1"/>
          <w:szCs w:val="22"/>
        </w:rPr>
        <w:t xml:space="preserve"> and that </w:t>
      </w:r>
      <w:r w:rsidR="0094186A" w:rsidRPr="00CB1859">
        <w:rPr>
          <w:rFonts w:asciiTheme="minorHAnsi" w:eastAsiaTheme="minorHAnsi" w:hAnsiTheme="minorHAnsi" w:cstheme="minorHAnsi"/>
          <w:b w:val="0"/>
          <w:iCs w:val="0"/>
          <w:color w:val="000000" w:themeColor="text1"/>
          <w:szCs w:val="22"/>
        </w:rPr>
        <w:t>IPSP has achieved both climate and economic impacts, with some benefits for women</w:t>
      </w:r>
      <w:r w:rsidR="008B7189" w:rsidRPr="00CB1859">
        <w:rPr>
          <w:rFonts w:asciiTheme="minorHAnsi" w:eastAsiaTheme="minorHAnsi" w:hAnsiTheme="minorHAnsi" w:cstheme="minorHAnsi"/>
          <w:b w:val="0"/>
          <w:iCs w:val="0"/>
          <w:color w:val="000000" w:themeColor="text1"/>
          <w:szCs w:val="22"/>
        </w:rPr>
        <w:t>.</w:t>
      </w:r>
      <w:r w:rsidR="00E003CA" w:rsidRPr="00CB1859">
        <w:rPr>
          <w:rFonts w:asciiTheme="minorHAnsi" w:eastAsiaTheme="minorHAnsi" w:hAnsiTheme="minorHAnsi" w:cstheme="minorHAnsi"/>
          <w:b w:val="0"/>
          <w:iCs w:val="0"/>
          <w:color w:val="000000" w:themeColor="text1"/>
          <w:szCs w:val="22"/>
        </w:rPr>
        <w:t xml:space="preserve"> </w:t>
      </w:r>
      <w:r w:rsidR="00736736" w:rsidRPr="00CB1859">
        <w:rPr>
          <w:rFonts w:asciiTheme="minorHAnsi" w:eastAsiaTheme="minorHAnsi" w:hAnsiTheme="minorHAnsi" w:cstheme="minorHAnsi"/>
          <w:b w:val="0"/>
          <w:iCs w:val="0"/>
          <w:color w:val="000000" w:themeColor="text1"/>
          <w:szCs w:val="22"/>
        </w:rPr>
        <w:t xml:space="preserve">Many supported partnerships </w:t>
      </w:r>
      <w:proofErr w:type="gramStart"/>
      <w:r w:rsidR="00736736" w:rsidRPr="00CB1859">
        <w:rPr>
          <w:rFonts w:asciiTheme="minorHAnsi" w:eastAsiaTheme="minorHAnsi" w:hAnsiTheme="minorHAnsi" w:cstheme="minorHAnsi"/>
          <w:b w:val="0"/>
          <w:iCs w:val="0"/>
          <w:color w:val="000000" w:themeColor="text1"/>
          <w:szCs w:val="22"/>
        </w:rPr>
        <w:t>are able to</w:t>
      </w:r>
      <w:proofErr w:type="gramEnd"/>
      <w:r w:rsidR="00736736" w:rsidRPr="00CB1859">
        <w:rPr>
          <w:rFonts w:asciiTheme="minorHAnsi" w:eastAsiaTheme="minorHAnsi" w:hAnsiTheme="minorHAnsi" w:cstheme="minorHAnsi"/>
          <w:b w:val="0"/>
          <w:iCs w:val="0"/>
          <w:color w:val="000000" w:themeColor="text1"/>
          <w:szCs w:val="22"/>
        </w:rPr>
        <w:t>, or are at least willing to, invest in continuing their business models following IPSP support.</w:t>
      </w:r>
      <w:r w:rsidR="00E769F2" w:rsidRPr="00CB1859">
        <w:rPr>
          <w:rFonts w:asciiTheme="minorHAnsi" w:eastAsiaTheme="minorHAnsi" w:hAnsiTheme="minorHAnsi" w:cstheme="minorHAnsi"/>
          <w:b w:val="0"/>
          <w:iCs w:val="0"/>
          <w:color w:val="000000" w:themeColor="text1"/>
          <w:szCs w:val="22"/>
        </w:rPr>
        <w:t xml:space="preserve"> The evaluation </w:t>
      </w:r>
      <w:r w:rsidR="00CD61BB" w:rsidRPr="00CB1859">
        <w:rPr>
          <w:rFonts w:asciiTheme="minorHAnsi" w:eastAsiaTheme="minorHAnsi" w:hAnsiTheme="minorHAnsi" w:cstheme="minorHAnsi"/>
          <w:b w:val="0"/>
          <w:iCs w:val="0"/>
          <w:color w:val="000000" w:themeColor="text1"/>
          <w:szCs w:val="22"/>
        </w:rPr>
        <w:t xml:space="preserve">also </w:t>
      </w:r>
      <w:r w:rsidR="00E769F2" w:rsidRPr="00CB1859">
        <w:rPr>
          <w:rFonts w:asciiTheme="minorHAnsi" w:eastAsiaTheme="minorHAnsi" w:hAnsiTheme="minorHAnsi" w:cstheme="minorHAnsi"/>
          <w:b w:val="0"/>
          <w:iCs w:val="0"/>
          <w:color w:val="000000" w:themeColor="text1"/>
          <w:szCs w:val="22"/>
        </w:rPr>
        <w:t>found</w:t>
      </w:r>
      <w:r w:rsidR="00CD61BB" w:rsidRPr="00CB1859">
        <w:rPr>
          <w:rFonts w:asciiTheme="minorHAnsi" w:eastAsiaTheme="minorHAnsi" w:hAnsiTheme="minorHAnsi" w:cstheme="minorHAnsi"/>
          <w:b w:val="0"/>
          <w:iCs w:val="0"/>
          <w:color w:val="000000" w:themeColor="text1"/>
          <w:szCs w:val="22"/>
        </w:rPr>
        <w:t xml:space="preserve"> that</w:t>
      </w:r>
      <w:r w:rsidR="00E769F2" w:rsidRPr="00CB1859">
        <w:rPr>
          <w:rFonts w:asciiTheme="minorHAnsi" w:eastAsiaTheme="minorHAnsi" w:hAnsiTheme="minorHAnsi" w:cstheme="minorHAnsi"/>
          <w:b w:val="0"/>
          <w:iCs w:val="0"/>
          <w:color w:val="000000" w:themeColor="text1"/>
          <w:szCs w:val="22"/>
        </w:rPr>
        <w:t xml:space="preserve"> IPSP’s partnerships ha</w:t>
      </w:r>
      <w:r w:rsidR="00CD61BB" w:rsidRPr="00CB1859">
        <w:rPr>
          <w:rFonts w:asciiTheme="minorHAnsi" w:eastAsiaTheme="minorHAnsi" w:hAnsiTheme="minorHAnsi" w:cstheme="minorHAnsi"/>
          <w:b w:val="0"/>
          <w:iCs w:val="0"/>
          <w:color w:val="000000" w:themeColor="text1"/>
          <w:szCs w:val="22"/>
        </w:rPr>
        <w:t>d</w:t>
      </w:r>
      <w:r w:rsidR="00E769F2" w:rsidRPr="00CB1859">
        <w:rPr>
          <w:rFonts w:asciiTheme="minorHAnsi" w:eastAsiaTheme="minorHAnsi" w:hAnsiTheme="minorHAnsi" w:cstheme="minorHAnsi"/>
          <w:b w:val="0"/>
          <w:iCs w:val="0"/>
          <w:color w:val="000000" w:themeColor="text1"/>
          <w:szCs w:val="22"/>
        </w:rPr>
        <w:t xml:space="preserve"> delivered a wealth of experience and lessons learned that are useful for DFAT</w:t>
      </w:r>
      <w:r w:rsidR="00E84532" w:rsidRPr="00CB1859">
        <w:rPr>
          <w:rFonts w:asciiTheme="minorHAnsi" w:eastAsiaTheme="minorHAnsi" w:hAnsiTheme="minorHAnsi" w:cstheme="minorHAnsi"/>
          <w:b w:val="0"/>
          <w:iCs w:val="0"/>
          <w:color w:val="000000" w:themeColor="text1"/>
          <w:szCs w:val="22"/>
        </w:rPr>
        <w:t>, particularly in</w:t>
      </w:r>
      <w:r w:rsidR="00E769F2" w:rsidRPr="00CB1859">
        <w:rPr>
          <w:rFonts w:asciiTheme="minorHAnsi" w:eastAsiaTheme="minorHAnsi" w:hAnsiTheme="minorHAnsi" w:cstheme="minorHAnsi"/>
          <w:b w:val="0"/>
          <w:iCs w:val="0"/>
          <w:color w:val="000000" w:themeColor="text1"/>
          <w:szCs w:val="22"/>
        </w:rPr>
        <w:t xml:space="preserve"> novel areas including carbon markets and climate adaptation.</w:t>
      </w:r>
    </w:p>
    <w:p w14:paraId="4CE19BD1" w14:textId="3B29A691" w:rsidR="00A3456E" w:rsidRPr="00CB1859" w:rsidRDefault="00C36A9E" w:rsidP="00C36A9E">
      <w:pPr>
        <w:rPr>
          <w:rFonts w:cstheme="minorHAnsi"/>
          <w:color w:val="000000" w:themeColor="text1"/>
        </w:rPr>
      </w:pPr>
      <w:r w:rsidRPr="00CB1859">
        <w:rPr>
          <w:rFonts w:cstheme="minorHAnsi"/>
          <w:color w:val="000000" w:themeColor="text1"/>
        </w:rPr>
        <w:t xml:space="preserve">The evaluation </w:t>
      </w:r>
      <w:r w:rsidR="00AB54B6" w:rsidRPr="00CB1859">
        <w:rPr>
          <w:rFonts w:cstheme="minorHAnsi"/>
          <w:color w:val="000000" w:themeColor="text1"/>
        </w:rPr>
        <w:t xml:space="preserve">included overarching lessons learned and </w:t>
      </w:r>
      <w:r w:rsidR="007D7195" w:rsidRPr="00CB1859">
        <w:rPr>
          <w:rFonts w:cstheme="minorHAnsi"/>
          <w:color w:val="000000" w:themeColor="text1"/>
        </w:rPr>
        <w:t>offer</w:t>
      </w:r>
      <w:r w:rsidR="005C34FD" w:rsidRPr="00CB1859">
        <w:rPr>
          <w:rFonts w:cstheme="minorHAnsi"/>
          <w:color w:val="000000" w:themeColor="text1"/>
        </w:rPr>
        <w:t>ed</w:t>
      </w:r>
      <w:r w:rsidR="007D7195" w:rsidRPr="00CB1859">
        <w:rPr>
          <w:rFonts w:cstheme="minorHAnsi"/>
          <w:color w:val="000000" w:themeColor="text1"/>
        </w:rPr>
        <w:t xml:space="preserve"> c</w:t>
      </w:r>
      <w:r w:rsidRPr="00CB1859">
        <w:rPr>
          <w:rFonts w:cstheme="minorHAnsi"/>
          <w:color w:val="000000" w:themeColor="text1"/>
        </w:rPr>
        <w:t xml:space="preserve">onsiderations for </w:t>
      </w:r>
      <w:r w:rsidR="00743F98" w:rsidRPr="00CB1859">
        <w:rPr>
          <w:rFonts w:cstheme="minorHAnsi"/>
          <w:color w:val="000000" w:themeColor="text1"/>
        </w:rPr>
        <w:t>DFAT</w:t>
      </w:r>
      <w:r w:rsidR="00E54ECE" w:rsidRPr="00CB1859">
        <w:rPr>
          <w:rFonts w:cstheme="minorHAnsi"/>
          <w:color w:val="000000" w:themeColor="text1"/>
        </w:rPr>
        <w:t>,</w:t>
      </w:r>
      <w:r w:rsidR="00743F98" w:rsidRPr="00CB1859">
        <w:rPr>
          <w:rFonts w:cstheme="minorHAnsi"/>
          <w:color w:val="000000" w:themeColor="text1"/>
        </w:rPr>
        <w:t xml:space="preserve"> should it wish to replicate </w:t>
      </w:r>
      <w:r w:rsidR="0051245E" w:rsidRPr="00CB1859">
        <w:rPr>
          <w:rFonts w:cstheme="minorHAnsi"/>
          <w:color w:val="000000" w:themeColor="text1"/>
        </w:rPr>
        <w:t xml:space="preserve">IPSP </w:t>
      </w:r>
      <w:r w:rsidR="00A3456E" w:rsidRPr="00CB1859">
        <w:rPr>
          <w:rFonts w:cstheme="minorHAnsi"/>
          <w:color w:val="000000" w:themeColor="text1"/>
        </w:rPr>
        <w:t>i</w:t>
      </w:r>
      <w:r w:rsidR="0051245E" w:rsidRPr="00CB1859">
        <w:rPr>
          <w:rFonts w:cstheme="minorHAnsi"/>
          <w:color w:val="000000" w:themeColor="text1"/>
        </w:rPr>
        <w:t>n some way.</w:t>
      </w:r>
      <w:r w:rsidR="008726A0" w:rsidRPr="00CB1859">
        <w:rPr>
          <w:rFonts w:cstheme="minorHAnsi"/>
          <w:color w:val="000000" w:themeColor="text1"/>
        </w:rPr>
        <w:t xml:space="preserve"> Such considerations </w:t>
      </w:r>
      <w:r w:rsidR="0027225C" w:rsidRPr="00CB1859">
        <w:rPr>
          <w:rFonts w:cstheme="minorHAnsi"/>
          <w:color w:val="000000" w:themeColor="text1"/>
        </w:rPr>
        <w:t>covered</w:t>
      </w:r>
      <w:r w:rsidR="00A3456E" w:rsidRPr="00CB1859">
        <w:rPr>
          <w:rFonts w:cstheme="minorHAnsi"/>
          <w:color w:val="000000" w:themeColor="text1"/>
        </w:rPr>
        <w:t>:</w:t>
      </w:r>
    </w:p>
    <w:p w14:paraId="5030777A" w14:textId="66997A77" w:rsidR="0027225C" w:rsidRPr="00CB1859" w:rsidRDefault="00C36A9E" w:rsidP="00C36A9E">
      <w:pPr>
        <w:pStyle w:val="ListParagraph"/>
        <w:numPr>
          <w:ilvl w:val="0"/>
          <w:numId w:val="4"/>
        </w:numPr>
        <w:rPr>
          <w:rFonts w:cstheme="minorHAnsi"/>
          <w:color w:val="000000" w:themeColor="text1"/>
        </w:rPr>
      </w:pPr>
      <w:r w:rsidRPr="00CB1859">
        <w:rPr>
          <w:rFonts w:cstheme="minorHAnsi"/>
          <w:color w:val="000000" w:themeColor="text1"/>
        </w:rPr>
        <w:t>Scale relative to Post management capability and depth of the local private sector</w:t>
      </w:r>
    </w:p>
    <w:p w14:paraId="3F846B65" w14:textId="6E3FAFD5" w:rsidR="0027225C" w:rsidRPr="00CB1859" w:rsidRDefault="00C36A9E" w:rsidP="00C36A9E">
      <w:pPr>
        <w:pStyle w:val="ListParagraph"/>
        <w:numPr>
          <w:ilvl w:val="0"/>
          <w:numId w:val="4"/>
        </w:numPr>
        <w:rPr>
          <w:rFonts w:cstheme="minorHAnsi"/>
          <w:color w:val="000000" w:themeColor="text1"/>
        </w:rPr>
      </w:pPr>
      <w:r w:rsidRPr="00CB1859">
        <w:rPr>
          <w:rFonts w:cstheme="minorHAnsi"/>
          <w:color w:val="000000" w:themeColor="text1"/>
        </w:rPr>
        <w:t>Post</w:t>
      </w:r>
      <w:r w:rsidR="00714464" w:rsidRPr="00CB1859">
        <w:rPr>
          <w:rFonts w:cstheme="minorHAnsi"/>
          <w:color w:val="000000" w:themeColor="text1"/>
        </w:rPr>
        <w:t>’</w:t>
      </w:r>
      <w:r w:rsidRPr="00CB1859">
        <w:rPr>
          <w:rFonts w:cstheme="minorHAnsi"/>
          <w:color w:val="000000" w:themeColor="text1"/>
        </w:rPr>
        <w:t>s appetite for ris</w:t>
      </w:r>
      <w:r w:rsidR="0027225C" w:rsidRPr="00CB1859">
        <w:rPr>
          <w:rFonts w:cstheme="minorHAnsi"/>
          <w:color w:val="000000" w:themeColor="text1"/>
        </w:rPr>
        <w:t>k</w:t>
      </w:r>
    </w:p>
    <w:p w14:paraId="14CB3A52" w14:textId="528A70E6" w:rsidR="00C36A9E" w:rsidRPr="00CB1859" w:rsidRDefault="0027225C" w:rsidP="00C36A9E">
      <w:pPr>
        <w:pStyle w:val="ListParagraph"/>
        <w:numPr>
          <w:ilvl w:val="0"/>
          <w:numId w:val="4"/>
        </w:numPr>
        <w:rPr>
          <w:rFonts w:cstheme="minorHAnsi"/>
          <w:color w:val="000000" w:themeColor="text1"/>
        </w:rPr>
      </w:pPr>
      <w:r w:rsidRPr="00CB1859">
        <w:rPr>
          <w:rFonts w:cstheme="minorHAnsi"/>
          <w:color w:val="000000" w:themeColor="text1"/>
        </w:rPr>
        <w:t>Being clear on w</w:t>
      </w:r>
      <w:r w:rsidR="00C36A9E" w:rsidRPr="00CB1859">
        <w:rPr>
          <w:rFonts w:cstheme="minorHAnsi"/>
          <w:color w:val="000000" w:themeColor="text1"/>
        </w:rPr>
        <w:t xml:space="preserve">hat purpose is </w:t>
      </w:r>
      <w:r w:rsidR="00C73601" w:rsidRPr="00CB1859">
        <w:rPr>
          <w:rFonts w:cstheme="minorHAnsi"/>
          <w:color w:val="000000" w:themeColor="text1"/>
        </w:rPr>
        <w:t xml:space="preserve">being </w:t>
      </w:r>
      <w:r w:rsidRPr="00CB1859">
        <w:rPr>
          <w:rFonts w:cstheme="minorHAnsi"/>
          <w:color w:val="000000" w:themeColor="text1"/>
        </w:rPr>
        <w:t>pursued</w:t>
      </w:r>
      <w:r w:rsidR="00C36A9E" w:rsidRPr="00CB1859">
        <w:rPr>
          <w:rFonts w:cstheme="minorHAnsi"/>
          <w:color w:val="000000" w:themeColor="text1"/>
        </w:rPr>
        <w:t xml:space="preserve">, and </w:t>
      </w:r>
      <w:r w:rsidR="00A82D6A" w:rsidRPr="00CB1859">
        <w:rPr>
          <w:rFonts w:cstheme="minorHAnsi"/>
          <w:color w:val="000000" w:themeColor="text1"/>
        </w:rPr>
        <w:t xml:space="preserve">whether </w:t>
      </w:r>
      <w:r w:rsidR="00C36A9E" w:rsidRPr="00CB1859">
        <w:rPr>
          <w:rFonts w:cstheme="minorHAnsi"/>
          <w:color w:val="000000" w:themeColor="text1"/>
        </w:rPr>
        <w:t xml:space="preserve">a challenge fund like IPSP </w:t>
      </w:r>
      <w:r w:rsidR="00C73601" w:rsidRPr="00CB1859">
        <w:rPr>
          <w:rFonts w:cstheme="minorHAnsi"/>
          <w:color w:val="000000" w:themeColor="text1"/>
        </w:rPr>
        <w:t xml:space="preserve">is </w:t>
      </w:r>
      <w:r w:rsidR="00C36A9E" w:rsidRPr="00CB1859">
        <w:rPr>
          <w:rFonts w:cstheme="minorHAnsi"/>
          <w:color w:val="000000" w:themeColor="text1"/>
        </w:rPr>
        <w:t>the best approach for that purpose</w:t>
      </w:r>
    </w:p>
    <w:p w14:paraId="1005181C" w14:textId="77777777" w:rsidR="00E769F2" w:rsidRPr="00CB1859" w:rsidRDefault="00753FB5" w:rsidP="00C36A9E">
      <w:pPr>
        <w:pStyle w:val="ListParagraph"/>
        <w:numPr>
          <w:ilvl w:val="0"/>
          <w:numId w:val="4"/>
        </w:numPr>
        <w:rPr>
          <w:rFonts w:cstheme="minorHAnsi"/>
          <w:color w:val="000000" w:themeColor="text1"/>
        </w:rPr>
      </w:pPr>
      <w:r w:rsidRPr="00CB1859">
        <w:rPr>
          <w:rFonts w:cstheme="minorHAnsi"/>
          <w:color w:val="000000" w:themeColor="text1"/>
        </w:rPr>
        <w:t>Ensuring</w:t>
      </w:r>
      <w:r w:rsidR="0065260F" w:rsidRPr="00CB1859">
        <w:rPr>
          <w:rFonts w:cstheme="minorHAnsi"/>
          <w:color w:val="000000" w:themeColor="text1"/>
        </w:rPr>
        <w:t xml:space="preserve"> that </w:t>
      </w:r>
      <w:r w:rsidRPr="00CB1859">
        <w:rPr>
          <w:rFonts w:cstheme="minorHAnsi"/>
          <w:color w:val="000000" w:themeColor="text1"/>
        </w:rPr>
        <w:t>lessons learned a</w:t>
      </w:r>
      <w:r w:rsidR="00AD0AFC" w:rsidRPr="00CB1859">
        <w:rPr>
          <w:rFonts w:cstheme="minorHAnsi"/>
          <w:color w:val="000000" w:themeColor="text1"/>
        </w:rPr>
        <w:t>r</w:t>
      </w:r>
      <w:r w:rsidRPr="00CB1859">
        <w:rPr>
          <w:rFonts w:cstheme="minorHAnsi"/>
          <w:color w:val="000000" w:themeColor="text1"/>
        </w:rPr>
        <w:t xml:space="preserve">e </w:t>
      </w:r>
      <w:r w:rsidR="00AD0AFC" w:rsidRPr="00CB1859">
        <w:rPr>
          <w:rFonts w:cstheme="minorHAnsi"/>
          <w:color w:val="000000" w:themeColor="text1"/>
        </w:rPr>
        <w:t xml:space="preserve">effectively </w:t>
      </w:r>
      <w:r w:rsidRPr="00CB1859">
        <w:rPr>
          <w:rFonts w:cstheme="minorHAnsi"/>
          <w:color w:val="000000" w:themeColor="text1"/>
        </w:rPr>
        <w:t xml:space="preserve">documented and disseminated </w:t>
      </w:r>
      <w:r w:rsidRPr="00CB1859">
        <w:t>to benefit other DFAT programming</w:t>
      </w:r>
    </w:p>
    <w:p w14:paraId="5C623C97" w14:textId="2C96AF77" w:rsidR="00FD359D" w:rsidRDefault="00642C79" w:rsidP="00642C79">
      <w:pPr>
        <w:rPr>
          <w:rFonts w:cstheme="minorHAnsi"/>
          <w:color w:val="000000" w:themeColor="text1"/>
        </w:rPr>
      </w:pPr>
      <w:r w:rsidRPr="006475FE">
        <w:rPr>
          <w:rFonts w:cstheme="minorHAnsi"/>
          <w:b/>
          <w:bCs/>
          <w:color w:val="000000" w:themeColor="text1"/>
        </w:rPr>
        <w:t>DFAT’s response to the Independent Evaluation:</w:t>
      </w:r>
      <w:r w:rsidRPr="006475FE">
        <w:rPr>
          <w:rFonts w:cstheme="minorHAnsi"/>
          <w:color w:val="000000" w:themeColor="text1"/>
        </w:rPr>
        <w:t xml:space="preserve"> DFAT agrees with each of the four </w:t>
      </w:r>
      <w:r w:rsidRPr="00875E39">
        <w:rPr>
          <w:rFonts w:cstheme="minorHAnsi"/>
          <w:color w:val="000000" w:themeColor="text1"/>
        </w:rPr>
        <w:t>evaluation recommendations noting that the project i</w:t>
      </w:r>
      <w:r w:rsidR="0050420B" w:rsidRPr="00875E39">
        <w:rPr>
          <w:rFonts w:cstheme="minorHAnsi"/>
          <w:color w:val="000000" w:themeColor="text1"/>
        </w:rPr>
        <w:t>s in its final year of implementation</w:t>
      </w:r>
      <w:r w:rsidR="00750293" w:rsidRPr="00875E39">
        <w:rPr>
          <w:rFonts w:cstheme="minorHAnsi"/>
          <w:color w:val="000000" w:themeColor="text1"/>
        </w:rPr>
        <w:t xml:space="preserve">. </w:t>
      </w:r>
      <w:r w:rsidR="00E95330" w:rsidRPr="00875E39">
        <w:rPr>
          <w:rFonts w:cstheme="minorHAnsi"/>
          <w:color w:val="000000" w:themeColor="text1"/>
        </w:rPr>
        <w:t>The Blended Finance and Investor Engagement Unit (BFU) will share the</w:t>
      </w:r>
      <w:r w:rsidR="00E95330" w:rsidRPr="006475FE">
        <w:rPr>
          <w:rFonts w:cstheme="minorHAnsi"/>
          <w:color w:val="000000" w:themeColor="text1"/>
        </w:rPr>
        <w:t xml:space="preserve"> evaluation with </w:t>
      </w:r>
      <w:r w:rsidR="00704E0B">
        <w:rPr>
          <w:rFonts w:cstheme="minorHAnsi"/>
          <w:color w:val="000000" w:themeColor="text1"/>
        </w:rPr>
        <w:t xml:space="preserve">relevant </w:t>
      </w:r>
      <w:r w:rsidR="00F00A55" w:rsidRPr="006475FE">
        <w:rPr>
          <w:rFonts w:cstheme="minorHAnsi"/>
          <w:color w:val="000000" w:themeColor="text1"/>
        </w:rPr>
        <w:t>geographical</w:t>
      </w:r>
      <w:r w:rsidR="00E95330" w:rsidRPr="006475FE">
        <w:rPr>
          <w:rFonts w:cstheme="minorHAnsi"/>
          <w:color w:val="000000" w:themeColor="text1"/>
        </w:rPr>
        <w:t xml:space="preserve"> </w:t>
      </w:r>
      <w:r w:rsidR="00F00A55" w:rsidRPr="006475FE">
        <w:rPr>
          <w:rFonts w:cstheme="minorHAnsi"/>
          <w:color w:val="000000" w:themeColor="text1"/>
        </w:rPr>
        <w:t xml:space="preserve">and thematic </w:t>
      </w:r>
      <w:r w:rsidR="00E95330" w:rsidRPr="006475FE">
        <w:rPr>
          <w:rFonts w:cstheme="minorHAnsi"/>
          <w:color w:val="000000" w:themeColor="text1"/>
        </w:rPr>
        <w:t>areas responsible for development programming</w:t>
      </w:r>
      <w:r w:rsidR="00BE1279" w:rsidRPr="006475FE">
        <w:rPr>
          <w:rFonts w:cstheme="minorHAnsi"/>
          <w:color w:val="000000" w:themeColor="text1"/>
        </w:rPr>
        <w:t xml:space="preserve"> and policy engagement</w:t>
      </w:r>
      <w:r w:rsidR="00F00A55" w:rsidRPr="006475FE">
        <w:rPr>
          <w:rFonts w:cstheme="minorHAnsi"/>
          <w:color w:val="000000" w:themeColor="text1"/>
        </w:rPr>
        <w:t>.</w:t>
      </w:r>
    </w:p>
    <w:tbl>
      <w:tblPr>
        <w:tblStyle w:val="TableGrid"/>
        <w:tblW w:w="9356" w:type="dxa"/>
        <w:tblInd w:w="-289" w:type="dxa"/>
        <w:tblLook w:val="04A0" w:firstRow="1" w:lastRow="0" w:firstColumn="1" w:lastColumn="0" w:noHBand="0" w:noVBand="1"/>
      </w:tblPr>
      <w:tblGrid>
        <w:gridCol w:w="4316"/>
        <w:gridCol w:w="1210"/>
        <w:gridCol w:w="3830"/>
      </w:tblGrid>
      <w:tr w:rsidR="00FD359D" w:rsidRPr="006475FE" w14:paraId="7E895038" w14:textId="77777777" w:rsidTr="00FD359D">
        <w:trPr>
          <w:tblHeader/>
        </w:trPr>
        <w:tc>
          <w:tcPr>
            <w:tcW w:w="4316" w:type="dxa"/>
            <w:shd w:val="clear" w:color="auto" w:fill="BFBFBF" w:themeFill="background1" w:themeFillShade="BF"/>
          </w:tcPr>
          <w:p w14:paraId="3CEBEC11" w14:textId="77777777" w:rsidR="00FD359D" w:rsidRPr="006475FE" w:rsidRDefault="00FD359D" w:rsidP="00424DAC">
            <w:pPr>
              <w:pStyle w:val="Default"/>
              <w:jc w:val="both"/>
              <w:rPr>
                <w:rFonts w:asciiTheme="minorHAnsi" w:hAnsiTheme="minorHAnsi" w:cstheme="minorHAnsi"/>
                <w:b/>
                <w:bCs/>
                <w:color w:val="000000" w:themeColor="text1"/>
              </w:rPr>
            </w:pPr>
            <w:r w:rsidRPr="006475FE">
              <w:rPr>
                <w:rFonts w:asciiTheme="minorHAnsi" w:hAnsiTheme="minorHAnsi" w:cstheme="minorHAnsi"/>
                <w:b/>
                <w:bCs/>
                <w:color w:val="000000" w:themeColor="text1"/>
              </w:rPr>
              <w:t>Recommendation</w:t>
            </w:r>
          </w:p>
        </w:tc>
        <w:tc>
          <w:tcPr>
            <w:tcW w:w="1210" w:type="dxa"/>
            <w:shd w:val="clear" w:color="auto" w:fill="BFBFBF" w:themeFill="background1" w:themeFillShade="BF"/>
          </w:tcPr>
          <w:p w14:paraId="41CC25E9" w14:textId="77777777" w:rsidR="00FD359D" w:rsidRPr="006475FE" w:rsidRDefault="00FD359D" w:rsidP="00424DAC">
            <w:pPr>
              <w:pStyle w:val="Default"/>
              <w:jc w:val="both"/>
              <w:rPr>
                <w:rFonts w:asciiTheme="minorHAnsi" w:hAnsiTheme="minorHAnsi" w:cstheme="minorHAnsi"/>
                <w:b/>
                <w:bCs/>
                <w:color w:val="000000" w:themeColor="text1"/>
              </w:rPr>
            </w:pPr>
            <w:r w:rsidRPr="006475FE">
              <w:rPr>
                <w:rFonts w:asciiTheme="minorHAnsi" w:hAnsiTheme="minorHAnsi" w:cstheme="minorHAnsi"/>
                <w:b/>
                <w:bCs/>
                <w:color w:val="000000" w:themeColor="text1"/>
              </w:rPr>
              <w:t>Response</w:t>
            </w:r>
          </w:p>
        </w:tc>
        <w:tc>
          <w:tcPr>
            <w:tcW w:w="3830" w:type="dxa"/>
            <w:shd w:val="clear" w:color="auto" w:fill="BFBFBF" w:themeFill="background1" w:themeFillShade="BF"/>
          </w:tcPr>
          <w:p w14:paraId="4FD73E66" w14:textId="77777777" w:rsidR="00FD359D" w:rsidRPr="006475FE" w:rsidRDefault="00FD359D" w:rsidP="00424DAC">
            <w:pPr>
              <w:pStyle w:val="Default"/>
              <w:jc w:val="both"/>
              <w:rPr>
                <w:rFonts w:asciiTheme="minorHAnsi" w:hAnsiTheme="minorHAnsi" w:cstheme="minorHAnsi"/>
                <w:b/>
                <w:bCs/>
                <w:color w:val="000000" w:themeColor="text1"/>
              </w:rPr>
            </w:pPr>
            <w:r w:rsidRPr="006475FE">
              <w:rPr>
                <w:rFonts w:asciiTheme="minorHAnsi" w:hAnsiTheme="minorHAnsi" w:cstheme="minorHAnsi"/>
                <w:b/>
                <w:bCs/>
                <w:color w:val="000000" w:themeColor="text1"/>
              </w:rPr>
              <w:t>Action Plan</w:t>
            </w:r>
          </w:p>
        </w:tc>
      </w:tr>
      <w:tr w:rsidR="00FD359D" w:rsidRPr="006475FE" w14:paraId="45A6517D" w14:textId="77777777" w:rsidTr="00FD359D">
        <w:tc>
          <w:tcPr>
            <w:tcW w:w="4316" w:type="dxa"/>
          </w:tcPr>
          <w:p w14:paraId="75E72810" w14:textId="27A43209" w:rsidR="00FD359D" w:rsidRPr="006475FE" w:rsidRDefault="00FD359D" w:rsidP="00A43D3E">
            <w:pPr>
              <w:autoSpaceDE w:val="0"/>
              <w:autoSpaceDN w:val="0"/>
              <w:adjustRightInd w:val="0"/>
              <w:rPr>
                <w:rFonts w:cstheme="minorHAnsi"/>
                <w:b/>
                <w:bCs/>
                <w:color w:val="000000" w:themeColor="text1"/>
              </w:rPr>
            </w:pPr>
            <w:r w:rsidRPr="006475FE">
              <w:rPr>
                <w:rFonts w:cstheme="minorHAnsi"/>
                <w:b/>
                <w:bCs/>
                <w:color w:val="000000" w:themeColor="text1"/>
              </w:rPr>
              <w:t xml:space="preserve">Recommendation 1: Resourcing intensity </w:t>
            </w:r>
          </w:p>
          <w:p w14:paraId="07CFF9EC" w14:textId="0CC4D334" w:rsidR="00FD359D" w:rsidRPr="006475FE" w:rsidRDefault="00FD359D" w:rsidP="00A43D3E">
            <w:pPr>
              <w:autoSpaceDE w:val="0"/>
              <w:autoSpaceDN w:val="0"/>
              <w:adjustRightInd w:val="0"/>
              <w:rPr>
                <w:rFonts w:cstheme="minorHAnsi"/>
                <w:color w:val="000000" w:themeColor="text1"/>
              </w:rPr>
            </w:pPr>
            <w:r w:rsidRPr="006475FE">
              <w:rPr>
                <w:rFonts w:cstheme="minorHAnsi"/>
                <w:color w:val="000000" w:themeColor="text1"/>
              </w:rPr>
              <w:t>When considering modality and resourcing for future similar programs, DFAT should keep the capacity of Posts and sizes of the economy in mind.</w:t>
            </w:r>
          </w:p>
        </w:tc>
        <w:tc>
          <w:tcPr>
            <w:tcW w:w="1210" w:type="dxa"/>
            <w:shd w:val="clear" w:color="auto" w:fill="FFFFFF" w:themeFill="background1"/>
          </w:tcPr>
          <w:p w14:paraId="50B3829D" w14:textId="5CB209B7" w:rsidR="00FD359D" w:rsidRPr="006475FE" w:rsidRDefault="00FD359D" w:rsidP="00F24CA9">
            <w:pPr>
              <w:pStyle w:val="Default"/>
              <w:rPr>
                <w:rFonts w:asciiTheme="minorHAnsi" w:hAnsiTheme="minorHAnsi" w:cstheme="minorHAnsi"/>
                <w:b/>
                <w:bCs/>
                <w:color w:val="000000" w:themeColor="text1"/>
              </w:rPr>
            </w:pPr>
            <w:r w:rsidRPr="006475FE">
              <w:rPr>
                <w:rFonts w:asciiTheme="minorHAnsi" w:hAnsiTheme="minorHAnsi" w:cstheme="minorHAnsi"/>
                <w:b/>
                <w:bCs/>
                <w:color w:val="000000" w:themeColor="text1"/>
              </w:rPr>
              <w:t>Agree</w:t>
            </w:r>
          </w:p>
        </w:tc>
        <w:tc>
          <w:tcPr>
            <w:tcW w:w="3830" w:type="dxa"/>
          </w:tcPr>
          <w:p w14:paraId="32BC00EC" w14:textId="3E8BF756" w:rsidR="00FD359D" w:rsidRPr="006475FE" w:rsidRDefault="00FD359D" w:rsidP="00851A30">
            <w:pPr>
              <w:pStyle w:val="Default"/>
              <w:rPr>
                <w:rFonts w:asciiTheme="minorHAnsi" w:hAnsiTheme="minorHAnsi" w:cstheme="minorHAnsi"/>
                <w:color w:val="000000" w:themeColor="text1"/>
              </w:rPr>
            </w:pPr>
            <w:r w:rsidRPr="006475FE">
              <w:rPr>
                <w:rFonts w:asciiTheme="minorHAnsi" w:hAnsiTheme="minorHAnsi" w:cstheme="minorHAnsi"/>
                <w:color w:val="000000" w:themeColor="text1"/>
              </w:rPr>
              <w:t>This is an important point that DFAT factors into programming decisions.</w:t>
            </w:r>
            <w:r>
              <w:rPr>
                <w:rFonts w:asciiTheme="minorHAnsi" w:hAnsiTheme="minorHAnsi" w:cstheme="minorHAnsi"/>
                <w:color w:val="000000" w:themeColor="text1"/>
              </w:rPr>
              <w:t xml:space="preserve"> </w:t>
            </w:r>
            <w:r>
              <w:rPr>
                <w:rFonts w:asciiTheme="minorHAnsi" w:hAnsiTheme="minorHAnsi" w:cstheme="minorHAnsi"/>
              </w:rPr>
              <w:t>DFAT will consider this recommendation in the design of any f</w:t>
            </w:r>
            <w:r w:rsidRPr="00FD5E24">
              <w:rPr>
                <w:rFonts w:asciiTheme="minorHAnsi" w:hAnsiTheme="minorHAnsi" w:cstheme="minorHAnsi"/>
              </w:rPr>
              <w:t xml:space="preserve">uture interventions </w:t>
            </w:r>
            <w:r>
              <w:rPr>
                <w:rFonts w:asciiTheme="minorHAnsi" w:hAnsiTheme="minorHAnsi" w:cstheme="minorHAnsi"/>
              </w:rPr>
              <w:t>of a similar nature</w:t>
            </w:r>
            <w:r w:rsidRPr="00FD5E24">
              <w:rPr>
                <w:rFonts w:asciiTheme="minorHAnsi" w:hAnsiTheme="minorHAnsi" w:cstheme="minorHAnsi"/>
              </w:rPr>
              <w:t>.</w:t>
            </w:r>
            <w:r>
              <w:rPr>
                <w:rFonts w:asciiTheme="minorHAnsi" w:hAnsiTheme="minorHAnsi" w:cstheme="minorHAnsi"/>
              </w:rPr>
              <w:br/>
            </w:r>
          </w:p>
        </w:tc>
      </w:tr>
      <w:tr w:rsidR="00FD359D" w:rsidRPr="006475FE" w14:paraId="29A7AF0D" w14:textId="77777777" w:rsidTr="00FD359D">
        <w:tc>
          <w:tcPr>
            <w:tcW w:w="4316" w:type="dxa"/>
          </w:tcPr>
          <w:p w14:paraId="4BD2518A" w14:textId="77777777" w:rsidR="00FD359D" w:rsidRPr="006475FE" w:rsidRDefault="00FD359D" w:rsidP="00E21167">
            <w:pPr>
              <w:autoSpaceDE w:val="0"/>
              <w:autoSpaceDN w:val="0"/>
              <w:adjustRightInd w:val="0"/>
              <w:rPr>
                <w:rFonts w:cstheme="minorHAnsi"/>
                <w:b/>
                <w:bCs/>
                <w:color w:val="000000" w:themeColor="text1"/>
              </w:rPr>
            </w:pPr>
            <w:r w:rsidRPr="006475FE">
              <w:rPr>
                <w:rFonts w:cstheme="minorHAnsi"/>
                <w:b/>
                <w:bCs/>
                <w:color w:val="000000" w:themeColor="text1"/>
              </w:rPr>
              <w:t>Recommendation 2: Gender equality</w:t>
            </w:r>
          </w:p>
          <w:p w14:paraId="5E8EEDDA" w14:textId="77777777" w:rsidR="00FD359D" w:rsidRPr="006475FE" w:rsidRDefault="00FD359D" w:rsidP="006F0CD7">
            <w:pPr>
              <w:rPr>
                <w:rFonts w:cstheme="minorHAnsi"/>
                <w:color w:val="000000" w:themeColor="text1"/>
              </w:rPr>
            </w:pPr>
            <w:r w:rsidRPr="006475FE">
              <w:rPr>
                <w:rFonts w:cstheme="minorHAnsi"/>
                <w:color w:val="000000" w:themeColor="text1"/>
              </w:rPr>
              <w:t>DFAT should ensure that any future investment using a challenge fund approach would need to:</w:t>
            </w:r>
          </w:p>
          <w:p w14:paraId="7698259C" w14:textId="77777777" w:rsidR="00FD359D" w:rsidRPr="006475FE" w:rsidRDefault="00FD359D" w:rsidP="006F0CD7">
            <w:pPr>
              <w:pStyle w:val="ListBullet"/>
              <w:numPr>
                <w:ilvl w:val="0"/>
                <w:numId w:val="5"/>
              </w:numPr>
              <w:rPr>
                <w:rFonts w:asciiTheme="minorHAnsi" w:eastAsiaTheme="minorHAnsi" w:hAnsiTheme="minorHAnsi" w:cstheme="minorHAnsi"/>
                <w:color w:val="000000" w:themeColor="text1"/>
                <w:sz w:val="22"/>
                <w:szCs w:val="22"/>
                <w:lang w:eastAsia="en-US"/>
              </w:rPr>
            </w:pPr>
            <w:r w:rsidRPr="006475FE">
              <w:rPr>
                <w:rFonts w:asciiTheme="minorHAnsi" w:eastAsiaTheme="minorHAnsi" w:hAnsiTheme="minorHAnsi" w:cstheme="minorHAnsi"/>
                <w:color w:val="000000" w:themeColor="text1"/>
                <w:sz w:val="22"/>
                <w:szCs w:val="22"/>
                <w:lang w:eastAsia="en-US"/>
              </w:rPr>
              <w:t>be very clear about limitations on achieving gender equality and clearly articulate this in outcomes statements and how success is measured; or</w:t>
            </w:r>
          </w:p>
          <w:p w14:paraId="5C5B976D" w14:textId="269328FC" w:rsidR="00FD359D" w:rsidRPr="006475FE" w:rsidRDefault="00FD359D" w:rsidP="006F0CD7">
            <w:pPr>
              <w:pStyle w:val="ListBullet"/>
              <w:numPr>
                <w:ilvl w:val="0"/>
                <w:numId w:val="5"/>
              </w:numPr>
              <w:rPr>
                <w:rFonts w:asciiTheme="minorHAnsi" w:eastAsiaTheme="minorHAnsi" w:hAnsiTheme="minorHAnsi" w:cstheme="minorHAnsi"/>
                <w:color w:val="000000" w:themeColor="text1"/>
                <w:sz w:val="22"/>
                <w:szCs w:val="22"/>
                <w:lang w:eastAsia="en-US"/>
              </w:rPr>
            </w:pPr>
            <w:r w:rsidRPr="006475FE">
              <w:rPr>
                <w:rFonts w:asciiTheme="minorHAnsi" w:eastAsiaTheme="minorHAnsi" w:hAnsiTheme="minorHAnsi" w:cstheme="minorHAnsi"/>
                <w:color w:val="000000" w:themeColor="text1"/>
                <w:sz w:val="22"/>
                <w:szCs w:val="22"/>
                <w:lang w:eastAsia="en-US"/>
              </w:rPr>
              <w:t>be part of a broader intervention that links lessons from partnerships into engagements with institutions and processes that are designed to engage with the underlying determinants of gender inequality.</w:t>
            </w:r>
            <w:r w:rsidRPr="006475FE">
              <w:rPr>
                <w:color w:val="000000" w:themeColor="text1"/>
                <w:sz w:val="18"/>
                <w:szCs w:val="18"/>
              </w:rPr>
              <w:t> </w:t>
            </w:r>
          </w:p>
        </w:tc>
        <w:tc>
          <w:tcPr>
            <w:tcW w:w="1210" w:type="dxa"/>
            <w:shd w:val="clear" w:color="auto" w:fill="FFFFFF" w:themeFill="background1"/>
          </w:tcPr>
          <w:p w14:paraId="40CD21D1" w14:textId="142EE820" w:rsidR="00FD359D" w:rsidRPr="006475FE" w:rsidRDefault="00FD359D" w:rsidP="00F24CA9">
            <w:pPr>
              <w:pStyle w:val="Default"/>
              <w:rPr>
                <w:rFonts w:asciiTheme="minorHAnsi" w:hAnsiTheme="minorHAnsi" w:cstheme="minorHAnsi"/>
                <w:b/>
                <w:bCs/>
                <w:color w:val="000000" w:themeColor="text1"/>
              </w:rPr>
            </w:pPr>
            <w:r w:rsidRPr="006475FE">
              <w:rPr>
                <w:rFonts w:asciiTheme="minorHAnsi" w:hAnsiTheme="minorHAnsi" w:cstheme="minorHAnsi"/>
                <w:b/>
                <w:bCs/>
                <w:color w:val="000000" w:themeColor="text1"/>
              </w:rPr>
              <w:t>Agree</w:t>
            </w:r>
          </w:p>
        </w:tc>
        <w:tc>
          <w:tcPr>
            <w:tcW w:w="3830" w:type="dxa"/>
          </w:tcPr>
          <w:p w14:paraId="10A5AE65" w14:textId="4DC50139" w:rsidR="00FD359D" w:rsidRDefault="00FD359D" w:rsidP="00F24CA9">
            <w:pPr>
              <w:pStyle w:val="Default"/>
              <w:rPr>
                <w:rFonts w:asciiTheme="minorHAnsi" w:hAnsiTheme="minorHAnsi" w:cstheme="minorHAnsi"/>
              </w:rPr>
            </w:pPr>
            <w:r>
              <w:rPr>
                <w:rFonts w:asciiTheme="minorHAnsi" w:hAnsiTheme="minorHAnsi" w:cstheme="minorHAnsi"/>
              </w:rPr>
              <w:t>DFAT will consider this recommendation in the design of any f</w:t>
            </w:r>
            <w:r w:rsidRPr="00FD5E24">
              <w:rPr>
                <w:rFonts w:asciiTheme="minorHAnsi" w:hAnsiTheme="minorHAnsi" w:cstheme="minorHAnsi"/>
              </w:rPr>
              <w:t xml:space="preserve">uture interventions </w:t>
            </w:r>
            <w:r>
              <w:rPr>
                <w:rFonts w:asciiTheme="minorHAnsi" w:hAnsiTheme="minorHAnsi" w:cstheme="minorHAnsi"/>
              </w:rPr>
              <w:t>of a similar nature</w:t>
            </w:r>
            <w:r w:rsidRPr="00FD5E24">
              <w:rPr>
                <w:rFonts w:asciiTheme="minorHAnsi" w:hAnsiTheme="minorHAnsi" w:cstheme="minorHAnsi"/>
              </w:rPr>
              <w:t>.</w:t>
            </w:r>
          </w:p>
          <w:p w14:paraId="5F6366F1" w14:textId="77777777" w:rsidR="00FD359D" w:rsidRDefault="00FD359D" w:rsidP="00F24CA9">
            <w:pPr>
              <w:pStyle w:val="Default"/>
              <w:rPr>
                <w:rFonts w:asciiTheme="minorHAnsi" w:hAnsiTheme="minorHAnsi" w:cstheme="minorHAnsi"/>
              </w:rPr>
            </w:pPr>
          </w:p>
          <w:p w14:paraId="1C7B9F86" w14:textId="1E2E8B18" w:rsidR="00FD359D" w:rsidRDefault="00FD359D" w:rsidP="00F24CA9">
            <w:pPr>
              <w:pStyle w:val="Default"/>
              <w:rPr>
                <w:rFonts w:asciiTheme="minorHAnsi" w:hAnsiTheme="minorHAnsi" w:cstheme="minorHAnsi"/>
              </w:rPr>
            </w:pPr>
            <w:r>
              <w:rPr>
                <w:rFonts w:asciiTheme="minorHAnsi" w:hAnsiTheme="minorHAnsi" w:cstheme="minorHAnsi"/>
              </w:rPr>
              <w:t xml:space="preserve">BFU will share the evaluation with DFAT’s </w:t>
            </w:r>
            <w:r w:rsidRPr="003127A5">
              <w:rPr>
                <w:rFonts w:asciiTheme="minorHAnsi" w:hAnsiTheme="minorHAnsi" w:cstheme="minorHAnsi"/>
              </w:rPr>
              <w:t>Gender Equality Disability and Social Inclusion Branch (GEB)</w:t>
            </w:r>
            <w:r>
              <w:rPr>
                <w:rFonts w:asciiTheme="minorHAnsi" w:hAnsiTheme="minorHAnsi" w:cstheme="minorHAnsi"/>
              </w:rPr>
              <w:t xml:space="preserve"> and the Office of Southeast Asia’s Investing in Women program.  </w:t>
            </w:r>
          </w:p>
          <w:p w14:paraId="1AB31A71" w14:textId="77777777" w:rsidR="00FD359D" w:rsidRDefault="00FD359D" w:rsidP="00F24CA9">
            <w:pPr>
              <w:pStyle w:val="Default"/>
              <w:rPr>
                <w:rFonts w:asciiTheme="minorHAnsi" w:hAnsiTheme="minorHAnsi" w:cstheme="minorHAnsi"/>
              </w:rPr>
            </w:pPr>
          </w:p>
          <w:p w14:paraId="18971403" w14:textId="17333163" w:rsidR="00FD359D" w:rsidRPr="00902019" w:rsidRDefault="00FD359D" w:rsidP="00F24CA9">
            <w:pPr>
              <w:pStyle w:val="Default"/>
              <w:rPr>
                <w:rFonts w:asciiTheme="minorHAnsi" w:hAnsiTheme="minorHAnsi" w:cstheme="minorHAnsi"/>
              </w:rPr>
            </w:pPr>
            <w:r>
              <w:rPr>
                <w:rFonts w:asciiTheme="minorHAnsi" w:hAnsiTheme="minorHAnsi" w:cstheme="minorHAnsi"/>
                <w:color w:val="000000" w:themeColor="text1"/>
              </w:rPr>
              <w:t xml:space="preserve">Systemic / broader change, in addition to enterprise / business level change is a consideration that extends beyond gender equality to all proposed outcomes in programs. Both aspects (systemic/enterprise change) can be covered under one program, but </w:t>
            </w:r>
            <w:r w:rsidR="00E54ECE">
              <w:rPr>
                <w:rFonts w:asciiTheme="minorHAnsi" w:hAnsiTheme="minorHAnsi" w:cstheme="minorHAnsi"/>
                <w:color w:val="000000" w:themeColor="text1"/>
              </w:rPr>
              <w:t>this</w:t>
            </w:r>
            <w:r>
              <w:rPr>
                <w:rFonts w:asciiTheme="minorHAnsi" w:hAnsiTheme="minorHAnsi" w:cstheme="minorHAnsi"/>
                <w:color w:val="000000" w:themeColor="text1"/>
              </w:rPr>
              <w:t xml:space="preserve"> requires strong coordination across DFAT to bridge programs</w:t>
            </w:r>
            <w:r w:rsidR="00E54ECE">
              <w:rPr>
                <w:rFonts w:asciiTheme="minorHAnsi" w:hAnsiTheme="minorHAnsi" w:cstheme="minorHAnsi"/>
                <w:color w:val="000000" w:themeColor="text1"/>
              </w:rPr>
              <w:t>,</w:t>
            </w:r>
            <w:r>
              <w:rPr>
                <w:rFonts w:asciiTheme="minorHAnsi" w:hAnsiTheme="minorHAnsi" w:cstheme="minorHAnsi"/>
                <w:color w:val="000000" w:themeColor="text1"/>
              </w:rPr>
              <w:t xml:space="preserve"> to achieve holistic </w:t>
            </w:r>
            <w:r>
              <w:rPr>
                <w:rFonts w:asciiTheme="minorHAnsi" w:hAnsiTheme="minorHAnsi" w:cstheme="minorHAnsi"/>
                <w:color w:val="000000" w:themeColor="text1"/>
              </w:rPr>
              <w:lastRenderedPageBreak/>
              <w:t xml:space="preserve">outcomes and change.   </w:t>
            </w:r>
            <w:r>
              <w:rPr>
                <w:rFonts w:asciiTheme="minorHAnsi" w:hAnsiTheme="minorHAnsi" w:cstheme="minorHAnsi"/>
                <w:color w:val="000000" w:themeColor="text1"/>
              </w:rPr>
              <w:br/>
            </w:r>
          </w:p>
        </w:tc>
      </w:tr>
      <w:tr w:rsidR="00FD359D" w:rsidRPr="006475FE" w14:paraId="475AA6AB" w14:textId="77777777" w:rsidTr="00FD359D">
        <w:tc>
          <w:tcPr>
            <w:tcW w:w="4316" w:type="dxa"/>
          </w:tcPr>
          <w:p w14:paraId="0FC1ED41" w14:textId="0AF8BFEB" w:rsidR="00FD359D" w:rsidRPr="006475FE" w:rsidRDefault="00FD359D" w:rsidP="00CE1177">
            <w:pPr>
              <w:autoSpaceDE w:val="0"/>
              <w:autoSpaceDN w:val="0"/>
              <w:adjustRightInd w:val="0"/>
              <w:rPr>
                <w:rFonts w:cstheme="minorHAnsi"/>
                <w:b/>
                <w:bCs/>
                <w:color w:val="000000" w:themeColor="text1"/>
              </w:rPr>
            </w:pPr>
            <w:r w:rsidRPr="006475FE">
              <w:rPr>
                <w:rFonts w:cstheme="minorHAnsi"/>
                <w:b/>
                <w:bCs/>
                <w:color w:val="000000" w:themeColor="text1"/>
              </w:rPr>
              <w:lastRenderedPageBreak/>
              <w:t>Recommendation 3: M</w:t>
            </w:r>
            <w:r>
              <w:rPr>
                <w:rFonts w:cstheme="minorHAnsi"/>
                <w:b/>
                <w:bCs/>
                <w:color w:val="000000" w:themeColor="text1"/>
              </w:rPr>
              <w:t>onitoring, Evaluation and Learning (M</w:t>
            </w:r>
            <w:r w:rsidRPr="006475FE">
              <w:rPr>
                <w:rFonts w:cstheme="minorHAnsi"/>
                <w:b/>
                <w:bCs/>
                <w:color w:val="000000" w:themeColor="text1"/>
              </w:rPr>
              <w:t>EL</w:t>
            </w:r>
            <w:r>
              <w:rPr>
                <w:rFonts w:cstheme="minorHAnsi"/>
                <w:b/>
                <w:bCs/>
                <w:color w:val="000000" w:themeColor="text1"/>
              </w:rPr>
              <w:t>)</w:t>
            </w:r>
            <w:r w:rsidRPr="006475FE">
              <w:rPr>
                <w:rFonts w:cstheme="minorHAnsi"/>
                <w:b/>
                <w:bCs/>
                <w:color w:val="000000" w:themeColor="text1"/>
              </w:rPr>
              <w:t xml:space="preserve"> trade-offs</w:t>
            </w:r>
          </w:p>
          <w:p w14:paraId="11F4E5CA" w14:textId="5A495F06" w:rsidR="00FD359D" w:rsidRPr="006475FE" w:rsidRDefault="00FD359D" w:rsidP="00CE1177">
            <w:pPr>
              <w:autoSpaceDE w:val="0"/>
              <w:autoSpaceDN w:val="0"/>
              <w:adjustRightInd w:val="0"/>
              <w:rPr>
                <w:rFonts w:cstheme="minorHAnsi"/>
                <w:b/>
                <w:bCs/>
                <w:color w:val="000000" w:themeColor="text1"/>
              </w:rPr>
            </w:pPr>
            <w:r w:rsidRPr="006475FE">
              <w:rPr>
                <w:rFonts w:cstheme="minorHAnsi"/>
                <w:color w:val="000000" w:themeColor="text1"/>
              </w:rPr>
              <w:t>DFAT must be mindful of the trade-offs between a MEL system that offers flexibility at the cost of comprehensiveness versus a comprehensive MEL that adds a greater burden of data collection.</w:t>
            </w:r>
            <w:r>
              <w:rPr>
                <w:rFonts w:cstheme="minorHAnsi"/>
                <w:color w:val="000000" w:themeColor="text1"/>
              </w:rPr>
              <w:br/>
            </w:r>
          </w:p>
        </w:tc>
        <w:tc>
          <w:tcPr>
            <w:tcW w:w="1210" w:type="dxa"/>
            <w:shd w:val="clear" w:color="auto" w:fill="FFFFFF" w:themeFill="background1"/>
          </w:tcPr>
          <w:p w14:paraId="7B2021B0" w14:textId="6410F903" w:rsidR="00FD359D" w:rsidRPr="006475FE" w:rsidRDefault="00FD359D" w:rsidP="00F24CA9">
            <w:pPr>
              <w:pStyle w:val="Default"/>
              <w:rPr>
                <w:rFonts w:asciiTheme="minorHAnsi" w:hAnsiTheme="minorHAnsi" w:cstheme="minorHAnsi"/>
                <w:b/>
                <w:bCs/>
                <w:color w:val="000000" w:themeColor="text1"/>
              </w:rPr>
            </w:pPr>
            <w:r>
              <w:rPr>
                <w:rFonts w:asciiTheme="minorHAnsi" w:hAnsiTheme="minorHAnsi" w:cstheme="minorHAnsi"/>
                <w:b/>
                <w:bCs/>
                <w:color w:val="000000" w:themeColor="text1"/>
              </w:rPr>
              <w:t>Agree</w:t>
            </w:r>
          </w:p>
        </w:tc>
        <w:tc>
          <w:tcPr>
            <w:tcW w:w="3830" w:type="dxa"/>
          </w:tcPr>
          <w:p w14:paraId="1AB95CB1" w14:textId="1B283D23" w:rsidR="00FD359D" w:rsidRPr="006475FE" w:rsidRDefault="00FD359D" w:rsidP="00F24CA9">
            <w:pPr>
              <w:pStyle w:val="Default"/>
              <w:rPr>
                <w:rFonts w:asciiTheme="minorHAnsi" w:hAnsiTheme="minorHAnsi" w:cstheme="minorHAnsi"/>
                <w:color w:val="000000" w:themeColor="text1"/>
              </w:rPr>
            </w:pPr>
            <w:r>
              <w:rPr>
                <w:rFonts w:asciiTheme="minorHAnsi" w:hAnsiTheme="minorHAnsi" w:cstheme="minorHAnsi"/>
              </w:rPr>
              <w:t>DFAT will consider this recommendation in the design of any f</w:t>
            </w:r>
            <w:r w:rsidRPr="00FD5E24">
              <w:rPr>
                <w:rFonts w:asciiTheme="minorHAnsi" w:hAnsiTheme="minorHAnsi" w:cstheme="minorHAnsi"/>
              </w:rPr>
              <w:t xml:space="preserve">uture interventions </w:t>
            </w:r>
            <w:r>
              <w:rPr>
                <w:rFonts w:asciiTheme="minorHAnsi" w:hAnsiTheme="minorHAnsi" w:cstheme="minorHAnsi"/>
              </w:rPr>
              <w:t xml:space="preserve">of a similar nature. </w:t>
            </w:r>
            <w:r>
              <w:rPr>
                <w:rFonts w:asciiTheme="minorHAnsi" w:hAnsiTheme="minorHAnsi" w:cstheme="minorHAnsi"/>
                <w:color w:val="000000" w:themeColor="text1"/>
              </w:rPr>
              <w:t xml:space="preserve">Such trade-offs should consider the objectives and purpose of individual programs.  </w:t>
            </w:r>
            <w:r>
              <w:rPr>
                <w:rFonts w:asciiTheme="minorHAnsi" w:hAnsiTheme="minorHAnsi" w:cstheme="minorHAnsi"/>
                <w:color w:val="000000" w:themeColor="text1"/>
              </w:rPr>
              <w:br/>
            </w:r>
          </w:p>
        </w:tc>
      </w:tr>
      <w:tr w:rsidR="00FD359D" w:rsidRPr="006475FE" w14:paraId="507A9845" w14:textId="77777777" w:rsidTr="00FD359D">
        <w:tc>
          <w:tcPr>
            <w:tcW w:w="4316" w:type="dxa"/>
          </w:tcPr>
          <w:p w14:paraId="4B24D1FB" w14:textId="77777777" w:rsidR="00FD359D" w:rsidRPr="006475FE" w:rsidRDefault="00FD359D" w:rsidP="0064397A">
            <w:pPr>
              <w:autoSpaceDE w:val="0"/>
              <w:autoSpaceDN w:val="0"/>
              <w:adjustRightInd w:val="0"/>
              <w:rPr>
                <w:rFonts w:cstheme="minorHAnsi"/>
                <w:b/>
                <w:bCs/>
                <w:color w:val="000000" w:themeColor="text1"/>
              </w:rPr>
            </w:pPr>
            <w:r w:rsidRPr="006475FE">
              <w:rPr>
                <w:rFonts w:cstheme="minorHAnsi"/>
                <w:b/>
                <w:bCs/>
                <w:color w:val="000000" w:themeColor="text1"/>
              </w:rPr>
              <w:t>Recommendation 4: Risk appetite and management</w:t>
            </w:r>
          </w:p>
          <w:p w14:paraId="2A2953A1" w14:textId="23EDC39A" w:rsidR="00FD359D" w:rsidRPr="006475FE" w:rsidRDefault="00FD359D" w:rsidP="0064397A">
            <w:pPr>
              <w:autoSpaceDE w:val="0"/>
              <w:autoSpaceDN w:val="0"/>
              <w:adjustRightInd w:val="0"/>
              <w:rPr>
                <w:rFonts w:cstheme="minorHAnsi"/>
                <w:b/>
                <w:bCs/>
                <w:color w:val="000000" w:themeColor="text1"/>
              </w:rPr>
            </w:pPr>
            <w:r w:rsidRPr="006475FE">
              <w:rPr>
                <w:rFonts w:cstheme="minorHAnsi"/>
                <w:color w:val="000000" w:themeColor="text1"/>
              </w:rPr>
              <w:t>If DFAT were to undertake new investment using the IPSP challenge fund model, it would need to be conscious of risks typically associated with such innovative models (inherent risk of potential failure; possible impact to reputation</w:t>
            </w:r>
            <w:r w:rsidR="00427DD8">
              <w:rPr>
                <w:rFonts w:cstheme="minorHAnsi"/>
                <w:color w:val="000000" w:themeColor="text1"/>
              </w:rPr>
              <w:t>,</w:t>
            </w:r>
            <w:r w:rsidRPr="006475FE">
              <w:rPr>
                <w:rFonts w:cstheme="minorHAnsi"/>
                <w:color w:val="000000" w:themeColor="text1"/>
              </w:rPr>
              <w:t xml:space="preserve"> which due diligence processes cannot entirely ameliorate) and build targeted mitigation strategies.</w:t>
            </w:r>
            <w:r w:rsidRPr="006475FE">
              <w:rPr>
                <w:color w:val="000000" w:themeColor="text1"/>
                <w:sz w:val="18"/>
                <w:szCs w:val="18"/>
              </w:rPr>
              <w:t xml:space="preserve">  </w:t>
            </w:r>
          </w:p>
        </w:tc>
        <w:tc>
          <w:tcPr>
            <w:tcW w:w="1210" w:type="dxa"/>
            <w:shd w:val="clear" w:color="auto" w:fill="FFFFFF" w:themeFill="background1"/>
          </w:tcPr>
          <w:p w14:paraId="0E7A2381" w14:textId="3DE32FEB" w:rsidR="00FD359D" w:rsidRPr="006475FE" w:rsidRDefault="00FD359D" w:rsidP="00F24CA9">
            <w:pPr>
              <w:pStyle w:val="Default"/>
              <w:rPr>
                <w:rFonts w:asciiTheme="minorHAnsi" w:hAnsiTheme="minorHAnsi" w:cstheme="minorHAnsi"/>
                <w:b/>
                <w:bCs/>
                <w:color w:val="000000" w:themeColor="text1"/>
              </w:rPr>
            </w:pPr>
            <w:r>
              <w:rPr>
                <w:rFonts w:asciiTheme="minorHAnsi" w:hAnsiTheme="minorHAnsi" w:cstheme="minorHAnsi"/>
                <w:b/>
                <w:bCs/>
                <w:color w:val="000000" w:themeColor="text1"/>
              </w:rPr>
              <w:t>Agree</w:t>
            </w:r>
          </w:p>
        </w:tc>
        <w:tc>
          <w:tcPr>
            <w:tcW w:w="3830" w:type="dxa"/>
          </w:tcPr>
          <w:p w14:paraId="7EB0C16F" w14:textId="622A642F" w:rsidR="00FD359D" w:rsidRPr="006475FE" w:rsidRDefault="00FD359D" w:rsidP="00F24CA9">
            <w:pPr>
              <w:pStyle w:val="Default"/>
              <w:rPr>
                <w:rFonts w:asciiTheme="minorHAnsi" w:hAnsiTheme="minorHAnsi" w:cstheme="minorHAnsi"/>
                <w:color w:val="000000" w:themeColor="text1"/>
              </w:rPr>
            </w:pPr>
            <w:r>
              <w:rPr>
                <w:rFonts w:asciiTheme="minorHAnsi" w:hAnsiTheme="minorHAnsi" w:cstheme="minorHAnsi"/>
              </w:rPr>
              <w:t>DFAT will consider this recommendation in the design of any f</w:t>
            </w:r>
            <w:r w:rsidRPr="00FD5E24">
              <w:rPr>
                <w:rFonts w:asciiTheme="minorHAnsi" w:hAnsiTheme="minorHAnsi" w:cstheme="minorHAnsi"/>
              </w:rPr>
              <w:t xml:space="preserve">uture interventions </w:t>
            </w:r>
            <w:r>
              <w:rPr>
                <w:rFonts w:asciiTheme="minorHAnsi" w:hAnsiTheme="minorHAnsi" w:cstheme="minorHAnsi"/>
              </w:rPr>
              <w:t xml:space="preserve">of a similar nature. </w:t>
            </w:r>
            <w:r>
              <w:rPr>
                <w:rFonts w:asciiTheme="minorHAnsi" w:hAnsiTheme="minorHAnsi" w:cstheme="minorHAnsi"/>
              </w:rPr>
              <w:br/>
            </w:r>
            <w:r>
              <w:rPr>
                <w:rFonts w:asciiTheme="minorHAnsi" w:hAnsiTheme="minorHAnsi" w:cstheme="minorHAnsi"/>
              </w:rPr>
              <w:br/>
            </w:r>
            <w:r>
              <w:rPr>
                <w:rFonts w:asciiTheme="minorHAnsi" w:hAnsiTheme="minorHAnsi" w:cstheme="minorHAnsi"/>
                <w:color w:val="000000" w:themeColor="text1"/>
              </w:rPr>
              <w:t xml:space="preserve">These are relevant lessons generally as development programming increases engagement with the private sector, regardless of whether a challenge fund model is taken. </w:t>
            </w:r>
            <w:r>
              <w:rPr>
                <w:rFonts w:asciiTheme="minorHAnsi" w:hAnsiTheme="minorHAnsi" w:cstheme="minorHAnsi"/>
                <w:color w:val="000000" w:themeColor="text1"/>
              </w:rPr>
              <w:br/>
            </w:r>
          </w:p>
        </w:tc>
      </w:tr>
    </w:tbl>
    <w:p w14:paraId="27DA8CAD" w14:textId="77777777" w:rsidR="00290497" w:rsidRDefault="00290497" w:rsidP="000A5948"/>
    <w:sectPr w:rsidR="0029049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B5F54" w14:textId="77777777" w:rsidR="00E03201" w:rsidRDefault="00E03201" w:rsidP="00AA4BF9">
      <w:pPr>
        <w:spacing w:after="0" w:line="240" w:lineRule="auto"/>
      </w:pPr>
      <w:r>
        <w:separator/>
      </w:r>
    </w:p>
  </w:endnote>
  <w:endnote w:type="continuationSeparator" w:id="0">
    <w:p w14:paraId="1E86F5BA" w14:textId="77777777" w:rsidR="00E03201" w:rsidRDefault="00E03201" w:rsidP="00AA4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382609"/>
      <w:docPartObj>
        <w:docPartGallery w:val="Page Numbers (Bottom of Page)"/>
        <w:docPartUnique/>
      </w:docPartObj>
    </w:sdtPr>
    <w:sdtEndPr>
      <w:rPr>
        <w:color w:val="7F7F7F" w:themeColor="background1" w:themeShade="7F"/>
        <w:spacing w:val="60"/>
      </w:rPr>
    </w:sdtEndPr>
    <w:sdtContent>
      <w:p w14:paraId="747B15EA" w14:textId="5CBF379F" w:rsidR="00C5756C" w:rsidRDefault="00C5756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BC4AEAC" w14:textId="77777777" w:rsidR="00C5756C" w:rsidRDefault="00C57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80548" w14:textId="77777777" w:rsidR="00E03201" w:rsidRDefault="00E03201" w:rsidP="00AA4BF9">
      <w:pPr>
        <w:spacing w:after="0" w:line="240" w:lineRule="auto"/>
      </w:pPr>
      <w:r>
        <w:separator/>
      </w:r>
    </w:p>
  </w:footnote>
  <w:footnote w:type="continuationSeparator" w:id="0">
    <w:p w14:paraId="7390FD94" w14:textId="77777777" w:rsidR="00E03201" w:rsidRDefault="00E03201" w:rsidP="00AA4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805"/>
    <w:multiLevelType w:val="hybridMultilevel"/>
    <w:tmpl w:val="348C6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BB4610"/>
    <w:multiLevelType w:val="hybridMultilevel"/>
    <w:tmpl w:val="01E288B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C1326F"/>
    <w:multiLevelType w:val="hybridMultilevel"/>
    <w:tmpl w:val="182EE1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20B5736"/>
    <w:multiLevelType w:val="hybridMultilevel"/>
    <w:tmpl w:val="E6447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7144F6D"/>
    <w:multiLevelType w:val="hybridMultilevel"/>
    <w:tmpl w:val="8BC21F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DE12C95"/>
    <w:multiLevelType w:val="multilevel"/>
    <w:tmpl w:val="22822830"/>
    <w:lvl w:ilvl="0">
      <w:start w:val="1"/>
      <w:numFmt w:val="bullet"/>
      <w:pStyle w:val="ListBullet"/>
      <w:lvlText w:val=""/>
      <w:lvlJc w:val="left"/>
      <w:pPr>
        <w:ind w:left="357" w:hanging="357"/>
      </w:pPr>
      <w:rPr>
        <w:rFonts w:ascii="Symbol" w:hAnsi="Symbol" w:hint="default"/>
        <w:color w:val="E8E8E8" w:themeColor="background2"/>
      </w:rPr>
    </w:lvl>
    <w:lvl w:ilvl="1">
      <w:start w:val="1"/>
      <w:numFmt w:val="bullet"/>
      <w:pStyle w:val="ListBullet2"/>
      <w:lvlText w:val=""/>
      <w:lvlJc w:val="left"/>
      <w:pPr>
        <w:ind w:left="6736" w:hanging="357"/>
      </w:pPr>
      <w:rPr>
        <w:rFonts w:ascii="Symbol" w:hAnsi="Symbol" w:hint="default"/>
        <w:color w:val="E8E8E8" w:themeColor="background2"/>
        <w:sz w:val="20"/>
      </w:rPr>
    </w:lvl>
    <w:lvl w:ilvl="2">
      <w:start w:val="1"/>
      <w:numFmt w:val="bullet"/>
      <w:pStyle w:val="ListBullet3"/>
      <w:lvlText w:val=""/>
      <w:lvlJc w:val="left"/>
      <w:pPr>
        <w:ind w:left="1072" w:hanging="358"/>
      </w:pPr>
      <w:rPr>
        <w:rFonts w:ascii="Wingdings" w:hAnsi="Wingdings" w:hint="default"/>
        <w:color w:val="E8E8E8" w:themeColor="background2"/>
        <w:sz w:val="12"/>
      </w:rPr>
    </w:lvl>
    <w:lvl w:ilvl="3">
      <w:start w:val="1"/>
      <w:numFmt w:val="bullet"/>
      <w:pStyle w:val="ListBullet4"/>
      <w:lvlText w:val="»"/>
      <w:lvlJc w:val="left"/>
      <w:pPr>
        <w:ind w:left="1429" w:hanging="357"/>
      </w:pPr>
      <w:rPr>
        <w:rFonts w:ascii="Arial" w:hAnsi="Arial" w:hint="default"/>
        <w:color w:val="E8E8E8" w:themeColor="background2"/>
        <w:sz w:val="12"/>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num w:numId="1" w16cid:durableId="1382830911">
    <w:abstractNumId w:val="1"/>
  </w:num>
  <w:num w:numId="2" w16cid:durableId="28146106">
    <w:abstractNumId w:val="5"/>
  </w:num>
  <w:num w:numId="3" w16cid:durableId="77097262">
    <w:abstractNumId w:val="4"/>
  </w:num>
  <w:num w:numId="4" w16cid:durableId="1284118111">
    <w:abstractNumId w:val="0"/>
  </w:num>
  <w:num w:numId="5" w16cid:durableId="1193693841">
    <w:abstractNumId w:val="3"/>
  </w:num>
  <w:num w:numId="6" w16cid:durableId="1589461119">
    <w:abstractNumId w:val="5"/>
  </w:num>
  <w:num w:numId="7" w16cid:durableId="1590388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65F"/>
    <w:rsid w:val="00032874"/>
    <w:rsid w:val="00067254"/>
    <w:rsid w:val="000A5948"/>
    <w:rsid w:val="001242C5"/>
    <w:rsid w:val="00126FB7"/>
    <w:rsid w:val="00140933"/>
    <w:rsid w:val="0014362F"/>
    <w:rsid w:val="001452BC"/>
    <w:rsid w:val="00151195"/>
    <w:rsid w:val="00194E11"/>
    <w:rsid w:val="001A0012"/>
    <w:rsid w:val="001B3DB8"/>
    <w:rsid w:val="001C521E"/>
    <w:rsid w:val="00200947"/>
    <w:rsid w:val="00211410"/>
    <w:rsid w:val="002507D6"/>
    <w:rsid w:val="0027225C"/>
    <w:rsid w:val="00273BC1"/>
    <w:rsid w:val="00290497"/>
    <w:rsid w:val="002C00C4"/>
    <w:rsid w:val="002C1DF0"/>
    <w:rsid w:val="002C3216"/>
    <w:rsid w:val="002C6BCF"/>
    <w:rsid w:val="002D2CA7"/>
    <w:rsid w:val="0030485F"/>
    <w:rsid w:val="003127A5"/>
    <w:rsid w:val="00314C3C"/>
    <w:rsid w:val="00324D5A"/>
    <w:rsid w:val="003432E9"/>
    <w:rsid w:val="00363E0C"/>
    <w:rsid w:val="003646BB"/>
    <w:rsid w:val="00365B33"/>
    <w:rsid w:val="003749B8"/>
    <w:rsid w:val="003839CE"/>
    <w:rsid w:val="00396B3A"/>
    <w:rsid w:val="003A70EA"/>
    <w:rsid w:val="003B2157"/>
    <w:rsid w:val="003B2AC8"/>
    <w:rsid w:val="003C586F"/>
    <w:rsid w:val="003D2A0F"/>
    <w:rsid w:val="003D6671"/>
    <w:rsid w:val="003F7420"/>
    <w:rsid w:val="00400A84"/>
    <w:rsid w:val="00426287"/>
    <w:rsid w:val="00427DD8"/>
    <w:rsid w:val="00461539"/>
    <w:rsid w:val="00475FDA"/>
    <w:rsid w:val="00496A59"/>
    <w:rsid w:val="004B6BCE"/>
    <w:rsid w:val="004C7750"/>
    <w:rsid w:val="004F0D2D"/>
    <w:rsid w:val="004F59A1"/>
    <w:rsid w:val="0050420B"/>
    <w:rsid w:val="0051245E"/>
    <w:rsid w:val="00514718"/>
    <w:rsid w:val="0054058E"/>
    <w:rsid w:val="00552427"/>
    <w:rsid w:val="00585A4D"/>
    <w:rsid w:val="00594CE8"/>
    <w:rsid w:val="005C34FD"/>
    <w:rsid w:val="005C72DB"/>
    <w:rsid w:val="005F0440"/>
    <w:rsid w:val="00611C74"/>
    <w:rsid w:val="0061605F"/>
    <w:rsid w:val="0062039D"/>
    <w:rsid w:val="00622A22"/>
    <w:rsid w:val="00637A72"/>
    <w:rsid w:val="00642C79"/>
    <w:rsid w:val="00643496"/>
    <w:rsid w:val="0064397A"/>
    <w:rsid w:val="006475FE"/>
    <w:rsid w:val="0065260F"/>
    <w:rsid w:val="00655E9F"/>
    <w:rsid w:val="0068043A"/>
    <w:rsid w:val="006C6C83"/>
    <w:rsid w:val="006F0CD7"/>
    <w:rsid w:val="00704E0B"/>
    <w:rsid w:val="00704EAD"/>
    <w:rsid w:val="0071323B"/>
    <w:rsid w:val="00714464"/>
    <w:rsid w:val="00715C44"/>
    <w:rsid w:val="00724B62"/>
    <w:rsid w:val="00732480"/>
    <w:rsid w:val="00734C4A"/>
    <w:rsid w:val="00736736"/>
    <w:rsid w:val="00737EFA"/>
    <w:rsid w:val="00743F98"/>
    <w:rsid w:val="00750293"/>
    <w:rsid w:val="00753FB5"/>
    <w:rsid w:val="00755A94"/>
    <w:rsid w:val="0078165F"/>
    <w:rsid w:val="007A34A4"/>
    <w:rsid w:val="007D077A"/>
    <w:rsid w:val="007D7195"/>
    <w:rsid w:val="00832F79"/>
    <w:rsid w:val="0084650E"/>
    <w:rsid w:val="00851A30"/>
    <w:rsid w:val="008726A0"/>
    <w:rsid w:val="00872D78"/>
    <w:rsid w:val="00875E39"/>
    <w:rsid w:val="008B15DC"/>
    <w:rsid w:val="008B7189"/>
    <w:rsid w:val="00902019"/>
    <w:rsid w:val="00927B5D"/>
    <w:rsid w:val="0094186A"/>
    <w:rsid w:val="009B6185"/>
    <w:rsid w:val="009E14EF"/>
    <w:rsid w:val="009F5DA6"/>
    <w:rsid w:val="00A0511C"/>
    <w:rsid w:val="00A3456E"/>
    <w:rsid w:val="00A43D3E"/>
    <w:rsid w:val="00A47ED6"/>
    <w:rsid w:val="00A502E5"/>
    <w:rsid w:val="00A7108E"/>
    <w:rsid w:val="00A81676"/>
    <w:rsid w:val="00A82D6A"/>
    <w:rsid w:val="00A83927"/>
    <w:rsid w:val="00AA4BF9"/>
    <w:rsid w:val="00AB23CF"/>
    <w:rsid w:val="00AB54B6"/>
    <w:rsid w:val="00AB66F3"/>
    <w:rsid w:val="00AD0AFC"/>
    <w:rsid w:val="00AD46B5"/>
    <w:rsid w:val="00AE19C8"/>
    <w:rsid w:val="00AF5A7D"/>
    <w:rsid w:val="00B00800"/>
    <w:rsid w:val="00B0445A"/>
    <w:rsid w:val="00B1407C"/>
    <w:rsid w:val="00B21274"/>
    <w:rsid w:val="00B64E8B"/>
    <w:rsid w:val="00B9414C"/>
    <w:rsid w:val="00B94BEA"/>
    <w:rsid w:val="00BA1A42"/>
    <w:rsid w:val="00BC075E"/>
    <w:rsid w:val="00BC40D2"/>
    <w:rsid w:val="00BD7AB3"/>
    <w:rsid w:val="00BE1279"/>
    <w:rsid w:val="00BF13CD"/>
    <w:rsid w:val="00C12D3D"/>
    <w:rsid w:val="00C36A9E"/>
    <w:rsid w:val="00C5756C"/>
    <w:rsid w:val="00C73601"/>
    <w:rsid w:val="00CB1859"/>
    <w:rsid w:val="00CC00ED"/>
    <w:rsid w:val="00CD61BB"/>
    <w:rsid w:val="00CE1177"/>
    <w:rsid w:val="00CE796F"/>
    <w:rsid w:val="00D21557"/>
    <w:rsid w:val="00D46EF0"/>
    <w:rsid w:val="00D6153E"/>
    <w:rsid w:val="00D647AC"/>
    <w:rsid w:val="00D73EC8"/>
    <w:rsid w:val="00DA0E91"/>
    <w:rsid w:val="00E003CA"/>
    <w:rsid w:val="00E03201"/>
    <w:rsid w:val="00E118A4"/>
    <w:rsid w:val="00E15D04"/>
    <w:rsid w:val="00E16F82"/>
    <w:rsid w:val="00E16FA0"/>
    <w:rsid w:val="00E21167"/>
    <w:rsid w:val="00E34B2B"/>
    <w:rsid w:val="00E352C1"/>
    <w:rsid w:val="00E36387"/>
    <w:rsid w:val="00E54ECE"/>
    <w:rsid w:val="00E67B76"/>
    <w:rsid w:val="00E769F2"/>
    <w:rsid w:val="00E8047A"/>
    <w:rsid w:val="00E84532"/>
    <w:rsid w:val="00E95330"/>
    <w:rsid w:val="00EB590E"/>
    <w:rsid w:val="00EC6FAB"/>
    <w:rsid w:val="00F000A1"/>
    <w:rsid w:val="00F00A55"/>
    <w:rsid w:val="00F02A32"/>
    <w:rsid w:val="00F06AE3"/>
    <w:rsid w:val="00F24CA9"/>
    <w:rsid w:val="00F34742"/>
    <w:rsid w:val="00F34CDF"/>
    <w:rsid w:val="00F4695C"/>
    <w:rsid w:val="00F668D8"/>
    <w:rsid w:val="00F74227"/>
    <w:rsid w:val="00F840E6"/>
    <w:rsid w:val="00FD3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3E5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qFormat="1"/>
    <w:lsdException w:name="List Bullet 3" w:semiHidden="1" w:uiPriority="6" w:unhideWhenUsed="1" w:qFormat="1"/>
    <w:lsdException w:name="List Bullet 4" w:semiHidden="1" w:uiPriority="6"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BF9"/>
    <w:pPr>
      <w:spacing w:line="259" w:lineRule="auto"/>
    </w:pPr>
    <w:rPr>
      <w:kern w:val="0"/>
      <w:sz w:val="22"/>
      <w:szCs w:val="22"/>
      <w14:ligatures w14:val="none"/>
    </w:rPr>
  </w:style>
  <w:style w:type="paragraph" w:styleId="Heading1">
    <w:name w:val="heading 1"/>
    <w:basedOn w:val="Heading2"/>
    <w:next w:val="Normal"/>
    <w:link w:val="Heading1Char"/>
    <w:uiPriority w:val="9"/>
    <w:qFormat/>
    <w:rsid w:val="003F7420"/>
    <w:pPr>
      <w:outlineLvl w:val="0"/>
    </w:pPr>
    <w:rPr>
      <w:color w:val="000000" w:themeColor="text1"/>
    </w:rPr>
  </w:style>
  <w:style w:type="paragraph" w:styleId="Heading2">
    <w:name w:val="heading 2"/>
    <w:basedOn w:val="Normal"/>
    <w:next w:val="Normal"/>
    <w:link w:val="Heading2Char"/>
    <w:uiPriority w:val="9"/>
    <w:unhideWhenUsed/>
    <w:qFormat/>
    <w:rsid w:val="00781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6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6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6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6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6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6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6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420"/>
    <w:rPr>
      <w:rFonts w:asciiTheme="majorHAnsi" w:eastAsiaTheme="majorEastAsia" w:hAnsiTheme="majorHAnsi" w:cstheme="majorBidi"/>
      <w:color w:val="000000" w:themeColor="text1"/>
      <w:kern w:val="0"/>
      <w:sz w:val="32"/>
      <w:szCs w:val="32"/>
      <w14:ligatures w14:val="none"/>
    </w:rPr>
  </w:style>
  <w:style w:type="character" w:customStyle="1" w:styleId="Heading2Char">
    <w:name w:val="Heading 2 Char"/>
    <w:basedOn w:val="DefaultParagraphFont"/>
    <w:link w:val="Heading2"/>
    <w:uiPriority w:val="9"/>
    <w:rsid w:val="007816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6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6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6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65F"/>
    <w:rPr>
      <w:rFonts w:eastAsiaTheme="majorEastAsia" w:cstheme="majorBidi"/>
      <w:color w:val="272727" w:themeColor="text1" w:themeTint="D8"/>
    </w:rPr>
  </w:style>
  <w:style w:type="paragraph" w:styleId="Title">
    <w:name w:val="Title"/>
    <w:basedOn w:val="Normal"/>
    <w:next w:val="Normal"/>
    <w:link w:val="TitleChar"/>
    <w:uiPriority w:val="10"/>
    <w:qFormat/>
    <w:rsid w:val="00781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6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65F"/>
    <w:pPr>
      <w:spacing w:before="160"/>
      <w:jc w:val="center"/>
    </w:pPr>
    <w:rPr>
      <w:i/>
      <w:iCs/>
      <w:color w:val="404040" w:themeColor="text1" w:themeTint="BF"/>
    </w:rPr>
  </w:style>
  <w:style w:type="character" w:customStyle="1" w:styleId="QuoteChar">
    <w:name w:val="Quote Char"/>
    <w:basedOn w:val="DefaultParagraphFont"/>
    <w:link w:val="Quote"/>
    <w:uiPriority w:val="29"/>
    <w:rsid w:val="0078165F"/>
    <w:rPr>
      <w:i/>
      <w:iCs/>
      <w:color w:val="404040" w:themeColor="text1" w:themeTint="BF"/>
    </w:rPr>
  </w:style>
  <w:style w:type="paragraph" w:styleId="ListParagraph">
    <w:name w:val="List Paragraph"/>
    <w:basedOn w:val="Normal"/>
    <w:uiPriority w:val="34"/>
    <w:qFormat/>
    <w:rsid w:val="0078165F"/>
    <w:pPr>
      <w:ind w:left="720"/>
      <w:contextualSpacing/>
    </w:pPr>
  </w:style>
  <w:style w:type="character" w:styleId="IntenseEmphasis">
    <w:name w:val="Intense Emphasis"/>
    <w:basedOn w:val="DefaultParagraphFont"/>
    <w:uiPriority w:val="21"/>
    <w:qFormat/>
    <w:rsid w:val="0078165F"/>
    <w:rPr>
      <w:i/>
      <w:iCs/>
      <w:color w:val="0F4761" w:themeColor="accent1" w:themeShade="BF"/>
    </w:rPr>
  </w:style>
  <w:style w:type="paragraph" w:styleId="IntenseQuote">
    <w:name w:val="Intense Quote"/>
    <w:basedOn w:val="Normal"/>
    <w:next w:val="Normal"/>
    <w:link w:val="IntenseQuoteChar"/>
    <w:uiPriority w:val="30"/>
    <w:qFormat/>
    <w:rsid w:val="00781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65F"/>
    <w:rPr>
      <w:i/>
      <w:iCs/>
      <w:color w:val="0F4761" w:themeColor="accent1" w:themeShade="BF"/>
    </w:rPr>
  </w:style>
  <w:style w:type="character" w:styleId="IntenseReference">
    <w:name w:val="Intense Reference"/>
    <w:basedOn w:val="DefaultParagraphFont"/>
    <w:uiPriority w:val="32"/>
    <w:qFormat/>
    <w:rsid w:val="0078165F"/>
    <w:rPr>
      <w:b/>
      <w:bCs/>
      <w:smallCaps/>
      <w:color w:val="0F4761" w:themeColor="accent1" w:themeShade="BF"/>
      <w:spacing w:val="5"/>
    </w:rPr>
  </w:style>
  <w:style w:type="paragraph" w:customStyle="1" w:styleId="Default">
    <w:name w:val="Default"/>
    <w:rsid w:val="00AA4BF9"/>
    <w:pPr>
      <w:autoSpaceDE w:val="0"/>
      <w:autoSpaceDN w:val="0"/>
      <w:adjustRightInd w:val="0"/>
      <w:spacing w:after="0" w:line="240" w:lineRule="auto"/>
    </w:pPr>
    <w:rPr>
      <w:rFonts w:ascii="Calibri" w:hAnsi="Calibri" w:cs="Calibri"/>
      <w:color w:val="000000"/>
      <w:kern w:val="0"/>
      <w14:ligatures w14:val="none"/>
    </w:rPr>
  </w:style>
  <w:style w:type="table" w:styleId="TableGrid">
    <w:name w:val="Table Grid"/>
    <w:basedOn w:val="TableNormal"/>
    <w:uiPriority w:val="39"/>
    <w:rsid w:val="00AA4BF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6"/>
    <w:qFormat/>
    <w:rsid w:val="00A7108E"/>
    <w:pPr>
      <w:numPr>
        <w:ilvl w:val="3"/>
        <w:numId w:val="2"/>
      </w:numPr>
      <w:spacing w:before="120" w:after="120" w:line="240" w:lineRule="auto"/>
      <w:ind w:left="0" w:firstLine="0"/>
      <w:contextualSpacing/>
    </w:pPr>
    <w:rPr>
      <w:rFonts w:ascii="Arial" w:eastAsia="Times New Roman" w:hAnsi="Arial" w:cs="Arial"/>
      <w:sz w:val="20"/>
      <w:szCs w:val="20"/>
      <w:lang w:val="en-NZ"/>
    </w:rPr>
  </w:style>
  <w:style w:type="paragraph" w:styleId="ListBullet">
    <w:name w:val="List Bullet"/>
    <w:basedOn w:val="Normal"/>
    <w:uiPriority w:val="6"/>
    <w:qFormat/>
    <w:rsid w:val="00A7108E"/>
    <w:pPr>
      <w:numPr>
        <w:numId w:val="2"/>
      </w:numPr>
      <w:spacing w:before="120" w:after="120" w:line="240" w:lineRule="auto"/>
      <w:contextualSpacing/>
    </w:pPr>
    <w:rPr>
      <w:rFonts w:ascii="Arial" w:eastAsia="Times New Roman" w:hAnsi="Arial" w:cs="Arial"/>
      <w:sz w:val="20"/>
      <w:szCs w:val="21"/>
      <w:lang w:eastAsia="en-NZ"/>
    </w:rPr>
  </w:style>
  <w:style w:type="paragraph" w:styleId="ListBullet2">
    <w:name w:val="List Bullet 2"/>
    <w:basedOn w:val="Normal"/>
    <w:uiPriority w:val="6"/>
    <w:qFormat/>
    <w:rsid w:val="00A7108E"/>
    <w:pPr>
      <w:numPr>
        <w:ilvl w:val="1"/>
        <w:numId w:val="2"/>
      </w:numPr>
      <w:spacing w:before="120" w:after="120" w:line="240" w:lineRule="auto"/>
      <w:ind w:left="0" w:firstLine="0"/>
      <w:contextualSpacing/>
    </w:pPr>
    <w:rPr>
      <w:rFonts w:ascii="Arial" w:eastAsiaTheme="minorEastAsia" w:hAnsi="Arial" w:cs="Arial"/>
      <w:sz w:val="20"/>
      <w:szCs w:val="21"/>
      <w:lang w:eastAsia="en-NZ"/>
    </w:rPr>
  </w:style>
  <w:style w:type="paragraph" w:styleId="ListBullet3">
    <w:name w:val="List Bullet 3"/>
    <w:basedOn w:val="Normal"/>
    <w:uiPriority w:val="6"/>
    <w:qFormat/>
    <w:rsid w:val="00A7108E"/>
    <w:pPr>
      <w:numPr>
        <w:ilvl w:val="2"/>
        <w:numId w:val="2"/>
      </w:numPr>
      <w:spacing w:before="120" w:after="120" w:line="240" w:lineRule="auto"/>
      <w:ind w:left="0" w:firstLine="0"/>
      <w:contextualSpacing/>
    </w:pPr>
    <w:rPr>
      <w:rFonts w:ascii="Arial" w:eastAsia="Times New Roman" w:hAnsi="Arial" w:cs="Arial"/>
      <w:sz w:val="20"/>
      <w:szCs w:val="21"/>
      <w:lang w:eastAsia="en-NZ"/>
    </w:rPr>
  </w:style>
  <w:style w:type="paragraph" w:customStyle="1" w:styleId="Sub-heading3">
    <w:name w:val="Sub-heading 3"/>
    <w:basedOn w:val="Heading3"/>
    <w:next w:val="Normal"/>
    <w:uiPriority w:val="16"/>
    <w:qFormat/>
    <w:rsid w:val="0094186A"/>
    <w:pPr>
      <w:spacing w:before="240" w:after="120" w:line="252" w:lineRule="auto"/>
    </w:pPr>
    <w:rPr>
      <w:rFonts w:asciiTheme="majorHAnsi" w:eastAsia="Times New Roman" w:hAnsiTheme="majorHAnsi" w:cs="Arial"/>
      <w:b/>
      <w:iCs/>
      <w:color w:val="196B24" w:themeColor="accent3"/>
      <w:sz w:val="22"/>
    </w:rPr>
  </w:style>
  <w:style w:type="paragraph" w:customStyle="1" w:styleId="Sub-heading2">
    <w:name w:val="Sub-heading 2"/>
    <w:basedOn w:val="Heading2"/>
    <w:next w:val="Normal"/>
    <w:uiPriority w:val="15"/>
    <w:qFormat/>
    <w:rsid w:val="004F59A1"/>
    <w:pPr>
      <w:spacing w:before="240" w:after="240" w:line="252" w:lineRule="auto"/>
    </w:pPr>
    <w:rPr>
      <w:rFonts w:eastAsia="Times New Roman" w:cs="Arial"/>
      <w:b/>
      <w:bCs/>
      <w:iCs/>
      <w:color w:val="E8E8E8" w:themeColor="background2"/>
      <w:sz w:val="28"/>
      <w:szCs w:val="28"/>
    </w:rPr>
  </w:style>
  <w:style w:type="paragraph" w:styleId="Header">
    <w:name w:val="header"/>
    <w:basedOn w:val="Normal"/>
    <w:link w:val="HeaderChar"/>
    <w:uiPriority w:val="99"/>
    <w:unhideWhenUsed/>
    <w:rsid w:val="00C57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56C"/>
    <w:rPr>
      <w:kern w:val="0"/>
      <w:sz w:val="22"/>
      <w:szCs w:val="22"/>
      <w14:ligatures w14:val="none"/>
    </w:rPr>
  </w:style>
  <w:style w:type="paragraph" w:styleId="Footer">
    <w:name w:val="footer"/>
    <w:basedOn w:val="Normal"/>
    <w:link w:val="FooterChar"/>
    <w:uiPriority w:val="99"/>
    <w:unhideWhenUsed/>
    <w:rsid w:val="00C57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56C"/>
    <w:rPr>
      <w:kern w:val="0"/>
      <w:sz w:val="22"/>
      <w:szCs w:val="22"/>
      <w14:ligatures w14:val="none"/>
    </w:rPr>
  </w:style>
  <w:style w:type="character" w:styleId="CommentReference">
    <w:name w:val="annotation reference"/>
    <w:basedOn w:val="DefaultParagraphFont"/>
    <w:uiPriority w:val="99"/>
    <w:semiHidden/>
    <w:unhideWhenUsed/>
    <w:rsid w:val="00F668D8"/>
    <w:rPr>
      <w:sz w:val="16"/>
      <w:szCs w:val="16"/>
    </w:rPr>
  </w:style>
  <w:style w:type="paragraph" w:styleId="CommentText">
    <w:name w:val="annotation text"/>
    <w:basedOn w:val="Normal"/>
    <w:link w:val="CommentTextChar"/>
    <w:uiPriority w:val="99"/>
    <w:unhideWhenUsed/>
    <w:rsid w:val="00F668D8"/>
    <w:pPr>
      <w:spacing w:line="240" w:lineRule="auto"/>
    </w:pPr>
    <w:rPr>
      <w:sz w:val="20"/>
      <w:szCs w:val="20"/>
    </w:rPr>
  </w:style>
  <w:style w:type="character" w:customStyle="1" w:styleId="CommentTextChar">
    <w:name w:val="Comment Text Char"/>
    <w:basedOn w:val="DefaultParagraphFont"/>
    <w:link w:val="CommentText"/>
    <w:uiPriority w:val="99"/>
    <w:rsid w:val="00F668D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668D8"/>
    <w:rPr>
      <w:b/>
      <w:bCs/>
    </w:rPr>
  </w:style>
  <w:style w:type="character" w:customStyle="1" w:styleId="CommentSubjectChar">
    <w:name w:val="Comment Subject Char"/>
    <w:basedOn w:val="CommentTextChar"/>
    <w:link w:val="CommentSubject"/>
    <w:uiPriority w:val="99"/>
    <w:semiHidden/>
    <w:rsid w:val="00F668D8"/>
    <w:rPr>
      <w:b/>
      <w:bCs/>
      <w:kern w:val="0"/>
      <w:sz w:val="20"/>
      <w:szCs w:val="20"/>
      <w14:ligatures w14:val="none"/>
    </w:rPr>
  </w:style>
  <w:style w:type="paragraph" w:styleId="Revision">
    <w:name w:val="Revision"/>
    <w:hidden/>
    <w:uiPriority w:val="99"/>
    <w:semiHidden/>
    <w:rsid w:val="00E54ECE"/>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429801">
      <w:bodyDiv w:val="1"/>
      <w:marLeft w:val="0"/>
      <w:marRight w:val="0"/>
      <w:marTop w:val="0"/>
      <w:marBottom w:val="0"/>
      <w:divBdr>
        <w:top w:val="none" w:sz="0" w:space="0" w:color="auto"/>
        <w:left w:val="none" w:sz="0" w:space="0" w:color="auto"/>
        <w:bottom w:val="none" w:sz="0" w:space="0" w:color="auto"/>
        <w:right w:val="none" w:sz="0" w:space="0" w:color="auto"/>
      </w:divBdr>
    </w:div>
    <w:div w:id="162040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A3B48-DAA9-4A8E-9E7D-FAA49C8E8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5725</Characters>
  <Application>Microsoft Office Word</Application>
  <DocSecurity>0</DocSecurity>
  <Lines>150</Lines>
  <Paragraphs>41</Paragraphs>
  <ScaleCrop>false</ScaleCrop>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Evaluation of the Impact Private Sector Partnerships (IPSP) Program</dc:title>
  <dc:subject/>
  <dc:creator/>
  <cp:keywords>[SEC=OFFICIAL]</cp:keywords>
  <dc:description/>
  <cp:lastModifiedBy/>
  <cp:revision>1</cp:revision>
  <dcterms:created xsi:type="dcterms:W3CDTF">2025-11-10T20:59:00Z</dcterms:created>
  <dcterms:modified xsi:type="dcterms:W3CDTF">2025-11-10T21:00:00Z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2025-09-01T20:26:07Z</vt:lpwstr>
  </property>
  <property fmtid="{D5CDD505-2E9C-101B-9397-08002B2CF9AE}" pid="3" name="PM_ProtectiveMarkingValue_Header">
    <vt:lpwstr>OFFICIAL</vt:lpwstr>
  </property>
  <property fmtid="{D5CDD505-2E9C-101B-9397-08002B2CF9AE}" pid="4" name="PM_InsertionValue">
    <vt:lpwstr>OFFICIAL</vt:lpwstr>
  </property>
  <property fmtid="{D5CDD505-2E9C-101B-9397-08002B2CF9AE}" pid="5" name="PM_Originator_Hash_SHA1">
    <vt:lpwstr>D9F6E5C82DFAF7AB6E3D596D48DD43C72EDFDAB4</vt:lpwstr>
  </property>
  <property fmtid="{D5CDD505-2E9C-101B-9397-08002B2CF9AE}" pid="6" name="PM_Expires">
    <vt:lpwstr/>
  </property>
  <property fmtid="{D5CDD505-2E9C-101B-9397-08002B2CF9AE}" pid="7" name="PM_DisplayValueSecClassificationWithQualifier">
    <vt:lpwstr>OFFICIAL</vt:lpwstr>
  </property>
  <property fmtid="{D5CDD505-2E9C-101B-9397-08002B2CF9AE}" pid="8" name="PM_ProtectiveMarkingValue_Footer">
    <vt:lpwstr>OFFICIAL</vt:lpwstr>
  </property>
  <property fmtid="{D5CDD505-2E9C-101B-9397-08002B2CF9AE}" pid="9" name="PM_Originating_FileId">
    <vt:lpwstr>02EC069ACC52468D9766185130BB16BF</vt:lpwstr>
  </property>
  <property fmtid="{D5CDD505-2E9C-101B-9397-08002B2CF9AE}" pid="10" name="PM_ProtectiveMarkingImage_Header">
    <vt:lpwstr>C:\Program Files\Common Files\janusNET Shared\janusSEAL\Images\DocumentSlashBlue.png</vt:lpwstr>
  </property>
  <property fmtid="{D5CDD505-2E9C-101B-9397-08002B2CF9AE}" pid="11" name="PM_ProtectiveMarkingImage_Footer">
    <vt:lpwstr>C:\Program Files\Common Files\janusNET Shared\janusSEAL\Images\DocumentSlashBlue.png</vt:lpwstr>
  </property>
  <property fmtid="{D5CDD505-2E9C-101B-9397-08002B2CF9AE}" pid="12" name="PM_Display">
    <vt:lpwstr>OFFICIAL</vt:lpwstr>
  </property>
  <property fmtid="{D5CDD505-2E9C-101B-9397-08002B2CF9AE}" pid="13" name="PM_OriginatorUserAccountName_SHA256">
    <vt:lpwstr>3E9DB5AB808CA91EB3E8EC398CDB7F67B110581D6BB28BC88565729DCE387350</vt:lpwstr>
  </property>
  <property fmtid="{D5CDD505-2E9C-101B-9397-08002B2CF9AE}" pid="14" name="PM_OriginatorDomainName_SHA256">
    <vt:lpwstr>6F3591835F3B2A8A025B00B5BA6418010DA3A17C9C26EA9C049FFD28039489A2</vt:lpwstr>
  </property>
  <property fmtid="{D5CDD505-2E9C-101B-9397-08002B2CF9AE}" pid="15" name="PMUuid">
    <vt:lpwstr>v=2022.2;d=gov.au;g=46DD6D7C-8107-577B-BC6E-F348953B2E44</vt:lpwstr>
  </property>
  <property fmtid="{D5CDD505-2E9C-101B-9397-08002B2CF9AE}" pid="16" name="PM_Hash_Version">
    <vt:lpwstr>2022.1</vt:lpwstr>
  </property>
  <property fmtid="{D5CDD505-2E9C-101B-9397-08002B2CF9AE}" pid="17" name="PM_Hash_Salt_Prev">
    <vt:lpwstr>B9A967EC1943A30E2EF95B1B289981FE</vt:lpwstr>
  </property>
  <property fmtid="{D5CDD505-2E9C-101B-9397-08002B2CF9AE}" pid="18" name="PM_Hash_Salt">
    <vt:lpwstr>7AEB8D6382B689B7D87071D40D839DA8</vt:lpwstr>
  </property>
  <property fmtid="{D5CDD505-2E9C-101B-9397-08002B2CF9AE}" pid="19" name="PM_Hash_SHA1">
    <vt:lpwstr>52D5F675352ABBCE29FC9B6D53768C2E4D8EB65B</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PM_Qualifier">
    <vt:lpwstr/>
  </property>
  <property fmtid="{D5CDD505-2E9C-101B-9397-08002B2CF9AE}" pid="23" name="PMHMAC">
    <vt:lpwstr>v=2022.1;a=SHA256;h=5B8B303FA48ED59DDE5CCD4D10C945EB8D9D78899830B278A6F21B61BB5CE0D7</vt:lpwstr>
  </property>
  <property fmtid="{D5CDD505-2E9C-101B-9397-08002B2CF9AE}" pid="24" name="PM_Namespace">
    <vt:lpwstr>gov.au</vt:lpwstr>
  </property>
  <property fmtid="{D5CDD505-2E9C-101B-9397-08002B2CF9AE}" pid="25" name="PM_Version">
    <vt:lpwstr>2018.4</vt:lpwstr>
  </property>
  <property fmtid="{D5CDD505-2E9C-101B-9397-08002B2CF9AE}" pid="26" name="PM_SecurityClassification">
    <vt:lpwstr>OFFICIAL</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ies>
</file>