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C61B5" w14:textId="1EE8C225" w:rsidR="00ED7688" w:rsidRPr="00A14F3C" w:rsidRDefault="4E59175B" w:rsidP="00A14F3C">
      <w:pPr>
        <w:pStyle w:val="Heading1"/>
      </w:pPr>
      <w:r w:rsidRPr="00A14F3C">
        <w:t xml:space="preserve">Management response: </w:t>
      </w:r>
      <w:r w:rsidR="004042BC" w:rsidRPr="00A14F3C">
        <w:t>Independent Evaluation of the Australian Humanitarian Partnership</w:t>
      </w:r>
    </w:p>
    <w:p w14:paraId="5C3039D1" w14:textId="2C0ED019" w:rsidR="006A6902" w:rsidRPr="00A14F3C" w:rsidRDefault="006A6902" w:rsidP="00A14F3C">
      <w:pPr>
        <w:pStyle w:val="Heading2"/>
      </w:pPr>
      <w:r w:rsidRPr="00A14F3C">
        <w:t>Funding &amp; resourcing</w:t>
      </w:r>
    </w:p>
    <w:tbl>
      <w:tblPr>
        <w:tblStyle w:val="TableGrid"/>
        <w:tblW w:w="14454" w:type="dxa"/>
        <w:tblLayout w:type="fixed"/>
        <w:tblLook w:val="04A0" w:firstRow="1" w:lastRow="0" w:firstColumn="1" w:lastColumn="0" w:noHBand="0" w:noVBand="1"/>
      </w:tblPr>
      <w:tblGrid>
        <w:gridCol w:w="6374"/>
        <w:gridCol w:w="1418"/>
        <w:gridCol w:w="1134"/>
        <w:gridCol w:w="4252"/>
        <w:gridCol w:w="1276"/>
      </w:tblGrid>
      <w:tr w:rsidR="00C047F2" w:rsidRPr="00BA19B7" w14:paraId="4715A73A" w14:textId="04212C40" w:rsidTr="00A14F3C">
        <w:trPr>
          <w:tblHeader/>
        </w:trPr>
        <w:tc>
          <w:tcPr>
            <w:tcW w:w="6374" w:type="dxa"/>
          </w:tcPr>
          <w:p w14:paraId="7F0AA01B" w14:textId="1A95C793" w:rsidR="00C047F2" w:rsidRPr="00BA19B7" w:rsidRDefault="00C047F2">
            <w:pPr>
              <w:rPr>
                <w:b/>
                <w:bCs/>
                <w:sz w:val="20"/>
                <w:szCs w:val="20"/>
              </w:rPr>
            </w:pPr>
            <w:r w:rsidRPr="00BA19B7">
              <w:rPr>
                <w:b/>
                <w:bCs/>
                <w:sz w:val="20"/>
                <w:szCs w:val="20"/>
              </w:rPr>
              <w:t>Recommendation</w:t>
            </w:r>
          </w:p>
        </w:tc>
        <w:tc>
          <w:tcPr>
            <w:tcW w:w="1418" w:type="dxa"/>
          </w:tcPr>
          <w:p w14:paraId="55AD36CD" w14:textId="57F36BDB" w:rsidR="00C047F2" w:rsidRPr="00BA19B7" w:rsidRDefault="00C047F2">
            <w:pPr>
              <w:rPr>
                <w:b/>
                <w:bCs/>
                <w:sz w:val="20"/>
                <w:szCs w:val="20"/>
              </w:rPr>
            </w:pPr>
            <w:r w:rsidRPr="00BA19B7">
              <w:rPr>
                <w:b/>
                <w:bCs/>
                <w:sz w:val="20"/>
                <w:szCs w:val="20"/>
              </w:rPr>
              <w:t>Responsible</w:t>
            </w:r>
          </w:p>
        </w:tc>
        <w:tc>
          <w:tcPr>
            <w:tcW w:w="1134" w:type="dxa"/>
          </w:tcPr>
          <w:p w14:paraId="711C2E36" w14:textId="77089F22" w:rsidR="00C047F2" w:rsidRPr="00BA19B7" w:rsidRDefault="00C047F2">
            <w:pPr>
              <w:rPr>
                <w:b/>
                <w:bCs/>
                <w:sz w:val="20"/>
                <w:szCs w:val="20"/>
              </w:rPr>
            </w:pPr>
            <w:r w:rsidRPr="00BA19B7">
              <w:rPr>
                <w:b/>
                <w:bCs/>
                <w:sz w:val="20"/>
                <w:szCs w:val="20"/>
              </w:rPr>
              <w:t>Response</w:t>
            </w:r>
          </w:p>
        </w:tc>
        <w:tc>
          <w:tcPr>
            <w:tcW w:w="4252" w:type="dxa"/>
          </w:tcPr>
          <w:p w14:paraId="6125C25B" w14:textId="7042E4A9" w:rsidR="00C047F2" w:rsidRPr="00BA19B7" w:rsidRDefault="00C047F2">
            <w:pPr>
              <w:rPr>
                <w:b/>
                <w:bCs/>
                <w:sz w:val="20"/>
                <w:szCs w:val="20"/>
              </w:rPr>
            </w:pPr>
            <w:r w:rsidRPr="00BA19B7">
              <w:rPr>
                <w:b/>
                <w:bCs/>
                <w:sz w:val="20"/>
                <w:szCs w:val="20"/>
              </w:rPr>
              <w:t>Comment</w:t>
            </w:r>
          </w:p>
        </w:tc>
        <w:tc>
          <w:tcPr>
            <w:tcW w:w="1276" w:type="dxa"/>
          </w:tcPr>
          <w:p w14:paraId="07AB4B60" w14:textId="38878537" w:rsidR="00C047F2" w:rsidRPr="00BA19B7" w:rsidRDefault="00C047F2">
            <w:pPr>
              <w:rPr>
                <w:b/>
                <w:bCs/>
                <w:sz w:val="20"/>
                <w:szCs w:val="20"/>
              </w:rPr>
            </w:pPr>
            <w:r>
              <w:rPr>
                <w:b/>
                <w:bCs/>
                <w:sz w:val="20"/>
                <w:szCs w:val="20"/>
              </w:rPr>
              <w:t>Timefra</w:t>
            </w:r>
            <w:r w:rsidR="00B95987">
              <w:rPr>
                <w:b/>
                <w:bCs/>
                <w:sz w:val="20"/>
                <w:szCs w:val="20"/>
              </w:rPr>
              <w:t>me</w:t>
            </w:r>
          </w:p>
        </w:tc>
      </w:tr>
      <w:tr w:rsidR="00C047F2" w:rsidRPr="00BA19B7" w14:paraId="65371FBA" w14:textId="2A9C41E6" w:rsidTr="73A45BEF">
        <w:tc>
          <w:tcPr>
            <w:tcW w:w="6374" w:type="dxa"/>
          </w:tcPr>
          <w:p w14:paraId="24BD3577" w14:textId="7B0F1632" w:rsidR="00C047F2" w:rsidRPr="00BA19B7" w:rsidRDefault="00C047F2">
            <w:pPr>
              <w:rPr>
                <w:sz w:val="20"/>
                <w:szCs w:val="20"/>
              </w:rPr>
            </w:pPr>
            <w:r w:rsidRPr="00BA19B7">
              <w:rPr>
                <w:rFonts w:cstheme="minorHAnsi"/>
                <w:b/>
                <w:bCs/>
                <w:sz w:val="20"/>
                <w:szCs w:val="20"/>
              </w:rPr>
              <w:t>Strengthen access to multi-year, flexible funding envelopes</w:t>
            </w:r>
            <w:r w:rsidRPr="00BA19B7">
              <w:rPr>
                <w:rFonts w:cstheme="minorHAnsi"/>
                <w:sz w:val="20"/>
                <w:szCs w:val="20"/>
              </w:rPr>
              <w:t xml:space="preserve"> for protracted crises to enable continuity, staff retention, and adaptive management.</w:t>
            </w:r>
          </w:p>
        </w:tc>
        <w:tc>
          <w:tcPr>
            <w:tcW w:w="1418" w:type="dxa"/>
          </w:tcPr>
          <w:p w14:paraId="09B8C98F" w14:textId="05F4B259" w:rsidR="00C047F2" w:rsidRPr="00BA19B7" w:rsidRDefault="00C047F2">
            <w:pPr>
              <w:rPr>
                <w:sz w:val="20"/>
                <w:szCs w:val="20"/>
              </w:rPr>
            </w:pPr>
            <w:r w:rsidRPr="00BA19B7">
              <w:rPr>
                <w:sz w:val="20"/>
                <w:szCs w:val="20"/>
              </w:rPr>
              <w:t>DFAT</w:t>
            </w:r>
          </w:p>
        </w:tc>
        <w:tc>
          <w:tcPr>
            <w:tcW w:w="1134" w:type="dxa"/>
          </w:tcPr>
          <w:p w14:paraId="111936B0" w14:textId="6AC571E2" w:rsidR="00C047F2" w:rsidRPr="00BA19B7" w:rsidRDefault="00C047F2">
            <w:pPr>
              <w:rPr>
                <w:sz w:val="20"/>
                <w:szCs w:val="20"/>
              </w:rPr>
            </w:pPr>
            <w:r w:rsidRPr="00BA19B7">
              <w:rPr>
                <w:sz w:val="20"/>
                <w:szCs w:val="20"/>
              </w:rPr>
              <w:t>Noted</w:t>
            </w:r>
          </w:p>
        </w:tc>
        <w:tc>
          <w:tcPr>
            <w:tcW w:w="4252" w:type="dxa"/>
          </w:tcPr>
          <w:p w14:paraId="0A898C6E" w14:textId="5FC01877" w:rsidR="00C047F2" w:rsidRPr="00BA19B7" w:rsidRDefault="55603047">
            <w:pPr>
              <w:rPr>
                <w:sz w:val="20"/>
                <w:szCs w:val="20"/>
              </w:rPr>
            </w:pPr>
            <w:r w:rsidRPr="00E02CBA">
              <w:rPr>
                <w:sz w:val="20"/>
                <w:szCs w:val="20"/>
              </w:rPr>
              <w:t xml:space="preserve">This </w:t>
            </w:r>
            <w:r w:rsidR="633859CD" w:rsidRPr="00E02CBA">
              <w:rPr>
                <w:sz w:val="20"/>
                <w:szCs w:val="20"/>
              </w:rPr>
              <w:t>recommendation will inform</w:t>
            </w:r>
            <w:r w:rsidRPr="00E02CBA">
              <w:rPr>
                <w:sz w:val="20"/>
                <w:szCs w:val="20"/>
              </w:rPr>
              <w:t xml:space="preserve"> the design of any future humanitarian partnership </w:t>
            </w:r>
            <w:r w:rsidR="6C6E7C8A" w:rsidRPr="00E02CBA">
              <w:rPr>
                <w:sz w:val="20"/>
                <w:szCs w:val="20"/>
              </w:rPr>
              <w:t>program</w:t>
            </w:r>
            <w:r w:rsidR="728FBB89" w:rsidRPr="00E02CBA">
              <w:rPr>
                <w:sz w:val="20"/>
                <w:szCs w:val="20"/>
              </w:rPr>
              <w:t>.</w:t>
            </w:r>
          </w:p>
          <w:p w14:paraId="0F53B936" w14:textId="6E8151FD" w:rsidR="00C047F2" w:rsidRPr="00BA19B7" w:rsidRDefault="00C047F2" w:rsidP="0ECB43FF">
            <w:pPr>
              <w:rPr>
                <w:sz w:val="20"/>
                <w:szCs w:val="20"/>
              </w:rPr>
            </w:pPr>
          </w:p>
        </w:tc>
        <w:tc>
          <w:tcPr>
            <w:tcW w:w="1276" w:type="dxa"/>
          </w:tcPr>
          <w:p w14:paraId="4798D6DE" w14:textId="2970AB32" w:rsidR="00C047F2" w:rsidRPr="00BA19B7" w:rsidRDefault="00436B7D">
            <w:pPr>
              <w:rPr>
                <w:sz w:val="20"/>
                <w:szCs w:val="20"/>
              </w:rPr>
            </w:pPr>
            <w:r>
              <w:rPr>
                <w:sz w:val="20"/>
                <w:szCs w:val="20"/>
              </w:rPr>
              <w:t>2026</w:t>
            </w:r>
          </w:p>
        </w:tc>
      </w:tr>
      <w:tr w:rsidR="00C047F2" w:rsidRPr="00BA19B7" w14:paraId="18F902F0" w14:textId="640D6BE7" w:rsidTr="73A45BEF">
        <w:tc>
          <w:tcPr>
            <w:tcW w:w="6374" w:type="dxa"/>
          </w:tcPr>
          <w:p w14:paraId="0EC917C3" w14:textId="2020F7D6" w:rsidR="00C047F2" w:rsidRPr="00BA19B7" w:rsidRDefault="00C047F2" w:rsidP="005876F9">
            <w:pPr>
              <w:rPr>
                <w:sz w:val="20"/>
                <w:szCs w:val="20"/>
              </w:rPr>
            </w:pPr>
            <w:r w:rsidRPr="00BA19B7">
              <w:rPr>
                <w:rFonts w:cstheme="minorHAnsi"/>
                <w:b/>
                <w:bCs/>
                <w:sz w:val="20"/>
                <w:szCs w:val="20"/>
              </w:rPr>
              <w:t>Expand and standardise pre-positioned and rapid-access funding mechanisms</w:t>
            </w:r>
            <w:r w:rsidRPr="00BA19B7">
              <w:rPr>
                <w:rFonts w:cstheme="minorHAnsi"/>
                <w:sz w:val="20"/>
                <w:szCs w:val="20"/>
              </w:rPr>
              <w:t xml:space="preserve"> (e.g. PNG Emergency Response Fund, El Niño Fund, crisis modifiers) to strengthen timeliness and flexibility across all countries.</w:t>
            </w:r>
          </w:p>
        </w:tc>
        <w:tc>
          <w:tcPr>
            <w:tcW w:w="1418" w:type="dxa"/>
          </w:tcPr>
          <w:p w14:paraId="53A14A9D" w14:textId="69C91850" w:rsidR="00C047F2" w:rsidRPr="00BA19B7" w:rsidRDefault="00C047F2" w:rsidP="005876F9">
            <w:pPr>
              <w:rPr>
                <w:sz w:val="20"/>
                <w:szCs w:val="20"/>
              </w:rPr>
            </w:pPr>
            <w:r w:rsidRPr="00BA19B7">
              <w:rPr>
                <w:sz w:val="20"/>
                <w:szCs w:val="20"/>
              </w:rPr>
              <w:t>DFAT/ AHPSU</w:t>
            </w:r>
          </w:p>
        </w:tc>
        <w:tc>
          <w:tcPr>
            <w:tcW w:w="1134" w:type="dxa"/>
          </w:tcPr>
          <w:p w14:paraId="6DB83A68" w14:textId="7233559C" w:rsidR="00C047F2" w:rsidRPr="00BA19B7" w:rsidRDefault="6CA6B1FD" w:rsidP="005876F9">
            <w:pPr>
              <w:rPr>
                <w:sz w:val="20"/>
                <w:szCs w:val="20"/>
              </w:rPr>
            </w:pPr>
            <w:r w:rsidRPr="3A5C68A3">
              <w:rPr>
                <w:sz w:val="20"/>
                <w:szCs w:val="20"/>
              </w:rPr>
              <w:t>Noted</w:t>
            </w:r>
          </w:p>
        </w:tc>
        <w:tc>
          <w:tcPr>
            <w:tcW w:w="4252" w:type="dxa"/>
          </w:tcPr>
          <w:p w14:paraId="38EB5773" w14:textId="018CBFE4" w:rsidR="00C047F2" w:rsidRDefault="6CA6B1FD" w:rsidP="3A5C68A3">
            <w:pPr>
              <w:rPr>
                <w:sz w:val="20"/>
                <w:szCs w:val="20"/>
              </w:rPr>
            </w:pPr>
            <w:r w:rsidRPr="3A5C68A3">
              <w:rPr>
                <w:sz w:val="20"/>
                <w:szCs w:val="20"/>
              </w:rPr>
              <w:t>In recognition of the need for flexible and rapid funding to respond to emergencies</w:t>
            </w:r>
            <w:r w:rsidR="50053E83" w:rsidRPr="3A5C68A3">
              <w:rPr>
                <w:sz w:val="20"/>
                <w:szCs w:val="20"/>
              </w:rPr>
              <w:t xml:space="preserve">, DFAT established </w:t>
            </w:r>
            <w:r w:rsidR="0311452F" w:rsidRPr="3A5C68A3">
              <w:rPr>
                <w:sz w:val="20"/>
                <w:szCs w:val="20"/>
              </w:rPr>
              <w:t xml:space="preserve">the </w:t>
            </w:r>
            <w:r w:rsidR="50053E83" w:rsidRPr="3A5C68A3">
              <w:rPr>
                <w:sz w:val="20"/>
                <w:szCs w:val="20"/>
              </w:rPr>
              <w:t>Indo Pacifi</w:t>
            </w:r>
            <w:r w:rsidR="2A24986D" w:rsidRPr="3A5C68A3">
              <w:rPr>
                <w:sz w:val="20"/>
                <w:szCs w:val="20"/>
              </w:rPr>
              <w:t>c Response</w:t>
            </w:r>
            <w:r w:rsidR="50053E83" w:rsidRPr="3A5C68A3">
              <w:rPr>
                <w:sz w:val="20"/>
                <w:szCs w:val="20"/>
              </w:rPr>
              <w:t xml:space="preserve"> Flexible Fund (IPRFF)</w:t>
            </w:r>
            <w:r w:rsidR="4180AA3E" w:rsidRPr="3A5C68A3">
              <w:rPr>
                <w:sz w:val="20"/>
                <w:szCs w:val="20"/>
              </w:rPr>
              <w:t xml:space="preserve"> as part of AHP Phase </w:t>
            </w:r>
            <w:r w:rsidR="004042BC">
              <w:rPr>
                <w:sz w:val="20"/>
                <w:szCs w:val="20"/>
              </w:rPr>
              <w:t>2</w:t>
            </w:r>
            <w:r w:rsidR="7B5EEFA7" w:rsidRPr="3A5C68A3">
              <w:rPr>
                <w:sz w:val="20"/>
                <w:szCs w:val="20"/>
              </w:rPr>
              <w:t>. The IPRFF pre-positions</w:t>
            </w:r>
            <w:r w:rsidR="50053E83" w:rsidRPr="3A5C68A3">
              <w:rPr>
                <w:sz w:val="20"/>
                <w:szCs w:val="20"/>
              </w:rPr>
              <w:t xml:space="preserve"> </w:t>
            </w:r>
            <w:proofErr w:type="gramStart"/>
            <w:r w:rsidR="50053E83" w:rsidRPr="3A5C68A3">
              <w:rPr>
                <w:sz w:val="20"/>
                <w:szCs w:val="20"/>
              </w:rPr>
              <w:t>funding</w:t>
            </w:r>
            <w:proofErr w:type="gramEnd"/>
            <w:r w:rsidR="50053E83" w:rsidRPr="3A5C68A3">
              <w:rPr>
                <w:sz w:val="20"/>
                <w:szCs w:val="20"/>
              </w:rPr>
              <w:t xml:space="preserve"> for rapid and locali</w:t>
            </w:r>
            <w:r w:rsidR="2B1789B4" w:rsidRPr="3A5C68A3">
              <w:rPr>
                <w:sz w:val="20"/>
                <w:szCs w:val="20"/>
              </w:rPr>
              <w:t>s</w:t>
            </w:r>
            <w:r w:rsidR="50053E83" w:rsidRPr="3A5C68A3">
              <w:rPr>
                <w:sz w:val="20"/>
                <w:szCs w:val="20"/>
              </w:rPr>
              <w:t>ed responses.</w:t>
            </w:r>
            <w:r w:rsidR="6C37988A" w:rsidRPr="3A5C68A3">
              <w:rPr>
                <w:sz w:val="20"/>
                <w:szCs w:val="20"/>
              </w:rPr>
              <w:t xml:space="preserve"> This recommendation, as well as lessons from the implementation of the IPRFF, will inform the design of any future humanitarian partnership program.</w:t>
            </w:r>
          </w:p>
          <w:p w14:paraId="4FA58BA9" w14:textId="02B2913E" w:rsidR="00772A3A" w:rsidRPr="00BA19B7" w:rsidRDefault="00772A3A" w:rsidP="3A5C68A3">
            <w:pPr>
              <w:rPr>
                <w:sz w:val="20"/>
                <w:szCs w:val="20"/>
              </w:rPr>
            </w:pPr>
          </w:p>
        </w:tc>
        <w:tc>
          <w:tcPr>
            <w:tcW w:w="1276" w:type="dxa"/>
          </w:tcPr>
          <w:p w14:paraId="71F1684A" w14:textId="14CA5B61" w:rsidR="00C047F2" w:rsidRPr="00BA19B7" w:rsidRDefault="00436B7D" w:rsidP="005876F9">
            <w:pPr>
              <w:rPr>
                <w:sz w:val="20"/>
                <w:szCs w:val="20"/>
              </w:rPr>
            </w:pPr>
            <w:r>
              <w:rPr>
                <w:sz w:val="20"/>
                <w:szCs w:val="20"/>
              </w:rPr>
              <w:t>2026</w:t>
            </w:r>
          </w:p>
        </w:tc>
      </w:tr>
      <w:tr w:rsidR="00C047F2" w:rsidRPr="00BA19B7" w14:paraId="07766742" w14:textId="3952CCD6" w:rsidTr="73A45BEF">
        <w:tc>
          <w:tcPr>
            <w:tcW w:w="6374" w:type="dxa"/>
          </w:tcPr>
          <w:p w14:paraId="23F260C5" w14:textId="2BD097D2" w:rsidR="00C047F2" w:rsidRPr="00BA19B7" w:rsidRDefault="00C047F2" w:rsidP="00D16F16">
            <w:pPr>
              <w:rPr>
                <w:sz w:val="20"/>
                <w:szCs w:val="20"/>
              </w:rPr>
            </w:pPr>
            <w:r w:rsidRPr="00BA19B7">
              <w:rPr>
                <w:rFonts w:cstheme="minorHAnsi"/>
                <w:b/>
                <w:bCs/>
                <w:sz w:val="20"/>
                <w:szCs w:val="20"/>
              </w:rPr>
              <w:t>Clarify criteria for using competitive vs. collaborative activations</w:t>
            </w:r>
            <w:r w:rsidRPr="00BA19B7">
              <w:rPr>
                <w:rFonts w:cstheme="minorHAnsi"/>
                <w:sz w:val="20"/>
                <w:szCs w:val="20"/>
              </w:rPr>
              <w:t xml:space="preserve"> and communicate these </w:t>
            </w:r>
            <w:proofErr w:type="spellStart"/>
            <w:r w:rsidRPr="00BA19B7">
              <w:rPr>
                <w:rFonts w:cstheme="minorHAnsi"/>
                <w:sz w:val="20"/>
                <w:szCs w:val="20"/>
              </w:rPr>
              <w:t>to</w:t>
            </w:r>
            <w:proofErr w:type="spellEnd"/>
            <w:r w:rsidRPr="00BA19B7">
              <w:rPr>
                <w:rFonts w:cstheme="minorHAnsi"/>
                <w:sz w:val="20"/>
                <w:szCs w:val="20"/>
              </w:rPr>
              <w:t xml:space="preserve"> partners and Posts.</w:t>
            </w:r>
          </w:p>
        </w:tc>
        <w:tc>
          <w:tcPr>
            <w:tcW w:w="1418" w:type="dxa"/>
          </w:tcPr>
          <w:p w14:paraId="24772628" w14:textId="62B6A740" w:rsidR="00C047F2" w:rsidRPr="00BA19B7" w:rsidRDefault="00C047F2" w:rsidP="00D16F16">
            <w:pPr>
              <w:rPr>
                <w:sz w:val="20"/>
                <w:szCs w:val="20"/>
              </w:rPr>
            </w:pPr>
            <w:r w:rsidRPr="00BA19B7">
              <w:rPr>
                <w:sz w:val="20"/>
                <w:szCs w:val="20"/>
              </w:rPr>
              <w:t>DFAT/ AHPSU</w:t>
            </w:r>
          </w:p>
        </w:tc>
        <w:tc>
          <w:tcPr>
            <w:tcW w:w="1134" w:type="dxa"/>
          </w:tcPr>
          <w:p w14:paraId="09FF960A" w14:textId="753A6DCB" w:rsidR="00C047F2" w:rsidRPr="00BA19B7" w:rsidRDefault="00C047F2" w:rsidP="00D16F16">
            <w:pPr>
              <w:rPr>
                <w:sz w:val="20"/>
                <w:szCs w:val="20"/>
              </w:rPr>
            </w:pPr>
            <w:r w:rsidRPr="00BA19B7">
              <w:rPr>
                <w:sz w:val="20"/>
                <w:szCs w:val="20"/>
              </w:rPr>
              <w:t>Agree</w:t>
            </w:r>
          </w:p>
        </w:tc>
        <w:tc>
          <w:tcPr>
            <w:tcW w:w="4252" w:type="dxa"/>
          </w:tcPr>
          <w:p w14:paraId="4EABDAF5" w14:textId="77777777" w:rsidR="00772A3A" w:rsidRPr="00E02CBA" w:rsidRDefault="5B2D4036" w:rsidP="00AE1106">
            <w:pPr>
              <w:rPr>
                <w:sz w:val="20"/>
                <w:szCs w:val="20"/>
              </w:rPr>
            </w:pPr>
            <w:r w:rsidRPr="00E02CBA">
              <w:rPr>
                <w:sz w:val="20"/>
                <w:szCs w:val="20"/>
              </w:rPr>
              <w:t>DFAT will refine</w:t>
            </w:r>
            <w:r w:rsidR="2152D326" w:rsidRPr="00E02CBA">
              <w:rPr>
                <w:sz w:val="20"/>
                <w:szCs w:val="20"/>
              </w:rPr>
              <w:t xml:space="preserve"> existing </w:t>
            </w:r>
            <w:r w:rsidR="2E78BA38" w:rsidRPr="00E02CBA">
              <w:rPr>
                <w:sz w:val="20"/>
                <w:szCs w:val="20"/>
              </w:rPr>
              <w:t xml:space="preserve">Standard Operating </w:t>
            </w:r>
            <w:r w:rsidR="149321A7" w:rsidRPr="00E02CBA">
              <w:rPr>
                <w:sz w:val="20"/>
                <w:szCs w:val="20"/>
              </w:rPr>
              <w:t xml:space="preserve">Procedures </w:t>
            </w:r>
            <w:r w:rsidR="2152D326" w:rsidRPr="00E02CBA">
              <w:rPr>
                <w:sz w:val="20"/>
                <w:szCs w:val="20"/>
              </w:rPr>
              <w:t>and guidance</w:t>
            </w:r>
            <w:r w:rsidR="7C704224" w:rsidRPr="00E02CBA">
              <w:rPr>
                <w:sz w:val="20"/>
                <w:szCs w:val="20"/>
              </w:rPr>
              <w:t xml:space="preserve"> </w:t>
            </w:r>
            <w:r w:rsidR="766672E2" w:rsidRPr="00E02CBA">
              <w:rPr>
                <w:sz w:val="20"/>
                <w:szCs w:val="20"/>
              </w:rPr>
              <w:t>relating to emergency responses</w:t>
            </w:r>
            <w:r w:rsidR="00AE1106" w:rsidRPr="00E02CBA">
              <w:rPr>
                <w:sz w:val="20"/>
                <w:szCs w:val="20"/>
              </w:rPr>
              <w:t xml:space="preserve">. </w:t>
            </w:r>
          </w:p>
          <w:p w14:paraId="2D2BB861" w14:textId="516E75BA" w:rsidR="00AE1106" w:rsidRPr="00E02CBA" w:rsidRDefault="00AE1106" w:rsidP="00AE1106">
            <w:pPr>
              <w:rPr>
                <w:sz w:val="20"/>
                <w:szCs w:val="20"/>
              </w:rPr>
            </w:pPr>
          </w:p>
        </w:tc>
        <w:tc>
          <w:tcPr>
            <w:tcW w:w="1276" w:type="dxa"/>
          </w:tcPr>
          <w:p w14:paraId="38890D6D" w14:textId="7D1367C5" w:rsidR="00C047F2" w:rsidRPr="00BA19B7" w:rsidRDefault="00436B7D" w:rsidP="00D16F16">
            <w:pPr>
              <w:rPr>
                <w:sz w:val="20"/>
                <w:szCs w:val="20"/>
              </w:rPr>
            </w:pPr>
            <w:r>
              <w:rPr>
                <w:sz w:val="20"/>
                <w:szCs w:val="20"/>
              </w:rPr>
              <w:t>2026</w:t>
            </w:r>
          </w:p>
        </w:tc>
      </w:tr>
      <w:tr w:rsidR="00C047F2" w:rsidRPr="00BA19B7" w14:paraId="1DAED477" w14:textId="3BD63967" w:rsidTr="73A45BEF">
        <w:tc>
          <w:tcPr>
            <w:tcW w:w="6374" w:type="dxa"/>
          </w:tcPr>
          <w:p w14:paraId="6463F4D1" w14:textId="1D9EDC67" w:rsidR="00C047F2" w:rsidRPr="00BA19B7" w:rsidRDefault="00C047F2" w:rsidP="00D16F16">
            <w:pPr>
              <w:rPr>
                <w:sz w:val="20"/>
                <w:szCs w:val="20"/>
              </w:rPr>
            </w:pPr>
            <w:r w:rsidRPr="00BA19B7">
              <w:rPr>
                <w:rStyle w:val="Strong"/>
                <w:sz w:val="20"/>
                <w:szCs w:val="20"/>
              </w:rPr>
              <w:t>Clarify and standardise allowances for administrative overheads and indirect cost recovery (ICR),</w:t>
            </w:r>
            <w:r w:rsidRPr="00BA19B7">
              <w:rPr>
                <w:sz w:val="20"/>
                <w:szCs w:val="20"/>
              </w:rPr>
              <w:t xml:space="preserve"> ensuring greater equity across Australian and local partners and enabling </w:t>
            </w:r>
            <w:r w:rsidRPr="00BA19B7">
              <w:rPr>
                <w:rStyle w:val="Strong"/>
                <w:sz w:val="20"/>
                <w:szCs w:val="20"/>
              </w:rPr>
              <w:t>localised core funding</w:t>
            </w:r>
            <w:r w:rsidRPr="00BA19B7">
              <w:rPr>
                <w:sz w:val="20"/>
                <w:szCs w:val="20"/>
              </w:rPr>
              <w:t xml:space="preserve"> to strengthen institutional sustainability and ability to meet DFAT standards and manage risk. Establish clear guidance on allowable overhead rates, reporting requirements, and conditions for local partner ICR eligibility.</w:t>
            </w:r>
          </w:p>
        </w:tc>
        <w:tc>
          <w:tcPr>
            <w:tcW w:w="1418" w:type="dxa"/>
          </w:tcPr>
          <w:p w14:paraId="69B3D0D9" w14:textId="4E4B82AD" w:rsidR="00C047F2" w:rsidRPr="00BA19B7" w:rsidRDefault="00C047F2" w:rsidP="00D16F16">
            <w:pPr>
              <w:rPr>
                <w:sz w:val="20"/>
                <w:szCs w:val="20"/>
              </w:rPr>
            </w:pPr>
            <w:r w:rsidRPr="65DAB74E">
              <w:rPr>
                <w:sz w:val="20"/>
                <w:szCs w:val="20"/>
              </w:rPr>
              <w:t>DFAT</w:t>
            </w:r>
          </w:p>
        </w:tc>
        <w:tc>
          <w:tcPr>
            <w:tcW w:w="1134" w:type="dxa"/>
          </w:tcPr>
          <w:p w14:paraId="326011F7" w14:textId="7DA12F46" w:rsidR="00C047F2" w:rsidRPr="00BA19B7" w:rsidRDefault="00C047F2" w:rsidP="00D16F16">
            <w:pPr>
              <w:rPr>
                <w:sz w:val="20"/>
                <w:szCs w:val="20"/>
              </w:rPr>
            </w:pPr>
            <w:r w:rsidRPr="00BA19B7">
              <w:rPr>
                <w:sz w:val="20"/>
                <w:szCs w:val="20"/>
              </w:rPr>
              <w:t>Noted</w:t>
            </w:r>
          </w:p>
        </w:tc>
        <w:tc>
          <w:tcPr>
            <w:tcW w:w="4252" w:type="dxa"/>
          </w:tcPr>
          <w:p w14:paraId="2A9DF13F" w14:textId="179EEB7F" w:rsidR="00772A3A" w:rsidRPr="00E02CBA" w:rsidRDefault="001874CD" w:rsidP="65DAB74E">
            <w:pPr>
              <w:rPr>
                <w:i/>
                <w:iCs/>
                <w:sz w:val="20"/>
                <w:szCs w:val="20"/>
              </w:rPr>
            </w:pPr>
            <w:r w:rsidRPr="00E02CBA">
              <w:rPr>
                <w:sz w:val="20"/>
                <w:szCs w:val="20"/>
              </w:rPr>
              <w:t>DFAT</w:t>
            </w:r>
            <w:r w:rsidR="734224A0" w:rsidRPr="00E02CBA">
              <w:rPr>
                <w:sz w:val="20"/>
                <w:szCs w:val="20"/>
              </w:rPr>
              <w:t xml:space="preserve"> </w:t>
            </w:r>
            <w:r w:rsidR="22E0CD61" w:rsidRPr="00E02CBA">
              <w:rPr>
                <w:sz w:val="20"/>
                <w:szCs w:val="20"/>
              </w:rPr>
              <w:t xml:space="preserve">is committed to </w:t>
            </w:r>
            <w:r w:rsidR="40EFB877" w:rsidRPr="00E02CBA">
              <w:rPr>
                <w:sz w:val="20"/>
                <w:szCs w:val="20"/>
              </w:rPr>
              <w:t>engaging local communities and organisations to strengthen local leadership and capability to prepare for and respond to disasters</w:t>
            </w:r>
            <w:r w:rsidR="2C631565" w:rsidRPr="00E02CBA">
              <w:rPr>
                <w:sz w:val="20"/>
                <w:szCs w:val="20"/>
              </w:rPr>
              <w:t xml:space="preserve">. This recommendation will inform the design of any future humanitarian partnership program, in line with Australia’s </w:t>
            </w:r>
            <w:r w:rsidR="2C631565" w:rsidRPr="00E02CBA">
              <w:rPr>
                <w:i/>
                <w:iCs/>
                <w:sz w:val="20"/>
                <w:szCs w:val="20"/>
              </w:rPr>
              <w:t>Humanitarian Policy.</w:t>
            </w:r>
          </w:p>
        </w:tc>
        <w:tc>
          <w:tcPr>
            <w:tcW w:w="1276" w:type="dxa"/>
          </w:tcPr>
          <w:p w14:paraId="2464F0FF" w14:textId="3B458BDB" w:rsidR="00C047F2" w:rsidRPr="00BA19B7" w:rsidRDefault="00436B7D" w:rsidP="00D16F16">
            <w:pPr>
              <w:rPr>
                <w:sz w:val="20"/>
                <w:szCs w:val="20"/>
              </w:rPr>
            </w:pPr>
            <w:r>
              <w:rPr>
                <w:sz w:val="20"/>
                <w:szCs w:val="20"/>
              </w:rPr>
              <w:t>2026</w:t>
            </w:r>
          </w:p>
        </w:tc>
      </w:tr>
    </w:tbl>
    <w:p w14:paraId="49395B27" w14:textId="77777777" w:rsidR="00306384" w:rsidRDefault="00306384"/>
    <w:p w14:paraId="355655E9" w14:textId="6E78CA57" w:rsidR="00F21B87" w:rsidRPr="004F6EE8" w:rsidRDefault="004F6EE8" w:rsidP="00A14F3C">
      <w:pPr>
        <w:pStyle w:val="Heading2"/>
      </w:pPr>
      <w:r w:rsidRPr="004F6EE8">
        <w:t>Partner selection and performance</w:t>
      </w:r>
    </w:p>
    <w:tbl>
      <w:tblPr>
        <w:tblStyle w:val="TableGrid"/>
        <w:tblW w:w="14454" w:type="dxa"/>
        <w:tblLayout w:type="fixed"/>
        <w:tblLook w:val="04A0" w:firstRow="1" w:lastRow="0" w:firstColumn="1" w:lastColumn="0" w:noHBand="0" w:noVBand="1"/>
      </w:tblPr>
      <w:tblGrid>
        <w:gridCol w:w="6374"/>
        <w:gridCol w:w="1418"/>
        <w:gridCol w:w="1134"/>
        <w:gridCol w:w="4252"/>
        <w:gridCol w:w="1276"/>
      </w:tblGrid>
      <w:tr w:rsidR="004F6EE8" w:rsidRPr="00BA19B7" w14:paraId="7B61219C" w14:textId="77777777" w:rsidTr="00A14F3C">
        <w:trPr>
          <w:tblHeader/>
        </w:trPr>
        <w:tc>
          <w:tcPr>
            <w:tcW w:w="6374" w:type="dxa"/>
          </w:tcPr>
          <w:p w14:paraId="41EB56DD" w14:textId="77777777" w:rsidR="004F6EE8" w:rsidRPr="00BA19B7" w:rsidRDefault="004F6EE8" w:rsidP="00260DDC">
            <w:pPr>
              <w:rPr>
                <w:b/>
                <w:bCs/>
                <w:sz w:val="20"/>
                <w:szCs w:val="20"/>
              </w:rPr>
            </w:pPr>
            <w:r w:rsidRPr="00BA19B7">
              <w:rPr>
                <w:b/>
                <w:bCs/>
                <w:sz w:val="20"/>
                <w:szCs w:val="20"/>
              </w:rPr>
              <w:t>Recommendation</w:t>
            </w:r>
          </w:p>
        </w:tc>
        <w:tc>
          <w:tcPr>
            <w:tcW w:w="1418" w:type="dxa"/>
          </w:tcPr>
          <w:p w14:paraId="7C70287C" w14:textId="77777777" w:rsidR="004F6EE8" w:rsidRPr="00BA19B7" w:rsidRDefault="004F6EE8" w:rsidP="00260DDC">
            <w:pPr>
              <w:rPr>
                <w:b/>
                <w:bCs/>
                <w:sz w:val="20"/>
                <w:szCs w:val="20"/>
              </w:rPr>
            </w:pPr>
            <w:r w:rsidRPr="00BA19B7">
              <w:rPr>
                <w:b/>
                <w:bCs/>
                <w:sz w:val="20"/>
                <w:szCs w:val="20"/>
              </w:rPr>
              <w:t>Responsible</w:t>
            </w:r>
          </w:p>
        </w:tc>
        <w:tc>
          <w:tcPr>
            <w:tcW w:w="1134" w:type="dxa"/>
          </w:tcPr>
          <w:p w14:paraId="75CE12D5" w14:textId="77777777" w:rsidR="004F6EE8" w:rsidRPr="00BA19B7" w:rsidRDefault="004F6EE8" w:rsidP="00260DDC">
            <w:pPr>
              <w:rPr>
                <w:b/>
                <w:bCs/>
                <w:sz w:val="20"/>
                <w:szCs w:val="20"/>
              </w:rPr>
            </w:pPr>
            <w:r w:rsidRPr="00BA19B7">
              <w:rPr>
                <w:b/>
                <w:bCs/>
                <w:sz w:val="20"/>
                <w:szCs w:val="20"/>
              </w:rPr>
              <w:t>Response</w:t>
            </w:r>
          </w:p>
        </w:tc>
        <w:tc>
          <w:tcPr>
            <w:tcW w:w="4252" w:type="dxa"/>
          </w:tcPr>
          <w:p w14:paraId="7DB563E5" w14:textId="77777777" w:rsidR="004F6EE8" w:rsidRPr="00BA19B7" w:rsidRDefault="004F6EE8" w:rsidP="00260DDC">
            <w:pPr>
              <w:rPr>
                <w:b/>
                <w:bCs/>
                <w:sz w:val="20"/>
                <w:szCs w:val="20"/>
              </w:rPr>
            </w:pPr>
            <w:r w:rsidRPr="00BA19B7">
              <w:rPr>
                <w:b/>
                <w:bCs/>
                <w:sz w:val="20"/>
                <w:szCs w:val="20"/>
              </w:rPr>
              <w:t>Comment</w:t>
            </w:r>
          </w:p>
        </w:tc>
        <w:tc>
          <w:tcPr>
            <w:tcW w:w="1276" w:type="dxa"/>
          </w:tcPr>
          <w:p w14:paraId="32C64566" w14:textId="77777777" w:rsidR="004F6EE8" w:rsidRPr="00BA19B7" w:rsidRDefault="004F6EE8" w:rsidP="00260DDC">
            <w:pPr>
              <w:rPr>
                <w:b/>
                <w:bCs/>
                <w:sz w:val="20"/>
                <w:szCs w:val="20"/>
              </w:rPr>
            </w:pPr>
            <w:r>
              <w:rPr>
                <w:b/>
                <w:bCs/>
                <w:sz w:val="20"/>
                <w:szCs w:val="20"/>
              </w:rPr>
              <w:t>Timeframe</w:t>
            </w:r>
          </w:p>
        </w:tc>
      </w:tr>
      <w:tr w:rsidR="00C047F2" w:rsidRPr="00BA19B7" w14:paraId="7A6163C9" w14:textId="4DDBB74D" w:rsidTr="73A45BEF">
        <w:tc>
          <w:tcPr>
            <w:tcW w:w="6374" w:type="dxa"/>
          </w:tcPr>
          <w:p w14:paraId="5F223546" w14:textId="5A5D7D0C" w:rsidR="00C047F2" w:rsidRPr="00BA19B7" w:rsidRDefault="00C047F2" w:rsidP="00D16F16">
            <w:pPr>
              <w:rPr>
                <w:sz w:val="20"/>
                <w:szCs w:val="20"/>
              </w:rPr>
            </w:pPr>
            <w:r w:rsidRPr="00BA19B7">
              <w:rPr>
                <w:rFonts w:cstheme="minorHAnsi"/>
                <w:b/>
                <w:bCs/>
                <w:sz w:val="20"/>
                <w:szCs w:val="20"/>
              </w:rPr>
              <w:t xml:space="preserve">Establish a process for periodically refreshing or revalidating the partner pool. </w:t>
            </w:r>
            <w:r w:rsidRPr="00BA19B7">
              <w:rPr>
                <w:rFonts w:cstheme="minorHAnsi"/>
                <w:sz w:val="20"/>
                <w:szCs w:val="20"/>
              </w:rPr>
              <w:t>This should aim to include smaller, specialist, or regionally based NGOs, maintaining diversity of technical expertise and innovation.</w:t>
            </w:r>
          </w:p>
        </w:tc>
        <w:tc>
          <w:tcPr>
            <w:tcW w:w="1418" w:type="dxa"/>
          </w:tcPr>
          <w:p w14:paraId="3E62B2A5" w14:textId="0FFA2ED7" w:rsidR="00C047F2" w:rsidRPr="00BA19B7" w:rsidRDefault="00C047F2" w:rsidP="00D16F16">
            <w:pPr>
              <w:rPr>
                <w:sz w:val="20"/>
                <w:szCs w:val="20"/>
              </w:rPr>
            </w:pPr>
            <w:r w:rsidRPr="00BA19B7">
              <w:rPr>
                <w:sz w:val="20"/>
                <w:szCs w:val="20"/>
              </w:rPr>
              <w:t>DFAT</w:t>
            </w:r>
          </w:p>
        </w:tc>
        <w:tc>
          <w:tcPr>
            <w:tcW w:w="1134" w:type="dxa"/>
          </w:tcPr>
          <w:p w14:paraId="6B6C3337" w14:textId="35568456" w:rsidR="00C047F2" w:rsidRPr="00BA19B7" w:rsidRDefault="00C047F2" w:rsidP="00D16F16">
            <w:pPr>
              <w:rPr>
                <w:sz w:val="20"/>
                <w:szCs w:val="20"/>
              </w:rPr>
            </w:pPr>
            <w:r w:rsidRPr="00BA19B7">
              <w:rPr>
                <w:sz w:val="20"/>
                <w:szCs w:val="20"/>
              </w:rPr>
              <w:t>Noted</w:t>
            </w:r>
          </w:p>
        </w:tc>
        <w:tc>
          <w:tcPr>
            <w:tcW w:w="4252" w:type="dxa"/>
          </w:tcPr>
          <w:p w14:paraId="251197E7" w14:textId="26C3FB48" w:rsidR="00C047F2" w:rsidRPr="00E02CBA" w:rsidRDefault="002C0C4E" w:rsidP="3A5C68A3">
            <w:pPr>
              <w:rPr>
                <w:sz w:val="20"/>
                <w:szCs w:val="20"/>
              </w:rPr>
            </w:pPr>
            <w:r w:rsidRPr="00E02CBA">
              <w:rPr>
                <w:sz w:val="20"/>
                <w:szCs w:val="20"/>
              </w:rPr>
              <w:t>DFAT</w:t>
            </w:r>
            <w:r w:rsidR="3DC0B727" w:rsidRPr="00E02CBA">
              <w:rPr>
                <w:sz w:val="20"/>
                <w:szCs w:val="20"/>
              </w:rPr>
              <w:t xml:space="preserve"> notes the evaluation’s finding that</w:t>
            </w:r>
            <w:r w:rsidR="7702137E" w:rsidRPr="00E02CBA">
              <w:rPr>
                <w:sz w:val="20"/>
                <w:szCs w:val="20"/>
              </w:rPr>
              <w:t xml:space="preserve"> AHP partners and their local partners collectively provide Australia with comprehensive humanitarian reach, </w:t>
            </w:r>
            <w:r w:rsidR="78D214C4" w:rsidRPr="00E02CBA">
              <w:rPr>
                <w:sz w:val="20"/>
                <w:szCs w:val="20"/>
              </w:rPr>
              <w:t xml:space="preserve">spanning </w:t>
            </w:r>
            <w:r w:rsidR="7702137E" w:rsidRPr="00E02CBA">
              <w:rPr>
                <w:sz w:val="20"/>
                <w:szCs w:val="20"/>
              </w:rPr>
              <w:t>health, protection, education, food security, livelihoods, shelter, WASH, cash transfer and disas</w:t>
            </w:r>
            <w:r w:rsidR="5F778FCB" w:rsidRPr="00E02CBA">
              <w:rPr>
                <w:sz w:val="20"/>
                <w:szCs w:val="20"/>
              </w:rPr>
              <w:t xml:space="preserve">ter risk reduction/climate resilience. </w:t>
            </w:r>
            <w:r w:rsidR="12BDFF10" w:rsidRPr="00E02CBA">
              <w:rPr>
                <w:sz w:val="20"/>
                <w:szCs w:val="20"/>
              </w:rPr>
              <w:t xml:space="preserve">This </w:t>
            </w:r>
            <w:r w:rsidR="12BDFF10" w:rsidRPr="00E02CBA">
              <w:rPr>
                <w:sz w:val="20"/>
                <w:szCs w:val="20"/>
              </w:rPr>
              <w:lastRenderedPageBreak/>
              <w:t>recommendation will inform the design of any future humanitarian partnership program.</w:t>
            </w:r>
          </w:p>
          <w:p w14:paraId="30F5A590" w14:textId="7200994B" w:rsidR="00C047F2" w:rsidRPr="00E02CBA" w:rsidRDefault="00C047F2" w:rsidP="3A5C68A3">
            <w:pPr>
              <w:rPr>
                <w:sz w:val="20"/>
                <w:szCs w:val="20"/>
              </w:rPr>
            </w:pPr>
          </w:p>
        </w:tc>
        <w:tc>
          <w:tcPr>
            <w:tcW w:w="1276" w:type="dxa"/>
          </w:tcPr>
          <w:p w14:paraId="0113E39C" w14:textId="59FC3A9D" w:rsidR="00C047F2" w:rsidRPr="00BA19B7" w:rsidRDefault="00436B7D" w:rsidP="00D16F16">
            <w:pPr>
              <w:rPr>
                <w:sz w:val="20"/>
                <w:szCs w:val="20"/>
              </w:rPr>
            </w:pPr>
            <w:r>
              <w:rPr>
                <w:sz w:val="20"/>
                <w:szCs w:val="20"/>
              </w:rPr>
              <w:lastRenderedPageBreak/>
              <w:t>2026</w:t>
            </w:r>
          </w:p>
        </w:tc>
      </w:tr>
      <w:tr w:rsidR="00C047F2" w:rsidRPr="00BA19B7" w14:paraId="7DE02496" w14:textId="1A272E42" w:rsidTr="73A45BEF">
        <w:trPr>
          <w:trHeight w:val="615"/>
        </w:trPr>
        <w:tc>
          <w:tcPr>
            <w:tcW w:w="6374" w:type="dxa"/>
          </w:tcPr>
          <w:p w14:paraId="053E01D8" w14:textId="4F932454" w:rsidR="00C047F2" w:rsidRPr="00BA19B7" w:rsidRDefault="00C047F2" w:rsidP="00D16F16">
            <w:pPr>
              <w:rPr>
                <w:sz w:val="20"/>
                <w:szCs w:val="20"/>
              </w:rPr>
            </w:pPr>
            <w:r w:rsidRPr="00BA19B7">
              <w:rPr>
                <w:rFonts w:cstheme="minorHAnsi"/>
                <w:b/>
                <w:bCs/>
                <w:sz w:val="20"/>
                <w:szCs w:val="20"/>
              </w:rPr>
              <w:t>Define clear performance metrics</w:t>
            </w:r>
            <w:r w:rsidRPr="00BA19B7">
              <w:rPr>
                <w:rFonts w:cstheme="minorHAnsi"/>
                <w:sz w:val="20"/>
                <w:szCs w:val="20"/>
              </w:rPr>
              <w:t xml:space="preserve"> linked to selection criteria and introduce </w:t>
            </w:r>
            <w:r w:rsidRPr="00BA19B7">
              <w:rPr>
                <w:rFonts w:cstheme="minorHAnsi"/>
                <w:b/>
                <w:bCs/>
                <w:sz w:val="20"/>
                <w:szCs w:val="20"/>
              </w:rPr>
              <w:t>pathways in and out of the partnership</w:t>
            </w:r>
            <w:r w:rsidRPr="00BA19B7">
              <w:rPr>
                <w:rFonts w:cstheme="minorHAnsi"/>
                <w:sz w:val="20"/>
                <w:szCs w:val="20"/>
              </w:rPr>
              <w:t xml:space="preserve"> to reward performance and innovation.</w:t>
            </w:r>
          </w:p>
        </w:tc>
        <w:tc>
          <w:tcPr>
            <w:tcW w:w="1418" w:type="dxa"/>
          </w:tcPr>
          <w:p w14:paraId="36D97DA2" w14:textId="3E3C171A" w:rsidR="00C047F2" w:rsidRPr="00BA19B7" w:rsidRDefault="00C047F2" w:rsidP="00D16F16">
            <w:pPr>
              <w:rPr>
                <w:sz w:val="20"/>
                <w:szCs w:val="20"/>
              </w:rPr>
            </w:pPr>
            <w:r w:rsidRPr="00BA19B7">
              <w:rPr>
                <w:sz w:val="20"/>
                <w:szCs w:val="20"/>
              </w:rPr>
              <w:t>DFAT/ AHPSU</w:t>
            </w:r>
          </w:p>
        </w:tc>
        <w:tc>
          <w:tcPr>
            <w:tcW w:w="1134" w:type="dxa"/>
          </w:tcPr>
          <w:p w14:paraId="50B5723D" w14:textId="20DEEE62" w:rsidR="00C047F2" w:rsidRPr="00BA19B7" w:rsidRDefault="00C047F2" w:rsidP="00D16F16">
            <w:pPr>
              <w:rPr>
                <w:sz w:val="20"/>
                <w:szCs w:val="20"/>
              </w:rPr>
            </w:pPr>
            <w:r w:rsidRPr="00BA19B7">
              <w:rPr>
                <w:sz w:val="20"/>
                <w:szCs w:val="20"/>
              </w:rPr>
              <w:t>Noted</w:t>
            </w:r>
          </w:p>
        </w:tc>
        <w:tc>
          <w:tcPr>
            <w:tcW w:w="4252" w:type="dxa"/>
          </w:tcPr>
          <w:p w14:paraId="5BEC6573" w14:textId="2CD00388" w:rsidR="00772A3A" w:rsidRPr="00BA19B7" w:rsidRDefault="00254BFE" w:rsidP="3A5C68A3">
            <w:pPr>
              <w:rPr>
                <w:sz w:val="20"/>
                <w:szCs w:val="20"/>
              </w:rPr>
            </w:pPr>
            <w:r>
              <w:rPr>
                <w:sz w:val="20"/>
                <w:szCs w:val="20"/>
              </w:rPr>
              <w:t xml:space="preserve">DFAT </w:t>
            </w:r>
            <w:r w:rsidR="00795334">
              <w:rPr>
                <w:sz w:val="20"/>
                <w:szCs w:val="20"/>
              </w:rPr>
              <w:t>manages the per</w:t>
            </w:r>
            <w:r w:rsidR="00295AB7">
              <w:rPr>
                <w:sz w:val="20"/>
                <w:szCs w:val="20"/>
              </w:rPr>
              <w:t xml:space="preserve">formance of </w:t>
            </w:r>
            <w:r w:rsidR="004379D6">
              <w:rPr>
                <w:sz w:val="20"/>
                <w:szCs w:val="20"/>
              </w:rPr>
              <w:t>AHP partners</w:t>
            </w:r>
            <w:r w:rsidR="00C804E6">
              <w:rPr>
                <w:sz w:val="20"/>
                <w:szCs w:val="20"/>
              </w:rPr>
              <w:t>, including effectiveness and efficiency,</w:t>
            </w:r>
            <w:r w:rsidR="004379D6">
              <w:rPr>
                <w:sz w:val="20"/>
                <w:szCs w:val="20"/>
              </w:rPr>
              <w:t xml:space="preserve"> through </w:t>
            </w:r>
            <w:proofErr w:type="gramStart"/>
            <w:r w:rsidR="004379D6">
              <w:rPr>
                <w:sz w:val="20"/>
                <w:szCs w:val="20"/>
              </w:rPr>
              <w:t>a number of</w:t>
            </w:r>
            <w:proofErr w:type="gramEnd"/>
            <w:r w:rsidR="004379D6">
              <w:rPr>
                <w:sz w:val="20"/>
                <w:szCs w:val="20"/>
              </w:rPr>
              <w:t xml:space="preserve"> mechanisms, including</w:t>
            </w:r>
            <w:r w:rsidR="000B02A4">
              <w:rPr>
                <w:sz w:val="20"/>
                <w:szCs w:val="20"/>
              </w:rPr>
              <w:t xml:space="preserve"> </w:t>
            </w:r>
            <w:r w:rsidR="00D51680">
              <w:rPr>
                <w:sz w:val="20"/>
                <w:szCs w:val="20"/>
              </w:rPr>
              <w:t>evaluatio</w:t>
            </w:r>
            <w:r w:rsidR="00DB719C">
              <w:rPr>
                <w:sz w:val="20"/>
                <w:szCs w:val="20"/>
              </w:rPr>
              <w:t xml:space="preserve">n of </w:t>
            </w:r>
            <w:r w:rsidR="00E03727">
              <w:rPr>
                <w:sz w:val="20"/>
                <w:szCs w:val="20"/>
              </w:rPr>
              <w:t xml:space="preserve">responses, </w:t>
            </w:r>
            <w:r w:rsidR="00914EEE">
              <w:rPr>
                <w:sz w:val="20"/>
                <w:szCs w:val="20"/>
              </w:rPr>
              <w:t xml:space="preserve">partner reporting, </w:t>
            </w:r>
            <w:r w:rsidR="003336BC">
              <w:rPr>
                <w:sz w:val="20"/>
                <w:szCs w:val="20"/>
              </w:rPr>
              <w:t xml:space="preserve">monitoring visits </w:t>
            </w:r>
            <w:r w:rsidR="00C05E18">
              <w:rPr>
                <w:sz w:val="20"/>
                <w:szCs w:val="20"/>
              </w:rPr>
              <w:t>of activities</w:t>
            </w:r>
            <w:r w:rsidR="00944920">
              <w:rPr>
                <w:sz w:val="20"/>
                <w:szCs w:val="20"/>
              </w:rPr>
              <w:t xml:space="preserve"> </w:t>
            </w:r>
            <w:r w:rsidR="005F16AE">
              <w:rPr>
                <w:sz w:val="20"/>
                <w:szCs w:val="20"/>
              </w:rPr>
              <w:t xml:space="preserve">and thematic </w:t>
            </w:r>
            <w:r w:rsidR="00A95D74">
              <w:rPr>
                <w:sz w:val="20"/>
                <w:szCs w:val="20"/>
              </w:rPr>
              <w:t>reviews</w:t>
            </w:r>
            <w:r w:rsidR="00E540C3">
              <w:rPr>
                <w:sz w:val="20"/>
                <w:szCs w:val="20"/>
              </w:rPr>
              <w:t>.</w:t>
            </w:r>
            <w:r w:rsidR="00DF1A14">
              <w:rPr>
                <w:sz w:val="20"/>
                <w:szCs w:val="20"/>
              </w:rPr>
              <w:t xml:space="preserve"> </w:t>
            </w:r>
            <w:r w:rsidR="00526263">
              <w:rPr>
                <w:sz w:val="20"/>
                <w:szCs w:val="20"/>
              </w:rPr>
              <w:t xml:space="preserve"> </w:t>
            </w:r>
            <w:r w:rsidR="00D54813">
              <w:rPr>
                <w:sz w:val="20"/>
                <w:szCs w:val="20"/>
              </w:rPr>
              <w:t>These existing mechanism</w:t>
            </w:r>
            <w:r w:rsidR="00C66EDC">
              <w:rPr>
                <w:sz w:val="20"/>
                <w:szCs w:val="20"/>
              </w:rPr>
              <w:t>s</w:t>
            </w:r>
            <w:r w:rsidR="00D54813">
              <w:rPr>
                <w:sz w:val="20"/>
                <w:szCs w:val="20"/>
              </w:rPr>
              <w:t xml:space="preserve"> </w:t>
            </w:r>
            <w:r w:rsidR="25540A17" w:rsidRPr="3A5C68A3">
              <w:rPr>
                <w:sz w:val="20"/>
                <w:szCs w:val="20"/>
              </w:rPr>
              <w:t>will inform the design of any future humanitarian partnership program.</w:t>
            </w:r>
          </w:p>
        </w:tc>
        <w:tc>
          <w:tcPr>
            <w:tcW w:w="1276" w:type="dxa"/>
          </w:tcPr>
          <w:p w14:paraId="6C264A14" w14:textId="48577051" w:rsidR="00C047F2" w:rsidRPr="00BA19B7" w:rsidRDefault="00436B7D" w:rsidP="00D16F16">
            <w:pPr>
              <w:rPr>
                <w:sz w:val="20"/>
                <w:szCs w:val="20"/>
              </w:rPr>
            </w:pPr>
            <w:r>
              <w:rPr>
                <w:sz w:val="20"/>
                <w:szCs w:val="20"/>
              </w:rPr>
              <w:t>2026</w:t>
            </w:r>
          </w:p>
        </w:tc>
      </w:tr>
    </w:tbl>
    <w:p w14:paraId="624DD60F" w14:textId="77777777" w:rsidR="00D775BF" w:rsidRDefault="00D775BF"/>
    <w:p w14:paraId="48FFD1F4" w14:textId="078F5E17" w:rsidR="00FC20B7" w:rsidRPr="00FC20B7" w:rsidRDefault="00FC20B7" w:rsidP="00A14F3C">
      <w:pPr>
        <w:pStyle w:val="Heading2"/>
      </w:pPr>
      <w:r w:rsidRPr="00FC20B7">
        <w:t>Roles &amp; responsibilities</w:t>
      </w:r>
    </w:p>
    <w:tbl>
      <w:tblPr>
        <w:tblStyle w:val="TableGrid"/>
        <w:tblW w:w="14454" w:type="dxa"/>
        <w:tblLayout w:type="fixed"/>
        <w:tblLook w:val="04A0" w:firstRow="1" w:lastRow="0" w:firstColumn="1" w:lastColumn="0" w:noHBand="0" w:noVBand="1"/>
      </w:tblPr>
      <w:tblGrid>
        <w:gridCol w:w="6374"/>
        <w:gridCol w:w="1418"/>
        <w:gridCol w:w="1134"/>
        <w:gridCol w:w="4252"/>
        <w:gridCol w:w="1276"/>
      </w:tblGrid>
      <w:tr w:rsidR="00B70D1E" w:rsidRPr="00BA19B7" w14:paraId="64C7616B" w14:textId="11A4259D" w:rsidTr="00A14F3C">
        <w:trPr>
          <w:tblHeader/>
        </w:trPr>
        <w:tc>
          <w:tcPr>
            <w:tcW w:w="6374" w:type="dxa"/>
          </w:tcPr>
          <w:p w14:paraId="33E87A53" w14:textId="05B00C38" w:rsidR="00B70D1E" w:rsidRPr="00BA19B7" w:rsidRDefault="00B70D1E" w:rsidP="00B70D1E">
            <w:pPr>
              <w:rPr>
                <w:b/>
                <w:bCs/>
                <w:sz w:val="20"/>
                <w:szCs w:val="20"/>
              </w:rPr>
            </w:pPr>
            <w:r w:rsidRPr="00BA19B7">
              <w:rPr>
                <w:b/>
                <w:bCs/>
                <w:sz w:val="20"/>
                <w:szCs w:val="20"/>
              </w:rPr>
              <w:t>Recommendation</w:t>
            </w:r>
          </w:p>
        </w:tc>
        <w:tc>
          <w:tcPr>
            <w:tcW w:w="1418" w:type="dxa"/>
          </w:tcPr>
          <w:p w14:paraId="78A9A0EF" w14:textId="4DD18461" w:rsidR="00B70D1E" w:rsidRPr="00BA19B7" w:rsidRDefault="00B70D1E" w:rsidP="00B70D1E">
            <w:pPr>
              <w:rPr>
                <w:sz w:val="20"/>
                <w:szCs w:val="20"/>
              </w:rPr>
            </w:pPr>
            <w:r w:rsidRPr="00BA19B7">
              <w:rPr>
                <w:b/>
                <w:bCs/>
                <w:sz w:val="20"/>
                <w:szCs w:val="20"/>
              </w:rPr>
              <w:t>Responsible</w:t>
            </w:r>
          </w:p>
        </w:tc>
        <w:tc>
          <w:tcPr>
            <w:tcW w:w="1134" w:type="dxa"/>
          </w:tcPr>
          <w:p w14:paraId="1E8FE86A" w14:textId="79D05460" w:rsidR="00B70D1E" w:rsidRPr="00BA19B7" w:rsidRDefault="00B70D1E" w:rsidP="00B70D1E">
            <w:pPr>
              <w:rPr>
                <w:sz w:val="20"/>
                <w:szCs w:val="20"/>
              </w:rPr>
            </w:pPr>
            <w:r w:rsidRPr="00BA19B7">
              <w:rPr>
                <w:b/>
                <w:bCs/>
                <w:sz w:val="20"/>
                <w:szCs w:val="20"/>
              </w:rPr>
              <w:t>Response</w:t>
            </w:r>
          </w:p>
        </w:tc>
        <w:tc>
          <w:tcPr>
            <w:tcW w:w="4252" w:type="dxa"/>
          </w:tcPr>
          <w:p w14:paraId="11D3DA17" w14:textId="4841F098" w:rsidR="00B70D1E" w:rsidRPr="00BA19B7" w:rsidRDefault="00B70D1E" w:rsidP="00B70D1E">
            <w:pPr>
              <w:rPr>
                <w:sz w:val="20"/>
                <w:szCs w:val="20"/>
              </w:rPr>
            </w:pPr>
            <w:r w:rsidRPr="00BA19B7">
              <w:rPr>
                <w:b/>
                <w:bCs/>
                <w:sz w:val="20"/>
                <w:szCs w:val="20"/>
              </w:rPr>
              <w:t>Comment</w:t>
            </w:r>
          </w:p>
        </w:tc>
        <w:tc>
          <w:tcPr>
            <w:tcW w:w="1276" w:type="dxa"/>
          </w:tcPr>
          <w:p w14:paraId="6143C4AF" w14:textId="24B7CBAA" w:rsidR="00B70D1E" w:rsidRPr="00BA19B7" w:rsidRDefault="00B70D1E" w:rsidP="00B70D1E">
            <w:pPr>
              <w:rPr>
                <w:sz w:val="20"/>
                <w:szCs w:val="20"/>
              </w:rPr>
            </w:pPr>
            <w:r>
              <w:rPr>
                <w:b/>
                <w:bCs/>
                <w:sz w:val="20"/>
                <w:szCs w:val="20"/>
              </w:rPr>
              <w:t>Timeframe</w:t>
            </w:r>
          </w:p>
        </w:tc>
      </w:tr>
      <w:tr w:rsidR="00C047F2" w:rsidRPr="00BA19B7" w14:paraId="01E02635" w14:textId="6FA0315C" w:rsidTr="73A45BEF">
        <w:tc>
          <w:tcPr>
            <w:tcW w:w="6374" w:type="dxa"/>
          </w:tcPr>
          <w:p w14:paraId="4FF126FA" w14:textId="02FF49E7" w:rsidR="00C047F2" w:rsidRPr="00BA19B7" w:rsidRDefault="00C047F2" w:rsidP="00D16F16">
            <w:pPr>
              <w:rPr>
                <w:sz w:val="20"/>
                <w:szCs w:val="20"/>
              </w:rPr>
            </w:pPr>
            <w:r w:rsidRPr="00BA19B7">
              <w:rPr>
                <w:rFonts w:cstheme="minorHAnsi"/>
                <w:b/>
                <w:bCs/>
                <w:sz w:val="20"/>
                <w:szCs w:val="20"/>
              </w:rPr>
              <w:t>Clarify decision-making and communication responsibilities</w:t>
            </w:r>
            <w:r w:rsidRPr="00BA19B7">
              <w:rPr>
                <w:rFonts w:cstheme="minorHAnsi"/>
                <w:sz w:val="20"/>
                <w:szCs w:val="20"/>
              </w:rPr>
              <w:t xml:space="preserve"> across DFAT Canberra, DFAT Posts, and the AHPSU by developing a concise </w:t>
            </w:r>
            <w:r w:rsidRPr="00BA19B7">
              <w:rPr>
                <w:rFonts w:cstheme="minorHAnsi"/>
                <w:b/>
                <w:bCs/>
                <w:sz w:val="20"/>
                <w:szCs w:val="20"/>
              </w:rPr>
              <w:t>Decision Rights and Delegation Framework (RACI)</w:t>
            </w:r>
            <w:r w:rsidRPr="00BA19B7">
              <w:rPr>
                <w:rFonts w:cstheme="minorHAnsi"/>
                <w:sz w:val="20"/>
                <w:szCs w:val="20"/>
              </w:rPr>
              <w:t xml:space="preserve"> for activations and funding approvals.</w:t>
            </w:r>
          </w:p>
        </w:tc>
        <w:tc>
          <w:tcPr>
            <w:tcW w:w="1418" w:type="dxa"/>
          </w:tcPr>
          <w:p w14:paraId="71712E3E" w14:textId="2908EE0A" w:rsidR="00C047F2" w:rsidRPr="00BA19B7" w:rsidRDefault="00C047F2" w:rsidP="00D16F16">
            <w:pPr>
              <w:rPr>
                <w:sz w:val="20"/>
                <w:szCs w:val="20"/>
              </w:rPr>
            </w:pPr>
            <w:r w:rsidRPr="00BA19B7">
              <w:rPr>
                <w:sz w:val="20"/>
                <w:szCs w:val="20"/>
              </w:rPr>
              <w:t>DFAT/ AHPSU</w:t>
            </w:r>
          </w:p>
        </w:tc>
        <w:tc>
          <w:tcPr>
            <w:tcW w:w="1134" w:type="dxa"/>
          </w:tcPr>
          <w:p w14:paraId="1E07F02B" w14:textId="18C12792" w:rsidR="00C047F2" w:rsidRPr="00E02CBA" w:rsidRDefault="00412614" w:rsidP="00D16F16">
            <w:pPr>
              <w:rPr>
                <w:sz w:val="20"/>
                <w:szCs w:val="20"/>
              </w:rPr>
            </w:pPr>
            <w:r w:rsidRPr="00E02CBA">
              <w:rPr>
                <w:sz w:val="20"/>
                <w:szCs w:val="20"/>
              </w:rPr>
              <w:t>Noted</w:t>
            </w:r>
          </w:p>
        </w:tc>
        <w:tc>
          <w:tcPr>
            <w:tcW w:w="4252" w:type="dxa"/>
          </w:tcPr>
          <w:p w14:paraId="31956DF9" w14:textId="1661963F" w:rsidR="00AC392F" w:rsidRPr="00E02CBA" w:rsidRDefault="02434304" w:rsidP="3A5C68A3">
            <w:pPr>
              <w:rPr>
                <w:sz w:val="20"/>
                <w:szCs w:val="20"/>
              </w:rPr>
            </w:pPr>
            <w:r w:rsidRPr="00E02CBA">
              <w:rPr>
                <w:sz w:val="20"/>
                <w:szCs w:val="20"/>
              </w:rPr>
              <w:t>DFAT will refine existing Standard Operating Procedures and guidance relating to emergency responses (including activations and funding approvals).</w:t>
            </w:r>
          </w:p>
        </w:tc>
        <w:tc>
          <w:tcPr>
            <w:tcW w:w="1276" w:type="dxa"/>
          </w:tcPr>
          <w:p w14:paraId="6F929593" w14:textId="44CAC12C" w:rsidR="00C047F2" w:rsidRPr="00BA19B7" w:rsidRDefault="00436B7D" w:rsidP="00D16F16">
            <w:pPr>
              <w:rPr>
                <w:sz w:val="20"/>
                <w:szCs w:val="20"/>
              </w:rPr>
            </w:pPr>
            <w:r>
              <w:rPr>
                <w:sz w:val="20"/>
                <w:szCs w:val="20"/>
              </w:rPr>
              <w:t>2026</w:t>
            </w:r>
          </w:p>
        </w:tc>
      </w:tr>
    </w:tbl>
    <w:p w14:paraId="352BE9B2" w14:textId="77777777" w:rsidR="00931285" w:rsidRDefault="00931285"/>
    <w:p w14:paraId="5F0A9DE4" w14:textId="35582B31" w:rsidR="00931285" w:rsidRPr="00656ACE" w:rsidRDefault="00931285" w:rsidP="00A14F3C">
      <w:pPr>
        <w:pStyle w:val="Heading2"/>
      </w:pPr>
      <w:r w:rsidRPr="00656ACE">
        <w:t>Climate integration</w:t>
      </w:r>
    </w:p>
    <w:tbl>
      <w:tblPr>
        <w:tblStyle w:val="TableGrid"/>
        <w:tblW w:w="14454" w:type="dxa"/>
        <w:tblLayout w:type="fixed"/>
        <w:tblLook w:val="04A0" w:firstRow="1" w:lastRow="0" w:firstColumn="1" w:lastColumn="0" w:noHBand="0" w:noVBand="1"/>
      </w:tblPr>
      <w:tblGrid>
        <w:gridCol w:w="6374"/>
        <w:gridCol w:w="1418"/>
        <w:gridCol w:w="1134"/>
        <w:gridCol w:w="4252"/>
        <w:gridCol w:w="1276"/>
      </w:tblGrid>
      <w:tr w:rsidR="00656ACE" w:rsidRPr="00BA19B7" w14:paraId="46719446" w14:textId="6FB413A5" w:rsidTr="00A14F3C">
        <w:trPr>
          <w:tblHeader/>
        </w:trPr>
        <w:tc>
          <w:tcPr>
            <w:tcW w:w="6374" w:type="dxa"/>
          </w:tcPr>
          <w:p w14:paraId="0F267069" w14:textId="7D99B075" w:rsidR="00656ACE" w:rsidRPr="00BA19B7" w:rsidRDefault="00656ACE" w:rsidP="00656ACE">
            <w:pPr>
              <w:rPr>
                <w:b/>
                <w:bCs/>
                <w:color w:val="0B769F" w:themeColor="accent4" w:themeShade="BF"/>
                <w:sz w:val="20"/>
                <w:szCs w:val="20"/>
              </w:rPr>
            </w:pPr>
            <w:r w:rsidRPr="00BA19B7">
              <w:rPr>
                <w:b/>
                <w:bCs/>
                <w:sz w:val="20"/>
                <w:szCs w:val="20"/>
              </w:rPr>
              <w:t>Recommendation</w:t>
            </w:r>
          </w:p>
        </w:tc>
        <w:tc>
          <w:tcPr>
            <w:tcW w:w="1418" w:type="dxa"/>
          </w:tcPr>
          <w:p w14:paraId="50B3259E" w14:textId="0C1367ED" w:rsidR="00656ACE" w:rsidRPr="00BA19B7" w:rsidRDefault="00656ACE" w:rsidP="00656ACE">
            <w:pPr>
              <w:rPr>
                <w:sz w:val="20"/>
                <w:szCs w:val="20"/>
              </w:rPr>
            </w:pPr>
            <w:r w:rsidRPr="00BA19B7">
              <w:rPr>
                <w:b/>
                <w:bCs/>
                <w:sz w:val="20"/>
                <w:szCs w:val="20"/>
              </w:rPr>
              <w:t>Responsible</w:t>
            </w:r>
          </w:p>
        </w:tc>
        <w:tc>
          <w:tcPr>
            <w:tcW w:w="1134" w:type="dxa"/>
          </w:tcPr>
          <w:p w14:paraId="03B6F518" w14:textId="5F86A678" w:rsidR="00656ACE" w:rsidRPr="00BA19B7" w:rsidRDefault="00656ACE" w:rsidP="00656ACE">
            <w:pPr>
              <w:rPr>
                <w:sz w:val="20"/>
                <w:szCs w:val="20"/>
              </w:rPr>
            </w:pPr>
            <w:r w:rsidRPr="00BA19B7">
              <w:rPr>
                <w:b/>
                <w:bCs/>
                <w:sz w:val="20"/>
                <w:szCs w:val="20"/>
              </w:rPr>
              <w:t>Response</w:t>
            </w:r>
          </w:p>
        </w:tc>
        <w:tc>
          <w:tcPr>
            <w:tcW w:w="4252" w:type="dxa"/>
          </w:tcPr>
          <w:p w14:paraId="1CE55344" w14:textId="4BAD2C59" w:rsidR="00656ACE" w:rsidRPr="00BA19B7" w:rsidRDefault="00656ACE" w:rsidP="00656ACE">
            <w:pPr>
              <w:rPr>
                <w:sz w:val="20"/>
                <w:szCs w:val="20"/>
              </w:rPr>
            </w:pPr>
            <w:r w:rsidRPr="00BA19B7">
              <w:rPr>
                <w:b/>
                <w:bCs/>
                <w:sz w:val="20"/>
                <w:szCs w:val="20"/>
              </w:rPr>
              <w:t>Comment</w:t>
            </w:r>
          </w:p>
        </w:tc>
        <w:tc>
          <w:tcPr>
            <w:tcW w:w="1276" w:type="dxa"/>
          </w:tcPr>
          <w:p w14:paraId="6A629A40" w14:textId="4D8B3B9B" w:rsidR="00656ACE" w:rsidRPr="00BA19B7" w:rsidRDefault="00656ACE" w:rsidP="00656ACE">
            <w:pPr>
              <w:rPr>
                <w:sz w:val="20"/>
                <w:szCs w:val="20"/>
              </w:rPr>
            </w:pPr>
            <w:r>
              <w:rPr>
                <w:b/>
                <w:bCs/>
                <w:sz w:val="20"/>
                <w:szCs w:val="20"/>
              </w:rPr>
              <w:t>Timeframe</w:t>
            </w:r>
          </w:p>
        </w:tc>
      </w:tr>
      <w:tr w:rsidR="00C047F2" w:rsidRPr="00BA19B7" w14:paraId="309BAECB" w14:textId="4457E08F" w:rsidTr="73A45BEF">
        <w:tc>
          <w:tcPr>
            <w:tcW w:w="6374" w:type="dxa"/>
          </w:tcPr>
          <w:p w14:paraId="0E522E01" w14:textId="4CCC2469" w:rsidR="00C047F2" w:rsidRPr="00BA19B7" w:rsidRDefault="00C047F2" w:rsidP="00D16F16">
            <w:pPr>
              <w:rPr>
                <w:sz w:val="20"/>
                <w:szCs w:val="20"/>
              </w:rPr>
            </w:pPr>
            <w:r w:rsidRPr="00BA19B7">
              <w:rPr>
                <w:b/>
                <w:bCs/>
                <w:sz w:val="20"/>
                <w:szCs w:val="20"/>
              </w:rPr>
              <w:t>Review Program incentives and disincentives for working in the most remote and climate-affected communities</w:t>
            </w:r>
          </w:p>
        </w:tc>
        <w:tc>
          <w:tcPr>
            <w:tcW w:w="1418" w:type="dxa"/>
          </w:tcPr>
          <w:p w14:paraId="01BB9769" w14:textId="3C05490E" w:rsidR="00C047F2" w:rsidRPr="00BA19B7" w:rsidRDefault="00C047F2" w:rsidP="00D16F16">
            <w:pPr>
              <w:rPr>
                <w:sz w:val="20"/>
                <w:szCs w:val="20"/>
              </w:rPr>
            </w:pPr>
            <w:r w:rsidRPr="00BA19B7">
              <w:rPr>
                <w:sz w:val="20"/>
                <w:szCs w:val="20"/>
              </w:rPr>
              <w:t>DFAT</w:t>
            </w:r>
          </w:p>
        </w:tc>
        <w:tc>
          <w:tcPr>
            <w:tcW w:w="1134" w:type="dxa"/>
          </w:tcPr>
          <w:p w14:paraId="14AC4FB8" w14:textId="66DD0195" w:rsidR="00C047F2" w:rsidRPr="00BA19B7" w:rsidRDefault="00C047F2" w:rsidP="00D16F16">
            <w:pPr>
              <w:rPr>
                <w:sz w:val="20"/>
                <w:szCs w:val="20"/>
              </w:rPr>
            </w:pPr>
            <w:r w:rsidRPr="00BA19B7">
              <w:rPr>
                <w:sz w:val="20"/>
                <w:szCs w:val="20"/>
              </w:rPr>
              <w:t>Noted</w:t>
            </w:r>
          </w:p>
        </w:tc>
        <w:tc>
          <w:tcPr>
            <w:tcW w:w="4252" w:type="dxa"/>
          </w:tcPr>
          <w:p w14:paraId="1B3C2B65" w14:textId="5F4C1CFF" w:rsidR="00C047F2" w:rsidRPr="00BA19B7" w:rsidRDefault="03E59661" w:rsidP="3A5C68A3">
            <w:pPr>
              <w:rPr>
                <w:sz w:val="20"/>
                <w:szCs w:val="20"/>
              </w:rPr>
            </w:pPr>
            <w:r w:rsidRPr="3A5C68A3">
              <w:rPr>
                <w:sz w:val="20"/>
                <w:szCs w:val="20"/>
              </w:rPr>
              <w:t xml:space="preserve">Through its </w:t>
            </w:r>
            <w:r w:rsidRPr="00C60466">
              <w:rPr>
                <w:i/>
                <w:iCs/>
                <w:sz w:val="20"/>
                <w:szCs w:val="20"/>
              </w:rPr>
              <w:t>International Development Policy</w:t>
            </w:r>
            <w:r w:rsidRPr="3A5C68A3">
              <w:rPr>
                <w:sz w:val="20"/>
                <w:szCs w:val="20"/>
              </w:rPr>
              <w:t>, Australia commits to increasing our climate investments and better addressing climate risks.</w:t>
            </w:r>
            <w:r w:rsidR="1BF51B93" w:rsidRPr="3A5C68A3">
              <w:rPr>
                <w:sz w:val="20"/>
                <w:szCs w:val="20"/>
              </w:rPr>
              <w:t xml:space="preserve"> Australia notes the review’s finding that AHP’s disaster preparedness component has embedded climate adaptation, risk reduction and community preparedness into its design. This recommendation will inform the design of any future humanitarian partnership program.</w:t>
            </w:r>
          </w:p>
          <w:p w14:paraId="317AFEA5" w14:textId="20CCA879" w:rsidR="00C047F2" w:rsidRPr="00BA19B7" w:rsidRDefault="00C047F2" w:rsidP="3A5C68A3">
            <w:pPr>
              <w:rPr>
                <w:sz w:val="20"/>
                <w:szCs w:val="20"/>
              </w:rPr>
            </w:pPr>
          </w:p>
        </w:tc>
        <w:tc>
          <w:tcPr>
            <w:tcW w:w="1276" w:type="dxa"/>
          </w:tcPr>
          <w:p w14:paraId="7A4EAB28" w14:textId="359D2EC1" w:rsidR="00C047F2" w:rsidRPr="00BA19B7" w:rsidRDefault="00436B7D" w:rsidP="00D16F16">
            <w:pPr>
              <w:rPr>
                <w:sz w:val="20"/>
                <w:szCs w:val="20"/>
              </w:rPr>
            </w:pPr>
            <w:r>
              <w:rPr>
                <w:sz w:val="20"/>
                <w:szCs w:val="20"/>
              </w:rPr>
              <w:t>2026</w:t>
            </w:r>
          </w:p>
        </w:tc>
      </w:tr>
      <w:tr w:rsidR="00C047F2" w:rsidRPr="00BA19B7" w14:paraId="2FD0DC09" w14:textId="6CC9B4F0" w:rsidTr="73A45BEF">
        <w:tc>
          <w:tcPr>
            <w:tcW w:w="6374" w:type="dxa"/>
          </w:tcPr>
          <w:p w14:paraId="5F8D6508" w14:textId="4F4F5DE5" w:rsidR="00C047F2" w:rsidRPr="00BA19B7" w:rsidRDefault="00C047F2" w:rsidP="00D16F16">
            <w:pPr>
              <w:rPr>
                <w:sz w:val="20"/>
                <w:szCs w:val="20"/>
              </w:rPr>
            </w:pPr>
            <w:r w:rsidRPr="00BA19B7">
              <w:rPr>
                <w:b/>
                <w:bCs/>
                <w:sz w:val="20"/>
                <w:szCs w:val="20"/>
              </w:rPr>
              <w:t xml:space="preserve">Facilitate and enable community voices </w:t>
            </w:r>
            <w:r w:rsidRPr="00BA19B7">
              <w:rPr>
                <w:sz w:val="20"/>
                <w:szCs w:val="20"/>
              </w:rPr>
              <w:t>– especially those of more marginalised communities - to directly contribute to National and sub-national decision making and policy development.</w:t>
            </w:r>
          </w:p>
        </w:tc>
        <w:tc>
          <w:tcPr>
            <w:tcW w:w="1418" w:type="dxa"/>
          </w:tcPr>
          <w:p w14:paraId="4E69C217" w14:textId="6667F628" w:rsidR="00C047F2" w:rsidRPr="00BA19B7" w:rsidRDefault="18D42CA6" w:rsidP="00D16F16">
            <w:pPr>
              <w:rPr>
                <w:sz w:val="20"/>
                <w:szCs w:val="20"/>
              </w:rPr>
            </w:pPr>
            <w:r w:rsidRPr="65DAB74E">
              <w:rPr>
                <w:sz w:val="20"/>
                <w:szCs w:val="20"/>
              </w:rPr>
              <w:t>DFAT</w:t>
            </w:r>
          </w:p>
        </w:tc>
        <w:tc>
          <w:tcPr>
            <w:tcW w:w="1134" w:type="dxa"/>
          </w:tcPr>
          <w:p w14:paraId="4A47D28F" w14:textId="10BA2F60" w:rsidR="00C047F2" w:rsidRPr="00BA19B7" w:rsidRDefault="00C047F2" w:rsidP="00D16F16">
            <w:pPr>
              <w:rPr>
                <w:sz w:val="20"/>
                <w:szCs w:val="20"/>
              </w:rPr>
            </w:pPr>
            <w:r w:rsidRPr="00BA19B7">
              <w:rPr>
                <w:sz w:val="20"/>
                <w:szCs w:val="20"/>
              </w:rPr>
              <w:t>Noted</w:t>
            </w:r>
          </w:p>
        </w:tc>
        <w:tc>
          <w:tcPr>
            <w:tcW w:w="4252" w:type="dxa"/>
          </w:tcPr>
          <w:p w14:paraId="4065887F" w14:textId="115A25BA" w:rsidR="00C047F2" w:rsidRPr="00BA19B7" w:rsidRDefault="01749CFF" w:rsidP="00D16F16">
            <w:pPr>
              <w:rPr>
                <w:sz w:val="20"/>
                <w:szCs w:val="20"/>
              </w:rPr>
            </w:pPr>
            <w:r w:rsidRPr="65DAB74E">
              <w:rPr>
                <w:sz w:val="20"/>
                <w:szCs w:val="20"/>
              </w:rPr>
              <w:t>Australia</w:t>
            </w:r>
            <w:r w:rsidR="333C99FB" w:rsidRPr="65DAB74E">
              <w:rPr>
                <w:sz w:val="20"/>
                <w:szCs w:val="20"/>
              </w:rPr>
              <w:t xml:space="preserve">’s </w:t>
            </w:r>
            <w:r w:rsidR="333C99FB" w:rsidRPr="00C60466">
              <w:rPr>
                <w:i/>
                <w:iCs/>
                <w:sz w:val="20"/>
                <w:szCs w:val="20"/>
              </w:rPr>
              <w:t xml:space="preserve">International </w:t>
            </w:r>
            <w:r w:rsidR="0062584F">
              <w:rPr>
                <w:i/>
                <w:iCs/>
                <w:sz w:val="20"/>
                <w:szCs w:val="20"/>
              </w:rPr>
              <w:t xml:space="preserve">Humanitarian </w:t>
            </w:r>
            <w:r w:rsidR="333C99FB" w:rsidRPr="00C60466">
              <w:rPr>
                <w:i/>
                <w:iCs/>
                <w:sz w:val="20"/>
                <w:szCs w:val="20"/>
              </w:rPr>
              <w:t>Policy</w:t>
            </w:r>
            <w:r w:rsidRPr="65DAB74E">
              <w:rPr>
                <w:sz w:val="20"/>
                <w:szCs w:val="20"/>
              </w:rPr>
              <w:t xml:space="preserve"> prioritises locally led development and </w:t>
            </w:r>
            <w:r w:rsidR="3D372444" w:rsidRPr="65DAB74E">
              <w:rPr>
                <w:sz w:val="20"/>
                <w:szCs w:val="20"/>
              </w:rPr>
              <w:t xml:space="preserve">commits to supporting </w:t>
            </w:r>
            <w:r w:rsidR="7BB136BA" w:rsidRPr="65DAB74E">
              <w:rPr>
                <w:sz w:val="20"/>
                <w:szCs w:val="20"/>
              </w:rPr>
              <w:t xml:space="preserve">local leadership, solutions and accountability. This </w:t>
            </w:r>
            <w:r w:rsidR="7BB136BA" w:rsidRPr="65DAB74E">
              <w:rPr>
                <w:sz w:val="20"/>
                <w:szCs w:val="20"/>
              </w:rPr>
              <w:lastRenderedPageBreak/>
              <w:t>recommendation will inform the design of any future humanitarian partnership program.</w:t>
            </w:r>
          </w:p>
        </w:tc>
        <w:tc>
          <w:tcPr>
            <w:tcW w:w="1276" w:type="dxa"/>
          </w:tcPr>
          <w:p w14:paraId="112F5B65" w14:textId="29086568" w:rsidR="00C047F2" w:rsidRPr="00E02CBA" w:rsidRDefault="00E3214C" w:rsidP="00D16F16">
            <w:pPr>
              <w:rPr>
                <w:sz w:val="20"/>
                <w:szCs w:val="20"/>
              </w:rPr>
            </w:pPr>
            <w:r w:rsidRPr="00E02CBA">
              <w:rPr>
                <w:sz w:val="20"/>
                <w:szCs w:val="20"/>
              </w:rPr>
              <w:lastRenderedPageBreak/>
              <w:t>2026</w:t>
            </w:r>
          </w:p>
        </w:tc>
      </w:tr>
      <w:tr w:rsidR="00C047F2" w:rsidRPr="00BA19B7" w14:paraId="7C74E5BB" w14:textId="1D328E72" w:rsidTr="73A45BEF">
        <w:tc>
          <w:tcPr>
            <w:tcW w:w="6374" w:type="dxa"/>
          </w:tcPr>
          <w:p w14:paraId="7A960B66" w14:textId="7B47C657" w:rsidR="00C047F2" w:rsidRPr="00BA19B7" w:rsidRDefault="00C047F2" w:rsidP="00D16F16">
            <w:pPr>
              <w:rPr>
                <w:sz w:val="20"/>
                <w:szCs w:val="20"/>
              </w:rPr>
            </w:pPr>
            <w:r w:rsidRPr="00BA19B7">
              <w:rPr>
                <w:b/>
                <w:bCs/>
                <w:sz w:val="20"/>
                <w:szCs w:val="20"/>
              </w:rPr>
              <w:t xml:space="preserve">Ensure maximum flexibility in AHP climate integration resourcing </w:t>
            </w:r>
            <w:r w:rsidRPr="00BA19B7">
              <w:rPr>
                <w:sz w:val="20"/>
                <w:szCs w:val="20"/>
              </w:rPr>
              <w:t xml:space="preserve">and </w:t>
            </w:r>
            <w:r w:rsidRPr="00BA19B7">
              <w:rPr>
                <w:rFonts w:cs="Arial"/>
                <w:sz w:val="20"/>
                <w:szCs w:val="20"/>
              </w:rPr>
              <w:t>ensure climate and resilience investments- particularly in the Pacific and Timor-Leste- do not duplicate efforts or divert resources away from priorities identified by Governments and local communities.</w:t>
            </w:r>
          </w:p>
        </w:tc>
        <w:tc>
          <w:tcPr>
            <w:tcW w:w="1418" w:type="dxa"/>
          </w:tcPr>
          <w:p w14:paraId="694048DB" w14:textId="3BFD48AC" w:rsidR="00C047F2" w:rsidRPr="00BA19B7" w:rsidRDefault="00C047F2" w:rsidP="00D16F16">
            <w:pPr>
              <w:rPr>
                <w:sz w:val="20"/>
                <w:szCs w:val="20"/>
              </w:rPr>
            </w:pPr>
            <w:r w:rsidRPr="65DAB74E">
              <w:rPr>
                <w:sz w:val="20"/>
                <w:szCs w:val="20"/>
              </w:rPr>
              <w:t>DFAT</w:t>
            </w:r>
          </w:p>
        </w:tc>
        <w:tc>
          <w:tcPr>
            <w:tcW w:w="1134" w:type="dxa"/>
          </w:tcPr>
          <w:p w14:paraId="6237DCB0" w14:textId="3004057D" w:rsidR="00C047F2" w:rsidRPr="00BA19B7" w:rsidRDefault="00C047F2" w:rsidP="00D16F16">
            <w:pPr>
              <w:rPr>
                <w:sz w:val="20"/>
                <w:szCs w:val="20"/>
              </w:rPr>
            </w:pPr>
            <w:r w:rsidRPr="00BA19B7">
              <w:rPr>
                <w:sz w:val="20"/>
                <w:szCs w:val="20"/>
              </w:rPr>
              <w:t>Noted</w:t>
            </w:r>
          </w:p>
        </w:tc>
        <w:tc>
          <w:tcPr>
            <w:tcW w:w="4252" w:type="dxa"/>
          </w:tcPr>
          <w:p w14:paraId="141A31B1" w14:textId="0E78FED4" w:rsidR="00C047F2" w:rsidRPr="00BA19B7" w:rsidRDefault="7D9B0BA8" w:rsidP="00D16F16">
            <w:pPr>
              <w:rPr>
                <w:sz w:val="20"/>
                <w:szCs w:val="20"/>
              </w:rPr>
            </w:pPr>
            <w:r w:rsidRPr="00C60466">
              <w:rPr>
                <w:sz w:val="20"/>
                <w:szCs w:val="20"/>
              </w:rPr>
              <w:t xml:space="preserve">Australia’s </w:t>
            </w:r>
            <w:r w:rsidRPr="65DAB74E">
              <w:rPr>
                <w:i/>
                <w:iCs/>
                <w:sz w:val="20"/>
                <w:szCs w:val="20"/>
              </w:rPr>
              <w:t xml:space="preserve">International Development Policy </w:t>
            </w:r>
            <w:r w:rsidR="19C3B77B" w:rsidRPr="65DAB74E">
              <w:rPr>
                <w:sz w:val="20"/>
                <w:szCs w:val="20"/>
              </w:rPr>
              <w:t>outlines Australia’s commitment to</w:t>
            </w:r>
            <w:r w:rsidRPr="65DAB74E">
              <w:rPr>
                <w:sz w:val="20"/>
                <w:szCs w:val="20"/>
              </w:rPr>
              <w:t xml:space="preserve"> maximising collective impact, and co</w:t>
            </w:r>
            <w:r w:rsidR="1E9F804C" w:rsidRPr="65DAB74E">
              <w:rPr>
                <w:sz w:val="20"/>
                <w:szCs w:val="20"/>
              </w:rPr>
              <w:t>operating</w:t>
            </w:r>
            <w:r w:rsidRPr="65DAB74E">
              <w:rPr>
                <w:sz w:val="20"/>
                <w:szCs w:val="20"/>
              </w:rPr>
              <w:t xml:space="preserve"> with others to amplify collective efforts, reduce duplication and support development outcomes.</w:t>
            </w:r>
            <w:r w:rsidR="1B0E8885" w:rsidRPr="65DAB74E">
              <w:rPr>
                <w:sz w:val="20"/>
                <w:szCs w:val="20"/>
              </w:rPr>
              <w:t xml:space="preserve"> As above, it also prioritises locally led development and local leadership in Australia’s development assistanc</w:t>
            </w:r>
            <w:r w:rsidR="31CEAFDC" w:rsidRPr="65DAB74E">
              <w:rPr>
                <w:sz w:val="20"/>
                <w:szCs w:val="20"/>
              </w:rPr>
              <w:t>e</w:t>
            </w:r>
            <w:r w:rsidR="1B0E8885" w:rsidRPr="65DAB74E">
              <w:rPr>
                <w:sz w:val="20"/>
                <w:szCs w:val="20"/>
              </w:rPr>
              <w:t>.</w:t>
            </w:r>
            <w:r w:rsidRPr="65DAB74E">
              <w:rPr>
                <w:sz w:val="20"/>
                <w:szCs w:val="20"/>
              </w:rPr>
              <w:t xml:space="preserve"> </w:t>
            </w:r>
            <w:r w:rsidR="7E3C23D0" w:rsidRPr="65DAB74E">
              <w:rPr>
                <w:sz w:val="20"/>
                <w:szCs w:val="20"/>
              </w:rPr>
              <w:t>This recommendation will inform the design of any future humanitarian partnership program.</w:t>
            </w:r>
          </w:p>
        </w:tc>
        <w:tc>
          <w:tcPr>
            <w:tcW w:w="1276" w:type="dxa"/>
          </w:tcPr>
          <w:p w14:paraId="378F779E" w14:textId="46914970" w:rsidR="00C047F2" w:rsidRPr="00E02CBA" w:rsidRDefault="005D6C0B" w:rsidP="00D16F16">
            <w:pPr>
              <w:rPr>
                <w:sz w:val="20"/>
                <w:szCs w:val="20"/>
              </w:rPr>
            </w:pPr>
            <w:r w:rsidRPr="00E02CBA">
              <w:rPr>
                <w:sz w:val="20"/>
                <w:szCs w:val="20"/>
              </w:rPr>
              <w:t>2026</w:t>
            </w:r>
          </w:p>
        </w:tc>
      </w:tr>
    </w:tbl>
    <w:p w14:paraId="708D2EB6" w14:textId="77777777" w:rsidR="003A6F2D" w:rsidRDefault="003A6F2D"/>
    <w:p w14:paraId="5ED6A892" w14:textId="04C84AF0" w:rsidR="003A6F2D" w:rsidRPr="003A6F2D" w:rsidRDefault="003A6F2D" w:rsidP="00A14F3C">
      <w:pPr>
        <w:pStyle w:val="Heading2"/>
      </w:pPr>
      <w:r w:rsidRPr="003A6F2D">
        <w:t>Inclusion</w:t>
      </w:r>
    </w:p>
    <w:tbl>
      <w:tblPr>
        <w:tblStyle w:val="TableGrid"/>
        <w:tblW w:w="14454" w:type="dxa"/>
        <w:tblLayout w:type="fixed"/>
        <w:tblLook w:val="04A0" w:firstRow="1" w:lastRow="0" w:firstColumn="1" w:lastColumn="0" w:noHBand="0" w:noVBand="1"/>
      </w:tblPr>
      <w:tblGrid>
        <w:gridCol w:w="6374"/>
        <w:gridCol w:w="1418"/>
        <w:gridCol w:w="1134"/>
        <w:gridCol w:w="4252"/>
        <w:gridCol w:w="1276"/>
      </w:tblGrid>
      <w:tr w:rsidR="00BC00BB" w:rsidRPr="00BA19B7" w14:paraId="626BD3BB" w14:textId="146798F8" w:rsidTr="00A14F3C">
        <w:trPr>
          <w:tblHeader/>
        </w:trPr>
        <w:tc>
          <w:tcPr>
            <w:tcW w:w="6374" w:type="dxa"/>
          </w:tcPr>
          <w:p w14:paraId="2B9E40BA" w14:textId="6D48CEE3" w:rsidR="00BC00BB" w:rsidRPr="00BA19B7" w:rsidRDefault="00BC00BB" w:rsidP="00BC00BB">
            <w:pPr>
              <w:rPr>
                <w:sz w:val="20"/>
                <w:szCs w:val="20"/>
              </w:rPr>
            </w:pPr>
            <w:r w:rsidRPr="00BA19B7">
              <w:rPr>
                <w:b/>
                <w:bCs/>
                <w:sz w:val="20"/>
                <w:szCs w:val="20"/>
              </w:rPr>
              <w:t>Recommendation</w:t>
            </w:r>
          </w:p>
        </w:tc>
        <w:tc>
          <w:tcPr>
            <w:tcW w:w="1418" w:type="dxa"/>
          </w:tcPr>
          <w:p w14:paraId="7125FAE8" w14:textId="1D35CAA3" w:rsidR="00BC00BB" w:rsidRPr="00BA19B7" w:rsidRDefault="00BC00BB" w:rsidP="00BC00BB">
            <w:pPr>
              <w:rPr>
                <w:sz w:val="20"/>
                <w:szCs w:val="20"/>
              </w:rPr>
            </w:pPr>
            <w:r w:rsidRPr="00BA19B7">
              <w:rPr>
                <w:b/>
                <w:bCs/>
                <w:sz w:val="20"/>
                <w:szCs w:val="20"/>
              </w:rPr>
              <w:t>Responsible</w:t>
            </w:r>
          </w:p>
        </w:tc>
        <w:tc>
          <w:tcPr>
            <w:tcW w:w="1134" w:type="dxa"/>
          </w:tcPr>
          <w:p w14:paraId="5917803B" w14:textId="33AB7F8B" w:rsidR="00BC00BB" w:rsidRPr="00BA19B7" w:rsidRDefault="00BC00BB" w:rsidP="00BC00BB">
            <w:pPr>
              <w:rPr>
                <w:sz w:val="20"/>
                <w:szCs w:val="20"/>
              </w:rPr>
            </w:pPr>
            <w:r w:rsidRPr="00BA19B7">
              <w:rPr>
                <w:b/>
                <w:bCs/>
                <w:sz w:val="20"/>
                <w:szCs w:val="20"/>
              </w:rPr>
              <w:t>Response</w:t>
            </w:r>
          </w:p>
        </w:tc>
        <w:tc>
          <w:tcPr>
            <w:tcW w:w="4252" w:type="dxa"/>
          </w:tcPr>
          <w:p w14:paraId="759F2B47" w14:textId="5548D767" w:rsidR="00BC00BB" w:rsidRPr="00BA19B7" w:rsidRDefault="00BC00BB" w:rsidP="00BC00BB">
            <w:pPr>
              <w:rPr>
                <w:sz w:val="20"/>
                <w:szCs w:val="20"/>
              </w:rPr>
            </w:pPr>
            <w:r w:rsidRPr="00BA19B7">
              <w:rPr>
                <w:b/>
                <w:bCs/>
                <w:sz w:val="20"/>
                <w:szCs w:val="20"/>
              </w:rPr>
              <w:t>Comment</w:t>
            </w:r>
          </w:p>
        </w:tc>
        <w:tc>
          <w:tcPr>
            <w:tcW w:w="1276" w:type="dxa"/>
          </w:tcPr>
          <w:p w14:paraId="6564229B" w14:textId="667C7770" w:rsidR="00BC00BB" w:rsidRPr="00BA19B7" w:rsidRDefault="00BC00BB" w:rsidP="00BC00BB">
            <w:pPr>
              <w:rPr>
                <w:sz w:val="20"/>
                <w:szCs w:val="20"/>
              </w:rPr>
            </w:pPr>
            <w:r>
              <w:rPr>
                <w:b/>
                <w:bCs/>
                <w:sz w:val="20"/>
                <w:szCs w:val="20"/>
              </w:rPr>
              <w:t>Timeframe</w:t>
            </w:r>
          </w:p>
        </w:tc>
      </w:tr>
      <w:tr w:rsidR="00C047F2" w:rsidRPr="00BA19B7" w14:paraId="2588D7A6" w14:textId="5F303ABB" w:rsidTr="73A45BEF">
        <w:tc>
          <w:tcPr>
            <w:tcW w:w="6374" w:type="dxa"/>
          </w:tcPr>
          <w:p w14:paraId="05099747" w14:textId="1F4BC4F6" w:rsidR="00C047F2" w:rsidRPr="00BA19B7" w:rsidRDefault="00C047F2" w:rsidP="00D16F16">
            <w:pPr>
              <w:rPr>
                <w:sz w:val="20"/>
                <w:szCs w:val="20"/>
              </w:rPr>
            </w:pPr>
            <w:r w:rsidRPr="00BA19B7">
              <w:rPr>
                <w:b/>
                <w:bCs/>
                <w:sz w:val="20"/>
                <w:szCs w:val="20"/>
              </w:rPr>
              <w:t>Maintain and expand access to specialist technical assistance</w:t>
            </w:r>
            <w:r w:rsidRPr="00BA19B7">
              <w:rPr>
                <w:sz w:val="20"/>
                <w:szCs w:val="20"/>
              </w:rPr>
              <w:t xml:space="preserve"> on gender, equality, disability protection and safeguarding, including roving or pooled expertise available to all partners.</w:t>
            </w:r>
          </w:p>
        </w:tc>
        <w:tc>
          <w:tcPr>
            <w:tcW w:w="1418" w:type="dxa"/>
          </w:tcPr>
          <w:p w14:paraId="5BFD2F92" w14:textId="230C7C0C" w:rsidR="00C047F2" w:rsidRPr="00BA19B7" w:rsidRDefault="00C047F2" w:rsidP="00D16F16">
            <w:pPr>
              <w:rPr>
                <w:sz w:val="20"/>
                <w:szCs w:val="20"/>
              </w:rPr>
            </w:pPr>
            <w:r w:rsidRPr="65DAB74E">
              <w:rPr>
                <w:sz w:val="20"/>
                <w:szCs w:val="20"/>
              </w:rPr>
              <w:t>DFAT</w:t>
            </w:r>
          </w:p>
        </w:tc>
        <w:tc>
          <w:tcPr>
            <w:tcW w:w="1134" w:type="dxa"/>
          </w:tcPr>
          <w:p w14:paraId="1B16D766" w14:textId="395EF61C" w:rsidR="00C047F2" w:rsidRPr="00BA19B7" w:rsidRDefault="00C047F2" w:rsidP="00D16F16">
            <w:pPr>
              <w:rPr>
                <w:sz w:val="20"/>
                <w:szCs w:val="20"/>
              </w:rPr>
            </w:pPr>
            <w:r w:rsidRPr="00BA19B7">
              <w:rPr>
                <w:sz w:val="20"/>
                <w:szCs w:val="20"/>
              </w:rPr>
              <w:t>Noted</w:t>
            </w:r>
          </w:p>
        </w:tc>
        <w:tc>
          <w:tcPr>
            <w:tcW w:w="4252" w:type="dxa"/>
          </w:tcPr>
          <w:p w14:paraId="47F483F8" w14:textId="347D96F6" w:rsidR="00C047F2" w:rsidRDefault="0058318B">
            <w:pPr>
              <w:rPr>
                <w:sz w:val="20"/>
                <w:szCs w:val="20"/>
              </w:rPr>
            </w:pPr>
            <w:r>
              <w:rPr>
                <w:sz w:val="20"/>
                <w:szCs w:val="20"/>
              </w:rPr>
              <w:t>DFAT</w:t>
            </w:r>
            <w:r w:rsidR="23950F50" w:rsidRPr="65DAB74E">
              <w:rPr>
                <w:sz w:val="20"/>
                <w:szCs w:val="20"/>
              </w:rPr>
              <w:t xml:space="preserve"> notes the review’s findings that</w:t>
            </w:r>
            <w:r w:rsidR="4099B9D4" w:rsidRPr="65DAB74E">
              <w:rPr>
                <w:sz w:val="20"/>
                <w:szCs w:val="20"/>
              </w:rPr>
              <w:t xml:space="preserve"> local non-government organisations, church networks and civil society organisations report</w:t>
            </w:r>
            <w:r w:rsidR="3B1F89DF" w:rsidRPr="65DAB74E">
              <w:rPr>
                <w:sz w:val="20"/>
                <w:szCs w:val="20"/>
              </w:rPr>
              <w:t xml:space="preserve"> that AHP</w:t>
            </w:r>
            <w:r w:rsidR="4099B9D4" w:rsidRPr="65DAB74E">
              <w:rPr>
                <w:sz w:val="20"/>
                <w:szCs w:val="20"/>
              </w:rPr>
              <w:t xml:space="preserve"> strengthened institutional and technical</w:t>
            </w:r>
            <w:r w:rsidR="001B52D8">
              <w:rPr>
                <w:sz w:val="20"/>
                <w:szCs w:val="20"/>
              </w:rPr>
              <w:t xml:space="preserve"> </w:t>
            </w:r>
            <w:r w:rsidR="4099B9D4" w:rsidRPr="65DAB74E">
              <w:rPr>
                <w:sz w:val="20"/>
                <w:szCs w:val="20"/>
              </w:rPr>
              <w:t>capability through mentoring, joint planning, and increased roles in coordination fora.</w:t>
            </w:r>
            <w:r w:rsidR="00417724">
              <w:rPr>
                <w:sz w:val="20"/>
                <w:szCs w:val="20"/>
              </w:rPr>
              <w:t xml:space="preserve"> </w:t>
            </w:r>
            <w:r w:rsidR="286D9A49" w:rsidRPr="65DAB74E">
              <w:rPr>
                <w:sz w:val="20"/>
                <w:szCs w:val="20"/>
              </w:rPr>
              <w:t>This recommendation will inform the design of any future humanitarian partnership program</w:t>
            </w:r>
            <w:r w:rsidR="09F04C58" w:rsidRPr="65DAB74E">
              <w:rPr>
                <w:sz w:val="20"/>
                <w:szCs w:val="20"/>
              </w:rPr>
              <w:t>.</w:t>
            </w:r>
          </w:p>
          <w:p w14:paraId="565211FC" w14:textId="30FF9102" w:rsidR="00B155B1" w:rsidRPr="00BA19B7" w:rsidRDefault="00B155B1">
            <w:pPr>
              <w:rPr>
                <w:sz w:val="20"/>
                <w:szCs w:val="20"/>
              </w:rPr>
            </w:pPr>
          </w:p>
        </w:tc>
        <w:tc>
          <w:tcPr>
            <w:tcW w:w="1276" w:type="dxa"/>
          </w:tcPr>
          <w:p w14:paraId="584A0B19" w14:textId="78AE0E7C" w:rsidR="00C047F2" w:rsidRPr="00BA19B7" w:rsidRDefault="00861A7E" w:rsidP="00D16F16">
            <w:pPr>
              <w:rPr>
                <w:sz w:val="20"/>
                <w:szCs w:val="20"/>
              </w:rPr>
            </w:pPr>
            <w:r>
              <w:rPr>
                <w:sz w:val="20"/>
                <w:szCs w:val="20"/>
              </w:rPr>
              <w:t>2026</w:t>
            </w:r>
          </w:p>
        </w:tc>
      </w:tr>
      <w:tr w:rsidR="00C047F2" w:rsidRPr="00BA19B7" w14:paraId="7599C4E9" w14:textId="3D758901" w:rsidTr="73A45BEF">
        <w:tc>
          <w:tcPr>
            <w:tcW w:w="6374" w:type="dxa"/>
          </w:tcPr>
          <w:p w14:paraId="5DA69190" w14:textId="6F3CC7DF" w:rsidR="00C047F2" w:rsidRPr="00BA19B7" w:rsidRDefault="00C047F2" w:rsidP="00D16F16">
            <w:pPr>
              <w:rPr>
                <w:sz w:val="20"/>
                <w:szCs w:val="20"/>
              </w:rPr>
            </w:pPr>
            <w:r w:rsidRPr="00BA19B7">
              <w:rPr>
                <w:b/>
                <w:bCs/>
                <w:sz w:val="20"/>
                <w:szCs w:val="20"/>
              </w:rPr>
              <w:t xml:space="preserve">Strengthen the “Do No Harm” approach within AHP GEDSI integration </w:t>
            </w:r>
            <w:r w:rsidRPr="00BA19B7">
              <w:rPr>
                <w:sz w:val="20"/>
                <w:szCs w:val="20"/>
              </w:rPr>
              <w:t>– particularly increasing socialisation and training on approaches to L</w:t>
            </w:r>
            <w:r w:rsidR="00D3450F">
              <w:rPr>
                <w:sz w:val="20"/>
                <w:szCs w:val="20"/>
              </w:rPr>
              <w:t>esbian, Gay</w:t>
            </w:r>
            <w:r w:rsidR="002D78CD">
              <w:rPr>
                <w:sz w:val="20"/>
                <w:szCs w:val="20"/>
              </w:rPr>
              <w:t>, Bisexual, Transgender</w:t>
            </w:r>
            <w:r w:rsidR="001A2200">
              <w:rPr>
                <w:sz w:val="20"/>
                <w:szCs w:val="20"/>
              </w:rPr>
              <w:t xml:space="preserve">, </w:t>
            </w:r>
            <w:r w:rsidR="008601E5">
              <w:rPr>
                <w:sz w:val="20"/>
                <w:szCs w:val="20"/>
              </w:rPr>
              <w:t xml:space="preserve">Queer, </w:t>
            </w:r>
            <w:r w:rsidR="001A2200">
              <w:rPr>
                <w:sz w:val="20"/>
                <w:szCs w:val="20"/>
              </w:rPr>
              <w:t>Inter</w:t>
            </w:r>
            <w:r w:rsidR="007802B2">
              <w:rPr>
                <w:sz w:val="20"/>
                <w:szCs w:val="20"/>
              </w:rPr>
              <w:t xml:space="preserve">sex, </w:t>
            </w:r>
            <w:r w:rsidR="008E38EB">
              <w:rPr>
                <w:sz w:val="20"/>
                <w:szCs w:val="20"/>
              </w:rPr>
              <w:t>Asexual and others (</w:t>
            </w:r>
            <w:r w:rsidR="008601E5">
              <w:rPr>
                <w:sz w:val="20"/>
                <w:szCs w:val="20"/>
              </w:rPr>
              <w:t>L</w:t>
            </w:r>
            <w:r w:rsidRPr="00BA19B7">
              <w:rPr>
                <w:sz w:val="20"/>
                <w:szCs w:val="20"/>
              </w:rPr>
              <w:t>GBT</w:t>
            </w:r>
            <w:r w:rsidR="00EF2E71">
              <w:rPr>
                <w:sz w:val="20"/>
                <w:szCs w:val="20"/>
              </w:rPr>
              <w:t>QI</w:t>
            </w:r>
            <w:r w:rsidRPr="00BA19B7">
              <w:rPr>
                <w:sz w:val="20"/>
                <w:szCs w:val="20"/>
              </w:rPr>
              <w:t>+</w:t>
            </w:r>
            <w:r w:rsidR="008E38EB">
              <w:rPr>
                <w:sz w:val="20"/>
                <w:szCs w:val="20"/>
              </w:rPr>
              <w:t>)</w:t>
            </w:r>
            <w:r w:rsidRPr="00BA19B7">
              <w:rPr>
                <w:sz w:val="20"/>
                <w:szCs w:val="20"/>
              </w:rPr>
              <w:t xml:space="preserve"> inclusion and addressing the needs of people with diverse S</w:t>
            </w:r>
            <w:r w:rsidR="00EB5E67">
              <w:rPr>
                <w:sz w:val="20"/>
                <w:szCs w:val="20"/>
              </w:rPr>
              <w:t>exual Orientation</w:t>
            </w:r>
            <w:r w:rsidR="00286578">
              <w:rPr>
                <w:sz w:val="20"/>
                <w:szCs w:val="20"/>
              </w:rPr>
              <w:t xml:space="preserve"> Gender Identity, Gender</w:t>
            </w:r>
            <w:r w:rsidR="00F433DF">
              <w:rPr>
                <w:sz w:val="20"/>
                <w:szCs w:val="20"/>
              </w:rPr>
              <w:t xml:space="preserve"> Expression and Sex Characteristics (S</w:t>
            </w:r>
            <w:r w:rsidRPr="00BA19B7">
              <w:rPr>
                <w:sz w:val="20"/>
                <w:szCs w:val="20"/>
              </w:rPr>
              <w:t>OGIESC</w:t>
            </w:r>
            <w:r w:rsidR="00F433DF">
              <w:rPr>
                <w:sz w:val="20"/>
                <w:szCs w:val="20"/>
              </w:rPr>
              <w:t>)</w:t>
            </w:r>
            <w:r w:rsidRPr="00BA19B7">
              <w:rPr>
                <w:sz w:val="20"/>
                <w:szCs w:val="20"/>
              </w:rPr>
              <w:t xml:space="preserve">. Any organisations using the </w:t>
            </w:r>
            <w:r w:rsidRPr="00BA19B7">
              <w:rPr>
                <w:rFonts w:cs="Arial"/>
                <w:color w:val="0E2841" w:themeColor="text2"/>
                <w:sz w:val="20"/>
                <w:szCs w:val="20"/>
              </w:rPr>
              <w:t>diverse SOGIESC toolkit for C</w:t>
            </w:r>
            <w:r w:rsidR="002F19F2">
              <w:rPr>
                <w:rFonts w:cs="Arial"/>
                <w:color w:val="0E2841" w:themeColor="text2"/>
                <w:sz w:val="20"/>
                <w:szCs w:val="20"/>
              </w:rPr>
              <w:t>ommunity Based Disaster</w:t>
            </w:r>
            <w:r w:rsidR="002A5735">
              <w:rPr>
                <w:rFonts w:cs="Arial"/>
                <w:color w:val="0E2841" w:themeColor="text2"/>
                <w:sz w:val="20"/>
                <w:szCs w:val="20"/>
              </w:rPr>
              <w:t xml:space="preserve"> Risk Reduction</w:t>
            </w:r>
            <w:r w:rsidR="004B2EE0">
              <w:rPr>
                <w:rFonts w:cs="Arial"/>
                <w:color w:val="0E2841" w:themeColor="text2"/>
                <w:sz w:val="20"/>
                <w:szCs w:val="20"/>
              </w:rPr>
              <w:t xml:space="preserve"> groups</w:t>
            </w:r>
            <w:r w:rsidR="002A5735">
              <w:rPr>
                <w:rFonts w:cs="Arial"/>
                <w:color w:val="0E2841" w:themeColor="text2"/>
                <w:sz w:val="20"/>
                <w:szCs w:val="20"/>
              </w:rPr>
              <w:t xml:space="preserve"> (C</w:t>
            </w:r>
            <w:r w:rsidRPr="00BA19B7">
              <w:rPr>
                <w:rFonts w:cs="Arial"/>
                <w:color w:val="0E2841" w:themeColor="text2"/>
                <w:sz w:val="20"/>
                <w:szCs w:val="20"/>
              </w:rPr>
              <w:t>BDRR</w:t>
            </w:r>
            <w:r w:rsidR="00777075">
              <w:rPr>
                <w:rFonts w:cs="Arial"/>
                <w:color w:val="0E2841" w:themeColor="text2"/>
                <w:sz w:val="20"/>
                <w:szCs w:val="20"/>
              </w:rPr>
              <w:t>)</w:t>
            </w:r>
            <w:r w:rsidRPr="00BA19B7">
              <w:rPr>
                <w:rFonts w:cs="Arial"/>
                <w:color w:val="0E2841" w:themeColor="text2"/>
                <w:sz w:val="20"/>
                <w:szCs w:val="20"/>
              </w:rPr>
              <w:t xml:space="preserve"> should increase technical training and guidance before/with use.</w:t>
            </w:r>
          </w:p>
        </w:tc>
        <w:tc>
          <w:tcPr>
            <w:tcW w:w="1418" w:type="dxa"/>
          </w:tcPr>
          <w:p w14:paraId="5A2B18FA" w14:textId="576AB97D" w:rsidR="00C047F2" w:rsidRPr="00BA19B7" w:rsidRDefault="00C047F2" w:rsidP="00D16F16">
            <w:pPr>
              <w:rPr>
                <w:sz w:val="20"/>
                <w:szCs w:val="20"/>
              </w:rPr>
            </w:pPr>
            <w:r w:rsidRPr="65DAB74E">
              <w:rPr>
                <w:sz w:val="20"/>
                <w:szCs w:val="20"/>
              </w:rPr>
              <w:t>DFAT/ AHPSU</w:t>
            </w:r>
          </w:p>
        </w:tc>
        <w:tc>
          <w:tcPr>
            <w:tcW w:w="1134" w:type="dxa"/>
          </w:tcPr>
          <w:p w14:paraId="426A1C97" w14:textId="51D5C85F" w:rsidR="00C047F2" w:rsidRPr="00BA19B7" w:rsidRDefault="00346178" w:rsidP="00D16F16">
            <w:pPr>
              <w:rPr>
                <w:sz w:val="20"/>
                <w:szCs w:val="20"/>
              </w:rPr>
            </w:pPr>
            <w:r>
              <w:rPr>
                <w:sz w:val="20"/>
                <w:szCs w:val="20"/>
              </w:rPr>
              <w:t>Noted</w:t>
            </w:r>
          </w:p>
        </w:tc>
        <w:tc>
          <w:tcPr>
            <w:tcW w:w="4252" w:type="dxa"/>
          </w:tcPr>
          <w:p w14:paraId="201A11B4" w14:textId="4A291EB0" w:rsidR="007333BB" w:rsidRDefault="2E0A945C" w:rsidP="73A45BEF">
            <w:pPr>
              <w:rPr>
                <w:rFonts w:ascii="Aptos" w:eastAsia="Aptos" w:hAnsi="Aptos" w:cs="Aptos"/>
                <w:sz w:val="20"/>
                <w:szCs w:val="20"/>
              </w:rPr>
            </w:pPr>
            <w:r w:rsidRPr="73A45BEF">
              <w:rPr>
                <w:sz w:val="20"/>
                <w:szCs w:val="20"/>
              </w:rPr>
              <w:t xml:space="preserve">Australia is committed to gender equality, and improved disability and social inclusion outcomes in its work, including through the </w:t>
            </w:r>
            <w:r w:rsidRPr="73A45BEF">
              <w:rPr>
                <w:i/>
                <w:iCs/>
                <w:sz w:val="20"/>
                <w:szCs w:val="20"/>
              </w:rPr>
              <w:t>International Gender Equality Strategy</w:t>
            </w:r>
            <w:r w:rsidRPr="73A45BEF">
              <w:rPr>
                <w:sz w:val="20"/>
                <w:szCs w:val="20"/>
              </w:rPr>
              <w:t xml:space="preserve"> and </w:t>
            </w:r>
            <w:r w:rsidRPr="73A45BEF">
              <w:rPr>
                <w:i/>
                <w:iCs/>
                <w:sz w:val="20"/>
                <w:szCs w:val="20"/>
              </w:rPr>
              <w:t>International Disability Equality and Rights Strategy</w:t>
            </w:r>
            <w:r w:rsidRPr="73A45BEF">
              <w:rPr>
                <w:sz w:val="20"/>
                <w:szCs w:val="20"/>
              </w:rPr>
              <w:t xml:space="preserve">. </w:t>
            </w:r>
            <w:r w:rsidR="58C5E86D" w:rsidRPr="73A45BEF">
              <w:rPr>
                <w:sz w:val="20"/>
                <w:szCs w:val="20"/>
              </w:rPr>
              <w:t xml:space="preserve">Australia’s </w:t>
            </w:r>
            <w:r w:rsidR="001B2577" w:rsidRPr="00EC0860">
              <w:rPr>
                <w:i/>
                <w:iCs/>
                <w:sz w:val="20"/>
                <w:szCs w:val="20"/>
              </w:rPr>
              <w:t xml:space="preserve">International </w:t>
            </w:r>
            <w:r w:rsidR="58C5E86D" w:rsidRPr="00EC0860">
              <w:rPr>
                <w:i/>
                <w:iCs/>
                <w:sz w:val="20"/>
                <w:szCs w:val="20"/>
              </w:rPr>
              <w:t xml:space="preserve">Humanitarian Policy </w:t>
            </w:r>
            <w:r w:rsidR="58C5E86D" w:rsidRPr="73A45BEF">
              <w:rPr>
                <w:sz w:val="20"/>
                <w:szCs w:val="20"/>
              </w:rPr>
              <w:t>includes “do no harm” as a guiding principle</w:t>
            </w:r>
            <w:r w:rsidR="11ED5062" w:rsidRPr="73A45BEF">
              <w:rPr>
                <w:rFonts w:ascii="Aptos" w:eastAsia="Aptos" w:hAnsi="Aptos" w:cs="Aptos"/>
                <w:sz w:val="20"/>
                <w:szCs w:val="20"/>
              </w:rPr>
              <w:t xml:space="preserve">. DFAT </w:t>
            </w:r>
            <w:r w:rsidR="240C40DF" w:rsidRPr="73A45BEF">
              <w:rPr>
                <w:rFonts w:ascii="Aptos" w:eastAsia="Aptos" w:hAnsi="Aptos" w:cs="Aptos"/>
                <w:sz w:val="20"/>
                <w:szCs w:val="20"/>
              </w:rPr>
              <w:t>will ensure</w:t>
            </w:r>
            <w:r w:rsidR="20999E13" w:rsidRPr="73A45BEF">
              <w:rPr>
                <w:rFonts w:ascii="Aptos" w:eastAsia="Aptos" w:hAnsi="Aptos" w:cs="Aptos"/>
                <w:sz w:val="20"/>
                <w:szCs w:val="20"/>
              </w:rPr>
              <w:t xml:space="preserve"> that</w:t>
            </w:r>
            <w:r w:rsidR="240C40DF" w:rsidRPr="73A45BEF">
              <w:rPr>
                <w:rFonts w:ascii="Aptos" w:eastAsia="Aptos" w:hAnsi="Aptos" w:cs="Aptos"/>
                <w:sz w:val="20"/>
                <w:szCs w:val="20"/>
              </w:rPr>
              <w:t xml:space="preserve"> </w:t>
            </w:r>
            <w:r w:rsidR="72E7A2E3" w:rsidRPr="73A45BEF">
              <w:rPr>
                <w:rFonts w:ascii="Aptos" w:eastAsia="Aptos" w:hAnsi="Aptos" w:cs="Aptos"/>
                <w:sz w:val="20"/>
                <w:szCs w:val="20"/>
              </w:rPr>
              <w:t xml:space="preserve">these policy priorities are </w:t>
            </w:r>
            <w:r w:rsidR="170F1959" w:rsidRPr="73A45BEF">
              <w:rPr>
                <w:rFonts w:ascii="Aptos" w:eastAsia="Aptos" w:hAnsi="Aptos" w:cs="Aptos"/>
                <w:sz w:val="20"/>
                <w:szCs w:val="20"/>
              </w:rPr>
              <w:t>reflected in ongoing AHP implementation and inform any future humanitarian partnership program</w:t>
            </w:r>
            <w:r w:rsidR="72E7A2E3" w:rsidRPr="73A45BEF">
              <w:rPr>
                <w:rFonts w:ascii="Aptos" w:eastAsia="Aptos" w:hAnsi="Aptos" w:cs="Aptos"/>
                <w:sz w:val="20"/>
                <w:szCs w:val="20"/>
              </w:rPr>
              <w:t>.</w:t>
            </w:r>
          </w:p>
          <w:p w14:paraId="7BD7AAAA" w14:textId="3F4B4BBC" w:rsidR="00B155B1" w:rsidRPr="002C0D66" w:rsidRDefault="00B155B1" w:rsidP="00346178">
            <w:pPr>
              <w:rPr>
                <w:sz w:val="20"/>
                <w:szCs w:val="20"/>
              </w:rPr>
            </w:pPr>
          </w:p>
        </w:tc>
        <w:tc>
          <w:tcPr>
            <w:tcW w:w="1276" w:type="dxa"/>
          </w:tcPr>
          <w:p w14:paraId="6115B611" w14:textId="69DD453B" w:rsidR="00C047F2" w:rsidRPr="00BA19B7" w:rsidRDefault="00861A7E" w:rsidP="00D16F16">
            <w:pPr>
              <w:rPr>
                <w:sz w:val="20"/>
                <w:szCs w:val="20"/>
              </w:rPr>
            </w:pPr>
            <w:r>
              <w:rPr>
                <w:sz w:val="20"/>
                <w:szCs w:val="20"/>
              </w:rPr>
              <w:t>2026</w:t>
            </w:r>
          </w:p>
        </w:tc>
      </w:tr>
      <w:tr w:rsidR="00C047F2" w:rsidRPr="00BA19B7" w14:paraId="5AC4CC8C" w14:textId="1D4F6CA9" w:rsidTr="73A45BEF">
        <w:tc>
          <w:tcPr>
            <w:tcW w:w="6374" w:type="dxa"/>
          </w:tcPr>
          <w:p w14:paraId="272407B2" w14:textId="066A14CC" w:rsidR="00C047F2" w:rsidRPr="00BA19B7" w:rsidRDefault="00C047F2" w:rsidP="00D16F16">
            <w:pPr>
              <w:rPr>
                <w:sz w:val="20"/>
                <w:szCs w:val="20"/>
              </w:rPr>
            </w:pPr>
            <w:r w:rsidRPr="00BA19B7">
              <w:rPr>
                <w:b/>
                <w:bCs/>
                <w:sz w:val="20"/>
                <w:szCs w:val="20"/>
              </w:rPr>
              <w:t xml:space="preserve">Consider resourcing the formal integration of leading and nationally recognised Feminist organisations into local program advisory and </w:t>
            </w:r>
            <w:r w:rsidRPr="00BA19B7">
              <w:rPr>
                <w:b/>
                <w:bCs/>
                <w:sz w:val="20"/>
                <w:szCs w:val="20"/>
              </w:rPr>
              <w:lastRenderedPageBreak/>
              <w:t xml:space="preserve">coordination mechanisms </w:t>
            </w:r>
            <w:r w:rsidRPr="00BA19B7">
              <w:rPr>
                <w:sz w:val="20"/>
                <w:szCs w:val="20"/>
              </w:rPr>
              <w:t>(such as DRCC’s) where they are not currently part of local consortia.</w:t>
            </w:r>
            <w:r w:rsidRPr="00BA19B7">
              <w:rPr>
                <w:b/>
                <w:bCs/>
                <w:sz w:val="20"/>
                <w:szCs w:val="20"/>
              </w:rPr>
              <w:t xml:space="preserve"> </w:t>
            </w:r>
          </w:p>
        </w:tc>
        <w:tc>
          <w:tcPr>
            <w:tcW w:w="1418" w:type="dxa"/>
          </w:tcPr>
          <w:p w14:paraId="2C48049E" w14:textId="03BA1EBB" w:rsidR="00C047F2" w:rsidRPr="00BA19B7" w:rsidRDefault="00C047F2" w:rsidP="00D16F16">
            <w:pPr>
              <w:rPr>
                <w:sz w:val="20"/>
                <w:szCs w:val="20"/>
              </w:rPr>
            </w:pPr>
            <w:r w:rsidRPr="65DAB74E">
              <w:rPr>
                <w:sz w:val="20"/>
                <w:szCs w:val="20"/>
              </w:rPr>
              <w:lastRenderedPageBreak/>
              <w:t xml:space="preserve">DFAT </w:t>
            </w:r>
          </w:p>
        </w:tc>
        <w:tc>
          <w:tcPr>
            <w:tcW w:w="1134" w:type="dxa"/>
          </w:tcPr>
          <w:p w14:paraId="61E5E9C7" w14:textId="5AAC70A5" w:rsidR="00C047F2" w:rsidRPr="00BA19B7" w:rsidRDefault="00C047F2" w:rsidP="00D16F16">
            <w:pPr>
              <w:rPr>
                <w:sz w:val="20"/>
                <w:szCs w:val="20"/>
              </w:rPr>
            </w:pPr>
            <w:r w:rsidRPr="00BA19B7">
              <w:rPr>
                <w:sz w:val="20"/>
                <w:szCs w:val="20"/>
              </w:rPr>
              <w:t>Noted</w:t>
            </w:r>
          </w:p>
        </w:tc>
        <w:tc>
          <w:tcPr>
            <w:tcW w:w="4252" w:type="dxa"/>
          </w:tcPr>
          <w:p w14:paraId="4C4662F7" w14:textId="37FA67AB" w:rsidR="00C047F2" w:rsidRPr="00BA19B7" w:rsidRDefault="7C9E0EF1" w:rsidP="00D16F16">
            <w:pPr>
              <w:rPr>
                <w:sz w:val="20"/>
                <w:szCs w:val="20"/>
              </w:rPr>
            </w:pPr>
            <w:r w:rsidRPr="65DAB74E">
              <w:rPr>
                <w:sz w:val="20"/>
                <w:szCs w:val="20"/>
              </w:rPr>
              <w:t xml:space="preserve">Australia recognises the importance of ensuring that a wide range of local voices are </w:t>
            </w:r>
            <w:r w:rsidRPr="65DAB74E">
              <w:rPr>
                <w:sz w:val="20"/>
                <w:szCs w:val="20"/>
              </w:rPr>
              <w:lastRenderedPageBreak/>
              <w:t>included in local decision making and development.</w:t>
            </w:r>
            <w:r w:rsidR="07F31A3D" w:rsidRPr="65DAB74E">
              <w:rPr>
                <w:sz w:val="20"/>
                <w:szCs w:val="20"/>
              </w:rPr>
              <w:t xml:space="preserve"> This recommendation will inform the design of any future humanitarian partnership program.</w:t>
            </w:r>
          </w:p>
        </w:tc>
        <w:tc>
          <w:tcPr>
            <w:tcW w:w="1276" w:type="dxa"/>
          </w:tcPr>
          <w:p w14:paraId="0B08499E" w14:textId="0B9DFA45" w:rsidR="00C047F2" w:rsidRPr="00BA19B7" w:rsidRDefault="00861A7E" w:rsidP="00D16F16">
            <w:pPr>
              <w:rPr>
                <w:sz w:val="20"/>
                <w:szCs w:val="20"/>
              </w:rPr>
            </w:pPr>
            <w:r>
              <w:rPr>
                <w:sz w:val="20"/>
                <w:szCs w:val="20"/>
              </w:rPr>
              <w:lastRenderedPageBreak/>
              <w:t>2026</w:t>
            </w:r>
          </w:p>
        </w:tc>
      </w:tr>
      <w:tr w:rsidR="00C047F2" w:rsidRPr="00BA19B7" w14:paraId="33E81ED7" w14:textId="3C35F435" w:rsidTr="73A45BEF">
        <w:tc>
          <w:tcPr>
            <w:tcW w:w="6374" w:type="dxa"/>
          </w:tcPr>
          <w:p w14:paraId="4AE7F186" w14:textId="2EAC7C53" w:rsidR="00C047F2" w:rsidRPr="00BA19B7" w:rsidRDefault="00C047F2" w:rsidP="00D16F16">
            <w:pPr>
              <w:rPr>
                <w:sz w:val="20"/>
                <w:szCs w:val="20"/>
              </w:rPr>
            </w:pPr>
            <w:r w:rsidRPr="00BA19B7">
              <w:rPr>
                <w:b/>
                <w:bCs/>
                <w:sz w:val="20"/>
                <w:szCs w:val="20"/>
              </w:rPr>
              <w:t xml:space="preserve">For the next Phase of AHP, consider a determination on whether to adapt an integrated approach to mainstreaming Gender Equality, Disability and Social Inclusion across all activities and operations </w:t>
            </w:r>
            <w:r w:rsidRPr="00BA19B7">
              <w:rPr>
                <w:sz w:val="20"/>
                <w:szCs w:val="20"/>
              </w:rPr>
              <w:t>or a transformative approach which seeks to challenge and fundamentally change underlying norms and power structures.</w:t>
            </w:r>
            <w:r w:rsidRPr="00BA19B7">
              <w:rPr>
                <w:b/>
                <w:bCs/>
                <w:sz w:val="20"/>
                <w:szCs w:val="20"/>
              </w:rPr>
              <w:t xml:space="preserve"> </w:t>
            </w:r>
          </w:p>
        </w:tc>
        <w:tc>
          <w:tcPr>
            <w:tcW w:w="1418" w:type="dxa"/>
          </w:tcPr>
          <w:p w14:paraId="3F297347" w14:textId="68A3BFF6" w:rsidR="00C047F2" w:rsidRPr="00BA19B7" w:rsidRDefault="00C047F2" w:rsidP="00D16F16">
            <w:pPr>
              <w:rPr>
                <w:sz w:val="20"/>
                <w:szCs w:val="20"/>
              </w:rPr>
            </w:pPr>
            <w:r w:rsidRPr="00BA19B7">
              <w:rPr>
                <w:sz w:val="20"/>
                <w:szCs w:val="20"/>
              </w:rPr>
              <w:t>DFAT</w:t>
            </w:r>
          </w:p>
        </w:tc>
        <w:tc>
          <w:tcPr>
            <w:tcW w:w="1134" w:type="dxa"/>
          </w:tcPr>
          <w:p w14:paraId="34383D37" w14:textId="144F89E1" w:rsidR="00C047F2" w:rsidRPr="00BA19B7" w:rsidRDefault="003B5C4E" w:rsidP="00D16F16">
            <w:pPr>
              <w:rPr>
                <w:sz w:val="20"/>
                <w:szCs w:val="20"/>
              </w:rPr>
            </w:pPr>
            <w:r>
              <w:rPr>
                <w:sz w:val="20"/>
                <w:szCs w:val="20"/>
              </w:rPr>
              <w:t>Agree</w:t>
            </w:r>
          </w:p>
        </w:tc>
        <w:tc>
          <w:tcPr>
            <w:tcW w:w="4252" w:type="dxa"/>
          </w:tcPr>
          <w:p w14:paraId="6C913953" w14:textId="18698C41" w:rsidR="00C047F2" w:rsidRPr="00054F1F" w:rsidRDefault="243F6F52" w:rsidP="65DAB74E">
            <w:pPr>
              <w:rPr>
                <w:sz w:val="20"/>
                <w:szCs w:val="20"/>
              </w:rPr>
            </w:pPr>
            <w:r w:rsidRPr="65DAB74E">
              <w:rPr>
                <w:sz w:val="20"/>
                <w:szCs w:val="20"/>
              </w:rPr>
              <w:t xml:space="preserve">Australia is committed to gender equality, and improved disability and social inclusion outcomes in its work, including through the </w:t>
            </w:r>
            <w:r w:rsidRPr="65DAB74E">
              <w:rPr>
                <w:i/>
                <w:iCs/>
                <w:sz w:val="20"/>
                <w:szCs w:val="20"/>
              </w:rPr>
              <w:t xml:space="preserve">International </w:t>
            </w:r>
            <w:r w:rsidR="38D28004" w:rsidRPr="65DAB74E">
              <w:rPr>
                <w:i/>
                <w:iCs/>
                <w:sz w:val="20"/>
                <w:szCs w:val="20"/>
              </w:rPr>
              <w:t>Gender Equality Strategy</w:t>
            </w:r>
            <w:r w:rsidR="38D28004" w:rsidRPr="65DAB74E">
              <w:rPr>
                <w:sz w:val="20"/>
                <w:szCs w:val="20"/>
              </w:rPr>
              <w:t xml:space="preserve"> and </w:t>
            </w:r>
            <w:r w:rsidR="38D28004" w:rsidRPr="65DAB74E">
              <w:rPr>
                <w:i/>
                <w:iCs/>
                <w:sz w:val="20"/>
                <w:szCs w:val="20"/>
              </w:rPr>
              <w:t>International Disability Equali</w:t>
            </w:r>
            <w:r w:rsidR="72CB803F" w:rsidRPr="65DAB74E">
              <w:rPr>
                <w:i/>
                <w:iCs/>
                <w:sz w:val="20"/>
                <w:szCs w:val="20"/>
              </w:rPr>
              <w:t>ty and Rights Strategy</w:t>
            </w:r>
            <w:r w:rsidR="72CB803F" w:rsidRPr="65DAB74E">
              <w:rPr>
                <w:sz w:val="20"/>
                <w:szCs w:val="20"/>
              </w:rPr>
              <w:t>. Any future humanitarian partnership program will be designed with reference to GE</w:t>
            </w:r>
            <w:r w:rsidR="38B48A9C" w:rsidRPr="65DAB74E">
              <w:rPr>
                <w:sz w:val="20"/>
                <w:szCs w:val="20"/>
              </w:rPr>
              <w:t>DSI analysis and outcomes, including considering whether a mainstreamed or transformative approach</w:t>
            </w:r>
            <w:r w:rsidR="44882F0E" w:rsidRPr="65DAB74E">
              <w:rPr>
                <w:sz w:val="20"/>
                <w:szCs w:val="20"/>
              </w:rPr>
              <w:t xml:space="preserve"> would </w:t>
            </w:r>
            <w:proofErr w:type="spellStart"/>
            <w:r w:rsidR="44882F0E" w:rsidRPr="65DAB74E">
              <w:rPr>
                <w:sz w:val="20"/>
                <w:szCs w:val="20"/>
              </w:rPr>
              <w:t>maximise</w:t>
            </w:r>
            <w:proofErr w:type="spellEnd"/>
            <w:r w:rsidR="44882F0E" w:rsidRPr="65DAB74E">
              <w:rPr>
                <w:sz w:val="20"/>
                <w:szCs w:val="20"/>
              </w:rPr>
              <w:t xml:space="preserve"> program impact.</w:t>
            </w:r>
          </w:p>
        </w:tc>
        <w:tc>
          <w:tcPr>
            <w:tcW w:w="1276" w:type="dxa"/>
          </w:tcPr>
          <w:p w14:paraId="7CE656F6" w14:textId="0F4A9CB2" w:rsidR="00C047F2" w:rsidRPr="00BA19B7" w:rsidRDefault="00861A7E" w:rsidP="00D16F16">
            <w:pPr>
              <w:rPr>
                <w:sz w:val="20"/>
                <w:szCs w:val="20"/>
              </w:rPr>
            </w:pPr>
            <w:r>
              <w:rPr>
                <w:sz w:val="20"/>
                <w:szCs w:val="20"/>
              </w:rPr>
              <w:t>2026</w:t>
            </w:r>
          </w:p>
        </w:tc>
      </w:tr>
    </w:tbl>
    <w:p w14:paraId="24365782" w14:textId="77777777" w:rsidR="00BC00BB" w:rsidRDefault="00BC00BB"/>
    <w:p w14:paraId="7197EC4D" w14:textId="33298DA0" w:rsidR="003A7CEF" w:rsidRPr="003A7CEF" w:rsidRDefault="003A7CEF" w:rsidP="00A14F3C">
      <w:pPr>
        <w:pStyle w:val="Heading2"/>
      </w:pPr>
      <w:r w:rsidRPr="003A7CEF">
        <w:t>MEL</w:t>
      </w:r>
    </w:p>
    <w:tbl>
      <w:tblPr>
        <w:tblStyle w:val="TableGrid"/>
        <w:tblW w:w="14454" w:type="dxa"/>
        <w:tblLayout w:type="fixed"/>
        <w:tblLook w:val="04A0" w:firstRow="1" w:lastRow="0" w:firstColumn="1" w:lastColumn="0" w:noHBand="0" w:noVBand="1"/>
      </w:tblPr>
      <w:tblGrid>
        <w:gridCol w:w="6374"/>
        <w:gridCol w:w="1418"/>
        <w:gridCol w:w="1134"/>
        <w:gridCol w:w="4252"/>
        <w:gridCol w:w="1276"/>
      </w:tblGrid>
      <w:tr w:rsidR="003A7CEF" w:rsidRPr="00BA19B7" w14:paraId="3043C53A" w14:textId="584345C7" w:rsidTr="00A14F3C">
        <w:trPr>
          <w:tblHeader/>
        </w:trPr>
        <w:tc>
          <w:tcPr>
            <w:tcW w:w="6374" w:type="dxa"/>
          </w:tcPr>
          <w:p w14:paraId="6AF3FB2A" w14:textId="01C08ACF" w:rsidR="003A7CEF" w:rsidRPr="00BA19B7" w:rsidRDefault="003A7CEF" w:rsidP="003A7CEF">
            <w:pPr>
              <w:rPr>
                <w:b/>
                <w:bCs/>
                <w:sz w:val="20"/>
                <w:szCs w:val="20"/>
              </w:rPr>
            </w:pPr>
            <w:r w:rsidRPr="00BA19B7">
              <w:rPr>
                <w:b/>
                <w:bCs/>
                <w:sz w:val="20"/>
                <w:szCs w:val="20"/>
              </w:rPr>
              <w:t>Recommendation</w:t>
            </w:r>
          </w:p>
        </w:tc>
        <w:tc>
          <w:tcPr>
            <w:tcW w:w="1418" w:type="dxa"/>
          </w:tcPr>
          <w:p w14:paraId="2CF76B07" w14:textId="5299D548" w:rsidR="003A7CEF" w:rsidRPr="00BA19B7" w:rsidRDefault="003A7CEF" w:rsidP="003A7CEF">
            <w:pPr>
              <w:rPr>
                <w:sz w:val="20"/>
                <w:szCs w:val="20"/>
              </w:rPr>
            </w:pPr>
            <w:r w:rsidRPr="00BA19B7">
              <w:rPr>
                <w:b/>
                <w:bCs/>
                <w:sz w:val="20"/>
                <w:szCs w:val="20"/>
              </w:rPr>
              <w:t>Responsible</w:t>
            </w:r>
          </w:p>
        </w:tc>
        <w:tc>
          <w:tcPr>
            <w:tcW w:w="1134" w:type="dxa"/>
          </w:tcPr>
          <w:p w14:paraId="2AD1AD42" w14:textId="7297F9D5" w:rsidR="003A7CEF" w:rsidRPr="00BA19B7" w:rsidRDefault="003A7CEF" w:rsidP="003A7CEF">
            <w:pPr>
              <w:rPr>
                <w:sz w:val="20"/>
                <w:szCs w:val="20"/>
              </w:rPr>
            </w:pPr>
            <w:r w:rsidRPr="00BA19B7">
              <w:rPr>
                <w:b/>
                <w:bCs/>
                <w:sz w:val="20"/>
                <w:szCs w:val="20"/>
              </w:rPr>
              <w:t>Response</w:t>
            </w:r>
          </w:p>
        </w:tc>
        <w:tc>
          <w:tcPr>
            <w:tcW w:w="4252" w:type="dxa"/>
          </w:tcPr>
          <w:p w14:paraId="48F07BEB" w14:textId="4B584695" w:rsidR="003A7CEF" w:rsidRPr="00BA19B7" w:rsidRDefault="003A7CEF" w:rsidP="003A7CEF">
            <w:pPr>
              <w:rPr>
                <w:sz w:val="20"/>
                <w:szCs w:val="20"/>
              </w:rPr>
            </w:pPr>
            <w:r w:rsidRPr="00BA19B7">
              <w:rPr>
                <w:b/>
                <w:bCs/>
                <w:sz w:val="20"/>
                <w:szCs w:val="20"/>
              </w:rPr>
              <w:t>Comment</w:t>
            </w:r>
          </w:p>
        </w:tc>
        <w:tc>
          <w:tcPr>
            <w:tcW w:w="1276" w:type="dxa"/>
          </w:tcPr>
          <w:p w14:paraId="27D8C47A" w14:textId="149892AE" w:rsidR="003A7CEF" w:rsidRPr="00BA19B7" w:rsidRDefault="003A7CEF" w:rsidP="003A7CEF">
            <w:pPr>
              <w:rPr>
                <w:sz w:val="20"/>
                <w:szCs w:val="20"/>
              </w:rPr>
            </w:pPr>
            <w:r>
              <w:rPr>
                <w:b/>
                <w:bCs/>
                <w:sz w:val="20"/>
                <w:szCs w:val="20"/>
              </w:rPr>
              <w:t>Timeframe</w:t>
            </w:r>
          </w:p>
        </w:tc>
      </w:tr>
      <w:tr w:rsidR="00C047F2" w:rsidRPr="00BA19B7" w14:paraId="5FFCB472" w14:textId="2F683123" w:rsidTr="73A45BEF">
        <w:tc>
          <w:tcPr>
            <w:tcW w:w="6374" w:type="dxa"/>
          </w:tcPr>
          <w:p w14:paraId="32F1FCE4" w14:textId="625A05DD" w:rsidR="00C047F2" w:rsidRPr="00BA19B7" w:rsidRDefault="00C047F2" w:rsidP="00D16F16">
            <w:pPr>
              <w:rPr>
                <w:sz w:val="20"/>
                <w:szCs w:val="20"/>
              </w:rPr>
            </w:pPr>
            <w:r w:rsidRPr="00BA19B7">
              <w:rPr>
                <w:rFonts w:cstheme="minorHAnsi"/>
                <w:b/>
                <w:bCs/>
                <w:sz w:val="20"/>
                <w:szCs w:val="20"/>
              </w:rPr>
              <w:t>Maintain stability of MEL requirements</w:t>
            </w:r>
            <w:r w:rsidRPr="00BA19B7">
              <w:rPr>
                <w:rFonts w:cstheme="minorHAnsi"/>
                <w:sz w:val="20"/>
                <w:szCs w:val="20"/>
              </w:rPr>
              <w:t xml:space="preserve"> to avoid excessive changes that create cascading system effects and high administrative burdens, especially for local partners.</w:t>
            </w:r>
          </w:p>
        </w:tc>
        <w:tc>
          <w:tcPr>
            <w:tcW w:w="1418" w:type="dxa"/>
          </w:tcPr>
          <w:p w14:paraId="087F80DC" w14:textId="375B4835" w:rsidR="00C047F2" w:rsidRPr="00BA19B7" w:rsidRDefault="00C047F2" w:rsidP="00D16F16">
            <w:pPr>
              <w:rPr>
                <w:sz w:val="20"/>
                <w:szCs w:val="20"/>
              </w:rPr>
            </w:pPr>
            <w:r w:rsidRPr="65DAB74E">
              <w:rPr>
                <w:sz w:val="20"/>
                <w:szCs w:val="20"/>
              </w:rPr>
              <w:t xml:space="preserve">DFAT </w:t>
            </w:r>
          </w:p>
        </w:tc>
        <w:tc>
          <w:tcPr>
            <w:tcW w:w="1134" w:type="dxa"/>
          </w:tcPr>
          <w:p w14:paraId="1E7F3D15" w14:textId="1C46EE06" w:rsidR="00C047F2" w:rsidRPr="00BA19B7" w:rsidRDefault="00C047F2" w:rsidP="00D16F16">
            <w:pPr>
              <w:rPr>
                <w:sz w:val="20"/>
                <w:szCs w:val="20"/>
              </w:rPr>
            </w:pPr>
            <w:r w:rsidRPr="00BA19B7">
              <w:rPr>
                <w:sz w:val="20"/>
                <w:szCs w:val="20"/>
              </w:rPr>
              <w:t>Agree</w:t>
            </w:r>
          </w:p>
        </w:tc>
        <w:tc>
          <w:tcPr>
            <w:tcW w:w="4252" w:type="dxa"/>
          </w:tcPr>
          <w:p w14:paraId="3CA34CE2" w14:textId="728491C6" w:rsidR="3FA15CED" w:rsidRPr="00E02CBA" w:rsidRDefault="00AC4075">
            <w:pPr>
              <w:rPr>
                <w:sz w:val="20"/>
                <w:szCs w:val="20"/>
              </w:rPr>
            </w:pPr>
            <w:r w:rsidRPr="00E02CBA">
              <w:rPr>
                <w:sz w:val="20"/>
                <w:szCs w:val="20"/>
              </w:rPr>
              <w:t>DFAT</w:t>
            </w:r>
            <w:r w:rsidR="3FA15CED" w:rsidRPr="00E02CBA">
              <w:rPr>
                <w:sz w:val="20"/>
                <w:szCs w:val="20"/>
              </w:rPr>
              <w:t xml:space="preserve"> notes the evaluation finding that the AHP MEL Framework adopted during Phase 2 established a whole</w:t>
            </w:r>
            <w:r w:rsidR="00FE1872" w:rsidRPr="00E02CBA">
              <w:rPr>
                <w:sz w:val="20"/>
                <w:szCs w:val="20"/>
              </w:rPr>
              <w:t>-</w:t>
            </w:r>
            <w:r w:rsidR="3FA15CED" w:rsidRPr="00E02CBA">
              <w:rPr>
                <w:sz w:val="20"/>
                <w:szCs w:val="20"/>
              </w:rPr>
              <w:t>of-program structure that embeds reflection,</w:t>
            </w:r>
            <w:r w:rsidR="00FE1872" w:rsidRPr="00E02CBA">
              <w:rPr>
                <w:sz w:val="20"/>
                <w:szCs w:val="20"/>
              </w:rPr>
              <w:t xml:space="preserve"> </w:t>
            </w:r>
            <w:r w:rsidR="3FA15CED" w:rsidRPr="00E02CBA">
              <w:rPr>
                <w:sz w:val="20"/>
                <w:szCs w:val="20"/>
              </w:rPr>
              <w:t>accountability, and evidence-based learning across multiple levels of the partnership. Development of any MEL system for a future humanitarian partnership program will draw from the AHP’s MEL lesso</w:t>
            </w:r>
            <w:r w:rsidR="4FE8DFC0" w:rsidRPr="00E02CBA">
              <w:rPr>
                <w:sz w:val="20"/>
                <w:szCs w:val="20"/>
              </w:rPr>
              <w:t>ns, including the importance of clear and consistent MEL requirements over the life of a program.</w:t>
            </w:r>
          </w:p>
          <w:p w14:paraId="12571B35" w14:textId="544F16F4" w:rsidR="00C047F2" w:rsidRPr="00E02CBA" w:rsidRDefault="00C047F2" w:rsidP="00D16F16">
            <w:pPr>
              <w:rPr>
                <w:sz w:val="20"/>
                <w:szCs w:val="20"/>
              </w:rPr>
            </w:pPr>
          </w:p>
        </w:tc>
        <w:tc>
          <w:tcPr>
            <w:tcW w:w="1276" w:type="dxa"/>
          </w:tcPr>
          <w:p w14:paraId="4B31D79E" w14:textId="05F7A6F2" w:rsidR="00C047F2" w:rsidRPr="00BA19B7" w:rsidRDefault="00861A7E" w:rsidP="00D16F16">
            <w:pPr>
              <w:rPr>
                <w:sz w:val="20"/>
                <w:szCs w:val="20"/>
              </w:rPr>
            </w:pPr>
            <w:r>
              <w:rPr>
                <w:sz w:val="20"/>
                <w:szCs w:val="20"/>
              </w:rPr>
              <w:t>2026</w:t>
            </w:r>
          </w:p>
        </w:tc>
      </w:tr>
      <w:tr w:rsidR="00C047F2" w:rsidRPr="00BA19B7" w14:paraId="49163615" w14:textId="401561A9" w:rsidTr="73A45BEF">
        <w:tc>
          <w:tcPr>
            <w:tcW w:w="6374" w:type="dxa"/>
          </w:tcPr>
          <w:p w14:paraId="7CA3520D" w14:textId="329FEB11" w:rsidR="00C047F2" w:rsidRPr="00BA19B7" w:rsidRDefault="00C047F2" w:rsidP="00D16F16">
            <w:pPr>
              <w:rPr>
                <w:sz w:val="20"/>
                <w:szCs w:val="20"/>
              </w:rPr>
            </w:pPr>
            <w:r w:rsidRPr="00BA19B7">
              <w:rPr>
                <w:rFonts w:cstheme="minorHAnsi"/>
                <w:b/>
                <w:bCs/>
                <w:sz w:val="20"/>
                <w:szCs w:val="20"/>
              </w:rPr>
              <w:t>Facilitate peer-learning and exchange across DRCCs</w:t>
            </w:r>
            <w:r w:rsidRPr="00BA19B7">
              <w:rPr>
                <w:rFonts w:cstheme="minorHAnsi"/>
                <w:sz w:val="20"/>
                <w:szCs w:val="20"/>
              </w:rPr>
              <w:t xml:space="preserve"> through regional reflection events and virtual platforms to promote knowledge transfer and innovation.</w:t>
            </w:r>
          </w:p>
        </w:tc>
        <w:tc>
          <w:tcPr>
            <w:tcW w:w="1418" w:type="dxa"/>
          </w:tcPr>
          <w:p w14:paraId="208FB85B" w14:textId="5086EF78" w:rsidR="00C047F2" w:rsidRPr="00BA19B7" w:rsidRDefault="3A493EE3">
            <w:pPr>
              <w:rPr>
                <w:sz w:val="20"/>
                <w:szCs w:val="20"/>
              </w:rPr>
            </w:pPr>
            <w:r w:rsidRPr="65DAB74E">
              <w:rPr>
                <w:sz w:val="20"/>
                <w:szCs w:val="20"/>
              </w:rPr>
              <w:t>DFAT</w:t>
            </w:r>
          </w:p>
        </w:tc>
        <w:tc>
          <w:tcPr>
            <w:tcW w:w="1134" w:type="dxa"/>
          </w:tcPr>
          <w:p w14:paraId="44A049CF" w14:textId="3E63EE00" w:rsidR="00C047F2" w:rsidRPr="00BA19B7" w:rsidRDefault="00C047F2" w:rsidP="00D16F16">
            <w:pPr>
              <w:rPr>
                <w:sz w:val="20"/>
                <w:szCs w:val="20"/>
              </w:rPr>
            </w:pPr>
            <w:r w:rsidRPr="00BA19B7">
              <w:rPr>
                <w:sz w:val="20"/>
                <w:szCs w:val="20"/>
              </w:rPr>
              <w:t>Agree</w:t>
            </w:r>
          </w:p>
        </w:tc>
        <w:tc>
          <w:tcPr>
            <w:tcW w:w="4252" w:type="dxa"/>
          </w:tcPr>
          <w:p w14:paraId="7917CA31" w14:textId="593BD56B" w:rsidR="00C047F2" w:rsidRPr="00E02CBA" w:rsidRDefault="00AC4075" w:rsidP="65DAB74E">
            <w:pPr>
              <w:rPr>
                <w:sz w:val="20"/>
                <w:szCs w:val="20"/>
              </w:rPr>
            </w:pPr>
            <w:r w:rsidRPr="00E02CBA">
              <w:rPr>
                <w:sz w:val="20"/>
                <w:szCs w:val="20"/>
              </w:rPr>
              <w:t>DFAT</w:t>
            </w:r>
            <w:r w:rsidR="2883950A" w:rsidRPr="00E02CBA">
              <w:rPr>
                <w:sz w:val="20"/>
                <w:szCs w:val="20"/>
              </w:rPr>
              <w:t xml:space="preserve"> recognises the review’s finding that AHP’s participatory reflection approach has </w:t>
            </w:r>
            <w:r w:rsidR="00A47F48" w:rsidRPr="00E02CBA">
              <w:rPr>
                <w:sz w:val="20"/>
                <w:szCs w:val="20"/>
              </w:rPr>
              <w:t>impro</w:t>
            </w:r>
            <w:r w:rsidR="2883950A" w:rsidRPr="00E02CBA">
              <w:rPr>
                <w:sz w:val="20"/>
                <w:szCs w:val="20"/>
              </w:rPr>
              <w:t xml:space="preserve">ved adaptive management, </w:t>
            </w:r>
            <w:r w:rsidR="257EA64B" w:rsidRPr="00E02CBA">
              <w:rPr>
                <w:sz w:val="20"/>
                <w:szCs w:val="20"/>
              </w:rPr>
              <w:t>and helped to effectively review progress, identify gaps and share knowledge. The success of this approach, and opportunities to increase impact through regional or virtual approaches, will be considered in the development of any future humanitarian partnership progra</w:t>
            </w:r>
            <w:r w:rsidR="1805DE6F" w:rsidRPr="00E02CBA">
              <w:rPr>
                <w:sz w:val="20"/>
                <w:szCs w:val="20"/>
              </w:rPr>
              <w:t>m.</w:t>
            </w:r>
          </w:p>
          <w:p w14:paraId="543C605E" w14:textId="7486A30D" w:rsidR="00C047F2" w:rsidRPr="00E02CBA" w:rsidRDefault="00C047F2" w:rsidP="00D16F16">
            <w:pPr>
              <w:rPr>
                <w:sz w:val="20"/>
                <w:szCs w:val="20"/>
              </w:rPr>
            </w:pPr>
          </w:p>
        </w:tc>
        <w:tc>
          <w:tcPr>
            <w:tcW w:w="1276" w:type="dxa"/>
          </w:tcPr>
          <w:p w14:paraId="0F505EFF" w14:textId="4E77A4AC" w:rsidR="00C047F2" w:rsidRPr="00BA19B7" w:rsidRDefault="00861A7E" w:rsidP="00D16F16">
            <w:pPr>
              <w:rPr>
                <w:sz w:val="20"/>
                <w:szCs w:val="20"/>
              </w:rPr>
            </w:pPr>
            <w:r>
              <w:rPr>
                <w:sz w:val="20"/>
                <w:szCs w:val="20"/>
              </w:rPr>
              <w:t>2026</w:t>
            </w:r>
          </w:p>
        </w:tc>
      </w:tr>
      <w:tr w:rsidR="00C047F2" w:rsidRPr="00BA19B7" w14:paraId="36B8C307" w14:textId="667B305B" w:rsidTr="73A45BEF">
        <w:tc>
          <w:tcPr>
            <w:tcW w:w="6374" w:type="dxa"/>
          </w:tcPr>
          <w:p w14:paraId="7425A5DB" w14:textId="3C09C7B6" w:rsidR="00C047F2" w:rsidRPr="00BA19B7" w:rsidRDefault="00C047F2" w:rsidP="00D16F16">
            <w:pPr>
              <w:rPr>
                <w:sz w:val="20"/>
                <w:szCs w:val="20"/>
              </w:rPr>
            </w:pPr>
            <w:proofErr w:type="gramStart"/>
            <w:r w:rsidRPr="00BA19B7">
              <w:rPr>
                <w:rFonts w:cstheme="minorHAnsi"/>
                <w:b/>
                <w:bCs/>
                <w:sz w:val="20"/>
                <w:szCs w:val="20"/>
              </w:rPr>
              <w:t>Strengthen</w:t>
            </w:r>
            <w:proofErr w:type="gramEnd"/>
            <w:r w:rsidRPr="00BA19B7">
              <w:rPr>
                <w:rFonts w:cstheme="minorHAnsi"/>
                <w:b/>
                <w:bCs/>
                <w:sz w:val="20"/>
                <w:szCs w:val="20"/>
              </w:rPr>
              <w:t xml:space="preserve"> inclusion components within learning exercises</w:t>
            </w:r>
            <w:r w:rsidRPr="00BA19B7">
              <w:rPr>
                <w:rFonts w:cstheme="minorHAnsi"/>
                <w:sz w:val="20"/>
                <w:szCs w:val="20"/>
              </w:rPr>
              <w:t xml:space="preserve"> to ensure ongoing improvements in practice</w:t>
            </w:r>
          </w:p>
        </w:tc>
        <w:tc>
          <w:tcPr>
            <w:tcW w:w="1418" w:type="dxa"/>
          </w:tcPr>
          <w:p w14:paraId="6358C7C7" w14:textId="6C2A1F82" w:rsidR="00C047F2" w:rsidRPr="00BA19B7" w:rsidRDefault="13E30FBF" w:rsidP="00D16F16">
            <w:pPr>
              <w:rPr>
                <w:sz w:val="20"/>
                <w:szCs w:val="20"/>
              </w:rPr>
            </w:pPr>
            <w:r w:rsidRPr="65DAB74E">
              <w:rPr>
                <w:sz w:val="20"/>
                <w:szCs w:val="20"/>
              </w:rPr>
              <w:t>DFAT</w:t>
            </w:r>
          </w:p>
        </w:tc>
        <w:tc>
          <w:tcPr>
            <w:tcW w:w="1134" w:type="dxa"/>
          </w:tcPr>
          <w:p w14:paraId="5FF51BFF" w14:textId="0482D657" w:rsidR="00C047F2" w:rsidRPr="00BA19B7" w:rsidRDefault="00C047F2" w:rsidP="00D16F16">
            <w:pPr>
              <w:rPr>
                <w:sz w:val="20"/>
                <w:szCs w:val="20"/>
              </w:rPr>
            </w:pPr>
            <w:r w:rsidRPr="00BA19B7">
              <w:rPr>
                <w:sz w:val="20"/>
                <w:szCs w:val="20"/>
              </w:rPr>
              <w:t>Agree</w:t>
            </w:r>
          </w:p>
        </w:tc>
        <w:tc>
          <w:tcPr>
            <w:tcW w:w="4252" w:type="dxa"/>
          </w:tcPr>
          <w:p w14:paraId="593FE565" w14:textId="0C0430BE" w:rsidR="00C047F2" w:rsidRPr="00BA19B7" w:rsidRDefault="002159D0" w:rsidP="003A7CEF">
            <w:pPr>
              <w:shd w:val="clear" w:color="auto" w:fill="FFFFFF" w:themeFill="background1"/>
              <w:rPr>
                <w:sz w:val="20"/>
                <w:szCs w:val="20"/>
              </w:rPr>
            </w:pPr>
            <w:r w:rsidRPr="00E02CBA">
              <w:rPr>
                <w:sz w:val="20"/>
                <w:szCs w:val="20"/>
              </w:rPr>
              <w:t>DFAT</w:t>
            </w:r>
            <w:r w:rsidR="1E747E45" w:rsidRPr="00E02CBA">
              <w:rPr>
                <w:sz w:val="20"/>
                <w:szCs w:val="20"/>
              </w:rPr>
              <w:t xml:space="preserve"> recognises the importance of </w:t>
            </w:r>
            <w:r w:rsidR="603476F5" w:rsidRPr="00E02CBA">
              <w:rPr>
                <w:sz w:val="20"/>
                <w:szCs w:val="20"/>
              </w:rPr>
              <w:t>d</w:t>
            </w:r>
            <w:r w:rsidR="1E747E45" w:rsidRPr="00E02CBA">
              <w:rPr>
                <w:sz w:val="20"/>
                <w:szCs w:val="20"/>
              </w:rPr>
              <w:t>eveloping MEL frame</w:t>
            </w:r>
            <w:r w:rsidR="1E747E45" w:rsidRPr="65DAB74E">
              <w:rPr>
                <w:sz w:val="20"/>
                <w:szCs w:val="20"/>
              </w:rPr>
              <w:t>works that are inclusiv</w:t>
            </w:r>
            <w:r w:rsidR="1E747E45" w:rsidRPr="00C60466">
              <w:rPr>
                <w:rFonts w:eastAsiaTheme="minorEastAsia"/>
                <w:sz w:val="20"/>
                <w:szCs w:val="20"/>
              </w:rPr>
              <w:t>e</w:t>
            </w:r>
            <w:r w:rsidR="42F6D890" w:rsidRPr="65DAB74E">
              <w:rPr>
                <w:rFonts w:eastAsiaTheme="minorEastAsia"/>
                <w:sz w:val="20"/>
                <w:szCs w:val="20"/>
              </w:rPr>
              <w:t>. The development of any future MEL approach for a humanitarian partnership program will include consideration of inclusion approaches,</w:t>
            </w:r>
            <w:r w:rsidR="1E747E45" w:rsidRPr="00C60466">
              <w:rPr>
                <w:rFonts w:eastAsiaTheme="minorEastAsia"/>
                <w:sz w:val="20"/>
                <w:szCs w:val="20"/>
              </w:rPr>
              <w:t xml:space="preserve"> in line with DFAT’s </w:t>
            </w:r>
            <w:r w:rsidR="1E747E45" w:rsidRPr="00C60466">
              <w:rPr>
                <w:rFonts w:eastAsiaTheme="minorEastAsia"/>
                <w:i/>
                <w:iCs/>
                <w:sz w:val="20"/>
                <w:szCs w:val="20"/>
              </w:rPr>
              <w:t>Design and Monitoring, Evaluation and Learning Standards</w:t>
            </w:r>
            <w:r w:rsidR="003A7CEF">
              <w:rPr>
                <w:sz w:val="20"/>
                <w:szCs w:val="20"/>
              </w:rPr>
              <w:t>.</w:t>
            </w:r>
          </w:p>
        </w:tc>
        <w:tc>
          <w:tcPr>
            <w:tcW w:w="1276" w:type="dxa"/>
          </w:tcPr>
          <w:p w14:paraId="1EFAFC56" w14:textId="310B8F87" w:rsidR="00C047F2" w:rsidRPr="00BA19B7" w:rsidRDefault="00861A7E" w:rsidP="00D16F16">
            <w:pPr>
              <w:rPr>
                <w:sz w:val="20"/>
                <w:szCs w:val="20"/>
              </w:rPr>
            </w:pPr>
            <w:r>
              <w:rPr>
                <w:sz w:val="20"/>
                <w:szCs w:val="20"/>
              </w:rPr>
              <w:t>2026</w:t>
            </w:r>
          </w:p>
        </w:tc>
      </w:tr>
    </w:tbl>
    <w:p w14:paraId="740EFE42" w14:textId="77777777" w:rsidR="003A7CEF" w:rsidRDefault="003A7CEF"/>
    <w:p w14:paraId="079705C8" w14:textId="3F505DB5" w:rsidR="003A7CEF" w:rsidRPr="003A7CEF" w:rsidRDefault="003A7CEF" w:rsidP="00A14F3C">
      <w:pPr>
        <w:pStyle w:val="Heading2"/>
      </w:pPr>
      <w:r w:rsidRPr="003A7CEF">
        <w:t>System coherence &amp; coordination</w:t>
      </w:r>
    </w:p>
    <w:tbl>
      <w:tblPr>
        <w:tblStyle w:val="TableGrid"/>
        <w:tblW w:w="14454" w:type="dxa"/>
        <w:tblLayout w:type="fixed"/>
        <w:tblLook w:val="04A0" w:firstRow="1" w:lastRow="0" w:firstColumn="1" w:lastColumn="0" w:noHBand="0" w:noVBand="1"/>
      </w:tblPr>
      <w:tblGrid>
        <w:gridCol w:w="6374"/>
        <w:gridCol w:w="1418"/>
        <w:gridCol w:w="1134"/>
        <w:gridCol w:w="4252"/>
        <w:gridCol w:w="1276"/>
      </w:tblGrid>
      <w:tr w:rsidR="003A7CEF" w:rsidRPr="00BA19B7" w14:paraId="2C7B53AE" w14:textId="2B2215DD" w:rsidTr="00A14F3C">
        <w:trPr>
          <w:tblHeader/>
        </w:trPr>
        <w:tc>
          <w:tcPr>
            <w:tcW w:w="6374" w:type="dxa"/>
          </w:tcPr>
          <w:p w14:paraId="04FEDD55" w14:textId="5D0B4FD9" w:rsidR="003A7CEF" w:rsidRPr="00BA19B7" w:rsidRDefault="003A7CEF" w:rsidP="003A7CEF">
            <w:pPr>
              <w:rPr>
                <w:b/>
                <w:bCs/>
                <w:sz w:val="20"/>
                <w:szCs w:val="20"/>
              </w:rPr>
            </w:pPr>
            <w:r w:rsidRPr="00BA19B7">
              <w:rPr>
                <w:b/>
                <w:bCs/>
                <w:sz w:val="20"/>
                <w:szCs w:val="20"/>
              </w:rPr>
              <w:t>Recommendation</w:t>
            </w:r>
          </w:p>
        </w:tc>
        <w:tc>
          <w:tcPr>
            <w:tcW w:w="1418" w:type="dxa"/>
          </w:tcPr>
          <w:p w14:paraId="407DC066" w14:textId="160318CB" w:rsidR="003A7CEF" w:rsidRPr="00BA19B7" w:rsidRDefault="003A7CEF" w:rsidP="003A7CEF">
            <w:pPr>
              <w:rPr>
                <w:sz w:val="20"/>
                <w:szCs w:val="20"/>
              </w:rPr>
            </w:pPr>
            <w:r w:rsidRPr="00BA19B7">
              <w:rPr>
                <w:b/>
                <w:bCs/>
                <w:sz w:val="20"/>
                <w:szCs w:val="20"/>
              </w:rPr>
              <w:t>Responsible</w:t>
            </w:r>
          </w:p>
        </w:tc>
        <w:tc>
          <w:tcPr>
            <w:tcW w:w="1134" w:type="dxa"/>
          </w:tcPr>
          <w:p w14:paraId="334ADD93" w14:textId="0FDAD8E0" w:rsidR="003A7CEF" w:rsidRPr="00BA19B7" w:rsidRDefault="003A7CEF" w:rsidP="003A7CEF">
            <w:pPr>
              <w:rPr>
                <w:sz w:val="20"/>
                <w:szCs w:val="20"/>
              </w:rPr>
            </w:pPr>
            <w:r w:rsidRPr="00BA19B7">
              <w:rPr>
                <w:b/>
                <w:bCs/>
                <w:sz w:val="20"/>
                <w:szCs w:val="20"/>
              </w:rPr>
              <w:t>Response</w:t>
            </w:r>
          </w:p>
        </w:tc>
        <w:tc>
          <w:tcPr>
            <w:tcW w:w="4252" w:type="dxa"/>
          </w:tcPr>
          <w:p w14:paraId="5A23260B" w14:textId="59BEB488" w:rsidR="003A7CEF" w:rsidRPr="00BA19B7" w:rsidRDefault="003A7CEF" w:rsidP="003A7CEF">
            <w:pPr>
              <w:rPr>
                <w:sz w:val="20"/>
                <w:szCs w:val="20"/>
              </w:rPr>
            </w:pPr>
            <w:r w:rsidRPr="00BA19B7">
              <w:rPr>
                <w:b/>
                <w:bCs/>
                <w:sz w:val="20"/>
                <w:szCs w:val="20"/>
              </w:rPr>
              <w:t>Comment</w:t>
            </w:r>
          </w:p>
        </w:tc>
        <w:tc>
          <w:tcPr>
            <w:tcW w:w="1276" w:type="dxa"/>
          </w:tcPr>
          <w:p w14:paraId="55AD8E7C" w14:textId="0420B73A" w:rsidR="003A7CEF" w:rsidRPr="00BA19B7" w:rsidRDefault="003A7CEF" w:rsidP="003A7CEF">
            <w:pPr>
              <w:rPr>
                <w:sz w:val="20"/>
                <w:szCs w:val="20"/>
              </w:rPr>
            </w:pPr>
            <w:r>
              <w:rPr>
                <w:b/>
                <w:bCs/>
                <w:sz w:val="20"/>
                <w:szCs w:val="20"/>
              </w:rPr>
              <w:t>Timeframe</w:t>
            </w:r>
          </w:p>
        </w:tc>
      </w:tr>
      <w:tr w:rsidR="00C047F2" w:rsidRPr="00BA19B7" w14:paraId="76E19D7E" w14:textId="033DBC83" w:rsidTr="73A45BEF">
        <w:tc>
          <w:tcPr>
            <w:tcW w:w="6374" w:type="dxa"/>
          </w:tcPr>
          <w:p w14:paraId="270860BD" w14:textId="2A340407" w:rsidR="00C047F2" w:rsidRPr="00BA19B7" w:rsidRDefault="00C047F2" w:rsidP="00D16F16">
            <w:pPr>
              <w:rPr>
                <w:sz w:val="20"/>
                <w:szCs w:val="20"/>
              </w:rPr>
            </w:pPr>
            <w:r w:rsidRPr="00BA19B7">
              <w:rPr>
                <w:b/>
                <w:sz w:val="20"/>
                <w:szCs w:val="20"/>
              </w:rPr>
              <w:t>Strengthen communication and coordination across DFAT-funded humanitarian mechanisms</w:t>
            </w:r>
            <w:r w:rsidRPr="00BA19B7">
              <w:rPr>
                <w:sz w:val="20"/>
                <w:szCs w:val="20"/>
              </w:rPr>
              <w:t xml:space="preserve"> (AHP, Australia Assists, ARC Partnership, HLC, ANCP) through  “complementarity mapping”, regular portfolio reviews and the development of strategic guidance notes </w:t>
            </w:r>
            <w:r w:rsidRPr="00C60466">
              <w:rPr>
                <w:sz w:val="20"/>
                <w:szCs w:val="20"/>
              </w:rPr>
              <w:t>that outline how each of DFAT’s humanitarian response mechanisms are to work together to deliver DFAT’s humanitarian policy, how this is operationalised in response and recovery and how this will be led</w:t>
            </w:r>
            <w:r w:rsidRPr="00BA19B7">
              <w:rPr>
                <w:sz w:val="20"/>
                <w:szCs w:val="20"/>
              </w:rPr>
              <w:t>.</w:t>
            </w:r>
          </w:p>
        </w:tc>
        <w:tc>
          <w:tcPr>
            <w:tcW w:w="1418" w:type="dxa"/>
          </w:tcPr>
          <w:p w14:paraId="07740A54" w14:textId="3AFBED77" w:rsidR="00C047F2" w:rsidRPr="00BA19B7" w:rsidRDefault="00C047F2" w:rsidP="00D16F16">
            <w:pPr>
              <w:rPr>
                <w:sz w:val="20"/>
                <w:szCs w:val="20"/>
              </w:rPr>
            </w:pPr>
            <w:r w:rsidRPr="00BA19B7">
              <w:rPr>
                <w:sz w:val="20"/>
                <w:szCs w:val="20"/>
              </w:rPr>
              <w:t>DFAT</w:t>
            </w:r>
          </w:p>
        </w:tc>
        <w:tc>
          <w:tcPr>
            <w:tcW w:w="1134" w:type="dxa"/>
          </w:tcPr>
          <w:p w14:paraId="09BCFFED" w14:textId="301D2944" w:rsidR="00C047F2" w:rsidRPr="00BA19B7" w:rsidRDefault="00C047F2" w:rsidP="00D16F16">
            <w:pPr>
              <w:rPr>
                <w:sz w:val="20"/>
                <w:szCs w:val="20"/>
              </w:rPr>
            </w:pPr>
            <w:r w:rsidRPr="00BA19B7">
              <w:rPr>
                <w:sz w:val="20"/>
                <w:szCs w:val="20"/>
              </w:rPr>
              <w:t>Noted</w:t>
            </w:r>
          </w:p>
        </w:tc>
        <w:tc>
          <w:tcPr>
            <w:tcW w:w="4252" w:type="dxa"/>
          </w:tcPr>
          <w:p w14:paraId="224E6E2A" w14:textId="6E15F17F" w:rsidR="00C047F2" w:rsidRPr="00BA19B7" w:rsidRDefault="444B6D07" w:rsidP="65DAB74E">
            <w:pPr>
              <w:rPr>
                <w:sz w:val="20"/>
                <w:szCs w:val="20"/>
              </w:rPr>
            </w:pPr>
            <w:r w:rsidRPr="65DAB74E">
              <w:rPr>
                <w:sz w:val="20"/>
                <w:szCs w:val="20"/>
              </w:rPr>
              <w:t>DFAT’s Humanitarian and Civil Society Division will consider opportunities and approaches to strengthen communication and coordination across DFAT-funded humanitarian mechanisms</w:t>
            </w:r>
            <w:r w:rsidR="5E7B8944" w:rsidRPr="65DAB74E">
              <w:rPr>
                <w:sz w:val="20"/>
                <w:szCs w:val="20"/>
              </w:rPr>
              <w:t xml:space="preserve">, in line with Australia’s </w:t>
            </w:r>
            <w:r w:rsidR="5E7B8944" w:rsidRPr="65DAB74E">
              <w:rPr>
                <w:i/>
                <w:iCs/>
                <w:sz w:val="20"/>
                <w:szCs w:val="20"/>
              </w:rPr>
              <w:t>Humanitarian Policy</w:t>
            </w:r>
            <w:r w:rsidR="5E7B8944" w:rsidRPr="65DAB74E">
              <w:rPr>
                <w:sz w:val="20"/>
                <w:szCs w:val="20"/>
              </w:rPr>
              <w:t xml:space="preserve"> an</w:t>
            </w:r>
            <w:r w:rsidR="008B595B">
              <w:rPr>
                <w:sz w:val="20"/>
                <w:szCs w:val="20"/>
              </w:rPr>
              <w:t xml:space="preserve">d </w:t>
            </w:r>
            <w:r w:rsidR="5E7B8944" w:rsidRPr="65DAB74E">
              <w:rPr>
                <w:sz w:val="20"/>
                <w:szCs w:val="20"/>
              </w:rPr>
              <w:t>strategic guidance notes (such as DFAT’s Guidance Note on Locally Led Development)</w:t>
            </w:r>
            <w:r w:rsidRPr="65DAB74E">
              <w:rPr>
                <w:sz w:val="20"/>
                <w:szCs w:val="20"/>
              </w:rPr>
              <w:t>.</w:t>
            </w:r>
          </w:p>
          <w:p w14:paraId="32B2DE8C" w14:textId="6C7AF23A" w:rsidR="00C047F2" w:rsidRPr="00BA19B7" w:rsidRDefault="00C047F2" w:rsidP="65DAB74E">
            <w:pPr>
              <w:rPr>
                <w:sz w:val="20"/>
                <w:szCs w:val="20"/>
              </w:rPr>
            </w:pPr>
          </w:p>
        </w:tc>
        <w:tc>
          <w:tcPr>
            <w:tcW w:w="1276" w:type="dxa"/>
          </w:tcPr>
          <w:p w14:paraId="72759B5E" w14:textId="43AB88EA" w:rsidR="00C047F2" w:rsidRPr="00BA19B7" w:rsidRDefault="34F9A8DD" w:rsidP="00D16F16">
            <w:pPr>
              <w:rPr>
                <w:sz w:val="20"/>
                <w:szCs w:val="20"/>
              </w:rPr>
            </w:pPr>
            <w:r w:rsidRPr="65DAB74E">
              <w:rPr>
                <w:sz w:val="20"/>
                <w:szCs w:val="20"/>
              </w:rPr>
              <w:t>Ong</w:t>
            </w:r>
            <w:r w:rsidR="00953F46" w:rsidRPr="65DAB74E">
              <w:rPr>
                <w:sz w:val="20"/>
                <w:szCs w:val="20"/>
              </w:rPr>
              <w:t>oing</w:t>
            </w:r>
          </w:p>
        </w:tc>
      </w:tr>
      <w:tr w:rsidR="00C047F2" w:rsidRPr="00BA19B7" w14:paraId="1C06049B" w14:textId="0E1F31B1" w:rsidTr="73A45BEF">
        <w:tc>
          <w:tcPr>
            <w:tcW w:w="6374" w:type="dxa"/>
          </w:tcPr>
          <w:p w14:paraId="14E9AD88" w14:textId="30F8FA39" w:rsidR="00C047F2" w:rsidRPr="00BA19B7" w:rsidRDefault="00C047F2" w:rsidP="00D16F16">
            <w:pPr>
              <w:rPr>
                <w:sz w:val="20"/>
                <w:szCs w:val="20"/>
              </w:rPr>
            </w:pPr>
            <w:r w:rsidRPr="00BA19B7">
              <w:rPr>
                <w:rFonts w:cstheme="minorHAnsi"/>
                <w:b/>
                <w:bCs/>
                <w:sz w:val="20"/>
                <w:szCs w:val="20"/>
              </w:rPr>
              <w:t>Promote and explore ways to strengthen greater regional coherence</w:t>
            </w:r>
            <w:r w:rsidRPr="00BA19B7">
              <w:rPr>
                <w:rFonts w:cstheme="minorHAnsi"/>
                <w:sz w:val="20"/>
                <w:szCs w:val="20"/>
              </w:rPr>
              <w:t xml:space="preserve"> by convening an </w:t>
            </w:r>
            <w:r w:rsidRPr="00BA19B7">
              <w:rPr>
                <w:rFonts w:cstheme="minorHAnsi"/>
                <w:b/>
                <w:bCs/>
                <w:sz w:val="20"/>
                <w:szCs w:val="20"/>
              </w:rPr>
              <w:t>annual humanitarian coordination and learning forum</w:t>
            </w:r>
            <w:r w:rsidRPr="00BA19B7">
              <w:rPr>
                <w:rFonts w:cstheme="minorHAnsi"/>
                <w:sz w:val="20"/>
                <w:szCs w:val="20"/>
              </w:rPr>
              <w:t xml:space="preserve"> with PRP, PResCoM, CROP agencies, and AHP partners.</w:t>
            </w:r>
          </w:p>
        </w:tc>
        <w:tc>
          <w:tcPr>
            <w:tcW w:w="1418" w:type="dxa"/>
          </w:tcPr>
          <w:p w14:paraId="63B2EE8E" w14:textId="26B05DF0" w:rsidR="00C047F2" w:rsidRPr="00BA19B7" w:rsidRDefault="00C047F2" w:rsidP="00D16F16">
            <w:pPr>
              <w:rPr>
                <w:sz w:val="20"/>
                <w:szCs w:val="20"/>
              </w:rPr>
            </w:pPr>
            <w:r w:rsidRPr="65DAB74E">
              <w:rPr>
                <w:sz w:val="20"/>
                <w:szCs w:val="20"/>
              </w:rPr>
              <w:t>DFAT</w:t>
            </w:r>
          </w:p>
        </w:tc>
        <w:tc>
          <w:tcPr>
            <w:tcW w:w="1134" w:type="dxa"/>
          </w:tcPr>
          <w:p w14:paraId="6276A79C" w14:textId="4AEDDA20" w:rsidR="00C047F2" w:rsidRPr="00BA19B7" w:rsidRDefault="00C047F2" w:rsidP="00D16F16">
            <w:pPr>
              <w:rPr>
                <w:sz w:val="20"/>
                <w:szCs w:val="20"/>
              </w:rPr>
            </w:pPr>
            <w:r w:rsidRPr="00BA19B7">
              <w:rPr>
                <w:sz w:val="20"/>
                <w:szCs w:val="20"/>
              </w:rPr>
              <w:t>Noted</w:t>
            </w:r>
          </w:p>
        </w:tc>
        <w:tc>
          <w:tcPr>
            <w:tcW w:w="4252" w:type="dxa"/>
          </w:tcPr>
          <w:p w14:paraId="69F43AFA" w14:textId="1E5167F6" w:rsidR="1360DD5E" w:rsidRDefault="1360DD5E" w:rsidP="65DAB74E">
            <w:pPr>
              <w:rPr>
                <w:rFonts w:ascii="Aptos" w:eastAsia="Aptos" w:hAnsi="Aptos" w:cs="Aptos"/>
                <w:sz w:val="20"/>
                <w:szCs w:val="20"/>
              </w:rPr>
            </w:pPr>
            <w:r w:rsidRPr="65DAB74E">
              <w:rPr>
                <w:sz w:val="20"/>
                <w:szCs w:val="20"/>
              </w:rPr>
              <w:t xml:space="preserve">Australia’s </w:t>
            </w:r>
            <w:r w:rsidRPr="65DAB74E">
              <w:rPr>
                <w:i/>
                <w:iCs/>
                <w:sz w:val="20"/>
                <w:szCs w:val="20"/>
              </w:rPr>
              <w:t xml:space="preserve">Humanitarian </w:t>
            </w:r>
            <w:r w:rsidRPr="00C60466">
              <w:rPr>
                <w:sz w:val="20"/>
                <w:szCs w:val="20"/>
              </w:rPr>
              <w:t>Policy</w:t>
            </w:r>
            <w:r w:rsidRPr="65DAB74E">
              <w:rPr>
                <w:sz w:val="20"/>
                <w:szCs w:val="20"/>
              </w:rPr>
              <w:t xml:space="preserve"> recognises the importance of s</w:t>
            </w:r>
            <w:r w:rsidRPr="65DAB74E">
              <w:rPr>
                <w:rFonts w:ascii="Aptos" w:eastAsia="Aptos" w:hAnsi="Aptos" w:cs="Aptos"/>
                <w:sz w:val="20"/>
                <w:szCs w:val="20"/>
              </w:rPr>
              <w:t xml:space="preserve">trengthening global and regional coordination and collaboration in humanitarian response activities, including through mechanisms that support local leadership and decision-making. DFAT will consider opportunities to increase </w:t>
            </w:r>
            <w:r w:rsidR="64336C3C" w:rsidRPr="65DAB74E">
              <w:rPr>
                <w:rFonts w:ascii="Aptos" w:eastAsia="Aptos" w:hAnsi="Aptos" w:cs="Aptos"/>
                <w:sz w:val="20"/>
                <w:szCs w:val="20"/>
              </w:rPr>
              <w:t>humanitarian learning and coordination regionally and globally.</w:t>
            </w:r>
          </w:p>
          <w:p w14:paraId="7D08E655" w14:textId="32FEB0D9" w:rsidR="00C047F2" w:rsidRPr="00BA19B7" w:rsidRDefault="00C047F2" w:rsidP="00D16F16">
            <w:pPr>
              <w:rPr>
                <w:sz w:val="20"/>
                <w:szCs w:val="20"/>
              </w:rPr>
            </w:pPr>
          </w:p>
        </w:tc>
        <w:tc>
          <w:tcPr>
            <w:tcW w:w="1276" w:type="dxa"/>
          </w:tcPr>
          <w:p w14:paraId="5DC21ADB" w14:textId="6FD340E2" w:rsidR="00C047F2" w:rsidRPr="00BA19B7" w:rsidRDefault="71B6FB07" w:rsidP="00D16F16">
            <w:pPr>
              <w:rPr>
                <w:sz w:val="20"/>
                <w:szCs w:val="20"/>
              </w:rPr>
            </w:pPr>
            <w:r w:rsidRPr="65DAB74E">
              <w:rPr>
                <w:sz w:val="20"/>
                <w:szCs w:val="20"/>
              </w:rPr>
              <w:t>Ong</w:t>
            </w:r>
            <w:r w:rsidR="00953F46" w:rsidRPr="65DAB74E">
              <w:rPr>
                <w:sz w:val="20"/>
                <w:szCs w:val="20"/>
              </w:rPr>
              <w:t>oing</w:t>
            </w:r>
          </w:p>
        </w:tc>
      </w:tr>
    </w:tbl>
    <w:p w14:paraId="7780B6B4" w14:textId="77777777" w:rsidR="003A7CEF" w:rsidRDefault="003A7CEF"/>
    <w:p w14:paraId="0CC10BE5" w14:textId="24615A72" w:rsidR="003A7CEF" w:rsidRPr="003A7CEF" w:rsidRDefault="003A7CEF" w:rsidP="00A14F3C">
      <w:pPr>
        <w:pStyle w:val="Heading2"/>
      </w:pPr>
      <w:r w:rsidRPr="003A7CEF">
        <w:t xml:space="preserve">Partnership &amp; </w:t>
      </w:r>
      <w:proofErr w:type="spellStart"/>
      <w:r w:rsidRPr="003A7CEF">
        <w:t>localisation</w:t>
      </w:r>
      <w:proofErr w:type="spellEnd"/>
    </w:p>
    <w:tbl>
      <w:tblPr>
        <w:tblStyle w:val="TableGrid"/>
        <w:tblW w:w="14454" w:type="dxa"/>
        <w:tblLayout w:type="fixed"/>
        <w:tblLook w:val="04A0" w:firstRow="1" w:lastRow="0" w:firstColumn="1" w:lastColumn="0" w:noHBand="0" w:noVBand="1"/>
      </w:tblPr>
      <w:tblGrid>
        <w:gridCol w:w="6374"/>
        <w:gridCol w:w="1418"/>
        <w:gridCol w:w="1134"/>
        <w:gridCol w:w="4252"/>
        <w:gridCol w:w="1276"/>
      </w:tblGrid>
      <w:tr w:rsidR="003A7CEF" w:rsidRPr="00BA19B7" w14:paraId="771B2E6D" w14:textId="1E2BCBE8" w:rsidTr="00A14F3C">
        <w:trPr>
          <w:tblHeader/>
        </w:trPr>
        <w:tc>
          <w:tcPr>
            <w:tcW w:w="6374" w:type="dxa"/>
          </w:tcPr>
          <w:p w14:paraId="457725F7" w14:textId="1DBA86D4" w:rsidR="003A7CEF" w:rsidRPr="00BA19B7" w:rsidRDefault="003A7CEF" w:rsidP="003A7CEF">
            <w:pPr>
              <w:rPr>
                <w:b/>
                <w:bCs/>
                <w:sz w:val="20"/>
                <w:szCs w:val="20"/>
              </w:rPr>
            </w:pPr>
            <w:r w:rsidRPr="00BA19B7">
              <w:rPr>
                <w:b/>
                <w:bCs/>
                <w:sz w:val="20"/>
                <w:szCs w:val="20"/>
              </w:rPr>
              <w:t>Recommendation</w:t>
            </w:r>
          </w:p>
        </w:tc>
        <w:tc>
          <w:tcPr>
            <w:tcW w:w="1418" w:type="dxa"/>
          </w:tcPr>
          <w:p w14:paraId="06F852C5" w14:textId="17D3387A" w:rsidR="003A7CEF" w:rsidRPr="00BA19B7" w:rsidRDefault="003A7CEF" w:rsidP="003A7CEF">
            <w:pPr>
              <w:rPr>
                <w:sz w:val="20"/>
                <w:szCs w:val="20"/>
              </w:rPr>
            </w:pPr>
            <w:r w:rsidRPr="00BA19B7">
              <w:rPr>
                <w:b/>
                <w:bCs/>
                <w:sz w:val="20"/>
                <w:szCs w:val="20"/>
              </w:rPr>
              <w:t>Responsible</w:t>
            </w:r>
          </w:p>
        </w:tc>
        <w:tc>
          <w:tcPr>
            <w:tcW w:w="1134" w:type="dxa"/>
          </w:tcPr>
          <w:p w14:paraId="7F8C0177" w14:textId="1D2A6269" w:rsidR="003A7CEF" w:rsidRPr="00BA19B7" w:rsidRDefault="003A7CEF" w:rsidP="003A7CEF">
            <w:pPr>
              <w:rPr>
                <w:sz w:val="20"/>
                <w:szCs w:val="20"/>
              </w:rPr>
            </w:pPr>
            <w:r w:rsidRPr="00BA19B7">
              <w:rPr>
                <w:b/>
                <w:bCs/>
                <w:sz w:val="20"/>
                <w:szCs w:val="20"/>
              </w:rPr>
              <w:t>Response</w:t>
            </w:r>
          </w:p>
        </w:tc>
        <w:tc>
          <w:tcPr>
            <w:tcW w:w="4252" w:type="dxa"/>
          </w:tcPr>
          <w:p w14:paraId="39213162" w14:textId="7E0E118F" w:rsidR="003A7CEF" w:rsidRPr="00BA19B7" w:rsidRDefault="003A7CEF" w:rsidP="003A7CEF">
            <w:pPr>
              <w:rPr>
                <w:sz w:val="20"/>
                <w:szCs w:val="20"/>
              </w:rPr>
            </w:pPr>
            <w:r w:rsidRPr="00BA19B7">
              <w:rPr>
                <w:b/>
                <w:bCs/>
                <w:sz w:val="20"/>
                <w:szCs w:val="20"/>
              </w:rPr>
              <w:t>Comment</w:t>
            </w:r>
          </w:p>
        </w:tc>
        <w:tc>
          <w:tcPr>
            <w:tcW w:w="1276" w:type="dxa"/>
          </w:tcPr>
          <w:p w14:paraId="113A3EED" w14:textId="7CC49CB9" w:rsidR="003A7CEF" w:rsidRPr="00BA19B7" w:rsidRDefault="003A7CEF" w:rsidP="003A7CEF">
            <w:pPr>
              <w:rPr>
                <w:sz w:val="20"/>
                <w:szCs w:val="20"/>
              </w:rPr>
            </w:pPr>
            <w:r>
              <w:rPr>
                <w:b/>
                <w:bCs/>
                <w:sz w:val="20"/>
                <w:szCs w:val="20"/>
              </w:rPr>
              <w:t>Timeframe</w:t>
            </w:r>
          </w:p>
        </w:tc>
      </w:tr>
      <w:tr w:rsidR="00C047F2" w:rsidRPr="00BA19B7" w14:paraId="18FF2BAD" w14:textId="487C037E" w:rsidTr="73A45BEF">
        <w:tc>
          <w:tcPr>
            <w:tcW w:w="6374" w:type="dxa"/>
          </w:tcPr>
          <w:p w14:paraId="54AC175B" w14:textId="7F573B45" w:rsidR="00C047F2" w:rsidRPr="00BA19B7" w:rsidRDefault="00C047F2" w:rsidP="00D16F16">
            <w:pPr>
              <w:rPr>
                <w:sz w:val="20"/>
                <w:szCs w:val="20"/>
              </w:rPr>
            </w:pPr>
            <w:r w:rsidRPr="00BA19B7">
              <w:rPr>
                <w:rFonts w:cstheme="minorHAnsi"/>
                <w:b/>
                <w:bCs/>
                <w:sz w:val="20"/>
                <w:szCs w:val="20"/>
              </w:rPr>
              <w:t>Rebalance risk-sharing and overhead support</w:t>
            </w:r>
            <w:r w:rsidRPr="00BA19B7">
              <w:rPr>
                <w:rFonts w:cstheme="minorHAnsi"/>
                <w:sz w:val="20"/>
                <w:szCs w:val="20"/>
              </w:rPr>
              <w:t xml:space="preserve"> to ensure local partners are not disproportionately exposed to financial or operational risk. Provide access to modest core funding or contingency lines within grants.</w:t>
            </w:r>
          </w:p>
        </w:tc>
        <w:tc>
          <w:tcPr>
            <w:tcW w:w="1418" w:type="dxa"/>
          </w:tcPr>
          <w:p w14:paraId="6908D6EC" w14:textId="166D1CF5" w:rsidR="00C047F2" w:rsidRPr="00BA19B7" w:rsidRDefault="00C047F2" w:rsidP="00D16F16">
            <w:pPr>
              <w:rPr>
                <w:sz w:val="20"/>
                <w:szCs w:val="20"/>
              </w:rPr>
            </w:pPr>
            <w:r w:rsidRPr="65DAB74E">
              <w:rPr>
                <w:sz w:val="20"/>
                <w:szCs w:val="20"/>
              </w:rPr>
              <w:t xml:space="preserve">DFAT </w:t>
            </w:r>
          </w:p>
        </w:tc>
        <w:tc>
          <w:tcPr>
            <w:tcW w:w="1134" w:type="dxa"/>
          </w:tcPr>
          <w:p w14:paraId="132A05E9" w14:textId="6BB10D38" w:rsidR="00C047F2" w:rsidRPr="00BA19B7" w:rsidRDefault="00C047F2" w:rsidP="00D16F16">
            <w:pPr>
              <w:rPr>
                <w:sz w:val="20"/>
                <w:szCs w:val="20"/>
              </w:rPr>
            </w:pPr>
            <w:r w:rsidRPr="00BA19B7">
              <w:rPr>
                <w:sz w:val="20"/>
                <w:szCs w:val="20"/>
              </w:rPr>
              <w:t>Agree</w:t>
            </w:r>
          </w:p>
        </w:tc>
        <w:tc>
          <w:tcPr>
            <w:tcW w:w="4252" w:type="dxa"/>
          </w:tcPr>
          <w:p w14:paraId="4E317DE1" w14:textId="3684F3C2" w:rsidR="00C047F2" w:rsidRPr="00BA19B7" w:rsidRDefault="00737A02" w:rsidP="00D16F16">
            <w:pPr>
              <w:rPr>
                <w:sz w:val="20"/>
                <w:szCs w:val="20"/>
              </w:rPr>
            </w:pPr>
            <w:r w:rsidRPr="00E02CBA">
              <w:rPr>
                <w:sz w:val="20"/>
                <w:szCs w:val="20"/>
              </w:rPr>
              <w:t>DFAT</w:t>
            </w:r>
            <w:r w:rsidR="66E494E9" w:rsidRPr="00E02CBA">
              <w:rPr>
                <w:sz w:val="20"/>
                <w:szCs w:val="20"/>
              </w:rPr>
              <w:t xml:space="preserve"> notes</w:t>
            </w:r>
            <w:r w:rsidR="66E494E9" w:rsidRPr="65DAB74E">
              <w:rPr>
                <w:sz w:val="20"/>
                <w:szCs w:val="20"/>
              </w:rPr>
              <w:t xml:space="preserve"> the review’s findings that AHP’s approach to risk, including its structured assurance mechanisms and proximity and contextual understanding of NGO networks, make it a trusted and relatively low-risk </w:t>
            </w:r>
            <w:r w:rsidR="4E960E47" w:rsidRPr="65DAB74E">
              <w:rPr>
                <w:sz w:val="20"/>
                <w:szCs w:val="20"/>
              </w:rPr>
              <w:t xml:space="preserve">vehicle </w:t>
            </w:r>
            <w:r w:rsidR="66E494E9" w:rsidRPr="65DAB74E">
              <w:rPr>
                <w:sz w:val="20"/>
                <w:szCs w:val="20"/>
              </w:rPr>
              <w:t xml:space="preserve">for humanitarian </w:t>
            </w:r>
            <w:r w:rsidR="06DF4FDF" w:rsidRPr="65DAB74E">
              <w:rPr>
                <w:sz w:val="20"/>
                <w:szCs w:val="20"/>
              </w:rPr>
              <w:t xml:space="preserve">delivery. </w:t>
            </w:r>
            <w:r w:rsidR="07779A2A" w:rsidRPr="65DAB74E">
              <w:rPr>
                <w:sz w:val="20"/>
                <w:szCs w:val="20"/>
              </w:rPr>
              <w:t>Risk considerations, including how to support local partners to manage risk appropriately, will inform the development of any future humanitarian partnership program.</w:t>
            </w:r>
          </w:p>
        </w:tc>
        <w:tc>
          <w:tcPr>
            <w:tcW w:w="1276" w:type="dxa"/>
          </w:tcPr>
          <w:p w14:paraId="589EDB4E" w14:textId="0705DA17" w:rsidR="00C047F2" w:rsidRPr="00BA19B7" w:rsidRDefault="00953F46" w:rsidP="00D16F16">
            <w:pPr>
              <w:rPr>
                <w:sz w:val="20"/>
                <w:szCs w:val="20"/>
              </w:rPr>
            </w:pPr>
            <w:r>
              <w:rPr>
                <w:sz w:val="20"/>
                <w:szCs w:val="20"/>
              </w:rPr>
              <w:t>2026</w:t>
            </w:r>
          </w:p>
        </w:tc>
      </w:tr>
      <w:tr w:rsidR="00C047F2" w:rsidRPr="00BA19B7" w14:paraId="6568ED1C" w14:textId="17CD5831" w:rsidTr="73A45BEF">
        <w:tc>
          <w:tcPr>
            <w:tcW w:w="6374" w:type="dxa"/>
          </w:tcPr>
          <w:p w14:paraId="7327A517" w14:textId="5089C212" w:rsidR="00C047F2" w:rsidRPr="00BA19B7" w:rsidRDefault="00C047F2" w:rsidP="00D16F16">
            <w:pPr>
              <w:rPr>
                <w:sz w:val="20"/>
                <w:szCs w:val="20"/>
              </w:rPr>
            </w:pPr>
            <w:r w:rsidRPr="00BA19B7">
              <w:rPr>
                <w:rFonts w:cstheme="minorHAnsi"/>
                <w:b/>
                <w:bCs/>
                <w:sz w:val="20"/>
                <w:szCs w:val="20"/>
              </w:rPr>
              <w:t>Reinforce local leadership within Disaster READY and activations</w:t>
            </w:r>
            <w:r w:rsidRPr="00BA19B7">
              <w:rPr>
                <w:rFonts w:cstheme="minorHAnsi"/>
                <w:sz w:val="20"/>
                <w:szCs w:val="20"/>
              </w:rPr>
              <w:t xml:space="preserve"> by formalising DRCC engagement with national coordination systems and granting observer status to key government and humanitarian actors.</w:t>
            </w:r>
          </w:p>
        </w:tc>
        <w:tc>
          <w:tcPr>
            <w:tcW w:w="1418" w:type="dxa"/>
          </w:tcPr>
          <w:p w14:paraId="52F55878" w14:textId="62225BF4" w:rsidR="00C047F2" w:rsidRPr="00BA19B7" w:rsidRDefault="00C047F2" w:rsidP="00D16F16">
            <w:pPr>
              <w:rPr>
                <w:sz w:val="20"/>
                <w:szCs w:val="20"/>
              </w:rPr>
            </w:pPr>
            <w:r w:rsidRPr="65DAB74E">
              <w:rPr>
                <w:sz w:val="20"/>
                <w:szCs w:val="20"/>
              </w:rPr>
              <w:t xml:space="preserve">DFAT </w:t>
            </w:r>
          </w:p>
        </w:tc>
        <w:tc>
          <w:tcPr>
            <w:tcW w:w="1134" w:type="dxa"/>
          </w:tcPr>
          <w:p w14:paraId="294FC9D7" w14:textId="25EF81BF" w:rsidR="00C047F2" w:rsidRPr="00BA19B7" w:rsidRDefault="52B3EE1C" w:rsidP="00D16F16">
            <w:pPr>
              <w:rPr>
                <w:sz w:val="20"/>
                <w:szCs w:val="20"/>
              </w:rPr>
            </w:pPr>
            <w:r w:rsidRPr="73A45BEF">
              <w:rPr>
                <w:sz w:val="20"/>
                <w:szCs w:val="20"/>
              </w:rPr>
              <w:t xml:space="preserve"> Noted</w:t>
            </w:r>
          </w:p>
        </w:tc>
        <w:tc>
          <w:tcPr>
            <w:tcW w:w="4252" w:type="dxa"/>
          </w:tcPr>
          <w:p w14:paraId="115B6BD3" w14:textId="0C8BE010" w:rsidR="7F7AF294" w:rsidRDefault="00BD7866">
            <w:pPr>
              <w:rPr>
                <w:sz w:val="20"/>
                <w:szCs w:val="20"/>
              </w:rPr>
            </w:pPr>
            <w:r w:rsidRPr="73A45BEF">
              <w:rPr>
                <w:sz w:val="20"/>
                <w:szCs w:val="20"/>
              </w:rPr>
              <w:t>DFAT</w:t>
            </w:r>
            <w:r w:rsidR="7F7AF294" w:rsidRPr="73A45BEF">
              <w:rPr>
                <w:sz w:val="20"/>
                <w:szCs w:val="20"/>
              </w:rPr>
              <w:t xml:space="preserve"> notes the review’s findings that </w:t>
            </w:r>
            <w:proofErr w:type="spellStart"/>
            <w:r w:rsidR="7F7AF294" w:rsidRPr="73A45BEF">
              <w:rPr>
                <w:sz w:val="20"/>
                <w:szCs w:val="20"/>
              </w:rPr>
              <w:t>localisation</w:t>
            </w:r>
            <w:proofErr w:type="spellEnd"/>
            <w:r w:rsidR="7F7AF294" w:rsidRPr="73A45BEF">
              <w:rPr>
                <w:sz w:val="20"/>
                <w:szCs w:val="20"/>
              </w:rPr>
              <w:t xml:space="preserve"> has increasingly becom</w:t>
            </w:r>
            <w:r w:rsidR="00CA282F">
              <w:rPr>
                <w:sz w:val="20"/>
                <w:szCs w:val="20"/>
              </w:rPr>
              <w:t>e</w:t>
            </w:r>
            <w:r w:rsidR="7F7AF294" w:rsidRPr="73A45BEF">
              <w:rPr>
                <w:sz w:val="20"/>
                <w:szCs w:val="20"/>
              </w:rPr>
              <w:t xml:space="preserve"> a key structural feature of AHP, and that evidence demonstrates clear progress in devolving decision-making</w:t>
            </w:r>
            <w:r w:rsidR="003030DD" w:rsidRPr="73A45BEF">
              <w:rPr>
                <w:sz w:val="20"/>
                <w:szCs w:val="20"/>
              </w:rPr>
              <w:t xml:space="preserve"> and</w:t>
            </w:r>
            <w:r w:rsidR="7F7AF294" w:rsidRPr="73A45BEF">
              <w:rPr>
                <w:sz w:val="20"/>
                <w:szCs w:val="20"/>
              </w:rPr>
              <w:t xml:space="preserve"> strengthening local leadership</w:t>
            </w:r>
            <w:r w:rsidR="00E74886" w:rsidRPr="73A45BEF">
              <w:rPr>
                <w:sz w:val="20"/>
                <w:szCs w:val="20"/>
              </w:rPr>
              <w:t xml:space="preserve"> and embedding coordination with national systems</w:t>
            </w:r>
            <w:r w:rsidR="003030DD" w:rsidRPr="73A45BEF">
              <w:rPr>
                <w:sz w:val="20"/>
                <w:szCs w:val="20"/>
              </w:rPr>
              <w:t xml:space="preserve">.  </w:t>
            </w:r>
            <w:r w:rsidR="1D04253A" w:rsidRPr="73A45BEF">
              <w:rPr>
                <w:sz w:val="20"/>
                <w:szCs w:val="20"/>
              </w:rPr>
              <w:t>This recommendation will inform the design of any future humanitarian partnership program.</w:t>
            </w:r>
          </w:p>
          <w:p w14:paraId="74FEF333" w14:textId="19166E45" w:rsidR="00C047F2" w:rsidRPr="00BA19B7" w:rsidRDefault="00C047F2" w:rsidP="00D16F16">
            <w:pPr>
              <w:rPr>
                <w:sz w:val="20"/>
                <w:szCs w:val="20"/>
              </w:rPr>
            </w:pPr>
          </w:p>
        </w:tc>
        <w:tc>
          <w:tcPr>
            <w:tcW w:w="1276" w:type="dxa"/>
          </w:tcPr>
          <w:p w14:paraId="3BBD02AD" w14:textId="4EB7687E" w:rsidR="00C047F2" w:rsidRPr="00BA19B7" w:rsidRDefault="00953F46" w:rsidP="00D16F16">
            <w:pPr>
              <w:rPr>
                <w:sz w:val="20"/>
                <w:szCs w:val="20"/>
              </w:rPr>
            </w:pPr>
            <w:r>
              <w:rPr>
                <w:sz w:val="20"/>
                <w:szCs w:val="20"/>
              </w:rPr>
              <w:t>2026</w:t>
            </w:r>
          </w:p>
        </w:tc>
      </w:tr>
      <w:tr w:rsidR="00C047F2" w:rsidRPr="00BA19B7" w14:paraId="0DA1D4B7" w14:textId="1890425E" w:rsidTr="73A45BEF">
        <w:tc>
          <w:tcPr>
            <w:tcW w:w="6374" w:type="dxa"/>
          </w:tcPr>
          <w:p w14:paraId="6459381D" w14:textId="4FE71E0E" w:rsidR="00C047F2" w:rsidRPr="00BA19B7" w:rsidRDefault="00C047F2" w:rsidP="00D16F16">
            <w:pPr>
              <w:rPr>
                <w:sz w:val="20"/>
                <w:szCs w:val="20"/>
              </w:rPr>
            </w:pPr>
            <w:r w:rsidRPr="00BA19B7">
              <w:rPr>
                <w:rFonts w:cstheme="minorHAnsi"/>
                <w:b/>
                <w:bCs/>
                <w:sz w:val="20"/>
                <w:szCs w:val="20"/>
              </w:rPr>
              <w:t>Strengthen the feedback loop between country learning and program design</w:t>
            </w:r>
            <w:r w:rsidRPr="00BA19B7">
              <w:rPr>
                <w:rFonts w:cstheme="minorHAnsi"/>
                <w:sz w:val="20"/>
                <w:szCs w:val="20"/>
              </w:rPr>
              <w:t xml:space="preserve"> by ensuring Learning Action Agendas inform DFAT funding decisions and AHP planning cycles.</w:t>
            </w:r>
          </w:p>
        </w:tc>
        <w:tc>
          <w:tcPr>
            <w:tcW w:w="1418" w:type="dxa"/>
          </w:tcPr>
          <w:p w14:paraId="4DCAA725" w14:textId="36385358" w:rsidR="00C047F2" w:rsidRPr="00BA19B7" w:rsidRDefault="62D7997D">
            <w:pPr>
              <w:rPr>
                <w:sz w:val="20"/>
                <w:szCs w:val="20"/>
              </w:rPr>
            </w:pPr>
            <w:r w:rsidRPr="65DAB74E">
              <w:rPr>
                <w:sz w:val="20"/>
                <w:szCs w:val="20"/>
              </w:rPr>
              <w:t>DFAT</w:t>
            </w:r>
          </w:p>
        </w:tc>
        <w:tc>
          <w:tcPr>
            <w:tcW w:w="1134" w:type="dxa"/>
          </w:tcPr>
          <w:p w14:paraId="727B24E2" w14:textId="2C1FB7C7" w:rsidR="00C047F2" w:rsidRPr="00BA19B7" w:rsidRDefault="00C047F2" w:rsidP="00D16F16">
            <w:pPr>
              <w:rPr>
                <w:sz w:val="20"/>
                <w:szCs w:val="20"/>
              </w:rPr>
            </w:pPr>
            <w:r w:rsidRPr="00BA19B7">
              <w:rPr>
                <w:sz w:val="20"/>
                <w:szCs w:val="20"/>
              </w:rPr>
              <w:t>Agree</w:t>
            </w:r>
          </w:p>
        </w:tc>
        <w:tc>
          <w:tcPr>
            <w:tcW w:w="4252" w:type="dxa"/>
          </w:tcPr>
          <w:p w14:paraId="5AA8E113" w14:textId="0A854537" w:rsidR="00C047F2" w:rsidRPr="00BA19B7" w:rsidRDefault="00B2320C">
            <w:pPr>
              <w:rPr>
                <w:sz w:val="20"/>
                <w:szCs w:val="20"/>
              </w:rPr>
            </w:pPr>
            <w:r>
              <w:rPr>
                <w:sz w:val="20"/>
                <w:szCs w:val="20"/>
              </w:rPr>
              <w:t>DFAT</w:t>
            </w:r>
            <w:r w:rsidR="67F736E0" w:rsidRPr="65DAB74E">
              <w:rPr>
                <w:sz w:val="20"/>
                <w:szCs w:val="20"/>
              </w:rPr>
              <w:t xml:space="preserve"> notes the review’s finding that AHP’s MEL system had been developed to ensure evaluation, reflection and evidence translation, across local partners, Australian organisations, AHP and DFAT. A</w:t>
            </w:r>
            <w:r w:rsidR="1A350C63" w:rsidRPr="65DAB74E">
              <w:rPr>
                <w:sz w:val="20"/>
                <w:szCs w:val="20"/>
              </w:rPr>
              <w:t>n</w:t>
            </w:r>
            <w:r w:rsidR="67F736E0" w:rsidRPr="65DAB74E">
              <w:rPr>
                <w:sz w:val="20"/>
                <w:szCs w:val="20"/>
              </w:rPr>
              <w:t>y future humanitarian partnership program will take lesson</w:t>
            </w:r>
            <w:r w:rsidR="53CDE8FA" w:rsidRPr="65DAB74E">
              <w:rPr>
                <w:sz w:val="20"/>
                <w:szCs w:val="20"/>
              </w:rPr>
              <w:t>s from implementation of the AHP MEL framework to inform</w:t>
            </w:r>
            <w:r w:rsidR="219A8CEA" w:rsidRPr="65DAB74E">
              <w:rPr>
                <w:sz w:val="20"/>
                <w:szCs w:val="20"/>
              </w:rPr>
              <w:t xml:space="preserve"> program</w:t>
            </w:r>
            <w:r w:rsidR="53CDE8FA" w:rsidRPr="65DAB74E">
              <w:rPr>
                <w:sz w:val="20"/>
                <w:szCs w:val="20"/>
              </w:rPr>
              <w:t xml:space="preserve"> development</w:t>
            </w:r>
            <w:r w:rsidR="7ED3C54B" w:rsidRPr="65DAB74E">
              <w:rPr>
                <w:sz w:val="20"/>
                <w:szCs w:val="20"/>
              </w:rPr>
              <w:t xml:space="preserve"> and implementation</w:t>
            </w:r>
            <w:r w:rsidR="53CDE8FA" w:rsidRPr="65DAB74E">
              <w:rPr>
                <w:sz w:val="20"/>
                <w:szCs w:val="20"/>
              </w:rPr>
              <w:t>.</w:t>
            </w:r>
          </w:p>
          <w:p w14:paraId="7942E843" w14:textId="4CBC2419" w:rsidR="00C047F2" w:rsidRPr="00BA19B7" w:rsidRDefault="00C047F2" w:rsidP="65DAB74E">
            <w:pPr>
              <w:rPr>
                <w:sz w:val="20"/>
                <w:szCs w:val="20"/>
              </w:rPr>
            </w:pPr>
          </w:p>
        </w:tc>
        <w:tc>
          <w:tcPr>
            <w:tcW w:w="1276" w:type="dxa"/>
          </w:tcPr>
          <w:p w14:paraId="1B7BA7FE" w14:textId="00ED436F" w:rsidR="65DAB74E" w:rsidRDefault="65DAB74E" w:rsidP="65DAB74E">
            <w:pPr>
              <w:rPr>
                <w:sz w:val="20"/>
                <w:szCs w:val="20"/>
              </w:rPr>
            </w:pPr>
          </w:p>
          <w:p w14:paraId="714ED1B5" w14:textId="300704E5" w:rsidR="00C047F2" w:rsidRPr="00BA19B7" w:rsidRDefault="00953F46" w:rsidP="00D16F16">
            <w:pPr>
              <w:rPr>
                <w:sz w:val="20"/>
                <w:szCs w:val="20"/>
              </w:rPr>
            </w:pPr>
            <w:r>
              <w:rPr>
                <w:sz w:val="20"/>
                <w:szCs w:val="20"/>
              </w:rPr>
              <w:t>2026</w:t>
            </w:r>
          </w:p>
        </w:tc>
      </w:tr>
      <w:tr w:rsidR="00C047F2" w:rsidRPr="00BA19B7" w14:paraId="51F37AD9" w14:textId="3E7CB3A9" w:rsidTr="73A45BEF">
        <w:tc>
          <w:tcPr>
            <w:tcW w:w="6374" w:type="dxa"/>
          </w:tcPr>
          <w:p w14:paraId="4C932303" w14:textId="45AF08F7" w:rsidR="00C047F2" w:rsidRPr="00BA19B7" w:rsidRDefault="00C047F2" w:rsidP="00D16F16">
            <w:pPr>
              <w:rPr>
                <w:sz w:val="20"/>
                <w:szCs w:val="20"/>
              </w:rPr>
            </w:pPr>
            <w:r w:rsidRPr="00BA19B7">
              <w:rPr>
                <w:rFonts w:cstheme="minorHAnsi"/>
                <w:b/>
                <w:bCs/>
                <w:sz w:val="20"/>
                <w:szCs w:val="20"/>
              </w:rPr>
              <w:t xml:space="preserve">Phase </w:t>
            </w:r>
            <w:r w:rsidR="004042BC">
              <w:rPr>
                <w:rFonts w:cstheme="minorHAnsi"/>
                <w:b/>
                <w:bCs/>
                <w:sz w:val="20"/>
                <w:szCs w:val="20"/>
              </w:rPr>
              <w:t>3</w:t>
            </w:r>
            <w:r w:rsidRPr="00BA19B7">
              <w:rPr>
                <w:rFonts w:cstheme="minorHAnsi"/>
                <w:b/>
                <w:bCs/>
                <w:sz w:val="20"/>
                <w:szCs w:val="20"/>
              </w:rPr>
              <w:t xml:space="preserve"> design should include partnership brokering sessions, setting joint priorities and co-designing localisation outcomes and </w:t>
            </w:r>
            <w:r w:rsidRPr="00BA19B7">
              <w:rPr>
                <w:rFonts w:cstheme="minorHAnsi"/>
                <w:sz w:val="20"/>
                <w:szCs w:val="20"/>
              </w:rPr>
              <w:t>indicators as well as reviewing current localisation frameworks to gain consensus on AHP definitions of localisation.</w:t>
            </w:r>
          </w:p>
        </w:tc>
        <w:tc>
          <w:tcPr>
            <w:tcW w:w="1418" w:type="dxa"/>
          </w:tcPr>
          <w:p w14:paraId="43B3044E" w14:textId="68C1AB7F" w:rsidR="00C047F2" w:rsidRPr="00BA19B7" w:rsidRDefault="00C047F2" w:rsidP="00D16F16">
            <w:pPr>
              <w:rPr>
                <w:sz w:val="20"/>
                <w:szCs w:val="20"/>
              </w:rPr>
            </w:pPr>
            <w:r w:rsidRPr="65DAB74E">
              <w:rPr>
                <w:sz w:val="20"/>
                <w:szCs w:val="20"/>
              </w:rPr>
              <w:t>DFAT</w:t>
            </w:r>
          </w:p>
        </w:tc>
        <w:tc>
          <w:tcPr>
            <w:tcW w:w="1134" w:type="dxa"/>
          </w:tcPr>
          <w:p w14:paraId="45B8F27C" w14:textId="441C7C28" w:rsidR="00C047F2" w:rsidRPr="00BA19B7" w:rsidRDefault="00C047F2" w:rsidP="00D16F16">
            <w:pPr>
              <w:rPr>
                <w:sz w:val="20"/>
                <w:szCs w:val="20"/>
              </w:rPr>
            </w:pPr>
            <w:r w:rsidRPr="00BA19B7">
              <w:rPr>
                <w:sz w:val="20"/>
                <w:szCs w:val="20"/>
              </w:rPr>
              <w:t>Noted</w:t>
            </w:r>
          </w:p>
        </w:tc>
        <w:tc>
          <w:tcPr>
            <w:tcW w:w="4252" w:type="dxa"/>
          </w:tcPr>
          <w:p w14:paraId="528F9295" w14:textId="77777777" w:rsidR="00763145" w:rsidRDefault="00763145">
            <w:pPr>
              <w:rPr>
                <w:sz w:val="20"/>
                <w:szCs w:val="20"/>
              </w:rPr>
            </w:pPr>
          </w:p>
          <w:p w14:paraId="633B6A31" w14:textId="29BA8814" w:rsidR="00C047F2" w:rsidRPr="00BA19B7" w:rsidRDefault="00763145" w:rsidP="65DAB74E">
            <w:pPr>
              <w:rPr>
                <w:sz w:val="20"/>
                <w:szCs w:val="20"/>
              </w:rPr>
            </w:pPr>
            <w:r>
              <w:rPr>
                <w:sz w:val="20"/>
                <w:szCs w:val="20"/>
              </w:rPr>
              <w:t>DFAT</w:t>
            </w:r>
            <w:r w:rsidR="54104028" w:rsidRPr="65DAB74E">
              <w:rPr>
                <w:sz w:val="20"/>
                <w:szCs w:val="20"/>
              </w:rPr>
              <w:t xml:space="preserve"> welcomes the evaluation’s finding that AHP demonstrated strong </w:t>
            </w:r>
            <w:r w:rsidR="14808328" w:rsidRPr="65DAB74E">
              <w:rPr>
                <w:sz w:val="20"/>
                <w:szCs w:val="20"/>
              </w:rPr>
              <w:t xml:space="preserve">alignment </w:t>
            </w:r>
            <w:r w:rsidR="54104028" w:rsidRPr="65DAB74E">
              <w:rPr>
                <w:sz w:val="20"/>
                <w:szCs w:val="20"/>
              </w:rPr>
              <w:t xml:space="preserve">with Australia’s </w:t>
            </w:r>
            <w:r w:rsidR="54104028" w:rsidRPr="65DAB74E">
              <w:rPr>
                <w:i/>
                <w:iCs/>
                <w:sz w:val="20"/>
                <w:szCs w:val="20"/>
              </w:rPr>
              <w:t xml:space="preserve">Humanitarian Policy’s </w:t>
            </w:r>
            <w:r w:rsidR="54104028" w:rsidRPr="65DAB74E">
              <w:rPr>
                <w:sz w:val="20"/>
                <w:szCs w:val="20"/>
              </w:rPr>
              <w:t>focus on localisation</w:t>
            </w:r>
            <w:r w:rsidR="501180D5" w:rsidRPr="65DAB74E">
              <w:rPr>
                <w:sz w:val="20"/>
                <w:szCs w:val="20"/>
              </w:rPr>
              <w:t>. Development of any future humanitarian partnership will include a continued focus on localisation, including identifying opportunities for increased str</w:t>
            </w:r>
            <w:r w:rsidR="06312B57" w:rsidRPr="65DAB74E">
              <w:rPr>
                <w:sz w:val="20"/>
                <w:szCs w:val="20"/>
              </w:rPr>
              <w:t xml:space="preserve">ategic coherence and development of a collective understanding of localisation and effective </w:t>
            </w:r>
            <w:r w:rsidR="03B15FF1" w:rsidRPr="65DAB74E">
              <w:rPr>
                <w:sz w:val="20"/>
                <w:szCs w:val="20"/>
              </w:rPr>
              <w:t>localisation approaches across DFAT, Australian and local partners.</w:t>
            </w:r>
          </w:p>
        </w:tc>
        <w:tc>
          <w:tcPr>
            <w:tcW w:w="1276" w:type="dxa"/>
          </w:tcPr>
          <w:p w14:paraId="51054159" w14:textId="1B1D1FA0" w:rsidR="00C047F2" w:rsidRPr="00BA19B7" w:rsidRDefault="00953F46" w:rsidP="00D16F16">
            <w:pPr>
              <w:rPr>
                <w:sz w:val="20"/>
                <w:szCs w:val="20"/>
              </w:rPr>
            </w:pPr>
            <w:r>
              <w:rPr>
                <w:sz w:val="20"/>
                <w:szCs w:val="20"/>
              </w:rPr>
              <w:t>2026</w:t>
            </w:r>
          </w:p>
        </w:tc>
      </w:tr>
    </w:tbl>
    <w:p w14:paraId="434CAF28" w14:textId="77777777" w:rsidR="002B09F1" w:rsidRDefault="002B09F1"/>
    <w:sectPr w:rsidR="002B09F1" w:rsidSect="00BC245F">
      <w:footerReference w:type="default" r:id="rId7"/>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EE5AD" w14:textId="77777777" w:rsidR="00F87A47" w:rsidRDefault="00F87A47" w:rsidP="00AF78AC">
      <w:pPr>
        <w:spacing w:after="0" w:line="240" w:lineRule="auto"/>
      </w:pPr>
      <w:r>
        <w:separator/>
      </w:r>
    </w:p>
  </w:endnote>
  <w:endnote w:type="continuationSeparator" w:id="0">
    <w:p w14:paraId="5D5081B5" w14:textId="77777777" w:rsidR="00F87A47" w:rsidRDefault="00F87A47" w:rsidP="00AF7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219780"/>
      <w:docPartObj>
        <w:docPartGallery w:val="Page Numbers (Bottom of Page)"/>
        <w:docPartUnique/>
      </w:docPartObj>
    </w:sdtPr>
    <w:sdtEndPr>
      <w:rPr>
        <w:noProof/>
      </w:rPr>
    </w:sdtEndPr>
    <w:sdtContent>
      <w:p w14:paraId="4D37A8E9" w14:textId="20C5944F" w:rsidR="004042BC" w:rsidRDefault="004042BC">
        <w:pPr>
          <w:pStyle w:val="Footer"/>
          <w:jc w:val="right"/>
        </w:pPr>
        <w:r w:rsidRPr="004042BC">
          <w:rPr>
            <w:rFonts w:ascii="Calibri" w:hAnsi="Calibri" w:cs="Calibri"/>
            <w:sz w:val="20"/>
            <w:szCs w:val="20"/>
          </w:rPr>
          <w:fldChar w:fldCharType="begin"/>
        </w:r>
        <w:r w:rsidRPr="004042BC">
          <w:rPr>
            <w:rFonts w:ascii="Calibri" w:hAnsi="Calibri" w:cs="Calibri"/>
            <w:sz w:val="20"/>
            <w:szCs w:val="20"/>
          </w:rPr>
          <w:instrText xml:space="preserve"> PAGE   \* MERGEFORMAT </w:instrText>
        </w:r>
        <w:r w:rsidRPr="004042BC">
          <w:rPr>
            <w:rFonts w:ascii="Calibri" w:hAnsi="Calibri" w:cs="Calibri"/>
            <w:sz w:val="20"/>
            <w:szCs w:val="20"/>
          </w:rPr>
          <w:fldChar w:fldCharType="separate"/>
        </w:r>
        <w:r w:rsidRPr="004042BC">
          <w:rPr>
            <w:rFonts w:ascii="Calibri" w:hAnsi="Calibri" w:cs="Calibri"/>
            <w:noProof/>
            <w:sz w:val="20"/>
            <w:szCs w:val="20"/>
          </w:rPr>
          <w:t>2</w:t>
        </w:r>
        <w:r w:rsidRPr="004042BC">
          <w:rPr>
            <w:rFonts w:ascii="Calibri" w:hAnsi="Calibri" w:cs="Calibri"/>
            <w:noProof/>
            <w:sz w:val="20"/>
            <w:szCs w:val="20"/>
          </w:rPr>
          <w:fldChar w:fldCharType="end"/>
        </w:r>
      </w:p>
    </w:sdtContent>
  </w:sdt>
  <w:p w14:paraId="46E394A0" w14:textId="77777777" w:rsidR="004042BC" w:rsidRDefault="00404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EDB0" w14:textId="77777777" w:rsidR="00F87A47" w:rsidRDefault="00F87A47" w:rsidP="00AF78AC">
      <w:pPr>
        <w:spacing w:after="0" w:line="240" w:lineRule="auto"/>
      </w:pPr>
      <w:r>
        <w:separator/>
      </w:r>
    </w:p>
  </w:footnote>
  <w:footnote w:type="continuationSeparator" w:id="0">
    <w:p w14:paraId="2F94741E" w14:textId="77777777" w:rsidR="00F87A47" w:rsidRDefault="00F87A47" w:rsidP="00AF78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5F"/>
    <w:rsid w:val="00003DA3"/>
    <w:rsid w:val="00004AAC"/>
    <w:rsid w:val="00007C24"/>
    <w:rsid w:val="00007ED5"/>
    <w:rsid w:val="0001505D"/>
    <w:rsid w:val="0001715E"/>
    <w:rsid w:val="000262DA"/>
    <w:rsid w:val="00027CB5"/>
    <w:rsid w:val="00033937"/>
    <w:rsid w:val="00050E58"/>
    <w:rsid w:val="000511AC"/>
    <w:rsid w:val="000545FC"/>
    <w:rsid w:val="00054F1F"/>
    <w:rsid w:val="00070374"/>
    <w:rsid w:val="0007081A"/>
    <w:rsid w:val="000736BF"/>
    <w:rsid w:val="00074EF8"/>
    <w:rsid w:val="00076EC3"/>
    <w:rsid w:val="00084FF1"/>
    <w:rsid w:val="00090017"/>
    <w:rsid w:val="0009442E"/>
    <w:rsid w:val="00097D35"/>
    <w:rsid w:val="00097E58"/>
    <w:rsid w:val="000A03C0"/>
    <w:rsid w:val="000A1377"/>
    <w:rsid w:val="000A203F"/>
    <w:rsid w:val="000A2C65"/>
    <w:rsid w:val="000A345E"/>
    <w:rsid w:val="000A3B1C"/>
    <w:rsid w:val="000A55D5"/>
    <w:rsid w:val="000B02A4"/>
    <w:rsid w:val="000B038D"/>
    <w:rsid w:val="000B291C"/>
    <w:rsid w:val="000B2E2A"/>
    <w:rsid w:val="000C0B83"/>
    <w:rsid w:val="000C641E"/>
    <w:rsid w:val="000D3E8B"/>
    <w:rsid w:val="000D5318"/>
    <w:rsid w:val="000D6B22"/>
    <w:rsid w:val="000E527A"/>
    <w:rsid w:val="000E65A3"/>
    <w:rsid w:val="000F11D2"/>
    <w:rsid w:val="000F6376"/>
    <w:rsid w:val="00101985"/>
    <w:rsid w:val="0010260B"/>
    <w:rsid w:val="0010511F"/>
    <w:rsid w:val="0011035A"/>
    <w:rsid w:val="001110F3"/>
    <w:rsid w:val="00113561"/>
    <w:rsid w:val="00117BA5"/>
    <w:rsid w:val="00121DC6"/>
    <w:rsid w:val="00125AA5"/>
    <w:rsid w:val="001267A2"/>
    <w:rsid w:val="00130AE5"/>
    <w:rsid w:val="00131216"/>
    <w:rsid w:val="00132B08"/>
    <w:rsid w:val="00132DA8"/>
    <w:rsid w:val="00136DB6"/>
    <w:rsid w:val="00136F6B"/>
    <w:rsid w:val="00141EB7"/>
    <w:rsid w:val="00142FE2"/>
    <w:rsid w:val="001452D7"/>
    <w:rsid w:val="00152CAA"/>
    <w:rsid w:val="00153F9E"/>
    <w:rsid w:val="001550C7"/>
    <w:rsid w:val="0015795C"/>
    <w:rsid w:val="0016433F"/>
    <w:rsid w:val="001657F2"/>
    <w:rsid w:val="0016590D"/>
    <w:rsid w:val="0016688F"/>
    <w:rsid w:val="001725AD"/>
    <w:rsid w:val="001803AD"/>
    <w:rsid w:val="0018712F"/>
    <w:rsid w:val="001874CD"/>
    <w:rsid w:val="00187DE6"/>
    <w:rsid w:val="00194941"/>
    <w:rsid w:val="001A0AC1"/>
    <w:rsid w:val="001A2200"/>
    <w:rsid w:val="001A4E98"/>
    <w:rsid w:val="001A500E"/>
    <w:rsid w:val="001B2577"/>
    <w:rsid w:val="001B4E47"/>
    <w:rsid w:val="001B52D8"/>
    <w:rsid w:val="001B6993"/>
    <w:rsid w:val="001B7875"/>
    <w:rsid w:val="001B78C2"/>
    <w:rsid w:val="001C348D"/>
    <w:rsid w:val="001C4A32"/>
    <w:rsid w:val="001C6AF7"/>
    <w:rsid w:val="001D0C5B"/>
    <w:rsid w:val="001D26D6"/>
    <w:rsid w:val="001D5959"/>
    <w:rsid w:val="001D64CD"/>
    <w:rsid w:val="001E2552"/>
    <w:rsid w:val="001E3B95"/>
    <w:rsid w:val="001E75D1"/>
    <w:rsid w:val="0020329B"/>
    <w:rsid w:val="00203E27"/>
    <w:rsid w:val="0020732A"/>
    <w:rsid w:val="002112AF"/>
    <w:rsid w:val="00212B44"/>
    <w:rsid w:val="00213373"/>
    <w:rsid w:val="00214B4E"/>
    <w:rsid w:val="002159D0"/>
    <w:rsid w:val="002242BA"/>
    <w:rsid w:val="002327D1"/>
    <w:rsid w:val="00235B3F"/>
    <w:rsid w:val="00241391"/>
    <w:rsid w:val="0024589D"/>
    <w:rsid w:val="00254AFA"/>
    <w:rsid w:val="00254BFE"/>
    <w:rsid w:val="00260797"/>
    <w:rsid w:val="0026341C"/>
    <w:rsid w:val="00264C9A"/>
    <w:rsid w:val="002675B1"/>
    <w:rsid w:val="0027214E"/>
    <w:rsid w:val="00273BC0"/>
    <w:rsid w:val="00286578"/>
    <w:rsid w:val="00287833"/>
    <w:rsid w:val="00292DC5"/>
    <w:rsid w:val="00293B35"/>
    <w:rsid w:val="00293F05"/>
    <w:rsid w:val="00295AB7"/>
    <w:rsid w:val="00297C5E"/>
    <w:rsid w:val="002A5735"/>
    <w:rsid w:val="002A5F45"/>
    <w:rsid w:val="002A7C59"/>
    <w:rsid w:val="002B09F1"/>
    <w:rsid w:val="002B4581"/>
    <w:rsid w:val="002B6DB0"/>
    <w:rsid w:val="002B7144"/>
    <w:rsid w:val="002C0C4E"/>
    <w:rsid w:val="002C0D66"/>
    <w:rsid w:val="002C45E2"/>
    <w:rsid w:val="002C7124"/>
    <w:rsid w:val="002D78CD"/>
    <w:rsid w:val="002E09E5"/>
    <w:rsid w:val="002E10D7"/>
    <w:rsid w:val="002E5557"/>
    <w:rsid w:val="002F13CE"/>
    <w:rsid w:val="002F19F2"/>
    <w:rsid w:val="002F2EE8"/>
    <w:rsid w:val="0030018B"/>
    <w:rsid w:val="003030DD"/>
    <w:rsid w:val="00303351"/>
    <w:rsid w:val="00303C63"/>
    <w:rsid w:val="00305F1E"/>
    <w:rsid w:val="00306384"/>
    <w:rsid w:val="003076BC"/>
    <w:rsid w:val="00307C81"/>
    <w:rsid w:val="00307E56"/>
    <w:rsid w:val="003110E4"/>
    <w:rsid w:val="00313366"/>
    <w:rsid w:val="00313783"/>
    <w:rsid w:val="00313825"/>
    <w:rsid w:val="00315EAF"/>
    <w:rsid w:val="00316056"/>
    <w:rsid w:val="00323267"/>
    <w:rsid w:val="00323C7A"/>
    <w:rsid w:val="00333230"/>
    <w:rsid w:val="003336BC"/>
    <w:rsid w:val="00337018"/>
    <w:rsid w:val="003373CD"/>
    <w:rsid w:val="00342267"/>
    <w:rsid w:val="00346178"/>
    <w:rsid w:val="00355DA6"/>
    <w:rsid w:val="00366551"/>
    <w:rsid w:val="0036681D"/>
    <w:rsid w:val="00366BCD"/>
    <w:rsid w:val="003708AE"/>
    <w:rsid w:val="003764CB"/>
    <w:rsid w:val="00382593"/>
    <w:rsid w:val="00384DDC"/>
    <w:rsid w:val="003850ED"/>
    <w:rsid w:val="00390B3F"/>
    <w:rsid w:val="00391A85"/>
    <w:rsid w:val="00392A93"/>
    <w:rsid w:val="003A3870"/>
    <w:rsid w:val="003A3F10"/>
    <w:rsid w:val="003A509E"/>
    <w:rsid w:val="003A6F2D"/>
    <w:rsid w:val="003A7CEF"/>
    <w:rsid w:val="003B0B21"/>
    <w:rsid w:val="003B5C4E"/>
    <w:rsid w:val="003B64FA"/>
    <w:rsid w:val="003C3B1C"/>
    <w:rsid w:val="003C7228"/>
    <w:rsid w:val="003C7A6D"/>
    <w:rsid w:val="003D0BF7"/>
    <w:rsid w:val="003D452A"/>
    <w:rsid w:val="003E5F23"/>
    <w:rsid w:val="003E7B35"/>
    <w:rsid w:val="003F16DE"/>
    <w:rsid w:val="003F1C28"/>
    <w:rsid w:val="003F6D06"/>
    <w:rsid w:val="0040048F"/>
    <w:rsid w:val="00401465"/>
    <w:rsid w:val="004042BC"/>
    <w:rsid w:val="004044EB"/>
    <w:rsid w:val="00407591"/>
    <w:rsid w:val="00410E2C"/>
    <w:rsid w:val="00412614"/>
    <w:rsid w:val="00413DA3"/>
    <w:rsid w:val="00414396"/>
    <w:rsid w:val="00414E61"/>
    <w:rsid w:val="00415D67"/>
    <w:rsid w:val="00416ECD"/>
    <w:rsid w:val="00417724"/>
    <w:rsid w:val="00423067"/>
    <w:rsid w:val="00423DAD"/>
    <w:rsid w:val="00436B7D"/>
    <w:rsid w:val="004379D6"/>
    <w:rsid w:val="004420A5"/>
    <w:rsid w:val="00442125"/>
    <w:rsid w:val="00444B8D"/>
    <w:rsid w:val="00455654"/>
    <w:rsid w:val="00456C1E"/>
    <w:rsid w:val="00464D37"/>
    <w:rsid w:val="00465983"/>
    <w:rsid w:val="00465D5D"/>
    <w:rsid w:val="00471AE2"/>
    <w:rsid w:val="0047253B"/>
    <w:rsid w:val="00474657"/>
    <w:rsid w:val="00474EBB"/>
    <w:rsid w:val="004756A9"/>
    <w:rsid w:val="0048149F"/>
    <w:rsid w:val="0048581A"/>
    <w:rsid w:val="004874B2"/>
    <w:rsid w:val="00496D14"/>
    <w:rsid w:val="004A5EC4"/>
    <w:rsid w:val="004A76F2"/>
    <w:rsid w:val="004B0985"/>
    <w:rsid w:val="004B2EE0"/>
    <w:rsid w:val="004B5492"/>
    <w:rsid w:val="004B6165"/>
    <w:rsid w:val="004B704C"/>
    <w:rsid w:val="004C4A2E"/>
    <w:rsid w:val="004C5D41"/>
    <w:rsid w:val="004C6813"/>
    <w:rsid w:val="004D0209"/>
    <w:rsid w:val="004E16E2"/>
    <w:rsid w:val="004E2ED7"/>
    <w:rsid w:val="004E552C"/>
    <w:rsid w:val="004E5E56"/>
    <w:rsid w:val="004F5404"/>
    <w:rsid w:val="004F62DE"/>
    <w:rsid w:val="004F6EE8"/>
    <w:rsid w:val="005012BC"/>
    <w:rsid w:val="00501918"/>
    <w:rsid w:val="0050196C"/>
    <w:rsid w:val="0050725F"/>
    <w:rsid w:val="00514E64"/>
    <w:rsid w:val="00515D03"/>
    <w:rsid w:val="005216EF"/>
    <w:rsid w:val="0052453A"/>
    <w:rsid w:val="00526263"/>
    <w:rsid w:val="00532BE1"/>
    <w:rsid w:val="00534BC7"/>
    <w:rsid w:val="005373B6"/>
    <w:rsid w:val="0054466B"/>
    <w:rsid w:val="00552D09"/>
    <w:rsid w:val="005547B3"/>
    <w:rsid w:val="0055DF20"/>
    <w:rsid w:val="005618B0"/>
    <w:rsid w:val="00570F6C"/>
    <w:rsid w:val="00572095"/>
    <w:rsid w:val="0058318B"/>
    <w:rsid w:val="005876F9"/>
    <w:rsid w:val="00587C80"/>
    <w:rsid w:val="00587CE7"/>
    <w:rsid w:val="00591D6D"/>
    <w:rsid w:val="005A24C7"/>
    <w:rsid w:val="005A4D02"/>
    <w:rsid w:val="005A756A"/>
    <w:rsid w:val="005B20E4"/>
    <w:rsid w:val="005C7174"/>
    <w:rsid w:val="005D3140"/>
    <w:rsid w:val="005D6C0B"/>
    <w:rsid w:val="005D7815"/>
    <w:rsid w:val="005E7551"/>
    <w:rsid w:val="005F0B2C"/>
    <w:rsid w:val="005F12FD"/>
    <w:rsid w:val="005F16AE"/>
    <w:rsid w:val="005F1919"/>
    <w:rsid w:val="005F4F1C"/>
    <w:rsid w:val="005F51A6"/>
    <w:rsid w:val="00600B36"/>
    <w:rsid w:val="00607DB1"/>
    <w:rsid w:val="00610954"/>
    <w:rsid w:val="00612D3D"/>
    <w:rsid w:val="0061310B"/>
    <w:rsid w:val="00613CAC"/>
    <w:rsid w:val="006148E7"/>
    <w:rsid w:val="006167AB"/>
    <w:rsid w:val="0062139E"/>
    <w:rsid w:val="006241B3"/>
    <w:rsid w:val="0062584F"/>
    <w:rsid w:val="00626A30"/>
    <w:rsid w:val="00636EBE"/>
    <w:rsid w:val="0063740D"/>
    <w:rsid w:val="00640B63"/>
    <w:rsid w:val="00654A3A"/>
    <w:rsid w:val="00656ACE"/>
    <w:rsid w:val="0065722B"/>
    <w:rsid w:val="00660645"/>
    <w:rsid w:val="00661ED0"/>
    <w:rsid w:val="00664F25"/>
    <w:rsid w:val="00674512"/>
    <w:rsid w:val="006752AA"/>
    <w:rsid w:val="006813E0"/>
    <w:rsid w:val="00681E82"/>
    <w:rsid w:val="00685FD9"/>
    <w:rsid w:val="00692206"/>
    <w:rsid w:val="006938D5"/>
    <w:rsid w:val="00694E04"/>
    <w:rsid w:val="006953EF"/>
    <w:rsid w:val="00696A87"/>
    <w:rsid w:val="0069724A"/>
    <w:rsid w:val="006A5020"/>
    <w:rsid w:val="006A6902"/>
    <w:rsid w:val="006B26EC"/>
    <w:rsid w:val="006B528B"/>
    <w:rsid w:val="006C01A5"/>
    <w:rsid w:val="006C6659"/>
    <w:rsid w:val="006D24D5"/>
    <w:rsid w:val="006D2CE2"/>
    <w:rsid w:val="006D2EA0"/>
    <w:rsid w:val="006D6EF8"/>
    <w:rsid w:val="006E30E3"/>
    <w:rsid w:val="006E5390"/>
    <w:rsid w:val="006F0CF5"/>
    <w:rsid w:val="006F543D"/>
    <w:rsid w:val="006F566C"/>
    <w:rsid w:val="007032E1"/>
    <w:rsid w:val="00704EAE"/>
    <w:rsid w:val="007063A7"/>
    <w:rsid w:val="00720969"/>
    <w:rsid w:val="0072432C"/>
    <w:rsid w:val="00727581"/>
    <w:rsid w:val="007333BB"/>
    <w:rsid w:val="00737A02"/>
    <w:rsid w:val="00737B35"/>
    <w:rsid w:val="00737C28"/>
    <w:rsid w:val="0074478A"/>
    <w:rsid w:val="00746CF0"/>
    <w:rsid w:val="00746D15"/>
    <w:rsid w:val="00747C47"/>
    <w:rsid w:val="00750684"/>
    <w:rsid w:val="007525EB"/>
    <w:rsid w:val="00757388"/>
    <w:rsid w:val="00763145"/>
    <w:rsid w:val="007649D1"/>
    <w:rsid w:val="0076543C"/>
    <w:rsid w:val="00767087"/>
    <w:rsid w:val="00772A3A"/>
    <w:rsid w:val="007742FF"/>
    <w:rsid w:val="00774858"/>
    <w:rsid w:val="00774B4E"/>
    <w:rsid w:val="00777075"/>
    <w:rsid w:val="007802B2"/>
    <w:rsid w:val="00786386"/>
    <w:rsid w:val="00787012"/>
    <w:rsid w:val="00791A6C"/>
    <w:rsid w:val="007929CA"/>
    <w:rsid w:val="00795334"/>
    <w:rsid w:val="007976F9"/>
    <w:rsid w:val="007A6A27"/>
    <w:rsid w:val="007A7208"/>
    <w:rsid w:val="007A7B13"/>
    <w:rsid w:val="007B79B7"/>
    <w:rsid w:val="007B7E04"/>
    <w:rsid w:val="007C0BBF"/>
    <w:rsid w:val="007C3CF8"/>
    <w:rsid w:val="007C4167"/>
    <w:rsid w:val="007C4874"/>
    <w:rsid w:val="007D66AB"/>
    <w:rsid w:val="007D6D3D"/>
    <w:rsid w:val="007E54ED"/>
    <w:rsid w:val="007F1142"/>
    <w:rsid w:val="00803479"/>
    <w:rsid w:val="0080494D"/>
    <w:rsid w:val="00805EAE"/>
    <w:rsid w:val="008061FB"/>
    <w:rsid w:val="00806FEE"/>
    <w:rsid w:val="00816E22"/>
    <w:rsid w:val="008178FA"/>
    <w:rsid w:val="00823B11"/>
    <w:rsid w:val="00825EEE"/>
    <w:rsid w:val="00826820"/>
    <w:rsid w:val="00837609"/>
    <w:rsid w:val="00841406"/>
    <w:rsid w:val="00845201"/>
    <w:rsid w:val="00845E60"/>
    <w:rsid w:val="00850735"/>
    <w:rsid w:val="00850822"/>
    <w:rsid w:val="0085191C"/>
    <w:rsid w:val="00853055"/>
    <w:rsid w:val="00853DD4"/>
    <w:rsid w:val="008601E5"/>
    <w:rsid w:val="00861A7E"/>
    <w:rsid w:val="0086245D"/>
    <w:rsid w:val="008629A1"/>
    <w:rsid w:val="00864C31"/>
    <w:rsid w:val="008725BF"/>
    <w:rsid w:val="0087620E"/>
    <w:rsid w:val="00883269"/>
    <w:rsid w:val="0088691D"/>
    <w:rsid w:val="00886966"/>
    <w:rsid w:val="008927BC"/>
    <w:rsid w:val="008A63FB"/>
    <w:rsid w:val="008B35D3"/>
    <w:rsid w:val="008B5267"/>
    <w:rsid w:val="008B57DC"/>
    <w:rsid w:val="008B595B"/>
    <w:rsid w:val="008C0D93"/>
    <w:rsid w:val="008C4E61"/>
    <w:rsid w:val="008C6EF0"/>
    <w:rsid w:val="008D06C1"/>
    <w:rsid w:val="008D28E2"/>
    <w:rsid w:val="008D6479"/>
    <w:rsid w:val="008E0376"/>
    <w:rsid w:val="008E040C"/>
    <w:rsid w:val="008E38EB"/>
    <w:rsid w:val="008F2026"/>
    <w:rsid w:val="008F39A9"/>
    <w:rsid w:val="008F39BE"/>
    <w:rsid w:val="008F6C33"/>
    <w:rsid w:val="008F760C"/>
    <w:rsid w:val="008F7808"/>
    <w:rsid w:val="00900D26"/>
    <w:rsid w:val="00914EEE"/>
    <w:rsid w:val="00931285"/>
    <w:rsid w:val="00940127"/>
    <w:rsid w:val="00944920"/>
    <w:rsid w:val="00946026"/>
    <w:rsid w:val="00953F46"/>
    <w:rsid w:val="00954659"/>
    <w:rsid w:val="00957E88"/>
    <w:rsid w:val="009611C6"/>
    <w:rsid w:val="00963AA3"/>
    <w:rsid w:val="00965BE7"/>
    <w:rsid w:val="00966E5C"/>
    <w:rsid w:val="00967396"/>
    <w:rsid w:val="009719CA"/>
    <w:rsid w:val="009762BE"/>
    <w:rsid w:val="00981E6D"/>
    <w:rsid w:val="009829AD"/>
    <w:rsid w:val="00982D9D"/>
    <w:rsid w:val="00986CA8"/>
    <w:rsid w:val="00990503"/>
    <w:rsid w:val="00991A8E"/>
    <w:rsid w:val="00991DB6"/>
    <w:rsid w:val="00994A66"/>
    <w:rsid w:val="009A051B"/>
    <w:rsid w:val="009A2D3D"/>
    <w:rsid w:val="009A3E1D"/>
    <w:rsid w:val="009A5050"/>
    <w:rsid w:val="009A5CA1"/>
    <w:rsid w:val="009B128E"/>
    <w:rsid w:val="009B2B45"/>
    <w:rsid w:val="009B2D48"/>
    <w:rsid w:val="009B3A3C"/>
    <w:rsid w:val="009B4C18"/>
    <w:rsid w:val="009B5B64"/>
    <w:rsid w:val="009C0CF4"/>
    <w:rsid w:val="009C2F6F"/>
    <w:rsid w:val="009C381B"/>
    <w:rsid w:val="009C3CFF"/>
    <w:rsid w:val="009E65DC"/>
    <w:rsid w:val="009F1903"/>
    <w:rsid w:val="009F259C"/>
    <w:rsid w:val="009F6CE2"/>
    <w:rsid w:val="009F7DDD"/>
    <w:rsid w:val="00A02C82"/>
    <w:rsid w:val="00A14F3C"/>
    <w:rsid w:val="00A1702A"/>
    <w:rsid w:val="00A21398"/>
    <w:rsid w:val="00A23EB0"/>
    <w:rsid w:val="00A2484E"/>
    <w:rsid w:val="00A25A97"/>
    <w:rsid w:val="00A34735"/>
    <w:rsid w:val="00A34E75"/>
    <w:rsid w:val="00A34EB6"/>
    <w:rsid w:val="00A37B25"/>
    <w:rsid w:val="00A37C00"/>
    <w:rsid w:val="00A4109B"/>
    <w:rsid w:val="00A434E8"/>
    <w:rsid w:val="00A450E6"/>
    <w:rsid w:val="00A47172"/>
    <w:rsid w:val="00A47F48"/>
    <w:rsid w:val="00A50732"/>
    <w:rsid w:val="00A51B1F"/>
    <w:rsid w:val="00A51B93"/>
    <w:rsid w:val="00A636DF"/>
    <w:rsid w:val="00A63D1B"/>
    <w:rsid w:val="00A66557"/>
    <w:rsid w:val="00A72283"/>
    <w:rsid w:val="00A75A16"/>
    <w:rsid w:val="00A80085"/>
    <w:rsid w:val="00A819B4"/>
    <w:rsid w:val="00A83C6A"/>
    <w:rsid w:val="00A83CFC"/>
    <w:rsid w:val="00A84B2C"/>
    <w:rsid w:val="00A865AA"/>
    <w:rsid w:val="00A94B26"/>
    <w:rsid w:val="00A95D74"/>
    <w:rsid w:val="00AA031A"/>
    <w:rsid w:val="00AB7D18"/>
    <w:rsid w:val="00AC27BE"/>
    <w:rsid w:val="00AC392F"/>
    <w:rsid w:val="00AC4075"/>
    <w:rsid w:val="00AC6158"/>
    <w:rsid w:val="00AD4B26"/>
    <w:rsid w:val="00AD7D39"/>
    <w:rsid w:val="00AD7E4E"/>
    <w:rsid w:val="00AE1106"/>
    <w:rsid w:val="00AE2611"/>
    <w:rsid w:val="00AE3F1B"/>
    <w:rsid w:val="00AE61CB"/>
    <w:rsid w:val="00AE7A7A"/>
    <w:rsid w:val="00AF2E65"/>
    <w:rsid w:val="00AF78AC"/>
    <w:rsid w:val="00B01653"/>
    <w:rsid w:val="00B032F4"/>
    <w:rsid w:val="00B11269"/>
    <w:rsid w:val="00B118D8"/>
    <w:rsid w:val="00B14588"/>
    <w:rsid w:val="00B155B1"/>
    <w:rsid w:val="00B22FF5"/>
    <w:rsid w:val="00B2320C"/>
    <w:rsid w:val="00B23CAB"/>
    <w:rsid w:val="00B24216"/>
    <w:rsid w:val="00B36CB6"/>
    <w:rsid w:val="00B40524"/>
    <w:rsid w:val="00B4650F"/>
    <w:rsid w:val="00B474FE"/>
    <w:rsid w:val="00B5028E"/>
    <w:rsid w:val="00B54550"/>
    <w:rsid w:val="00B630A9"/>
    <w:rsid w:val="00B70D1E"/>
    <w:rsid w:val="00B7101D"/>
    <w:rsid w:val="00B75560"/>
    <w:rsid w:val="00B81DE3"/>
    <w:rsid w:val="00B849F0"/>
    <w:rsid w:val="00B90F17"/>
    <w:rsid w:val="00B92C0B"/>
    <w:rsid w:val="00B95987"/>
    <w:rsid w:val="00B95DF9"/>
    <w:rsid w:val="00BA19B7"/>
    <w:rsid w:val="00BA1AED"/>
    <w:rsid w:val="00BA2849"/>
    <w:rsid w:val="00BB1C42"/>
    <w:rsid w:val="00BB6BE2"/>
    <w:rsid w:val="00BB7151"/>
    <w:rsid w:val="00BC00BB"/>
    <w:rsid w:val="00BC245F"/>
    <w:rsid w:val="00BC39AA"/>
    <w:rsid w:val="00BD0968"/>
    <w:rsid w:val="00BD7866"/>
    <w:rsid w:val="00BE5825"/>
    <w:rsid w:val="00BF1CD6"/>
    <w:rsid w:val="00BF28AA"/>
    <w:rsid w:val="00BF2F1F"/>
    <w:rsid w:val="00BF72A9"/>
    <w:rsid w:val="00C00DA3"/>
    <w:rsid w:val="00C030BC"/>
    <w:rsid w:val="00C04090"/>
    <w:rsid w:val="00C04209"/>
    <w:rsid w:val="00C047F2"/>
    <w:rsid w:val="00C04B05"/>
    <w:rsid w:val="00C04DC2"/>
    <w:rsid w:val="00C05E18"/>
    <w:rsid w:val="00C07608"/>
    <w:rsid w:val="00C11673"/>
    <w:rsid w:val="00C12A23"/>
    <w:rsid w:val="00C1467F"/>
    <w:rsid w:val="00C244A8"/>
    <w:rsid w:val="00C244F5"/>
    <w:rsid w:val="00C27880"/>
    <w:rsid w:val="00C317F5"/>
    <w:rsid w:val="00C33CBD"/>
    <w:rsid w:val="00C40842"/>
    <w:rsid w:val="00C41237"/>
    <w:rsid w:val="00C450BA"/>
    <w:rsid w:val="00C521F9"/>
    <w:rsid w:val="00C569F5"/>
    <w:rsid w:val="00C60466"/>
    <w:rsid w:val="00C632F4"/>
    <w:rsid w:val="00C63774"/>
    <w:rsid w:val="00C66EDC"/>
    <w:rsid w:val="00C67685"/>
    <w:rsid w:val="00C67E29"/>
    <w:rsid w:val="00C70DEB"/>
    <w:rsid w:val="00C760D7"/>
    <w:rsid w:val="00C76D36"/>
    <w:rsid w:val="00C804E6"/>
    <w:rsid w:val="00C83FA2"/>
    <w:rsid w:val="00C901F6"/>
    <w:rsid w:val="00C90CF4"/>
    <w:rsid w:val="00C97FB9"/>
    <w:rsid w:val="00CA282F"/>
    <w:rsid w:val="00CA7B0F"/>
    <w:rsid w:val="00CB6F80"/>
    <w:rsid w:val="00CB7919"/>
    <w:rsid w:val="00CC0CA2"/>
    <w:rsid w:val="00CC3D94"/>
    <w:rsid w:val="00CC42B3"/>
    <w:rsid w:val="00CC5FA9"/>
    <w:rsid w:val="00CD0BFF"/>
    <w:rsid w:val="00CD19DD"/>
    <w:rsid w:val="00CD2007"/>
    <w:rsid w:val="00CD7188"/>
    <w:rsid w:val="00CE1E58"/>
    <w:rsid w:val="00CE3437"/>
    <w:rsid w:val="00CE6186"/>
    <w:rsid w:val="00CF222F"/>
    <w:rsid w:val="00CF2923"/>
    <w:rsid w:val="00CF2A27"/>
    <w:rsid w:val="00CF2EDA"/>
    <w:rsid w:val="00CF5699"/>
    <w:rsid w:val="00CF7742"/>
    <w:rsid w:val="00D16F16"/>
    <w:rsid w:val="00D17F33"/>
    <w:rsid w:val="00D21EE9"/>
    <w:rsid w:val="00D21F5F"/>
    <w:rsid w:val="00D26B41"/>
    <w:rsid w:val="00D3450F"/>
    <w:rsid w:val="00D34C67"/>
    <w:rsid w:val="00D3718D"/>
    <w:rsid w:val="00D3727B"/>
    <w:rsid w:val="00D412FD"/>
    <w:rsid w:val="00D413EE"/>
    <w:rsid w:val="00D4362E"/>
    <w:rsid w:val="00D43E30"/>
    <w:rsid w:val="00D51680"/>
    <w:rsid w:val="00D52873"/>
    <w:rsid w:val="00D54813"/>
    <w:rsid w:val="00D54F2B"/>
    <w:rsid w:val="00D56E76"/>
    <w:rsid w:val="00D61298"/>
    <w:rsid w:val="00D61E2C"/>
    <w:rsid w:val="00D63BAE"/>
    <w:rsid w:val="00D6445C"/>
    <w:rsid w:val="00D775BF"/>
    <w:rsid w:val="00D81032"/>
    <w:rsid w:val="00D8292F"/>
    <w:rsid w:val="00D8363E"/>
    <w:rsid w:val="00D849AC"/>
    <w:rsid w:val="00D84C3C"/>
    <w:rsid w:val="00D910F4"/>
    <w:rsid w:val="00D929B4"/>
    <w:rsid w:val="00D97583"/>
    <w:rsid w:val="00DA487C"/>
    <w:rsid w:val="00DB21FA"/>
    <w:rsid w:val="00DB719C"/>
    <w:rsid w:val="00DC7262"/>
    <w:rsid w:val="00DD04C7"/>
    <w:rsid w:val="00DD2F02"/>
    <w:rsid w:val="00DD5AF3"/>
    <w:rsid w:val="00DE351F"/>
    <w:rsid w:val="00DF1A14"/>
    <w:rsid w:val="00E0186E"/>
    <w:rsid w:val="00E0227F"/>
    <w:rsid w:val="00E02CBA"/>
    <w:rsid w:val="00E03727"/>
    <w:rsid w:val="00E06EA3"/>
    <w:rsid w:val="00E110CB"/>
    <w:rsid w:val="00E20811"/>
    <w:rsid w:val="00E236E8"/>
    <w:rsid w:val="00E26403"/>
    <w:rsid w:val="00E27F21"/>
    <w:rsid w:val="00E3214C"/>
    <w:rsid w:val="00E353C3"/>
    <w:rsid w:val="00E36916"/>
    <w:rsid w:val="00E40515"/>
    <w:rsid w:val="00E40A97"/>
    <w:rsid w:val="00E422BD"/>
    <w:rsid w:val="00E53BBC"/>
    <w:rsid w:val="00E540C3"/>
    <w:rsid w:val="00E570D6"/>
    <w:rsid w:val="00E57B68"/>
    <w:rsid w:val="00E62DA0"/>
    <w:rsid w:val="00E66371"/>
    <w:rsid w:val="00E716AC"/>
    <w:rsid w:val="00E74886"/>
    <w:rsid w:val="00E77371"/>
    <w:rsid w:val="00E8134B"/>
    <w:rsid w:val="00E8507F"/>
    <w:rsid w:val="00E8795C"/>
    <w:rsid w:val="00E90944"/>
    <w:rsid w:val="00E9297B"/>
    <w:rsid w:val="00E977B5"/>
    <w:rsid w:val="00EA2732"/>
    <w:rsid w:val="00EA5657"/>
    <w:rsid w:val="00EAD679"/>
    <w:rsid w:val="00EB3923"/>
    <w:rsid w:val="00EB5E67"/>
    <w:rsid w:val="00EB7A67"/>
    <w:rsid w:val="00EC0860"/>
    <w:rsid w:val="00EC1B7E"/>
    <w:rsid w:val="00EC6114"/>
    <w:rsid w:val="00EC70A7"/>
    <w:rsid w:val="00ED16B9"/>
    <w:rsid w:val="00ED43E4"/>
    <w:rsid w:val="00ED7688"/>
    <w:rsid w:val="00EE06F5"/>
    <w:rsid w:val="00EE4C7F"/>
    <w:rsid w:val="00EF2E71"/>
    <w:rsid w:val="00EF3901"/>
    <w:rsid w:val="00F027C7"/>
    <w:rsid w:val="00F06581"/>
    <w:rsid w:val="00F1396D"/>
    <w:rsid w:val="00F14A9B"/>
    <w:rsid w:val="00F14CE8"/>
    <w:rsid w:val="00F21B87"/>
    <w:rsid w:val="00F2275F"/>
    <w:rsid w:val="00F264C4"/>
    <w:rsid w:val="00F306C0"/>
    <w:rsid w:val="00F33813"/>
    <w:rsid w:val="00F433DF"/>
    <w:rsid w:val="00F45115"/>
    <w:rsid w:val="00F47334"/>
    <w:rsid w:val="00F49477"/>
    <w:rsid w:val="00F50978"/>
    <w:rsid w:val="00F7221B"/>
    <w:rsid w:val="00F739E0"/>
    <w:rsid w:val="00F7517E"/>
    <w:rsid w:val="00F8101F"/>
    <w:rsid w:val="00F87A47"/>
    <w:rsid w:val="00F9220B"/>
    <w:rsid w:val="00F94025"/>
    <w:rsid w:val="00FA1DCC"/>
    <w:rsid w:val="00FA2623"/>
    <w:rsid w:val="00FA4849"/>
    <w:rsid w:val="00FA7238"/>
    <w:rsid w:val="00FB2473"/>
    <w:rsid w:val="00FB6622"/>
    <w:rsid w:val="00FC1494"/>
    <w:rsid w:val="00FC18C4"/>
    <w:rsid w:val="00FC20B7"/>
    <w:rsid w:val="00FD4062"/>
    <w:rsid w:val="00FD4D3D"/>
    <w:rsid w:val="00FD6D83"/>
    <w:rsid w:val="00FD7FD8"/>
    <w:rsid w:val="00FE1872"/>
    <w:rsid w:val="00FE46D7"/>
    <w:rsid w:val="00FE51B0"/>
    <w:rsid w:val="00FE779C"/>
    <w:rsid w:val="00FF43D1"/>
    <w:rsid w:val="00FF6DDC"/>
    <w:rsid w:val="00FF738C"/>
    <w:rsid w:val="00FF7F7A"/>
    <w:rsid w:val="01749CFF"/>
    <w:rsid w:val="01782920"/>
    <w:rsid w:val="01B0111B"/>
    <w:rsid w:val="02434304"/>
    <w:rsid w:val="02B774CC"/>
    <w:rsid w:val="02EB56F5"/>
    <w:rsid w:val="030EB032"/>
    <w:rsid w:val="0311452F"/>
    <w:rsid w:val="0382FB25"/>
    <w:rsid w:val="03984E67"/>
    <w:rsid w:val="03B15FF1"/>
    <w:rsid w:val="03E59661"/>
    <w:rsid w:val="05C5F0A9"/>
    <w:rsid w:val="05F952DE"/>
    <w:rsid w:val="06312B57"/>
    <w:rsid w:val="06DF4FDF"/>
    <w:rsid w:val="07779A2A"/>
    <w:rsid w:val="07F31A3D"/>
    <w:rsid w:val="08C9CAE2"/>
    <w:rsid w:val="08DF23B6"/>
    <w:rsid w:val="097B01E8"/>
    <w:rsid w:val="09BCB0E6"/>
    <w:rsid w:val="09F04C58"/>
    <w:rsid w:val="0B49588A"/>
    <w:rsid w:val="0BC5E74C"/>
    <w:rsid w:val="0C0048C2"/>
    <w:rsid w:val="0C12F316"/>
    <w:rsid w:val="0C41E10D"/>
    <w:rsid w:val="0D1BCA0C"/>
    <w:rsid w:val="0DE6AECF"/>
    <w:rsid w:val="0E0CE74B"/>
    <w:rsid w:val="0E36FBE3"/>
    <w:rsid w:val="0E6B80B9"/>
    <w:rsid w:val="0E78B9C5"/>
    <w:rsid w:val="0E959978"/>
    <w:rsid w:val="0E97E824"/>
    <w:rsid w:val="0EBC95E3"/>
    <w:rsid w:val="0ECB43FF"/>
    <w:rsid w:val="0F5C25B7"/>
    <w:rsid w:val="0FD2BBC4"/>
    <w:rsid w:val="10A50089"/>
    <w:rsid w:val="112DF4D0"/>
    <w:rsid w:val="1133D2A8"/>
    <w:rsid w:val="11ED5062"/>
    <w:rsid w:val="124436B2"/>
    <w:rsid w:val="12926558"/>
    <w:rsid w:val="12BDFF10"/>
    <w:rsid w:val="1333411A"/>
    <w:rsid w:val="1334356D"/>
    <w:rsid w:val="135BB1B5"/>
    <w:rsid w:val="1360DD5E"/>
    <w:rsid w:val="138F1BA0"/>
    <w:rsid w:val="13E30FBF"/>
    <w:rsid w:val="1478418E"/>
    <w:rsid w:val="14808328"/>
    <w:rsid w:val="149321A7"/>
    <w:rsid w:val="159D586C"/>
    <w:rsid w:val="15C7965F"/>
    <w:rsid w:val="15EC0D56"/>
    <w:rsid w:val="170F1959"/>
    <w:rsid w:val="172D2386"/>
    <w:rsid w:val="1805DE6F"/>
    <w:rsid w:val="186210F0"/>
    <w:rsid w:val="18C28182"/>
    <w:rsid w:val="18D42CA6"/>
    <w:rsid w:val="190C98D8"/>
    <w:rsid w:val="19C3B77B"/>
    <w:rsid w:val="1A350C63"/>
    <w:rsid w:val="1A82243C"/>
    <w:rsid w:val="1AC02442"/>
    <w:rsid w:val="1B0E8885"/>
    <w:rsid w:val="1B610475"/>
    <w:rsid w:val="1BF51B93"/>
    <w:rsid w:val="1CB2BA68"/>
    <w:rsid w:val="1D04253A"/>
    <w:rsid w:val="1D45F865"/>
    <w:rsid w:val="1E747E45"/>
    <w:rsid w:val="1E96B68D"/>
    <w:rsid w:val="1E9F804C"/>
    <w:rsid w:val="1EC75069"/>
    <w:rsid w:val="1F56285C"/>
    <w:rsid w:val="1F89FD1A"/>
    <w:rsid w:val="1FAADB74"/>
    <w:rsid w:val="1FE13C86"/>
    <w:rsid w:val="20999E13"/>
    <w:rsid w:val="20C2FD69"/>
    <w:rsid w:val="20E05164"/>
    <w:rsid w:val="2110683A"/>
    <w:rsid w:val="2152D326"/>
    <w:rsid w:val="219A8CEA"/>
    <w:rsid w:val="22E0CD61"/>
    <w:rsid w:val="23451B29"/>
    <w:rsid w:val="23950F50"/>
    <w:rsid w:val="23B177E0"/>
    <w:rsid w:val="240C40DF"/>
    <w:rsid w:val="243F6F52"/>
    <w:rsid w:val="246E715A"/>
    <w:rsid w:val="25540A17"/>
    <w:rsid w:val="257EA64B"/>
    <w:rsid w:val="25F2566C"/>
    <w:rsid w:val="25F3A249"/>
    <w:rsid w:val="264970B8"/>
    <w:rsid w:val="26E45F01"/>
    <w:rsid w:val="2756D9CB"/>
    <w:rsid w:val="284E35D2"/>
    <w:rsid w:val="286D9A49"/>
    <w:rsid w:val="287DB369"/>
    <w:rsid w:val="2883950A"/>
    <w:rsid w:val="28F66263"/>
    <w:rsid w:val="2919F8C2"/>
    <w:rsid w:val="2A24986D"/>
    <w:rsid w:val="2A39CF18"/>
    <w:rsid w:val="2AA385F6"/>
    <w:rsid w:val="2B1789B4"/>
    <w:rsid w:val="2C146D87"/>
    <w:rsid w:val="2C631565"/>
    <w:rsid w:val="2C905799"/>
    <w:rsid w:val="2CD90A16"/>
    <w:rsid w:val="2E0A945C"/>
    <w:rsid w:val="2E77E341"/>
    <w:rsid w:val="2E78BA38"/>
    <w:rsid w:val="30A26623"/>
    <w:rsid w:val="31CEAFDC"/>
    <w:rsid w:val="31E6301D"/>
    <w:rsid w:val="31E99272"/>
    <w:rsid w:val="326F8370"/>
    <w:rsid w:val="32FA9A47"/>
    <w:rsid w:val="33066FD2"/>
    <w:rsid w:val="332FD762"/>
    <w:rsid w:val="333C99FB"/>
    <w:rsid w:val="334A52DD"/>
    <w:rsid w:val="338834A8"/>
    <w:rsid w:val="338EC652"/>
    <w:rsid w:val="339AA098"/>
    <w:rsid w:val="343DE215"/>
    <w:rsid w:val="347DCCFA"/>
    <w:rsid w:val="34E2A06A"/>
    <w:rsid w:val="34F9A8DD"/>
    <w:rsid w:val="3524B3EF"/>
    <w:rsid w:val="3554CB51"/>
    <w:rsid w:val="36604707"/>
    <w:rsid w:val="373FF3A6"/>
    <w:rsid w:val="37B2DE89"/>
    <w:rsid w:val="38B48A9C"/>
    <w:rsid w:val="38D28004"/>
    <w:rsid w:val="3A493EE3"/>
    <w:rsid w:val="3A5C68A3"/>
    <w:rsid w:val="3A8F3008"/>
    <w:rsid w:val="3B1F89DF"/>
    <w:rsid w:val="3CBB8C60"/>
    <w:rsid w:val="3CE1FDDB"/>
    <w:rsid w:val="3D372444"/>
    <w:rsid w:val="3DC0B727"/>
    <w:rsid w:val="3E989E9C"/>
    <w:rsid w:val="3FA15CED"/>
    <w:rsid w:val="401D2586"/>
    <w:rsid w:val="4079E3C0"/>
    <w:rsid w:val="4082A9D7"/>
    <w:rsid w:val="4099B9D4"/>
    <w:rsid w:val="40EFB877"/>
    <w:rsid w:val="410CF31E"/>
    <w:rsid w:val="41439FBF"/>
    <w:rsid w:val="4180AA3E"/>
    <w:rsid w:val="41AF0AA2"/>
    <w:rsid w:val="42F6D890"/>
    <w:rsid w:val="42F7816B"/>
    <w:rsid w:val="4392D35E"/>
    <w:rsid w:val="43DE18B4"/>
    <w:rsid w:val="43E3BC5C"/>
    <w:rsid w:val="444B6D07"/>
    <w:rsid w:val="444D921A"/>
    <w:rsid w:val="4481334D"/>
    <w:rsid w:val="44882F0E"/>
    <w:rsid w:val="45736A28"/>
    <w:rsid w:val="45B63E53"/>
    <w:rsid w:val="45EDAEFD"/>
    <w:rsid w:val="4810BE47"/>
    <w:rsid w:val="490D1F9A"/>
    <w:rsid w:val="4B7340A7"/>
    <w:rsid w:val="4B8937B4"/>
    <w:rsid w:val="4BDD83EE"/>
    <w:rsid w:val="4CB76C4A"/>
    <w:rsid w:val="4D360BDD"/>
    <w:rsid w:val="4E59175B"/>
    <w:rsid w:val="4E960E47"/>
    <w:rsid w:val="4F06C191"/>
    <w:rsid w:val="4FC52783"/>
    <w:rsid w:val="4FE8DFC0"/>
    <w:rsid w:val="50053E83"/>
    <w:rsid w:val="501180D5"/>
    <w:rsid w:val="50701747"/>
    <w:rsid w:val="514A4FD2"/>
    <w:rsid w:val="522D21FB"/>
    <w:rsid w:val="525991D8"/>
    <w:rsid w:val="526C8069"/>
    <w:rsid w:val="5292CEEF"/>
    <w:rsid w:val="52B3EE1C"/>
    <w:rsid w:val="52EA3A27"/>
    <w:rsid w:val="539608BF"/>
    <w:rsid w:val="53CDE8FA"/>
    <w:rsid w:val="54104028"/>
    <w:rsid w:val="54758967"/>
    <w:rsid w:val="55603047"/>
    <w:rsid w:val="565984D8"/>
    <w:rsid w:val="570A9766"/>
    <w:rsid w:val="5758D55D"/>
    <w:rsid w:val="58C5E86D"/>
    <w:rsid w:val="5B2D4036"/>
    <w:rsid w:val="5C03DE9E"/>
    <w:rsid w:val="5DBB220C"/>
    <w:rsid w:val="5DDD5B42"/>
    <w:rsid w:val="5DEDC770"/>
    <w:rsid w:val="5E7B8944"/>
    <w:rsid w:val="5ECD7930"/>
    <w:rsid w:val="5EEEE907"/>
    <w:rsid w:val="5F6BE5B3"/>
    <w:rsid w:val="5F778FCB"/>
    <w:rsid w:val="5FE65956"/>
    <w:rsid w:val="603476F5"/>
    <w:rsid w:val="60564557"/>
    <w:rsid w:val="60B1F455"/>
    <w:rsid w:val="610CB798"/>
    <w:rsid w:val="6125D665"/>
    <w:rsid w:val="619AC65A"/>
    <w:rsid w:val="61AC562E"/>
    <w:rsid w:val="62D7997D"/>
    <w:rsid w:val="631619FC"/>
    <w:rsid w:val="633859CD"/>
    <w:rsid w:val="642418A0"/>
    <w:rsid w:val="64336C3C"/>
    <w:rsid w:val="65DAB74E"/>
    <w:rsid w:val="66BB5F6C"/>
    <w:rsid w:val="66C7CFCA"/>
    <w:rsid w:val="66C8D7A6"/>
    <w:rsid w:val="66E494E9"/>
    <w:rsid w:val="6711A8CB"/>
    <w:rsid w:val="67311B61"/>
    <w:rsid w:val="67F736E0"/>
    <w:rsid w:val="68396D59"/>
    <w:rsid w:val="68C5D728"/>
    <w:rsid w:val="68C9A770"/>
    <w:rsid w:val="694F7D90"/>
    <w:rsid w:val="6A86A9AF"/>
    <w:rsid w:val="6AB75E50"/>
    <w:rsid w:val="6B65FFB8"/>
    <w:rsid w:val="6C053BDE"/>
    <w:rsid w:val="6C37988A"/>
    <w:rsid w:val="6C4C865C"/>
    <w:rsid w:val="6C6CBAC7"/>
    <w:rsid w:val="6C6E7C8A"/>
    <w:rsid w:val="6CA6B1FD"/>
    <w:rsid w:val="6CD48639"/>
    <w:rsid w:val="6E37078B"/>
    <w:rsid w:val="6ED5FC3E"/>
    <w:rsid w:val="6EF6FCBB"/>
    <w:rsid w:val="6F226E67"/>
    <w:rsid w:val="70F60C6F"/>
    <w:rsid w:val="71B6FB07"/>
    <w:rsid w:val="71FF901A"/>
    <w:rsid w:val="728FBB89"/>
    <w:rsid w:val="72CB803F"/>
    <w:rsid w:val="72E7A2E3"/>
    <w:rsid w:val="734224A0"/>
    <w:rsid w:val="7347FD1B"/>
    <w:rsid w:val="738B7F4D"/>
    <w:rsid w:val="7399A77C"/>
    <w:rsid w:val="73A45BEF"/>
    <w:rsid w:val="747B0641"/>
    <w:rsid w:val="7539CC53"/>
    <w:rsid w:val="75830F3D"/>
    <w:rsid w:val="75CED180"/>
    <w:rsid w:val="75E5496D"/>
    <w:rsid w:val="766672E2"/>
    <w:rsid w:val="7702137E"/>
    <w:rsid w:val="7777C9A5"/>
    <w:rsid w:val="78D214C4"/>
    <w:rsid w:val="7A6FF3D9"/>
    <w:rsid w:val="7B23538A"/>
    <w:rsid w:val="7B5EEFA7"/>
    <w:rsid w:val="7BA6B61D"/>
    <w:rsid w:val="7BB136BA"/>
    <w:rsid w:val="7BBBDBC9"/>
    <w:rsid w:val="7C704224"/>
    <w:rsid w:val="7C70ED93"/>
    <w:rsid w:val="7C9E0EF1"/>
    <w:rsid w:val="7CA5F087"/>
    <w:rsid w:val="7D9B0BA8"/>
    <w:rsid w:val="7E303370"/>
    <w:rsid w:val="7E3C23D0"/>
    <w:rsid w:val="7ED3C54B"/>
    <w:rsid w:val="7F0F2321"/>
    <w:rsid w:val="7F34A915"/>
    <w:rsid w:val="7F7AF294"/>
    <w:rsid w:val="7F7E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597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F3C"/>
    <w:pPr>
      <w:outlineLvl w:val="0"/>
    </w:pPr>
    <w:rPr>
      <w:b/>
      <w:bCs/>
      <w:sz w:val="28"/>
      <w:szCs w:val="28"/>
    </w:rPr>
  </w:style>
  <w:style w:type="paragraph" w:styleId="Heading2">
    <w:name w:val="heading 2"/>
    <w:basedOn w:val="Normal"/>
    <w:next w:val="Normal"/>
    <w:link w:val="Heading2Char"/>
    <w:uiPriority w:val="9"/>
    <w:unhideWhenUsed/>
    <w:qFormat/>
    <w:rsid w:val="00A14F3C"/>
    <w:pPr>
      <w:spacing w:after="0"/>
      <w:outlineLvl w:val="1"/>
    </w:pPr>
    <w:rPr>
      <w:rFonts w:cstheme="minorHAnsi"/>
      <w:b/>
      <w:bCs/>
      <w:color w:val="0B769F" w:themeColor="accent4" w:themeShade="BF"/>
      <w:sz w:val="22"/>
      <w:szCs w:val="22"/>
    </w:rPr>
  </w:style>
  <w:style w:type="paragraph" w:styleId="Heading3">
    <w:name w:val="heading 3"/>
    <w:basedOn w:val="Normal"/>
    <w:next w:val="Normal"/>
    <w:link w:val="Heading3Char"/>
    <w:uiPriority w:val="9"/>
    <w:semiHidden/>
    <w:unhideWhenUsed/>
    <w:qFormat/>
    <w:rsid w:val="00BC24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4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4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4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4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4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4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F3C"/>
    <w:rPr>
      <w:b/>
      <w:bCs/>
      <w:sz w:val="28"/>
      <w:szCs w:val="28"/>
    </w:rPr>
  </w:style>
  <w:style w:type="character" w:customStyle="1" w:styleId="Heading2Char">
    <w:name w:val="Heading 2 Char"/>
    <w:basedOn w:val="DefaultParagraphFont"/>
    <w:link w:val="Heading2"/>
    <w:uiPriority w:val="9"/>
    <w:rsid w:val="00A14F3C"/>
    <w:rPr>
      <w:rFonts w:cstheme="minorHAnsi"/>
      <w:b/>
      <w:bCs/>
      <w:color w:val="0B769F" w:themeColor="accent4" w:themeShade="BF"/>
      <w:sz w:val="22"/>
      <w:szCs w:val="22"/>
    </w:rPr>
  </w:style>
  <w:style w:type="character" w:customStyle="1" w:styleId="Heading3Char">
    <w:name w:val="Heading 3 Char"/>
    <w:basedOn w:val="DefaultParagraphFont"/>
    <w:link w:val="Heading3"/>
    <w:uiPriority w:val="9"/>
    <w:semiHidden/>
    <w:rsid w:val="00BC24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4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4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45F"/>
    <w:rPr>
      <w:rFonts w:eastAsiaTheme="majorEastAsia" w:cstheme="majorBidi"/>
      <w:color w:val="272727" w:themeColor="text1" w:themeTint="D8"/>
    </w:rPr>
  </w:style>
  <w:style w:type="paragraph" w:styleId="Title">
    <w:name w:val="Title"/>
    <w:basedOn w:val="Normal"/>
    <w:next w:val="Normal"/>
    <w:link w:val="TitleChar"/>
    <w:uiPriority w:val="10"/>
    <w:qFormat/>
    <w:rsid w:val="00BC2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4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4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4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45F"/>
    <w:pPr>
      <w:spacing w:before="160"/>
      <w:jc w:val="center"/>
    </w:pPr>
    <w:rPr>
      <w:i/>
      <w:iCs/>
      <w:color w:val="404040" w:themeColor="text1" w:themeTint="BF"/>
    </w:rPr>
  </w:style>
  <w:style w:type="character" w:customStyle="1" w:styleId="QuoteChar">
    <w:name w:val="Quote Char"/>
    <w:basedOn w:val="DefaultParagraphFont"/>
    <w:link w:val="Quote"/>
    <w:uiPriority w:val="29"/>
    <w:rsid w:val="00BC245F"/>
    <w:rPr>
      <w:i/>
      <w:iCs/>
      <w:color w:val="404040" w:themeColor="text1" w:themeTint="BF"/>
    </w:rPr>
  </w:style>
  <w:style w:type="paragraph" w:styleId="ListParagraph">
    <w:name w:val="List Paragraph"/>
    <w:basedOn w:val="Normal"/>
    <w:uiPriority w:val="34"/>
    <w:qFormat/>
    <w:rsid w:val="00BC245F"/>
    <w:pPr>
      <w:ind w:left="720"/>
      <w:contextualSpacing/>
    </w:pPr>
  </w:style>
  <w:style w:type="character" w:styleId="IntenseEmphasis">
    <w:name w:val="Intense Emphasis"/>
    <w:basedOn w:val="DefaultParagraphFont"/>
    <w:uiPriority w:val="21"/>
    <w:qFormat/>
    <w:rsid w:val="00BC245F"/>
    <w:rPr>
      <w:i/>
      <w:iCs/>
      <w:color w:val="0F4761" w:themeColor="accent1" w:themeShade="BF"/>
    </w:rPr>
  </w:style>
  <w:style w:type="paragraph" w:styleId="IntenseQuote">
    <w:name w:val="Intense Quote"/>
    <w:basedOn w:val="Normal"/>
    <w:next w:val="Normal"/>
    <w:link w:val="IntenseQuoteChar"/>
    <w:uiPriority w:val="30"/>
    <w:qFormat/>
    <w:rsid w:val="00BC2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45F"/>
    <w:rPr>
      <w:i/>
      <w:iCs/>
      <w:color w:val="0F4761" w:themeColor="accent1" w:themeShade="BF"/>
    </w:rPr>
  </w:style>
  <w:style w:type="character" w:styleId="IntenseReference">
    <w:name w:val="Intense Reference"/>
    <w:basedOn w:val="DefaultParagraphFont"/>
    <w:uiPriority w:val="32"/>
    <w:qFormat/>
    <w:rsid w:val="00BC245F"/>
    <w:rPr>
      <w:b/>
      <w:bCs/>
      <w:smallCaps/>
      <w:color w:val="0F4761" w:themeColor="accent1" w:themeShade="BF"/>
      <w:spacing w:val="5"/>
    </w:rPr>
  </w:style>
  <w:style w:type="table" w:styleId="TableGrid">
    <w:name w:val="Table Grid"/>
    <w:basedOn w:val="TableNormal"/>
    <w:uiPriority w:val="39"/>
    <w:rsid w:val="00BC2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876F9"/>
    <w:rPr>
      <w:b/>
      <w:bCs/>
    </w:rPr>
  </w:style>
  <w:style w:type="paragraph" w:styleId="Header">
    <w:name w:val="header"/>
    <w:basedOn w:val="Normal"/>
    <w:link w:val="HeaderChar"/>
    <w:uiPriority w:val="99"/>
    <w:unhideWhenUsed/>
    <w:rsid w:val="00CA7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B0F"/>
  </w:style>
  <w:style w:type="paragraph" w:styleId="Footer">
    <w:name w:val="footer"/>
    <w:basedOn w:val="Normal"/>
    <w:link w:val="FooterChar"/>
    <w:uiPriority w:val="99"/>
    <w:unhideWhenUsed/>
    <w:rsid w:val="00CA7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B0F"/>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03351"/>
    <w:pPr>
      <w:spacing w:after="0" w:line="240" w:lineRule="auto"/>
    </w:pPr>
  </w:style>
  <w:style w:type="paragraph" w:styleId="CommentSubject">
    <w:name w:val="annotation subject"/>
    <w:basedOn w:val="CommentText"/>
    <w:next w:val="CommentText"/>
    <w:link w:val="CommentSubjectChar"/>
    <w:uiPriority w:val="99"/>
    <w:semiHidden/>
    <w:unhideWhenUsed/>
    <w:rsid w:val="005216EF"/>
    <w:rPr>
      <w:b/>
      <w:bCs/>
    </w:rPr>
  </w:style>
  <w:style w:type="character" w:customStyle="1" w:styleId="CommentSubjectChar">
    <w:name w:val="Comment Subject Char"/>
    <w:basedOn w:val="CommentTextChar"/>
    <w:link w:val="CommentSubject"/>
    <w:uiPriority w:val="99"/>
    <w:semiHidden/>
    <w:rsid w:val="005216EF"/>
    <w:rPr>
      <w:b/>
      <w:bCs/>
      <w:sz w:val="20"/>
      <w:szCs w:val="20"/>
    </w:rPr>
  </w:style>
  <w:style w:type="paragraph" w:styleId="FootnoteText">
    <w:name w:val="footnote text"/>
    <w:basedOn w:val="Normal"/>
    <w:link w:val="FootnoteTextChar"/>
    <w:uiPriority w:val="99"/>
    <w:semiHidden/>
    <w:unhideWhenUsed/>
    <w:rsid w:val="004042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42BC"/>
    <w:rPr>
      <w:sz w:val="20"/>
      <w:szCs w:val="20"/>
    </w:rPr>
  </w:style>
  <w:style w:type="character" w:styleId="FootnoteReference">
    <w:name w:val="footnote reference"/>
    <w:basedOn w:val="DefaultParagraphFont"/>
    <w:uiPriority w:val="99"/>
    <w:semiHidden/>
    <w:unhideWhenUsed/>
    <w:rsid w:val="004042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E49F8-9F7E-48AA-911E-DD55DF25A002}">
  <ds:schemaRefs>
    <ds:schemaRef ds:uri="http://schemas.openxmlformats.org/officeDocument/2006/bibliography"/>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1831</Words>
  <Characters>12127</Characters>
  <Application>Microsoft Office Word</Application>
  <DocSecurity>0</DocSecurity>
  <Lines>414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response: Independent Evaluation of the Australian Humanitarian Partnership</dc:title>
  <dc:subject/>
  <dc:creator/>
  <cp:keywords>[SEC=OFFICIAL]</cp:keywords>
  <dc:description/>
  <cp:lastModifiedBy/>
  <cp:revision>1</cp:revision>
  <dcterms:created xsi:type="dcterms:W3CDTF">2026-03-16T21:50:00Z</dcterms:created>
  <dcterms:modified xsi:type="dcterms:W3CDTF">2026-03-16T21:50:00Z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2025-11-24T05:12:08Z</vt:lpwstr>
  </property>
  <property fmtid="{D5CDD505-2E9C-101B-9397-08002B2CF9AE}" pid="3" name="PM_ProtectiveMarkingValue_Header">
    <vt:lpwstr>OFFICIAL</vt:lpwstr>
  </property>
  <property fmtid="{D5CDD505-2E9C-101B-9397-08002B2CF9AE}" pid="4" name="PM_Expires">
    <vt:lpwstr/>
  </property>
  <property fmtid="{D5CDD505-2E9C-101B-9397-08002B2CF9AE}" pid="5" name="PM_DisplayValueSecClassificationWithQualifier">
    <vt:lpwstr>OFFICIAL</vt:lpwstr>
  </property>
  <property fmtid="{D5CDD505-2E9C-101B-9397-08002B2CF9AE}" pid="6" name="PM_InsertionValue">
    <vt:lpwstr>OFFICIAL</vt:lpwstr>
  </property>
  <property fmtid="{D5CDD505-2E9C-101B-9397-08002B2CF9AE}" pid="7" name="PM_Originator_Hash_SHA1">
    <vt:lpwstr>D9F6E5C82DFAF7AB6E3D596D48DD43C72EDFDAB4</vt:lpwstr>
  </property>
  <property fmtid="{D5CDD505-2E9C-101B-9397-08002B2CF9AE}" pid="8" name="PM_ProtectiveMarkingValue_Footer">
    <vt:lpwstr>OFFICIAL</vt:lpwstr>
  </property>
  <property fmtid="{D5CDD505-2E9C-101B-9397-08002B2CF9AE}" pid="9" name="PM_Originating_FileId">
    <vt:lpwstr>6138A07766B1445C8740D99098E4130E</vt:lpwstr>
  </property>
  <property fmtid="{D5CDD505-2E9C-101B-9397-08002B2CF9AE}" pid="10" name="PM_Display">
    <vt:lpwstr>OFFICIAL</vt:lpwstr>
  </property>
  <property fmtid="{D5CDD505-2E9C-101B-9397-08002B2CF9AE}" pid="11" name="PM_OriginatorUserAccountName_SHA256">
    <vt:lpwstr>3E9DB5AB808CA91EB3E8EC398CDB7F67B110581D6BB28BC88565729DCE387350</vt:lpwstr>
  </property>
  <property fmtid="{D5CDD505-2E9C-101B-9397-08002B2CF9AE}" pid="12" name="PM_OriginatorDomainName_SHA256">
    <vt:lpwstr>6F3591835F3B2A8A025B00B5BA6418010DA3A17C9C26EA9C049FFD28039489A2</vt:lpwstr>
  </property>
  <property fmtid="{D5CDD505-2E9C-101B-9397-08002B2CF9AE}" pid="13" name="PMUuid">
    <vt:lpwstr>v=2022.2;d=gov.au;g=46DD6D7C-8107-577B-BC6E-F348953B2E44</vt:lpwstr>
  </property>
  <property fmtid="{D5CDD505-2E9C-101B-9397-08002B2CF9AE}" pid="14" name="PM_Hash_Version">
    <vt:lpwstr>2022.1</vt:lpwstr>
  </property>
  <property fmtid="{D5CDD505-2E9C-101B-9397-08002B2CF9AE}" pid="15" name="PM_Hash_Salt_Prev">
    <vt:lpwstr>B86307AB045CD8F013C0A117A01E4C85</vt:lpwstr>
  </property>
  <property fmtid="{D5CDD505-2E9C-101B-9397-08002B2CF9AE}" pid="16" name="PM_Hash_Salt">
    <vt:lpwstr>63AC63B6BD64835FC38E78C355C46697</vt:lpwstr>
  </property>
  <property fmtid="{D5CDD505-2E9C-101B-9397-08002B2CF9AE}" pid="17" name="PM_Hash_SHA1">
    <vt:lpwstr>34E8BB9985AB0EEAB0104E5609286B8667738D85</vt:lpwstr>
  </property>
  <property fmtid="{D5CDD505-2E9C-101B-9397-08002B2CF9AE}" pid="18" name="PM_SecurityClassification_Prev">
    <vt:lpwstr>OFFICIAL</vt:lpwstr>
  </property>
  <property fmtid="{D5CDD505-2E9C-101B-9397-08002B2CF9AE}" pid="19" name="PM_Qualifier_Prev">
    <vt:lpwstr/>
  </property>
  <property fmtid="{D5CDD505-2E9C-101B-9397-08002B2CF9AE}" pid="20" name="PM_Qualifier">
    <vt:lpwstr/>
  </property>
  <property fmtid="{D5CDD505-2E9C-101B-9397-08002B2CF9AE}" pid="21" name="PMHMAC">
    <vt:lpwstr>v=2022.1;a=SHA256;h=F8BA3859AA42872640825535DD5E80E6270FB016FB3D7A8289890015C53A2666</vt:lpwstr>
  </property>
  <property fmtid="{D5CDD505-2E9C-101B-9397-08002B2CF9AE}" pid="22" name="PM_Namespace">
    <vt:lpwstr>gov.au</vt:lpwstr>
  </property>
  <property fmtid="{D5CDD505-2E9C-101B-9397-08002B2CF9AE}" pid="23" name="PM_Version">
    <vt:lpwstr>2018.4</vt:lpwstr>
  </property>
  <property fmtid="{D5CDD505-2E9C-101B-9397-08002B2CF9AE}" pid="24" name="PM_SecurityClassification">
    <vt:lpwstr>OFFICIAL</vt:lpwstr>
  </property>
  <property fmtid="{D5CDD505-2E9C-101B-9397-08002B2CF9AE}" pid="25" name="PM_Note">
    <vt:lpwstr/>
  </property>
  <property fmtid="{D5CDD505-2E9C-101B-9397-08002B2CF9AE}" pid="26" name="PM_Markers">
    <vt:lpwstr/>
  </property>
  <property fmtid="{D5CDD505-2E9C-101B-9397-08002B2CF9AE}" pid="27" name="PM_Caveats_Count">
    <vt:lpwstr>0</vt:lpwstr>
  </property>
  <property fmtid="{D5CDD505-2E9C-101B-9397-08002B2CF9AE}" pid="28" name="PM_DownTo">
    <vt:lpwstr/>
  </property>
</Properties>
</file>