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8017"/>
      </w:tblGrid>
      <w:tr w:rsidR="006A683A" w:rsidRPr="00166A23" w14:paraId="4C6FCD29" w14:textId="77777777">
        <w:tc>
          <w:tcPr>
            <w:tcW w:w="983" w:type="dxa"/>
          </w:tcPr>
          <w:p w14:paraId="152A83A6" w14:textId="77777777" w:rsidR="006A683A" w:rsidRPr="00166A23" w:rsidRDefault="006A683A" w:rsidP="00F65774"/>
        </w:tc>
        <w:tc>
          <w:tcPr>
            <w:tcW w:w="8017" w:type="dxa"/>
          </w:tcPr>
          <w:p w14:paraId="1B093CD7" w14:textId="77777777" w:rsidR="006A683A" w:rsidRPr="00166A23" w:rsidRDefault="006A683A" w:rsidP="00F65774"/>
        </w:tc>
      </w:tr>
      <w:tr w:rsidR="006A683A" w:rsidRPr="00166A23" w14:paraId="33C2B63F" w14:textId="77777777">
        <w:tc>
          <w:tcPr>
            <w:tcW w:w="983" w:type="dxa"/>
          </w:tcPr>
          <w:p w14:paraId="781E7B8D" w14:textId="77777777" w:rsidR="006A683A" w:rsidRPr="00166A23" w:rsidRDefault="006A683A" w:rsidP="007D1047"/>
        </w:tc>
        <w:tc>
          <w:tcPr>
            <w:tcW w:w="8017" w:type="dxa"/>
          </w:tcPr>
          <w:p w14:paraId="4476D260" w14:textId="77777777" w:rsidR="006A683A" w:rsidRPr="00166A23" w:rsidRDefault="006A683A" w:rsidP="007D1047">
            <w:pPr>
              <w:pStyle w:val="p1"/>
            </w:pPr>
          </w:p>
          <w:p w14:paraId="1D7173FC" w14:textId="77777777" w:rsidR="006A683A" w:rsidRPr="00166A23" w:rsidRDefault="006A683A" w:rsidP="007D1047">
            <w:pPr>
              <w:pStyle w:val="p1"/>
            </w:pPr>
          </w:p>
          <w:p w14:paraId="247B4C7C" w14:textId="77777777" w:rsidR="006A683A" w:rsidRPr="00166A23" w:rsidRDefault="006A683A" w:rsidP="007D1047">
            <w:pPr>
              <w:pStyle w:val="p1"/>
            </w:pPr>
          </w:p>
          <w:p w14:paraId="293204E5" w14:textId="77777777" w:rsidR="00330EAA" w:rsidRDefault="00330EAA" w:rsidP="007D1047">
            <w:pPr>
              <w:pStyle w:val="p1"/>
            </w:pPr>
          </w:p>
          <w:p w14:paraId="7EF2827B" w14:textId="77777777" w:rsidR="000A3E8D" w:rsidRPr="00166A23" w:rsidRDefault="000A3E8D" w:rsidP="007D1047">
            <w:pPr>
              <w:pStyle w:val="p1"/>
            </w:pPr>
          </w:p>
          <w:p w14:paraId="388498DA" w14:textId="7ADCAA74" w:rsidR="00A62234" w:rsidRPr="001B449B" w:rsidRDefault="00A62234" w:rsidP="007D1047">
            <w:pPr>
              <w:pStyle w:val="p1"/>
              <w:rPr>
                <w:sz w:val="44"/>
                <w:szCs w:val="44"/>
              </w:rPr>
            </w:pPr>
            <w:bookmarkStart w:id="0" w:name="_GoBack"/>
            <w:bookmarkEnd w:id="0"/>
            <w:r w:rsidRPr="001B449B">
              <w:rPr>
                <w:sz w:val="44"/>
                <w:szCs w:val="44"/>
              </w:rPr>
              <w:t>Independent Evaluation of the Infrastructure for Growth</w:t>
            </w:r>
            <w:r w:rsidR="0088135B" w:rsidRPr="001B449B">
              <w:rPr>
                <w:sz w:val="44"/>
                <w:szCs w:val="44"/>
              </w:rPr>
              <w:t xml:space="preserve"> (IFG)</w:t>
            </w:r>
            <w:r w:rsidRPr="001B449B">
              <w:rPr>
                <w:sz w:val="44"/>
                <w:szCs w:val="44"/>
              </w:rPr>
              <w:t xml:space="preserve"> </w:t>
            </w:r>
          </w:p>
          <w:p w14:paraId="51E8B9E3" w14:textId="77777777" w:rsidR="00A62234" w:rsidRPr="001B449B" w:rsidRDefault="00A62234" w:rsidP="007D1047">
            <w:pPr>
              <w:pStyle w:val="p1"/>
              <w:rPr>
                <w:sz w:val="44"/>
                <w:szCs w:val="44"/>
              </w:rPr>
            </w:pPr>
            <w:r w:rsidRPr="001B449B">
              <w:rPr>
                <w:sz w:val="44"/>
                <w:szCs w:val="44"/>
              </w:rPr>
              <w:t xml:space="preserve">and </w:t>
            </w:r>
          </w:p>
          <w:p w14:paraId="6830195F" w14:textId="77777777" w:rsidR="0088135B" w:rsidRPr="001B449B" w:rsidRDefault="006A683A" w:rsidP="007D1047">
            <w:pPr>
              <w:pStyle w:val="p1"/>
              <w:rPr>
                <w:sz w:val="44"/>
                <w:szCs w:val="44"/>
              </w:rPr>
            </w:pPr>
            <w:r w:rsidRPr="001B449B">
              <w:rPr>
                <w:sz w:val="44"/>
                <w:szCs w:val="44"/>
              </w:rPr>
              <w:t>S</w:t>
            </w:r>
            <w:r w:rsidR="00166A23" w:rsidRPr="001B449B">
              <w:rPr>
                <w:sz w:val="44"/>
                <w:szCs w:val="44"/>
              </w:rPr>
              <w:t xml:space="preserve">outh Asia Regional </w:t>
            </w:r>
          </w:p>
          <w:p w14:paraId="184A3E89" w14:textId="77777777" w:rsidR="00166A23" w:rsidRPr="001B449B" w:rsidRDefault="0088135B" w:rsidP="007D1047">
            <w:pPr>
              <w:pStyle w:val="p1"/>
              <w:rPr>
                <w:sz w:val="44"/>
                <w:szCs w:val="44"/>
              </w:rPr>
            </w:pPr>
            <w:r w:rsidRPr="001B449B">
              <w:rPr>
                <w:sz w:val="44"/>
                <w:szCs w:val="44"/>
              </w:rPr>
              <w:t xml:space="preserve">Trade </w:t>
            </w:r>
            <w:r w:rsidR="00166A23" w:rsidRPr="001B449B">
              <w:rPr>
                <w:sz w:val="44"/>
                <w:szCs w:val="44"/>
              </w:rPr>
              <w:t>Facilitation</w:t>
            </w:r>
            <w:r w:rsidRPr="001B449B">
              <w:rPr>
                <w:sz w:val="44"/>
                <w:szCs w:val="44"/>
              </w:rPr>
              <w:t xml:space="preserve"> (SARTFP)</w:t>
            </w:r>
            <w:r w:rsidR="00166A23" w:rsidRPr="001B449B">
              <w:rPr>
                <w:sz w:val="44"/>
                <w:szCs w:val="44"/>
              </w:rPr>
              <w:t xml:space="preserve"> </w:t>
            </w:r>
            <w:r w:rsidR="006A683A" w:rsidRPr="001B449B">
              <w:rPr>
                <w:sz w:val="44"/>
                <w:szCs w:val="44"/>
              </w:rPr>
              <w:t xml:space="preserve"> </w:t>
            </w:r>
            <w:r w:rsidR="00166A23" w:rsidRPr="001B449B">
              <w:rPr>
                <w:sz w:val="44"/>
                <w:szCs w:val="44"/>
              </w:rPr>
              <w:t xml:space="preserve"> </w:t>
            </w:r>
          </w:p>
          <w:p w14:paraId="734DCC42" w14:textId="77777777" w:rsidR="006A683A" w:rsidRPr="001B449B" w:rsidRDefault="006A683A" w:rsidP="007D1047">
            <w:pPr>
              <w:pStyle w:val="p1"/>
              <w:rPr>
                <w:sz w:val="44"/>
                <w:szCs w:val="44"/>
              </w:rPr>
            </w:pPr>
            <w:r w:rsidRPr="001B449B">
              <w:rPr>
                <w:sz w:val="44"/>
                <w:szCs w:val="44"/>
              </w:rPr>
              <w:t>Programs</w:t>
            </w:r>
          </w:p>
          <w:p w14:paraId="0AA1EC8D" w14:textId="77777777" w:rsidR="00CC4394" w:rsidRDefault="00CC4394" w:rsidP="007D1047">
            <w:pPr>
              <w:pStyle w:val="p1"/>
            </w:pPr>
          </w:p>
          <w:p w14:paraId="00FC9858" w14:textId="77777777" w:rsidR="00C60B4B" w:rsidRDefault="00C60B4B" w:rsidP="007D1047">
            <w:pPr>
              <w:pStyle w:val="p1"/>
            </w:pPr>
          </w:p>
          <w:p w14:paraId="756D2781" w14:textId="77777777" w:rsidR="00DA29BB" w:rsidRDefault="00DA29BB" w:rsidP="007D1047">
            <w:pPr>
              <w:pStyle w:val="p1"/>
            </w:pPr>
          </w:p>
          <w:p w14:paraId="77918143" w14:textId="77777777" w:rsidR="00DA29BB" w:rsidRDefault="00DA29BB" w:rsidP="007D1047">
            <w:pPr>
              <w:pStyle w:val="p1"/>
            </w:pPr>
          </w:p>
          <w:p w14:paraId="2418E765" w14:textId="77777777" w:rsidR="00DA29BB" w:rsidRDefault="00DA29BB" w:rsidP="007D1047">
            <w:pPr>
              <w:pStyle w:val="p1"/>
            </w:pPr>
          </w:p>
          <w:p w14:paraId="6A71D180" w14:textId="77777777" w:rsidR="0088135B" w:rsidRPr="001B449B" w:rsidRDefault="00DA29BB" w:rsidP="007D1047">
            <w:pPr>
              <w:pStyle w:val="p1"/>
              <w:rPr>
                <w:sz w:val="22"/>
                <w:szCs w:val="22"/>
              </w:rPr>
            </w:pPr>
            <w:r w:rsidRPr="001B449B">
              <w:rPr>
                <w:sz w:val="22"/>
                <w:szCs w:val="22"/>
              </w:rPr>
              <w:t xml:space="preserve">Produced for the Australian Government through the </w:t>
            </w:r>
          </w:p>
          <w:p w14:paraId="2B7F041A" w14:textId="77777777" w:rsidR="00DA29BB" w:rsidRPr="001B449B" w:rsidRDefault="00DA29BB" w:rsidP="007D1047">
            <w:pPr>
              <w:pStyle w:val="p1"/>
              <w:rPr>
                <w:sz w:val="22"/>
                <w:szCs w:val="22"/>
              </w:rPr>
            </w:pPr>
            <w:r w:rsidRPr="001B449B">
              <w:rPr>
                <w:sz w:val="22"/>
                <w:szCs w:val="22"/>
              </w:rPr>
              <w:t>Department of Foreign Affairs and Trade</w:t>
            </w:r>
          </w:p>
          <w:p w14:paraId="42CD22CD" w14:textId="77777777" w:rsidR="003E6559" w:rsidRPr="001B449B" w:rsidRDefault="003E6559" w:rsidP="007D1047">
            <w:pPr>
              <w:pStyle w:val="p1"/>
              <w:rPr>
                <w:rFonts w:asciiTheme="minorHAnsi" w:hAnsiTheme="minorHAnsi"/>
                <w:b/>
                <w:sz w:val="22"/>
                <w:szCs w:val="22"/>
              </w:rPr>
            </w:pPr>
            <w:r w:rsidRPr="001B449B">
              <w:rPr>
                <w:sz w:val="22"/>
                <w:szCs w:val="22"/>
              </w:rPr>
              <w:t>By Abt Associates</w:t>
            </w:r>
            <w:r w:rsidR="00EC3C3C" w:rsidRPr="001B449B">
              <w:rPr>
                <w:sz w:val="22"/>
                <w:szCs w:val="22"/>
              </w:rPr>
              <w:t xml:space="preserve"> Australia</w:t>
            </w:r>
          </w:p>
          <w:p w14:paraId="52BCE5A4" w14:textId="77777777" w:rsidR="006A683A" w:rsidRPr="00166A23" w:rsidRDefault="00EA5AA6" w:rsidP="000151BA">
            <w:pPr>
              <w:pStyle w:val="p1"/>
            </w:pPr>
            <w:r w:rsidRPr="000151BA">
              <w:rPr>
                <w:sz w:val="22"/>
                <w:szCs w:val="22"/>
              </w:rPr>
              <w:t>14 May</w:t>
            </w:r>
            <w:r w:rsidR="00C60B4B" w:rsidRPr="000151BA">
              <w:rPr>
                <w:sz w:val="22"/>
                <w:szCs w:val="22"/>
              </w:rPr>
              <w:t xml:space="preserve"> 2018</w:t>
            </w:r>
          </w:p>
        </w:tc>
      </w:tr>
      <w:tr w:rsidR="006A683A" w:rsidRPr="00166A23" w14:paraId="13BA8C2C" w14:textId="77777777">
        <w:tc>
          <w:tcPr>
            <w:tcW w:w="983" w:type="dxa"/>
          </w:tcPr>
          <w:p w14:paraId="4FD6576B" w14:textId="77777777" w:rsidR="006A683A" w:rsidRPr="00166A23" w:rsidRDefault="006A683A" w:rsidP="007D1047"/>
        </w:tc>
        <w:tc>
          <w:tcPr>
            <w:tcW w:w="8017" w:type="dxa"/>
          </w:tcPr>
          <w:p w14:paraId="6CE4771D" w14:textId="77777777" w:rsidR="006A683A" w:rsidRPr="00166A23" w:rsidRDefault="006A683A" w:rsidP="007D1047"/>
        </w:tc>
      </w:tr>
    </w:tbl>
    <w:p w14:paraId="76A0388A" w14:textId="77777777" w:rsidR="006A683A" w:rsidRPr="00166A23" w:rsidRDefault="006A683A" w:rsidP="007D1047">
      <w:r w:rsidRPr="00166A23">
        <w:br w:type="page"/>
      </w:r>
    </w:p>
    <w:sdt>
      <w:sdtPr>
        <w:rPr>
          <w:rFonts w:ascii="Times New Roman" w:eastAsiaTheme="minorHAnsi" w:hAnsi="Times New Roman" w:cs="Times New Roman"/>
          <w:color w:val="auto"/>
          <w:sz w:val="24"/>
        </w:rPr>
        <w:id w:val="-303692591"/>
        <w:docPartObj>
          <w:docPartGallery w:val="Table of Contents"/>
          <w:docPartUnique/>
        </w:docPartObj>
      </w:sdtPr>
      <w:sdtEndPr>
        <w:rPr>
          <w:rFonts w:asciiTheme="minorHAnsi" w:eastAsia="Times New Roman" w:hAnsiTheme="minorHAnsi" w:cstheme="minorHAnsi"/>
          <w:bCs/>
          <w:noProof/>
          <w:color w:val="000000" w:themeColor="text1"/>
        </w:rPr>
      </w:sdtEndPr>
      <w:sdtContent>
        <w:p w14:paraId="7BA60E0D" w14:textId="77777777" w:rsidR="00ED0E27" w:rsidRPr="00166A23" w:rsidRDefault="00ED0E27" w:rsidP="007D1047">
          <w:pPr>
            <w:pStyle w:val="Heading3"/>
          </w:pPr>
          <w:r w:rsidRPr="00166A23">
            <w:t>Contents</w:t>
          </w:r>
        </w:p>
        <w:p w14:paraId="138FC22A" w14:textId="37E1A35F" w:rsidR="00491305" w:rsidRDefault="00A0271D">
          <w:pPr>
            <w:pStyle w:val="TOC1"/>
            <w:rPr>
              <w:rFonts w:eastAsiaTheme="minorEastAsia" w:cstheme="minorBidi"/>
              <w:b w:val="0"/>
              <w:noProof/>
              <w:color w:val="auto"/>
              <w:sz w:val="24"/>
              <w:szCs w:val="24"/>
            </w:rPr>
          </w:pPr>
          <w:r>
            <w:fldChar w:fldCharType="begin"/>
          </w:r>
          <w:r w:rsidR="000D5996">
            <w:instrText xml:space="preserve"> TOC \o "1-2" \h \z \u </w:instrText>
          </w:r>
          <w:r>
            <w:fldChar w:fldCharType="separate"/>
          </w:r>
          <w:hyperlink w:anchor="_Toc517615225" w:history="1">
            <w:r w:rsidR="00491305" w:rsidRPr="00E03EB5">
              <w:rPr>
                <w:rStyle w:val="Hyperlink"/>
                <w:noProof/>
              </w:rPr>
              <w:t>Executive Summary</w:t>
            </w:r>
            <w:r w:rsidR="00491305">
              <w:rPr>
                <w:noProof/>
                <w:webHidden/>
              </w:rPr>
              <w:tab/>
            </w:r>
            <w:r w:rsidR="00491305">
              <w:rPr>
                <w:noProof/>
                <w:webHidden/>
              </w:rPr>
              <w:fldChar w:fldCharType="begin"/>
            </w:r>
            <w:r w:rsidR="00491305">
              <w:rPr>
                <w:noProof/>
                <w:webHidden/>
              </w:rPr>
              <w:instrText xml:space="preserve"> PAGEREF _Toc517615225 \h </w:instrText>
            </w:r>
            <w:r w:rsidR="00491305">
              <w:rPr>
                <w:noProof/>
                <w:webHidden/>
              </w:rPr>
            </w:r>
            <w:r w:rsidR="00491305">
              <w:rPr>
                <w:noProof/>
                <w:webHidden/>
              </w:rPr>
              <w:fldChar w:fldCharType="separate"/>
            </w:r>
            <w:r w:rsidR="00416477">
              <w:rPr>
                <w:noProof/>
                <w:webHidden/>
              </w:rPr>
              <w:t>v</w:t>
            </w:r>
            <w:r w:rsidR="00491305">
              <w:rPr>
                <w:noProof/>
                <w:webHidden/>
              </w:rPr>
              <w:fldChar w:fldCharType="end"/>
            </w:r>
          </w:hyperlink>
        </w:p>
        <w:p w14:paraId="0D188E04" w14:textId="0CCE123A" w:rsidR="00491305" w:rsidRDefault="00416477">
          <w:pPr>
            <w:pStyle w:val="TOC1"/>
            <w:rPr>
              <w:rFonts w:eastAsiaTheme="minorEastAsia" w:cstheme="minorBidi"/>
              <w:b w:val="0"/>
              <w:noProof/>
              <w:color w:val="auto"/>
              <w:sz w:val="24"/>
              <w:szCs w:val="24"/>
            </w:rPr>
          </w:pPr>
          <w:hyperlink w:anchor="_Toc517615226" w:history="1">
            <w:r w:rsidR="00491305" w:rsidRPr="00E03EB5">
              <w:rPr>
                <w:rStyle w:val="Hyperlink"/>
                <w:noProof/>
              </w:rPr>
              <w:t>Summary of Evaluation Key Findings</w:t>
            </w:r>
            <w:r w:rsidR="00491305">
              <w:rPr>
                <w:noProof/>
                <w:webHidden/>
              </w:rPr>
              <w:tab/>
            </w:r>
            <w:r w:rsidR="00491305">
              <w:rPr>
                <w:noProof/>
                <w:webHidden/>
              </w:rPr>
              <w:fldChar w:fldCharType="begin"/>
            </w:r>
            <w:r w:rsidR="00491305">
              <w:rPr>
                <w:noProof/>
                <w:webHidden/>
              </w:rPr>
              <w:instrText xml:space="preserve"> PAGEREF _Toc517615226 \h </w:instrText>
            </w:r>
            <w:r w:rsidR="00491305">
              <w:rPr>
                <w:noProof/>
                <w:webHidden/>
              </w:rPr>
            </w:r>
            <w:r w:rsidR="00491305">
              <w:rPr>
                <w:noProof/>
                <w:webHidden/>
              </w:rPr>
              <w:fldChar w:fldCharType="separate"/>
            </w:r>
            <w:r>
              <w:rPr>
                <w:noProof/>
                <w:webHidden/>
              </w:rPr>
              <w:t>vi</w:t>
            </w:r>
            <w:r w:rsidR="00491305">
              <w:rPr>
                <w:noProof/>
                <w:webHidden/>
              </w:rPr>
              <w:fldChar w:fldCharType="end"/>
            </w:r>
          </w:hyperlink>
        </w:p>
        <w:p w14:paraId="020CF13F" w14:textId="3E2B7EA7" w:rsidR="00491305" w:rsidRDefault="00416477">
          <w:pPr>
            <w:pStyle w:val="TOC2"/>
            <w:tabs>
              <w:tab w:val="right" w:leader="dot" w:pos="9010"/>
            </w:tabs>
            <w:rPr>
              <w:rFonts w:eastAsiaTheme="minorEastAsia" w:cstheme="minorBidi"/>
              <w:noProof/>
              <w:color w:val="auto"/>
              <w:sz w:val="24"/>
              <w:szCs w:val="24"/>
            </w:rPr>
          </w:pPr>
          <w:hyperlink w:anchor="_Toc517615227" w:history="1">
            <w:r w:rsidR="00491305" w:rsidRPr="00E03EB5">
              <w:rPr>
                <w:rStyle w:val="Hyperlink"/>
                <w:noProof/>
              </w:rPr>
              <w:t>Part 1: IFG</w:t>
            </w:r>
            <w:r w:rsidR="00491305">
              <w:rPr>
                <w:noProof/>
                <w:webHidden/>
              </w:rPr>
              <w:tab/>
            </w:r>
            <w:r w:rsidR="00491305">
              <w:rPr>
                <w:noProof/>
                <w:webHidden/>
              </w:rPr>
              <w:fldChar w:fldCharType="begin"/>
            </w:r>
            <w:r w:rsidR="00491305">
              <w:rPr>
                <w:noProof/>
                <w:webHidden/>
              </w:rPr>
              <w:instrText xml:space="preserve"> PAGEREF _Toc517615227 \h </w:instrText>
            </w:r>
            <w:r w:rsidR="00491305">
              <w:rPr>
                <w:noProof/>
                <w:webHidden/>
              </w:rPr>
            </w:r>
            <w:r w:rsidR="00491305">
              <w:rPr>
                <w:noProof/>
                <w:webHidden/>
              </w:rPr>
              <w:fldChar w:fldCharType="separate"/>
            </w:r>
            <w:r>
              <w:rPr>
                <w:noProof/>
                <w:webHidden/>
              </w:rPr>
              <w:t>vi</w:t>
            </w:r>
            <w:r w:rsidR="00491305">
              <w:rPr>
                <w:noProof/>
                <w:webHidden/>
              </w:rPr>
              <w:fldChar w:fldCharType="end"/>
            </w:r>
          </w:hyperlink>
        </w:p>
        <w:p w14:paraId="458F9D6E" w14:textId="03F5AA6C" w:rsidR="00491305" w:rsidRDefault="00416477">
          <w:pPr>
            <w:pStyle w:val="TOC2"/>
            <w:tabs>
              <w:tab w:val="right" w:leader="dot" w:pos="9010"/>
            </w:tabs>
            <w:rPr>
              <w:rFonts w:eastAsiaTheme="minorEastAsia" w:cstheme="minorBidi"/>
              <w:noProof/>
              <w:color w:val="auto"/>
              <w:sz w:val="24"/>
              <w:szCs w:val="24"/>
            </w:rPr>
          </w:pPr>
          <w:hyperlink w:anchor="_Toc517615228" w:history="1">
            <w:r w:rsidR="00491305" w:rsidRPr="00E03EB5">
              <w:rPr>
                <w:rStyle w:val="Hyperlink"/>
                <w:noProof/>
              </w:rPr>
              <w:t>Part 2: SARTFP</w:t>
            </w:r>
            <w:r w:rsidR="00491305">
              <w:rPr>
                <w:noProof/>
                <w:webHidden/>
              </w:rPr>
              <w:tab/>
            </w:r>
            <w:r w:rsidR="00491305">
              <w:rPr>
                <w:noProof/>
                <w:webHidden/>
              </w:rPr>
              <w:fldChar w:fldCharType="begin"/>
            </w:r>
            <w:r w:rsidR="00491305">
              <w:rPr>
                <w:noProof/>
                <w:webHidden/>
              </w:rPr>
              <w:instrText xml:space="preserve"> PAGEREF _Toc517615228 \h </w:instrText>
            </w:r>
            <w:r w:rsidR="00491305">
              <w:rPr>
                <w:noProof/>
                <w:webHidden/>
              </w:rPr>
            </w:r>
            <w:r w:rsidR="00491305">
              <w:rPr>
                <w:noProof/>
                <w:webHidden/>
              </w:rPr>
              <w:fldChar w:fldCharType="separate"/>
            </w:r>
            <w:r>
              <w:rPr>
                <w:noProof/>
                <w:webHidden/>
              </w:rPr>
              <w:t>vii</w:t>
            </w:r>
            <w:r w:rsidR="00491305">
              <w:rPr>
                <w:noProof/>
                <w:webHidden/>
              </w:rPr>
              <w:fldChar w:fldCharType="end"/>
            </w:r>
          </w:hyperlink>
        </w:p>
        <w:p w14:paraId="319770DC" w14:textId="0DE473D0" w:rsidR="00491305" w:rsidRDefault="00416477">
          <w:pPr>
            <w:pStyle w:val="TOC2"/>
            <w:tabs>
              <w:tab w:val="right" w:leader="dot" w:pos="9010"/>
            </w:tabs>
            <w:rPr>
              <w:rFonts w:eastAsiaTheme="minorEastAsia" w:cstheme="minorBidi"/>
              <w:noProof/>
              <w:color w:val="auto"/>
              <w:sz w:val="24"/>
              <w:szCs w:val="24"/>
            </w:rPr>
          </w:pPr>
          <w:hyperlink w:anchor="_Toc517615229" w:history="1">
            <w:r w:rsidR="00491305" w:rsidRPr="00E03EB5">
              <w:rPr>
                <w:rStyle w:val="Hyperlink"/>
                <w:noProof/>
              </w:rPr>
              <w:t>Part 3: Comparison of the program’s management and implementation models</w:t>
            </w:r>
            <w:r w:rsidR="00491305">
              <w:rPr>
                <w:noProof/>
                <w:webHidden/>
              </w:rPr>
              <w:tab/>
            </w:r>
            <w:r w:rsidR="00491305">
              <w:rPr>
                <w:noProof/>
                <w:webHidden/>
              </w:rPr>
              <w:fldChar w:fldCharType="begin"/>
            </w:r>
            <w:r w:rsidR="00491305">
              <w:rPr>
                <w:noProof/>
                <w:webHidden/>
              </w:rPr>
              <w:instrText xml:space="preserve"> PAGEREF _Toc517615229 \h </w:instrText>
            </w:r>
            <w:r w:rsidR="00491305">
              <w:rPr>
                <w:noProof/>
                <w:webHidden/>
              </w:rPr>
            </w:r>
            <w:r w:rsidR="00491305">
              <w:rPr>
                <w:noProof/>
                <w:webHidden/>
              </w:rPr>
              <w:fldChar w:fldCharType="separate"/>
            </w:r>
            <w:r>
              <w:rPr>
                <w:noProof/>
                <w:webHidden/>
              </w:rPr>
              <w:t>viii</w:t>
            </w:r>
            <w:r w:rsidR="00491305">
              <w:rPr>
                <w:noProof/>
                <w:webHidden/>
              </w:rPr>
              <w:fldChar w:fldCharType="end"/>
            </w:r>
          </w:hyperlink>
        </w:p>
        <w:p w14:paraId="19D187FC" w14:textId="59584D96" w:rsidR="00491305" w:rsidRDefault="00416477">
          <w:pPr>
            <w:pStyle w:val="TOC2"/>
            <w:tabs>
              <w:tab w:val="right" w:leader="dot" w:pos="9010"/>
            </w:tabs>
            <w:rPr>
              <w:rFonts w:eastAsiaTheme="minorEastAsia" w:cstheme="minorBidi"/>
              <w:noProof/>
              <w:color w:val="auto"/>
              <w:sz w:val="24"/>
              <w:szCs w:val="24"/>
            </w:rPr>
          </w:pPr>
          <w:hyperlink w:anchor="_Toc517615230" w:history="1">
            <w:r w:rsidR="00491305" w:rsidRPr="00E03EB5">
              <w:rPr>
                <w:rStyle w:val="Hyperlink"/>
                <w:noProof/>
              </w:rPr>
              <w:t>Part 4: Inform DFAT’s future investment and policy decisions</w:t>
            </w:r>
            <w:r w:rsidR="00491305">
              <w:rPr>
                <w:noProof/>
                <w:webHidden/>
              </w:rPr>
              <w:tab/>
            </w:r>
            <w:r w:rsidR="00491305">
              <w:rPr>
                <w:noProof/>
                <w:webHidden/>
              </w:rPr>
              <w:fldChar w:fldCharType="begin"/>
            </w:r>
            <w:r w:rsidR="00491305">
              <w:rPr>
                <w:noProof/>
                <w:webHidden/>
              </w:rPr>
              <w:instrText xml:space="preserve"> PAGEREF _Toc517615230 \h </w:instrText>
            </w:r>
            <w:r w:rsidR="00491305">
              <w:rPr>
                <w:noProof/>
                <w:webHidden/>
              </w:rPr>
            </w:r>
            <w:r w:rsidR="00491305">
              <w:rPr>
                <w:noProof/>
                <w:webHidden/>
              </w:rPr>
              <w:fldChar w:fldCharType="separate"/>
            </w:r>
            <w:r>
              <w:rPr>
                <w:noProof/>
                <w:webHidden/>
              </w:rPr>
              <w:t>ix</w:t>
            </w:r>
            <w:r w:rsidR="00491305">
              <w:rPr>
                <w:noProof/>
                <w:webHidden/>
              </w:rPr>
              <w:fldChar w:fldCharType="end"/>
            </w:r>
          </w:hyperlink>
        </w:p>
        <w:p w14:paraId="165A7CC8" w14:textId="0015E1BC" w:rsidR="00491305" w:rsidRDefault="00416477">
          <w:pPr>
            <w:pStyle w:val="TOC2"/>
            <w:tabs>
              <w:tab w:val="right" w:leader="dot" w:pos="9010"/>
            </w:tabs>
            <w:rPr>
              <w:rFonts w:eastAsiaTheme="minorEastAsia" w:cstheme="minorBidi"/>
              <w:noProof/>
              <w:color w:val="auto"/>
              <w:sz w:val="24"/>
              <w:szCs w:val="24"/>
            </w:rPr>
          </w:pPr>
          <w:hyperlink w:anchor="_Toc517615231" w:history="1">
            <w:r w:rsidR="00491305" w:rsidRPr="00E03EB5">
              <w:rPr>
                <w:rStyle w:val="Hyperlink"/>
                <w:noProof/>
              </w:rPr>
              <w:t>Evaluation Recommendations</w:t>
            </w:r>
            <w:r w:rsidR="00491305">
              <w:rPr>
                <w:noProof/>
                <w:webHidden/>
              </w:rPr>
              <w:tab/>
            </w:r>
            <w:r w:rsidR="00491305">
              <w:rPr>
                <w:noProof/>
                <w:webHidden/>
              </w:rPr>
              <w:fldChar w:fldCharType="begin"/>
            </w:r>
            <w:r w:rsidR="00491305">
              <w:rPr>
                <w:noProof/>
                <w:webHidden/>
              </w:rPr>
              <w:instrText xml:space="preserve"> PAGEREF _Toc517615231 \h </w:instrText>
            </w:r>
            <w:r w:rsidR="00491305">
              <w:rPr>
                <w:noProof/>
                <w:webHidden/>
              </w:rPr>
            </w:r>
            <w:r w:rsidR="00491305">
              <w:rPr>
                <w:noProof/>
                <w:webHidden/>
              </w:rPr>
              <w:fldChar w:fldCharType="separate"/>
            </w:r>
            <w:r>
              <w:rPr>
                <w:noProof/>
                <w:webHidden/>
              </w:rPr>
              <w:t>x</w:t>
            </w:r>
            <w:r w:rsidR="00491305">
              <w:rPr>
                <w:noProof/>
                <w:webHidden/>
              </w:rPr>
              <w:fldChar w:fldCharType="end"/>
            </w:r>
          </w:hyperlink>
        </w:p>
        <w:p w14:paraId="2871BAE8" w14:textId="224B3F63" w:rsidR="00491305" w:rsidRDefault="00416477">
          <w:pPr>
            <w:pStyle w:val="TOC1"/>
            <w:rPr>
              <w:rFonts w:eastAsiaTheme="minorEastAsia" w:cstheme="minorBidi"/>
              <w:b w:val="0"/>
              <w:noProof/>
              <w:color w:val="auto"/>
              <w:sz w:val="24"/>
              <w:szCs w:val="24"/>
            </w:rPr>
          </w:pPr>
          <w:hyperlink w:anchor="_Toc517615232" w:history="1">
            <w:r w:rsidR="00491305" w:rsidRPr="00E03EB5">
              <w:rPr>
                <w:rStyle w:val="Hyperlink"/>
                <w:noProof/>
              </w:rPr>
              <w:t>Introduction</w:t>
            </w:r>
            <w:r w:rsidR="00491305">
              <w:rPr>
                <w:noProof/>
                <w:webHidden/>
              </w:rPr>
              <w:tab/>
            </w:r>
            <w:r w:rsidR="00491305">
              <w:rPr>
                <w:noProof/>
                <w:webHidden/>
              </w:rPr>
              <w:fldChar w:fldCharType="begin"/>
            </w:r>
            <w:r w:rsidR="00491305">
              <w:rPr>
                <w:noProof/>
                <w:webHidden/>
              </w:rPr>
              <w:instrText xml:space="preserve"> PAGEREF _Toc517615232 \h </w:instrText>
            </w:r>
            <w:r w:rsidR="00491305">
              <w:rPr>
                <w:noProof/>
                <w:webHidden/>
              </w:rPr>
            </w:r>
            <w:r w:rsidR="00491305">
              <w:rPr>
                <w:noProof/>
                <w:webHidden/>
              </w:rPr>
              <w:fldChar w:fldCharType="separate"/>
            </w:r>
            <w:r>
              <w:rPr>
                <w:noProof/>
                <w:webHidden/>
              </w:rPr>
              <w:t>12</w:t>
            </w:r>
            <w:r w:rsidR="00491305">
              <w:rPr>
                <w:noProof/>
                <w:webHidden/>
              </w:rPr>
              <w:fldChar w:fldCharType="end"/>
            </w:r>
          </w:hyperlink>
        </w:p>
        <w:p w14:paraId="2E1C1D3D" w14:textId="0AF9E3F4" w:rsidR="00491305" w:rsidRDefault="00416477">
          <w:pPr>
            <w:pStyle w:val="TOC2"/>
            <w:tabs>
              <w:tab w:val="right" w:leader="dot" w:pos="9010"/>
            </w:tabs>
            <w:rPr>
              <w:rFonts w:eastAsiaTheme="minorEastAsia" w:cstheme="minorBidi"/>
              <w:noProof/>
              <w:color w:val="auto"/>
              <w:sz w:val="24"/>
              <w:szCs w:val="24"/>
            </w:rPr>
          </w:pPr>
          <w:hyperlink w:anchor="_Toc517615233" w:history="1">
            <w:r w:rsidR="00491305" w:rsidRPr="00E03EB5">
              <w:rPr>
                <w:rStyle w:val="Hyperlink"/>
                <w:noProof/>
              </w:rPr>
              <w:t>Evaluation Scope, Objectives and Methods</w:t>
            </w:r>
            <w:r w:rsidR="00491305">
              <w:rPr>
                <w:noProof/>
                <w:webHidden/>
              </w:rPr>
              <w:tab/>
            </w:r>
            <w:r w:rsidR="00491305">
              <w:rPr>
                <w:noProof/>
                <w:webHidden/>
              </w:rPr>
              <w:fldChar w:fldCharType="begin"/>
            </w:r>
            <w:r w:rsidR="00491305">
              <w:rPr>
                <w:noProof/>
                <w:webHidden/>
              </w:rPr>
              <w:instrText xml:space="preserve"> PAGEREF _Toc517615233 \h </w:instrText>
            </w:r>
            <w:r w:rsidR="00491305">
              <w:rPr>
                <w:noProof/>
                <w:webHidden/>
              </w:rPr>
            </w:r>
            <w:r w:rsidR="00491305">
              <w:rPr>
                <w:noProof/>
                <w:webHidden/>
              </w:rPr>
              <w:fldChar w:fldCharType="separate"/>
            </w:r>
            <w:r>
              <w:rPr>
                <w:noProof/>
                <w:webHidden/>
              </w:rPr>
              <w:t>13</w:t>
            </w:r>
            <w:r w:rsidR="00491305">
              <w:rPr>
                <w:noProof/>
                <w:webHidden/>
              </w:rPr>
              <w:fldChar w:fldCharType="end"/>
            </w:r>
          </w:hyperlink>
        </w:p>
        <w:p w14:paraId="079A8787" w14:textId="42DF2AD2" w:rsidR="00491305" w:rsidRDefault="00416477">
          <w:pPr>
            <w:pStyle w:val="TOC2"/>
            <w:tabs>
              <w:tab w:val="right" w:leader="dot" w:pos="9010"/>
            </w:tabs>
            <w:rPr>
              <w:rFonts w:eastAsiaTheme="minorEastAsia" w:cstheme="minorBidi"/>
              <w:noProof/>
              <w:color w:val="auto"/>
              <w:sz w:val="24"/>
              <w:szCs w:val="24"/>
            </w:rPr>
          </w:pPr>
          <w:hyperlink w:anchor="_Toc517615234" w:history="1">
            <w:r w:rsidR="00491305" w:rsidRPr="00E03EB5">
              <w:rPr>
                <w:rStyle w:val="Hyperlink"/>
                <w:noProof/>
              </w:rPr>
              <w:t>Recommendations</w:t>
            </w:r>
            <w:r w:rsidR="00491305">
              <w:rPr>
                <w:noProof/>
                <w:webHidden/>
              </w:rPr>
              <w:tab/>
            </w:r>
            <w:r w:rsidR="00491305">
              <w:rPr>
                <w:noProof/>
                <w:webHidden/>
              </w:rPr>
              <w:fldChar w:fldCharType="begin"/>
            </w:r>
            <w:r w:rsidR="00491305">
              <w:rPr>
                <w:noProof/>
                <w:webHidden/>
              </w:rPr>
              <w:instrText xml:space="preserve"> PAGEREF _Toc517615234 \h </w:instrText>
            </w:r>
            <w:r w:rsidR="00491305">
              <w:rPr>
                <w:noProof/>
                <w:webHidden/>
              </w:rPr>
            </w:r>
            <w:r w:rsidR="00491305">
              <w:rPr>
                <w:noProof/>
                <w:webHidden/>
              </w:rPr>
              <w:fldChar w:fldCharType="separate"/>
            </w:r>
            <w:r>
              <w:rPr>
                <w:noProof/>
                <w:webHidden/>
              </w:rPr>
              <w:t>17</w:t>
            </w:r>
            <w:r w:rsidR="00491305">
              <w:rPr>
                <w:noProof/>
                <w:webHidden/>
              </w:rPr>
              <w:fldChar w:fldCharType="end"/>
            </w:r>
          </w:hyperlink>
        </w:p>
        <w:p w14:paraId="4E4DFBC4" w14:textId="297D118C" w:rsidR="00491305" w:rsidRDefault="00416477">
          <w:pPr>
            <w:pStyle w:val="TOC2"/>
            <w:tabs>
              <w:tab w:val="right" w:leader="dot" w:pos="9010"/>
            </w:tabs>
            <w:rPr>
              <w:rFonts w:eastAsiaTheme="minorEastAsia" w:cstheme="minorBidi"/>
              <w:noProof/>
              <w:color w:val="auto"/>
              <w:sz w:val="24"/>
              <w:szCs w:val="24"/>
            </w:rPr>
          </w:pPr>
          <w:hyperlink w:anchor="_Toc517615235" w:history="1">
            <w:r w:rsidR="00491305" w:rsidRPr="00E03EB5">
              <w:rPr>
                <w:rStyle w:val="Hyperlink"/>
                <w:noProof/>
              </w:rPr>
              <w:t>Limitations</w:t>
            </w:r>
            <w:r w:rsidR="00491305">
              <w:rPr>
                <w:noProof/>
                <w:webHidden/>
              </w:rPr>
              <w:tab/>
            </w:r>
            <w:r w:rsidR="00491305">
              <w:rPr>
                <w:noProof/>
                <w:webHidden/>
              </w:rPr>
              <w:fldChar w:fldCharType="begin"/>
            </w:r>
            <w:r w:rsidR="00491305">
              <w:rPr>
                <w:noProof/>
                <w:webHidden/>
              </w:rPr>
              <w:instrText xml:space="preserve"> PAGEREF _Toc517615235 \h </w:instrText>
            </w:r>
            <w:r w:rsidR="00491305">
              <w:rPr>
                <w:noProof/>
                <w:webHidden/>
              </w:rPr>
            </w:r>
            <w:r w:rsidR="00491305">
              <w:rPr>
                <w:noProof/>
                <w:webHidden/>
              </w:rPr>
              <w:fldChar w:fldCharType="separate"/>
            </w:r>
            <w:r>
              <w:rPr>
                <w:noProof/>
                <w:webHidden/>
              </w:rPr>
              <w:t>17</w:t>
            </w:r>
            <w:r w:rsidR="00491305">
              <w:rPr>
                <w:noProof/>
                <w:webHidden/>
              </w:rPr>
              <w:fldChar w:fldCharType="end"/>
            </w:r>
          </w:hyperlink>
        </w:p>
        <w:p w14:paraId="20C0711C" w14:textId="11787AEC" w:rsidR="00491305" w:rsidRDefault="00416477">
          <w:pPr>
            <w:pStyle w:val="TOC1"/>
            <w:rPr>
              <w:rFonts w:eastAsiaTheme="minorEastAsia" w:cstheme="minorBidi"/>
              <w:b w:val="0"/>
              <w:noProof/>
              <w:color w:val="auto"/>
              <w:sz w:val="24"/>
              <w:szCs w:val="24"/>
            </w:rPr>
          </w:pPr>
          <w:hyperlink w:anchor="_Toc517615236" w:history="1">
            <w:r w:rsidR="00491305" w:rsidRPr="00E03EB5">
              <w:rPr>
                <w:rStyle w:val="Hyperlink"/>
                <w:noProof/>
              </w:rPr>
              <w:t>Main Report: Evaluation Findings</w:t>
            </w:r>
            <w:r w:rsidR="00491305">
              <w:rPr>
                <w:noProof/>
                <w:webHidden/>
              </w:rPr>
              <w:tab/>
            </w:r>
            <w:r w:rsidR="00491305">
              <w:rPr>
                <w:noProof/>
                <w:webHidden/>
              </w:rPr>
              <w:fldChar w:fldCharType="begin"/>
            </w:r>
            <w:r w:rsidR="00491305">
              <w:rPr>
                <w:noProof/>
                <w:webHidden/>
              </w:rPr>
              <w:instrText xml:space="preserve"> PAGEREF _Toc517615236 \h </w:instrText>
            </w:r>
            <w:r w:rsidR="00491305">
              <w:rPr>
                <w:noProof/>
                <w:webHidden/>
              </w:rPr>
            </w:r>
            <w:r w:rsidR="00491305">
              <w:rPr>
                <w:noProof/>
                <w:webHidden/>
              </w:rPr>
              <w:fldChar w:fldCharType="separate"/>
            </w:r>
            <w:r>
              <w:rPr>
                <w:noProof/>
                <w:webHidden/>
              </w:rPr>
              <w:t>18</w:t>
            </w:r>
            <w:r w:rsidR="00491305">
              <w:rPr>
                <w:noProof/>
                <w:webHidden/>
              </w:rPr>
              <w:fldChar w:fldCharType="end"/>
            </w:r>
          </w:hyperlink>
        </w:p>
        <w:p w14:paraId="11C01006" w14:textId="4D5C048E" w:rsidR="00491305" w:rsidRDefault="00416477">
          <w:pPr>
            <w:pStyle w:val="TOC1"/>
            <w:rPr>
              <w:rFonts w:eastAsiaTheme="minorEastAsia" w:cstheme="minorBidi"/>
              <w:b w:val="0"/>
              <w:noProof/>
              <w:color w:val="auto"/>
              <w:sz w:val="24"/>
              <w:szCs w:val="24"/>
            </w:rPr>
          </w:pPr>
          <w:hyperlink w:anchor="_Toc517615237" w:history="1">
            <w:r w:rsidR="00491305" w:rsidRPr="00E03EB5">
              <w:rPr>
                <w:rStyle w:val="Hyperlink"/>
                <w:noProof/>
              </w:rPr>
              <w:t>Part One: Evaluation of IFG</w:t>
            </w:r>
            <w:r w:rsidR="00491305">
              <w:rPr>
                <w:noProof/>
                <w:webHidden/>
              </w:rPr>
              <w:tab/>
            </w:r>
            <w:r w:rsidR="00491305">
              <w:rPr>
                <w:noProof/>
                <w:webHidden/>
              </w:rPr>
              <w:fldChar w:fldCharType="begin"/>
            </w:r>
            <w:r w:rsidR="00491305">
              <w:rPr>
                <w:noProof/>
                <w:webHidden/>
              </w:rPr>
              <w:instrText xml:space="preserve"> PAGEREF _Toc517615237 \h </w:instrText>
            </w:r>
            <w:r w:rsidR="00491305">
              <w:rPr>
                <w:noProof/>
                <w:webHidden/>
              </w:rPr>
            </w:r>
            <w:r w:rsidR="00491305">
              <w:rPr>
                <w:noProof/>
                <w:webHidden/>
              </w:rPr>
              <w:fldChar w:fldCharType="separate"/>
            </w:r>
            <w:r>
              <w:rPr>
                <w:noProof/>
                <w:webHidden/>
              </w:rPr>
              <w:t>18</w:t>
            </w:r>
            <w:r w:rsidR="00491305">
              <w:rPr>
                <w:noProof/>
                <w:webHidden/>
              </w:rPr>
              <w:fldChar w:fldCharType="end"/>
            </w:r>
          </w:hyperlink>
        </w:p>
        <w:p w14:paraId="10336949" w14:textId="32AD04F7" w:rsidR="00491305" w:rsidRDefault="00416477">
          <w:pPr>
            <w:pStyle w:val="TOC2"/>
            <w:tabs>
              <w:tab w:val="right" w:leader="dot" w:pos="9010"/>
            </w:tabs>
            <w:rPr>
              <w:rFonts w:eastAsiaTheme="minorEastAsia" w:cstheme="minorBidi"/>
              <w:noProof/>
              <w:color w:val="auto"/>
              <w:sz w:val="24"/>
              <w:szCs w:val="24"/>
            </w:rPr>
          </w:pPr>
          <w:hyperlink w:anchor="_Toc517615238" w:history="1">
            <w:r w:rsidR="00491305" w:rsidRPr="00E03EB5">
              <w:rPr>
                <w:rStyle w:val="Hyperlink"/>
                <w:noProof/>
              </w:rPr>
              <w:t>IFG Effectiveness</w:t>
            </w:r>
            <w:r w:rsidR="00491305">
              <w:rPr>
                <w:noProof/>
                <w:webHidden/>
              </w:rPr>
              <w:tab/>
            </w:r>
            <w:r w:rsidR="00491305">
              <w:rPr>
                <w:noProof/>
                <w:webHidden/>
              </w:rPr>
              <w:fldChar w:fldCharType="begin"/>
            </w:r>
            <w:r w:rsidR="00491305">
              <w:rPr>
                <w:noProof/>
                <w:webHidden/>
              </w:rPr>
              <w:instrText xml:space="preserve"> PAGEREF _Toc517615238 \h </w:instrText>
            </w:r>
            <w:r w:rsidR="00491305">
              <w:rPr>
                <w:noProof/>
                <w:webHidden/>
              </w:rPr>
            </w:r>
            <w:r w:rsidR="00491305">
              <w:rPr>
                <w:noProof/>
                <w:webHidden/>
              </w:rPr>
              <w:fldChar w:fldCharType="separate"/>
            </w:r>
            <w:r>
              <w:rPr>
                <w:noProof/>
                <w:webHidden/>
              </w:rPr>
              <w:t>18</w:t>
            </w:r>
            <w:r w:rsidR="00491305">
              <w:rPr>
                <w:noProof/>
                <w:webHidden/>
              </w:rPr>
              <w:fldChar w:fldCharType="end"/>
            </w:r>
          </w:hyperlink>
        </w:p>
        <w:p w14:paraId="1F5AC45A" w14:textId="62E8D615" w:rsidR="00491305" w:rsidRDefault="00416477">
          <w:pPr>
            <w:pStyle w:val="TOC2"/>
            <w:tabs>
              <w:tab w:val="right" w:leader="dot" w:pos="9010"/>
            </w:tabs>
            <w:rPr>
              <w:rFonts w:eastAsiaTheme="minorEastAsia" w:cstheme="minorBidi"/>
              <w:noProof/>
              <w:color w:val="auto"/>
              <w:sz w:val="24"/>
              <w:szCs w:val="24"/>
            </w:rPr>
          </w:pPr>
          <w:hyperlink w:anchor="_Toc517615239" w:history="1">
            <w:r w:rsidR="00491305" w:rsidRPr="00E03EB5">
              <w:rPr>
                <w:rStyle w:val="Hyperlink"/>
                <w:noProof/>
              </w:rPr>
              <w:t>Efficiency</w:t>
            </w:r>
            <w:r w:rsidR="00491305">
              <w:rPr>
                <w:noProof/>
                <w:webHidden/>
              </w:rPr>
              <w:tab/>
            </w:r>
            <w:r w:rsidR="00491305">
              <w:rPr>
                <w:noProof/>
                <w:webHidden/>
              </w:rPr>
              <w:fldChar w:fldCharType="begin"/>
            </w:r>
            <w:r w:rsidR="00491305">
              <w:rPr>
                <w:noProof/>
                <w:webHidden/>
              </w:rPr>
              <w:instrText xml:space="preserve"> PAGEREF _Toc517615239 \h </w:instrText>
            </w:r>
            <w:r w:rsidR="00491305">
              <w:rPr>
                <w:noProof/>
                <w:webHidden/>
              </w:rPr>
            </w:r>
            <w:r w:rsidR="00491305">
              <w:rPr>
                <w:noProof/>
                <w:webHidden/>
              </w:rPr>
              <w:fldChar w:fldCharType="separate"/>
            </w:r>
            <w:r>
              <w:rPr>
                <w:noProof/>
                <w:webHidden/>
              </w:rPr>
              <w:t>23</w:t>
            </w:r>
            <w:r w:rsidR="00491305">
              <w:rPr>
                <w:noProof/>
                <w:webHidden/>
              </w:rPr>
              <w:fldChar w:fldCharType="end"/>
            </w:r>
          </w:hyperlink>
        </w:p>
        <w:p w14:paraId="782B7853" w14:textId="0BE0B060" w:rsidR="00491305" w:rsidRDefault="00416477">
          <w:pPr>
            <w:pStyle w:val="TOC2"/>
            <w:tabs>
              <w:tab w:val="right" w:leader="dot" w:pos="9010"/>
            </w:tabs>
            <w:rPr>
              <w:rFonts w:eastAsiaTheme="minorEastAsia" w:cstheme="minorBidi"/>
              <w:noProof/>
              <w:color w:val="auto"/>
              <w:sz w:val="24"/>
              <w:szCs w:val="24"/>
            </w:rPr>
          </w:pPr>
          <w:hyperlink w:anchor="_Toc517615240" w:history="1">
            <w:r w:rsidR="00491305" w:rsidRPr="00E03EB5">
              <w:rPr>
                <w:rStyle w:val="Hyperlink"/>
                <w:noProof/>
              </w:rPr>
              <w:t>Relevance</w:t>
            </w:r>
            <w:r w:rsidR="00491305">
              <w:rPr>
                <w:noProof/>
                <w:webHidden/>
              </w:rPr>
              <w:tab/>
            </w:r>
            <w:r w:rsidR="00491305">
              <w:rPr>
                <w:noProof/>
                <w:webHidden/>
              </w:rPr>
              <w:fldChar w:fldCharType="begin"/>
            </w:r>
            <w:r w:rsidR="00491305">
              <w:rPr>
                <w:noProof/>
                <w:webHidden/>
              </w:rPr>
              <w:instrText xml:space="preserve"> PAGEREF _Toc517615240 \h </w:instrText>
            </w:r>
            <w:r w:rsidR="00491305">
              <w:rPr>
                <w:noProof/>
                <w:webHidden/>
              </w:rPr>
            </w:r>
            <w:r w:rsidR="00491305">
              <w:rPr>
                <w:noProof/>
                <w:webHidden/>
              </w:rPr>
              <w:fldChar w:fldCharType="separate"/>
            </w:r>
            <w:r>
              <w:rPr>
                <w:noProof/>
                <w:webHidden/>
              </w:rPr>
              <w:t>25</w:t>
            </w:r>
            <w:r w:rsidR="00491305">
              <w:rPr>
                <w:noProof/>
                <w:webHidden/>
              </w:rPr>
              <w:fldChar w:fldCharType="end"/>
            </w:r>
          </w:hyperlink>
        </w:p>
        <w:p w14:paraId="36B3FADE" w14:textId="01837A5C" w:rsidR="00491305" w:rsidRDefault="00416477">
          <w:pPr>
            <w:pStyle w:val="TOC2"/>
            <w:tabs>
              <w:tab w:val="right" w:leader="dot" w:pos="9010"/>
            </w:tabs>
            <w:rPr>
              <w:rFonts w:eastAsiaTheme="minorEastAsia" w:cstheme="minorBidi"/>
              <w:noProof/>
              <w:color w:val="auto"/>
              <w:sz w:val="24"/>
              <w:szCs w:val="24"/>
            </w:rPr>
          </w:pPr>
          <w:hyperlink w:anchor="_Toc517615241" w:history="1">
            <w:r w:rsidR="00491305" w:rsidRPr="00E03EB5">
              <w:rPr>
                <w:rStyle w:val="Hyperlink"/>
                <w:noProof/>
              </w:rPr>
              <w:t>Gender Equality</w:t>
            </w:r>
            <w:r w:rsidR="00491305">
              <w:rPr>
                <w:noProof/>
                <w:webHidden/>
              </w:rPr>
              <w:tab/>
            </w:r>
            <w:r w:rsidR="00491305">
              <w:rPr>
                <w:noProof/>
                <w:webHidden/>
              </w:rPr>
              <w:fldChar w:fldCharType="begin"/>
            </w:r>
            <w:r w:rsidR="00491305">
              <w:rPr>
                <w:noProof/>
                <w:webHidden/>
              </w:rPr>
              <w:instrText xml:space="preserve"> PAGEREF _Toc517615241 \h </w:instrText>
            </w:r>
            <w:r w:rsidR="00491305">
              <w:rPr>
                <w:noProof/>
                <w:webHidden/>
              </w:rPr>
            </w:r>
            <w:r w:rsidR="00491305">
              <w:rPr>
                <w:noProof/>
                <w:webHidden/>
              </w:rPr>
              <w:fldChar w:fldCharType="separate"/>
            </w:r>
            <w:r>
              <w:rPr>
                <w:noProof/>
                <w:webHidden/>
              </w:rPr>
              <w:t>26</w:t>
            </w:r>
            <w:r w:rsidR="00491305">
              <w:rPr>
                <w:noProof/>
                <w:webHidden/>
              </w:rPr>
              <w:fldChar w:fldCharType="end"/>
            </w:r>
          </w:hyperlink>
        </w:p>
        <w:p w14:paraId="31ABF416" w14:textId="27FF10B0" w:rsidR="00491305" w:rsidRDefault="00416477">
          <w:pPr>
            <w:pStyle w:val="TOC1"/>
            <w:rPr>
              <w:rFonts w:eastAsiaTheme="minorEastAsia" w:cstheme="minorBidi"/>
              <w:b w:val="0"/>
              <w:noProof/>
              <w:color w:val="auto"/>
              <w:sz w:val="24"/>
              <w:szCs w:val="24"/>
            </w:rPr>
          </w:pPr>
          <w:hyperlink w:anchor="_Toc517615242" w:history="1">
            <w:r w:rsidR="00491305" w:rsidRPr="00E03EB5">
              <w:rPr>
                <w:rStyle w:val="Hyperlink"/>
                <w:noProof/>
              </w:rPr>
              <w:t>Part Two: Evaluation of SARTFP</w:t>
            </w:r>
            <w:r w:rsidR="00491305">
              <w:rPr>
                <w:noProof/>
                <w:webHidden/>
              </w:rPr>
              <w:tab/>
            </w:r>
            <w:r w:rsidR="00491305">
              <w:rPr>
                <w:noProof/>
                <w:webHidden/>
              </w:rPr>
              <w:fldChar w:fldCharType="begin"/>
            </w:r>
            <w:r w:rsidR="00491305">
              <w:rPr>
                <w:noProof/>
                <w:webHidden/>
              </w:rPr>
              <w:instrText xml:space="preserve"> PAGEREF _Toc517615242 \h </w:instrText>
            </w:r>
            <w:r w:rsidR="00491305">
              <w:rPr>
                <w:noProof/>
                <w:webHidden/>
              </w:rPr>
            </w:r>
            <w:r w:rsidR="00491305">
              <w:rPr>
                <w:noProof/>
                <w:webHidden/>
              </w:rPr>
              <w:fldChar w:fldCharType="separate"/>
            </w:r>
            <w:r>
              <w:rPr>
                <w:noProof/>
                <w:webHidden/>
              </w:rPr>
              <w:t>28</w:t>
            </w:r>
            <w:r w:rsidR="00491305">
              <w:rPr>
                <w:noProof/>
                <w:webHidden/>
              </w:rPr>
              <w:fldChar w:fldCharType="end"/>
            </w:r>
          </w:hyperlink>
        </w:p>
        <w:p w14:paraId="2CBFB6E0" w14:textId="6FBEE6DD" w:rsidR="00491305" w:rsidRDefault="00416477">
          <w:pPr>
            <w:pStyle w:val="TOC2"/>
            <w:tabs>
              <w:tab w:val="right" w:leader="dot" w:pos="9010"/>
            </w:tabs>
            <w:rPr>
              <w:rFonts w:eastAsiaTheme="minorEastAsia" w:cstheme="minorBidi"/>
              <w:noProof/>
              <w:color w:val="auto"/>
              <w:sz w:val="24"/>
              <w:szCs w:val="24"/>
            </w:rPr>
          </w:pPr>
          <w:hyperlink w:anchor="_Toc517615243" w:history="1">
            <w:r w:rsidR="00491305" w:rsidRPr="00E03EB5">
              <w:rPr>
                <w:rStyle w:val="Hyperlink"/>
                <w:noProof/>
              </w:rPr>
              <w:t>Effectiveness</w:t>
            </w:r>
            <w:r w:rsidR="00491305">
              <w:rPr>
                <w:noProof/>
                <w:webHidden/>
              </w:rPr>
              <w:tab/>
            </w:r>
            <w:r w:rsidR="00491305">
              <w:rPr>
                <w:noProof/>
                <w:webHidden/>
              </w:rPr>
              <w:fldChar w:fldCharType="begin"/>
            </w:r>
            <w:r w:rsidR="00491305">
              <w:rPr>
                <w:noProof/>
                <w:webHidden/>
              </w:rPr>
              <w:instrText xml:space="preserve"> PAGEREF _Toc517615243 \h </w:instrText>
            </w:r>
            <w:r w:rsidR="00491305">
              <w:rPr>
                <w:noProof/>
                <w:webHidden/>
              </w:rPr>
            </w:r>
            <w:r w:rsidR="00491305">
              <w:rPr>
                <w:noProof/>
                <w:webHidden/>
              </w:rPr>
              <w:fldChar w:fldCharType="separate"/>
            </w:r>
            <w:r>
              <w:rPr>
                <w:noProof/>
                <w:webHidden/>
              </w:rPr>
              <w:t>28</w:t>
            </w:r>
            <w:r w:rsidR="00491305">
              <w:rPr>
                <w:noProof/>
                <w:webHidden/>
              </w:rPr>
              <w:fldChar w:fldCharType="end"/>
            </w:r>
          </w:hyperlink>
        </w:p>
        <w:p w14:paraId="51D782C5" w14:textId="1A3E8693" w:rsidR="00491305" w:rsidRDefault="00416477">
          <w:pPr>
            <w:pStyle w:val="TOC2"/>
            <w:tabs>
              <w:tab w:val="right" w:leader="dot" w:pos="9010"/>
            </w:tabs>
            <w:rPr>
              <w:rFonts w:eastAsiaTheme="minorEastAsia" w:cstheme="minorBidi"/>
              <w:noProof/>
              <w:color w:val="auto"/>
              <w:sz w:val="24"/>
              <w:szCs w:val="24"/>
            </w:rPr>
          </w:pPr>
          <w:hyperlink w:anchor="_Toc517615244" w:history="1">
            <w:r w:rsidR="00491305" w:rsidRPr="00E03EB5">
              <w:rPr>
                <w:rStyle w:val="Hyperlink"/>
                <w:noProof/>
              </w:rPr>
              <w:t>Efficiency</w:t>
            </w:r>
            <w:r w:rsidR="00491305">
              <w:rPr>
                <w:noProof/>
                <w:webHidden/>
              </w:rPr>
              <w:tab/>
            </w:r>
            <w:r w:rsidR="00491305">
              <w:rPr>
                <w:noProof/>
                <w:webHidden/>
              </w:rPr>
              <w:fldChar w:fldCharType="begin"/>
            </w:r>
            <w:r w:rsidR="00491305">
              <w:rPr>
                <w:noProof/>
                <w:webHidden/>
              </w:rPr>
              <w:instrText xml:space="preserve"> PAGEREF _Toc517615244 \h </w:instrText>
            </w:r>
            <w:r w:rsidR="00491305">
              <w:rPr>
                <w:noProof/>
                <w:webHidden/>
              </w:rPr>
            </w:r>
            <w:r w:rsidR="00491305">
              <w:rPr>
                <w:noProof/>
                <w:webHidden/>
              </w:rPr>
              <w:fldChar w:fldCharType="separate"/>
            </w:r>
            <w:r>
              <w:rPr>
                <w:noProof/>
                <w:webHidden/>
              </w:rPr>
              <w:t>33</w:t>
            </w:r>
            <w:r w:rsidR="00491305">
              <w:rPr>
                <w:noProof/>
                <w:webHidden/>
              </w:rPr>
              <w:fldChar w:fldCharType="end"/>
            </w:r>
          </w:hyperlink>
        </w:p>
        <w:p w14:paraId="53C09FC6" w14:textId="5C8CEFFC" w:rsidR="00491305" w:rsidRDefault="00416477">
          <w:pPr>
            <w:pStyle w:val="TOC2"/>
            <w:tabs>
              <w:tab w:val="right" w:leader="dot" w:pos="9010"/>
            </w:tabs>
            <w:rPr>
              <w:rFonts w:eastAsiaTheme="minorEastAsia" w:cstheme="minorBidi"/>
              <w:noProof/>
              <w:color w:val="auto"/>
              <w:sz w:val="24"/>
              <w:szCs w:val="24"/>
            </w:rPr>
          </w:pPr>
          <w:hyperlink w:anchor="_Toc517615245" w:history="1">
            <w:r w:rsidR="00491305" w:rsidRPr="00E03EB5">
              <w:rPr>
                <w:rStyle w:val="Hyperlink"/>
                <w:noProof/>
              </w:rPr>
              <w:t>Relevance</w:t>
            </w:r>
            <w:r w:rsidR="00491305">
              <w:rPr>
                <w:noProof/>
                <w:webHidden/>
              </w:rPr>
              <w:tab/>
            </w:r>
            <w:r w:rsidR="00491305">
              <w:rPr>
                <w:noProof/>
                <w:webHidden/>
              </w:rPr>
              <w:fldChar w:fldCharType="begin"/>
            </w:r>
            <w:r w:rsidR="00491305">
              <w:rPr>
                <w:noProof/>
                <w:webHidden/>
              </w:rPr>
              <w:instrText xml:space="preserve"> PAGEREF _Toc517615245 \h </w:instrText>
            </w:r>
            <w:r w:rsidR="00491305">
              <w:rPr>
                <w:noProof/>
                <w:webHidden/>
              </w:rPr>
            </w:r>
            <w:r w:rsidR="00491305">
              <w:rPr>
                <w:noProof/>
                <w:webHidden/>
              </w:rPr>
              <w:fldChar w:fldCharType="separate"/>
            </w:r>
            <w:r>
              <w:rPr>
                <w:noProof/>
                <w:webHidden/>
              </w:rPr>
              <w:t>34</w:t>
            </w:r>
            <w:r w:rsidR="00491305">
              <w:rPr>
                <w:noProof/>
                <w:webHidden/>
              </w:rPr>
              <w:fldChar w:fldCharType="end"/>
            </w:r>
          </w:hyperlink>
        </w:p>
        <w:p w14:paraId="1FBE5176" w14:textId="0C8D6219" w:rsidR="00491305" w:rsidRDefault="00416477">
          <w:pPr>
            <w:pStyle w:val="TOC2"/>
            <w:tabs>
              <w:tab w:val="right" w:leader="dot" w:pos="9010"/>
            </w:tabs>
            <w:rPr>
              <w:rFonts w:eastAsiaTheme="minorEastAsia" w:cstheme="minorBidi"/>
              <w:noProof/>
              <w:color w:val="auto"/>
              <w:sz w:val="24"/>
              <w:szCs w:val="24"/>
            </w:rPr>
          </w:pPr>
          <w:hyperlink w:anchor="_Toc517615246" w:history="1">
            <w:r w:rsidR="00491305" w:rsidRPr="00E03EB5">
              <w:rPr>
                <w:rStyle w:val="Hyperlink"/>
                <w:noProof/>
              </w:rPr>
              <w:t>Gender Equality</w:t>
            </w:r>
            <w:r w:rsidR="00491305">
              <w:rPr>
                <w:noProof/>
                <w:webHidden/>
              </w:rPr>
              <w:tab/>
            </w:r>
            <w:r w:rsidR="00491305">
              <w:rPr>
                <w:noProof/>
                <w:webHidden/>
              </w:rPr>
              <w:fldChar w:fldCharType="begin"/>
            </w:r>
            <w:r w:rsidR="00491305">
              <w:rPr>
                <w:noProof/>
                <w:webHidden/>
              </w:rPr>
              <w:instrText xml:space="preserve"> PAGEREF _Toc517615246 \h </w:instrText>
            </w:r>
            <w:r w:rsidR="00491305">
              <w:rPr>
                <w:noProof/>
                <w:webHidden/>
              </w:rPr>
            </w:r>
            <w:r w:rsidR="00491305">
              <w:rPr>
                <w:noProof/>
                <w:webHidden/>
              </w:rPr>
              <w:fldChar w:fldCharType="separate"/>
            </w:r>
            <w:r>
              <w:rPr>
                <w:noProof/>
                <w:webHidden/>
              </w:rPr>
              <w:t>36</w:t>
            </w:r>
            <w:r w:rsidR="00491305">
              <w:rPr>
                <w:noProof/>
                <w:webHidden/>
              </w:rPr>
              <w:fldChar w:fldCharType="end"/>
            </w:r>
          </w:hyperlink>
        </w:p>
        <w:p w14:paraId="6347F03C" w14:textId="3E5A797B" w:rsidR="00491305" w:rsidRDefault="00416477">
          <w:pPr>
            <w:pStyle w:val="TOC1"/>
            <w:rPr>
              <w:rFonts w:eastAsiaTheme="minorEastAsia" w:cstheme="minorBidi"/>
              <w:b w:val="0"/>
              <w:noProof/>
              <w:color w:val="auto"/>
              <w:sz w:val="24"/>
              <w:szCs w:val="24"/>
            </w:rPr>
          </w:pPr>
          <w:hyperlink w:anchor="_Toc517615247" w:history="1">
            <w:r w:rsidR="00491305" w:rsidRPr="00E03EB5">
              <w:rPr>
                <w:rStyle w:val="Hyperlink"/>
                <w:noProof/>
              </w:rPr>
              <w:t>Part 3: Comparison of the programs’ management and implementation models</w:t>
            </w:r>
            <w:r w:rsidR="00491305">
              <w:rPr>
                <w:noProof/>
                <w:webHidden/>
              </w:rPr>
              <w:tab/>
            </w:r>
            <w:r w:rsidR="00491305">
              <w:rPr>
                <w:noProof/>
                <w:webHidden/>
              </w:rPr>
              <w:fldChar w:fldCharType="begin"/>
            </w:r>
            <w:r w:rsidR="00491305">
              <w:rPr>
                <w:noProof/>
                <w:webHidden/>
              </w:rPr>
              <w:instrText xml:space="preserve"> PAGEREF _Toc517615247 \h </w:instrText>
            </w:r>
            <w:r w:rsidR="00491305">
              <w:rPr>
                <w:noProof/>
                <w:webHidden/>
              </w:rPr>
            </w:r>
            <w:r w:rsidR="00491305">
              <w:rPr>
                <w:noProof/>
                <w:webHidden/>
              </w:rPr>
              <w:fldChar w:fldCharType="separate"/>
            </w:r>
            <w:r>
              <w:rPr>
                <w:noProof/>
                <w:webHidden/>
              </w:rPr>
              <w:t>41</w:t>
            </w:r>
            <w:r w:rsidR="00491305">
              <w:rPr>
                <w:noProof/>
                <w:webHidden/>
              </w:rPr>
              <w:fldChar w:fldCharType="end"/>
            </w:r>
          </w:hyperlink>
        </w:p>
        <w:p w14:paraId="59D81BDE" w14:textId="1F69E7ED" w:rsidR="00491305" w:rsidRDefault="00416477">
          <w:pPr>
            <w:pStyle w:val="TOC1"/>
            <w:rPr>
              <w:rFonts w:eastAsiaTheme="minorEastAsia" w:cstheme="minorBidi"/>
              <w:b w:val="0"/>
              <w:noProof/>
              <w:color w:val="auto"/>
              <w:sz w:val="24"/>
              <w:szCs w:val="24"/>
            </w:rPr>
          </w:pPr>
          <w:hyperlink w:anchor="_Toc517615248" w:history="1">
            <w:r w:rsidR="00491305" w:rsidRPr="00E03EB5">
              <w:rPr>
                <w:rStyle w:val="Hyperlink"/>
                <w:noProof/>
              </w:rPr>
              <w:t>Part Four Inform DFAT’s future investments and policy decisions</w:t>
            </w:r>
            <w:r w:rsidR="00491305">
              <w:rPr>
                <w:noProof/>
                <w:webHidden/>
              </w:rPr>
              <w:tab/>
            </w:r>
            <w:r w:rsidR="00491305">
              <w:rPr>
                <w:noProof/>
                <w:webHidden/>
              </w:rPr>
              <w:fldChar w:fldCharType="begin"/>
            </w:r>
            <w:r w:rsidR="00491305">
              <w:rPr>
                <w:noProof/>
                <w:webHidden/>
              </w:rPr>
              <w:instrText xml:space="preserve"> PAGEREF _Toc517615248 \h </w:instrText>
            </w:r>
            <w:r w:rsidR="00491305">
              <w:rPr>
                <w:noProof/>
                <w:webHidden/>
              </w:rPr>
            </w:r>
            <w:r w:rsidR="00491305">
              <w:rPr>
                <w:noProof/>
                <w:webHidden/>
              </w:rPr>
              <w:fldChar w:fldCharType="separate"/>
            </w:r>
            <w:r>
              <w:rPr>
                <w:noProof/>
                <w:webHidden/>
              </w:rPr>
              <w:t>44</w:t>
            </w:r>
            <w:r w:rsidR="00491305">
              <w:rPr>
                <w:noProof/>
                <w:webHidden/>
              </w:rPr>
              <w:fldChar w:fldCharType="end"/>
            </w:r>
          </w:hyperlink>
        </w:p>
        <w:p w14:paraId="52B1E6F8" w14:textId="58CC98B1" w:rsidR="00491305" w:rsidRDefault="00416477">
          <w:pPr>
            <w:pStyle w:val="TOC2"/>
            <w:tabs>
              <w:tab w:val="right" w:leader="dot" w:pos="9010"/>
            </w:tabs>
            <w:rPr>
              <w:rFonts w:eastAsiaTheme="minorEastAsia" w:cstheme="minorBidi"/>
              <w:noProof/>
              <w:color w:val="auto"/>
              <w:sz w:val="24"/>
              <w:szCs w:val="24"/>
            </w:rPr>
          </w:pPr>
          <w:hyperlink w:anchor="_Toc517615249" w:history="1">
            <w:r w:rsidR="00491305" w:rsidRPr="00E03EB5">
              <w:rPr>
                <w:rStyle w:val="Hyperlink"/>
                <w:noProof/>
              </w:rPr>
              <w:t>Managing trust funds for effective and innovative programs</w:t>
            </w:r>
            <w:r w:rsidR="00491305">
              <w:rPr>
                <w:noProof/>
                <w:webHidden/>
              </w:rPr>
              <w:tab/>
            </w:r>
            <w:r w:rsidR="00491305">
              <w:rPr>
                <w:noProof/>
                <w:webHidden/>
              </w:rPr>
              <w:fldChar w:fldCharType="begin"/>
            </w:r>
            <w:r w:rsidR="00491305">
              <w:rPr>
                <w:noProof/>
                <w:webHidden/>
              </w:rPr>
              <w:instrText xml:space="preserve"> PAGEREF _Toc517615249 \h </w:instrText>
            </w:r>
            <w:r w:rsidR="00491305">
              <w:rPr>
                <w:noProof/>
                <w:webHidden/>
              </w:rPr>
            </w:r>
            <w:r w:rsidR="00491305">
              <w:rPr>
                <w:noProof/>
                <w:webHidden/>
              </w:rPr>
              <w:fldChar w:fldCharType="separate"/>
            </w:r>
            <w:r>
              <w:rPr>
                <w:noProof/>
                <w:webHidden/>
              </w:rPr>
              <w:t>44</w:t>
            </w:r>
            <w:r w:rsidR="00491305">
              <w:rPr>
                <w:noProof/>
                <w:webHidden/>
              </w:rPr>
              <w:fldChar w:fldCharType="end"/>
            </w:r>
          </w:hyperlink>
        </w:p>
        <w:p w14:paraId="0DF69156" w14:textId="7DE8A9D5" w:rsidR="00491305" w:rsidRDefault="00416477">
          <w:pPr>
            <w:pStyle w:val="TOC2"/>
            <w:tabs>
              <w:tab w:val="right" w:leader="dot" w:pos="9010"/>
            </w:tabs>
            <w:rPr>
              <w:rFonts w:eastAsiaTheme="minorEastAsia" w:cstheme="minorBidi"/>
              <w:noProof/>
              <w:color w:val="auto"/>
              <w:sz w:val="24"/>
              <w:szCs w:val="24"/>
            </w:rPr>
          </w:pPr>
          <w:hyperlink w:anchor="_Toc517615250" w:history="1">
            <w:r w:rsidR="00491305" w:rsidRPr="00E03EB5">
              <w:rPr>
                <w:rStyle w:val="Hyperlink"/>
                <w:noProof/>
              </w:rPr>
              <w:t>Influencing change through partnerships</w:t>
            </w:r>
            <w:r w:rsidR="00491305">
              <w:rPr>
                <w:noProof/>
                <w:webHidden/>
              </w:rPr>
              <w:tab/>
            </w:r>
            <w:r w:rsidR="00491305">
              <w:rPr>
                <w:noProof/>
                <w:webHidden/>
              </w:rPr>
              <w:fldChar w:fldCharType="begin"/>
            </w:r>
            <w:r w:rsidR="00491305">
              <w:rPr>
                <w:noProof/>
                <w:webHidden/>
              </w:rPr>
              <w:instrText xml:space="preserve"> PAGEREF _Toc517615250 \h </w:instrText>
            </w:r>
            <w:r w:rsidR="00491305">
              <w:rPr>
                <w:noProof/>
                <w:webHidden/>
              </w:rPr>
            </w:r>
            <w:r w:rsidR="00491305">
              <w:rPr>
                <w:noProof/>
                <w:webHidden/>
              </w:rPr>
              <w:fldChar w:fldCharType="separate"/>
            </w:r>
            <w:r>
              <w:rPr>
                <w:noProof/>
                <w:webHidden/>
              </w:rPr>
              <w:t>45</w:t>
            </w:r>
            <w:r w:rsidR="00491305">
              <w:rPr>
                <w:noProof/>
                <w:webHidden/>
              </w:rPr>
              <w:fldChar w:fldCharType="end"/>
            </w:r>
          </w:hyperlink>
        </w:p>
        <w:p w14:paraId="47325088" w14:textId="5C3E3C15" w:rsidR="00491305" w:rsidRDefault="00416477">
          <w:pPr>
            <w:pStyle w:val="TOC2"/>
            <w:tabs>
              <w:tab w:val="right" w:leader="dot" w:pos="9010"/>
            </w:tabs>
            <w:rPr>
              <w:rFonts w:eastAsiaTheme="minorEastAsia" w:cstheme="minorBidi"/>
              <w:noProof/>
              <w:color w:val="auto"/>
              <w:sz w:val="24"/>
              <w:szCs w:val="24"/>
            </w:rPr>
          </w:pPr>
          <w:hyperlink w:anchor="_Toc517615251" w:history="1">
            <w:r w:rsidR="00491305" w:rsidRPr="00E03EB5">
              <w:rPr>
                <w:rStyle w:val="Hyperlink"/>
                <w:noProof/>
              </w:rPr>
              <w:t>IFG and SARTFP: influence on other programs</w:t>
            </w:r>
            <w:r w:rsidR="00491305">
              <w:rPr>
                <w:noProof/>
                <w:webHidden/>
              </w:rPr>
              <w:tab/>
            </w:r>
            <w:r w:rsidR="00491305">
              <w:rPr>
                <w:noProof/>
                <w:webHidden/>
              </w:rPr>
              <w:fldChar w:fldCharType="begin"/>
            </w:r>
            <w:r w:rsidR="00491305">
              <w:rPr>
                <w:noProof/>
                <w:webHidden/>
              </w:rPr>
              <w:instrText xml:space="preserve"> PAGEREF _Toc517615251 \h </w:instrText>
            </w:r>
            <w:r w:rsidR="00491305">
              <w:rPr>
                <w:noProof/>
                <w:webHidden/>
              </w:rPr>
            </w:r>
            <w:r w:rsidR="00491305">
              <w:rPr>
                <w:noProof/>
                <w:webHidden/>
              </w:rPr>
              <w:fldChar w:fldCharType="separate"/>
            </w:r>
            <w:r>
              <w:rPr>
                <w:noProof/>
                <w:webHidden/>
              </w:rPr>
              <w:t>45</w:t>
            </w:r>
            <w:r w:rsidR="00491305">
              <w:rPr>
                <w:noProof/>
                <w:webHidden/>
              </w:rPr>
              <w:fldChar w:fldCharType="end"/>
            </w:r>
          </w:hyperlink>
        </w:p>
        <w:p w14:paraId="70484566" w14:textId="74D196AA" w:rsidR="00491305" w:rsidRDefault="00416477">
          <w:pPr>
            <w:pStyle w:val="TOC2"/>
            <w:tabs>
              <w:tab w:val="right" w:leader="dot" w:pos="9010"/>
            </w:tabs>
            <w:rPr>
              <w:rFonts w:eastAsiaTheme="minorEastAsia" w:cstheme="minorBidi"/>
              <w:noProof/>
              <w:color w:val="auto"/>
              <w:sz w:val="24"/>
              <w:szCs w:val="24"/>
            </w:rPr>
          </w:pPr>
          <w:hyperlink w:anchor="_Toc517615252" w:history="1">
            <w:r w:rsidR="00491305" w:rsidRPr="00E03EB5">
              <w:rPr>
                <w:rStyle w:val="Hyperlink"/>
                <w:noProof/>
              </w:rPr>
              <w:t>Sharing, learning and adapting programs</w:t>
            </w:r>
            <w:r w:rsidR="00491305">
              <w:rPr>
                <w:noProof/>
                <w:webHidden/>
              </w:rPr>
              <w:tab/>
            </w:r>
            <w:r w:rsidR="00491305">
              <w:rPr>
                <w:noProof/>
                <w:webHidden/>
              </w:rPr>
              <w:fldChar w:fldCharType="begin"/>
            </w:r>
            <w:r w:rsidR="00491305">
              <w:rPr>
                <w:noProof/>
                <w:webHidden/>
              </w:rPr>
              <w:instrText xml:space="preserve"> PAGEREF _Toc517615252 \h </w:instrText>
            </w:r>
            <w:r w:rsidR="00491305">
              <w:rPr>
                <w:noProof/>
                <w:webHidden/>
              </w:rPr>
            </w:r>
            <w:r w:rsidR="00491305">
              <w:rPr>
                <w:noProof/>
                <w:webHidden/>
              </w:rPr>
              <w:fldChar w:fldCharType="separate"/>
            </w:r>
            <w:r>
              <w:rPr>
                <w:noProof/>
                <w:webHidden/>
              </w:rPr>
              <w:t>46</w:t>
            </w:r>
            <w:r w:rsidR="00491305">
              <w:rPr>
                <w:noProof/>
                <w:webHidden/>
              </w:rPr>
              <w:fldChar w:fldCharType="end"/>
            </w:r>
          </w:hyperlink>
        </w:p>
        <w:p w14:paraId="1F9B4BA6" w14:textId="0CB646CF" w:rsidR="00491305" w:rsidRDefault="00416477">
          <w:pPr>
            <w:pStyle w:val="TOC1"/>
            <w:rPr>
              <w:rFonts w:eastAsiaTheme="minorEastAsia" w:cstheme="minorBidi"/>
              <w:b w:val="0"/>
              <w:noProof/>
              <w:color w:val="auto"/>
              <w:sz w:val="24"/>
              <w:szCs w:val="24"/>
            </w:rPr>
          </w:pPr>
          <w:hyperlink w:anchor="_Toc517615253" w:history="1">
            <w:r w:rsidR="00491305" w:rsidRPr="00E03EB5">
              <w:rPr>
                <w:rStyle w:val="Hyperlink"/>
                <w:noProof/>
              </w:rPr>
              <w:t>Annexes</w:t>
            </w:r>
            <w:r w:rsidR="00491305">
              <w:rPr>
                <w:noProof/>
                <w:webHidden/>
              </w:rPr>
              <w:tab/>
            </w:r>
            <w:r w:rsidR="00491305">
              <w:rPr>
                <w:noProof/>
                <w:webHidden/>
              </w:rPr>
              <w:fldChar w:fldCharType="begin"/>
            </w:r>
            <w:r w:rsidR="00491305">
              <w:rPr>
                <w:noProof/>
                <w:webHidden/>
              </w:rPr>
              <w:instrText xml:space="preserve"> PAGEREF _Toc517615253 \h </w:instrText>
            </w:r>
            <w:r w:rsidR="00491305">
              <w:rPr>
                <w:noProof/>
                <w:webHidden/>
              </w:rPr>
            </w:r>
            <w:r w:rsidR="00491305">
              <w:rPr>
                <w:noProof/>
                <w:webHidden/>
              </w:rPr>
              <w:fldChar w:fldCharType="separate"/>
            </w:r>
            <w:r>
              <w:rPr>
                <w:noProof/>
                <w:webHidden/>
              </w:rPr>
              <w:t>48</w:t>
            </w:r>
            <w:r w:rsidR="00491305">
              <w:rPr>
                <w:noProof/>
                <w:webHidden/>
              </w:rPr>
              <w:fldChar w:fldCharType="end"/>
            </w:r>
          </w:hyperlink>
        </w:p>
        <w:p w14:paraId="23B1E0DE" w14:textId="3FE11879" w:rsidR="00491305" w:rsidRDefault="00416477">
          <w:pPr>
            <w:pStyle w:val="TOC2"/>
            <w:tabs>
              <w:tab w:val="right" w:leader="dot" w:pos="9010"/>
            </w:tabs>
            <w:rPr>
              <w:rFonts w:eastAsiaTheme="minorEastAsia" w:cstheme="minorBidi"/>
              <w:noProof/>
              <w:color w:val="auto"/>
              <w:sz w:val="24"/>
              <w:szCs w:val="24"/>
            </w:rPr>
          </w:pPr>
          <w:hyperlink w:anchor="_Toc517615254" w:history="1">
            <w:r w:rsidR="00491305" w:rsidRPr="00E03EB5">
              <w:rPr>
                <w:rStyle w:val="Hyperlink"/>
                <w:noProof/>
              </w:rPr>
              <w:t>Annex 1: Terms of Reference</w:t>
            </w:r>
            <w:r w:rsidR="00491305">
              <w:rPr>
                <w:noProof/>
                <w:webHidden/>
              </w:rPr>
              <w:tab/>
            </w:r>
            <w:r w:rsidR="00491305">
              <w:rPr>
                <w:noProof/>
                <w:webHidden/>
              </w:rPr>
              <w:fldChar w:fldCharType="begin"/>
            </w:r>
            <w:r w:rsidR="00491305">
              <w:rPr>
                <w:noProof/>
                <w:webHidden/>
              </w:rPr>
              <w:instrText xml:space="preserve"> PAGEREF _Toc517615254 \h </w:instrText>
            </w:r>
            <w:r w:rsidR="00491305">
              <w:rPr>
                <w:noProof/>
                <w:webHidden/>
              </w:rPr>
            </w:r>
            <w:r w:rsidR="00491305">
              <w:rPr>
                <w:noProof/>
                <w:webHidden/>
              </w:rPr>
              <w:fldChar w:fldCharType="separate"/>
            </w:r>
            <w:r>
              <w:rPr>
                <w:noProof/>
                <w:webHidden/>
              </w:rPr>
              <w:t>48</w:t>
            </w:r>
            <w:r w:rsidR="00491305">
              <w:rPr>
                <w:noProof/>
                <w:webHidden/>
              </w:rPr>
              <w:fldChar w:fldCharType="end"/>
            </w:r>
          </w:hyperlink>
        </w:p>
        <w:p w14:paraId="7A0C7C03" w14:textId="4F13B468" w:rsidR="00491305" w:rsidRDefault="00416477">
          <w:pPr>
            <w:pStyle w:val="TOC2"/>
            <w:tabs>
              <w:tab w:val="right" w:leader="dot" w:pos="9010"/>
            </w:tabs>
            <w:rPr>
              <w:rFonts w:eastAsiaTheme="minorEastAsia" w:cstheme="minorBidi"/>
              <w:noProof/>
              <w:color w:val="auto"/>
              <w:sz w:val="24"/>
              <w:szCs w:val="24"/>
            </w:rPr>
          </w:pPr>
          <w:hyperlink w:anchor="_Toc517615255" w:history="1">
            <w:r w:rsidR="00491305" w:rsidRPr="00E03EB5">
              <w:rPr>
                <w:rStyle w:val="Hyperlink"/>
                <w:noProof/>
              </w:rPr>
              <w:t>Annex 2: Detailed Disbursement Tables</w:t>
            </w:r>
            <w:r w:rsidR="00491305">
              <w:rPr>
                <w:noProof/>
                <w:webHidden/>
              </w:rPr>
              <w:tab/>
            </w:r>
            <w:r w:rsidR="00491305">
              <w:rPr>
                <w:noProof/>
                <w:webHidden/>
              </w:rPr>
              <w:fldChar w:fldCharType="begin"/>
            </w:r>
            <w:r w:rsidR="00491305">
              <w:rPr>
                <w:noProof/>
                <w:webHidden/>
              </w:rPr>
              <w:instrText xml:space="preserve"> PAGEREF _Toc517615255 \h </w:instrText>
            </w:r>
            <w:r w:rsidR="00491305">
              <w:rPr>
                <w:noProof/>
                <w:webHidden/>
              </w:rPr>
            </w:r>
            <w:r w:rsidR="00491305">
              <w:rPr>
                <w:noProof/>
                <w:webHidden/>
              </w:rPr>
              <w:fldChar w:fldCharType="separate"/>
            </w:r>
            <w:r>
              <w:rPr>
                <w:noProof/>
                <w:webHidden/>
              </w:rPr>
              <w:t>53</w:t>
            </w:r>
            <w:r w:rsidR="00491305">
              <w:rPr>
                <w:noProof/>
                <w:webHidden/>
              </w:rPr>
              <w:fldChar w:fldCharType="end"/>
            </w:r>
          </w:hyperlink>
        </w:p>
        <w:p w14:paraId="4BFE7759" w14:textId="1DA251AA" w:rsidR="00491305" w:rsidRDefault="00416477">
          <w:pPr>
            <w:pStyle w:val="TOC2"/>
            <w:tabs>
              <w:tab w:val="right" w:leader="dot" w:pos="9010"/>
            </w:tabs>
            <w:rPr>
              <w:rFonts w:eastAsiaTheme="minorEastAsia" w:cstheme="minorBidi"/>
              <w:noProof/>
              <w:color w:val="auto"/>
              <w:sz w:val="24"/>
              <w:szCs w:val="24"/>
            </w:rPr>
          </w:pPr>
          <w:hyperlink w:anchor="_Toc517615256" w:history="1">
            <w:r w:rsidR="00491305" w:rsidRPr="00E03EB5">
              <w:rPr>
                <w:rStyle w:val="Hyperlink"/>
                <w:noProof/>
              </w:rPr>
              <w:t>Annex 3: IFG Theory of Change and Results Framework</w:t>
            </w:r>
            <w:r w:rsidR="00491305">
              <w:rPr>
                <w:noProof/>
                <w:webHidden/>
              </w:rPr>
              <w:tab/>
            </w:r>
            <w:r w:rsidR="00491305">
              <w:rPr>
                <w:noProof/>
                <w:webHidden/>
              </w:rPr>
              <w:fldChar w:fldCharType="begin"/>
            </w:r>
            <w:r w:rsidR="00491305">
              <w:rPr>
                <w:noProof/>
                <w:webHidden/>
              </w:rPr>
              <w:instrText xml:space="preserve"> PAGEREF _Toc517615256 \h </w:instrText>
            </w:r>
            <w:r w:rsidR="00491305">
              <w:rPr>
                <w:noProof/>
                <w:webHidden/>
              </w:rPr>
            </w:r>
            <w:r w:rsidR="00491305">
              <w:rPr>
                <w:noProof/>
                <w:webHidden/>
              </w:rPr>
              <w:fldChar w:fldCharType="separate"/>
            </w:r>
            <w:r>
              <w:rPr>
                <w:noProof/>
                <w:webHidden/>
              </w:rPr>
              <w:t>60</w:t>
            </w:r>
            <w:r w:rsidR="00491305">
              <w:rPr>
                <w:noProof/>
                <w:webHidden/>
              </w:rPr>
              <w:fldChar w:fldCharType="end"/>
            </w:r>
          </w:hyperlink>
        </w:p>
        <w:p w14:paraId="7C357FB3" w14:textId="30336FAE" w:rsidR="00491305" w:rsidRDefault="00416477">
          <w:pPr>
            <w:pStyle w:val="TOC2"/>
            <w:tabs>
              <w:tab w:val="right" w:leader="dot" w:pos="9010"/>
            </w:tabs>
            <w:rPr>
              <w:rFonts w:eastAsiaTheme="minorEastAsia" w:cstheme="minorBidi"/>
              <w:noProof/>
              <w:color w:val="auto"/>
              <w:sz w:val="24"/>
              <w:szCs w:val="24"/>
            </w:rPr>
          </w:pPr>
          <w:hyperlink w:anchor="_Toc517615257" w:history="1">
            <w:r w:rsidR="00491305" w:rsidRPr="00E03EB5">
              <w:rPr>
                <w:rStyle w:val="Hyperlink"/>
                <w:noProof/>
              </w:rPr>
              <w:t>Annex 4: SARTFP Theory of Change and Results Framework</w:t>
            </w:r>
            <w:r w:rsidR="00491305">
              <w:rPr>
                <w:noProof/>
                <w:webHidden/>
              </w:rPr>
              <w:tab/>
            </w:r>
            <w:r w:rsidR="00491305">
              <w:rPr>
                <w:noProof/>
                <w:webHidden/>
              </w:rPr>
              <w:fldChar w:fldCharType="begin"/>
            </w:r>
            <w:r w:rsidR="00491305">
              <w:rPr>
                <w:noProof/>
                <w:webHidden/>
              </w:rPr>
              <w:instrText xml:space="preserve"> PAGEREF _Toc517615257 \h </w:instrText>
            </w:r>
            <w:r w:rsidR="00491305">
              <w:rPr>
                <w:noProof/>
                <w:webHidden/>
              </w:rPr>
            </w:r>
            <w:r w:rsidR="00491305">
              <w:rPr>
                <w:noProof/>
                <w:webHidden/>
              </w:rPr>
              <w:fldChar w:fldCharType="separate"/>
            </w:r>
            <w:r>
              <w:rPr>
                <w:noProof/>
                <w:webHidden/>
              </w:rPr>
              <w:t>62</w:t>
            </w:r>
            <w:r w:rsidR="00491305">
              <w:rPr>
                <w:noProof/>
                <w:webHidden/>
              </w:rPr>
              <w:fldChar w:fldCharType="end"/>
            </w:r>
          </w:hyperlink>
        </w:p>
        <w:p w14:paraId="2B70E539" w14:textId="5F999CB5" w:rsidR="00491305" w:rsidRDefault="00416477">
          <w:pPr>
            <w:pStyle w:val="TOC2"/>
            <w:tabs>
              <w:tab w:val="right" w:leader="dot" w:pos="9010"/>
            </w:tabs>
            <w:rPr>
              <w:rFonts w:eastAsiaTheme="minorEastAsia" w:cstheme="minorBidi"/>
              <w:noProof/>
              <w:color w:val="auto"/>
              <w:sz w:val="24"/>
              <w:szCs w:val="24"/>
            </w:rPr>
          </w:pPr>
          <w:hyperlink w:anchor="_Toc517615258" w:history="1">
            <w:r w:rsidR="00491305" w:rsidRPr="00E03EB5">
              <w:rPr>
                <w:rStyle w:val="Hyperlink"/>
                <w:noProof/>
              </w:rPr>
              <w:t>Annex 5: Documents Reviewed</w:t>
            </w:r>
            <w:r w:rsidR="00491305">
              <w:rPr>
                <w:noProof/>
                <w:webHidden/>
              </w:rPr>
              <w:tab/>
            </w:r>
            <w:r w:rsidR="00491305">
              <w:rPr>
                <w:noProof/>
                <w:webHidden/>
              </w:rPr>
              <w:fldChar w:fldCharType="begin"/>
            </w:r>
            <w:r w:rsidR="00491305">
              <w:rPr>
                <w:noProof/>
                <w:webHidden/>
              </w:rPr>
              <w:instrText xml:space="preserve"> PAGEREF _Toc517615258 \h </w:instrText>
            </w:r>
            <w:r w:rsidR="00491305">
              <w:rPr>
                <w:noProof/>
                <w:webHidden/>
              </w:rPr>
            </w:r>
            <w:r w:rsidR="00491305">
              <w:rPr>
                <w:noProof/>
                <w:webHidden/>
              </w:rPr>
              <w:fldChar w:fldCharType="separate"/>
            </w:r>
            <w:r>
              <w:rPr>
                <w:noProof/>
                <w:webHidden/>
              </w:rPr>
              <w:t>67</w:t>
            </w:r>
            <w:r w:rsidR="00491305">
              <w:rPr>
                <w:noProof/>
                <w:webHidden/>
              </w:rPr>
              <w:fldChar w:fldCharType="end"/>
            </w:r>
          </w:hyperlink>
        </w:p>
        <w:p w14:paraId="25168477" w14:textId="4474BDBC" w:rsidR="00491305" w:rsidRDefault="00416477">
          <w:pPr>
            <w:pStyle w:val="TOC2"/>
            <w:tabs>
              <w:tab w:val="right" w:leader="dot" w:pos="9010"/>
            </w:tabs>
            <w:rPr>
              <w:rFonts w:eastAsiaTheme="minorEastAsia" w:cstheme="minorBidi"/>
              <w:noProof/>
              <w:color w:val="auto"/>
              <w:sz w:val="24"/>
              <w:szCs w:val="24"/>
            </w:rPr>
          </w:pPr>
          <w:hyperlink w:anchor="_Toc517615259" w:history="1">
            <w:r w:rsidR="00491305" w:rsidRPr="00E03EB5">
              <w:rPr>
                <w:rStyle w:val="Hyperlink"/>
                <w:noProof/>
              </w:rPr>
              <w:t>Annex 6: Evaluation Questions</w:t>
            </w:r>
            <w:r w:rsidR="00491305">
              <w:rPr>
                <w:noProof/>
                <w:webHidden/>
              </w:rPr>
              <w:tab/>
            </w:r>
            <w:r w:rsidR="00491305">
              <w:rPr>
                <w:noProof/>
                <w:webHidden/>
              </w:rPr>
              <w:fldChar w:fldCharType="begin"/>
            </w:r>
            <w:r w:rsidR="00491305">
              <w:rPr>
                <w:noProof/>
                <w:webHidden/>
              </w:rPr>
              <w:instrText xml:space="preserve"> PAGEREF _Toc517615259 \h </w:instrText>
            </w:r>
            <w:r w:rsidR="00491305">
              <w:rPr>
                <w:noProof/>
                <w:webHidden/>
              </w:rPr>
            </w:r>
            <w:r w:rsidR="00491305">
              <w:rPr>
                <w:noProof/>
                <w:webHidden/>
              </w:rPr>
              <w:fldChar w:fldCharType="separate"/>
            </w:r>
            <w:r>
              <w:rPr>
                <w:noProof/>
                <w:webHidden/>
              </w:rPr>
              <w:t>70</w:t>
            </w:r>
            <w:r w:rsidR="00491305">
              <w:rPr>
                <w:noProof/>
                <w:webHidden/>
              </w:rPr>
              <w:fldChar w:fldCharType="end"/>
            </w:r>
          </w:hyperlink>
        </w:p>
        <w:p w14:paraId="6BE48B04" w14:textId="016DAAA2" w:rsidR="00491305" w:rsidRDefault="00416477">
          <w:pPr>
            <w:pStyle w:val="TOC2"/>
            <w:tabs>
              <w:tab w:val="right" w:leader="dot" w:pos="9010"/>
            </w:tabs>
            <w:rPr>
              <w:rFonts w:eastAsiaTheme="minorEastAsia" w:cstheme="minorBidi"/>
              <w:noProof/>
              <w:color w:val="auto"/>
              <w:sz w:val="24"/>
              <w:szCs w:val="24"/>
            </w:rPr>
          </w:pPr>
          <w:hyperlink w:anchor="_Toc517615260" w:history="1">
            <w:r w:rsidR="00491305" w:rsidRPr="00E03EB5">
              <w:rPr>
                <w:rStyle w:val="Hyperlink"/>
                <w:noProof/>
              </w:rPr>
              <w:t>Annex 7: List of people interviewed</w:t>
            </w:r>
            <w:r w:rsidR="00491305">
              <w:rPr>
                <w:noProof/>
                <w:webHidden/>
              </w:rPr>
              <w:tab/>
            </w:r>
            <w:r w:rsidR="00491305">
              <w:rPr>
                <w:noProof/>
                <w:webHidden/>
              </w:rPr>
              <w:fldChar w:fldCharType="begin"/>
            </w:r>
            <w:r w:rsidR="00491305">
              <w:rPr>
                <w:noProof/>
                <w:webHidden/>
              </w:rPr>
              <w:instrText xml:space="preserve"> PAGEREF _Toc517615260 \h </w:instrText>
            </w:r>
            <w:r w:rsidR="00491305">
              <w:rPr>
                <w:noProof/>
                <w:webHidden/>
              </w:rPr>
            </w:r>
            <w:r w:rsidR="00491305">
              <w:rPr>
                <w:noProof/>
                <w:webHidden/>
              </w:rPr>
              <w:fldChar w:fldCharType="separate"/>
            </w:r>
            <w:r>
              <w:rPr>
                <w:noProof/>
                <w:webHidden/>
              </w:rPr>
              <w:t>78</w:t>
            </w:r>
            <w:r w:rsidR="00491305">
              <w:rPr>
                <w:noProof/>
                <w:webHidden/>
              </w:rPr>
              <w:fldChar w:fldCharType="end"/>
            </w:r>
          </w:hyperlink>
        </w:p>
        <w:p w14:paraId="39B604BA" w14:textId="604673EE" w:rsidR="00491305" w:rsidRDefault="00416477">
          <w:pPr>
            <w:pStyle w:val="TOC2"/>
            <w:tabs>
              <w:tab w:val="right" w:leader="dot" w:pos="9010"/>
            </w:tabs>
            <w:rPr>
              <w:rFonts w:eastAsiaTheme="minorEastAsia" w:cstheme="minorBidi"/>
              <w:noProof/>
              <w:color w:val="auto"/>
              <w:sz w:val="24"/>
              <w:szCs w:val="24"/>
            </w:rPr>
          </w:pPr>
          <w:hyperlink w:anchor="_Toc517615261" w:history="1">
            <w:r w:rsidR="00491305" w:rsidRPr="00E03EB5">
              <w:rPr>
                <w:rStyle w:val="Hyperlink"/>
                <w:noProof/>
              </w:rPr>
              <w:t>Annex 8: Schedule of Meetings</w:t>
            </w:r>
            <w:r w:rsidR="00491305">
              <w:rPr>
                <w:noProof/>
                <w:webHidden/>
              </w:rPr>
              <w:tab/>
            </w:r>
            <w:r w:rsidR="00491305">
              <w:rPr>
                <w:noProof/>
                <w:webHidden/>
              </w:rPr>
              <w:fldChar w:fldCharType="begin"/>
            </w:r>
            <w:r w:rsidR="00491305">
              <w:rPr>
                <w:noProof/>
                <w:webHidden/>
              </w:rPr>
              <w:instrText xml:space="preserve"> PAGEREF _Toc517615261 \h </w:instrText>
            </w:r>
            <w:r w:rsidR="00491305">
              <w:rPr>
                <w:noProof/>
                <w:webHidden/>
              </w:rPr>
            </w:r>
            <w:r w:rsidR="00491305">
              <w:rPr>
                <w:noProof/>
                <w:webHidden/>
              </w:rPr>
              <w:fldChar w:fldCharType="separate"/>
            </w:r>
            <w:r>
              <w:rPr>
                <w:noProof/>
                <w:webHidden/>
              </w:rPr>
              <w:t>81</w:t>
            </w:r>
            <w:r w:rsidR="00491305">
              <w:rPr>
                <w:noProof/>
                <w:webHidden/>
              </w:rPr>
              <w:fldChar w:fldCharType="end"/>
            </w:r>
          </w:hyperlink>
        </w:p>
        <w:p w14:paraId="16E0192E" w14:textId="16F1F5DD" w:rsidR="00491305" w:rsidRDefault="00416477">
          <w:pPr>
            <w:pStyle w:val="TOC2"/>
            <w:tabs>
              <w:tab w:val="right" w:leader="dot" w:pos="9010"/>
            </w:tabs>
            <w:rPr>
              <w:rFonts w:eastAsiaTheme="minorEastAsia" w:cstheme="minorBidi"/>
              <w:noProof/>
              <w:color w:val="auto"/>
              <w:sz w:val="24"/>
              <w:szCs w:val="24"/>
            </w:rPr>
          </w:pPr>
          <w:hyperlink w:anchor="_Toc517615262" w:history="1">
            <w:r w:rsidR="00491305" w:rsidRPr="00E03EB5">
              <w:rPr>
                <w:rStyle w:val="Hyperlink"/>
                <w:noProof/>
              </w:rPr>
              <w:t>Annex 9: Strategic alignment</w:t>
            </w:r>
            <w:r w:rsidR="00491305">
              <w:rPr>
                <w:noProof/>
                <w:webHidden/>
              </w:rPr>
              <w:tab/>
            </w:r>
            <w:r w:rsidR="00491305">
              <w:rPr>
                <w:noProof/>
                <w:webHidden/>
              </w:rPr>
              <w:fldChar w:fldCharType="begin"/>
            </w:r>
            <w:r w:rsidR="00491305">
              <w:rPr>
                <w:noProof/>
                <w:webHidden/>
              </w:rPr>
              <w:instrText xml:space="preserve"> PAGEREF _Toc517615262 \h </w:instrText>
            </w:r>
            <w:r w:rsidR="00491305">
              <w:rPr>
                <w:noProof/>
                <w:webHidden/>
              </w:rPr>
            </w:r>
            <w:r w:rsidR="00491305">
              <w:rPr>
                <w:noProof/>
                <w:webHidden/>
              </w:rPr>
              <w:fldChar w:fldCharType="separate"/>
            </w:r>
            <w:r>
              <w:rPr>
                <w:noProof/>
                <w:webHidden/>
              </w:rPr>
              <w:t>83</w:t>
            </w:r>
            <w:r w:rsidR="00491305">
              <w:rPr>
                <w:noProof/>
                <w:webHidden/>
              </w:rPr>
              <w:fldChar w:fldCharType="end"/>
            </w:r>
          </w:hyperlink>
        </w:p>
        <w:p w14:paraId="2E32C9BC" w14:textId="38C3739B" w:rsidR="00491305" w:rsidRDefault="00416477">
          <w:pPr>
            <w:pStyle w:val="TOC2"/>
            <w:tabs>
              <w:tab w:val="right" w:leader="dot" w:pos="9010"/>
            </w:tabs>
            <w:rPr>
              <w:rFonts w:eastAsiaTheme="minorEastAsia" w:cstheme="minorBidi"/>
              <w:noProof/>
              <w:color w:val="auto"/>
              <w:sz w:val="24"/>
              <w:szCs w:val="24"/>
            </w:rPr>
          </w:pPr>
          <w:hyperlink w:anchor="_Toc517615263" w:history="1">
            <w:r w:rsidR="00491305" w:rsidRPr="00E03EB5">
              <w:rPr>
                <w:rStyle w:val="Hyperlink"/>
                <w:noProof/>
              </w:rPr>
              <w:t>Annex 10: Analysis of selected IFG and SARTFP projects</w:t>
            </w:r>
            <w:r w:rsidR="00491305">
              <w:rPr>
                <w:noProof/>
                <w:webHidden/>
              </w:rPr>
              <w:tab/>
            </w:r>
            <w:r w:rsidR="00491305">
              <w:rPr>
                <w:noProof/>
                <w:webHidden/>
              </w:rPr>
              <w:fldChar w:fldCharType="begin"/>
            </w:r>
            <w:r w:rsidR="00491305">
              <w:rPr>
                <w:noProof/>
                <w:webHidden/>
              </w:rPr>
              <w:instrText xml:space="preserve"> PAGEREF _Toc517615263 \h </w:instrText>
            </w:r>
            <w:r w:rsidR="00491305">
              <w:rPr>
                <w:noProof/>
                <w:webHidden/>
              </w:rPr>
            </w:r>
            <w:r w:rsidR="00491305">
              <w:rPr>
                <w:noProof/>
                <w:webHidden/>
              </w:rPr>
              <w:fldChar w:fldCharType="separate"/>
            </w:r>
            <w:r>
              <w:rPr>
                <w:noProof/>
                <w:webHidden/>
              </w:rPr>
              <w:t>85</w:t>
            </w:r>
            <w:r w:rsidR="00491305">
              <w:rPr>
                <w:noProof/>
                <w:webHidden/>
              </w:rPr>
              <w:fldChar w:fldCharType="end"/>
            </w:r>
          </w:hyperlink>
        </w:p>
        <w:p w14:paraId="3C147E22" w14:textId="77777777" w:rsidR="00ED0E27" w:rsidRPr="00166A23" w:rsidRDefault="00A0271D" w:rsidP="00F21795">
          <w:r>
            <w:fldChar w:fldCharType="end"/>
          </w:r>
        </w:p>
      </w:sdtContent>
    </w:sdt>
    <w:p w14:paraId="7937C167" w14:textId="77777777" w:rsidR="00ED0E27" w:rsidRPr="00166A23" w:rsidRDefault="00ED0E27" w:rsidP="00F21795">
      <w:pPr>
        <w:rPr>
          <w:rFonts w:eastAsiaTheme="majorEastAsia" w:cstheme="majorBidi"/>
          <w:color w:val="C00000"/>
          <w:sz w:val="32"/>
          <w:szCs w:val="32"/>
        </w:rPr>
      </w:pPr>
      <w:r w:rsidRPr="00166A23">
        <w:br w:type="page"/>
      </w:r>
    </w:p>
    <w:p w14:paraId="6B039190" w14:textId="77777777" w:rsidR="00B746DD" w:rsidRDefault="00B746DD" w:rsidP="00F21795">
      <w:pPr>
        <w:pStyle w:val="Heading3"/>
        <w:rPr>
          <w:sz w:val="24"/>
        </w:rPr>
      </w:pPr>
      <w:r>
        <w:lastRenderedPageBreak/>
        <w:t xml:space="preserve">Abbreviations and Acronyms </w:t>
      </w:r>
    </w:p>
    <w:p w14:paraId="02F438FA" w14:textId="77777777" w:rsidR="00B746DD" w:rsidRDefault="00B746DD" w:rsidP="00F21795"/>
    <w:tbl>
      <w:tblPr>
        <w:tblStyle w:val="PlainTable11"/>
        <w:tblpPr w:leftFromText="180" w:rightFromText="180" w:horzAnchor="page" w:tblpX="1630" w:tblpY="7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7482"/>
      </w:tblGrid>
      <w:tr w:rsidR="0092235E" w:rsidRPr="00AD4ABB" w14:paraId="5E386D08" w14:textId="77777777">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6E3A8571" w14:textId="77777777" w:rsidR="0092235E" w:rsidRPr="00730B7E" w:rsidRDefault="0092235E" w:rsidP="00F65774">
            <w:r w:rsidRPr="00730B7E">
              <w:t xml:space="preserve">ADB </w:t>
            </w:r>
          </w:p>
        </w:tc>
        <w:tc>
          <w:tcPr>
            <w:tcW w:w="7482" w:type="dxa"/>
            <w:vAlign w:val="center"/>
          </w:tcPr>
          <w:p w14:paraId="561E29DA" w14:textId="77777777" w:rsidR="0092235E" w:rsidRPr="00730B7E" w:rsidRDefault="0092235E" w:rsidP="007D1047">
            <w:pPr>
              <w:cnfStyle w:val="100000000000" w:firstRow="1" w:lastRow="0" w:firstColumn="0" w:lastColumn="0" w:oddVBand="0" w:evenVBand="0" w:oddHBand="0" w:evenHBand="0" w:firstRowFirstColumn="0" w:firstRowLastColumn="0" w:lastRowFirstColumn="0" w:lastRowLastColumn="0"/>
            </w:pPr>
            <w:r w:rsidRPr="00730B7E">
              <w:t>Asian Development Bank</w:t>
            </w:r>
          </w:p>
        </w:tc>
      </w:tr>
      <w:tr w:rsidR="0092235E" w:rsidRPr="00AD4ABB" w14:paraId="1575DDE4"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35BBA7C5" w14:textId="77777777" w:rsidR="0092235E" w:rsidRPr="00730B7E" w:rsidRDefault="0092235E" w:rsidP="00F65774">
            <w:r w:rsidRPr="00730B7E">
              <w:t xml:space="preserve">AIIB </w:t>
            </w:r>
          </w:p>
        </w:tc>
        <w:tc>
          <w:tcPr>
            <w:tcW w:w="7482" w:type="dxa"/>
            <w:vAlign w:val="center"/>
          </w:tcPr>
          <w:p w14:paraId="7B1FFE90" w14:textId="77777777" w:rsidR="0092235E" w:rsidRPr="00AD4ABB" w:rsidRDefault="0092235E" w:rsidP="007D1047">
            <w:pPr>
              <w:cnfStyle w:val="000000100000" w:firstRow="0" w:lastRow="0" w:firstColumn="0" w:lastColumn="0" w:oddVBand="0" w:evenVBand="0" w:oddHBand="1" w:evenHBand="0" w:firstRowFirstColumn="0" w:firstRowLastColumn="0" w:lastRowFirstColumn="0" w:lastRowLastColumn="0"/>
            </w:pPr>
            <w:r w:rsidRPr="00AD4ABB">
              <w:t>Asian Infrastructure Investment Bank</w:t>
            </w:r>
          </w:p>
        </w:tc>
      </w:tr>
      <w:tr w:rsidR="0092235E" w:rsidRPr="00AD4ABB" w14:paraId="3367B94E" w14:textId="77777777">
        <w:trPr>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65CE25CE" w14:textId="77777777" w:rsidR="0092235E" w:rsidRPr="00730B7E" w:rsidRDefault="0092235E" w:rsidP="00F65774">
            <w:r w:rsidRPr="00730B7E">
              <w:t xml:space="preserve">AQC </w:t>
            </w:r>
          </w:p>
        </w:tc>
        <w:tc>
          <w:tcPr>
            <w:tcW w:w="7482" w:type="dxa"/>
            <w:vAlign w:val="center"/>
          </w:tcPr>
          <w:p w14:paraId="308D2F98" w14:textId="77777777" w:rsidR="0092235E" w:rsidRPr="00AD4ABB" w:rsidRDefault="0092235E" w:rsidP="007D1047">
            <w:pPr>
              <w:cnfStyle w:val="000000000000" w:firstRow="0" w:lastRow="0" w:firstColumn="0" w:lastColumn="0" w:oddVBand="0" w:evenVBand="0" w:oddHBand="0" w:evenHBand="0" w:firstRowFirstColumn="0" w:firstRowLastColumn="0" w:lastRowFirstColumn="0" w:lastRowLastColumn="0"/>
            </w:pPr>
            <w:r w:rsidRPr="00AD4ABB">
              <w:t>Aid Quality Check</w:t>
            </w:r>
          </w:p>
        </w:tc>
      </w:tr>
      <w:tr w:rsidR="0092235E" w:rsidRPr="00AD4ABB" w14:paraId="5F1A6616"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2D3CAC12" w14:textId="77777777" w:rsidR="0092235E" w:rsidRPr="00730B7E" w:rsidRDefault="0092235E" w:rsidP="00F65774">
            <w:r w:rsidRPr="00730B7E">
              <w:t xml:space="preserve">ASEAN </w:t>
            </w:r>
          </w:p>
        </w:tc>
        <w:tc>
          <w:tcPr>
            <w:tcW w:w="7482" w:type="dxa"/>
            <w:vAlign w:val="center"/>
          </w:tcPr>
          <w:p w14:paraId="0BA1F400" w14:textId="77777777" w:rsidR="0092235E" w:rsidRPr="00AD4ABB" w:rsidRDefault="0092235E" w:rsidP="007D1047">
            <w:pPr>
              <w:cnfStyle w:val="000000100000" w:firstRow="0" w:lastRow="0" w:firstColumn="0" w:lastColumn="0" w:oddVBand="0" w:evenVBand="0" w:oddHBand="1" w:evenHBand="0" w:firstRowFirstColumn="0" w:firstRowLastColumn="0" w:lastRowFirstColumn="0" w:lastRowLastColumn="0"/>
            </w:pPr>
            <w:r w:rsidRPr="00AD4ABB">
              <w:t>Association of Southeast Asian Nations</w:t>
            </w:r>
          </w:p>
        </w:tc>
      </w:tr>
      <w:tr w:rsidR="0092235E" w:rsidRPr="00AD4ABB" w14:paraId="1AB75886" w14:textId="77777777">
        <w:trPr>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12CB3BC7" w14:textId="77777777" w:rsidR="0092235E" w:rsidRPr="00730B7E" w:rsidRDefault="0092235E" w:rsidP="00F65774">
            <w:r w:rsidRPr="00730B7E">
              <w:t xml:space="preserve">BBIN </w:t>
            </w:r>
          </w:p>
        </w:tc>
        <w:tc>
          <w:tcPr>
            <w:tcW w:w="7482" w:type="dxa"/>
            <w:vAlign w:val="center"/>
          </w:tcPr>
          <w:p w14:paraId="19C0F658" w14:textId="77777777" w:rsidR="0092235E" w:rsidRPr="00AD4ABB" w:rsidRDefault="0092235E" w:rsidP="007D1047">
            <w:pPr>
              <w:cnfStyle w:val="000000000000" w:firstRow="0" w:lastRow="0" w:firstColumn="0" w:lastColumn="0" w:oddVBand="0" w:evenVBand="0" w:oddHBand="0" w:evenHBand="0" w:firstRowFirstColumn="0" w:firstRowLastColumn="0" w:lastRowFirstColumn="0" w:lastRowLastColumn="0"/>
            </w:pPr>
            <w:r w:rsidRPr="00AD4ABB">
              <w:t>Bangladesh, Bhutan, India, Nepal</w:t>
            </w:r>
          </w:p>
        </w:tc>
      </w:tr>
      <w:tr w:rsidR="0092235E" w:rsidRPr="00AD4ABB" w14:paraId="47A91147"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06CBDC42" w14:textId="77777777" w:rsidR="0092235E" w:rsidRPr="00730B7E" w:rsidRDefault="0092235E" w:rsidP="00F65774">
            <w:r w:rsidRPr="00730B7E">
              <w:t xml:space="preserve">CSOs </w:t>
            </w:r>
          </w:p>
        </w:tc>
        <w:tc>
          <w:tcPr>
            <w:tcW w:w="7482" w:type="dxa"/>
            <w:vAlign w:val="center"/>
          </w:tcPr>
          <w:p w14:paraId="55CD7FB4" w14:textId="77777777" w:rsidR="0092235E" w:rsidRPr="00AD4ABB" w:rsidRDefault="0092235E" w:rsidP="007D1047">
            <w:pPr>
              <w:cnfStyle w:val="000000100000" w:firstRow="0" w:lastRow="0" w:firstColumn="0" w:lastColumn="0" w:oddVBand="0" w:evenVBand="0" w:oddHBand="1" w:evenHBand="0" w:firstRowFirstColumn="0" w:firstRowLastColumn="0" w:lastRowFirstColumn="0" w:lastRowLastColumn="0"/>
            </w:pPr>
            <w:r w:rsidRPr="00AD4ABB">
              <w:t>Civil Society Organisations</w:t>
            </w:r>
          </w:p>
        </w:tc>
      </w:tr>
      <w:tr w:rsidR="0092235E" w:rsidRPr="00AD4ABB" w14:paraId="1A163BF4" w14:textId="77777777">
        <w:trPr>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3C08B86B" w14:textId="77777777" w:rsidR="0092235E" w:rsidRPr="00730B7E" w:rsidRDefault="0092235E" w:rsidP="00F65774">
            <w:r w:rsidRPr="00730B7E">
              <w:t xml:space="preserve">DFAT </w:t>
            </w:r>
          </w:p>
        </w:tc>
        <w:tc>
          <w:tcPr>
            <w:tcW w:w="7482" w:type="dxa"/>
            <w:vAlign w:val="center"/>
          </w:tcPr>
          <w:p w14:paraId="3597C2BA" w14:textId="77777777" w:rsidR="0092235E" w:rsidRPr="00AD4ABB" w:rsidRDefault="0092235E" w:rsidP="007D1047">
            <w:pPr>
              <w:cnfStyle w:val="000000000000" w:firstRow="0" w:lastRow="0" w:firstColumn="0" w:lastColumn="0" w:oddVBand="0" w:evenVBand="0" w:oddHBand="0" w:evenHBand="0" w:firstRowFirstColumn="0" w:firstRowLastColumn="0" w:lastRowFirstColumn="0" w:lastRowLastColumn="0"/>
            </w:pPr>
            <w:r w:rsidRPr="00AD4ABB">
              <w:t>Department of Foreign Affairs and Trade</w:t>
            </w:r>
          </w:p>
        </w:tc>
      </w:tr>
      <w:tr w:rsidR="0092235E" w:rsidRPr="00AD4ABB" w14:paraId="744CFBC3"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6206C612" w14:textId="1F0A2596" w:rsidR="0092235E" w:rsidRPr="00730B7E" w:rsidRDefault="0092235E" w:rsidP="00F65774">
            <w:pPr>
              <w:rPr>
                <w:lang w:val="en-AU"/>
              </w:rPr>
            </w:pPr>
            <w:r w:rsidRPr="00730B7E">
              <w:t>D</w:t>
            </w:r>
            <w:r w:rsidR="00EF05D5">
              <w:t>fI</w:t>
            </w:r>
            <w:r w:rsidRPr="00730B7E">
              <w:t xml:space="preserve">D </w:t>
            </w:r>
          </w:p>
        </w:tc>
        <w:tc>
          <w:tcPr>
            <w:tcW w:w="7482" w:type="dxa"/>
            <w:vAlign w:val="center"/>
          </w:tcPr>
          <w:p w14:paraId="38E996DA" w14:textId="77777777" w:rsidR="0092235E" w:rsidRPr="00AD4ABB" w:rsidRDefault="0092235E" w:rsidP="007D1047">
            <w:pPr>
              <w:cnfStyle w:val="000000100000" w:firstRow="0" w:lastRow="0" w:firstColumn="0" w:lastColumn="0" w:oddVBand="0" w:evenVBand="0" w:oddHBand="1" w:evenHBand="0" w:firstRowFirstColumn="0" w:firstRowLastColumn="0" w:lastRowFirstColumn="0" w:lastRowLastColumn="0"/>
            </w:pPr>
            <w:r w:rsidRPr="00AD4ABB">
              <w:rPr>
                <w:lang w:val="en-AU"/>
              </w:rPr>
              <w:t>Department for International Development (UK)</w:t>
            </w:r>
          </w:p>
        </w:tc>
      </w:tr>
      <w:tr w:rsidR="0092235E" w:rsidRPr="00AD4ABB" w14:paraId="7290CEFA" w14:textId="77777777">
        <w:trPr>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48636E7C" w14:textId="77777777" w:rsidR="0092235E" w:rsidRPr="00730B7E" w:rsidRDefault="0092235E" w:rsidP="00F65774">
            <w:pPr>
              <w:rPr>
                <w:lang w:val="en-AU"/>
              </w:rPr>
            </w:pPr>
            <w:r w:rsidRPr="00730B7E">
              <w:rPr>
                <w:lang w:val="en-AU"/>
              </w:rPr>
              <w:t xml:space="preserve">DSC </w:t>
            </w:r>
          </w:p>
        </w:tc>
        <w:tc>
          <w:tcPr>
            <w:tcW w:w="7482" w:type="dxa"/>
            <w:vAlign w:val="center"/>
          </w:tcPr>
          <w:p w14:paraId="2992749F" w14:textId="77777777" w:rsidR="0092235E" w:rsidRPr="00AD4ABB" w:rsidRDefault="0092235E" w:rsidP="007D1047">
            <w:pPr>
              <w:cnfStyle w:val="000000000000" w:firstRow="0" w:lastRow="0" w:firstColumn="0" w:lastColumn="0" w:oddVBand="0" w:evenVBand="0" w:oddHBand="0" w:evenHBand="0" w:firstRowFirstColumn="0" w:firstRowLastColumn="0" w:lastRowFirstColumn="0" w:lastRowLastColumn="0"/>
            </w:pPr>
            <w:r w:rsidRPr="00AD4ABB">
              <w:rPr>
                <w:lang w:val="en-AU"/>
              </w:rPr>
              <w:t>Donor Steering Committee</w:t>
            </w:r>
          </w:p>
        </w:tc>
      </w:tr>
      <w:tr w:rsidR="0092235E" w:rsidRPr="00AD4ABB" w14:paraId="3D438C62"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38613725" w14:textId="77777777" w:rsidR="0092235E" w:rsidRPr="00730B7E" w:rsidRDefault="0092235E" w:rsidP="00F65774">
            <w:pPr>
              <w:rPr>
                <w:lang w:val="en-AU"/>
              </w:rPr>
            </w:pPr>
            <w:r w:rsidRPr="00730B7E">
              <w:rPr>
                <w:lang w:val="en-AU"/>
              </w:rPr>
              <w:t xml:space="preserve">GP </w:t>
            </w:r>
          </w:p>
        </w:tc>
        <w:tc>
          <w:tcPr>
            <w:tcW w:w="7482" w:type="dxa"/>
            <w:vAlign w:val="center"/>
          </w:tcPr>
          <w:p w14:paraId="048D56B2" w14:textId="77777777" w:rsidR="0092235E" w:rsidRPr="00AD4ABB" w:rsidRDefault="0092235E" w:rsidP="007D1047">
            <w:pPr>
              <w:cnfStyle w:val="000000100000" w:firstRow="0" w:lastRow="0" w:firstColumn="0" w:lastColumn="0" w:oddVBand="0" w:evenVBand="0" w:oddHBand="1" w:evenHBand="0" w:firstRowFirstColumn="0" w:firstRowLastColumn="0" w:lastRowFirstColumn="0" w:lastRowLastColumn="0"/>
            </w:pPr>
            <w:r w:rsidRPr="00AD4ABB">
              <w:rPr>
                <w:lang w:val="en-AU"/>
              </w:rPr>
              <w:t>Global Practice</w:t>
            </w:r>
          </w:p>
        </w:tc>
      </w:tr>
      <w:tr w:rsidR="0092235E" w:rsidRPr="00AD4ABB" w14:paraId="5611323F" w14:textId="77777777">
        <w:trPr>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636D5B66" w14:textId="77777777" w:rsidR="0092235E" w:rsidRPr="00730B7E" w:rsidRDefault="0092235E" w:rsidP="00F65774">
            <w:r w:rsidRPr="00730B7E">
              <w:rPr>
                <w:lang w:val="en-AU"/>
              </w:rPr>
              <w:t xml:space="preserve">ICRIER </w:t>
            </w:r>
          </w:p>
        </w:tc>
        <w:tc>
          <w:tcPr>
            <w:tcW w:w="7482" w:type="dxa"/>
            <w:vAlign w:val="center"/>
          </w:tcPr>
          <w:p w14:paraId="7558430D" w14:textId="77777777" w:rsidR="0092235E" w:rsidRPr="00AD4ABB" w:rsidRDefault="0092235E" w:rsidP="007D1047">
            <w:pPr>
              <w:cnfStyle w:val="000000000000" w:firstRow="0" w:lastRow="0" w:firstColumn="0" w:lastColumn="0" w:oddVBand="0" w:evenVBand="0" w:oddHBand="0" w:evenHBand="0" w:firstRowFirstColumn="0" w:firstRowLastColumn="0" w:lastRowFirstColumn="0" w:lastRowLastColumn="0"/>
            </w:pPr>
            <w:r w:rsidRPr="00AD4ABB">
              <w:rPr>
                <w:lang w:val="en-AU"/>
              </w:rPr>
              <w:t>Indian Council for Research on International Economic Relations</w:t>
            </w:r>
          </w:p>
        </w:tc>
      </w:tr>
      <w:tr w:rsidR="0092235E" w:rsidRPr="00AD4ABB" w14:paraId="6CAF3F31"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6CC183B6" w14:textId="77777777" w:rsidR="0092235E" w:rsidRPr="00730B7E" w:rsidRDefault="0092235E" w:rsidP="00F65774">
            <w:r w:rsidRPr="00730B7E">
              <w:t xml:space="preserve">IFG </w:t>
            </w:r>
          </w:p>
        </w:tc>
        <w:tc>
          <w:tcPr>
            <w:tcW w:w="7482" w:type="dxa"/>
            <w:vAlign w:val="center"/>
          </w:tcPr>
          <w:p w14:paraId="56E6BB60" w14:textId="77777777" w:rsidR="0092235E" w:rsidRPr="00AD4ABB" w:rsidRDefault="0092235E" w:rsidP="007D1047">
            <w:pPr>
              <w:cnfStyle w:val="000000100000" w:firstRow="0" w:lastRow="0" w:firstColumn="0" w:lastColumn="0" w:oddVBand="0" w:evenVBand="0" w:oddHBand="1" w:evenHBand="0" w:firstRowFirstColumn="0" w:firstRowLastColumn="0" w:lastRowFirstColumn="0" w:lastRowLastColumn="0"/>
            </w:pPr>
            <w:r w:rsidRPr="00AD4ABB">
              <w:t>Infrastructure for Growth</w:t>
            </w:r>
          </w:p>
        </w:tc>
      </w:tr>
      <w:tr w:rsidR="0092235E" w:rsidRPr="00AD4ABB" w14:paraId="451C42A3" w14:textId="77777777">
        <w:trPr>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1A183B88" w14:textId="77777777" w:rsidR="0092235E" w:rsidRPr="00730B7E" w:rsidRDefault="0092235E" w:rsidP="00F65774">
            <w:r w:rsidRPr="00730B7E">
              <w:t xml:space="preserve">IRC </w:t>
            </w:r>
          </w:p>
        </w:tc>
        <w:tc>
          <w:tcPr>
            <w:tcW w:w="7482" w:type="dxa"/>
            <w:vAlign w:val="center"/>
          </w:tcPr>
          <w:p w14:paraId="2EB08648" w14:textId="77777777" w:rsidR="0092235E" w:rsidRPr="00AD4ABB" w:rsidRDefault="0092235E" w:rsidP="007D1047">
            <w:pPr>
              <w:cnfStyle w:val="000000000000" w:firstRow="0" w:lastRow="0" w:firstColumn="0" w:lastColumn="0" w:oddVBand="0" w:evenVBand="0" w:oddHBand="0" w:evenHBand="0" w:firstRowFirstColumn="0" w:firstRowLastColumn="0" w:lastRowFirstColumn="0" w:lastRowLastColumn="0"/>
            </w:pPr>
            <w:r w:rsidRPr="00AD4ABB">
              <w:t>Internal Review Committee</w:t>
            </w:r>
          </w:p>
        </w:tc>
      </w:tr>
      <w:tr w:rsidR="0092235E" w:rsidRPr="00AD4ABB" w14:paraId="34DAD404"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68352FD1" w14:textId="77777777" w:rsidR="0092235E" w:rsidRPr="00730B7E" w:rsidRDefault="0092235E" w:rsidP="00F65774">
            <w:r w:rsidRPr="00730B7E">
              <w:t xml:space="preserve">JICA </w:t>
            </w:r>
          </w:p>
        </w:tc>
        <w:tc>
          <w:tcPr>
            <w:tcW w:w="7482" w:type="dxa"/>
            <w:vAlign w:val="center"/>
          </w:tcPr>
          <w:p w14:paraId="5B786580" w14:textId="77777777" w:rsidR="0092235E" w:rsidRPr="00AD4ABB" w:rsidRDefault="0092235E" w:rsidP="007D1047">
            <w:pPr>
              <w:cnfStyle w:val="000000100000" w:firstRow="0" w:lastRow="0" w:firstColumn="0" w:lastColumn="0" w:oddVBand="0" w:evenVBand="0" w:oddHBand="1" w:evenHBand="0" w:firstRowFirstColumn="0" w:firstRowLastColumn="0" w:lastRowFirstColumn="0" w:lastRowLastColumn="0"/>
            </w:pPr>
            <w:r w:rsidRPr="00AD4ABB">
              <w:t>Japan International C</w:t>
            </w:r>
            <w:r>
              <w:t>ooperation</w:t>
            </w:r>
            <w:r w:rsidRPr="00AD4ABB">
              <w:t xml:space="preserve"> Agency</w:t>
            </w:r>
          </w:p>
        </w:tc>
      </w:tr>
      <w:tr w:rsidR="0092235E" w:rsidRPr="00AD4ABB" w14:paraId="2C135A7C" w14:textId="77777777">
        <w:trPr>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4A04623D" w14:textId="77777777" w:rsidR="0092235E" w:rsidRPr="00730B7E" w:rsidRDefault="0092235E" w:rsidP="00F65774">
            <w:r w:rsidRPr="00730B7E">
              <w:t>MoU</w:t>
            </w:r>
          </w:p>
        </w:tc>
        <w:tc>
          <w:tcPr>
            <w:tcW w:w="7482" w:type="dxa"/>
            <w:vAlign w:val="center"/>
          </w:tcPr>
          <w:p w14:paraId="25398E43" w14:textId="77777777" w:rsidR="0092235E" w:rsidRPr="00AD4ABB" w:rsidRDefault="0092235E" w:rsidP="007D1047">
            <w:pPr>
              <w:cnfStyle w:val="000000000000" w:firstRow="0" w:lastRow="0" w:firstColumn="0" w:lastColumn="0" w:oddVBand="0" w:evenVBand="0" w:oddHBand="0" w:evenHBand="0" w:firstRowFirstColumn="0" w:firstRowLastColumn="0" w:lastRowFirstColumn="0" w:lastRowLastColumn="0"/>
            </w:pPr>
            <w:r w:rsidRPr="00AD4ABB">
              <w:t>Memorandum of Understanding</w:t>
            </w:r>
          </w:p>
        </w:tc>
      </w:tr>
      <w:tr w:rsidR="0092235E" w:rsidRPr="00AD4ABB" w14:paraId="52D408E1"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7D831F16" w14:textId="77777777" w:rsidR="0092235E" w:rsidRPr="00730B7E" w:rsidRDefault="0092235E" w:rsidP="00F65774">
            <w:r w:rsidRPr="00730B7E">
              <w:t>MTO</w:t>
            </w:r>
          </w:p>
        </w:tc>
        <w:tc>
          <w:tcPr>
            <w:tcW w:w="7482" w:type="dxa"/>
            <w:vAlign w:val="center"/>
          </w:tcPr>
          <w:p w14:paraId="2A4C793E" w14:textId="77777777" w:rsidR="0092235E" w:rsidRPr="00AD4ABB" w:rsidRDefault="0092235E" w:rsidP="007D1047">
            <w:pPr>
              <w:cnfStyle w:val="000000100000" w:firstRow="0" w:lastRow="0" w:firstColumn="0" w:lastColumn="0" w:oddVBand="0" w:evenVBand="0" w:oddHBand="1" w:evenHBand="0" w:firstRowFirstColumn="0" w:firstRowLastColumn="0" w:lastRowFirstColumn="0" w:lastRowLastColumn="0"/>
            </w:pPr>
            <w:r w:rsidRPr="00AD4ABB">
              <w:t>Medium-Term Outcomes</w:t>
            </w:r>
          </w:p>
        </w:tc>
      </w:tr>
      <w:tr w:rsidR="0092235E" w:rsidRPr="00AD4ABB" w14:paraId="163475D0" w14:textId="77777777">
        <w:trPr>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2B6572E9" w14:textId="77777777" w:rsidR="0092235E" w:rsidRPr="00730B7E" w:rsidRDefault="0092235E" w:rsidP="00F65774">
            <w:r w:rsidRPr="00730B7E">
              <w:t>ODA</w:t>
            </w:r>
          </w:p>
        </w:tc>
        <w:tc>
          <w:tcPr>
            <w:tcW w:w="7482" w:type="dxa"/>
            <w:vAlign w:val="center"/>
          </w:tcPr>
          <w:p w14:paraId="6DF61FF2" w14:textId="77777777" w:rsidR="0092235E" w:rsidRPr="00730B7E" w:rsidRDefault="0092235E" w:rsidP="007D1047">
            <w:pPr>
              <w:cnfStyle w:val="000000000000" w:firstRow="0" w:lastRow="0" w:firstColumn="0" w:lastColumn="0" w:oddVBand="0" w:evenVBand="0" w:oddHBand="0" w:evenHBand="0" w:firstRowFirstColumn="0" w:firstRowLastColumn="0" w:lastRowFirstColumn="0" w:lastRowLastColumn="0"/>
            </w:pPr>
            <w:r w:rsidRPr="00AD4ABB">
              <w:t>Official Development Assistance</w:t>
            </w:r>
          </w:p>
        </w:tc>
      </w:tr>
      <w:tr w:rsidR="0092235E" w:rsidRPr="00AD4ABB" w14:paraId="1AA0F080"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75985971" w14:textId="77777777" w:rsidR="0092235E" w:rsidRPr="00730B7E" w:rsidRDefault="0092235E" w:rsidP="00F65774">
            <w:r w:rsidRPr="00730B7E">
              <w:t>OECD</w:t>
            </w:r>
          </w:p>
        </w:tc>
        <w:tc>
          <w:tcPr>
            <w:tcW w:w="7482" w:type="dxa"/>
            <w:vAlign w:val="center"/>
          </w:tcPr>
          <w:p w14:paraId="70AC3CAF" w14:textId="77777777" w:rsidR="0092235E" w:rsidRPr="00730B7E" w:rsidRDefault="0092235E" w:rsidP="007D1047">
            <w:pPr>
              <w:cnfStyle w:val="000000100000" w:firstRow="0" w:lastRow="0" w:firstColumn="0" w:lastColumn="0" w:oddVBand="0" w:evenVBand="0" w:oddHBand="1" w:evenHBand="0" w:firstRowFirstColumn="0" w:firstRowLastColumn="0" w:lastRowFirstColumn="0" w:lastRowLastColumn="0"/>
            </w:pPr>
            <w:r w:rsidRPr="00AD4ABB">
              <w:t>Organisation for Economic Co-operation and Development</w:t>
            </w:r>
          </w:p>
        </w:tc>
      </w:tr>
      <w:tr w:rsidR="0092235E" w:rsidRPr="00AD4ABB" w14:paraId="047840CC" w14:textId="77777777">
        <w:trPr>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2B3719C5" w14:textId="77777777" w:rsidR="0092235E" w:rsidRPr="00730B7E" w:rsidRDefault="0092235E" w:rsidP="00F65774">
            <w:r w:rsidRPr="00730B7E">
              <w:t>PFSA</w:t>
            </w:r>
          </w:p>
        </w:tc>
        <w:tc>
          <w:tcPr>
            <w:tcW w:w="7482" w:type="dxa"/>
            <w:vAlign w:val="center"/>
          </w:tcPr>
          <w:p w14:paraId="7BE4680A" w14:textId="77777777" w:rsidR="0092235E" w:rsidRPr="00730B7E" w:rsidRDefault="0092235E" w:rsidP="007D1047">
            <w:pPr>
              <w:cnfStyle w:val="000000000000" w:firstRow="0" w:lastRow="0" w:firstColumn="0" w:lastColumn="0" w:oddVBand="0" w:evenVBand="0" w:oddHBand="0" w:evenHBand="0" w:firstRowFirstColumn="0" w:firstRowLastColumn="0" w:lastRowFirstColumn="0" w:lastRowLastColumn="0"/>
            </w:pPr>
            <w:r w:rsidRPr="00AD4ABB">
              <w:t>Partnership for South Asia Trust Fund</w:t>
            </w:r>
          </w:p>
        </w:tc>
      </w:tr>
      <w:tr w:rsidR="0092235E" w:rsidRPr="00AD4ABB" w14:paraId="5A48C99C"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145A7AA6" w14:textId="77777777" w:rsidR="0092235E" w:rsidRPr="00730B7E" w:rsidRDefault="0092235E" w:rsidP="00F65774">
            <w:r w:rsidRPr="00730B7E">
              <w:t>RGAP</w:t>
            </w:r>
          </w:p>
        </w:tc>
        <w:tc>
          <w:tcPr>
            <w:tcW w:w="7482" w:type="dxa"/>
            <w:vAlign w:val="center"/>
          </w:tcPr>
          <w:p w14:paraId="6E1FF00B" w14:textId="77777777" w:rsidR="0092235E" w:rsidRPr="00730B7E" w:rsidRDefault="0092235E" w:rsidP="007D1047">
            <w:pPr>
              <w:cnfStyle w:val="000000100000" w:firstRow="0" w:lastRow="0" w:firstColumn="0" w:lastColumn="0" w:oddVBand="0" w:evenVBand="0" w:oddHBand="1" w:evenHBand="0" w:firstRowFirstColumn="0" w:firstRowLastColumn="0" w:lastRowFirstColumn="0" w:lastRowLastColumn="0"/>
            </w:pPr>
            <w:r w:rsidRPr="00AD4ABB">
              <w:t>Regional Gender Action Plan</w:t>
            </w:r>
          </w:p>
        </w:tc>
      </w:tr>
      <w:tr w:rsidR="0092235E" w:rsidRPr="00AD4ABB" w14:paraId="352C0A6C" w14:textId="77777777">
        <w:trPr>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356B4A00" w14:textId="77777777" w:rsidR="0092235E" w:rsidRPr="00730B7E" w:rsidRDefault="0092235E" w:rsidP="00F65774">
            <w:r w:rsidRPr="00730B7E">
              <w:t>RF</w:t>
            </w:r>
          </w:p>
        </w:tc>
        <w:tc>
          <w:tcPr>
            <w:tcW w:w="7482" w:type="dxa"/>
            <w:vAlign w:val="center"/>
          </w:tcPr>
          <w:p w14:paraId="7002C427" w14:textId="77777777" w:rsidR="0092235E" w:rsidRPr="00AD4ABB" w:rsidRDefault="0092235E" w:rsidP="007D1047">
            <w:pPr>
              <w:cnfStyle w:val="000000000000" w:firstRow="0" w:lastRow="0" w:firstColumn="0" w:lastColumn="0" w:oddVBand="0" w:evenVBand="0" w:oddHBand="0" w:evenHBand="0" w:firstRowFirstColumn="0" w:firstRowLastColumn="0" w:lastRowFirstColumn="0" w:lastRowLastColumn="0"/>
            </w:pPr>
            <w:r w:rsidRPr="00AD4ABB">
              <w:t>Results Framework</w:t>
            </w:r>
          </w:p>
        </w:tc>
      </w:tr>
      <w:tr w:rsidR="0092235E" w:rsidRPr="00AD4ABB" w14:paraId="0886F614"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7598AD9E" w14:textId="77777777" w:rsidR="0092235E" w:rsidRPr="00730B7E" w:rsidRDefault="0092235E" w:rsidP="00F65774">
            <w:r w:rsidRPr="00730B7E">
              <w:t>SAR</w:t>
            </w:r>
          </w:p>
        </w:tc>
        <w:tc>
          <w:tcPr>
            <w:tcW w:w="7482" w:type="dxa"/>
            <w:vAlign w:val="center"/>
          </w:tcPr>
          <w:p w14:paraId="7D49852C" w14:textId="77777777" w:rsidR="0092235E" w:rsidRPr="00730B7E" w:rsidRDefault="0092235E" w:rsidP="007D1047">
            <w:pPr>
              <w:cnfStyle w:val="000000100000" w:firstRow="0" w:lastRow="0" w:firstColumn="0" w:lastColumn="0" w:oddVBand="0" w:evenVBand="0" w:oddHBand="1" w:evenHBand="0" w:firstRowFirstColumn="0" w:firstRowLastColumn="0" w:lastRowFirstColumn="0" w:lastRowLastColumn="0"/>
            </w:pPr>
            <w:r w:rsidRPr="00AD4ABB">
              <w:t>South Asia Region</w:t>
            </w:r>
          </w:p>
        </w:tc>
      </w:tr>
      <w:tr w:rsidR="0092235E" w:rsidRPr="00AD4ABB" w14:paraId="7F19964D" w14:textId="77777777">
        <w:trPr>
          <w:trHeight w:val="433"/>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3C9B11F1" w14:textId="77777777" w:rsidR="0092235E" w:rsidRPr="00730B7E" w:rsidRDefault="0092235E" w:rsidP="00F65774">
            <w:r w:rsidRPr="00730B7E">
              <w:t>SARTFP</w:t>
            </w:r>
          </w:p>
        </w:tc>
        <w:tc>
          <w:tcPr>
            <w:tcW w:w="7482" w:type="dxa"/>
            <w:vAlign w:val="center"/>
          </w:tcPr>
          <w:p w14:paraId="240C18A1" w14:textId="77777777" w:rsidR="0092235E" w:rsidRPr="00730B7E" w:rsidRDefault="0092235E" w:rsidP="007D1047">
            <w:pPr>
              <w:cnfStyle w:val="000000000000" w:firstRow="0" w:lastRow="0" w:firstColumn="0" w:lastColumn="0" w:oddVBand="0" w:evenVBand="0" w:oddHBand="0" w:evenHBand="0" w:firstRowFirstColumn="0" w:firstRowLastColumn="0" w:lastRowFirstColumn="0" w:lastRowLastColumn="0"/>
              <w:rPr>
                <w:rFonts w:cstheme="minorBidi"/>
              </w:rPr>
            </w:pPr>
            <w:r w:rsidRPr="00AD4ABB">
              <w:t>South Asia Regional Trade Facilitation Program</w:t>
            </w:r>
          </w:p>
        </w:tc>
      </w:tr>
      <w:tr w:rsidR="0092235E" w:rsidRPr="00AD4ABB" w14:paraId="7EBE2B67"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13A8028F" w14:textId="77777777" w:rsidR="0092235E" w:rsidRPr="00730B7E" w:rsidRDefault="0092235E" w:rsidP="00F65774">
            <w:r w:rsidRPr="00730B7E">
              <w:t>TA</w:t>
            </w:r>
          </w:p>
        </w:tc>
        <w:tc>
          <w:tcPr>
            <w:tcW w:w="7482" w:type="dxa"/>
            <w:vAlign w:val="center"/>
          </w:tcPr>
          <w:p w14:paraId="2F76E1B8" w14:textId="77777777" w:rsidR="0092235E" w:rsidRPr="00730B7E" w:rsidRDefault="0092235E" w:rsidP="007D1047">
            <w:pPr>
              <w:cnfStyle w:val="000000100000" w:firstRow="0" w:lastRow="0" w:firstColumn="0" w:lastColumn="0" w:oddVBand="0" w:evenVBand="0" w:oddHBand="1" w:evenHBand="0" w:firstRowFirstColumn="0" w:firstRowLastColumn="0" w:lastRowFirstColumn="0" w:lastRowLastColumn="0"/>
              <w:rPr>
                <w:rFonts w:cstheme="minorBidi"/>
              </w:rPr>
            </w:pPr>
            <w:r w:rsidRPr="00AD4ABB">
              <w:t>Technical Assistance</w:t>
            </w:r>
          </w:p>
        </w:tc>
      </w:tr>
      <w:tr w:rsidR="0092235E" w:rsidRPr="00AD4ABB" w14:paraId="3B8FD88E" w14:textId="77777777">
        <w:trPr>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60940D45" w14:textId="77777777" w:rsidR="0092235E" w:rsidRPr="00730B7E" w:rsidRDefault="0092235E" w:rsidP="00F65774">
            <w:r w:rsidRPr="00730B7E">
              <w:t>TAF</w:t>
            </w:r>
          </w:p>
        </w:tc>
        <w:tc>
          <w:tcPr>
            <w:tcW w:w="7482" w:type="dxa"/>
            <w:vAlign w:val="center"/>
          </w:tcPr>
          <w:p w14:paraId="2ACDFDD7" w14:textId="77777777" w:rsidR="0092235E" w:rsidRPr="00730B7E" w:rsidRDefault="0092235E" w:rsidP="007D1047">
            <w:pPr>
              <w:cnfStyle w:val="000000000000" w:firstRow="0" w:lastRow="0" w:firstColumn="0" w:lastColumn="0" w:oddVBand="0" w:evenVBand="0" w:oddHBand="0" w:evenHBand="0" w:firstRowFirstColumn="0" w:firstRowLastColumn="0" w:lastRowFirstColumn="0" w:lastRowLastColumn="0"/>
              <w:rPr>
                <w:rFonts w:cstheme="minorBidi"/>
              </w:rPr>
            </w:pPr>
            <w:r w:rsidRPr="00AD4ABB">
              <w:t>Technical Advisory Facility</w:t>
            </w:r>
          </w:p>
        </w:tc>
      </w:tr>
      <w:tr w:rsidR="0092235E" w:rsidRPr="00AD4ABB" w14:paraId="3FAC6542"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187382F3" w14:textId="77777777" w:rsidR="0092235E" w:rsidRPr="00730B7E" w:rsidRDefault="0092235E" w:rsidP="00F65774">
            <w:r w:rsidRPr="00730B7E">
              <w:t>ToC</w:t>
            </w:r>
          </w:p>
        </w:tc>
        <w:tc>
          <w:tcPr>
            <w:tcW w:w="7482" w:type="dxa"/>
            <w:vAlign w:val="center"/>
          </w:tcPr>
          <w:p w14:paraId="22736312" w14:textId="77777777" w:rsidR="0092235E" w:rsidRPr="00730B7E" w:rsidRDefault="0092235E" w:rsidP="007D1047">
            <w:pPr>
              <w:cnfStyle w:val="000000100000" w:firstRow="0" w:lastRow="0" w:firstColumn="0" w:lastColumn="0" w:oddVBand="0" w:evenVBand="0" w:oddHBand="1" w:evenHBand="0" w:firstRowFirstColumn="0" w:firstRowLastColumn="0" w:lastRowFirstColumn="0" w:lastRowLastColumn="0"/>
              <w:rPr>
                <w:rFonts w:cstheme="minorBidi"/>
              </w:rPr>
            </w:pPr>
            <w:r w:rsidRPr="00AD4ABB">
              <w:t>Theory of Change</w:t>
            </w:r>
          </w:p>
        </w:tc>
      </w:tr>
      <w:tr w:rsidR="0092235E" w:rsidRPr="00AD4ABB" w14:paraId="024CA2FD" w14:textId="77777777">
        <w:trPr>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53B565E6" w14:textId="77777777" w:rsidR="0092235E" w:rsidRPr="00730B7E" w:rsidRDefault="0092235E" w:rsidP="00F65774">
            <w:r w:rsidRPr="00730B7E">
              <w:t>TTL</w:t>
            </w:r>
          </w:p>
        </w:tc>
        <w:tc>
          <w:tcPr>
            <w:tcW w:w="7482" w:type="dxa"/>
            <w:vAlign w:val="center"/>
          </w:tcPr>
          <w:p w14:paraId="711308FC" w14:textId="77777777" w:rsidR="0092235E" w:rsidRPr="00730B7E" w:rsidRDefault="0092235E" w:rsidP="007D1047">
            <w:pPr>
              <w:cnfStyle w:val="000000000000" w:firstRow="0" w:lastRow="0" w:firstColumn="0" w:lastColumn="0" w:oddVBand="0" w:evenVBand="0" w:oddHBand="0" w:evenHBand="0" w:firstRowFirstColumn="0" w:firstRowLastColumn="0" w:lastRowFirstColumn="0" w:lastRowLastColumn="0"/>
              <w:rPr>
                <w:rFonts w:cstheme="minorBidi"/>
              </w:rPr>
            </w:pPr>
            <w:r w:rsidRPr="00AD4ABB">
              <w:t xml:space="preserve">Task Team Leader </w:t>
            </w:r>
          </w:p>
        </w:tc>
      </w:tr>
      <w:tr w:rsidR="0092235E" w:rsidRPr="00AD4ABB" w14:paraId="31C6D969"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511565B4" w14:textId="77777777" w:rsidR="0092235E" w:rsidRPr="00730B7E" w:rsidRDefault="0092235E" w:rsidP="00F65774">
            <w:r w:rsidRPr="00730B7E">
              <w:t>USD</w:t>
            </w:r>
          </w:p>
        </w:tc>
        <w:tc>
          <w:tcPr>
            <w:tcW w:w="7482" w:type="dxa"/>
            <w:vAlign w:val="center"/>
          </w:tcPr>
          <w:p w14:paraId="3CEB8129" w14:textId="77777777" w:rsidR="0092235E" w:rsidRPr="00730B7E" w:rsidRDefault="0092235E" w:rsidP="007D1047">
            <w:pPr>
              <w:cnfStyle w:val="000000100000" w:firstRow="0" w:lastRow="0" w:firstColumn="0" w:lastColumn="0" w:oddVBand="0" w:evenVBand="0" w:oddHBand="1" w:evenHBand="0" w:firstRowFirstColumn="0" w:firstRowLastColumn="0" w:lastRowFirstColumn="0" w:lastRowLastColumn="0"/>
              <w:rPr>
                <w:rFonts w:cstheme="minorBidi"/>
              </w:rPr>
            </w:pPr>
            <w:r w:rsidRPr="00AD4ABB">
              <w:t>United States Dollar</w:t>
            </w:r>
          </w:p>
        </w:tc>
      </w:tr>
      <w:tr w:rsidR="0092235E" w:rsidRPr="00AD4ABB" w14:paraId="3070AFFD" w14:textId="77777777">
        <w:trPr>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348F70FB" w14:textId="77777777" w:rsidR="0092235E" w:rsidRPr="00730B7E" w:rsidRDefault="00CD2E7F" w:rsidP="00F65774">
            <w:r>
              <w:t>WB</w:t>
            </w:r>
          </w:p>
        </w:tc>
        <w:tc>
          <w:tcPr>
            <w:tcW w:w="7482" w:type="dxa"/>
            <w:vAlign w:val="center"/>
          </w:tcPr>
          <w:p w14:paraId="7DEE0CDF" w14:textId="77777777" w:rsidR="0092235E" w:rsidRPr="00730B7E" w:rsidRDefault="0092235E" w:rsidP="007D1047">
            <w:pPr>
              <w:cnfStyle w:val="000000000000" w:firstRow="0" w:lastRow="0" w:firstColumn="0" w:lastColumn="0" w:oddVBand="0" w:evenVBand="0" w:oddHBand="0" w:evenHBand="0" w:firstRowFirstColumn="0" w:firstRowLastColumn="0" w:lastRowFirstColumn="0" w:lastRowLastColumn="0"/>
              <w:rPr>
                <w:rFonts w:cstheme="minorBidi"/>
              </w:rPr>
            </w:pPr>
            <w:r w:rsidRPr="00AD4ABB">
              <w:t xml:space="preserve">World Bank </w:t>
            </w:r>
          </w:p>
        </w:tc>
      </w:tr>
      <w:tr w:rsidR="0092235E" w:rsidRPr="00AD4ABB" w14:paraId="1A3662B6"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6E1C42D1" w14:textId="77777777" w:rsidR="0092235E" w:rsidRPr="00730B7E" w:rsidRDefault="0092235E" w:rsidP="00F65774">
            <w:r w:rsidRPr="00730B7E">
              <w:t>WTO</w:t>
            </w:r>
          </w:p>
        </w:tc>
        <w:tc>
          <w:tcPr>
            <w:tcW w:w="7482" w:type="dxa"/>
            <w:vAlign w:val="center"/>
          </w:tcPr>
          <w:p w14:paraId="4D3C37D2" w14:textId="77777777" w:rsidR="0092235E" w:rsidRPr="00AD4ABB" w:rsidRDefault="0092235E" w:rsidP="007D1047">
            <w:pPr>
              <w:cnfStyle w:val="000000100000" w:firstRow="0" w:lastRow="0" w:firstColumn="0" w:lastColumn="0" w:oddVBand="0" w:evenVBand="0" w:oddHBand="1" w:evenHBand="0" w:firstRowFirstColumn="0" w:firstRowLastColumn="0" w:lastRowFirstColumn="0" w:lastRowLastColumn="0"/>
            </w:pPr>
            <w:r w:rsidRPr="00AD4ABB">
              <w:t xml:space="preserve">World Trade Organisation </w:t>
            </w:r>
          </w:p>
        </w:tc>
      </w:tr>
    </w:tbl>
    <w:p w14:paraId="3375976A" w14:textId="77777777" w:rsidR="00673F0B" w:rsidRDefault="00673F0B" w:rsidP="00F21795"/>
    <w:p w14:paraId="413E994C" w14:textId="77777777" w:rsidR="007D496D" w:rsidRPr="001B449B" w:rsidRDefault="00B746DD" w:rsidP="00367F30">
      <w:pPr>
        <w:pStyle w:val="Heading3"/>
        <w:rPr>
          <w:sz w:val="22"/>
        </w:rPr>
      </w:pPr>
      <w:r w:rsidRPr="001B449B">
        <w:rPr>
          <w:sz w:val="22"/>
        </w:rPr>
        <w:lastRenderedPageBreak/>
        <w:t xml:space="preserve">Acknowledgements </w:t>
      </w:r>
    </w:p>
    <w:p w14:paraId="198BBFA5" w14:textId="77777777" w:rsidR="007D496D" w:rsidRPr="001B449B" w:rsidRDefault="004735FB" w:rsidP="00A251FA">
      <w:pPr>
        <w:rPr>
          <w:sz w:val="22"/>
        </w:rPr>
      </w:pPr>
      <w:r w:rsidRPr="001B449B">
        <w:rPr>
          <w:sz w:val="22"/>
        </w:rPr>
        <w:t xml:space="preserve">This evaluation would not have been possible without the engagement and support of a wide range of people across agencies. The evaluators </w:t>
      </w:r>
      <w:r w:rsidR="007D496D" w:rsidRPr="001B449B">
        <w:rPr>
          <w:sz w:val="22"/>
        </w:rPr>
        <w:t>wish to thank</w:t>
      </w:r>
      <w:r w:rsidRPr="001B449B">
        <w:rPr>
          <w:sz w:val="22"/>
        </w:rPr>
        <w:t xml:space="preserve"> in particular: </w:t>
      </w:r>
      <w:r w:rsidR="00390C1A" w:rsidRPr="001B449B">
        <w:rPr>
          <w:sz w:val="22"/>
        </w:rPr>
        <w:t>DFAT</w:t>
      </w:r>
      <w:r w:rsidRPr="001B449B">
        <w:rPr>
          <w:sz w:val="22"/>
        </w:rPr>
        <w:t xml:space="preserve"> staff in </w:t>
      </w:r>
      <w:r w:rsidR="00B13B98" w:rsidRPr="001B449B">
        <w:rPr>
          <w:sz w:val="22"/>
        </w:rPr>
        <w:t xml:space="preserve">Canberra, New </w:t>
      </w:r>
      <w:r w:rsidR="00390C1A" w:rsidRPr="001B449B">
        <w:rPr>
          <w:sz w:val="22"/>
        </w:rPr>
        <w:t>Delhi and Dhaka</w:t>
      </w:r>
      <w:r w:rsidRPr="001B449B">
        <w:rPr>
          <w:sz w:val="22"/>
        </w:rPr>
        <w:t xml:space="preserve">; World Bank staff in </w:t>
      </w:r>
      <w:r w:rsidR="00390C1A" w:rsidRPr="001B449B">
        <w:rPr>
          <w:sz w:val="22"/>
        </w:rPr>
        <w:t>Washington</w:t>
      </w:r>
      <w:r w:rsidRPr="001B449B">
        <w:rPr>
          <w:sz w:val="22"/>
        </w:rPr>
        <w:t xml:space="preserve"> and </w:t>
      </w:r>
      <w:r w:rsidR="00390C1A" w:rsidRPr="001B449B">
        <w:rPr>
          <w:sz w:val="22"/>
        </w:rPr>
        <w:t>New Delhi</w:t>
      </w:r>
      <w:r w:rsidRPr="001B449B">
        <w:rPr>
          <w:sz w:val="22"/>
        </w:rPr>
        <w:t xml:space="preserve">; </w:t>
      </w:r>
      <w:r w:rsidR="00DA7CFA" w:rsidRPr="001B449B">
        <w:rPr>
          <w:sz w:val="22"/>
        </w:rPr>
        <w:t>DFID,</w:t>
      </w:r>
      <w:r w:rsidR="00E82293" w:rsidRPr="001B449B">
        <w:rPr>
          <w:sz w:val="22"/>
        </w:rPr>
        <w:t xml:space="preserve"> members of the SARTFP Technical Advisory Facility,</w:t>
      </w:r>
      <w:r w:rsidR="00DA7CFA" w:rsidRPr="001B449B">
        <w:rPr>
          <w:sz w:val="22"/>
        </w:rPr>
        <w:t xml:space="preserve"> </w:t>
      </w:r>
      <w:r w:rsidRPr="001B449B">
        <w:rPr>
          <w:sz w:val="22"/>
        </w:rPr>
        <w:t xml:space="preserve">the </w:t>
      </w:r>
      <w:r w:rsidR="00390C1A" w:rsidRPr="001B449B">
        <w:rPr>
          <w:sz w:val="22"/>
        </w:rPr>
        <w:t>Asia Foundation,</w:t>
      </w:r>
      <w:r w:rsidR="00DA7CFA" w:rsidRPr="001B449B">
        <w:rPr>
          <w:sz w:val="22"/>
        </w:rPr>
        <w:t xml:space="preserve"> </w:t>
      </w:r>
      <w:r w:rsidR="00765C92" w:rsidRPr="001B449B">
        <w:rPr>
          <w:sz w:val="22"/>
        </w:rPr>
        <w:t>R</w:t>
      </w:r>
      <w:r w:rsidR="00E82293" w:rsidRPr="001B449B">
        <w:rPr>
          <w:sz w:val="22"/>
        </w:rPr>
        <w:t>esearch and Information System for Developing Countries (RIS)</w:t>
      </w:r>
      <w:r w:rsidR="00765C92" w:rsidRPr="001B449B">
        <w:rPr>
          <w:sz w:val="22"/>
        </w:rPr>
        <w:t xml:space="preserve"> and </w:t>
      </w:r>
      <w:r w:rsidR="00390C1A" w:rsidRPr="001B449B">
        <w:rPr>
          <w:sz w:val="22"/>
        </w:rPr>
        <w:t>C</w:t>
      </w:r>
      <w:r w:rsidR="00E82293" w:rsidRPr="001B449B">
        <w:rPr>
          <w:sz w:val="22"/>
        </w:rPr>
        <w:t>onsumer Unity and Trust Society (</w:t>
      </w:r>
      <w:r w:rsidR="003D7281" w:rsidRPr="001B449B">
        <w:rPr>
          <w:sz w:val="22"/>
        </w:rPr>
        <w:t>CUTS</w:t>
      </w:r>
      <w:r w:rsidR="00E82293" w:rsidRPr="001B449B">
        <w:rPr>
          <w:sz w:val="22"/>
        </w:rPr>
        <w:t>)</w:t>
      </w:r>
      <w:r w:rsidR="00390C1A" w:rsidRPr="001B449B">
        <w:rPr>
          <w:sz w:val="22"/>
        </w:rPr>
        <w:t xml:space="preserve"> International</w:t>
      </w:r>
      <w:r w:rsidRPr="001B449B">
        <w:rPr>
          <w:sz w:val="22"/>
        </w:rPr>
        <w:t xml:space="preserve"> </w:t>
      </w:r>
      <w:r w:rsidR="007D496D" w:rsidRPr="001B449B">
        <w:rPr>
          <w:sz w:val="22"/>
        </w:rPr>
        <w:t xml:space="preserve">for </w:t>
      </w:r>
      <w:r w:rsidRPr="001B449B">
        <w:rPr>
          <w:sz w:val="22"/>
        </w:rPr>
        <w:t>the</w:t>
      </w:r>
      <w:r w:rsidR="007D496D" w:rsidRPr="001B449B">
        <w:rPr>
          <w:sz w:val="22"/>
        </w:rPr>
        <w:t xml:space="preserve"> investment of </w:t>
      </w:r>
      <w:r w:rsidRPr="001B449B">
        <w:rPr>
          <w:sz w:val="22"/>
        </w:rPr>
        <w:t xml:space="preserve">their </w:t>
      </w:r>
      <w:r w:rsidR="007D496D" w:rsidRPr="001B449B">
        <w:rPr>
          <w:sz w:val="22"/>
        </w:rPr>
        <w:t xml:space="preserve">time in engaging with </w:t>
      </w:r>
      <w:r w:rsidRPr="001B449B">
        <w:rPr>
          <w:sz w:val="22"/>
        </w:rPr>
        <w:t>the evaluators</w:t>
      </w:r>
      <w:r w:rsidR="007D496D" w:rsidRPr="001B449B">
        <w:rPr>
          <w:sz w:val="22"/>
        </w:rPr>
        <w:t xml:space="preserve">, </w:t>
      </w:r>
      <w:r w:rsidRPr="001B449B">
        <w:rPr>
          <w:sz w:val="22"/>
        </w:rPr>
        <w:t>their</w:t>
      </w:r>
      <w:r w:rsidR="007D496D" w:rsidRPr="001B449B">
        <w:rPr>
          <w:sz w:val="22"/>
        </w:rPr>
        <w:t xml:space="preserve"> insights, reflections and practical responsiveness throughout the evaluation process. </w:t>
      </w:r>
    </w:p>
    <w:p w14:paraId="2143D7EA" w14:textId="77777777" w:rsidR="007D496D" w:rsidRPr="001B449B" w:rsidRDefault="007D496D" w:rsidP="00B363EF">
      <w:pPr>
        <w:pStyle w:val="DonnasStyle"/>
        <w:rPr>
          <w:sz w:val="22"/>
        </w:rPr>
      </w:pPr>
    </w:p>
    <w:p w14:paraId="42BEDD9C" w14:textId="77777777" w:rsidR="007D496D" w:rsidRPr="001B449B" w:rsidRDefault="007D496D" w:rsidP="00B363EF">
      <w:pPr>
        <w:pStyle w:val="Heading3"/>
        <w:rPr>
          <w:color w:val="00B050"/>
          <w:sz w:val="22"/>
        </w:rPr>
      </w:pPr>
      <w:r w:rsidRPr="001B449B">
        <w:rPr>
          <w:sz w:val="22"/>
        </w:rPr>
        <w:t xml:space="preserve">Disclaimer </w:t>
      </w:r>
    </w:p>
    <w:p w14:paraId="2F488CF4" w14:textId="77777777" w:rsidR="00BA2EDF" w:rsidRPr="001B449B" w:rsidRDefault="00DA29BB" w:rsidP="00B363EF">
      <w:pPr>
        <w:rPr>
          <w:sz w:val="22"/>
        </w:rPr>
      </w:pPr>
      <w:r w:rsidRPr="001B449B">
        <w:rPr>
          <w:sz w:val="22"/>
        </w:rPr>
        <w:t>This independent evaluation was research</w:t>
      </w:r>
      <w:r w:rsidR="0088135B" w:rsidRPr="001B449B">
        <w:rPr>
          <w:sz w:val="22"/>
        </w:rPr>
        <w:t>ed and written by Beth Elson with the assistance of</w:t>
      </w:r>
      <w:r w:rsidRPr="001B449B">
        <w:rPr>
          <w:sz w:val="22"/>
        </w:rPr>
        <w:t xml:space="preserve"> Anneke Schmider, </w:t>
      </w:r>
      <w:r w:rsidR="00BA2EDF" w:rsidRPr="001B449B">
        <w:rPr>
          <w:sz w:val="22"/>
        </w:rPr>
        <w:t>funded by the Australian Government through the Department of Foreign Affairs and Trade. The views expressed in this publication are the author’s alone and are not necessarily the views of the Australian Government.</w:t>
      </w:r>
    </w:p>
    <w:p w14:paraId="0D5439F8" w14:textId="77777777" w:rsidR="00BA2EDF" w:rsidRPr="00F16381" w:rsidRDefault="00BA2EDF"/>
    <w:p w14:paraId="7340A3F3" w14:textId="77777777" w:rsidR="00B13B98" w:rsidRDefault="00B13B98"/>
    <w:p w14:paraId="11DE9EB6" w14:textId="77777777" w:rsidR="00BA2EDF" w:rsidRDefault="00BA2EDF">
      <w:pPr>
        <w:rPr>
          <w:rFonts w:eastAsiaTheme="majorEastAsia" w:cstheme="majorBidi"/>
          <w:color w:val="C00000"/>
          <w:sz w:val="32"/>
          <w:szCs w:val="32"/>
        </w:rPr>
      </w:pPr>
      <w:r>
        <w:br w:type="page"/>
      </w:r>
    </w:p>
    <w:p w14:paraId="247B624B" w14:textId="77777777" w:rsidR="00B746DD" w:rsidRPr="00B13B98" w:rsidRDefault="00390C1A" w:rsidP="001B449B">
      <w:pPr>
        <w:pStyle w:val="Heading1"/>
      </w:pPr>
      <w:bookmarkStart w:id="1" w:name="_Toc517615225"/>
      <w:r w:rsidRPr="00166A23">
        <w:lastRenderedPageBreak/>
        <w:t>Executive Summary</w:t>
      </w:r>
      <w:bookmarkEnd w:id="1"/>
      <w:r w:rsidRPr="00166A23">
        <w:t xml:space="preserve"> </w:t>
      </w:r>
    </w:p>
    <w:p w14:paraId="2C76973D" w14:textId="77777777" w:rsidR="00690E73" w:rsidRPr="00AA6899" w:rsidRDefault="00690E73" w:rsidP="00690E73">
      <w:pPr>
        <w:spacing w:after="120"/>
        <w:rPr>
          <w:sz w:val="22"/>
        </w:rPr>
      </w:pPr>
      <w:r w:rsidRPr="00AA6899">
        <w:rPr>
          <w:sz w:val="22"/>
        </w:rPr>
        <w:t>This report contains the findings of the Independent Evaluation of two South Asia regional programs commissioned by the Department of Foreign Affairs and Trade (DFAT).</w:t>
      </w:r>
    </w:p>
    <w:p w14:paraId="5C94B748" w14:textId="0D02A189" w:rsidR="00690E73" w:rsidRPr="00AA6899" w:rsidRDefault="00690E73" w:rsidP="00690E73">
      <w:pPr>
        <w:spacing w:after="120"/>
        <w:rPr>
          <w:sz w:val="22"/>
        </w:rPr>
      </w:pPr>
      <w:r w:rsidRPr="00AA6899">
        <w:rPr>
          <w:sz w:val="22"/>
        </w:rPr>
        <w:t xml:space="preserve">South Asia is among the least integrated regions in the world with an estimate of around 270 million people living in extreme poverty. Many more people, particularly women and those working in the informal sector, live just above the poverty line and remain vulnerable to economic and environmental shocks. </w:t>
      </w:r>
    </w:p>
    <w:p w14:paraId="504820DE" w14:textId="38FBC06A" w:rsidR="00690E73" w:rsidRPr="00AA6899" w:rsidRDefault="00690E73" w:rsidP="00690E73">
      <w:pPr>
        <w:spacing w:after="120"/>
        <w:rPr>
          <w:sz w:val="22"/>
        </w:rPr>
      </w:pPr>
      <w:r w:rsidRPr="00AA6899">
        <w:rPr>
          <w:sz w:val="22"/>
        </w:rPr>
        <w:t>The relatively poor quality of trade-related infrastructure (e.g. ports, roads and storage facilities), as well as energy production and distribution on networks, are key constraints to growth and regional connectivity in South Asia. Additionally, non-tariff barriers – such as over-administration at borders – add to the high cost of cross border trading (50 per cent higher than ASEAN average). A more integrated region would reduce transaction costs, create jobs and open new markets for goods and services, including those that benefit poor and marginalised people.</w:t>
      </w:r>
    </w:p>
    <w:p w14:paraId="7A21CB12" w14:textId="527432EE" w:rsidR="00690E73" w:rsidRPr="00AA6899" w:rsidRDefault="00690E73" w:rsidP="00690E73">
      <w:pPr>
        <w:spacing w:after="120"/>
        <w:rPr>
          <w:sz w:val="22"/>
        </w:rPr>
      </w:pPr>
      <w:r w:rsidRPr="00AA6899">
        <w:rPr>
          <w:sz w:val="22"/>
        </w:rPr>
        <w:t xml:space="preserve">DFAT’s </w:t>
      </w:r>
      <w:r w:rsidR="00874066">
        <w:rPr>
          <w:sz w:val="22"/>
        </w:rPr>
        <w:t xml:space="preserve">Aid Investment Plan for its </w:t>
      </w:r>
      <w:r w:rsidRPr="00AA6899">
        <w:rPr>
          <w:sz w:val="22"/>
        </w:rPr>
        <w:t>South Asia Regional program seeks to address these barriers to sustainable economic growth in the region. Gender equality is also a focus in all DFAT’s investments under this regional program. Access to improved transport and connectivity stimulates new value chains and markets, creating job opportunities. Where these improvements are combined with gender-responsive trade policies, they enhance women’s ability to participate in trade and economic integration and can lead to women’s empowerment.</w:t>
      </w:r>
    </w:p>
    <w:p w14:paraId="7D787D5A" w14:textId="76718F4A" w:rsidR="00690E73" w:rsidRPr="00AA6899" w:rsidRDefault="00690E73" w:rsidP="00690E73">
      <w:pPr>
        <w:spacing w:after="120"/>
        <w:rPr>
          <w:sz w:val="22"/>
        </w:rPr>
      </w:pPr>
      <w:r w:rsidRPr="00AA6899">
        <w:rPr>
          <w:sz w:val="22"/>
        </w:rPr>
        <w:t>DFAT seeks to increase regional connectivity through trade facilitation and infrastructure connectivity</w:t>
      </w:r>
      <w:r w:rsidR="00D06349">
        <w:rPr>
          <w:sz w:val="22"/>
        </w:rPr>
        <w:t>.</w:t>
      </w:r>
      <w:r w:rsidR="00D06349" w:rsidRPr="00AA6899">
        <w:rPr>
          <w:sz w:val="22"/>
        </w:rPr>
        <w:t xml:space="preserve"> </w:t>
      </w:r>
      <w:r w:rsidR="00D06349">
        <w:rPr>
          <w:sz w:val="22"/>
        </w:rPr>
        <w:t>T</w:t>
      </w:r>
      <w:r w:rsidRPr="00AA6899">
        <w:rPr>
          <w:sz w:val="22"/>
        </w:rPr>
        <w:t>wo programs</w:t>
      </w:r>
      <w:r w:rsidR="00D06349">
        <w:rPr>
          <w:sz w:val="22"/>
        </w:rPr>
        <w:t xml:space="preserve"> progress this objective:</w:t>
      </w:r>
      <w:r w:rsidRPr="00AA6899">
        <w:rPr>
          <w:sz w:val="22"/>
        </w:rPr>
        <w:t xml:space="preserve"> Infrastructure for Growth (IFG) and South Asia Regional Trade Facilitation Program (SARTFP). Both programs are solely funded by DFAT through the Partnership for South Asia (PFSA) Trust Fund – a DFAT-World Bank (WB) umbrella trust fund for nine DFAT investments across South and West Asia.</w:t>
      </w:r>
    </w:p>
    <w:p w14:paraId="126DE3CE" w14:textId="4ED2C65A" w:rsidR="00690E73" w:rsidRPr="00AA6899" w:rsidRDefault="00690E73" w:rsidP="00690E73">
      <w:pPr>
        <w:spacing w:after="120"/>
        <w:rPr>
          <w:sz w:val="22"/>
        </w:rPr>
      </w:pPr>
      <w:r w:rsidRPr="00AA6899">
        <w:rPr>
          <w:b/>
          <w:sz w:val="22"/>
        </w:rPr>
        <w:t xml:space="preserve">Infrastructure for Growth </w:t>
      </w:r>
      <w:r w:rsidRPr="00AA6899">
        <w:rPr>
          <w:sz w:val="22"/>
        </w:rPr>
        <w:t>(IFG,</w:t>
      </w:r>
      <w:r w:rsidRPr="00AA6899">
        <w:rPr>
          <w:b/>
          <w:sz w:val="22"/>
        </w:rPr>
        <w:t xml:space="preserve"> </w:t>
      </w:r>
      <w:r w:rsidRPr="00AA6899">
        <w:rPr>
          <w:sz w:val="22"/>
        </w:rPr>
        <w:t xml:space="preserve">AUD20 million, 2012-2018) is a program that aims to meet infrastructure gaps by addressing the major challenges of connectivity and integration, within countries and within the region. It </w:t>
      </w:r>
      <w:r w:rsidRPr="00AA6899">
        <w:rPr>
          <w:color w:val="000000"/>
          <w:sz w:val="22"/>
        </w:rPr>
        <w:t xml:space="preserve">focuses on two core sectors, energy and transport, and operates through three thematic pillars: South Asia regional economic integration, climate change and cross-cutting themes including gender and social inclusion. Although the IFG portfolio includes activities in Afghanistan, Bangladesh, Bhutan, India, Maldives, Nepal, Pakistan, and Sri Lanka, </w:t>
      </w:r>
      <w:r w:rsidRPr="00AA6899">
        <w:rPr>
          <w:sz w:val="22"/>
        </w:rPr>
        <w:t>in practice, a large proportion of activities occurred in India or were categorised as regional activities.</w:t>
      </w:r>
    </w:p>
    <w:p w14:paraId="1CC8FDED" w14:textId="07104822" w:rsidR="00690E73" w:rsidRPr="00AA6899" w:rsidRDefault="00690E73" w:rsidP="00690E73">
      <w:pPr>
        <w:spacing w:after="120"/>
        <w:rPr>
          <w:sz w:val="22"/>
        </w:rPr>
      </w:pPr>
      <w:r w:rsidRPr="00AA6899">
        <w:rPr>
          <w:sz w:val="22"/>
        </w:rPr>
        <w:t>DFAT has expensed 100 per cent of its funding to IFG, of which the World Bank has disbursed almost 100 per cent to 53 activities.</w:t>
      </w:r>
    </w:p>
    <w:p w14:paraId="65C22764" w14:textId="77777777" w:rsidR="00690E73" w:rsidRPr="00AA6899" w:rsidRDefault="00690E73" w:rsidP="00690E73">
      <w:pPr>
        <w:spacing w:after="120"/>
        <w:rPr>
          <w:sz w:val="22"/>
        </w:rPr>
      </w:pPr>
      <w:r w:rsidRPr="00AA6899">
        <w:rPr>
          <w:b/>
          <w:sz w:val="22"/>
        </w:rPr>
        <w:t>South Asia Regional Trade Facilitation</w:t>
      </w:r>
      <w:r w:rsidRPr="00AA6899">
        <w:rPr>
          <w:sz w:val="22"/>
        </w:rPr>
        <w:t xml:space="preserve"> </w:t>
      </w:r>
      <w:r w:rsidRPr="00AA6899">
        <w:rPr>
          <w:b/>
          <w:sz w:val="22"/>
        </w:rPr>
        <w:t>Program</w:t>
      </w:r>
      <w:r w:rsidRPr="00AA6899">
        <w:rPr>
          <w:sz w:val="22"/>
        </w:rPr>
        <w:t xml:space="preserve"> (SARTFP, AUD25 million, 2015-2019) is implemented across Bangladesh, Bhutan, India and Nepal. The objective is to enhance trade and economic opportunities across these countries, with a focus on women’s participation in trade and economic activity across three focus areas: transport connectivity; trade facilitation and trade policy; and local enterprise development; and economic opportunity.</w:t>
      </w:r>
    </w:p>
    <w:p w14:paraId="646E0D4E" w14:textId="609E5C31" w:rsidR="00690E73" w:rsidRDefault="00690E73" w:rsidP="00690E73">
      <w:pPr>
        <w:spacing w:after="120"/>
        <w:rPr>
          <w:sz w:val="22"/>
        </w:rPr>
      </w:pPr>
      <w:r w:rsidRPr="00AA6899">
        <w:rPr>
          <w:sz w:val="22"/>
        </w:rPr>
        <w:t>When the evaluation commenced, DFAT had expensed 72 per cent ($18 million) of its funding to the World Bank. Of this, the World Bank had approved approximately $8.45 million for 14 activities. DFAT appointed a Technical Advisory Facility (TAF) to support its engagement in SARTFP.</w:t>
      </w:r>
    </w:p>
    <w:p w14:paraId="2492414C" w14:textId="5BF7C342" w:rsidR="00EB74D7" w:rsidRPr="00AA6899" w:rsidRDefault="00EB74D7" w:rsidP="00690E73">
      <w:pPr>
        <w:spacing w:after="120"/>
        <w:rPr>
          <w:sz w:val="22"/>
        </w:rPr>
      </w:pPr>
      <w:r>
        <w:rPr>
          <w:sz w:val="22"/>
        </w:rPr>
        <w:t>It is important to note that</w:t>
      </w:r>
      <w:r w:rsidR="001953F2">
        <w:rPr>
          <w:sz w:val="22"/>
        </w:rPr>
        <w:t xml:space="preserve"> IFG and SARTFP were at different stages of implementation when this evaluation took place. </w:t>
      </w:r>
      <w:r>
        <w:rPr>
          <w:sz w:val="22"/>
        </w:rPr>
        <w:t xml:space="preserve"> IFG </w:t>
      </w:r>
      <w:r w:rsidRPr="00B01BBC">
        <w:rPr>
          <w:rFonts w:ascii="Calibri" w:hAnsi="Calibri" w:cs="Calibri"/>
          <w:color w:val="000000"/>
          <w:sz w:val="22"/>
        </w:rPr>
        <w:t>was designed under the AusA</w:t>
      </w:r>
      <w:r>
        <w:rPr>
          <w:rFonts w:ascii="Calibri" w:hAnsi="Calibri" w:cs="Calibri"/>
          <w:color w:val="000000"/>
          <w:sz w:val="22"/>
        </w:rPr>
        <w:t>ID</w:t>
      </w:r>
      <w:r w:rsidRPr="00B01BBC">
        <w:rPr>
          <w:rFonts w:ascii="Calibri" w:hAnsi="Calibri" w:cs="Calibri"/>
          <w:color w:val="000000"/>
          <w:sz w:val="22"/>
        </w:rPr>
        <w:t xml:space="preserve"> strategic priorities,</w:t>
      </w:r>
      <w:r>
        <w:rPr>
          <w:rFonts w:ascii="Calibri" w:hAnsi="Calibri" w:cs="Calibri"/>
          <w:color w:val="000000"/>
          <w:sz w:val="22"/>
        </w:rPr>
        <w:t xml:space="preserve"> w</w:t>
      </w:r>
      <w:r w:rsidRPr="00B01BBC">
        <w:rPr>
          <w:rFonts w:ascii="Calibri" w:hAnsi="Calibri" w:cs="Calibri"/>
          <w:color w:val="000000"/>
          <w:sz w:val="22"/>
        </w:rPr>
        <w:t>hen</w:t>
      </w:r>
      <w:r>
        <w:rPr>
          <w:rFonts w:ascii="Calibri" w:hAnsi="Calibri" w:cs="Calibri"/>
          <w:color w:val="000000"/>
          <w:sz w:val="22"/>
        </w:rPr>
        <w:t xml:space="preserve"> for example</w:t>
      </w:r>
      <w:r w:rsidRPr="00B01BBC">
        <w:rPr>
          <w:rFonts w:ascii="Calibri" w:hAnsi="Calibri" w:cs="Calibri"/>
          <w:color w:val="000000"/>
          <w:sz w:val="22"/>
        </w:rPr>
        <w:t xml:space="preserve"> gender was not a main focus area </w:t>
      </w:r>
      <w:r>
        <w:rPr>
          <w:rFonts w:ascii="Calibri" w:hAnsi="Calibri" w:cs="Calibri"/>
          <w:color w:val="000000"/>
          <w:sz w:val="22"/>
        </w:rPr>
        <w:t>but one of a number of cross-cutting themes</w:t>
      </w:r>
      <w:r w:rsidR="001953F2">
        <w:rPr>
          <w:rFonts w:ascii="Calibri" w:hAnsi="Calibri" w:cs="Calibri"/>
          <w:color w:val="000000"/>
          <w:sz w:val="22"/>
        </w:rPr>
        <w:t>. </w:t>
      </w:r>
      <w:r w:rsidRPr="00B01BBC">
        <w:rPr>
          <w:rFonts w:ascii="Calibri" w:hAnsi="Calibri" w:cs="Calibri"/>
          <w:color w:val="000000"/>
          <w:sz w:val="22"/>
        </w:rPr>
        <w:t xml:space="preserve">SARTFP </w:t>
      </w:r>
      <w:r>
        <w:rPr>
          <w:rFonts w:ascii="Calibri" w:hAnsi="Calibri" w:cs="Calibri"/>
          <w:color w:val="000000"/>
          <w:sz w:val="22"/>
        </w:rPr>
        <w:t>was designed under DFAT and reflects more recent priorities including an emphasis on gender. These are discussed in more detail in the main findings for both programs.</w:t>
      </w:r>
    </w:p>
    <w:p w14:paraId="6D014B57" w14:textId="45DAE5CA" w:rsidR="00690E73" w:rsidRPr="00AA6899" w:rsidRDefault="00690E73" w:rsidP="00690E73">
      <w:pPr>
        <w:spacing w:after="120"/>
        <w:rPr>
          <w:sz w:val="22"/>
        </w:rPr>
      </w:pPr>
      <w:r w:rsidRPr="00AA6899">
        <w:rPr>
          <w:sz w:val="22"/>
        </w:rPr>
        <w:lastRenderedPageBreak/>
        <w:t>In addition to evaluating IFG and SARTFP, the scope of the evaluation included a comparison of the respective program</w:t>
      </w:r>
      <w:r w:rsidR="00D06349">
        <w:rPr>
          <w:sz w:val="22"/>
        </w:rPr>
        <w:t>’s</w:t>
      </w:r>
      <w:r w:rsidRPr="00AA6899">
        <w:rPr>
          <w:sz w:val="22"/>
        </w:rPr>
        <w:t xml:space="preserve"> management models. A literature review, program documentation, project analysis and interviews provided information for this analysis. In addition to program and project-specific questions, personnel familiar with both programs were interviewed for areas of comparison, and for future improvement or development.</w:t>
      </w:r>
    </w:p>
    <w:p w14:paraId="131CEE70" w14:textId="22A04C59" w:rsidR="004A4EF3" w:rsidRDefault="00690E73" w:rsidP="00690E73">
      <w:pPr>
        <w:spacing w:after="120"/>
        <w:rPr>
          <w:rFonts w:eastAsia="MS Mincho"/>
          <w:sz w:val="22"/>
        </w:rPr>
      </w:pPr>
      <w:r w:rsidRPr="00AA6899">
        <w:rPr>
          <w:sz w:val="22"/>
        </w:rPr>
        <w:t xml:space="preserve">The final part </w:t>
      </w:r>
      <w:r w:rsidRPr="00AA6899">
        <w:rPr>
          <w:rFonts w:eastAsia="MS Mincho"/>
          <w:sz w:val="22"/>
        </w:rPr>
        <w:t xml:space="preserve">of the evaluation considered information and recommendations relevant to future investments and policy decisions. Due to time constraints for the evaluation, resources were prioritised towards the evaluation of both programs (part 1 and 2 of the evaluation). Therefore, recommendations for future DFAT investments highlight areas for attention in a new program but do not provide details on costings or resource mobilisation. </w:t>
      </w:r>
    </w:p>
    <w:p w14:paraId="0ACCEE4D" w14:textId="629B2A74" w:rsidR="004A4EF3" w:rsidRDefault="008B69B9" w:rsidP="004A4EF3">
      <w:pPr>
        <w:rPr>
          <w:sz w:val="22"/>
          <w:lang w:val="en-US"/>
        </w:rPr>
      </w:pPr>
      <w:r>
        <w:rPr>
          <w:sz w:val="22"/>
        </w:rPr>
        <w:t>The timeframes to complete this evaluation were tight.</w:t>
      </w:r>
      <w:r w:rsidR="000F2BA9">
        <w:rPr>
          <w:sz w:val="22"/>
        </w:rPr>
        <w:t xml:space="preserve"> </w:t>
      </w:r>
      <w:r>
        <w:rPr>
          <w:sz w:val="22"/>
          <w:lang w:val="en-US"/>
        </w:rPr>
        <w:t>T</w:t>
      </w:r>
      <w:r w:rsidR="004A4EF3" w:rsidRPr="00713419">
        <w:rPr>
          <w:sz w:val="22"/>
          <w:lang w:val="en-US"/>
        </w:rPr>
        <w:t xml:space="preserve">o ensure efficient use of resources, </w:t>
      </w:r>
      <w:r w:rsidRPr="00713419">
        <w:rPr>
          <w:sz w:val="22"/>
          <w:lang w:val="en-US"/>
        </w:rPr>
        <w:t xml:space="preserve">an iterative </w:t>
      </w:r>
      <w:r>
        <w:rPr>
          <w:sz w:val="22"/>
          <w:lang w:val="en-US"/>
        </w:rPr>
        <w:t>evaluation method was utilised</w:t>
      </w:r>
      <w:r w:rsidR="004A4EF3" w:rsidRPr="00713419">
        <w:rPr>
          <w:sz w:val="22"/>
          <w:lang w:val="en-US"/>
        </w:rPr>
        <w:t>. This started with a literature review that examined the available evidence against the primary and secondary evaluation questions. Key findings from the literature review identified the most pertinent lines of inquiry and additional, more detailed and specific questions for interviews. Concurrently, the evaluation team reviewed project documentation for those projects selected for in-depth analysis</w:t>
      </w:r>
      <w:r w:rsidR="004A4EF3">
        <w:rPr>
          <w:sz w:val="22"/>
          <w:lang w:val="en-US"/>
        </w:rPr>
        <w:t>.</w:t>
      </w:r>
    </w:p>
    <w:p w14:paraId="72DEB984" w14:textId="181381B3" w:rsidR="004A4EF3" w:rsidRPr="00713419" w:rsidRDefault="004A4EF3" w:rsidP="004A4EF3">
      <w:pPr>
        <w:rPr>
          <w:sz w:val="22"/>
          <w:lang w:val="en-US"/>
        </w:rPr>
      </w:pPr>
      <w:r w:rsidRPr="00713419">
        <w:rPr>
          <w:sz w:val="22"/>
          <w:lang w:val="en-US"/>
        </w:rPr>
        <w:t>Then, on the basis of what interviews revealed, more information was requested from informants, mainly grey literature not previously available or</w:t>
      </w:r>
      <w:r>
        <w:rPr>
          <w:sz w:val="22"/>
          <w:lang w:val="en-US"/>
        </w:rPr>
        <w:t xml:space="preserve"> revealed in interviews. </w:t>
      </w:r>
      <w:r w:rsidR="008B69B9">
        <w:rPr>
          <w:sz w:val="22"/>
          <w:lang w:val="en-US"/>
        </w:rPr>
        <w:t>E</w:t>
      </w:r>
      <w:r w:rsidR="008B69B9" w:rsidRPr="00713419">
        <w:rPr>
          <w:sz w:val="22"/>
          <w:lang w:val="en-US"/>
        </w:rPr>
        <w:t>mail and skype calls</w:t>
      </w:r>
      <w:r w:rsidR="008B69B9">
        <w:rPr>
          <w:sz w:val="22"/>
          <w:lang w:val="en-US"/>
        </w:rPr>
        <w:t xml:space="preserve"> were conducted to ask further questions about this information. </w:t>
      </w:r>
    </w:p>
    <w:p w14:paraId="657FE9F9" w14:textId="528BC934" w:rsidR="004A4EF3" w:rsidRDefault="00DB07B6" w:rsidP="004A4EF3">
      <w:r w:rsidRPr="00713419">
        <w:rPr>
          <w:sz w:val="22"/>
          <w:lang w:val="en-US"/>
        </w:rPr>
        <w:t>The weight given by the evaluator to the comments from interviewees is based on an assessment of that individual’s authority and degree of influence over, or proximity to, the relevant aspect of the program</w:t>
      </w:r>
      <w:r w:rsidRPr="00713419">
        <w:rPr>
          <w:sz w:val="22"/>
        </w:rPr>
        <w:t>.</w:t>
      </w:r>
    </w:p>
    <w:p w14:paraId="773FDA62" w14:textId="6185AC74" w:rsidR="004A4EF3" w:rsidRDefault="00DB07B6" w:rsidP="004A4EF3">
      <w:pPr>
        <w:rPr>
          <w:sz w:val="22"/>
          <w:lang w:val="en-US"/>
        </w:rPr>
      </w:pPr>
      <w:r>
        <w:rPr>
          <w:sz w:val="22"/>
          <w:lang w:val="en-US"/>
        </w:rPr>
        <w:t>E</w:t>
      </w:r>
      <w:r w:rsidR="004A4EF3" w:rsidRPr="001B449B">
        <w:rPr>
          <w:sz w:val="22"/>
          <w:lang w:val="en-US"/>
        </w:rPr>
        <w:t xml:space="preserve">vidence informing </w:t>
      </w:r>
      <w:r>
        <w:rPr>
          <w:sz w:val="22"/>
          <w:lang w:val="en-US"/>
        </w:rPr>
        <w:t xml:space="preserve">evaluation </w:t>
      </w:r>
      <w:r w:rsidR="004A4EF3" w:rsidRPr="001B449B">
        <w:rPr>
          <w:sz w:val="22"/>
          <w:lang w:val="en-US"/>
        </w:rPr>
        <w:t xml:space="preserve">findings rests on a combination of the evidence from </w:t>
      </w:r>
      <w:r w:rsidR="004A4EF3">
        <w:rPr>
          <w:sz w:val="22"/>
          <w:lang w:val="en-US"/>
        </w:rPr>
        <w:t>these sources.</w:t>
      </w:r>
    </w:p>
    <w:p w14:paraId="165784D8" w14:textId="3F6372CA" w:rsidR="00A02664" w:rsidRDefault="00A02664">
      <w:pPr>
        <w:spacing w:before="0" w:after="0"/>
        <w:rPr>
          <w:sz w:val="22"/>
          <w:u w:val="single"/>
        </w:rPr>
      </w:pPr>
    </w:p>
    <w:p w14:paraId="5546B973" w14:textId="104085BE" w:rsidR="00690E73" w:rsidRPr="00AA6899" w:rsidRDefault="00690E73" w:rsidP="00690E73">
      <w:pPr>
        <w:spacing w:after="120"/>
        <w:outlineLvl w:val="0"/>
        <w:rPr>
          <w:sz w:val="22"/>
          <w:u w:val="single"/>
        </w:rPr>
      </w:pPr>
      <w:bookmarkStart w:id="2" w:name="_Toc517615226"/>
      <w:r w:rsidRPr="00AA6899">
        <w:rPr>
          <w:sz w:val="22"/>
          <w:u w:val="single"/>
        </w:rPr>
        <w:t>Summary of Evaluation Key Findings</w:t>
      </w:r>
      <w:bookmarkEnd w:id="2"/>
    </w:p>
    <w:p w14:paraId="15455E8D" w14:textId="77777777" w:rsidR="00690E73" w:rsidRPr="00AA6899" w:rsidRDefault="00690E73" w:rsidP="000151BA">
      <w:pPr>
        <w:pStyle w:val="Heading2"/>
      </w:pPr>
      <w:bookmarkStart w:id="3" w:name="_Toc517615227"/>
      <w:r w:rsidRPr="00AA6899">
        <w:t>Part 1: IFG</w:t>
      </w:r>
      <w:bookmarkEnd w:id="3"/>
      <w:r w:rsidRPr="00AA6899">
        <w:t xml:space="preserve"> </w:t>
      </w:r>
    </w:p>
    <w:p w14:paraId="2148FEAC" w14:textId="1DAF4BDB" w:rsidR="00690E73" w:rsidRPr="00AA6899" w:rsidRDefault="00690E73" w:rsidP="00690E73">
      <w:pPr>
        <w:spacing w:after="120"/>
        <w:rPr>
          <w:sz w:val="22"/>
        </w:rPr>
      </w:pPr>
      <w:r w:rsidRPr="00AA6899">
        <w:rPr>
          <w:sz w:val="22"/>
          <w:lang w:val="en-US"/>
        </w:rPr>
        <w:t xml:space="preserve">The evaluation found there is </w:t>
      </w:r>
      <w:r w:rsidRPr="00AA6899">
        <w:rPr>
          <w:b/>
          <w:sz w:val="22"/>
          <w:lang w:val="en-US"/>
        </w:rPr>
        <w:t>good evidence the program has been effective in achieving its goals</w:t>
      </w:r>
      <w:r w:rsidRPr="00AA6899">
        <w:rPr>
          <w:sz w:val="22"/>
          <w:lang w:val="en-US"/>
        </w:rPr>
        <w:t xml:space="preserve">. This included the role of IFG funded </w:t>
      </w:r>
      <w:r w:rsidRPr="00AA6899">
        <w:rPr>
          <w:sz w:val="22"/>
        </w:rPr>
        <w:t xml:space="preserve">research and analysis in addressing knowledge gaps in areas of energy, transport and climate change and improving the quality of World Bank loans. Much of the evidence of effectiveness focused on physical assets such as infrastructure and knowledge products. However, there is less evidence of IFG influencing the way infrastructure projects affect human welfare or gender equality. In general, it was </w:t>
      </w:r>
      <w:r w:rsidRPr="00AA6899">
        <w:rPr>
          <w:b/>
          <w:sz w:val="22"/>
        </w:rPr>
        <w:t xml:space="preserve">challenging to </w:t>
      </w:r>
      <w:r>
        <w:rPr>
          <w:b/>
          <w:sz w:val="22"/>
        </w:rPr>
        <w:t>formulate</w:t>
      </w:r>
      <w:r w:rsidRPr="00AA6899">
        <w:rPr>
          <w:b/>
          <w:sz w:val="22"/>
        </w:rPr>
        <w:t xml:space="preserve"> a coherent narrative of whether IFG investment was effective in achieving broader influence</w:t>
      </w:r>
      <w:r>
        <w:rPr>
          <w:b/>
          <w:sz w:val="22"/>
        </w:rPr>
        <w:t xml:space="preserve"> based on the information available for the evaluation</w:t>
      </w:r>
      <w:r w:rsidRPr="00AA6899">
        <w:rPr>
          <w:sz w:val="22"/>
        </w:rPr>
        <w:t xml:space="preserve">. Furthermore, the </w:t>
      </w:r>
      <w:r w:rsidRPr="00AA6899">
        <w:rPr>
          <w:b/>
          <w:sz w:val="22"/>
        </w:rPr>
        <w:t>absence of a complete strategy and monitoring plan from the outset of the program limits the extent to which effectiveness can be measured</w:t>
      </w:r>
      <w:r w:rsidR="00DD58E5">
        <w:rPr>
          <w:b/>
          <w:sz w:val="22"/>
        </w:rPr>
        <w:t xml:space="preserve">. </w:t>
      </w:r>
      <w:r w:rsidRPr="00AA6899">
        <w:rPr>
          <w:sz w:val="22"/>
        </w:rPr>
        <w:t>IFG operated without a results framework</w:t>
      </w:r>
      <w:r w:rsidR="00DD58E5">
        <w:rPr>
          <w:sz w:val="22"/>
        </w:rPr>
        <w:t xml:space="preserve"> for most of the time,</w:t>
      </w:r>
      <w:r w:rsidRPr="00AA6899">
        <w:rPr>
          <w:sz w:val="22"/>
        </w:rPr>
        <w:t xml:space="preserve"> which would have defined the indicators of effectiveness.</w:t>
      </w:r>
    </w:p>
    <w:p w14:paraId="085ECFD9" w14:textId="6E4D1149" w:rsidR="00690E73" w:rsidRPr="00AA6899" w:rsidRDefault="00690E73" w:rsidP="00690E73">
      <w:pPr>
        <w:spacing w:after="120"/>
        <w:rPr>
          <w:sz w:val="22"/>
        </w:rPr>
      </w:pPr>
      <w:r w:rsidRPr="00AA6899">
        <w:rPr>
          <w:sz w:val="22"/>
        </w:rPr>
        <w:t>There is evidence IFG research and analysis enabled the World Bank transport team to approach issues from a connectivity and logistics standpoint rather than simply responding to loan requests. In</w:t>
      </w:r>
      <w:r w:rsidRPr="00B2711A">
        <w:rPr>
          <w:sz w:val="22"/>
        </w:rPr>
        <w:t xml:space="preserve"> the IFG Project “Eastern Corridor Intermodal Transport and Logistics in India”, IFG funding helped the World Bank and Government of India recognise that infrastructure projects are not sufficient to boost growth, but need to be part of a whole system that connects people to each other, to government services, and to markets</w:t>
      </w:r>
      <w:r w:rsidRPr="00AA6899">
        <w:rPr>
          <w:sz w:val="22"/>
        </w:rPr>
        <w:t>.</w:t>
      </w:r>
    </w:p>
    <w:p w14:paraId="3858769F" w14:textId="24EE2318" w:rsidR="00690E73" w:rsidRPr="00AA6899" w:rsidRDefault="00690E73" w:rsidP="00690E73">
      <w:pPr>
        <w:spacing w:after="120"/>
        <w:rPr>
          <w:sz w:val="22"/>
        </w:rPr>
      </w:pPr>
      <w:r w:rsidRPr="00AA6899">
        <w:rPr>
          <w:sz w:val="22"/>
        </w:rPr>
        <w:t xml:space="preserve">There is some evidence of IFG’s analytical work being associated with other investments but evidence of the precise role that IFG plays in attracting such investment is not well defined. </w:t>
      </w:r>
      <w:r w:rsidRPr="00B2711A">
        <w:rPr>
          <w:sz w:val="22"/>
        </w:rPr>
        <w:t xml:space="preserve">It was not clear the extent to which IFG unlocked additional lending that would not otherwise have been made. </w:t>
      </w:r>
      <w:r w:rsidRPr="00AA6899">
        <w:rPr>
          <w:sz w:val="22"/>
        </w:rPr>
        <w:t>Understanding the pathway of how an IFG project influenced change is important for both the World Bank and DFAT, especially when considering the scale of the portfolio.</w:t>
      </w:r>
    </w:p>
    <w:p w14:paraId="4DA2659F" w14:textId="0508C2B3" w:rsidR="00745EBC" w:rsidRPr="00A02664" w:rsidRDefault="00690E73" w:rsidP="00A02664">
      <w:pPr>
        <w:rPr>
          <w:sz w:val="22"/>
        </w:rPr>
      </w:pPr>
      <w:r w:rsidRPr="00A02664">
        <w:rPr>
          <w:sz w:val="22"/>
        </w:rPr>
        <w:lastRenderedPageBreak/>
        <w:t xml:space="preserve">Regarding efficiency, some projects had variations to their original grant allocation in the February 2018 data. </w:t>
      </w:r>
      <w:r w:rsidR="009F64BC">
        <w:rPr>
          <w:sz w:val="22"/>
        </w:rPr>
        <w:t>T</w:t>
      </w:r>
      <w:r w:rsidRPr="00A02664">
        <w:rPr>
          <w:sz w:val="22"/>
        </w:rPr>
        <w:t xml:space="preserve">he World Bank </w:t>
      </w:r>
      <w:r w:rsidR="000A7ED2" w:rsidRPr="00A02664">
        <w:rPr>
          <w:sz w:val="22"/>
        </w:rPr>
        <w:t>satisfactorily explained their internal process for accounting for these shortfalls</w:t>
      </w:r>
      <w:r w:rsidR="000A7ED2">
        <w:rPr>
          <w:sz w:val="22"/>
        </w:rPr>
        <w:t xml:space="preserve">. </w:t>
      </w:r>
      <w:r w:rsidR="006A6587">
        <w:rPr>
          <w:rFonts w:ascii="Calibri" w:hAnsi="Calibri"/>
          <w:color w:val="000000"/>
          <w:sz w:val="22"/>
        </w:rPr>
        <w:t>The evaluators did not</w:t>
      </w:r>
      <w:r w:rsidR="00AD7F0F">
        <w:rPr>
          <w:rFonts w:ascii="Calibri" w:hAnsi="Calibri"/>
          <w:color w:val="000000"/>
          <w:sz w:val="22"/>
        </w:rPr>
        <w:t xml:space="preserve"> access</w:t>
      </w:r>
      <w:r w:rsidR="006A6587">
        <w:rPr>
          <w:rFonts w:ascii="Calibri" w:hAnsi="Calibri"/>
          <w:color w:val="000000"/>
          <w:sz w:val="22"/>
        </w:rPr>
        <w:t xml:space="preserve"> the World Bank’s online</w:t>
      </w:r>
      <w:r w:rsidR="00FA0216">
        <w:rPr>
          <w:rFonts w:ascii="Calibri" w:hAnsi="Calibri"/>
          <w:color w:val="000000"/>
          <w:sz w:val="22"/>
        </w:rPr>
        <w:t xml:space="preserve"> reporting system which contains more detailed financial information. </w:t>
      </w:r>
      <w:r w:rsidR="006A6587">
        <w:rPr>
          <w:rFonts w:ascii="Calibri" w:hAnsi="Calibri"/>
          <w:color w:val="000000"/>
          <w:sz w:val="22"/>
        </w:rPr>
        <w:t xml:space="preserve"> </w:t>
      </w:r>
      <w:r w:rsidR="009F64BC" w:rsidRPr="00CF021A">
        <w:rPr>
          <w:sz w:val="22"/>
        </w:rPr>
        <w:t>However,</w:t>
      </w:r>
      <w:r w:rsidRPr="00CF021A">
        <w:rPr>
          <w:sz w:val="22"/>
        </w:rPr>
        <w:t xml:space="preserve"> the data sets shared</w:t>
      </w:r>
      <w:r w:rsidR="00745EBC" w:rsidRPr="00CF021A">
        <w:rPr>
          <w:sz w:val="22"/>
        </w:rPr>
        <w:t xml:space="preserve"> with the evaluators</w:t>
      </w:r>
      <w:r w:rsidR="009F64BC" w:rsidRPr="00BF5A93">
        <w:rPr>
          <w:sz w:val="22"/>
        </w:rPr>
        <w:t xml:space="preserve"> </w:t>
      </w:r>
      <w:r w:rsidR="009F64BC" w:rsidRPr="00CF021A">
        <w:rPr>
          <w:sz w:val="22"/>
        </w:rPr>
        <w:t>by both the World bank and DFAT, did not include</w:t>
      </w:r>
      <w:r w:rsidR="000A7ED2" w:rsidRPr="004C3817">
        <w:rPr>
          <w:sz w:val="22"/>
        </w:rPr>
        <w:t xml:space="preserve"> </w:t>
      </w:r>
      <w:r w:rsidR="00FA0216" w:rsidRPr="00BF5A93">
        <w:rPr>
          <w:rFonts w:ascii="Calibri" w:hAnsi="Calibri"/>
          <w:color w:val="000000"/>
          <w:sz w:val="22"/>
        </w:rPr>
        <w:t>creation date</w:t>
      </w:r>
      <w:r w:rsidR="00FA0216" w:rsidRPr="00CF021A">
        <w:rPr>
          <w:rFonts w:ascii="Calibri" w:hAnsi="Calibri"/>
          <w:color w:val="000000"/>
          <w:sz w:val="22"/>
        </w:rPr>
        <w:t xml:space="preserve">s and version control, and discrepancies between data sets were not </w:t>
      </w:r>
      <w:r w:rsidR="00FA0216" w:rsidRPr="00491305">
        <w:rPr>
          <w:rFonts w:ascii="Calibri" w:hAnsi="Calibri"/>
          <w:color w:val="000000"/>
          <w:sz w:val="22"/>
        </w:rPr>
        <w:t>clear</w:t>
      </w:r>
      <w:r w:rsidRPr="00491305">
        <w:rPr>
          <w:sz w:val="22"/>
        </w:rPr>
        <w:t xml:space="preserve">. </w:t>
      </w:r>
      <w:r w:rsidR="00745EBC" w:rsidRPr="00491305">
        <w:rPr>
          <w:b/>
          <w:sz w:val="22"/>
        </w:rPr>
        <w:t>Agreement</w:t>
      </w:r>
      <w:r w:rsidR="00745EBC" w:rsidRPr="00A02664">
        <w:rPr>
          <w:b/>
          <w:sz w:val="22"/>
        </w:rPr>
        <w:t xml:space="preserve"> on a common reporting standard for reporting grant data would allow opportunities for discussing significant budget reallocations with DFAT.</w:t>
      </w:r>
    </w:p>
    <w:p w14:paraId="00F39665" w14:textId="28F77AE8" w:rsidR="00690E73" w:rsidRPr="00AA6899" w:rsidRDefault="00690E73" w:rsidP="00690E73">
      <w:pPr>
        <w:spacing w:after="120"/>
        <w:rPr>
          <w:sz w:val="22"/>
        </w:rPr>
      </w:pPr>
      <w:r w:rsidRPr="00AA6899">
        <w:rPr>
          <w:sz w:val="22"/>
        </w:rPr>
        <w:t xml:space="preserve">Examining the objectives and activities of select IFG projects, and interviewing World Bank and DFAT staff showed that </w:t>
      </w:r>
      <w:r w:rsidRPr="00AA6899">
        <w:rPr>
          <w:b/>
          <w:sz w:val="22"/>
        </w:rPr>
        <w:t>IFG remains relevant to Australia’s changing aid priorities.</w:t>
      </w:r>
      <w:r w:rsidRPr="00AA6899">
        <w:rPr>
          <w:sz w:val="22"/>
        </w:rPr>
        <w:t xml:space="preserve"> It encompasses DFAT’s investment priorities in gender equality; empowering women and girls; infrastructure; trade facilitation; and international competitiveness. These coincide with Australia’s aid policy and economic diplomacy agenda, as well as priorities in the recent Foreign Policy White Paper.</w:t>
      </w:r>
    </w:p>
    <w:p w14:paraId="1BDD5AC3" w14:textId="77777777" w:rsidR="00690E73" w:rsidRPr="00AA6899" w:rsidRDefault="00690E73" w:rsidP="00690E73">
      <w:pPr>
        <w:spacing w:after="120"/>
        <w:rPr>
          <w:sz w:val="22"/>
        </w:rPr>
      </w:pPr>
      <w:r w:rsidRPr="00AA6899">
        <w:rPr>
          <w:sz w:val="22"/>
        </w:rPr>
        <w:t xml:space="preserve">This evaluation finds that </w:t>
      </w:r>
      <w:r w:rsidRPr="00AA6899">
        <w:rPr>
          <w:b/>
          <w:sz w:val="22"/>
        </w:rPr>
        <w:t>gender being a cross-cutting theme in IFG did not lead to gender equality being integrated into all projects</w:t>
      </w:r>
      <w:r w:rsidRPr="00AA6899">
        <w:rPr>
          <w:sz w:val="22"/>
        </w:rPr>
        <w:t>. Instead, a small number of projects with 100 per cent gender focus which offset the majority that reported none, or little focus.</w:t>
      </w:r>
    </w:p>
    <w:p w14:paraId="15EFBBEB" w14:textId="44E4E6B7" w:rsidR="00690E73" w:rsidRPr="00AA6899" w:rsidRDefault="00690E73" w:rsidP="00690E73">
      <w:pPr>
        <w:spacing w:after="120"/>
        <w:rPr>
          <w:sz w:val="22"/>
        </w:rPr>
      </w:pPr>
      <w:r w:rsidRPr="00AA6899">
        <w:rPr>
          <w:sz w:val="22"/>
        </w:rPr>
        <w:t xml:space="preserve">There was consensus among World Bank staff interviewed that </w:t>
      </w:r>
      <w:r w:rsidRPr="00AA6899">
        <w:rPr>
          <w:b/>
          <w:sz w:val="22"/>
        </w:rPr>
        <w:t>integrating gender equality is a work in progress</w:t>
      </w:r>
      <w:r w:rsidRPr="00AA6899">
        <w:rPr>
          <w:sz w:val="22"/>
        </w:rPr>
        <w:t xml:space="preserve"> and there were internal challenges in integrating gender into a traditionally ‘gender-blind’ space. Interviews with Task Team Leaders revealed differing views about the importance and practicalities of integrating gender equality into their projects.</w:t>
      </w:r>
      <w:r w:rsidR="0056370A">
        <w:rPr>
          <w:sz w:val="22"/>
        </w:rPr>
        <w:t xml:space="preserve"> Some Bank staff articulated how a gender lens can be applied in the context of the projects they manage but for others it was not obvious. </w:t>
      </w:r>
      <w:r w:rsidRPr="00AA6899">
        <w:rPr>
          <w:sz w:val="22"/>
        </w:rPr>
        <w:t xml:space="preserve">For instance, one Bank official stated that macroeconomic assessments do not always ask the social questions, so appeared to lack a logical entry point to include gender. </w:t>
      </w:r>
    </w:p>
    <w:p w14:paraId="2908D384" w14:textId="1C73C94F" w:rsidR="00690E73" w:rsidRPr="00AA6899" w:rsidRDefault="00690E73" w:rsidP="00690E73">
      <w:pPr>
        <w:spacing w:after="120"/>
        <w:rPr>
          <w:sz w:val="22"/>
        </w:rPr>
      </w:pPr>
      <w:r w:rsidRPr="00AA6899">
        <w:rPr>
          <w:b/>
          <w:sz w:val="22"/>
        </w:rPr>
        <w:t>However, there is appreciation in the World Bank that consultation including marginalised groups – such as women – can strengthen the design of projects</w:t>
      </w:r>
      <w:r w:rsidRPr="00AA6899">
        <w:rPr>
          <w:sz w:val="22"/>
        </w:rPr>
        <w:t xml:space="preserve">. Where this has happened, it has been effective, as seen in the civic engagement platform for urban service delivery in Chittagong. Also, the evaluation found evidence that </w:t>
      </w:r>
      <w:r w:rsidRPr="00AA6899">
        <w:rPr>
          <w:b/>
          <w:sz w:val="22"/>
        </w:rPr>
        <w:t>where the teams have the capacity, technical know-how and resources to follow up on gender issues, they are more likely to do it</w:t>
      </w:r>
      <w:r w:rsidRPr="00AA6899">
        <w:rPr>
          <w:sz w:val="22"/>
        </w:rPr>
        <w:t xml:space="preserve">. This highlights the need </w:t>
      </w:r>
      <w:r>
        <w:rPr>
          <w:sz w:val="22"/>
        </w:rPr>
        <w:t>to support</w:t>
      </w:r>
      <w:r w:rsidRPr="00AA6899">
        <w:rPr>
          <w:sz w:val="22"/>
        </w:rPr>
        <w:t xml:space="preserve"> more input from the Bank’s Social Development team and the respective Global Practice Gender Focal Points to address this gap between aspiration and practice.</w:t>
      </w:r>
    </w:p>
    <w:p w14:paraId="52A7466E" w14:textId="77777777" w:rsidR="00690E73" w:rsidRPr="00AA6899" w:rsidRDefault="00690E73" w:rsidP="000151BA">
      <w:pPr>
        <w:pStyle w:val="Heading2"/>
      </w:pPr>
      <w:bookmarkStart w:id="4" w:name="_Toc517615228"/>
      <w:r w:rsidRPr="00AA6899">
        <w:t>Part 2: SARTFP</w:t>
      </w:r>
      <w:bookmarkEnd w:id="4"/>
    </w:p>
    <w:p w14:paraId="7645D97D" w14:textId="77777777" w:rsidR="00690E73" w:rsidRPr="00AA6899" w:rsidRDefault="00690E73" w:rsidP="00690E73">
      <w:pPr>
        <w:spacing w:after="120"/>
        <w:rPr>
          <w:sz w:val="22"/>
        </w:rPr>
      </w:pPr>
      <w:r w:rsidRPr="00AA6899">
        <w:rPr>
          <w:sz w:val="22"/>
        </w:rPr>
        <w:t xml:space="preserve">Although SARTFP has been implementing activities for </w:t>
      </w:r>
      <w:r w:rsidR="00C33440">
        <w:rPr>
          <w:sz w:val="22"/>
        </w:rPr>
        <w:t xml:space="preserve">a </w:t>
      </w:r>
      <w:r w:rsidRPr="00AA6899">
        <w:rPr>
          <w:sz w:val="22"/>
        </w:rPr>
        <w:t xml:space="preserve">shorter time than IFG, the evaluation found </w:t>
      </w:r>
      <w:r w:rsidRPr="00AA6899">
        <w:rPr>
          <w:b/>
          <w:sz w:val="22"/>
        </w:rPr>
        <w:t>development outcomes are beginning to emerge, including contributions to regional connectivity, trade facilitation and gender</w:t>
      </w:r>
      <w:r w:rsidRPr="00AA6899">
        <w:rPr>
          <w:sz w:val="22"/>
        </w:rPr>
        <w:t xml:space="preserve">. These are </w:t>
      </w:r>
      <w:r w:rsidRPr="00AA6899">
        <w:rPr>
          <w:b/>
          <w:sz w:val="22"/>
        </w:rPr>
        <w:t>strongest at the micro level</w:t>
      </w:r>
      <w:r w:rsidRPr="00AA6899">
        <w:rPr>
          <w:sz w:val="22"/>
        </w:rPr>
        <w:t xml:space="preserve"> (for instance cross-border markets, inland waterways). Reporting on results could be improved if monitoring and evaluation was better aligned with the structure of the program, and the Medium-Term Outcomes (MTOs) were renamed as long-term outcomes. Developing some short- to medium-term outputs and indicators would then enable such results to inform course correction by the program where needed.</w:t>
      </w:r>
    </w:p>
    <w:p w14:paraId="70B58BBD" w14:textId="538751AC" w:rsidR="00690E73" w:rsidRPr="00AA6899" w:rsidRDefault="00690E73" w:rsidP="00690E73">
      <w:pPr>
        <w:spacing w:after="120"/>
        <w:rPr>
          <w:sz w:val="22"/>
        </w:rPr>
      </w:pPr>
      <w:r w:rsidRPr="00AA6899">
        <w:rPr>
          <w:b/>
          <w:sz w:val="22"/>
        </w:rPr>
        <w:t>The program strategy encourages SARTFP to be more innovative</w:t>
      </w:r>
      <w:r w:rsidRPr="00AA6899">
        <w:rPr>
          <w:sz w:val="22"/>
        </w:rPr>
        <w:t xml:space="preserve"> than IFG, with</w:t>
      </w:r>
      <w:r>
        <w:rPr>
          <w:sz w:val="22"/>
        </w:rPr>
        <w:t xml:space="preserve"> the</w:t>
      </w:r>
      <w:r w:rsidRPr="00AA6899">
        <w:rPr>
          <w:sz w:val="22"/>
        </w:rPr>
        <w:t xml:space="preserve"> donor understanding that the side-effect of encouraging innovation is greater uncertainty about positive impact and the time it takes for measurable outcomes to emerge. </w:t>
      </w:r>
      <w:r w:rsidRPr="004C3817">
        <w:rPr>
          <w:sz w:val="22"/>
        </w:rPr>
        <w:t>Because innovation requires an adaptable project design that reacts quickly to changing outputs</w:t>
      </w:r>
      <w:r w:rsidRPr="00C96260">
        <w:rPr>
          <w:sz w:val="22"/>
        </w:rPr>
        <w:t>,</w:t>
      </w:r>
      <w:r>
        <w:rPr>
          <w:sz w:val="22"/>
        </w:rPr>
        <w:t xml:space="preserve"> </w:t>
      </w:r>
      <w:r w:rsidRPr="00AA6899">
        <w:rPr>
          <w:sz w:val="22"/>
        </w:rPr>
        <w:t xml:space="preserve">it </w:t>
      </w:r>
      <w:r>
        <w:rPr>
          <w:sz w:val="22"/>
        </w:rPr>
        <w:t xml:space="preserve">is </w:t>
      </w:r>
      <w:r w:rsidRPr="00AA6899">
        <w:rPr>
          <w:b/>
          <w:sz w:val="22"/>
        </w:rPr>
        <w:t>crucial that SARTFP work is measured and communicated effectively</w:t>
      </w:r>
      <w:r w:rsidRPr="00AA6899">
        <w:rPr>
          <w:sz w:val="22"/>
        </w:rPr>
        <w:t xml:space="preserve">. Senior members of the SARTFP Secretariat acknowledged communication </w:t>
      </w:r>
      <w:r w:rsidR="00C96260">
        <w:rPr>
          <w:sz w:val="22"/>
        </w:rPr>
        <w:t>could be improved</w:t>
      </w:r>
      <w:r w:rsidRPr="00AA6899">
        <w:rPr>
          <w:sz w:val="22"/>
        </w:rPr>
        <w:t xml:space="preserve">, and both World Bank and DFAT interviewees agreed that the style and substance of communications and annual reports need more clarity and structure.  </w:t>
      </w:r>
    </w:p>
    <w:p w14:paraId="7FBED142" w14:textId="315205D1" w:rsidR="00690E73" w:rsidRPr="00AA6899" w:rsidRDefault="00C96260" w:rsidP="00690E73">
      <w:pPr>
        <w:spacing w:after="120"/>
        <w:rPr>
          <w:sz w:val="22"/>
        </w:rPr>
      </w:pPr>
      <w:r>
        <w:rPr>
          <w:sz w:val="22"/>
        </w:rPr>
        <w:t>T</w:t>
      </w:r>
      <w:r w:rsidRPr="00AA6899">
        <w:rPr>
          <w:sz w:val="22"/>
        </w:rPr>
        <w:t xml:space="preserve">he </w:t>
      </w:r>
      <w:r w:rsidRPr="00AA6899">
        <w:rPr>
          <w:b/>
          <w:sz w:val="22"/>
        </w:rPr>
        <w:t>SARTFP Secretariat</w:t>
      </w:r>
      <w:r w:rsidRPr="00AA6899">
        <w:rPr>
          <w:sz w:val="22"/>
        </w:rPr>
        <w:t xml:space="preserve"> </w:t>
      </w:r>
      <w:r>
        <w:rPr>
          <w:sz w:val="22"/>
        </w:rPr>
        <w:t>was fully staffed by August 2016 and</w:t>
      </w:r>
      <w:r w:rsidR="00690E73" w:rsidRPr="00AA6899">
        <w:rPr>
          <w:sz w:val="22"/>
        </w:rPr>
        <w:t xml:space="preserve">, there is good evidence </w:t>
      </w:r>
      <w:r w:rsidR="00690E73" w:rsidRPr="00AA6899">
        <w:rPr>
          <w:b/>
          <w:sz w:val="22"/>
        </w:rPr>
        <w:t>strengthens the ability of the program to meet its objectives</w:t>
      </w:r>
      <w:r w:rsidR="00690E73" w:rsidRPr="00AA6899">
        <w:rPr>
          <w:sz w:val="22"/>
        </w:rPr>
        <w:t xml:space="preserve">. For example, because of robust internal review </w:t>
      </w:r>
      <w:r w:rsidR="00690E73" w:rsidRPr="00AA6899">
        <w:rPr>
          <w:sz w:val="22"/>
        </w:rPr>
        <w:lastRenderedPageBreak/>
        <w:t xml:space="preserve">and quality assurance processes there is evidence Task Team Leaders </w:t>
      </w:r>
      <w:r w:rsidR="00954645">
        <w:rPr>
          <w:sz w:val="22"/>
        </w:rPr>
        <w:t xml:space="preserve">have </w:t>
      </w:r>
      <w:r w:rsidR="00954645" w:rsidRPr="00AA6899">
        <w:rPr>
          <w:sz w:val="22"/>
        </w:rPr>
        <w:t>expand</w:t>
      </w:r>
      <w:r w:rsidR="00954645">
        <w:rPr>
          <w:sz w:val="22"/>
        </w:rPr>
        <w:t>ed</w:t>
      </w:r>
      <w:r w:rsidR="00954645" w:rsidRPr="00AA6899">
        <w:rPr>
          <w:sz w:val="22"/>
        </w:rPr>
        <w:t xml:space="preserve"> </w:t>
      </w:r>
      <w:r w:rsidR="00690E73" w:rsidRPr="00AA6899">
        <w:rPr>
          <w:sz w:val="22"/>
        </w:rPr>
        <w:t>their skills to encompass designing projects with a gender lens.</w:t>
      </w:r>
    </w:p>
    <w:p w14:paraId="566EDE11" w14:textId="77777777" w:rsidR="00690E73" w:rsidRPr="00AA6899" w:rsidRDefault="00690E73" w:rsidP="00690E73">
      <w:pPr>
        <w:spacing w:after="120"/>
        <w:rPr>
          <w:sz w:val="22"/>
        </w:rPr>
      </w:pPr>
      <w:r w:rsidRPr="00AA6899">
        <w:rPr>
          <w:sz w:val="22"/>
        </w:rPr>
        <w:t xml:space="preserve">SARTFP intends to help the World Bank improve its policies and processes in the region and the evaluation found evidence the </w:t>
      </w:r>
      <w:r w:rsidRPr="00AA6899">
        <w:rPr>
          <w:b/>
          <w:sz w:val="22"/>
        </w:rPr>
        <w:t>program creates space for innovators within the Bank to design projects that integrate gender equality and inclusive development objectives</w:t>
      </w:r>
      <w:r w:rsidRPr="00AA6899">
        <w:rPr>
          <w:sz w:val="22"/>
        </w:rPr>
        <w:t>. World Bank staff who were involved in the early stages of SARTFP (co-developing the SARTFP theory of change and results framework, discussing proposals with DFAT and the Technical Advisory Facility) stated this planning phase was a rich experience where they had honest discussions about their project proposals and challenges in achieving objectives.</w:t>
      </w:r>
    </w:p>
    <w:p w14:paraId="764A0D36" w14:textId="07B7DF05" w:rsidR="00690E73" w:rsidRPr="00AA6899" w:rsidRDefault="00690E73" w:rsidP="00690E73">
      <w:pPr>
        <w:spacing w:after="120"/>
        <w:rPr>
          <w:sz w:val="22"/>
        </w:rPr>
      </w:pPr>
      <w:r w:rsidRPr="00AA6899">
        <w:rPr>
          <w:sz w:val="22"/>
        </w:rPr>
        <w:t xml:space="preserve">Although difficult to judge at this early stage of the program, </w:t>
      </w:r>
      <w:r w:rsidRPr="00AA6899">
        <w:rPr>
          <w:b/>
          <w:sz w:val="22"/>
        </w:rPr>
        <w:t>by engaging with a range of partners, SARTFP has begun to influence how complementary investments by other donors may support its objectives</w:t>
      </w:r>
      <w:r w:rsidRPr="00AA6899">
        <w:rPr>
          <w:sz w:val="22"/>
        </w:rPr>
        <w:t>. For example, the Bank notes a change in thinking by ADB, JICA and DfID, influenced by a SARTFP report containing analytic findings on gender issues such as female wage employment under the Economic Corridors of South Asia activity. Where SARTFP is seen as leading this discussion, it opens up more opportunities to introduce analysis and influence policy.</w:t>
      </w:r>
    </w:p>
    <w:p w14:paraId="11E9C50F" w14:textId="33F383A1" w:rsidR="00690E73" w:rsidRPr="00AA6899" w:rsidRDefault="00690E73" w:rsidP="00690E73">
      <w:pPr>
        <w:spacing w:after="120"/>
        <w:rPr>
          <w:sz w:val="22"/>
        </w:rPr>
      </w:pPr>
      <w:r w:rsidRPr="00AA6899">
        <w:rPr>
          <w:sz w:val="22"/>
        </w:rPr>
        <w:t xml:space="preserve">Overall, the evaluation found good evidence </w:t>
      </w:r>
      <w:r w:rsidRPr="00AA6899">
        <w:rPr>
          <w:b/>
          <w:sz w:val="22"/>
        </w:rPr>
        <w:t>SARTFP is being managed efficiently</w:t>
      </w:r>
      <w:r w:rsidRPr="00AA6899">
        <w:rPr>
          <w:sz w:val="22"/>
        </w:rPr>
        <w:t xml:space="preserve">. Evidence from the literature review and interviews indicated that the World Bank’s SARTFP Secretariat and Internal Review Committee (IRC) are adding value and contributing to an enabling environment for the program to be fully operationalised. </w:t>
      </w:r>
    </w:p>
    <w:p w14:paraId="50398E6A" w14:textId="7E6A7903" w:rsidR="00690E73" w:rsidRPr="00AA6899" w:rsidRDefault="00690E73" w:rsidP="00690E73">
      <w:pPr>
        <w:spacing w:after="120"/>
        <w:rPr>
          <w:sz w:val="22"/>
        </w:rPr>
      </w:pPr>
      <w:r w:rsidRPr="00AA6899">
        <w:rPr>
          <w:sz w:val="22"/>
          <w:lang w:val="en-AU"/>
        </w:rPr>
        <w:t>There is good evidence of the TAF working closely with DFAT and the WB to develop the theory of change and results framework that explicitly addressed gender equality</w:t>
      </w:r>
      <w:r w:rsidR="006D5411">
        <w:rPr>
          <w:sz w:val="22"/>
          <w:lang w:val="en-AU"/>
        </w:rPr>
        <w:t>. This</w:t>
      </w:r>
      <w:r w:rsidRPr="00AA6899">
        <w:rPr>
          <w:sz w:val="22"/>
          <w:lang w:val="en-AU"/>
        </w:rPr>
        <w:t xml:space="preserve"> has provided clarity and coherence to the program. </w:t>
      </w:r>
      <w:r w:rsidRPr="00AA6899">
        <w:rPr>
          <w:b/>
          <w:sz w:val="22"/>
        </w:rPr>
        <w:t>However, clarity over roles between DFAT and the TAF is needed if the investment is to continue and remain efficient</w:t>
      </w:r>
      <w:r w:rsidRPr="00AA6899">
        <w:rPr>
          <w:sz w:val="22"/>
        </w:rPr>
        <w:t>. The performance of the TAF is discussed in more detail in part three of the evaluation findings.</w:t>
      </w:r>
    </w:p>
    <w:p w14:paraId="4B195AAA" w14:textId="200D95E6" w:rsidR="00690E73" w:rsidRPr="00AA6899" w:rsidRDefault="00690E73" w:rsidP="00690E73">
      <w:pPr>
        <w:spacing w:after="120"/>
        <w:rPr>
          <w:sz w:val="22"/>
        </w:rPr>
      </w:pPr>
      <w:r w:rsidRPr="00AA6899">
        <w:rPr>
          <w:sz w:val="22"/>
        </w:rPr>
        <w:t xml:space="preserve">Like IFG, </w:t>
      </w:r>
      <w:r w:rsidRPr="00AA6899">
        <w:rPr>
          <w:b/>
          <w:sz w:val="22"/>
        </w:rPr>
        <w:t>SARTFP remains relevant to Australia’s aid priorities and</w:t>
      </w:r>
      <w:r w:rsidRPr="00AA6899">
        <w:rPr>
          <w:rFonts w:eastAsiaTheme="minorHAnsi"/>
          <w:b/>
          <w:sz w:val="22"/>
          <w:lang w:val="en-US"/>
        </w:rPr>
        <w:t xml:space="preserve"> Foreign Policy White Paper</w:t>
      </w:r>
      <w:r w:rsidRPr="00AA6899">
        <w:rPr>
          <w:rFonts w:eastAsiaTheme="minorHAnsi"/>
          <w:sz w:val="22"/>
          <w:lang w:val="en-US"/>
        </w:rPr>
        <w:t>.</w:t>
      </w:r>
      <w:r w:rsidRPr="00AA6899">
        <w:rPr>
          <w:sz w:val="22"/>
        </w:rPr>
        <w:t xml:space="preserve"> </w:t>
      </w:r>
      <w:r w:rsidRPr="00AA6899">
        <w:rPr>
          <w:rFonts w:eastAsiaTheme="minorHAnsi"/>
          <w:sz w:val="22"/>
          <w:lang w:val="en-US"/>
        </w:rPr>
        <w:t xml:space="preserve">SARTFP encompasses DFAT objectives, </w:t>
      </w:r>
      <w:r w:rsidRPr="00AA6899">
        <w:rPr>
          <w:sz w:val="22"/>
        </w:rPr>
        <w:t>such as a commitment to both supporting economic growth and women’s economic empowerment in the Indo-Pacific region. It reflects DFAT’s</w:t>
      </w:r>
      <w:r w:rsidRPr="00AA6899">
        <w:rPr>
          <w:rFonts w:ascii="MS Mincho" w:eastAsia="MS Mincho" w:hAnsi="MS Mincho" w:cs="MS Mincho"/>
          <w:sz w:val="22"/>
        </w:rPr>
        <w:t xml:space="preserve"> </w:t>
      </w:r>
      <w:r w:rsidRPr="00AA6899">
        <w:rPr>
          <w:rFonts w:eastAsiaTheme="minorHAnsi"/>
          <w:sz w:val="22"/>
          <w:lang w:val="en-US"/>
        </w:rPr>
        <w:t xml:space="preserve">investment priorities in gender equality and empowering women and girls, infrastructure, trade facilitation and international competitiveness. </w:t>
      </w:r>
    </w:p>
    <w:p w14:paraId="26B803A7" w14:textId="443C6D4C" w:rsidR="00690E73" w:rsidRPr="00AA6899" w:rsidRDefault="00690E73" w:rsidP="00690E73">
      <w:pPr>
        <w:spacing w:after="120"/>
        <w:rPr>
          <w:b/>
          <w:i/>
          <w:sz w:val="22"/>
        </w:rPr>
      </w:pPr>
      <w:r w:rsidRPr="00AA6899">
        <w:rPr>
          <w:b/>
          <w:sz w:val="22"/>
        </w:rPr>
        <w:t>Gender equality is at the heart of SARTFP’s work and is beginning to show it can influence systems both within and outside the World Bank</w:t>
      </w:r>
      <w:r w:rsidRPr="00AA6899">
        <w:rPr>
          <w:sz w:val="22"/>
        </w:rPr>
        <w:t xml:space="preserve">. There is evidence the gender focus of SARTFP is providing resources that do not exist elsewhere for innovators and early adopters in the Bank to demonstrate how gender equality can be integrated into all projects. </w:t>
      </w:r>
      <w:r w:rsidRPr="00AA6899">
        <w:rPr>
          <w:rFonts w:eastAsia="Calibri"/>
          <w:sz w:val="22"/>
        </w:rPr>
        <w:t>One such example is the Buddhist Circuit, which is exploring tourism as a means of poverty reduction and inclusive growth.</w:t>
      </w:r>
    </w:p>
    <w:p w14:paraId="7C70D39D" w14:textId="77777777" w:rsidR="00690E73" w:rsidRPr="00AA6899" w:rsidRDefault="00690E73" w:rsidP="000151BA">
      <w:pPr>
        <w:pStyle w:val="Heading2"/>
      </w:pPr>
      <w:bookmarkStart w:id="5" w:name="_Toc517615229"/>
      <w:r w:rsidRPr="00AA6899">
        <w:t>Part 3: Comparison of the program’s management and implementation models</w:t>
      </w:r>
      <w:bookmarkEnd w:id="5"/>
    </w:p>
    <w:p w14:paraId="0F7325D9" w14:textId="0596DC0D" w:rsidR="00690E73" w:rsidRPr="00AA6899" w:rsidRDefault="00690E73" w:rsidP="00690E73">
      <w:pPr>
        <w:spacing w:after="120"/>
        <w:rPr>
          <w:sz w:val="22"/>
          <w:lang w:val="en-AU"/>
        </w:rPr>
      </w:pPr>
      <w:r w:rsidRPr="00AA6899">
        <w:rPr>
          <w:sz w:val="22"/>
        </w:rPr>
        <w:t xml:space="preserve">The evaluation found the management models for IFG and SARTFP, which were </w:t>
      </w:r>
      <w:r w:rsidRPr="00AA6899">
        <w:rPr>
          <w:b/>
          <w:sz w:val="22"/>
        </w:rPr>
        <w:t>characterised as partner-led and partnership, both had their strengths and weaknesses, but were not wholly understood in the same way by both parties</w:t>
      </w:r>
      <w:r w:rsidRPr="00AA6899">
        <w:rPr>
          <w:sz w:val="22"/>
        </w:rPr>
        <w:t>.</w:t>
      </w:r>
    </w:p>
    <w:p w14:paraId="4F7FBA64" w14:textId="1165CE9D" w:rsidR="00690E73" w:rsidRPr="00AA6899" w:rsidRDefault="00690E73" w:rsidP="00690E73">
      <w:pPr>
        <w:spacing w:after="120"/>
        <w:rPr>
          <w:sz w:val="22"/>
        </w:rPr>
      </w:pPr>
      <w:r w:rsidRPr="00B2711A">
        <w:rPr>
          <w:sz w:val="22"/>
        </w:rPr>
        <w:t>There was consensus in interviews with the World Bank they expected DFAT to be more hands-on with SARTFP</w:t>
      </w:r>
      <w:r w:rsidRPr="0064242D">
        <w:rPr>
          <w:sz w:val="22"/>
        </w:rPr>
        <w:t>, compared to IFG</w:t>
      </w:r>
      <w:r w:rsidRPr="00AA6899">
        <w:rPr>
          <w:sz w:val="22"/>
        </w:rPr>
        <w:t xml:space="preserve">. The management model for SARTFP had more DFAT involvement in goal setting and </w:t>
      </w:r>
      <w:r w:rsidRPr="004C3817">
        <w:rPr>
          <w:sz w:val="22"/>
        </w:rPr>
        <w:t>decision making.</w:t>
      </w:r>
      <w:r w:rsidRPr="00AA6899">
        <w:rPr>
          <w:sz w:val="22"/>
        </w:rPr>
        <w:t xml:space="preserve"> However, from the perspective of senior World Bank staff and some DFAT interviewees, IFG was more flexible than SARTFP, as it allowed the Bank to be ‘opportunistic’. </w:t>
      </w:r>
    </w:p>
    <w:p w14:paraId="721E6FE2" w14:textId="0498D850" w:rsidR="00690E73" w:rsidRPr="00AA6899" w:rsidRDefault="00690E73" w:rsidP="00690E73">
      <w:pPr>
        <w:spacing w:after="120"/>
        <w:rPr>
          <w:sz w:val="22"/>
        </w:rPr>
      </w:pPr>
      <w:r w:rsidRPr="00AA6899">
        <w:rPr>
          <w:sz w:val="22"/>
        </w:rPr>
        <w:t xml:space="preserve">The </w:t>
      </w:r>
      <w:r w:rsidR="00C62E69">
        <w:rPr>
          <w:sz w:val="22"/>
        </w:rPr>
        <w:t>TAF</w:t>
      </w:r>
      <w:r w:rsidRPr="00AA6899">
        <w:rPr>
          <w:sz w:val="22"/>
        </w:rPr>
        <w:t xml:space="preserve">, a feature of the SARTFP management model, brings expertise including in the areas of: gender, trade facilitation, and monitoring and evaluation. The evaluation found </w:t>
      </w:r>
      <w:r w:rsidRPr="00AA6899">
        <w:rPr>
          <w:b/>
          <w:sz w:val="22"/>
        </w:rPr>
        <w:t>the stability of the TAF team</w:t>
      </w:r>
      <w:r w:rsidRPr="00AA6899">
        <w:rPr>
          <w:sz w:val="22"/>
        </w:rPr>
        <w:t xml:space="preserve"> </w:t>
      </w:r>
      <w:r w:rsidRPr="00AA6899">
        <w:rPr>
          <w:b/>
          <w:sz w:val="22"/>
        </w:rPr>
        <w:t>provided some continuity and consistency for SARTFP</w:t>
      </w:r>
      <w:r w:rsidRPr="00AA6899">
        <w:rPr>
          <w:sz w:val="22"/>
        </w:rPr>
        <w:t xml:space="preserve">, compared to the composition of DFAT and to a lesser extent the WB teams. </w:t>
      </w:r>
    </w:p>
    <w:p w14:paraId="14B71DFA" w14:textId="4BE8E57B" w:rsidR="00690E73" w:rsidRPr="00AA6899" w:rsidRDefault="00690E73" w:rsidP="00690E73">
      <w:pPr>
        <w:spacing w:after="120"/>
        <w:rPr>
          <w:sz w:val="22"/>
        </w:rPr>
      </w:pPr>
      <w:r w:rsidRPr="00AA6899">
        <w:rPr>
          <w:sz w:val="22"/>
        </w:rPr>
        <w:lastRenderedPageBreak/>
        <w:t xml:space="preserve">Additionally, instead of acting only as a technical support team, </w:t>
      </w:r>
      <w:r w:rsidRPr="00AA6899">
        <w:rPr>
          <w:b/>
          <w:sz w:val="22"/>
        </w:rPr>
        <w:t>some aspects of partnership management</w:t>
      </w:r>
      <w:r w:rsidRPr="00AA6899" w:rsidDel="00E214B6">
        <w:rPr>
          <w:b/>
          <w:sz w:val="22"/>
        </w:rPr>
        <w:t xml:space="preserve"> </w:t>
      </w:r>
      <w:r w:rsidRPr="00AA6899">
        <w:rPr>
          <w:b/>
          <w:sz w:val="22"/>
        </w:rPr>
        <w:t xml:space="preserve">was entrusted to </w:t>
      </w:r>
      <w:r w:rsidR="006D5411">
        <w:rPr>
          <w:b/>
          <w:sz w:val="22"/>
        </w:rPr>
        <w:t xml:space="preserve">the </w:t>
      </w:r>
      <w:r w:rsidRPr="00AA6899">
        <w:rPr>
          <w:b/>
          <w:sz w:val="22"/>
        </w:rPr>
        <w:t>TAF by DFAT</w:t>
      </w:r>
      <w:r w:rsidRPr="00AA6899">
        <w:rPr>
          <w:sz w:val="22"/>
        </w:rPr>
        <w:t xml:space="preserve">, either explicitly or by default. To ensure that gender equality and other development issues are integrated into World Bank lending, </w:t>
      </w:r>
      <w:r w:rsidRPr="00AA6899">
        <w:rPr>
          <w:b/>
          <w:sz w:val="22"/>
        </w:rPr>
        <w:t xml:space="preserve">DFAT direction and engagement to focus and reinforce </w:t>
      </w:r>
      <w:r w:rsidR="006D5411">
        <w:rPr>
          <w:b/>
          <w:sz w:val="22"/>
        </w:rPr>
        <w:t xml:space="preserve">the </w:t>
      </w:r>
      <w:r w:rsidRPr="00AA6899">
        <w:rPr>
          <w:b/>
          <w:sz w:val="22"/>
        </w:rPr>
        <w:t>TAF input is essential</w:t>
      </w:r>
      <w:r w:rsidRPr="00AA6899">
        <w:rPr>
          <w:sz w:val="22"/>
        </w:rPr>
        <w:t xml:space="preserve">. Whilst DFAT can entrust the TAF on the technical integrity and some aspects of investment oversight, it is important for DFAT to remain politically engaged with the Bank, so that program parameters are </w:t>
      </w:r>
      <w:r w:rsidR="00E763BF">
        <w:rPr>
          <w:sz w:val="22"/>
        </w:rPr>
        <w:t>retained</w:t>
      </w:r>
      <w:r w:rsidRPr="00AA6899">
        <w:rPr>
          <w:sz w:val="22"/>
        </w:rPr>
        <w:t>.</w:t>
      </w:r>
    </w:p>
    <w:p w14:paraId="5005B073" w14:textId="298A1376" w:rsidR="00690E73" w:rsidRPr="00AA6899" w:rsidRDefault="00690E73" w:rsidP="00690E73">
      <w:pPr>
        <w:spacing w:after="120"/>
        <w:rPr>
          <w:sz w:val="22"/>
        </w:rPr>
      </w:pPr>
      <w:r w:rsidRPr="00AA6899">
        <w:rPr>
          <w:sz w:val="22"/>
        </w:rPr>
        <w:t xml:space="preserve">In summary, although there is good evidence the investment </w:t>
      </w:r>
      <w:r w:rsidR="006D5411">
        <w:rPr>
          <w:sz w:val="22"/>
        </w:rPr>
        <w:t>the</w:t>
      </w:r>
      <w:r w:rsidR="00183BFE">
        <w:rPr>
          <w:sz w:val="22"/>
        </w:rPr>
        <w:t xml:space="preserve"> </w:t>
      </w:r>
      <w:r w:rsidRPr="00AA6899">
        <w:rPr>
          <w:sz w:val="22"/>
        </w:rPr>
        <w:t xml:space="preserve">TAF has yielded results, role clarity is now needed </w:t>
      </w:r>
      <w:r w:rsidR="009225AE">
        <w:rPr>
          <w:sz w:val="22"/>
        </w:rPr>
        <w:t xml:space="preserve">to maximise the value of the </w:t>
      </w:r>
      <w:r w:rsidRPr="0064242D">
        <w:rPr>
          <w:sz w:val="22"/>
        </w:rPr>
        <w:t>investment</w:t>
      </w:r>
      <w:r w:rsidRPr="00AA6899">
        <w:rPr>
          <w:sz w:val="22"/>
        </w:rPr>
        <w:t xml:space="preserve">. </w:t>
      </w:r>
    </w:p>
    <w:p w14:paraId="054F0133" w14:textId="77777777" w:rsidR="00690E73" w:rsidRPr="00AA6899" w:rsidRDefault="00690E73" w:rsidP="000151BA">
      <w:pPr>
        <w:pStyle w:val="Heading2"/>
      </w:pPr>
      <w:bookmarkStart w:id="6" w:name="_Toc517615230"/>
      <w:r w:rsidRPr="00AA6899">
        <w:t>Part 4: Inform DFAT’s future investment and policy decisions</w:t>
      </w:r>
      <w:bookmarkEnd w:id="6"/>
    </w:p>
    <w:p w14:paraId="42EDB7B3" w14:textId="77777777" w:rsidR="00690E73" w:rsidRPr="000151BA" w:rsidRDefault="00690E73" w:rsidP="000151BA">
      <w:pPr>
        <w:pStyle w:val="Heading3"/>
      </w:pPr>
      <w:r w:rsidRPr="000151BA">
        <w:rPr>
          <w:sz w:val="22"/>
        </w:rPr>
        <w:t>Managing trust funds for effective and innovative programs</w:t>
      </w:r>
    </w:p>
    <w:p w14:paraId="34AD3461" w14:textId="17D042E0" w:rsidR="00690E73" w:rsidRPr="00AA6899" w:rsidRDefault="00690E73" w:rsidP="00690E73">
      <w:pPr>
        <w:spacing w:after="120"/>
        <w:rPr>
          <w:sz w:val="22"/>
        </w:rPr>
      </w:pPr>
      <w:r w:rsidRPr="00AA6899">
        <w:rPr>
          <w:sz w:val="22"/>
        </w:rPr>
        <w:t xml:space="preserve">There was consensus among external stakeholders the issues being addressed by SARTFP need </w:t>
      </w:r>
      <w:r w:rsidRPr="00AA6899">
        <w:rPr>
          <w:b/>
          <w:sz w:val="22"/>
        </w:rPr>
        <w:t>multiple entry points to influence change in complex, gender-blind sectors and region</w:t>
      </w:r>
      <w:r w:rsidRPr="00AA6899">
        <w:rPr>
          <w:sz w:val="22"/>
        </w:rPr>
        <w:t>. To do this, other donors, notably D</w:t>
      </w:r>
      <w:r w:rsidR="006D5411">
        <w:rPr>
          <w:sz w:val="22"/>
        </w:rPr>
        <w:t>f</w:t>
      </w:r>
      <w:r w:rsidRPr="00AA6899">
        <w:rPr>
          <w:sz w:val="22"/>
        </w:rPr>
        <w:t xml:space="preserve">ID, </w:t>
      </w:r>
      <w:r w:rsidRPr="00AA6899">
        <w:rPr>
          <w:b/>
          <w:sz w:val="22"/>
        </w:rPr>
        <w:t>retain direct relationships with some non-World Bank entities, such as CSOs and think tanks</w:t>
      </w:r>
      <w:r w:rsidRPr="00AA6899">
        <w:rPr>
          <w:sz w:val="22"/>
        </w:rPr>
        <w:t>, and fund such entities directly in parallel to their investment in the World Bank trust fund. This will strengthen program legitimacy whilst allowing for early testing of new approaches before significant resources are committed to projects. To minimise the management overhead, DFAT could consider funding vehicles such as Challenge funds. This could be a good opportunity for DFAT to improve visibility and public diplomacy, in a relatively easy and inexpensive way.</w:t>
      </w:r>
    </w:p>
    <w:p w14:paraId="73BF4BB8" w14:textId="77777777" w:rsidR="00690E73" w:rsidRPr="00AA6899" w:rsidRDefault="00690E73" w:rsidP="00690E73">
      <w:pPr>
        <w:spacing w:after="120"/>
        <w:rPr>
          <w:sz w:val="22"/>
        </w:rPr>
      </w:pPr>
      <w:r w:rsidRPr="00AA6899">
        <w:rPr>
          <w:b/>
          <w:sz w:val="22"/>
        </w:rPr>
        <w:t>Sharing project data from different countries that share common challenges, could inform new project design and promote innovation</w:t>
      </w:r>
      <w:r w:rsidRPr="00AA6899">
        <w:rPr>
          <w:sz w:val="22"/>
        </w:rPr>
        <w:t xml:space="preserve"> and experimentation that DFAT interviewees hope will become a valuable aspect of the program. However, in the experience of the evaluation team, the process of diversification, prototyping, collaboration and mutual learning does not arise automatically from the trust fund model </w:t>
      </w:r>
      <w:r w:rsidRPr="00AA6899">
        <w:rPr>
          <w:b/>
          <w:sz w:val="22"/>
        </w:rPr>
        <w:t>but requires communication and facilitation by both donors and the trust fund manager</w:t>
      </w:r>
      <w:r w:rsidRPr="00AA6899">
        <w:rPr>
          <w:sz w:val="22"/>
        </w:rPr>
        <w:t>.</w:t>
      </w:r>
    </w:p>
    <w:p w14:paraId="0CC8D3EC" w14:textId="77777777" w:rsidR="00690E73" w:rsidRPr="000151BA" w:rsidRDefault="00690E73" w:rsidP="000151BA">
      <w:pPr>
        <w:pStyle w:val="Heading3"/>
      </w:pPr>
      <w:r w:rsidRPr="000151BA">
        <w:rPr>
          <w:sz w:val="22"/>
        </w:rPr>
        <w:t>IFG and SARTFP: influence on other programs</w:t>
      </w:r>
    </w:p>
    <w:p w14:paraId="0F76C4CD" w14:textId="2BA2399B" w:rsidR="00690E73" w:rsidRPr="00AA6899" w:rsidRDefault="00690E73" w:rsidP="00690E73">
      <w:pPr>
        <w:spacing w:after="120"/>
        <w:rPr>
          <w:sz w:val="22"/>
        </w:rPr>
      </w:pPr>
      <w:r w:rsidRPr="00AA6899">
        <w:rPr>
          <w:b/>
          <w:sz w:val="22"/>
        </w:rPr>
        <w:t>There is limited evidence of IFG or SARTFP influencing other programs, or examples of individual projects being used to inform other projects within PFSA</w:t>
      </w:r>
      <w:r w:rsidRPr="00AA6899">
        <w:rPr>
          <w:sz w:val="22"/>
        </w:rPr>
        <w:t>. Senior DFAT staff acknowledged it is the responsibility of the donor to share the lessons learned and practices with other programs, as well as to further DFAT’s diplomacy and policy objectives. It is not clear from the documentation reviewed, or interviews with DFAT staff, whether program results have been shared, or what the process is for dissemination of such information to influence other programs, both within DFAT and beyond.</w:t>
      </w:r>
    </w:p>
    <w:p w14:paraId="5A68AB90" w14:textId="77777777" w:rsidR="00690E73" w:rsidRPr="000151BA" w:rsidRDefault="00690E73" w:rsidP="000151BA">
      <w:pPr>
        <w:pStyle w:val="Heading3"/>
      </w:pPr>
      <w:r w:rsidRPr="000151BA">
        <w:rPr>
          <w:sz w:val="22"/>
        </w:rPr>
        <w:t>Sharing, learning and adapting programs</w:t>
      </w:r>
    </w:p>
    <w:p w14:paraId="7C8A8AE6" w14:textId="77777777" w:rsidR="00690E73" w:rsidRPr="00AA6899" w:rsidRDefault="00690E73" w:rsidP="00690E73">
      <w:pPr>
        <w:spacing w:after="120"/>
        <w:rPr>
          <w:sz w:val="22"/>
        </w:rPr>
      </w:pPr>
      <w:r w:rsidRPr="00AA6899">
        <w:rPr>
          <w:b/>
          <w:sz w:val="22"/>
        </w:rPr>
        <w:t>For IFG and SARTFP to be influential, they need a strategy for how Monitoring, Evaluation and Learning (MEL) is processed into communications</w:t>
      </w:r>
      <w:r w:rsidRPr="00AA6899">
        <w:rPr>
          <w:sz w:val="22"/>
        </w:rPr>
        <w:t>, and how lessons are disseminated in networks – both within WB and beyond.  The presence of such a strategy is not clear from the literature, and interviews confirmed this is a work in progress.</w:t>
      </w:r>
    </w:p>
    <w:p w14:paraId="69FFA6B8" w14:textId="19F8757D" w:rsidR="004C3817" w:rsidRDefault="00690E73" w:rsidP="000151BA">
      <w:pPr>
        <w:rPr>
          <w:sz w:val="22"/>
        </w:rPr>
      </w:pPr>
      <w:r w:rsidRPr="00AA6899">
        <w:rPr>
          <w:sz w:val="22"/>
        </w:rPr>
        <w:t>Future DFAT investments should allocate resources to knowledge management, adaptive learning and communications. </w:t>
      </w:r>
      <w:r w:rsidRPr="00AA6899">
        <w:rPr>
          <w:b/>
          <w:sz w:val="22"/>
        </w:rPr>
        <w:t>This requires a plan at the start of the program and needs to be included in the definition of the partnership roles and responsibilities</w:t>
      </w:r>
      <w:r w:rsidRPr="00AA6899">
        <w:rPr>
          <w:sz w:val="22"/>
        </w:rPr>
        <w:t>.  Otherwise, the reporting process becomes too internally focused, with the aim of preserving the partnership instead of improving it. The program donor steering committee could be an important means of supporting improved sharing of lessons learned across programs.</w:t>
      </w:r>
    </w:p>
    <w:p w14:paraId="6BC00D8E" w14:textId="77777777" w:rsidR="004C3817" w:rsidRDefault="004C3817">
      <w:pPr>
        <w:spacing w:before="0" w:after="0"/>
        <w:rPr>
          <w:sz w:val="22"/>
        </w:rPr>
      </w:pPr>
      <w:r>
        <w:rPr>
          <w:sz w:val="22"/>
        </w:rPr>
        <w:br w:type="page"/>
      </w:r>
    </w:p>
    <w:p w14:paraId="059AAD56" w14:textId="77777777" w:rsidR="00690E73" w:rsidRPr="00044EBA" w:rsidRDefault="00690E73" w:rsidP="000151BA"/>
    <w:p w14:paraId="0FABC2C7" w14:textId="77777777" w:rsidR="00690E73" w:rsidRPr="00624BFC" w:rsidRDefault="00690E73" w:rsidP="00690E73">
      <w:pPr>
        <w:pStyle w:val="Heading2"/>
      </w:pPr>
      <w:bookmarkStart w:id="7" w:name="_Toc517615231"/>
      <w:r w:rsidRPr="00624BFC">
        <w:t>Evaluation Recommendations</w:t>
      </w:r>
      <w:bookmarkEnd w:id="7"/>
    </w:p>
    <w:p w14:paraId="4B5C0F47" w14:textId="77777777" w:rsidR="00690E73" w:rsidRPr="001B449B" w:rsidRDefault="00690E73" w:rsidP="00690E73">
      <w:pPr>
        <w:pStyle w:val="Heading3"/>
        <w:rPr>
          <w:sz w:val="22"/>
        </w:rPr>
      </w:pPr>
      <w:r w:rsidRPr="001B449B">
        <w:rPr>
          <w:sz w:val="22"/>
        </w:rPr>
        <w:t>Part One: IFG</w:t>
      </w:r>
    </w:p>
    <w:p w14:paraId="25C2FF78" w14:textId="07D8E092" w:rsidR="00690E73" w:rsidRPr="001B449B" w:rsidRDefault="00CF5556" w:rsidP="00AA7B99">
      <w:pPr>
        <w:pStyle w:val="ListParagraph"/>
        <w:numPr>
          <w:ilvl w:val="0"/>
          <w:numId w:val="63"/>
        </w:numPr>
        <w:rPr>
          <w:sz w:val="22"/>
        </w:rPr>
      </w:pPr>
      <w:r w:rsidRPr="00CF5556">
        <w:rPr>
          <w:sz w:val="22"/>
        </w:rPr>
        <w:t>Agree on a common reporting standard for reporting grant data, allowing opportunities for discussing significant budget reallocations with DFAT</w:t>
      </w:r>
      <w:r w:rsidR="00690E73" w:rsidRPr="001B449B">
        <w:rPr>
          <w:sz w:val="22"/>
        </w:rPr>
        <w:t>.</w:t>
      </w:r>
    </w:p>
    <w:p w14:paraId="44CF6EEB" w14:textId="77777777" w:rsidR="00690E73" w:rsidRPr="001B449B" w:rsidRDefault="00690E73" w:rsidP="00690E73">
      <w:pPr>
        <w:rPr>
          <w:sz w:val="22"/>
          <w:lang w:val="en-AU"/>
        </w:rPr>
      </w:pPr>
      <w:r>
        <w:rPr>
          <w:sz w:val="22"/>
        </w:rPr>
        <w:t>O</w:t>
      </w:r>
      <w:r w:rsidRPr="001B449B">
        <w:rPr>
          <w:sz w:val="22"/>
        </w:rPr>
        <w:t xml:space="preserve">ther recommendations concerning IFG are included in part four: </w:t>
      </w:r>
      <w:r w:rsidRPr="001B449B">
        <w:rPr>
          <w:b/>
          <w:sz w:val="22"/>
          <w:lang w:val="en-AU"/>
        </w:rPr>
        <w:t>Informing DFAT’s future investments and policy decisions</w:t>
      </w:r>
      <w:r w:rsidRPr="001B449B">
        <w:rPr>
          <w:sz w:val="22"/>
          <w:lang w:val="en-AU"/>
        </w:rPr>
        <w:t>.</w:t>
      </w:r>
    </w:p>
    <w:p w14:paraId="64DEFC6B" w14:textId="77777777" w:rsidR="00690E73" w:rsidRPr="001B449B" w:rsidRDefault="00690E73" w:rsidP="00690E73">
      <w:pPr>
        <w:pStyle w:val="Heading3"/>
        <w:rPr>
          <w:sz w:val="22"/>
        </w:rPr>
      </w:pPr>
      <w:r w:rsidRPr="001B449B">
        <w:rPr>
          <w:sz w:val="22"/>
        </w:rPr>
        <w:t>Part Two: Evaluation of SARTFP</w:t>
      </w:r>
    </w:p>
    <w:p w14:paraId="598686E9" w14:textId="77777777" w:rsidR="00690E73" w:rsidRPr="000C1D1E" w:rsidRDefault="00690E73" w:rsidP="000C1D1E">
      <w:pPr>
        <w:pStyle w:val="ListParagraph"/>
        <w:numPr>
          <w:ilvl w:val="0"/>
          <w:numId w:val="63"/>
        </w:numPr>
        <w:rPr>
          <w:sz w:val="22"/>
        </w:rPr>
      </w:pPr>
      <w:r w:rsidRPr="000C1D1E">
        <w:rPr>
          <w:sz w:val="22"/>
        </w:rPr>
        <w:t>Consider renaming the Medium-Term Outcomes (MTOs) as long term, and develop short- to medium-term outputs and indicators to enable results to inform course correction by the program.</w:t>
      </w:r>
    </w:p>
    <w:p w14:paraId="18F28405" w14:textId="77777777" w:rsidR="00690E73" w:rsidRPr="00A22ABB" w:rsidRDefault="00690E73" w:rsidP="00AA7B99">
      <w:pPr>
        <w:pStyle w:val="ListParagraph"/>
        <w:numPr>
          <w:ilvl w:val="0"/>
          <w:numId w:val="63"/>
        </w:numPr>
        <w:rPr>
          <w:sz w:val="22"/>
        </w:rPr>
      </w:pPr>
      <w:r w:rsidRPr="00A90E0D">
        <w:rPr>
          <w:sz w:val="22"/>
        </w:rPr>
        <w:t>Produce a communication plan with milestones and resources that communicates ‘performance stories’ as pioneered by other DFAT programs</w:t>
      </w:r>
      <w:r>
        <w:rPr>
          <w:sz w:val="22"/>
        </w:rPr>
        <w:t>.</w:t>
      </w:r>
    </w:p>
    <w:p w14:paraId="2ABF7275" w14:textId="73A332E9" w:rsidR="00690E73" w:rsidRPr="00A22ABB" w:rsidRDefault="00F97FE1" w:rsidP="00AA7B99">
      <w:pPr>
        <w:pStyle w:val="ListParagraph"/>
        <w:numPr>
          <w:ilvl w:val="0"/>
          <w:numId w:val="63"/>
        </w:numPr>
        <w:rPr>
          <w:sz w:val="22"/>
        </w:rPr>
      </w:pPr>
      <w:r>
        <w:rPr>
          <w:sz w:val="22"/>
        </w:rPr>
        <w:t>Ensure o</w:t>
      </w:r>
      <w:r w:rsidR="00690E73" w:rsidRPr="00E11B05">
        <w:rPr>
          <w:sz w:val="22"/>
        </w:rPr>
        <w:t xml:space="preserve">ngoing DFAT </w:t>
      </w:r>
      <w:r w:rsidR="00F70552">
        <w:rPr>
          <w:sz w:val="22"/>
        </w:rPr>
        <w:t xml:space="preserve">engagement </w:t>
      </w:r>
      <w:r w:rsidR="00690E73" w:rsidRPr="00E11B05">
        <w:rPr>
          <w:sz w:val="22"/>
        </w:rPr>
        <w:t xml:space="preserve">to encourage TTLs to continue introducing new perspectives into project design, </w:t>
      </w:r>
      <w:r w:rsidR="001C5742">
        <w:rPr>
          <w:sz w:val="22"/>
        </w:rPr>
        <w:t>particularly</w:t>
      </w:r>
      <w:r w:rsidR="00690E73" w:rsidRPr="00E11B05">
        <w:rPr>
          <w:sz w:val="22"/>
        </w:rPr>
        <w:t xml:space="preserve"> new approaches to integrating gender equality and inclusive development that can then be shared and replicated across the organisation</w:t>
      </w:r>
      <w:r w:rsidR="00690E73" w:rsidRPr="00A22ABB">
        <w:rPr>
          <w:sz w:val="22"/>
        </w:rPr>
        <w:t>.</w:t>
      </w:r>
    </w:p>
    <w:p w14:paraId="0D96C6A7" w14:textId="5DFF73AE" w:rsidR="00690E73" w:rsidRDefault="00690E73" w:rsidP="00AA7B99">
      <w:pPr>
        <w:pStyle w:val="ListParagraph"/>
        <w:numPr>
          <w:ilvl w:val="0"/>
          <w:numId w:val="63"/>
        </w:numPr>
        <w:rPr>
          <w:sz w:val="22"/>
        </w:rPr>
      </w:pPr>
      <w:r w:rsidRPr="001B449B">
        <w:rPr>
          <w:sz w:val="22"/>
        </w:rPr>
        <w:t>Revisit and refine the SARTFP results framework in light of implementation experience and an established program Secretariat who were not involved in the original co</w:t>
      </w:r>
      <w:r>
        <w:rPr>
          <w:sz w:val="22"/>
        </w:rPr>
        <w:noBreakHyphen/>
      </w:r>
      <w:r w:rsidRPr="001B449B">
        <w:rPr>
          <w:sz w:val="22"/>
        </w:rPr>
        <w:t>development process.</w:t>
      </w:r>
    </w:p>
    <w:p w14:paraId="24B02F13" w14:textId="0055F64E" w:rsidR="00934F44" w:rsidRPr="00A02664" w:rsidRDefault="00934F44" w:rsidP="00AA7B99">
      <w:pPr>
        <w:pStyle w:val="ListParagraph"/>
        <w:numPr>
          <w:ilvl w:val="0"/>
          <w:numId w:val="63"/>
        </w:numPr>
        <w:rPr>
          <w:sz w:val="22"/>
        </w:rPr>
      </w:pPr>
      <w:r w:rsidRPr="00934F44">
        <w:rPr>
          <w:sz w:val="22"/>
        </w:rPr>
        <w:t>Track evidence of gender being embedded in key aspects of policy, financing, regulation and program delivery across the relevant sectors to measure the influence of SART</w:t>
      </w:r>
      <w:r w:rsidR="00453911">
        <w:rPr>
          <w:sz w:val="22"/>
        </w:rPr>
        <w:t>F</w:t>
      </w:r>
      <w:r w:rsidRPr="00934F44">
        <w:rPr>
          <w:sz w:val="22"/>
        </w:rPr>
        <w:t>P on gender programming.</w:t>
      </w:r>
    </w:p>
    <w:p w14:paraId="6C4FA778" w14:textId="77777777" w:rsidR="00690E73" w:rsidRDefault="00690E73" w:rsidP="00AA7B99">
      <w:pPr>
        <w:pStyle w:val="ListParagraph"/>
        <w:numPr>
          <w:ilvl w:val="0"/>
          <w:numId w:val="63"/>
        </w:numPr>
        <w:rPr>
          <w:sz w:val="22"/>
          <w:lang w:val="en-AU"/>
        </w:rPr>
      </w:pPr>
      <w:r w:rsidRPr="00E11B05">
        <w:rPr>
          <w:sz w:val="22"/>
          <w:lang w:val="en-AU"/>
        </w:rPr>
        <w:t>Update the Specific Program Management Arrangements for SARTFP and disseminate to keep all parties (DFAT, WB, TAF) informed of roles and responsibilities in the program.</w:t>
      </w:r>
    </w:p>
    <w:p w14:paraId="7BA429FB" w14:textId="5EB24DA5" w:rsidR="00690E73" w:rsidRPr="00E11B05" w:rsidRDefault="00690E73" w:rsidP="00AA7B99">
      <w:pPr>
        <w:pStyle w:val="ListParagraph"/>
        <w:numPr>
          <w:ilvl w:val="0"/>
          <w:numId w:val="63"/>
        </w:numPr>
        <w:rPr>
          <w:sz w:val="22"/>
          <w:lang w:val="en-AU"/>
        </w:rPr>
      </w:pPr>
      <w:r w:rsidRPr="00E11B05">
        <w:rPr>
          <w:sz w:val="22"/>
          <w:lang w:val="en-AU"/>
        </w:rPr>
        <w:t xml:space="preserve">Make SARTFP funding accessible to all WB </w:t>
      </w:r>
      <w:r w:rsidR="00AB5969">
        <w:rPr>
          <w:sz w:val="22"/>
          <w:lang w:val="en-AU"/>
        </w:rPr>
        <w:t>Global Practice</w:t>
      </w:r>
      <w:r w:rsidR="00AB5969" w:rsidRPr="00E11B05">
        <w:rPr>
          <w:sz w:val="22"/>
          <w:lang w:val="en-AU"/>
        </w:rPr>
        <w:t xml:space="preserve">s </w:t>
      </w:r>
      <w:r w:rsidRPr="00E11B05">
        <w:rPr>
          <w:sz w:val="22"/>
          <w:lang w:val="en-AU"/>
        </w:rPr>
        <w:t>to be more effective in influencing WB practices and processes and supporting reformers</w:t>
      </w:r>
      <w:r>
        <w:rPr>
          <w:sz w:val="22"/>
          <w:lang w:val="en-AU"/>
        </w:rPr>
        <w:t>.</w:t>
      </w:r>
    </w:p>
    <w:p w14:paraId="63EB7A5E" w14:textId="0988CBEC" w:rsidR="00690E73" w:rsidRDefault="00690E73" w:rsidP="00AA7B99">
      <w:pPr>
        <w:pStyle w:val="ListParagraph"/>
        <w:numPr>
          <w:ilvl w:val="0"/>
          <w:numId w:val="63"/>
        </w:numPr>
        <w:rPr>
          <w:sz w:val="22"/>
          <w:lang w:val="en-AU"/>
        </w:rPr>
      </w:pPr>
      <w:r w:rsidRPr="00E11B05">
        <w:rPr>
          <w:sz w:val="22"/>
          <w:lang w:val="en-AU"/>
        </w:rPr>
        <w:t xml:space="preserve">The SARTFP Secretariat </w:t>
      </w:r>
      <w:r w:rsidR="005E5A06">
        <w:rPr>
          <w:sz w:val="22"/>
          <w:lang w:val="en-AU"/>
        </w:rPr>
        <w:t>continue</w:t>
      </w:r>
      <w:r w:rsidR="00251B32">
        <w:rPr>
          <w:sz w:val="22"/>
          <w:lang w:val="en-AU"/>
        </w:rPr>
        <w:t xml:space="preserve"> to </w:t>
      </w:r>
      <w:r w:rsidRPr="00E11B05">
        <w:rPr>
          <w:sz w:val="22"/>
          <w:lang w:val="en-AU"/>
        </w:rPr>
        <w:t>monitor the spread of SARTFP funds while maintaining quality thresholds of project selection and implementation</w:t>
      </w:r>
      <w:r>
        <w:rPr>
          <w:sz w:val="22"/>
          <w:lang w:val="en-AU"/>
        </w:rPr>
        <w:t>.</w:t>
      </w:r>
    </w:p>
    <w:p w14:paraId="5BC24F79" w14:textId="77777777" w:rsidR="00690E73" w:rsidRDefault="00690E73" w:rsidP="00AA7B99">
      <w:pPr>
        <w:pStyle w:val="ListParagraph"/>
        <w:numPr>
          <w:ilvl w:val="0"/>
          <w:numId w:val="63"/>
        </w:numPr>
        <w:rPr>
          <w:sz w:val="22"/>
          <w:lang w:val="en-AU"/>
        </w:rPr>
      </w:pPr>
      <w:r w:rsidRPr="00E11B05">
        <w:rPr>
          <w:sz w:val="22"/>
          <w:lang w:val="en-AU"/>
        </w:rPr>
        <w:t>Maintain relevance to DFAT development policy for the region by integrating SARTFP inclusive growth into infrastructure and connectivity investments</w:t>
      </w:r>
      <w:r>
        <w:rPr>
          <w:sz w:val="22"/>
          <w:lang w:val="en-AU"/>
        </w:rPr>
        <w:t>.</w:t>
      </w:r>
    </w:p>
    <w:p w14:paraId="486FC14E" w14:textId="77777777" w:rsidR="00690E73" w:rsidRPr="00E11B05" w:rsidRDefault="00690E73" w:rsidP="00AA7B99">
      <w:pPr>
        <w:pStyle w:val="ListParagraph"/>
        <w:numPr>
          <w:ilvl w:val="0"/>
          <w:numId w:val="63"/>
        </w:numPr>
        <w:rPr>
          <w:sz w:val="22"/>
          <w:lang w:val="en-AU"/>
        </w:rPr>
      </w:pPr>
      <w:r w:rsidRPr="00E11B05">
        <w:rPr>
          <w:sz w:val="22"/>
          <w:lang w:val="en-AU"/>
        </w:rPr>
        <w:t>Continue to fill the gaps in preparatory work and technical analysis on mainstreaming gender equality in all activities</w:t>
      </w:r>
      <w:r>
        <w:rPr>
          <w:sz w:val="22"/>
          <w:lang w:val="en-AU"/>
        </w:rPr>
        <w:t>.</w:t>
      </w:r>
    </w:p>
    <w:p w14:paraId="025799D8" w14:textId="77777777" w:rsidR="00690E73" w:rsidRPr="00E11B05" w:rsidRDefault="00690E73" w:rsidP="00AA7B99">
      <w:pPr>
        <w:pStyle w:val="ListParagraph"/>
        <w:numPr>
          <w:ilvl w:val="0"/>
          <w:numId w:val="63"/>
        </w:numPr>
        <w:rPr>
          <w:sz w:val="22"/>
          <w:lang w:val="en-AU"/>
        </w:rPr>
      </w:pPr>
      <w:r w:rsidRPr="00E11B05">
        <w:rPr>
          <w:sz w:val="22"/>
          <w:lang w:val="en-AU"/>
        </w:rPr>
        <w:t>Identify factors that increase demand for gender-related technical assistance, both internally and from client countries</w:t>
      </w:r>
      <w:r>
        <w:rPr>
          <w:sz w:val="22"/>
          <w:lang w:val="en-AU"/>
        </w:rPr>
        <w:t>.</w:t>
      </w:r>
    </w:p>
    <w:p w14:paraId="75B59209" w14:textId="77777777" w:rsidR="00690E73" w:rsidRPr="00BC5BE9" w:rsidRDefault="00690E73" w:rsidP="00AA7B99">
      <w:pPr>
        <w:pStyle w:val="ListParagraph"/>
        <w:numPr>
          <w:ilvl w:val="0"/>
          <w:numId w:val="63"/>
        </w:numPr>
        <w:rPr>
          <w:sz w:val="22"/>
          <w:lang w:val="en-AU"/>
        </w:rPr>
      </w:pPr>
      <w:r w:rsidRPr="00BC5BE9">
        <w:rPr>
          <w:sz w:val="22"/>
          <w:lang w:val="en-AU"/>
        </w:rPr>
        <w:t>Consider the differences between DFAT and the World Bank’s Gender Strategies, and how they can be reconciled</w:t>
      </w:r>
      <w:r>
        <w:rPr>
          <w:sz w:val="22"/>
          <w:lang w:val="en-AU"/>
        </w:rPr>
        <w:t>.</w:t>
      </w:r>
    </w:p>
    <w:p w14:paraId="51B067AB" w14:textId="77777777" w:rsidR="00690E73" w:rsidRPr="00BC5BE9" w:rsidRDefault="00690E73" w:rsidP="00AA7B99">
      <w:pPr>
        <w:pStyle w:val="ListParagraph"/>
        <w:numPr>
          <w:ilvl w:val="0"/>
          <w:numId w:val="63"/>
        </w:numPr>
        <w:rPr>
          <w:sz w:val="22"/>
          <w:lang w:val="en-AU"/>
        </w:rPr>
      </w:pPr>
      <w:r w:rsidRPr="00BC5BE9">
        <w:rPr>
          <w:sz w:val="22"/>
          <w:lang w:val="en-AU"/>
        </w:rPr>
        <w:t>Use SARTFP to demonstrate the benefits of integrating gender equality into policy and practice</w:t>
      </w:r>
      <w:r>
        <w:rPr>
          <w:sz w:val="22"/>
          <w:lang w:val="en-AU"/>
        </w:rPr>
        <w:t>.</w:t>
      </w:r>
    </w:p>
    <w:p w14:paraId="51A21FA8" w14:textId="6F5870D8" w:rsidR="00690E73" w:rsidRPr="004C3817" w:rsidRDefault="00690E73" w:rsidP="004C3817">
      <w:pPr>
        <w:pStyle w:val="ListParagraph"/>
        <w:numPr>
          <w:ilvl w:val="0"/>
          <w:numId w:val="63"/>
        </w:numPr>
        <w:rPr>
          <w:sz w:val="22"/>
          <w:lang w:val="en-AU"/>
        </w:rPr>
      </w:pPr>
      <w:r w:rsidRPr="00BC5BE9">
        <w:rPr>
          <w:sz w:val="22"/>
          <w:lang w:val="en-AU"/>
        </w:rPr>
        <w:t>Include a process for integrating SARTFP stakeholder feedback into project design with sincerity, transparency and a means of reporting back to the stakeholders</w:t>
      </w:r>
      <w:r>
        <w:rPr>
          <w:sz w:val="22"/>
          <w:lang w:val="en-AU"/>
        </w:rPr>
        <w:t>.</w:t>
      </w:r>
    </w:p>
    <w:p w14:paraId="5C333CC0" w14:textId="5BA595CF" w:rsidR="00690E73" w:rsidRPr="00A02664" w:rsidRDefault="00690E73" w:rsidP="00A02664">
      <w:pPr>
        <w:pStyle w:val="Heading3"/>
        <w:rPr>
          <w:highlight w:val="yellow"/>
          <w:lang w:val="en-AU"/>
        </w:rPr>
      </w:pPr>
      <w:r w:rsidRPr="001B449B">
        <w:rPr>
          <w:sz w:val="22"/>
        </w:rPr>
        <w:t>Part Three: Comparison of the programs’ management and implementation model</w:t>
      </w:r>
    </w:p>
    <w:p w14:paraId="6403D5E2" w14:textId="5B5D9276" w:rsidR="00F70552" w:rsidRDefault="00F70552" w:rsidP="00AA7B99">
      <w:pPr>
        <w:pStyle w:val="ListParagraph"/>
        <w:numPr>
          <w:ilvl w:val="0"/>
          <w:numId w:val="63"/>
        </w:numPr>
        <w:rPr>
          <w:sz w:val="22"/>
          <w:lang w:val="en-AU"/>
        </w:rPr>
      </w:pPr>
      <w:r w:rsidRPr="006C741D">
        <w:rPr>
          <w:sz w:val="22"/>
          <w:lang w:val="en-AU"/>
        </w:rPr>
        <w:t>Clearly define TAF role parameters so that the World Bank is able to maximise their</w:t>
      </w:r>
      <w:r w:rsidRPr="00F70552">
        <w:rPr>
          <w:sz w:val="22"/>
          <w:lang w:val="en-AU"/>
        </w:rPr>
        <w:t xml:space="preserve"> technical skills and empower gender equality champions within the Bank</w:t>
      </w:r>
    </w:p>
    <w:p w14:paraId="34AE7E66" w14:textId="5CAB0AD6" w:rsidR="00690E73" w:rsidRPr="001B449B" w:rsidRDefault="00690E73" w:rsidP="00AA7B99">
      <w:pPr>
        <w:pStyle w:val="ListParagraph"/>
        <w:numPr>
          <w:ilvl w:val="0"/>
          <w:numId w:val="63"/>
        </w:numPr>
        <w:rPr>
          <w:sz w:val="22"/>
          <w:lang w:val="en-AU"/>
        </w:rPr>
      </w:pPr>
      <w:r w:rsidRPr="00BC5BE9">
        <w:rPr>
          <w:sz w:val="22"/>
          <w:lang w:val="en-AU"/>
        </w:rPr>
        <w:t>DFAT maintain</w:t>
      </w:r>
      <w:r w:rsidR="00FC39A4">
        <w:rPr>
          <w:sz w:val="22"/>
          <w:lang w:val="en-AU"/>
        </w:rPr>
        <w:t>s</w:t>
      </w:r>
      <w:r w:rsidRPr="00BC5BE9">
        <w:rPr>
          <w:sz w:val="22"/>
          <w:lang w:val="en-AU"/>
        </w:rPr>
        <w:t xml:space="preserve"> close involvement in SART</w:t>
      </w:r>
      <w:r w:rsidR="00156F79">
        <w:rPr>
          <w:sz w:val="22"/>
          <w:lang w:val="en-AU"/>
        </w:rPr>
        <w:t>F</w:t>
      </w:r>
      <w:r w:rsidRPr="00BC5BE9">
        <w:rPr>
          <w:sz w:val="22"/>
          <w:lang w:val="en-AU"/>
        </w:rPr>
        <w:t xml:space="preserve">P to continually reinforce the Bank’s understanding of the nature of the partnership and the role of </w:t>
      </w:r>
      <w:r w:rsidR="00FC39A4">
        <w:rPr>
          <w:sz w:val="22"/>
          <w:lang w:val="en-AU"/>
        </w:rPr>
        <w:t>the</w:t>
      </w:r>
      <w:r w:rsidR="0064242D">
        <w:rPr>
          <w:sz w:val="22"/>
          <w:lang w:val="en-AU"/>
        </w:rPr>
        <w:t xml:space="preserve"> </w:t>
      </w:r>
      <w:r w:rsidRPr="00BC5BE9">
        <w:rPr>
          <w:sz w:val="22"/>
          <w:lang w:val="en-AU"/>
        </w:rPr>
        <w:t>TAF within the program</w:t>
      </w:r>
      <w:r w:rsidRPr="001B449B">
        <w:rPr>
          <w:sz w:val="22"/>
          <w:lang w:val="en-AU"/>
        </w:rPr>
        <w:t>.</w:t>
      </w:r>
    </w:p>
    <w:p w14:paraId="2533D112" w14:textId="77777777" w:rsidR="00690E73" w:rsidRPr="001B449B" w:rsidRDefault="00690E73" w:rsidP="00AA7B99">
      <w:pPr>
        <w:pStyle w:val="ListParagraph"/>
        <w:numPr>
          <w:ilvl w:val="0"/>
          <w:numId w:val="63"/>
        </w:numPr>
        <w:rPr>
          <w:sz w:val="22"/>
        </w:rPr>
      </w:pPr>
      <w:r w:rsidRPr="00BC5BE9">
        <w:rPr>
          <w:sz w:val="22"/>
        </w:rPr>
        <w:t>Consider a phased management model that allows for a close partnership to agree initial strategy that transitions to more autonomy for the Bank regarding tactical decisions</w:t>
      </w:r>
      <w:r w:rsidRPr="001B449B">
        <w:rPr>
          <w:sz w:val="22"/>
        </w:rPr>
        <w:t>.</w:t>
      </w:r>
    </w:p>
    <w:p w14:paraId="4FE853FD" w14:textId="77777777" w:rsidR="00690E73" w:rsidRPr="001B449B" w:rsidRDefault="00690E73" w:rsidP="00690E73">
      <w:pPr>
        <w:pStyle w:val="Heading3"/>
        <w:rPr>
          <w:sz w:val="22"/>
          <w:lang w:val="en-AU"/>
        </w:rPr>
      </w:pPr>
      <w:r w:rsidRPr="001B449B">
        <w:rPr>
          <w:sz w:val="22"/>
          <w:lang w:val="en-AU"/>
        </w:rPr>
        <w:lastRenderedPageBreak/>
        <w:t>Part Four: Informing DFAT’s future investments and policy decisions</w:t>
      </w:r>
    </w:p>
    <w:p w14:paraId="1EEAF072" w14:textId="77777777" w:rsidR="00690E73" w:rsidRPr="00690E73" w:rsidRDefault="00690E73" w:rsidP="00AA7B99">
      <w:pPr>
        <w:pStyle w:val="ListParagraph"/>
        <w:numPr>
          <w:ilvl w:val="0"/>
          <w:numId w:val="63"/>
        </w:numPr>
        <w:rPr>
          <w:sz w:val="22"/>
        </w:rPr>
      </w:pPr>
      <w:r w:rsidRPr="00690E73">
        <w:rPr>
          <w:sz w:val="22"/>
        </w:rPr>
        <w:t>Create and maintain processes that encourage a culture of sharing of information and facilitates innovation</w:t>
      </w:r>
      <w:r>
        <w:rPr>
          <w:sz w:val="22"/>
        </w:rPr>
        <w:t>.</w:t>
      </w:r>
    </w:p>
    <w:p w14:paraId="36170F98" w14:textId="77777777" w:rsidR="00690E73" w:rsidRDefault="00690E73" w:rsidP="00AA7B99">
      <w:pPr>
        <w:pStyle w:val="ListParagraph"/>
        <w:numPr>
          <w:ilvl w:val="0"/>
          <w:numId w:val="63"/>
        </w:numPr>
        <w:rPr>
          <w:sz w:val="22"/>
        </w:rPr>
      </w:pPr>
      <w:r w:rsidRPr="00690E73">
        <w:rPr>
          <w:sz w:val="22"/>
        </w:rPr>
        <w:t>DFAT create</w:t>
      </w:r>
      <w:r w:rsidR="00FC39A4">
        <w:rPr>
          <w:sz w:val="22"/>
        </w:rPr>
        <w:t>s</w:t>
      </w:r>
      <w:r w:rsidRPr="00690E73">
        <w:rPr>
          <w:sz w:val="22"/>
        </w:rPr>
        <w:t xml:space="preserve"> complementary relationships outside the World Bank to create multiple entry points to influence gender programming, and strengthen program legitimacy</w:t>
      </w:r>
      <w:r>
        <w:rPr>
          <w:sz w:val="22"/>
        </w:rPr>
        <w:t>.</w:t>
      </w:r>
    </w:p>
    <w:p w14:paraId="2DBE0D51" w14:textId="77777777" w:rsidR="00690E73" w:rsidRPr="001B449B" w:rsidRDefault="00690E73" w:rsidP="00AA7B99">
      <w:pPr>
        <w:pStyle w:val="ListParagraph"/>
        <w:numPr>
          <w:ilvl w:val="0"/>
          <w:numId w:val="63"/>
        </w:numPr>
        <w:rPr>
          <w:sz w:val="22"/>
        </w:rPr>
      </w:pPr>
      <w:r w:rsidRPr="00690E73">
        <w:rPr>
          <w:sz w:val="22"/>
        </w:rPr>
        <w:t>Develop a process to share lessons learned across DFAT-funded programs in the region and beyond</w:t>
      </w:r>
      <w:r w:rsidRPr="001B449B">
        <w:rPr>
          <w:sz w:val="22"/>
        </w:rPr>
        <w:t>.</w:t>
      </w:r>
    </w:p>
    <w:p w14:paraId="3B222673" w14:textId="6E298338" w:rsidR="00EF05D5" w:rsidRPr="001B449B" w:rsidRDefault="00690E73" w:rsidP="00AA7B99">
      <w:pPr>
        <w:pStyle w:val="ListParagraph"/>
        <w:numPr>
          <w:ilvl w:val="0"/>
          <w:numId w:val="63"/>
        </w:numPr>
        <w:rPr>
          <w:sz w:val="22"/>
        </w:rPr>
      </w:pPr>
      <w:r w:rsidRPr="00690E73">
        <w:rPr>
          <w:sz w:val="22"/>
        </w:rPr>
        <w:t>Ensure theory of change and results framework are living documents that are revisited and revised as necessary</w:t>
      </w:r>
      <w:r w:rsidRPr="001B449B">
        <w:rPr>
          <w:sz w:val="22"/>
        </w:rPr>
        <w:t xml:space="preserve">. </w:t>
      </w:r>
    </w:p>
    <w:p w14:paraId="1411DEA1" w14:textId="499BE1D8" w:rsidR="00EF05D5" w:rsidRDefault="00690E73" w:rsidP="00AA7B99">
      <w:pPr>
        <w:pStyle w:val="ListParagraph"/>
        <w:numPr>
          <w:ilvl w:val="0"/>
          <w:numId w:val="63"/>
        </w:numPr>
        <w:rPr>
          <w:sz w:val="22"/>
        </w:rPr>
      </w:pPr>
      <w:r w:rsidRPr="00A02664">
        <w:rPr>
          <w:sz w:val="22"/>
        </w:rPr>
        <w:t>Develop and test the theory of change to be more than a collection of effective but disparate projects.</w:t>
      </w:r>
    </w:p>
    <w:p w14:paraId="4E1825B8" w14:textId="242755C3" w:rsidR="00F30F13" w:rsidRPr="00A02664" w:rsidRDefault="00690E73" w:rsidP="00AA7B99">
      <w:pPr>
        <w:pStyle w:val="ListParagraph"/>
        <w:numPr>
          <w:ilvl w:val="0"/>
          <w:numId w:val="63"/>
        </w:numPr>
        <w:rPr>
          <w:sz w:val="22"/>
        </w:rPr>
      </w:pPr>
      <w:r w:rsidRPr="00A02664">
        <w:rPr>
          <w:sz w:val="22"/>
        </w:rPr>
        <w:t>Develop a system for learning and adaptation (including defining roles and responsibilities) as part of the initial program design phase. Have regular health checks of this system and refine accordingly. Consider how the DSC can provide a support structure to this system.</w:t>
      </w:r>
      <w:r w:rsidR="00BA1DF2">
        <w:br w:type="page"/>
      </w:r>
    </w:p>
    <w:p w14:paraId="0F6BE09C" w14:textId="77777777" w:rsidR="00F11D31" w:rsidRDefault="00F11D31" w:rsidP="001B449B">
      <w:pPr>
        <w:pStyle w:val="Heading1"/>
        <w:sectPr w:rsidR="00F11D31">
          <w:headerReference w:type="default" r:id="rId8"/>
          <w:footerReference w:type="even" r:id="rId9"/>
          <w:footerReference w:type="default" r:id="rId10"/>
          <w:footerReference w:type="first" r:id="rId11"/>
          <w:pgSz w:w="11900" w:h="16840"/>
          <w:pgMar w:top="1418" w:right="1440" w:bottom="709" w:left="1440" w:header="720" w:footer="720" w:gutter="0"/>
          <w:pgNumType w:fmt="lowerRoman"/>
          <w:cols w:space="720"/>
          <w:titlePg/>
          <w:docGrid w:linePitch="360"/>
        </w:sectPr>
      </w:pPr>
    </w:p>
    <w:p w14:paraId="38946F34" w14:textId="77777777" w:rsidR="002E57A8" w:rsidRPr="008360ED" w:rsidRDefault="00EC3C3C">
      <w:pPr>
        <w:pStyle w:val="Heading1"/>
      </w:pPr>
      <w:bookmarkStart w:id="8" w:name="_Toc517615232"/>
      <w:r>
        <w:lastRenderedPageBreak/>
        <w:t>Introduction</w:t>
      </w:r>
      <w:bookmarkEnd w:id="8"/>
    </w:p>
    <w:p w14:paraId="317AF003" w14:textId="77777777" w:rsidR="0012605E" w:rsidRPr="001B449B" w:rsidRDefault="0012605E" w:rsidP="002A1403">
      <w:pPr>
        <w:rPr>
          <w:sz w:val="22"/>
        </w:rPr>
      </w:pPr>
      <w:r w:rsidRPr="001B449B">
        <w:rPr>
          <w:sz w:val="22"/>
        </w:rPr>
        <w:t>South Asia is among the least integrated regions in the world with</w:t>
      </w:r>
      <w:r w:rsidR="00833E14" w:rsidRPr="001B449B">
        <w:rPr>
          <w:sz w:val="22"/>
        </w:rPr>
        <w:t xml:space="preserve"> </w:t>
      </w:r>
      <w:r w:rsidR="002A1403" w:rsidRPr="001B449B">
        <w:rPr>
          <w:sz w:val="22"/>
        </w:rPr>
        <w:t xml:space="preserve">an estimate of around </w:t>
      </w:r>
      <w:r w:rsidR="00833E14" w:rsidRPr="001B449B">
        <w:rPr>
          <w:sz w:val="22"/>
        </w:rPr>
        <w:t>270 million people living in extreme poverty</w:t>
      </w:r>
      <w:r w:rsidR="003E6559" w:rsidRPr="001B449B">
        <w:rPr>
          <w:sz w:val="22"/>
        </w:rPr>
        <w:t>.</w:t>
      </w:r>
      <w:r w:rsidR="00833E14" w:rsidRPr="001B449B">
        <w:rPr>
          <w:rStyle w:val="FootnoteReference"/>
          <w:rFonts w:eastAsiaTheme="minorEastAsia"/>
          <w:sz w:val="22"/>
        </w:rPr>
        <w:footnoteReference w:id="2"/>
      </w:r>
      <w:r w:rsidR="00833E14" w:rsidRPr="001B449B">
        <w:rPr>
          <w:sz w:val="22"/>
        </w:rPr>
        <w:t xml:space="preserve"> </w:t>
      </w:r>
      <w:r w:rsidRPr="001B449B">
        <w:rPr>
          <w:sz w:val="22"/>
        </w:rPr>
        <w:t xml:space="preserve">Many more people, particularly women and those working in the informal sector, live just above the poverty line and remain vulnerable to economic and environmental shocks. </w:t>
      </w:r>
    </w:p>
    <w:p w14:paraId="54567FED" w14:textId="77777777" w:rsidR="0012605E" w:rsidRPr="001B449B" w:rsidRDefault="0012605E">
      <w:pPr>
        <w:rPr>
          <w:sz w:val="22"/>
        </w:rPr>
      </w:pPr>
      <w:r w:rsidRPr="001B449B">
        <w:rPr>
          <w:sz w:val="22"/>
        </w:rPr>
        <w:t xml:space="preserve">Improved regional connectivity across South Asia </w:t>
      </w:r>
      <w:r w:rsidR="00F41E7C" w:rsidRPr="001B449B">
        <w:rPr>
          <w:sz w:val="22"/>
        </w:rPr>
        <w:t>c</w:t>
      </w:r>
      <w:r w:rsidRPr="001B449B">
        <w:rPr>
          <w:sz w:val="22"/>
        </w:rPr>
        <w:t>ould promote economic growth and regional stability</w:t>
      </w:r>
      <w:r w:rsidR="00560715" w:rsidRPr="001B449B">
        <w:rPr>
          <w:sz w:val="22"/>
        </w:rPr>
        <w:t xml:space="preserve">. A more integrated region would reduce transaction costs, which may create jobs and </w:t>
      </w:r>
      <w:r w:rsidR="00A30C26" w:rsidRPr="00A30C26">
        <w:rPr>
          <w:sz w:val="22"/>
        </w:rPr>
        <w:t>open</w:t>
      </w:r>
      <w:r w:rsidR="00560715" w:rsidRPr="001B449B">
        <w:rPr>
          <w:sz w:val="22"/>
        </w:rPr>
        <w:t xml:space="preserve"> new markets for goods and services, including those that benefit poor and marginalised people.</w:t>
      </w:r>
      <w:r w:rsidR="00560715" w:rsidRPr="001B449B">
        <w:rPr>
          <w:rStyle w:val="FootnoteReference"/>
          <w:sz w:val="22"/>
        </w:rPr>
        <w:footnoteReference w:id="3"/>
      </w:r>
      <w:r w:rsidR="00560715" w:rsidRPr="001B449B">
        <w:rPr>
          <w:sz w:val="22"/>
        </w:rPr>
        <w:t xml:space="preserve"> Improved connectivity between the region and the world at large would increase trading opportunities to the benefit of both Australia and South Asian countries. </w:t>
      </w:r>
    </w:p>
    <w:p w14:paraId="157682F6" w14:textId="77777777" w:rsidR="0012605E" w:rsidRPr="001B449B" w:rsidRDefault="0012605E">
      <w:pPr>
        <w:rPr>
          <w:sz w:val="22"/>
        </w:rPr>
      </w:pPr>
      <w:r w:rsidRPr="001B449B">
        <w:rPr>
          <w:sz w:val="22"/>
        </w:rPr>
        <w:t>The relatively poor quality of trade-related infrastructure (e.g. ports, roads and storage facilitie</w:t>
      </w:r>
      <w:r w:rsidR="004273BC" w:rsidRPr="001B449B">
        <w:rPr>
          <w:sz w:val="22"/>
        </w:rPr>
        <w:t xml:space="preserve">s), as well as of energy production </w:t>
      </w:r>
      <w:r w:rsidR="0088135B" w:rsidRPr="001B449B">
        <w:rPr>
          <w:sz w:val="22"/>
        </w:rPr>
        <w:t xml:space="preserve">and distribution </w:t>
      </w:r>
      <w:r w:rsidRPr="001B449B">
        <w:rPr>
          <w:sz w:val="22"/>
        </w:rPr>
        <w:t xml:space="preserve">networks, are key constraints to growth. </w:t>
      </w:r>
      <w:r w:rsidR="004273BC" w:rsidRPr="001B449B">
        <w:rPr>
          <w:sz w:val="22"/>
        </w:rPr>
        <w:t>Additionally, n</w:t>
      </w:r>
      <w:r w:rsidRPr="001B449B">
        <w:rPr>
          <w:sz w:val="22"/>
        </w:rPr>
        <w:t>on-tariff barriers –</w:t>
      </w:r>
      <w:r w:rsidR="004273BC" w:rsidRPr="001B449B">
        <w:rPr>
          <w:sz w:val="22"/>
        </w:rPr>
        <w:t xml:space="preserve"> such as over-administration </w:t>
      </w:r>
      <w:r w:rsidRPr="001B449B">
        <w:rPr>
          <w:sz w:val="22"/>
        </w:rPr>
        <w:t>at borders – add to the high cost of cross border trading (50 per cent higher than ASEAN</w:t>
      </w:r>
      <w:r w:rsidR="00F41E7C" w:rsidRPr="001B449B">
        <w:rPr>
          <w:sz w:val="22"/>
        </w:rPr>
        <w:t xml:space="preserve"> average</w:t>
      </w:r>
      <w:r w:rsidRPr="001B449B">
        <w:rPr>
          <w:sz w:val="22"/>
        </w:rPr>
        <w:t xml:space="preserve">). </w:t>
      </w:r>
      <w:r w:rsidR="00C97E0A" w:rsidRPr="001B449B">
        <w:rPr>
          <w:sz w:val="22"/>
        </w:rPr>
        <w:t>Greater levels of regional cooperation will be needed to manage shared resources to ensure their long-term sustainability and capacity to support economic growth and to maintain regional stability.</w:t>
      </w:r>
    </w:p>
    <w:p w14:paraId="7E8AE55D" w14:textId="77777777" w:rsidR="0012605E" w:rsidRPr="001B449B" w:rsidRDefault="00F90B83">
      <w:pPr>
        <w:rPr>
          <w:sz w:val="22"/>
        </w:rPr>
      </w:pPr>
      <w:r w:rsidRPr="001B449B">
        <w:rPr>
          <w:sz w:val="22"/>
        </w:rPr>
        <w:t xml:space="preserve">DFAT’s </w:t>
      </w:r>
      <w:r w:rsidR="0012605E" w:rsidRPr="001B449B">
        <w:rPr>
          <w:sz w:val="22"/>
        </w:rPr>
        <w:t>South Asia Regional program seeks to addres</w:t>
      </w:r>
      <w:r w:rsidR="00EC1B52" w:rsidRPr="001B449B">
        <w:rPr>
          <w:sz w:val="22"/>
        </w:rPr>
        <w:t>s</w:t>
      </w:r>
      <w:r w:rsidR="0012605E" w:rsidRPr="001B449B">
        <w:rPr>
          <w:sz w:val="22"/>
        </w:rPr>
        <w:t xml:space="preserve"> the</w:t>
      </w:r>
      <w:r w:rsidR="00856265" w:rsidRPr="001B449B">
        <w:rPr>
          <w:sz w:val="22"/>
        </w:rPr>
        <w:t>se</w:t>
      </w:r>
      <w:r w:rsidR="004A7190" w:rsidRPr="001B449B">
        <w:rPr>
          <w:sz w:val="22"/>
        </w:rPr>
        <w:t xml:space="preserve"> </w:t>
      </w:r>
      <w:r w:rsidR="0012605E" w:rsidRPr="001B449B">
        <w:rPr>
          <w:sz w:val="22"/>
        </w:rPr>
        <w:t>region-wide barriers to sustainable economic growth.</w:t>
      </w:r>
      <w:r w:rsidR="0012605E" w:rsidRPr="001B449B">
        <w:rPr>
          <w:rStyle w:val="FootnoteReference"/>
          <w:sz w:val="22"/>
        </w:rPr>
        <w:footnoteReference w:id="4"/>
      </w:r>
      <w:r w:rsidR="0012605E" w:rsidRPr="001B449B">
        <w:rPr>
          <w:sz w:val="22"/>
        </w:rPr>
        <w:t xml:space="preserve"> </w:t>
      </w:r>
      <w:r w:rsidR="00EC1B52" w:rsidRPr="001B449B">
        <w:rPr>
          <w:sz w:val="22"/>
        </w:rPr>
        <w:t xml:space="preserve">Gender equality is </w:t>
      </w:r>
      <w:r w:rsidR="00856265" w:rsidRPr="001B449B">
        <w:rPr>
          <w:sz w:val="22"/>
        </w:rPr>
        <w:t xml:space="preserve">also </w:t>
      </w:r>
      <w:r w:rsidR="00EC1B52" w:rsidRPr="001B449B">
        <w:rPr>
          <w:sz w:val="22"/>
        </w:rPr>
        <w:t>a focus in all DFAT’s investments under this regional program.</w:t>
      </w:r>
      <w:r w:rsidR="00EC1B52" w:rsidRPr="001B449B">
        <w:rPr>
          <w:rStyle w:val="FootnoteReference"/>
          <w:sz w:val="22"/>
        </w:rPr>
        <w:footnoteReference w:id="5"/>
      </w:r>
      <w:r w:rsidR="00EC1B52" w:rsidRPr="001B449B">
        <w:rPr>
          <w:sz w:val="22"/>
        </w:rPr>
        <w:t xml:space="preserve"> </w:t>
      </w:r>
      <w:r w:rsidR="0012605E" w:rsidRPr="001B449B">
        <w:rPr>
          <w:sz w:val="22"/>
        </w:rPr>
        <w:t>Improved regional connectivity is</w:t>
      </w:r>
      <w:r w:rsidR="00EC1B52" w:rsidRPr="001B449B">
        <w:rPr>
          <w:sz w:val="22"/>
        </w:rPr>
        <w:t xml:space="preserve"> highlighted in DFAT strategy document</w:t>
      </w:r>
      <w:r w:rsidR="00214443" w:rsidRPr="001B449B">
        <w:rPr>
          <w:sz w:val="22"/>
        </w:rPr>
        <w:t>s</w:t>
      </w:r>
      <w:r w:rsidR="00EC1B52" w:rsidRPr="001B449B">
        <w:rPr>
          <w:sz w:val="22"/>
        </w:rPr>
        <w:t xml:space="preserve"> </w:t>
      </w:r>
      <w:r w:rsidR="00A30C26" w:rsidRPr="00A30C26">
        <w:rPr>
          <w:sz w:val="22"/>
        </w:rPr>
        <w:t>to</w:t>
      </w:r>
      <w:r w:rsidR="00214443" w:rsidRPr="001B449B">
        <w:rPr>
          <w:sz w:val="22"/>
        </w:rPr>
        <w:t xml:space="preserve"> enhance</w:t>
      </w:r>
      <w:r w:rsidR="00EC1B52" w:rsidRPr="001B449B">
        <w:rPr>
          <w:sz w:val="22"/>
        </w:rPr>
        <w:t xml:space="preserve"> women’s ability to participate in trade and economic integration</w:t>
      </w:r>
      <w:r w:rsidR="00214443" w:rsidRPr="001B449B">
        <w:rPr>
          <w:sz w:val="22"/>
        </w:rPr>
        <w:t>.  Where these improvements are combined with</w:t>
      </w:r>
      <w:r w:rsidR="00EC1B52" w:rsidRPr="001B449B">
        <w:rPr>
          <w:sz w:val="22"/>
        </w:rPr>
        <w:t xml:space="preserve"> gender-responsive trade policies</w:t>
      </w:r>
      <w:r w:rsidR="00214443" w:rsidRPr="001B449B">
        <w:rPr>
          <w:sz w:val="22"/>
        </w:rPr>
        <w:t>, they can</w:t>
      </w:r>
      <w:r w:rsidR="00EC1B52" w:rsidRPr="001B449B">
        <w:rPr>
          <w:sz w:val="22"/>
        </w:rPr>
        <w:t xml:space="preserve"> lead to women’s empowerment</w:t>
      </w:r>
      <w:r w:rsidR="00214443" w:rsidRPr="001B449B">
        <w:rPr>
          <w:sz w:val="22"/>
        </w:rPr>
        <w:t>.</w:t>
      </w:r>
      <w:r w:rsidR="00EC1B52" w:rsidRPr="001B449B">
        <w:rPr>
          <w:rStyle w:val="FootnoteReference"/>
          <w:sz w:val="22"/>
        </w:rPr>
        <w:footnoteReference w:id="6"/>
      </w:r>
    </w:p>
    <w:p w14:paraId="318E245C" w14:textId="72C9E5EB" w:rsidR="00AD6BBB" w:rsidRPr="001B449B" w:rsidRDefault="00AD6BBB">
      <w:pPr>
        <w:rPr>
          <w:sz w:val="22"/>
        </w:rPr>
      </w:pPr>
      <w:r w:rsidRPr="001B449B">
        <w:rPr>
          <w:sz w:val="22"/>
        </w:rPr>
        <w:t xml:space="preserve">DFAT’s </w:t>
      </w:r>
      <w:r w:rsidR="00CA4916">
        <w:rPr>
          <w:sz w:val="22"/>
        </w:rPr>
        <w:t xml:space="preserve">Aid Investment Plan for its </w:t>
      </w:r>
      <w:r w:rsidRPr="001B449B">
        <w:rPr>
          <w:sz w:val="22"/>
        </w:rPr>
        <w:t>South Asia Regional Development Program: 2015-16 to 2018-19</w:t>
      </w:r>
      <w:r w:rsidR="006F2C55">
        <w:rPr>
          <w:rStyle w:val="FootnoteReference"/>
          <w:sz w:val="22"/>
        </w:rPr>
        <w:footnoteReference w:id="7"/>
      </w:r>
      <w:r w:rsidRPr="001B449B">
        <w:rPr>
          <w:sz w:val="22"/>
        </w:rPr>
        <w:t xml:space="preserve"> focuses on two of the region’s most important long-term, transboundary development issues: </w:t>
      </w:r>
    </w:p>
    <w:p w14:paraId="3515B5C3" w14:textId="77777777" w:rsidR="00AD6BBB" w:rsidRPr="001B449B" w:rsidRDefault="004A3236" w:rsidP="00B363EF">
      <w:pPr>
        <w:pStyle w:val="ListParagraph"/>
        <w:numPr>
          <w:ilvl w:val="0"/>
          <w:numId w:val="44"/>
        </w:numPr>
        <w:rPr>
          <w:sz w:val="22"/>
        </w:rPr>
      </w:pPr>
      <w:r w:rsidRPr="001B449B">
        <w:rPr>
          <w:sz w:val="22"/>
        </w:rPr>
        <w:t>S</w:t>
      </w:r>
      <w:r w:rsidR="00AD6BBB" w:rsidRPr="001B449B">
        <w:rPr>
          <w:sz w:val="22"/>
        </w:rPr>
        <w:t>ustainable development (water, food and energy security)</w:t>
      </w:r>
    </w:p>
    <w:p w14:paraId="1CEAD99A" w14:textId="77777777" w:rsidR="00316BC3" w:rsidRPr="001B449B" w:rsidRDefault="004A3236" w:rsidP="004F53EC">
      <w:pPr>
        <w:pStyle w:val="ListParagraph"/>
        <w:numPr>
          <w:ilvl w:val="0"/>
          <w:numId w:val="44"/>
        </w:numPr>
        <w:rPr>
          <w:sz w:val="22"/>
        </w:rPr>
      </w:pPr>
      <w:r w:rsidRPr="001B449B">
        <w:rPr>
          <w:sz w:val="22"/>
        </w:rPr>
        <w:t>R</w:t>
      </w:r>
      <w:r w:rsidR="00AD6BBB" w:rsidRPr="001B449B">
        <w:rPr>
          <w:sz w:val="22"/>
        </w:rPr>
        <w:t>egional connectivity (trade facilitation and infrastructure connectivity).</w:t>
      </w:r>
    </w:p>
    <w:p w14:paraId="78AAA1AA" w14:textId="77777777" w:rsidR="00AD6BBB" w:rsidRPr="001B449B" w:rsidRDefault="00AD6BBB" w:rsidP="00B363EF">
      <w:pPr>
        <w:rPr>
          <w:sz w:val="22"/>
        </w:rPr>
      </w:pPr>
      <w:r w:rsidRPr="001B449B">
        <w:rPr>
          <w:sz w:val="22"/>
        </w:rPr>
        <w:t xml:space="preserve">The second of these DFAT priorities is addressed through two World Bank-led programs: </w:t>
      </w:r>
    </w:p>
    <w:p w14:paraId="4508E3DA" w14:textId="77777777" w:rsidR="00856265" w:rsidRPr="001B449B" w:rsidRDefault="00134499" w:rsidP="00B363EF">
      <w:pPr>
        <w:pStyle w:val="ListParagraph"/>
        <w:numPr>
          <w:ilvl w:val="0"/>
          <w:numId w:val="43"/>
        </w:numPr>
        <w:rPr>
          <w:sz w:val="22"/>
        </w:rPr>
      </w:pPr>
      <w:r w:rsidRPr="001B449B">
        <w:rPr>
          <w:b/>
          <w:sz w:val="22"/>
        </w:rPr>
        <w:t>Infrastructure for Growth</w:t>
      </w:r>
      <w:r w:rsidRPr="001B449B">
        <w:rPr>
          <w:sz w:val="22"/>
        </w:rPr>
        <w:t xml:space="preserve"> (IFG</w:t>
      </w:r>
      <w:r w:rsidR="00534C82" w:rsidRPr="001B449B">
        <w:rPr>
          <w:sz w:val="22"/>
        </w:rPr>
        <w:t xml:space="preserve">, </w:t>
      </w:r>
      <w:r w:rsidR="00CD3194" w:rsidRPr="001B449B">
        <w:rPr>
          <w:sz w:val="22"/>
        </w:rPr>
        <w:t>AUD</w:t>
      </w:r>
      <w:r w:rsidR="00534C82" w:rsidRPr="001B449B">
        <w:rPr>
          <w:sz w:val="22"/>
        </w:rPr>
        <w:t>20 million, 2012-2018)</w:t>
      </w:r>
      <w:r w:rsidR="00551535" w:rsidRPr="001B449B">
        <w:rPr>
          <w:sz w:val="22"/>
        </w:rPr>
        <w:t>.</w:t>
      </w:r>
      <w:r w:rsidR="00081A91" w:rsidRPr="001B449B">
        <w:rPr>
          <w:sz w:val="22"/>
        </w:rPr>
        <w:t xml:space="preserve"> IFG </w:t>
      </w:r>
      <w:r w:rsidR="00082AB2" w:rsidRPr="001B449B">
        <w:rPr>
          <w:sz w:val="22"/>
        </w:rPr>
        <w:t xml:space="preserve">aims to meet the infrastructure gaps in the region by addressing the major challenges of connectivity and integration, within countries and within the region. It </w:t>
      </w:r>
      <w:r w:rsidR="00081A91" w:rsidRPr="001B449B">
        <w:rPr>
          <w:sz w:val="22"/>
        </w:rPr>
        <w:t>focuses on two core sectors</w:t>
      </w:r>
      <w:r w:rsidR="0077618F" w:rsidRPr="001B449B">
        <w:rPr>
          <w:sz w:val="22"/>
        </w:rPr>
        <w:t>:</w:t>
      </w:r>
      <w:r w:rsidR="00081A91" w:rsidRPr="001B449B">
        <w:rPr>
          <w:sz w:val="22"/>
        </w:rPr>
        <w:t xml:space="preserve"> energy and transport, through three thematic pillars: </w:t>
      </w:r>
    </w:p>
    <w:p w14:paraId="011A0E05" w14:textId="77777777" w:rsidR="00856265" w:rsidRPr="001B449B" w:rsidRDefault="00081A91" w:rsidP="001B449B">
      <w:pPr>
        <w:pStyle w:val="ListParagraph"/>
        <w:numPr>
          <w:ilvl w:val="1"/>
          <w:numId w:val="43"/>
        </w:numPr>
        <w:rPr>
          <w:sz w:val="22"/>
        </w:rPr>
      </w:pPr>
      <w:r w:rsidRPr="001B449B">
        <w:rPr>
          <w:sz w:val="22"/>
        </w:rPr>
        <w:t>regional economic integration</w:t>
      </w:r>
      <w:r w:rsidR="00856265" w:rsidRPr="001B449B">
        <w:rPr>
          <w:sz w:val="22"/>
        </w:rPr>
        <w:t>;</w:t>
      </w:r>
    </w:p>
    <w:p w14:paraId="5F9897E7" w14:textId="159F0155" w:rsidR="00856265" w:rsidRPr="001B449B" w:rsidRDefault="00081A91" w:rsidP="001B449B">
      <w:pPr>
        <w:pStyle w:val="ListParagraph"/>
        <w:numPr>
          <w:ilvl w:val="1"/>
          <w:numId w:val="43"/>
        </w:numPr>
        <w:rPr>
          <w:sz w:val="22"/>
        </w:rPr>
      </w:pPr>
      <w:r w:rsidRPr="001B449B">
        <w:rPr>
          <w:sz w:val="22"/>
        </w:rPr>
        <w:t>climate change</w:t>
      </w:r>
      <w:r w:rsidR="00EF5DA0">
        <w:rPr>
          <w:sz w:val="22"/>
        </w:rPr>
        <w:t>;</w:t>
      </w:r>
      <w:r w:rsidRPr="001B449B">
        <w:rPr>
          <w:sz w:val="22"/>
        </w:rPr>
        <w:t xml:space="preserve"> and </w:t>
      </w:r>
    </w:p>
    <w:p w14:paraId="7C085AB2" w14:textId="77777777" w:rsidR="00856265" w:rsidRPr="001B449B" w:rsidRDefault="00081A91" w:rsidP="001B449B">
      <w:pPr>
        <w:pStyle w:val="ListParagraph"/>
        <w:numPr>
          <w:ilvl w:val="1"/>
          <w:numId w:val="43"/>
        </w:numPr>
        <w:rPr>
          <w:sz w:val="22"/>
        </w:rPr>
      </w:pPr>
      <w:r w:rsidRPr="001B449B">
        <w:rPr>
          <w:sz w:val="22"/>
        </w:rPr>
        <w:t>cross-cutting themes (including gender and social inclusion)</w:t>
      </w:r>
      <w:r w:rsidR="00342197" w:rsidRPr="001B449B">
        <w:rPr>
          <w:sz w:val="22"/>
        </w:rPr>
        <w:t xml:space="preserve">. </w:t>
      </w:r>
    </w:p>
    <w:p w14:paraId="678C6BE7" w14:textId="77777777" w:rsidR="00134499" w:rsidRPr="001B449B" w:rsidRDefault="00856265" w:rsidP="001B449B">
      <w:pPr>
        <w:pStyle w:val="ListParagraph"/>
        <w:ind w:left="420"/>
        <w:rPr>
          <w:sz w:val="22"/>
        </w:rPr>
      </w:pPr>
      <w:r w:rsidRPr="001B449B">
        <w:rPr>
          <w:sz w:val="22"/>
        </w:rPr>
        <w:t xml:space="preserve">The </w:t>
      </w:r>
      <w:r w:rsidR="00342197" w:rsidRPr="001B449B">
        <w:rPr>
          <w:sz w:val="22"/>
        </w:rPr>
        <w:t>IFG portfolio includes activities in Afghanistan, Bangladesh, Bhutan, India, Maldives, Nepal, Pakistan, and Sri Lanka</w:t>
      </w:r>
      <w:r w:rsidR="00EC1B52" w:rsidRPr="001B449B">
        <w:rPr>
          <w:sz w:val="22"/>
        </w:rPr>
        <w:t>. In practice</w:t>
      </w:r>
      <w:r w:rsidR="00853B48" w:rsidRPr="001B449B">
        <w:rPr>
          <w:sz w:val="22"/>
        </w:rPr>
        <w:t xml:space="preserve">, a large proportion of activities occurred </w:t>
      </w:r>
      <w:r w:rsidR="00691D85" w:rsidRPr="001B449B">
        <w:rPr>
          <w:sz w:val="22"/>
        </w:rPr>
        <w:t>in India</w:t>
      </w:r>
      <w:r w:rsidR="009846CC" w:rsidRPr="001B449B">
        <w:rPr>
          <w:sz w:val="22"/>
        </w:rPr>
        <w:t xml:space="preserve"> or were categorised as regional activities</w:t>
      </w:r>
      <w:r w:rsidR="00691D85" w:rsidRPr="001B449B">
        <w:rPr>
          <w:sz w:val="22"/>
        </w:rPr>
        <w:t>.</w:t>
      </w:r>
    </w:p>
    <w:p w14:paraId="111465E5" w14:textId="77777777" w:rsidR="00856265" w:rsidRPr="001B449B" w:rsidRDefault="00134499" w:rsidP="004F53EC">
      <w:pPr>
        <w:pStyle w:val="ListParagraph"/>
        <w:numPr>
          <w:ilvl w:val="0"/>
          <w:numId w:val="43"/>
        </w:numPr>
        <w:rPr>
          <w:sz w:val="22"/>
        </w:rPr>
      </w:pPr>
      <w:r w:rsidRPr="001B449B">
        <w:rPr>
          <w:b/>
          <w:sz w:val="22"/>
        </w:rPr>
        <w:t>South Asia Regional Trade Facilitation</w:t>
      </w:r>
      <w:r w:rsidR="00081A91" w:rsidRPr="001B449B">
        <w:rPr>
          <w:sz w:val="22"/>
        </w:rPr>
        <w:t xml:space="preserve"> </w:t>
      </w:r>
      <w:r w:rsidR="00081A91" w:rsidRPr="001B449B">
        <w:rPr>
          <w:b/>
          <w:sz w:val="22"/>
        </w:rPr>
        <w:t>Program</w:t>
      </w:r>
      <w:r w:rsidR="00081A91" w:rsidRPr="001B449B">
        <w:rPr>
          <w:sz w:val="22"/>
        </w:rPr>
        <w:t xml:space="preserve"> </w:t>
      </w:r>
      <w:r w:rsidRPr="001B449B">
        <w:rPr>
          <w:sz w:val="22"/>
        </w:rPr>
        <w:t>(SARTFP</w:t>
      </w:r>
      <w:r w:rsidR="00534C82" w:rsidRPr="001B449B">
        <w:rPr>
          <w:sz w:val="22"/>
        </w:rPr>
        <w:t xml:space="preserve">, </w:t>
      </w:r>
      <w:r w:rsidR="00CD3194" w:rsidRPr="001B449B">
        <w:rPr>
          <w:sz w:val="22"/>
        </w:rPr>
        <w:t>AUD</w:t>
      </w:r>
      <w:r w:rsidR="00534C82" w:rsidRPr="001B449B">
        <w:rPr>
          <w:sz w:val="22"/>
        </w:rPr>
        <w:t>25 million, 2015-2019)</w:t>
      </w:r>
      <w:r w:rsidRPr="001B449B">
        <w:rPr>
          <w:sz w:val="22"/>
        </w:rPr>
        <w:t>.</w:t>
      </w:r>
      <w:r w:rsidR="00081A91" w:rsidRPr="001B449B">
        <w:rPr>
          <w:sz w:val="22"/>
        </w:rPr>
        <w:t xml:space="preserve"> The objective of SARTFP is to enhance trade and economic opportunities across Bangladesh, Bhutan, India and Nepal</w:t>
      </w:r>
      <w:r w:rsidR="0077618F" w:rsidRPr="001B449B">
        <w:rPr>
          <w:sz w:val="22"/>
        </w:rPr>
        <w:t xml:space="preserve">. SARTFP has </w:t>
      </w:r>
      <w:r w:rsidR="00081A91" w:rsidRPr="001B449B">
        <w:rPr>
          <w:sz w:val="22"/>
        </w:rPr>
        <w:t xml:space="preserve">an emphasis on women’s participation in trade and economic activity across three focus areas: </w:t>
      </w:r>
    </w:p>
    <w:p w14:paraId="5695C806" w14:textId="77777777" w:rsidR="00856265" w:rsidRPr="001B449B" w:rsidRDefault="00081A91" w:rsidP="001B449B">
      <w:pPr>
        <w:pStyle w:val="ListParagraph"/>
        <w:numPr>
          <w:ilvl w:val="1"/>
          <w:numId w:val="43"/>
        </w:numPr>
        <w:rPr>
          <w:sz w:val="22"/>
        </w:rPr>
      </w:pPr>
      <w:r w:rsidRPr="001B449B">
        <w:rPr>
          <w:sz w:val="22"/>
        </w:rPr>
        <w:lastRenderedPageBreak/>
        <w:t xml:space="preserve">transport connectivity; </w:t>
      </w:r>
    </w:p>
    <w:p w14:paraId="4B27731C" w14:textId="77777777" w:rsidR="00856265" w:rsidRPr="001B449B" w:rsidRDefault="00081A91" w:rsidP="001B449B">
      <w:pPr>
        <w:pStyle w:val="ListParagraph"/>
        <w:numPr>
          <w:ilvl w:val="1"/>
          <w:numId w:val="43"/>
        </w:numPr>
        <w:rPr>
          <w:sz w:val="22"/>
        </w:rPr>
      </w:pPr>
      <w:r w:rsidRPr="001B449B">
        <w:rPr>
          <w:sz w:val="22"/>
        </w:rPr>
        <w:t xml:space="preserve">trade facilitation and trade policy; and </w:t>
      </w:r>
    </w:p>
    <w:p w14:paraId="4377C659" w14:textId="77777777" w:rsidR="000418DC" w:rsidRPr="001B449B" w:rsidRDefault="00081A91" w:rsidP="001B449B">
      <w:pPr>
        <w:pStyle w:val="ListParagraph"/>
        <w:numPr>
          <w:ilvl w:val="1"/>
          <w:numId w:val="43"/>
        </w:numPr>
        <w:rPr>
          <w:sz w:val="22"/>
        </w:rPr>
      </w:pPr>
      <w:r w:rsidRPr="001B449B">
        <w:rPr>
          <w:sz w:val="22"/>
        </w:rPr>
        <w:t>local enterprise development and economic</w:t>
      </w:r>
      <w:r w:rsidR="000418DC" w:rsidRPr="001B449B">
        <w:rPr>
          <w:sz w:val="22"/>
        </w:rPr>
        <w:t>.</w:t>
      </w:r>
    </w:p>
    <w:p w14:paraId="6501219E" w14:textId="505B52AC" w:rsidR="00342197" w:rsidRPr="001B449B" w:rsidRDefault="006D4F99" w:rsidP="00B363EF">
      <w:pPr>
        <w:rPr>
          <w:sz w:val="22"/>
        </w:rPr>
      </w:pPr>
      <w:r w:rsidRPr="001B449B">
        <w:rPr>
          <w:sz w:val="22"/>
        </w:rPr>
        <w:t>Both programs are solely funded by DFAT through the Partnership for South Asia (PFSA) Trust Fund – a DFAT-World Bank umbrella trust fund for nine investments across South and West Asia.</w:t>
      </w:r>
      <w:r w:rsidR="005D2BEC">
        <w:rPr>
          <w:sz w:val="22"/>
        </w:rPr>
        <w:t xml:space="preserve"> It is important to note that</w:t>
      </w:r>
      <w:r w:rsidR="000C1D1E">
        <w:rPr>
          <w:sz w:val="22"/>
        </w:rPr>
        <w:t xml:space="preserve"> IFG and SARTFP were at different stages of implementation when this evaluation took place. </w:t>
      </w:r>
      <w:r w:rsidR="005D2BEC">
        <w:rPr>
          <w:sz w:val="22"/>
        </w:rPr>
        <w:t xml:space="preserve">IFG </w:t>
      </w:r>
      <w:r w:rsidR="005D2BEC" w:rsidRPr="00B01BBC">
        <w:rPr>
          <w:rFonts w:ascii="Calibri" w:hAnsi="Calibri" w:cs="Calibri"/>
          <w:color w:val="000000"/>
          <w:sz w:val="22"/>
        </w:rPr>
        <w:t>was designed under the AusA</w:t>
      </w:r>
      <w:r w:rsidR="00C55511">
        <w:rPr>
          <w:rFonts w:ascii="Calibri" w:hAnsi="Calibri" w:cs="Calibri"/>
          <w:color w:val="000000"/>
          <w:sz w:val="22"/>
        </w:rPr>
        <w:t>ID</w:t>
      </w:r>
      <w:r w:rsidR="00134A0F">
        <w:rPr>
          <w:rStyle w:val="FootnoteReference"/>
          <w:rFonts w:ascii="Calibri" w:hAnsi="Calibri" w:cs="Calibri"/>
          <w:color w:val="000000"/>
          <w:sz w:val="22"/>
        </w:rPr>
        <w:footnoteReference w:id="8"/>
      </w:r>
      <w:r w:rsidR="005D2BEC" w:rsidRPr="00B01BBC">
        <w:rPr>
          <w:rFonts w:ascii="Calibri" w:hAnsi="Calibri" w:cs="Calibri"/>
          <w:color w:val="000000"/>
          <w:sz w:val="22"/>
        </w:rPr>
        <w:t xml:space="preserve"> strategic priorities,</w:t>
      </w:r>
      <w:r w:rsidR="00134A0F">
        <w:rPr>
          <w:rFonts w:ascii="Calibri" w:hAnsi="Calibri" w:cs="Calibri"/>
          <w:color w:val="000000"/>
          <w:sz w:val="22"/>
        </w:rPr>
        <w:t xml:space="preserve"> w</w:t>
      </w:r>
      <w:r w:rsidR="00134A0F" w:rsidRPr="00B01BBC">
        <w:rPr>
          <w:rFonts w:ascii="Calibri" w:hAnsi="Calibri" w:cs="Calibri"/>
          <w:color w:val="000000"/>
          <w:sz w:val="22"/>
        </w:rPr>
        <w:t>hen</w:t>
      </w:r>
      <w:r w:rsidR="00134A0F">
        <w:rPr>
          <w:rFonts w:ascii="Calibri" w:hAnsi="Calibri" w:cs="Calibri"/>
          <w:color w:val="000000"/>
          <w:sz w:val="22"/>
        </w:rPr>
        <w:t xml:space="preserve"> for example</w:t>
      </w:r>
      <w:r w:rsidR="00134A0F" w:rsidRPr="00B01BBC">
        <w:rPr>
          <w:rFonts w:ascii="Calibri" w:hAnsi="Calibri" w:cs="Calibri"/>
          <w:color w:val="000000"/>
          <w:sz w:val="22"/>
        </w:rPr>
        <w:t xml:space="preserve"> gender was not a main focus area </w:t>
      </w:r>
      <w:r w:rsidR="00134A0F">
        <w:rPr>
          <w:rFonts w:ascii="Calibri" w:hAnsi="Calibri" w:cs="Calibri"/>
          <w:color w:val="000000"/>
          <w:sz w:val="22"/>
        </w:rPr>
        <w:t>but one of a number of cross-cutting themes</w:t>
      </w:r>
      <w:r w:rsidR="000C1D1E">
        <w:rPr>
          <w:rFonts w:ascii="Calibri" w:hAnsi="Calibri" w:cs="Calibri"/>
          <w:color w:val="000000"/>
          <w:sz w:val="22"/>
        </w:rPr>
        <w:t>. </w:t>
      </w:r>
      <w:r w:rsidR="00134A0F">
        <w:rPr>
          <w:rFonts w:ascii="Calibri" w:hAnsi="Calibri" w:cs="Calibri"/>
          <w:color w:val="000000"/>
          <w:sz w:val="22"/>
        </w:rPr>
        <w:t xml:space="preserve">However </w:t>
      </w:r>
      <w:r w:rsidR="005D2BEC" w:rsidRPr="00B01BBC">
        <w:rPr>
          <w:rFonts w:ascii="Calibri" w:hAnsi="Calibri" w:cs="Calibri"/>
          <w:color w:val="000000"/>
          <w:sz w:val="22"/>
        </w:rPr>
        <w:t xml:space="preserve">SARTFP </w:t>
      </w:r>
      <w:r w:rsidR="00134A0F">
        <w:rPr>
          <w:rFonts w:ascii="Calibri" w:hAnsi="Calibri" w:cs="Calibri"/>
          <w:color w:val="000000"/>
          <w:sz w:val="22"/>
        </w:rPr>
        <w:t xml:space="preserve">was designed under DFAT and reflects more recent priorities including an emphasis on gender. These are discussed in more detail in the main findings for both programs. </w:t>
      </w:r>
    </w:p>
    <w:p w14:paraId="777389B4" w14:textId="77777777" w:rsidR="003D086F" w:rsidRPr="00A30C26" w:rsidRDefault="00390C1A" w:rsidP="00B363EF">
      <w:pPr>
        <w:pStyle w:val="Heading2"/>
      </w:pPr>
      <w:bookmarkStart w:id="9" w:name="_Toc517615233"/>
      <w:r w:rsidRPr="00A30C26">
        <w:t>Evaluation Scope, Obje</w:t>
      </w:r>
      <w:r w:rsidR="000C1066" w:rsidRPr="00A30C26">
        <w:t>c</w:t>
      </w:r>
      <w:r w:rsidRPr="00A30C26">
        <w:t>tives and Methods</w:t>
      </w:r>
      <w:bookmarkEnd w:id="9"/>
    </w:p>
    <w:p w14:paraId="2676C065" w14:textId="77777777" w:rsidR="00E951E5" w:rsidRPr="001B449B" w:rsidRDefault="00E951E5" w:rsidP="00B363EF">
      <w:pPr>
        <w:rPr>
          <w:sz w:val="22"/>
        </w:rPr>
      </w:pPr>
      <w:r w:rsidRPr="001B449B">
        <w:rPr>
          <w:sz w:val="22"/>
        </w:rPr>
        <w:t>This report contains the findings of the Independent evaluation of IFG and SARTFP commissioned by the Department of Foreign Affairs and Trade (DFAT).</w:t>
      </w:r>
    </w:p>
    <w:p w14:paraId="34BF9BDD" w14:textId="77777777" w:rsidR="00E951E5" w:rsidRPr="001B449B" w:rsidRDefault="00E951E5" w:rsidP="00B363EF">
      <w:pPr>
        <w:pStyle w:val="Heading3"/>
        <w:rPr>
          <w:sz w:val="22"/>
        </w:rPr>
      </w:pPr>
      <w:r w:rsidRPr="001B449B">
        <w:rPr>
          <w:sz w:val="22"/>
        </w:rPr>
        <w:t>Scope and objectives</w:t>
      </w:r>
    </w:p>
    <w:p w14:paraId="35CB3777" w14:textId="77777777" w:rsidR="00E951E5" w:rsidRPr="001B449B" w:rsidRDefault="00E951E5" w:rsidP="00B363EF">
      <w:pPr>
        <w:rPr>
          <w:sz w:val="22"/>
        </w:rPr>
      </w:pPr>
      <w:r w:rsidRPr="001B449B">
        <w:rPr>
          <w:sz w:val="22"/>
        </w:rPr>
        <w:t>As outlined in the Independent Evaluation Plan</w:t>
      </w:r>
      <w:r w:rsidR="001B2883" w:rsidRPr="001B449B">
        <w:rPr>
          <w:sz w:val="22"/>
        </w:rPr>
        <w:t>,</w:t>
      </w:r>
      <w:r w:rsidRPr="001B449B">
        <w:rPr>
          <w:rStyle w:val="FootnoteReference"/>
          <w:sz w:val="22"/>
        </w:rPr>
        <w:footnoteReference w:id="9"/>
      </w:r>
      <w:r w:rsidRPr="001B449B">
        <w:rPr>
          <w:sz w:val="22"/>
        </w:rPr>
        <w:t xml:space="preserve"> the scope of the evaluation comprises </w:t>
      </w:r>
      <w:r w:rsidRPr="001B449B">
        <w:rPr>
          <w:b/>
          <w:sz w:val="22"/>
        </w:rPr>
        <w:t>four</w:t>
      </w:r>
      <w:r w:rsidRPr="001B449B">
        <w:rPr>
          <w:sz w:val="22"/>
        </w:rPr>
        <w:t xml:space="preserve"> interrelated parts:</w:t>
      </w:r>
    </w:p>
    <w:p w14:paraId="501BA353" w14:textId="77777777" w:rsidR="00E951E5" w:rsidRPr="001B449B" w:rsidRDefault="00E951E5" w:rsidP="00B363EF">
      <w:pPr>
        <w:pStyle w:val="ListParagraph"/>
        <w:numPr>
          <w:ilvl w:val="0"/>
          <w:numId w:val="7"/>
        </w:numPr>
        <w:rPr>
          <w:sz w:val="22"/>
        </w:rPr>
      </w:pPr>
      <w:r w:rsidRPr="001B449B">
        <w:rPr>
          <w:sz w:val="22"/>
        </w:rPr>
        <w:t>Evaluation of IFG</w:t>
      </w:r>
    </w:p>
    <w:p w14:paraId="4F5591DA" w14:textId="77777777" w:rsidR="00E951E5" w:rsidRPr="001B449B" w:rsidRDefault="00E951E5" w:rsidP="004F53EC">
      <w:pPr>
        <w:pStyle w:val="ListParagraph"/>
        <w:numPr>
          <w:ilvl w:val="0"/>
          <w:numId w:val="7"/>
        </w:numPr>
        <w:rPr>
          <w:sz w:val="22"/>
        </w:rPr>
      </w:pPr>
      <w:r w:rsidRPr="001B449B">
        <w:rPr>
          <w:sz w:val="22"/>
        </w:rPr>
        <w:t xml:space="preserve">Evaluation of SARTFP </w:t>
      </w:r>
    </w:p>
    <w:p w14:paraId="20C924D9" w14:textId="77777777" w:rsidR="00E951E5" w:rsidRPr="001B449B" w:rsidRDefault="00E951E5" w:rsidP="001A78AF">
      <w:pPr>
        <w:pStyle w:val="ListParagraph"/>
        <w:numPr>
          <w:ilvl w:val="0"/>
          <w:numId w:val="7"/>
        </w:numPr>
        <w:rPr>
          <w:sz w:val="22"/>
        </w:rPr>
      </w:pPr>
      <w:r w:rsidRPr="001B449B">
        <w:rPr>
          <w:b/>
          <w:sz w:val="22"/>
        </w:rPr>
        <w:t>Comparison</w:t>
      </w:r>
      <w:r w:rsidRPr="001B449B">
        <w:rPr>
          <w:sz w:val="22"/>
        </w:rPr>
        <w:t xml:space="preserve"> of the programs’ management and implementation models (partner-led versus partnership</w:t>
      </w:r>
      <w:r w:rsidRPr="001B449B">
        <w:rPr>
          <w:rStyle w:val="FootnoteReference"/>
          <w:sz w:val="22"/>
        </w:rPr>
        <w:footnoteReference w:id="10"/>
      </w:r>
      <w:r w:rsidRPr="001B449B">
        <w:rPr>
          <w:sz w:val="22"/>
        </w:rPr>
        <w:t>).</w:t>
      </w:r>
    </w:p>
    <w:p w14:paraId="5F976BB3" w14:textId="77777777" w:rsidR="00E951E5" w:rsidRPr="001B449B" w:rsidRDefault="00E951E5" w:rsidP="001A78AF">
      <w:pPr>
        <w:pStyle w:val="ListParagraph"/>
        <w:numPr>
          <w:ilvl w:val="0"/>
          <w:numId w:val="7"/>
        </w:numPr>
        <w:rPr>
          <w:sz w:val="22"/>
        </w:rPr>
      </w:pPr>
      <w:r w:rsidRPr="001B449B">
        <w:rPr>
          <w:b/>
          <w:sz w:val="22"/>
        </w:rPr>
        <w:t>Informing</w:t>
      </w:r>
      <w:r w:rsidRPr="001B449B">
        <w:rPr>
          <w:sz w:val="22"/>
        </w:rPr>
        <w:t xml:space="preserve"> DFAT’s future investments and engagement based on findings from parts one, two and three above.</w:t>
      </w:r>
    </w:p>
    <w:p w14:paraId="4F0BAE2F" w14:textId="77777777" w:rsidR="00E951E5" w:rsidRPr="001B449B" w:rsidRDefault="00E951E5" w:rsidP="00B363EF">
      <w:pPr>
        <w:rPr>
          <w:sz w:val="22"/>
        </w:rPr>
      </w:pPr>
      <w:r w:rsidRPr="001B449B">
        <w:rPr>
          <w:sz w:val="22"/>
        </w:rPr>
        <w:t xml:space="preserve">The evaluation focuses on the dimensions of </w:t>
      </w:r>
      <w:r w:rsidRPr="001B449B">
        <w:rPr>
          <w:i/>
          <w:sz w:val="22"/>
        </w:rPr>
        <w:t>effectiveness, efficiency, relevance and gender equality</w:t>
      </w:r>
      <w:r w:rsidRPr="001B449B">
        <w:rPr>
          <w:sz w:val="22"/>
        </w:rPr>
        <w:t xml:space="preserve"> to contribute to DFAT’s consideration of its future investments in regional connectivity in South Asia. </w:t>
      </w:r>
    </w:p>
    <w:p w14:paraId="0E261A18" w14:textId="77777777" w:rsidR="00E951E5" w:rsidRPr="001B449B" w:rsidRDefault="00E951E5" w:rsidP="004F53EC">
      <w:pPr>
        <w:rPr>
          <w:sz w:val="22"/>
        </w:rPr>
      </w:pPr>
      <w:r w:rsidRPr="001B449B">
        <w:rPr>
          <w:sz w:val="22"/>
        </w:rPr>
        <w:t>The evaluation was undertaken between December 2017 and March 2018 within the scope and methods established in the Evaluation Plan</w:t>
      </w:r>
      <w:r w:rsidR="00B363EF" w:rsidRPr="001B449B">
        <w:rPr>
          <w:rStyle w:val="FootnoteReference"/>
          <w:sz w:val="22"/>
        </w:rPr>
        <w:footnoteReference w:id="11"/>
      </w:r>
      <w:r w:rsidRPr="001B449B">
        <w:rPr>
          <w:sz w:val="22"/>
        </w:rPr>
        <w:t xml:space="preserve"> and developed in consultation with DFAT and the World Bank.</w:t>
      </w:r>
    </w:p>
    <w:p w14:paraId="66C3B61A" w14:textId="77777777" w:rsidR="00E951E5" w:rsidRPr="001B449B" w:rsidRDefault="00E951E5" w:rsidP="00B363EF">
      <w:pPr>
        <w:pStyle w:val="Heading3"/>
        <w:rPr>
          <w:sz w:val="22"/>
        </w:rPr>
      </w:pPr>
      <w:r w:rsidRPr="001B449B">
        <w:rPr>
          <w:sz w:val="22"/>
        </w:rPr>
        <w:t xml:space="preserve">Tools and Methods </w:t>
      </w:r>
    </w:p>
    <w:p w14:paraId="7D2DE3CD" w14:textId="77777777" w:rsidR="00E951E5" w:rsidRPr="001B449B" w:rsidRDefault="00E951E5" w:rsidP="00B363EF">
      <w:pPr>
        <w:rPr>
          <w:sz w:val="22"/>
        </w:rPr>
      </w:pPr>
      <w:r w:rsidRPr="001B449B">
        <w:rPr>
          <w:sz w:val="22"/>
        </w:rPr>
        <w:t>The evaluation adopted an asset and strengths-based approach to build upon the existing collaborative working relationship between DFAT and the World Bank. The approach was participatory, draw</w:t>
      </w:r>
      <w:r w:rsidR="00A30C26">
        <w:rPr>
          <w:sz w:val="22"/>
        </w:rPr>
        <w:t>ing</w:t>
      </w:r>
      <w:r w:rsidRPr="001B449B">
        <w:rPr>
          <w:sz w:val="22"/>
        </w:rPr>
        <w:t xml:space="preserve"> on the experience and knowledge of key informants regarding the relative strengths and weaknesses of the program’s design, structure and implementation processes. </w:t>
      </w:r>
    </w:p>
    <w:p w14:paraId="7F4E305B" w14:textId="1CE3590D" w:rsidR="00375165" w:rsidRDefault="00E951E5">
      <w:pPr>
        <w:rPr>
          <w:sz w:val="22"/>
        </w:rPr>
      </w:pPr>
      <w:r w:rsidRPr="001B449B">
        <w:rPr>
          <w:sz w:val="22"/>
          <w:lang w:val="en-AU"/>
        </w:rPr>
        <w:t xml:space="preserve">The use of mixed methods, combining quantitative and qualitative data, provided sound evidence that draws upon </w:t>
      </w:r>
      <w:r w:rsidRPr="001B449B">
        <w:rPr>
          <w:sz w:val="22"/>
        </w:rPr>
        <w:t>analysis of primary and secondary data from program implementation</w:t>
      </w:r>
      <w:r w:rsidRPr="001B449B">
        <w:rPr>
          <w:sz w:val="22"/>
          <w:vertAlign w:val="superscript"/>
        </w:rPr>
        <w:footnoteReference w:id="12"/>
      </w:r>
      <w:r w:rsidRPr="001B449B">
        <w:rPr>
          <w:sz w:val="22"/>
        </w:rPr>
        <w:t xml:space="preserve"> as well as </w:t>
      </w:r>
      <w:r w:rsidRPr="001B449B">
        <w:rPr>
          <w:sz w:val="22"/>
          <w:lang w:val="en-AU"/>
        </w:rPr>
        <w:t>the reflections of a wide range of key actors.</w:t>
      </w:r>
      <w:r w:rsidRPr="001B449B">
        <w:rPr>
          <w:sz w:val="22"/>
        </w:rPr>
        <w:t xml:space="preserve"> </w:t>
      </w:r>
    </w:p>
    <w:p w14:paraId="78787181" w14:textId="77777777" w:rsidR="00375165" w:rsidRPr="00A02664" w:rsidRDefault="00375165" w:rsidP="00375165">
      <w:pPr>
        <w:rPr>
          <w:sz w:val="22"/>
        </w:rPr>
      </w:pPr>
      <w:r w:rsidRPr="00A02664">
        <w:rPr>
          <w:sz w:val="22"/>
        </w:rPr>
        <w:t xml:space="preserve">The methodology outlined in the evaluation plan specified these steps:  </w:t>
      </w:r>
    </w:p>
    <w:p w14:paraId="3FA76B48" w14:textId="77777777" w:rsidR="00375165" w:rsidRPr="00A02664" w:rsidRDefault="00375165" w:rsidP="00375165">
      <w:pPr>
        <w:pStyle w:val="ListParagraph"/>
        <w:numPr>
          <w:ilvl w:val="0"/>
          <w:numId w:val="62"/>
        </w:numPr>
        <w:rPr>
          <w:sz w:val="22"/>
        </w:rPr>
      </w:pPr>
      <w:r w:rsidRPr="00A02664">
        <w:rPr>
          <w:b/>
          <w:sz w:val="22"/>
        </w:rPr>
        <w:t>Program documentation</w:t>
      </w:r>
      <w:r w:rsidRPr="00A02664">
        <w:rPr>
          <w:sz w:val="22"/>
        </w:rPr>
        <w:t xml:space="preserve"> review to categorise the underlying projects, apply a sampling framework to select candidates for closer study and organise the data for analysis.</w:t>
      </w:r>
    </w:p>
    <w:p w14:paraId="14CB8818" w14:textId="77777777" w:rsidR="00375165" w:rsidRPr="00A02664" w:rsidRDefault="00375165" w:rsidP="00375165">
      <w:pPr>
        <w:pStyle w:val="ListParagraph"/>
        <w:numPr>
          <w:ilvl w:val="0"/>
          <w:numId w:val="62"/>
        </w:numPr>
        <w:rPr>
          <w:sz w:val="22"/>
        </w:rPr>
      </w:pPr>
      <w:r w:rsidRPr="00A02664">
        <w:rPr>
          <w:sz w:val="22"/>
        </w:rPr>
        <w:lastRenderedPageBreak/>
        <w:t xml:space="preserve">Wider </w:t>
      </w:r>
      <w:r w:rsidRPr="00A02664">
        <w:rPr>
          <w:b/>
          <w:sz w:val="22"/>
        </w:rPr>
        <w:t>literature review</w:t>
      </w:r>
      <w:r w:rsidRPr="00A02664">
        <w:rPr>
          <w:sz w:val="22"/>
        </w:rPr>
        <w:t xml:space="preserve"> to identify best practices that may be relevant for this program. Produce a brief synthesis of studies of similar programs to identify key common lessons.</w:t>
      </w:r>
    </w:p>
    <w:p w14:paraId="6B49CAA7" w14:textId="5E5AF7C9" w:rsidR="00375165" w:rsidRPr="00954204" w:rsidRDefault="00375165" w:rsidP="00954204">
      <w:pPr>
        <w:pStyle w:val="ListParagraph"/>
        <w:numPr>
          <w:ilvl w:val="0"/>
          <w:numId w:val="62"/>
        </w:numPr>
        <w:rPr>
          <w:sz w:val="22"/>
        </w:rPr>
      </w:pPr>
      <w:r w:rsidRPr="00954204">
        <w:rPr>
          <w:b/>
          <w:sz w:val="22"/>
        </w:rPr>
        <w:t>Refine research questions</w:t>
      </w:r>
      <w:r w:rsidRPr="00954204">
        <w:rPr>
          <w:sz w:val="22"/>
        </w:rPr>
        <w:t xml:space="preserve"> to reflect the data from the documentation and literature review.</w:t>
      </w:r>
      <w:r w:rsidR="00954204">
        <w:rPr>
          <w:sz w:val="22"/>
        </w:rPr>
        <w:t xml:space="preserve"> </w:t>
      </w:r>
      <w:r w:rsidRPr="00954204">
        <w:rPr>
          <w:b/>
          <w:sz w:val="22"/>
        </w:rPr>
        <w:t>Semi-structured interviews and group discussions</w:t>
      </w:r>
      <w:r w:rsidRPr="00954204">
        <w:rPr>
          <w:sz w:val="22"/>
        </w:rPr>
        <w:t xml:space="preserve"> using open questions to explore the strengths and weaknesses of the program, as perceived by stakeholders and implementation teams. Responses were triangulated against other interviewees and data to enrich the findings and identify issues worthy of further examination. In order to invite open and informative contributions, it was agreed with the informants that responses would be anonymous. Therefore, this report incorporates comments from individuals as evidence, without attributing them to names or job titles, except in some cases where the interviewee has agreed to be attributed.  Where attribution requires explanation, it is covered in the footnotes.</w:t>
      </w:r>
    </w:p>
    <w:p w14:paraId="06480EFA" w14:textId="40EE21EB" w:rsidR="00375165" w:rsidRPr="00954204" w:rsidRDefault="00375165" w:rsidP="00954204">
      <w:pPr>
        <w:pStyle w:val="ListParagraph"/>
        <w:numPr>
          <w:ilvl w:val="0"/>
          <w:numId w:val="62"/>
        </w:numPr>
        <w:rPr>
          <w:sz w:val="22"/>
        </w:rPr>
      </w:pPr>
      <w:r w:rsidRPr="00A02664">
        <w:rPr>
          <w:b/>
          <w:sz w:val="22"/>
        </w:rPr>
        <w:t>Interactive discussions</w:t>
      </w:r>
      <w:r w:rsidRPr="00A02664">
        <w:rPr>
          <w:sz w:val="22"/>
        </w:rPr>
        <w:t xml:space="preserve"> with selected program management team members to reflect on the issues emerging from the evaluation, explore causal relationships and outline improvements that can be made to the program.</w:t>
      </w:r>
    </w:p>
    <w:p w14:paraId="66341E3A" w14:textId="64724B95" w:rsidR="00375165" w:rsidRPr="00954204" w:rsidRDefault="00375165">
      <w:pPr>
        <w:rPr>
          <w:rFonts w:ascii="Calibri" w:hAnsi="Calibri"/>
          <w:sz w:val="22"/>
          <w:lang w:val="en-US"/>
        </w:rPr>
      </w:pPr>
      <w:r w:rsidRPr="00954204">
        <w:rPr>
          <w:rFonts w:ascii="Calibri" w:hAnsi="Calibri"/>
          <w:sz w:val="22"/>
        </w:rPr>
        <w:t xml:space="preserve">The main challenge in executing this plan was the limited time available.  </w:t>
      </w:r>
      <w:r w:rsidRPr="00954204">
        <w:rPr>
          <w:rFonts w:ascii="Calibri" w:hAnsi="Calibri"/>
          <w:sz w:val="22"/>
          <w:lang w:val="en-US"/>
        </w:rPr>
        <w:t>Therefore, to ensure efficient use of resources, the evaluation method was built around an iterative approach. This started with a literature review</w:t>
      </w:r>
      <w:r w:rsidRPr="00954204">
        <w:rPr>
          <w:rStyle w:val="FootnoteReference"/>
          <w:rFonts w:ascii="Calibri" w:hAnsi="Calibri"/>
          <w:sz w:val="22"/>
          <w:lang w:val="en-US"/>
        </w:rPr>
        <w:footnoteReference w:id="13"/>
      </w:r>
      <w:r w:rsidRPr="00954204">
        <w:rPr>
          <w:rFonts w:ascii="Calibri" w:hAnsi="Calibri"/>
          <w:sz w:val="22"/>
          <w:lang w:val="en-US"/>
        </w:rPr>
        <w:t xml:space="preserve"> that examined the available evidence against the primary and secondary evaluation questions. Key findings from the literature review identified the most pertinent lines of inquiry and additional, more detailed and specific questions for interviews. Concurrently, the evaluation team reviewed project documentation for those projects selected for in-depth analysis (see next section). This arrived in fragmented form but enabled specific questions to be identified for follow up with Task Team Leaders and other key informants. Then, on the basis of what interviews revealed, more information was requested from informants, mainly grey literature not previously available or</w:t>
      </w:r>
      <w:r w:rsidR="007F7AC2" w:rsidRPr="00954204">
        <w:rPr>
          <w:rFonts w:ascii="Calibri" w:hAnsi="Calibri"/>
          <w:sz w:val="22"/>
          <w:lang w:val="en-US"/>
        </w:rPr>
        <w:t xml:space="preserve"> revealed in interviews. </w:t>
      </w:r>
      <w:r w:rsidR="00954204" w:rsidRPr="00954204">
        <w:rPr>
          <w:rFonts w:ascii="Calibri" w:hAnsi="Calibri"/>
          <w:sz w:val="22"/>
          <w:lang w:val="en-US"/>
        </w:rPr>
        <w:t xml:space="preserve">Email and skype calls were conducted to ask further questions about this information. </w:t>
      </w:r>
    </w:p>
    <w:p w14:paraId="13BF93AD" w14:textId="7A175323" w:rsidR="00D724EC" w:rsidRPr="00954204" w:rsidRDefault="00E951E5" w:rsidP="001A78AF">
      <w:pPr>
        <w:rPr>
          <w:rFonts w:ascii="Calibri" w:hAnsi="Calibri"/>
          <w:sz w:val="22"/>
          <w:lang w:val="en-US"/>
        </w:rPr>
      </w:pPr>
      <w:r w:rsidRPr="00954204">
        <w:rPr>
          <w:rFonts w:ascii="Calibri" w:hAnsi="Calibri"/>
          <w:sz w:val="22"/>
          <w:lang w:val="en-US"/>
        </w:rPr>
        <w:t xml:space="preserve">The complete list of evaluation questions, both envisaged in the plan and arising from the literature review (see Annex </w:t>
      </w:r>
      <w:r w:rsidR="00A90E0D" w:rsidRPr="00954204">
        <w:rPr>
          <w:rFonts w:ascii="Calibri" w:hAnsi="Calibri"/>
          <w:sz w:val="22"/>
          <w:lang w:val="en-US"/>
        </w:rPr>
        <w:t>1</w:t>
      </w:r>
      <w:r w:rsidRPr="00954204">
        <w:rPr>
          <w:rStyle w:val="FootnoteReference"/>
          <w:rFonts w:ascii="Calibri" w:hAnsi="Calibri"/>
          <w:sz w:val="22"/>
          <w:lang w:val="en-US"/>
        </w:rPr>
        <w:footnoteReference w:id="14"/>
      </w:r>
      <w:r w:rsidRPr="00954204">
        <w:rPr>
          <w:rFonts w:ascii="Calibri" w:hAnsi="Calibri"/>
          <w:sz w:val="22"/>
          <w:lang w:val="en-US"/>
        </w:rPr>
        <w:t xml:space="preserve">), is comprehensive. </w:t>
      </w:r>
      <w:r w:rsidR="00D724EC" w:rsidRPr="00954204">
        <w:rPr>
          <w:rFonts w:ascii="Calibri" w:hAnsi="Calibri"/>
          <w:sz w:val="22"/>
          <w:lang w:val="en-US"/>
        </w:rPr>
        <w:t xml:space="preserve">It was neither possible nor practical to ask every informant every evaluation question. </w:t>
      </w:r>
      <w:r w:rsidR="00A30C26" w:rsidRPr="00954204">
        <w:rPr>
          <w:rFonts w:ascii="Calibri" w:hAnsi="Calibri"/>
          <w:sz w:val="22"/>
          <w:lang w:val="en-US"/>
        </w:rPr>
        <w:t>T</w:t>
      </w:r>
      <w:r w:rsidRPr="00954204">
        <w:rPr>
          <w:rFonts w:ascii="Calibri" w:hAnsi="Calibri"/>
          <w:sz w:val="22"/>
          <w:lang w:val="en-US"/>
        </w:rPr>
        <w:t>he</w:t>
      </w:r>
      <w:r w:rsidR="00D724EC" w:rsidRPr="00954204">
        <w:rPr>
          <w:rFonts w:ascii="Calibri" w:hAnsi="Calibri"/>
          <w:sz w:val="22"/>
          <w:lang w:val="en-US"/>
        </w:rPr>
        <w:t>refore, the</w:t>
      </w:r>
      <w:r w:rsidRPr="00954204">
        <w:rPr>
          <w:rFonts w:ascii="Calibri" w:hAnsi="Calibri"/>
          <w:sz w:val="22"/>
          <w:lang w:val="en-US"/>
        </w:rPr>
        <w:t xml:space="preserve"> questions put to interviewees were selected from the list based on relevance to their role and </w:t>
      </w:r>
      <w:r w:rsidR="00C5331A" w:rsidRPr="00954204">
        <w:rPr>
          <w:rFonts w:ascii="Calibri" w:hAnsi="Calibri"/>
          <w:sz w:val="22"/>
          <w:lang w:val="en-US"/>
        </w:rPr>
        <w:t xml:space="preserve">program </w:t>
      </w:r>
      <w:r w:rsidRPr="00954204">
        <w:rPr>
          <w:rFonts w:ascii="Calibri" w:hAnsi="Calibri"/>
          <w:sz w:val="22"/>
          <w:lang w:val="en-US"/>
        </w:rPr>
        <w:t xml:space="preserve">involvement. For example, some informants could speak to the strategic issues of the program, some could address operational issues. In the case of the latter, certain individuals could address only specific areas of the program. </w:t>
      </w:r>
      <w:r w:rsidR="00A30C26" w:rsidRPr="00954204">
        <w:rPr>
          <w:rFonts w:ascii="Calibri" w:hAnsi="Calibri"/>
          <w:sz w:val="22"/>
          <w:lang w:val="en-US"/>
        </w:rPr>
        <w:t>Subsequently</w:t>
      </w:r>
      <w:r w:rsidRPr="00954204">
        <w:rPr>
          <w:rFonts w:ascii="Calibri" w:hAnsi="Calibri"/>
          <w:sz w:val="22"/>
          <w:lang w:val="en-US"/>
        </w:rPr>
        <w:t xml:space="preserve">, evidence informing findings rests on a combination of the evidence from the literature review and one or </w:t>
      </w:r>
      <w:r w:rsidR="0090736C" w:rsidRPr="00954204">
        <w:rPr>
          <w:rFonts w:ascii="Calibri" w:hAnsi="Calibri"/>
          <w:sz w:val="22"/>
          <w:lang w:val="en-US"/>
        </w:rPr>
        <w:t xml:space="preserve">more </w:t>
      </w:r>
      <w:r w:rsidRPr="00954204">
        <w:rPr>
          <w:rFonts w:ascii="Calibri" w:hAnsi="Calibri"/>
          <w:sz w:val="22"/>
          <w:lang w:val="en-US"/>
        </w:rPr>
        <w:t xml:space="preserve">interviewees. </w:t>
      </w:r>
    </w:p>
    <w:p w14:paraId="0ED88AAE" w14:textId="744F0751" w:rsidR="00D724EC" w:rsidRPr="00954204" w:rsidRDefault="00954204" w:rsidP="00D724EC">
      <w:pPr>
        <w:rPr>
          <w:rFonts w:ascii="Calibri" w:hAnsi="Calibri"/>
          <w:sz w:val="22"/>
        </w:rPr>
      </w:pPr>
      <w:r w:rsidRPr="00954204">
        <w:rPr>
          <w:rFonts w:ascii="Calibri" w:hAnsi="Calibri"/>
          <w:sz w:val="22"/>
        </w:rPr>
        <w:t>T</w:t>
      </w:r>
      <w:r w:rsidR="00D724EC" w:rsidRPr="00954204">
        <w:rPr>
          <w:rFonts w:ascii="Calibri" w:hAnsi="Calibri"/>
          <w:sz w:val="22"/>
        </w:rPr>
        <w:t xml:space="preserve">he evaluation considers how the comments from interviewees can be set in the context of the other available evidence. </w:t>
      </w:r>
      <w:r w:rsidR="00D724EC" w:rsidRPr="00954204">
        <w:rPr>
          <w:rFonts w:ascii="Calibri" w:hAnsi="Calibri"/>
          <w:sz w:val="22"/>
          <w:lang w:val="en-US"/>
        </w:rPr>
        <w:t>The weight given by the evaluator to the comments from interviewees is based on an assessment of that individual’s authority and degree of influence over, or proximity to, the relevant aspect of the program</w:t>
      </w:r>
      <w:r w:rsidR="00D724EC" w:rsidRPr="00954204">
        <w:rPr>
          <w:rFonts w:ascii="Calibri" w:hAnsi="Calibri"/>
          <w:sz w:val="22"/>
        </w:rPr>
        <w:t xml:space="preserve">. </w:t>
      </w:r>
    </w:p>
    <w:p w14:paraId="244CE744" w14:textId="77777777" w:rsidR="00D724EC" w:rsidRPr="00954204" w:rsidRDefault="00D724EC" w:rsidP="00D724EC">
      <w:pPr>
        <w:rPr>
          <w:rFonts w:ascii="Calibri" w:hAnsi="Calibri"/>
          <w:sz w:val="22"/>
          <w:lang w:val="en-US"/>
        </w:rPr>
      </w:pPr>
      <w:r w:rsidRPr="00954204">
        <w:rPr>
          <w:rFonts w:ascii="Calibri" w:hAnsi="Calibri"/>
          <w:sz w:val="22"/>
          <w:lang w:val="en-US"/>
        </w:rPr>
        <w:t>Therefore, the evaluator’s judgement determines not only the balance between literature and interview evidence but also the degree to which interview evidence can be used to arrive at conclusions that support key findings. Where views differ between interviewees this is disclosed in the explanation, and in such cases the evaluator has made a judgement regarding the extent to which the lack of consensus needs to be reflected in the respective key finding.</w:t>
      </w:r>
    </w:p>
    <w:p w14:paraId="577AE470" w14:textId="77777777" w:rsidR="00D724EC" w:rsidRPr="001B449B" w:rsidRDefault="00D724EC" w:rsidP="001A78AF">
      <w:pPr>
        <w:rPr>
          <w:sz w:val="22"/>
          <w:lang w:val="en-US"/>
        </w:rPr>
      </w:pPr>
    </w:p>
    <w:p w14:paraId="41C996EA" w14:textId="77777777" w:rsidR="00954204" w:rsidRDefault="00954204" w:rsidP="00894DA7">
      <w:pPr>
        <w:rPr>
          <w:sz w:val="22"/>
          <w:lang w:val="en-US"/>
        </w:rPr>
      </w:pPr>
    </w:p>
    <w:p w14:paraId="1B5DF14B" w14:textId="3830C385" w:rsidR="00D17463" w:rsidRPr="001B449B" w:rsidRDefault="00E951E5" w:rsidP="00894DA7">
      <w:pPr>
        <w:rPr>
          <w:sz w:val="22"/>
          <w:lang w:val="en-US"/>
        </w:rPr>
      </w:pPr>
      <w:r w:rsidRPr="001B449B">
        <w:rPr>
          <w:sz w:val="22"/>
          <w:lang w:val="en-US"/>
        </w:rPr>
        <w:lastRenderedPageBreak/>
        <w:t xml:space="preserve">Interviews were held with the following </w:t>
      </w:r>
      <w:r w:rsidR="00D17463" w:rsidRPr="001B449B">
        <w:rPr>
          <w:sz w:val="22"/>
          <w:lang w:val="en-US"/>
        </w:rPr>
        <w:t xml:space="preserve">groups </w:t>
      </w:r>
      <w:r w:rsidRPr="001B449B">
        <w:rPr>
          <w:sz w:val="22"/>
          <w:lang w:val="en-US"/>
        </w:rPr>
        <w:t>of informants</w:t>
      </w:r>
      <w:r w:rsidR="00D17463" w:rsidRPr="001B449B">
        <w:rPr>
          <w:sz w:val="22"/>
          <w:lang w:val="en-US"/>
        </w:rPr>
        <w:t>:</w:t>
      </w:r>
      <w:r w:rsidRPr="001B449B">
        <w:rPr>
          <w:rStyle w:val="FootnoteReference"/>
          <w:sz w:val="22"/>
          <w:lang w:val="en-US"/>
        </w:rPr>
        <w:footnoteReference w:id="15"/>
      </w:r>
    </w:p>
    <w:tbl>
      <w:tblPr>
        <w:tblStyle w:val="TableGrid"/>
        <w:tblW w:w="0" w:type="auto"/>
        <w:tblLook w:val="04A0" w:firstRow="1" w:lastRow="0" w:firstColumn="1" w:lastColumn="0" w:noHBand="0" w:noVBand="1"/>
      </w:tblPr>
      <w:tblGrid>
        <w:gridCol w:w="3823"/>
        <w:gridCol w:w="1417"/>
      </w:tblGrid>
      <w:tr w:rsidR="00D17463" w:rsidRPr="00A30C26" w14:paraId="6636E2AF" w14:textId="77777777">
        <w:tc>
          <w:tcPr>
            <w:tcW w:w="3823" w:type="dxa"/>
          </w:tcPr>
          <w:p w14:paraId="7DFE7AA5" w14:textId="77777777" w:rsidR="00D17463" w:rsidRPr="001B449B" w:rsidRDefault="00D17463" w:rsidP="001B449B">
            <w:pPr>
              <w:spacing w:before="120"/>
              <w:jc w:val="center"/>
              <w:rPr>
                <w:b/>
                <w:sz w:val="22"/>
                <w:lang w:val="en-US"/>
              </w:rPr>
            </w:pPr>
            <w:r w:rsidRPr="001B449B">
              <w:rPr>
                <w:b/>
                <w:sz w:val="22"/>
                <w:lang w:val="en-US"/>
              </w:rPr>
              <w:t>Organisation / category</w:t>
            </w:r>
          </w:p>
        </w:tc>
        <w:tc>
          <w:tcPr>
            <w:tcW w:w="1417" w:type="dxa"/>
          </w:tcPr>
          <w:p w14:paraId="26B4192F" w14:textId="77777777" w:rsidR="00D17463" w:rsidRPr="001B449B" w:rsidRDefault="00D17463" w:rsidP="001B449B">
            <w:pPr>
              <w:jc w:val="center"/>
              <w:rPr>
                <w:b/>
                <w:sz w:val="22"/>
                <w:lang w:val="en-US"/>
              </w:rPr>
            </w:pPr>
            <w:r w:rsidRPr="001B449B">
              <w:rPr>
                <w:b/>
                <w:sz w:val="22"/>
                <w:lang w:val="en-US"/>
              </w:rPr>
              <w:t>Number of interviewees</w:t>
            </w:r>
          </w:p>
        </w:tc>
      </w:tr>
      <w:tr w:rsidR="00D17463" w:rsidRPr="00A30C26" w14:paraId="3DF3CE50" w14:textId="77777777">
        <w:tc>
          <w:tcPr>
            <w:tcW w:w="3823" w:type="dxa"/>
          </w:tcPr>
          <w:p w14:paraId="62A33FC5" w14:textId="77777777" w:rsidR="00D17463" w:rsidRPr="001B449B" w:rsidRDefault="00D17463" w:rsidP="004F53EC">
            <w:pPr>
              <w:rPr>
                <w:sz w:val="22"/>
                <w:lang w:val="en-US"/>
              </w:rPr>
            </w:pPr>
            <w:r w:rsidRPr="001B449B">
              <w:rPr>
                <w:sz w:val="22"/>
                <w:lang w:val="en-US"/>
              </w:rPr>
              <w:t>DFAT</w:t>
            </w:r>
          </w:p>
        </w:tc>
        <w:tc>
          <w:tcPr>
            <w:tcW w:w="1417" w:type="dxa"/>
          </w:tcPr>
          <w:p w14:paraId="2BD24D7F" w14:textId="77777777" w:rsidR="00D17463" w:rsidRPr="001B449B" w:rsidRDefault="00D17463" w:rsidP="001B449B">
            <w:pPr>
              <w:jc w:val="center"/>
              <w:rPr>
                <w:sz w:val="22"/>
                <w:lang w:val="en-US"/>
              </w:rPr>
            </w:pPr>
            <w:r w:rsidRPr="001B449B">
              <w:rPr>
                <w:sz w:val="22"/>
                <w:lang w:val="en-US"/>
              </w:rPr>
              <w:t>7</w:t>
            </w:r>
          </w:p>
        </w:tc>
      </w:tr>
      <w:tr w:rsidR="00D17463" w:rsidRPr="00A30C26" w14:paraId="15B0E038" w14:textId="77777777">
        <w:tc>
          <w:tcPr>
            <w:tcW w:w="3823" w:type="dxa"/>
          </w:tcPr>
          <w:p w14:paraId="4D3EB059" w14:textId="77777777" w:rsidR="00D17463" w:rsidRPr="001B449B" w:rsidRDefault="00D17463" w:rsidP="00B363EF">
            <w:pPr>
              <w:rPr>
                <w:sz w:val="22"/>
                <w:lang w:val="en-US"/>
              </w:rPr>
            </w:pPr>
            <w:r w:rsidRPr="001B449B">
              <w:rPr>
                <w:sz w:val="22"/>
                <w:lang w:val="en-US"/>
              </w:rPr>
              <w:t>World Bank</w:t>
            </w:r>
          </w:p>
        </w:tc>
        <w:tc>
          <w:tcPr>
            <w:tcW w:w="1417" w:type="dxa"/>
          </w:tcPr>
          <w:p w14:paraId="790025A3" w14:textId="77777777" w:rsidR="00D17463" w:rsidRPr="001B449B" w:rsidRDefault="00D17463" w:rsidP="001B449B">
            <w:pPr>
              <w:jc w:val="center"/>
              <w:rPr>
                <w:sz w:val="22"/>
                <w:lang w:val="en-US"/>
              </w:rPr>
            </w:pPr>
            <w:r w:rsidRPr="001B449B">
              <w:rPr>
                <w:sz w:val="22"/>
                <w:lang w:val="en-US"/>
              </w:rPr>
              <w:t>29</w:t>
            </w:r>
          </w:p>
        </w:tc>
      </w:tr>
      <w:tr w:rsidR="00D17463" w:rsidRPr="00A30C26" w14:paraId="04041A73" w14:textId="77777777">
        <w:tc>
          <w:tcPr>
            <w:tcW w:w="3823" w:type="dxa"/>
          </w:tcPr>
          <w:p w14:paraId="3D967D84" w14:textId="77777777" w:rsidR="00D17463" w:rsidRPr="001B449B" w:rsidRDefault="00D17463" w:rsidP="00B363EF">
            <w:pPr>
              <w:rPr>
                <w:sz w:val="22"/>
                <w:lang w:val="en-US"/>
              </w:rPr>
            </w:pPr>
            <w:r w:rsidRPr="001B449B">
              <w:rPr>
                <w:sz w:val="22"/>
                <w:lang w:val="en-US"/>
              </w:rPr>
              <w:t>Technical Advisory Facility members</w:t>
            </w:r>
          </w:p>
        </w:tc>
        <w:tc>
          <w:tcPr>
            <w:tcW w:w="1417" w:type="dxa"/>
          </w:tcPr>
          <w:p w14:paraId="5159FB22" w14:textId="77777777" w:rsidR="00D17463" w:rsidRPr="001B449B" w:rsidRDefault="00D17463" w:rsidP="001B449B">
            <w:pPr>
              <w:jc w:val="center"/>
              <w:rPr>
                <w:sz w:val="22"/>
                <w:lang w:val="en-US"/>
              </w:rPr>
            </w:pPr>
            <w:r w:rsidRPr="001B449B">
              <w:rPr>
                <w:sz w:val="22"/>
                <w:lang w:val="en-US"/>
              </w:rPr>
              <w:t>4</w:t>
            </w:r>
          </w:p>
        </w:tc>
      </w:tr>
      <w:tr w:rsidR="00D17463" w:rsidRPr="00A30C26" w14:paraId="22BEF74F" w14:textId="77777777">
        <w:tc>
          <w:tcPr>
            <w:tcW w:w="3823" w:type="dxa"/>
          </w:tcPr>
          <w:p w14:paraId="2C77721D" w14:textId="77777777" w:rsidR="00D17463" w:rsidRPr="001B449B" w:rsidRDefault="00D17463" w:rsidP="00B363EF">
            <w:pPr>
              <w:rPr>
                <w:sz w:val="22"/>
                <w:lang w:val="en-US"/>
              </w:rPr>
            </w:pPr>
            <w:r w:rsidRPr="001B449B">
              <w:rPr>
                <w:sz w:val="22"/>
                <w:lang w:val="en-US"/>
              </w:rPr>
              <w:t>Other Stakeholders</w:t>
            </w:r>
          </w:p>
        </w:tc>
        <w:tc>
          <w:tcPr>
            <w:tcW w:w="1417" w:type="dxa"/>
          </w:tcPr>
          <w:p w14:paraId="7D618F2F" w14:textId="77777777" w:rsidR="00D17463" w:rsidRPr="001B449B" w:rsidRDefault="00D17463" w:rsidP="001B449B">
            <w:pPr>
              <w:jc w:val="center"/>
              <w:rPr>
                <w:sz w:val="22"/>
                <w:lang w:val="en-US"/>
              </w:rPr>
            </w:pPr>
            <w:r w:rsidRPr="001B449B">
              <w:rPr>
                <w:sz w:val="22"/>
                <w:lang w:val="en-US"/>
              </w:rPr>
              <w:t>6</w:t>
            </w:r>
          </w:p>
        </w:tc>
      </w:tr>
    </w:tbl>
    <w:p w14:paraId="29EEE588" w14:textId="3D581BE7" w:rsidR="00E951E5" w:rsidRPr="00954204" w:rsidRDefault="00E951E5" w:rsidP="007D1047">
      <w:pPr>
        <w:rPr>
          <w:sz w:val="22"/>
          <w:lang w:val="en-US"/>
        </w:rPr>
      </w:pPr>
      <w:r w:rsidRPr="001B449B">
        <w:rPr>
          <w:sz w:val="22"/>
          <w:lang w:val="en-US"/>
        </w:rPr>
        <w:t>Interview schedules were arranged by the World Bank and DFAT and included a mixture of semi-structured interviews with individuals and larger group discussions, depending on informant availability</w:t>
      </w:r>
      <w:r w:rsidR="0019042C" w:rsidRPr="001B449B">
        <w:rPr>
          <w:sz w:val="22"/>
          <w:lang w:val="en-US"/>
        </w:rPr>
        <w:t>.</w:t>
      </w:r>
      <w:r w:rsidRPr="001B449B">
        <w:rPr>
          <w:rStyle w:val="FootnoteReference"/>
          <w:sz w:val="22"/>
          <w:lang w:val="en-US"/>
        </w:rPr>
        <w:footnoteReference w:id="16"/>
      </w:r>
      <w:r w:rsidR="0019042C" w:rsidRPr="001B449B">
        <w:rPr>
          <w:sz w:val="22"/>
          <w:lang w:val="en-US"/>
        </w:rPr>
        <w:t xml:space="preserve"> </w:t>
      </w:r>
      <w:r w:rsidRPr="001B449B">
        <w:rPr>
          <w:sz w:val="22"/>
          <w:lang w:val="en-US"/>
        </w:rPr>
        <w:t xml:space="preserve">There was also an opportunity to discuss </w:t>
      </w:r>
      <w:r w:rsidR="00834ED8" w:rsidRPr="00A30C26">
        <w:rPr>
          <w:sz w:val="22"/>
          <w:lang w:val="en-US"/>
        </w:rPr>
        <w:t>several</w:t>
      </w:r>
      <w:r w:rsidRPr="001B449B">
        <w:rPr>
          <w:sz w:val="22"/>
          <w:lang w:val="en-US"/>
        </w:rPr>
        <w:t xml:space="preserve"> emerging themes with members of both program Secretariats. </w:t>
      </w:r>
      <w:r w:rsidR="0090736C" w:rsidRPr="001B449B">
        <w:rPr>
          <w:sz w:val="22"/>
          <w:lang w:val="en-US"/>
        </w:rPr>
        <w:t>Some</w:t>
      </w:r>
      <w:r w:rsidR="00C5331A" w:rsidRPr="001B449B">
        <w:rPr>
          <w:sz w:val="22"/>
          <w:lang w:val="en-US"/>
        </w:rPr>
        <w:t xml:space="preserve"> Task Team </w:t>
      </w:r>
      <w:r w:rsidR="00FE3446">
        <w:rPr>
          <w:sz w:val="22"/>
          <w:lang w:val="en-US"/>
        </w:rPr>
        <w:t>L</w:t>
      </w:r>
      <w:r w:rsidR="00FE3446" w:rsidRPr="001B449B">
        <w:rPr>
          <w:sz w:val="22"/>
          <w:lang w:val="en-US"/>
        </w:rPr>
        <w:t xml:space="preserve">eaders </w:t>
      </w:r>
      <w:r w:rsidR="00C5331A" w:rsidRPr="001B449B">
        <w:rPr>
          <w:sz w:val="22"/>
          <w:lang w:val="en-US"/>
        </w:rPr>
        <w:t xml:space="preserve">from projects selected for in-depth analysis were </w:t>
      </w:r>
      <w:r w:rsidR="0090736C" w:rsidRPr="001B449B">
        <w:rPr>
          <w:sz w:val="22"/>
          <w:lang w:val="en-US"/>
        </w:rPr>
        <w:t>un</w:t>
      </w:r>
      <w:r w:rsidR="00C5331A" w:rsidRPr="001B449B">
        <w:rPr>
          <w:sz w:val="22"/>
          <w:lang w:val="en-US"/>
        </w:rPr>
        <w:t xml:space="preserve">available for interview and not all project documentation was made available to the evaluation team. </w:t>
      </w:r>
    </w:p>
    <w:p w14:paraId="4CE85BE9" w14:textId="77777777" w:rsidR="00E951E5" w:rsidRPr="001B449B" w:rsidRDefault="00E951E5" w:rsidP="004F53EC">
      <w:pPr>
        <w:pStyle w:val="Heading3"/>
        <w:rPr>
          <w:sz w:val="22"/>
        </w:rPr>
      </w:pPr>
      <w:r w:rsidRPr="001B449B">
        <w:rPr>
          <w:sz w:val="22"/>
        </w:rPr>
        <w:t>Project Selection for IFG and SARTFP</w:t>
      </w:r>
    </w:p>
    <w:p w14:paraId="091ADAC1" w14:textId="77777777" w:rsidR="00E951E5" w:rsidRPr="001B449B" w:rsidRDefault="00E911B5" w:rsidP="00B363EF">
      <w:pPr>
        <w:rPr>
          <w:sz w:val="22"/>
        </w:rPr>
      </w:pPr>
      <w:r w:rsidRPr="001B449B">
        <w:rPr>
          <w:sz w:val="22"/>
        </w:rPr>
        <w:t>To complement the literature review</w:t>
      </w:r>
      <w:r w:rsidR="00834ED8">
        <w:rPr>
          <w:sz w:val="22"/>
        </w:rPr>
        <w:t>,</w:t>
      </w:r>
      <w:r w:rsidR="0040165C" w:rsidRPr="001B449B">
        <w:rPr>
          <w:sz w:val="22"/>
        </w:rPr>
        <w:t xml:space="preserve"> </w:t>
      </w:r>
      <w:r w:rsidR="00E951E5" w:rsidRPr="001B449B">
        <w:rPr>
          <w:sz w:val="22"/>
        </w:rPr>
        <w:t xml:space="preserve">a selection of </w:t>
      </w:r>
      <w:r w:rsidR="0040165C" w:rsidRPr="001B449B">
        <w:rPr>
          <w:sz w:val="22"/>
        </w:rPr>
        <w:t xml:space="preserve">IFG and SARTFP </w:t>
      </w:r>
      <w:r w:rsidR="00E951E5" w:rsidRPr="001B449B">
        <w:rPr>
          <w:sz w:val="22"/>
        </w:rPr>
        <w:t>projects w</w:t>
      </w:r>
      <w:r w:rsidR="003F28C3" w:rsidRPr="001B449B">
        <w:rPr>
          <w:sz w:val="22"/>
        </w:rPr>
        <w:t>ere</w:t>
      </w:r>
      <w:r w:rsidR="00E951E5" w:rsidRPr="001B449B">
        <w:rPr>
          <w:sz w:val="22"/>
        </w:rPr>
        <w:t xml:space="preserve"> identified for further analysis. These provide</w:t>
      </w:r>
      <w:r w:rsidR="00834ED8">
        <w:rPr>
          <w:sz w:val="22"/>
        </w:rPr>
        <w:t>d</w:t>
      </w:r>
      <w:r w:rsidR="00E951E5" w:rsidRPr="001B449B">
        <w:rPr>
          <w:sz w:val="22"/>
        </w:rPr>
        <w:t xml:space="preserve"> detailed </w:t>
      </w:r>
      <w:r w:rsidR="00834ED8">
        <w:rPr>
          <w:sz w:val="22"/>
        </w:rPr>
        <w:t xml:space="preserve">documented </w:t>
      </w:r>
      <w:r w:rsidR="00E951E5" w:rsidRPr="001B449B">
        <w:rPr>
          <w:sz w:val="22"/>
        </w:rPr>
        <w:t xml:space="preserve">evidence to inform and refine the evaluation questions and contribute to the evaluation findings. </w:t>
      </w:r>
      <w:r w:rsidR="0040165C" w:rsidRPr="001B449B">
        <w:rPr>
          <w:sz w:val="22"/>
        </w:rPr>
        <w:t>Due to the limited timeframe of the evaluation, it was agreed with DFAT and the World Bank that 12 projects (</w:t>
      </w:r>
      <w:r w:rsidR="00834ED8">
        <w:rPr>
          <w:sz w:val="22"/>
        </w:rPr>
        <w:t>six</w:t>
      </w:r>
      <w:r w:rsidR="0040165C" w:rsidRPr="001B449B">
        <w:rPr>
          <w:sz w:val="22"/>
        </w:rPr>
        <w:t xml:space="preserve"> IFG and </w:t>
      </w:r>
      <w:r w:rsidR="00834ED8">
        <w:rPr>
          <w:sz w:val="22"/>
        </w:rPr>
        <w:t xml:space="preserve">six </w:t>
      </w:r>
      <w:r w:rsidR="0040165C" w:rsidRPr="001B449B">
        <w:rPr>
          <w:sz w:val="22"/>
        </w:rPr>
        <w:t xml:space="preserve">SARTFP) would be selected. </w:t>
      </w:r>
      <w:r w:rsidR="00E951E5" w:rsidRPr="001B449B">
        <w:rPr>
          <w:sz w:val="22"/>
        </w:rPr>
        <w:t>The medium-term outcomes (MTOs) for each program were used as criteria for project selection.</w:t>
      </w:r>
      <w:r w:rsidR="00E951E5" w:rsidRPr="001B449B">
        <w:rPr>
          <w:rStyle w:val="FootnoteReference"/>
          <w:sz w:val="22"/>
        </w:rPr>
        <w:footnoteReference w:id="17"/>
      </w:r>
      <w:r w:rsidR="00E951E5" w:rsidRPr="001B449B">
        <w:rPr>
          <w:sz w:val="22"/>
        </w:rPr>
        <w:t xml:space="preserve"> </w:t>
      </w:r>
      <w:r w:rsidR="00E951E5" w:rsidRPr="001B449B">
        <w:rPr>
          <w:rStyle w:val="FootnoteReference"/>
          <w:sz w:val="22"/>
        </w:rPr>
        <w:footnoteReference w:id="18"/>
      </w:r>
      <w:r w:rsidR="00E951E5" w:rsidRPr="001B449B">
        <w:rPr>
          <w:sz w:val="22"/>
        </w:rPr>
        <w:t xml:space="preserve"> Discussions with the World Bank assisted the evaluators to identify which </w:t>
      </w:r>
      <w:r w:rsidR="0019042C" w:rsidRPr="001B449B">
        <w:rPr>
          <w:sz w:val="22"/>
        </w:rPr>
        <w:t xml:space="preserve">projects </w:t>
      </w:r>
      <w:r w:rsidR="003F28C3" w:rsidRPr="001B449B">
        <w:rPr>
          <w:sz w:val="22"/>
        </w:rPr>
        <w:t xml:space="preserve">corresponded to the </w:t>
      </w:r>
      <w:r w:rsidR="00E951E5" w:rsidRPr="001B449B">
        <w:rPr>
          <w:sz w:val="22"/>
        </w:rPr>
        <w:t xml:space="preserve">MTOs </w:t>
      </w:r>
      <w:r w:rsidR="003F28C3" w:rsidRPr="001B449B">
        <w:rPr>
          <w:sz w:val="22"/>
        </w:rPr>
        <w:t>to ensure</w:t>
      </w:r>
      <w:r w:rsidR="00B363EF" w:rsidRPr="001B449B">
        <w:rPr>
          <w:sz w:val="22"/>
        </w:rPr>
        <w:t xml:space="preserve"> a representative spread of projects for analysis</w:t>
      </w:r>
      <w:r w:rsidR="00E951E5" w:rsidRPr="001B449B">
        <w:rPr>
          <w:sz w:val="22"/>
        </w:rPr>
        <w:t xml:space="preserve">. </w:t>
      </w:r>
    </w:p>
    <w:p w14:paraId="6646E12C" w14:textId="1B88E326" w:rsidR="00E951E5" w:rsidRPr="001B449B" w:rsidRDefault="00E951E5">
      <w:pPr>
        <w:rPr>
          <w:sz w:val="22"/>
        </w:rPr>
      </w:pPr>
      <w:r w:rsidRPr="001B449B">
        <w:rPr>
          <w:sz w:val="22"/>
        </w:rPr>
        <w:t xml:space="preserve">The evaluation team then conducted an in-depth analysis of a total of </w:t>
      </w:r>
      <w:r w:rsidR="00834ED8">
        <w:rPr>
          <w:sz w:val="22"/>
        </w:rPr>
        <w:t>six</w:t>
      </w:r>
      <w:r w:rsidRPr="001B449B">
        <w:rPr>
          <w:sz w:val="22"/>
        </w:rPr>
        <w:t xml:space="preserve"> projects (</w:t>
      </w:r>
      <w:r w:rsidR="00834ED8">
        <w:rPr>
          <w:sz w:val="22"/>
        </w:rPr>
        <w:t xml:space="preserve">three </w:t>
      </w:r>
      <w:r w:rsidRPr="001B449B">
        <w:rPr>
          <w:sz w:val="22"/>
        </w:rPr>
        <w:t xml:space="preserve">IFG and </w:t>
      </w:r>
      <w:r w:rsidR="00834ED8">
        <w:rPr>
          <w:sz w:val="22"/>
        </w:rPr>
        <w:t xml:space="preserve">three </w:t>
      </w:r>
      <w:r w:rsidRPr="001B449B">
        <w:rPr>
          <w:sz w:val="22"/>
        </w:rPr>
        <w:t xml:space="preserve">SARTFP) through analysing full project documentation from the WB; face-to-face interviews with DFAT, WB Task Team Leaders </w:t>
      </w:r>
      <w:r w:rsidR="00834ED8">
        <w:rPr>
          <w:sz w:val="22"/>
        </w:rPr>
        <w:t>and</w:t>
      </w:r>
      <w:r w:rsidRPr="001B449B">
        <w:rPr>
          <w:sz w:val="22"/>
        </w:rPr>
        <w:t xml:space="preserve"> Managers, other relevant WB staff; and interviewing external stakeholders where possible. Given project and time constraints, the review</w:t>
      </w:r>
      <w:r w:rsidR="00834ED8">
        <w:rPr>
          <w:sz w:val="22"/>
        </w:rPr>
        <w:t xml:space="preserve"> of</w:t>
      </w:r>
      <w:r w:rsidRPr="001B449B">
        <w:rPr>
          <w:sz w:val="22"/>
        </w:rPr>
        <w:t xml:space="preserve"> the remaining three projects from IFG and SARTFP consisted of </w:t>
      </w:r>
      <w:r w:rsidR="00834ED8">
        <w:rPr>
          <w:sz w:val="22"/>
        </w:rPr>
        <w:t xml:space="preserve">a simple examination of </w:t>
      </w:r>
      <w:r w:rsidRPr="001B449B">
        <w:rPr>
          <w:sz w:val="22"/>
        </w:rPr>
        <w:t xml:space="preserve">available project documents </w:t>
      </w:r>
      <w:r w:rsidR="00834ED8">
        <w:rPr>
          <w:sz w:val="22"/>
        </w:rPr>
        <w:t xml:space="preserve">for relevant information </w:t>
      </w:r>
      <w:r w:rsidRPr="001B449B">
        <w:rPr>
          <w:sz w:val="22"/>
        </w:rPr>
        <w:t>against the evaluation questions.</w:t>
      </w:r>
      <w:r w:rsidRPr="001B449B">
        <w:rPr>
          <w:rStyle w:val="FootnoteReference"/>
          <w:sz w:val="22"/>
        </w:rPr>
        <w:footnoteReference w:id="19"/>
      </w:r>
      <w:r w:rsidRPr="001B449B">
        <w:rPr>
          <w:sz w:val="22"/>
        </w:rPr>
        <w:t xml:space="preserve"> </w:t>
      </w:r>
    </w:p>
    <w:p w14:paraId="483944A1" w14:textId="77777777" w:rsidR="00E951E5" w:rsidRDefault="00E951E5" w:rsidP="00B363EF">
      <w:pPr>
        <w:pStyle w:val="Table1"/>
      </w:pPr>
      <w:r>
        <w:t xml:space="preserve">Table 1: Selected IFG Projects   </w:t>
      </w:r>
      <w:r w:rsidRPr="003E437B">
        <w:t>*Denotes selected for in-depth analysis</w:t>
      </w:r>
    </w:p>
    <w:tbl>
      <w:tblPr>
        <w:tblStyle w:val="TableGrid"/>
        <w:tblW w:w="0" w:type="auto"/>
        <w:tblLook w:val="04A0" w:firstRow="1" w:lastRow="0" w:firstColumn="1" w:lastColumn="0" w:noHBand="0" w:noVBand="1"/>
      </w:tblPr>
      <w:tblGrid>
        <w:gridCol w:w="9010"/>
      </w:tblGrid>
      <w:tr w:rsidR="00E951E5" w14:paraId="7365B256" w14:textId="77777777">
        <w:tc>
          <w:tcPr>
            <w:tcW w:w="9010" w:type="dxa"/>
            <w:shd w:val="clear" w:color="auto" w:fill="F2F2F2" w:themeFill="background1" w:themeFillShade="F2"/>
          </w:tcPr>
          <w:p w14:paraId="580AA0B0" w14:textId="77777777" w:rsidR="00E951E5" w:rsidRPr="00B13B98" w:rsidRDefault="00E951E5" w:rsidP="00B363EF">
            <w:pPr>
              <w:pStyle w:val="ListParagraph"/>
              <w:numPr>
                <w:ilvl w:val="0"/>
                <w:numId w:val="20"/>
              </w:numPr>
            </w:pPr>
            <w:r w:rsidRPr="00B13B98">
              <w:t>South Asia Regional Facility for Women’s Economic Empowerment and Integration</w:t>
            </w:r>
          </w:p>
          <w:p w14:paraId="2AC375BA" w14:textId="77777777" w:rsidR="00E951E5" w:rsidRPr="00B13B98" w:rsidRDefault="00E951E5" w:rsidP="004F53EC">
            <w:pPr>
              <w:pStyle w:val="ListParagraph"/>
              <w:numPr>
                <w:ilvl w:val="0"/>
                <w:numId w:val="20"/>
              </w:numPr>
            </w:pPr>
            <w:r w:rsidRPr="00B13B98">
              <w:t>Evaluating Gender Gaps in Infrastructure*</w:t>
            </w:r>
          </w:p>
          <w:p w14:paraId="278828BA" w14:textId="77777777" w:rsidR="00E951E5" w:rsidRPr="00B13B98" w:rsidRDefault="00E951E5" w:rsidP="001A78AF">
            <w:pPr>
              <w:pStyle w:val="ListParagraph"/>
              <w:numPr>
                <w:ilvl w:val="0"/>
                <w:numId w:val="20"/>
              </w:numPr>
            </w:pPr>
            <w:r w:rsidRPr="00B13B98">
              <w:t>Sustainable Development of Transmission and Distribution Sector in North Eastern Region of India*</w:t>
            </w:r>
          </w:p>
          <w:p w14:paraId="2D8F3E57" w14:textId="77777777" w:rsidR="00E951E5" w:rsidRPr="00B13B98" w:rsidRDefault="00E951E5" w:rsidP="001A78AF">
            <w:pPr>
              <w:pStyle w:val="ListParagraph"/>
              <w:numPr>
                <w:ilvl w:val="0"/>
                <w:numId w:val="20"/>
              </w:numPr>
            </w:pPr>
            <w:r w:rsidRPr="00B13B98">
              <w:t>Chittagong Urban Resilience and City Development Strategy*</w:t>
            </w:r>
          </w:p>
          <w:p w14:paraId="6B57501E" w14:textId="77777777" w:rsidR="00E951E5" w:rsidRPr="00B13B98" w:rsidRDefault="00E951E5" w:rsidP="000B5B50">
            <w:pPr>
              <w:pStyle w:val="ListParagraph"/>
              <w:numPr>
                <w:ilvl w:val="0"/>
                <w:numId w:val="20"/>
              </w:numPr>
            </w:pPr>
            <w:r w:rsidRPr="00B13B98">
              <w:t>Trade, Logistics, Competitiveness in the Transport Sector</w:t>
            </w:r>
          </w:p>
          <w:p w14:paraId="0FA977CD" w14:textId="77777777" w:rsidR="00E951E5" w:rsidRPr="00AE4801" w:rsidRDefault="00E951E5" w:rsidP="000B5B50">
            <w:pPr>
              <w:pStyle w:val="ListParagraph"/>
              <w:numPr>
                <w:ilvl w:val="0"/>
                <w:numId w:val="20"/>
              </w:numPr>
              <w:rPr>
                <w:sz w:val="22"/>
              </w:rPr>
            </w:pPr>
            <w:r w:rsidRPr="00B13B98">
              <w:t>Strengthening Institutional Development in World Bank-Funded Transport Projects</w:t>
            </w:r>
          </w:p>
        </w:tc>
      </w:tr>
    </w:tbl>
    <w:p w14:paraId="1F77764B" w14:textId="2AD82B5F" w:rsidR="00A02664" w:rsidRDefault="00A02664" w:rsidP="00B363EF">
      <w:pPr>
        <w:pStyle w:val="Table1"/>
      </w:pPr>
    </w:p>
    <w:p w14:paraId="4204AA1D" w14:textId="77777777" w:rsidR="00A02664" w:rsidRDefault="00A02664">
      <w:pPr>
        <w:spacing w:before="0" w:after="0"/>
        <w:rPr>
          <w:rFonts w:eastAsiaTheme="minorEastAsia"/>
          <w:b/>
          <w:sz w:val="20"/>
          <w:szCs w:val="20"/>
        </w:rPr>
      </w:pPr>
      <w:r>
        <w:br w:type="page"/>
      </w:r>
    </w:p>
    <w:p w14:paraId="41C7D8E2" w14:textId="77777777" w:rsidR="00E951E5" w:rsidRDefault="00E951E5" w:rsidP="00B363EF">
      <w:pPr>
        <w:pStyle w:val="Table1"/>
      </w:pPr>
    </w:p>
    <w:p w14:paraId="4501E833" w14:textId="77777777" w:rsidR="00E951E5" w:rsidRPr="00DA7CFA" w:rsidRDefault="00E951E5" w:rsidP="004F53EC">
      <w:pPr>
        <w:pStyle w:val="Table1"/>
      </w:pPr>
      <w:r w:rsidRPr="00B13B98">
        <w:t>Table 2: Selected SARTFP Projects</w:t>
      </w:r>
      <w:r>
        <w:t xml:space="preserve">   </w:t>
      </w:r>
      <w:r w:rsidRPr="003E437B">
        <w:rPr>
          <w:szCs w:val="22"/>
        </w:rPr>
        <w:t>*</w:t>
      </w:r>
      <w:r w:rsidRPr="003E437B">
        <w:t>Denotes selected for in-depth analysis</w:t>
      </w:r>
    </w:p>
    <w:tbl>
      <w:tblPr>
        <w:tblStyle w:val="TableGrid"/>
        <w:tblW w:w="0" w:type="auto"/>
        <w:tblLook w:val="04A0" w:firstRow="1" w:lastRow="0" w:firstColumn="1" w:lastColumn="0" w:noHBand="0" w:noVBand="1"/>
      </w:tblPr>
      <w:tblGrid>
        <w:gridCol w:w="9010"/>
      </w:tblGrid>
      <w:tr w:rsidR="00E951E5" w14:paraId="46D3BACE" w14:textId="77777777">
        <w:tc>
          <w:tcPr>
            <w:tcW w:w="9010" w:type="dxa"/>
            <w:shd w:val="clear" w:color="auto" w:fill="F2F2F2" w:themeFill="background1" w:themeFillShade="F2"/>
          </w:tcPr>
          <w:p w14:paraId="7535B4E8" w14:textId="77777777" w:rsidR="00E951E5" w:rsidRPr="00B13B98" w:rsidRDefault="00E951E5" w:rsidP="00B363EF">
            <w:pPr>
              <w:pStyle w:val="ListParagraph"/>
              <w:numPr>
                <w:ilvl w:val="0"/>
                <w:numId w:val="19"/>
              </w:numPr>
            </w:pPr>
            <w:r w:rsidRPr="00B13B98">
              <w:t>SARTFP Knowledge Production and Sharing*</w:t>
            </w:r>
          </w:p>
          <w:p w14:paraId="286A13F4" w14:textId="77777777" w:rsidR="00E951E5" w:rsidRPr="00B13B98" w:rsidRDefault="00E951E5" w:rsidP="004F53EC">
            <w:pPr>
              <w:pStyle w:val="ListParagraph"/>
              <w:numPr>
                <w:ilvl w:val="0"/>
                <w:numId w:val="19"/>
              </w:numPr>
            </w:pPr>
            <w:r w:rsidRPr="00B13B98">
              <w:t>Buddhist Circuit Development*</w:t>
            </w:r>
          </w:p>
          <w:p w14:paraId="088C523C" w14:textId="77777777" w:rsidR="00E951E5" w:rsidRPr="00B13B98" w:rsidRDefault="00E951E5" w:rsidP="001A78AF">
            <w:pPr>
              <w:pStyle w:val="ListParagraph"/>
              <w:numPr>
                <w:ilvl w:val="0"/>
                <w:numId w:val="19"/>
              </w:numPr>
              <w:rPr>
                <w:u w:val="single"/>
              </w:rPr>
            </w:pPr>
            <w:r w:rsidRPr="00B13B98">
              <w:t>Addressing Women’s and Children’s Risks from Enhanced Connectivity</w:t>
            </w:r>
          </w:p>
          <w:p w14:paraId="0A3B6C11" w14:textId="77777777" w:rsidR="00E951E5" w:rsidRPr="00B13B98" w:rsidRDefault="00E951E5" w:rsidP="001A78AF">
            <w:pPr>
              <w:pStyle w:val="ListParagraph"/>
              <w:numPr>
                <w:ilvl w:val="0"/>
                <w:numId w:val="19"/>
              </w:numPr>
            </w:pPr>
            <w:r w:rsidRPr="00B13B98">
              <w:t xml:space="preserve">Strengthening cross-border value chains and leveraging local development linkages in the Eastern region of South Asia*  </w:t>
            </w:r>
          </w:p>
          <w:p w14:paraId="24AD785B" w14:textId="77777777" w:rsidR="00E951E5" w:rsidRPr="00B13B98" w:rsidRDefault="00E951E5" w:rsidP="000B5B50">
            <w:pPr>
              <w:pStyle w:val="ListParagraph"/>
              <w:numPr>
                <w:ilvl w:val="0"/>
                <w:numId w:val="19"/>
              </w:numPr>
            </w:pPr>
            <w:r w:rsidRPr="00B13B98">
              <w:t xml:space="preserve">Advancing Women’s Enterprises for Economic Impact in the farm/nonfarm value chain and regional trade </w:t>
            </w:r>
          </w:p>
          <w:p w14:paraId="2DEF0D08" w14:textId="77777777" w:rsidR="00E951E5" w:rsidRPr="004C7C7C" w:rsidRDefault="00E951E5" w:rsidP="000B5B50">
            <w:pPr>
              <w:pStyle w:val="ListParagraph"/>
              <w:numPr>
                <w:ilvl w:val="0"/>
                <w:numId w:val="19"/>
              </w:numPr>
              <w:rPr>
                <w:sz w:val="22"/>
              </w:rPr>
            </w:pPr>
            <w:r w:rsidRPr="00B13B98">
              <w:t>Planning for regional trade and gender inclusive Inland Water Transport in Assam</w:t>
            </w:r>
          </w:p>
        </w:tc>
      </w:tr>
    </w:tbl>
    <w:p w14:paraId="43B254F1" w14:textId="77777777" w:rsidR="00E951E5" w:rsidRPr="001B449B" w:rsidRDefault="00E951E5" w:rsidP="00B363EF">
      <w:pPr>
        <w:rPr>
          <w:sz w:val="22"/>
        </w:rPr>
      </w:pPr>
      <w:r w:rsidRPr="001B449B">
        <w:rPr>
          <w:sz w:val="22"/>
        </w:rPr>
        <w:t>The literature review, program documentation, project analysis and interviews provided information for part three of the evaluation. In addition to program and project-specific questions, interviewees familiar with both programs were asked their thoughts on areas of comparison, and areas for future improvement or development.</w:t>
      </w:r>
      <w:r w:rsidRPr="001B449B">
        <w:rPr>
          <w:rFonts w:cs="Arial"/>
          <w:sz w:val="22"/>
        </w:rPr>
        <w:t xml:space="preserve"> </w:t>
      </w:r>
      <w:r w:rsidRPr="001B449B">
        <w:rPr>
          <w:sz w:val="22"/>
        </w:rPr>
        <w:t xml:space="preserve">The literature review highlighted additional comparative programs which may be further explored in this section in terms of program design, process, or governance. </w:t>
      </w:r>
    </w:p>
    <w:p w14:paraId="2B716ECE" w14:textId="77777777" w:rsidR="00560715" w:rsidRPr="001B449B" w:rsidRDefault="00560715" w:rsidP="00560715">
      <w:pPr>
        <w:rPr>
          <w:rFonts w:eastAsia="MS Mincho"/>
          <w:sz w:val="22"/>
        </w:rPr>
      </w:pPr>
      <w:r w:rsidRPr="001B449B">
        <w:rPr>
          <w:rFonts w:eastAsia="MS Mincho"/>
          <w:sz w:val="22"/>
        </w:rPr>
        <w:t xml:space="preserve">Part four considers information and recommendations relevant to future investments and policy decisions. Due to time constraints for the evaluation, resources were prioritised towards the evaluation of both programs (part 1 and 2 of the evaluation). </w:t>
      </w:r>
      <w:r w:rsidR="00834ED8" w:rsidRPr="00834ED8">
        <w:rPr>
          <w:rFonts w:eastAsia="MS Mincho"/>
          <w:sz w:val="22"/>
        </w:rPr>
        <w:t>Therefore,</w:t>
      </w:r>
      <w:r w:rsidRPr="001B449B">
        <w:rPr>
          <w:rFonts w:eastAsia="MS Mincho"/>
          <w:sz w:val="22"/>
        </w:rPr>
        <w:t xml:space="preserve"> recommendations concerning future DFAT investments are intended to highlight areas for attention in a new program. It is beyond the scope of this evaluation to calculate the cost of implementing the recommendations, or to indicate how resources can be best mobilised. This section includes recommendations concerning: </w:t>
      </w:r>
    </w:p>
    <w:p w14:paraId="39B492BA" w14:textId="77777777" w:rsidR="00E951E5" w:rsidRPr="001B449B" w:rsidRDefault="00E951E5" w:rsidP="00F65774">
      <w:pPr>
        <w:pStyle w:val="ListParagraph"/>
        <w:numPr>
          <w:ilvl w:val="0"/>
          <w:numId w:val="45"/>
        </w:numPr>
        <w:rPr>
          <w:sz w:val="22"/>
        </w:rPr>
      </w:pPr>
      <w:r w:rsidRPr="001B449B">
        <w:rPr>
          <w:sz w:val="22"/>
        </w:rPr>
        <w:t xml:space="preserve">Program design, outcomes efficiency, effectiveness and programming, as per the evaluation framework; </w:t>
      </w:r>
    </w:p>
    <w:p w14:paraId="5F6DC4C2" w14:textId="341C13E8" w:rsidR="00E951E5" w:rsidRPr="001B449B" w:rsidRDefault="00E951E5" w:rsidP="007D1047">
      <w:pPr>
        <w:pStyle w:val="ListParagraph"/>
        <w:numPr>
          <w:ilvl w:val="0"/>
          <w:numId w:val="45"/>
        </w:numPr>
        <w:rPr>
          <w:rFonts w:asciiTheme="minorHAnsi" w:hAnsiTheme="minorHAnsi"/>
          <w:sz w:val="22"/>
        </w:rPr>
      </w:pPr>
      <w:r w:rsidRPr="001B449B">
        <w:rPr>
          <w:sz w:val="22"/>
        </w:rPr>
        <w:t>Project design and process in line with sections of the evaluation framework.</w:t>
      </w:r>
      <w:r w:rsidRPr="001B449B">
        <w:rPr>
          <w:rFonts w:asciiTheme="minorHAnsi" w:hAnsiTheme="minorHAnsi"/>
          <w:sz w:val="22"/>
        </w:rPr>
        <w:t xml:space="preserve"> </w:t>
      </w:r>
    </w:p>
    <w:p w14:paraId="1122227E" w14:textId="77777777" w:rsidR="00E951E5" w:rsidRPr="001B449B" w:rsidRDefault="00E951E5" w:rsidP="00B363EF">
      <w:pPr>
        <w:pStyle w:val="Heading3"/>
        <w:rPr>
          <w:rFonts w:ascii="MS Mincho" w:eastAsia="MS Mincho" w:hAnsi="MS Mincho" w:cs="MS Mincho"/>
          <w:sz w:val="22"/>
        </w:rPr>
      </w:pPr>
      <w:r w:rsidRPr="001B449B">
        <w:rPr>
          <w:sz w:val="22"/>
        </w:rPr>
        <w:t>Case Studies</w:t>
      </w:r>
    </w:p>
    <w:p w14:paraId="6591F158" w14:textId="77777777" w:rsidR="00560715" w:rsidRPr="001B449B" w:rsidRDefault="00E951E5" w:rsidP="00560715">
      <w:pPr>
        <w:rPr>
          <w:bCs/>
          <w:sz w:val="22"/>
        </w:rPr>
      </w:pPr>
      <w:r w:rsidRPr="001B449B">
        <w:rPr>
          <w:sz w:val="22"/>
        </w:rPr>
        <w:t>Case studies are included in parts one and two of the report. They include projects selected for in</w:t>
      </w:r>
      <w:r w:rsidR="002548A4">
        <w:rPr>
          <w:sz w:val="22"/>
        </w:rPr>
        <w:noBreakHyphen/>
      </w:r>
      <w:r w:rsidRPr="001B449B">
        <w:rPr>
          <w:sz w:val="22"/>
        </w:rPr>
        <w:t>depth analysis and exemplify aspects of design and implementation that seem most likely to lead to effective performance of this type of program.</w:t>
      </w:r>
      <w:r w:rsidR="00560715" w:rsidRPr="001B449B">
        <w:rPr>
          <w:sz w:val="22"/>
        </w:rPr>
        <w:t xml:space="preserve"> </w:t>
      </w:r>
      <w:r w:rsidR="00560715" w:rsidRPr="001B449B">
        <w:rPr>
          <w:bCs/>
          <w:sz w:val="22"/>
        </w:rPr>
        <w:t xml:space="preserve">As the evaluation findings explain, piecing together </w:t>
      </w:r>
      <w:r w:rsidR="002548A4" w:rsidRPr="002548A4">
        <w:rPr>
          <w:bCs/>
          <w:sz w:val="22"/>
        </w:rPr>
        <w:t>whether</w:t>
      </w:r>
      <w:r w:rsidR="00560715" w:rsidRPr="001B449B">
        <w:rPr>
          <w:bCs/>
          <w:sz w:val="22"/>
        </w:rPr>
        <w:t xml:space="preserve"> a project has been effective and how it contributes to meaningful change was at times challenging for the evaluation team, owing to the absence of sufficient material. </w:t>
      </w:r>
    </w:p>
    <w:p w14:paraId="2AE4B84D" w14:textId="6D7ED6F5" w:rsidR="00E951E5" w:rsidRPr="001B449B" w:rsidRDefault="00560715" w:rsidP="001A78AF">
      <w:pPr>
        <w:rPr>
          <w:sz w:val="22"/>
          <w:lang w:val="en-US"/>
        </w:rPr>
      </w:pPr>
      <w:r w:rsidRPr="001B449B">
        <w:rPr>
          <w:sz w:val="22"/>
        </w:rPr>
        <w:t xml:space="preserve">Case studies were drafted based on review of available project documentation, interviews with Task Team </w:t>
      </w:r>
      <w:r w:rsidR="00FE3446">
        <w:rPr>
          <w:sz w:val="22"/>
        </w:rPr>
        <w:t>L</w:t>
      </w:r>
      <w:r w:rsidRPr="001B449B">
        <w:rPr>
          <w:sz w:val="22"/>
        </w:rPr>
        <w:t>eader</w:t>
      </w:r>
      <w:r w:rsidR="003C653E">
        <w:rPr>
          <w:sz w:val="22"/>
        </w:rPr>
        <w:t>s</w:t>
      </w:r>
      <w:r w:rsidRPr="001B449B">
        <w:rPr>
          <w:sz w:val="22"/>
        </w:rPr>
        <w:t xml:space="preserve"> and usually a series of follow up emails and telephone calls to clarify and further follow up on the </w:t>
      </w:r>
      <w:r w:rsidR="002548A4" w:rsidRPr="002548A4">
        <w:rPr>
          <w:sz w:val="22"/>
        </w:rPr>
        <w:t>project</w:t>
      </w:r>
      <w:r w:rsidRPr="001B449B">
        <w:rPr>
          <w:sz w:val="22"/>
        </w:rPr>
        <w:t>.</w:t>
      </w:r>
      <w:r w:rsidRPr="001B449B">
        <w:rPr>
          <w:sz w:val="22"/>
          <w:lang w:val="en-US"/>
        </w:rPr>
        <w:t xml:space="preserve"> The intention in compiling these case studies was to assemble a narrative that can highlight how a chain of events resulted </w:t>
      </w:r>
      <w:r w:rsidR="002548A4" w:rsidRPr="002548A4">
        <w:rPr>
          <w:sz w:val="22"/>
          <w:lang w:val="en-US"/>
        </w:rPr>
        <w:t>outcomes</w:t>
      </w:r>
      <w:r w:rsidRPr="001B449B">
        <w:rPr>
          <w:sz w:val="22"/>
          <w:lang w:val="en-US"/>
        </w:rPr>
        <w:t xml:space="preserve"> relevant to the programs being evaluated.  </w:t>
      </w:r>
    </w:p>
    <w:p w14:paraId="237F3B11" w14:textId="77777777" w:rsidR="00E951E5" w:rsidRPr="001B449B" w:rsidRDefault="00E951E5" w:rsidP="00B363EF">
      <w:pPr>
        <w:pStyle w:val="Heading3"/>
        <w:rPr>
          <w:sz w:val="22"/>
        </w:rPr>
      </w:pPr>
      <w:r w:rsidRPr="001B449B">
        <w:rPr>
          <w:sz w:val="22"/>
        </w:rPr>
        <w:t>Scoring of Findings</w:t>
      </w:r>
    </w:p>
    <w:p w14:paraId="6309AD87" w14:textId="77777777" w:rsidR="00E951E5" w:rsidRPr="001B449B" w:rsidRDefault="008B0939" w:rsidP="00B363EF">
      <w:pPr>
        <w:rPr>
          <w:b/>
          <w:sz w:val="22"/>
        </w:rPr>
      </w:pPr>
      <w:r w:rsidRPr="001B449B">
        <w:rPr>
          <w:sz w:val="22"/>
        </w:rPr>
        <w:t xml:space="preserve">A means of scoring the strength of evidence </w:t>
      </w:r>
      <w:r w:rsidR="008509EB" w:rsidRPr="001B449B">
        <w:rPr>
          <w:sz w:val="22"/>
        </w:rPr>
        <w:t>was</w:t>
      </w:r>
      <w:r w:rsidRPr="001B449B">
        <w:rPr>
          <w:sz w:val="22"/>
        </w:rPr>
        <w:t xml:space="preserve"> agreed with DFAT </w:t>
      </w:r>
      <w:r w:rsidR="008509EB" w:rsidRPr="001B449B">
        <w:rPr>
          <w:sz w:val="22"/>
        </w:rPr>
        <w:t>and included in the Evaluation Plan</w:t>
      </w:r>
      <w:r w:rsidR="008509EB" w:rsidRPr="001B449B">
        <w:rPr>
          <w:rStyle w:val="FootnoteReference"/>
          <w:bCs/>
          <w:sz w:val="22"/>
        </w:rPr>
        <w:footnoteReference w:id="20"/>
      </w:r>
      <w:r w:rsidR="008509EB" w:rsidRPr="001B449B">
        <w:rPr>
          <w:sz w:val="22"/>
        </w:rPr>
        <w:t xml:space="preserve">. </w:t>
      </w:r>
      <w:r w:rsidR="00E951E5" w:rsidRPr="001B449B">
        <w:rPr>
          <w:sz w:val="22"/>
        </w:rPr>
        <w:t xml:space="preserve">Assessment of the strength of the evidence is based on the following criteria, resulting in a score of between 0-5 for each of the evaluation areas (effectiveness, efficiency, relevance and gender equality) for both IFG and SARTFP: </w:t>
      </w:r>
    </w:p>
    <w:p w14:paraId="0552F049" w14:textId="77777777" w:rsidR="00E951E5" w:rsidRPr="001B449B" w:rsidRDefault="00E951E5" w:rsidP="00B363EF">
      <w:pPr>
        <w:pStyle w:val="ListParagraph"/>
        <w:numPr>
          <w:ilvl w:val="0"/>
          <w:numId w:val="6"/>
        </w:numPr>
        <w:rPr>
          <w:sz w:val="22"/>
        </w:rPr>
      </w:pPr>
      <w:r w:rsidRPr="001B449B">
        <w:rPr>
          <w:sz w:val="22"/>
        </w:rPr>
        <w:t>Claims in relation to Medium Term Outcomes (MTOs) are transparently supported by evidence</w:t>
      </w:r>
    </w:p>
    <w:p w14:paraId="59D8C4A2" w14:textId="77777777" w:rsidR="00E951E5" w:rsidRPr="001B449B" w:rsidRDefault="00E951E5" w:rsidP="004F53EC">
      <w:pPr>
        <w:pStyle w:val="ListParagraph"/>
        <w:numPr>
          <w:ilvl w:val="0"/>
          <w:numId w:val="6"/>
        </w:numPr>
        <w:rPr>
          <w:sz w:val="22"/>
        </w:rPr>
      </w:pPr>
      <w:r w:rsidRPr="001B449B">
        <w:rPr>
          <w:sz w:val="22"/>
        </w:rPr>
        <w:t>Multiple sources of evidence have been used to support claims</w:t>
      </w:r>
    </w:p>
    <w:p w14:paraId="6BFC69D1" w14:textId="77777777" w:rsidR="00E951E5" w:rsidRPr="001B449B" w:rsidRDefault="00E951E5" w:rsidP="001A78AF">
      <w:pPr>
        <w:pStyle w:val="ListParagraph"/>
        <w:numPr>
          <w:ilvl w:val="0"/>
          <w:numId w:val="6"/>
        </w:numPr>
        <w:rPr>
          <w:sz w:val="22"/>
        </w:rPr>
      </w:pPr>
      <w:r w:rsidRPr="001B449B">
        <w:rPr>
          <w:sz w:val="22"/>
        </w:rPr>
        <w:t>Multiple perspectives have been considered</w:t>
      </w:r>
    </w:p>
    <w:p w14:paraId="4D747781" w14:textId="77777777" w:rsidR="00E951E5" w:rsidRPr="001B449B" w:rsidRDefault="00E951E5" w:rsidP="001A78AF">
      <w:pPr>
        <w:pStyle w:val="ListParagraph"/>
        <w:numPr>
          <w:ilvl w:val="0"/>
          <w:numId w:val="6"/>
        </w:numPr>
        <w:rPr>
          <w:sz w:val="22"/>
        </w:rPr>
      </w:pPr>
      <w:r w:rsidRPr="001B449B">
        <w:rPr>
          <w:sz w:val="22"/>
        </w:rPr>
        <w:lastRenderedPageBreak/>
        <w:t>The findings are consistent with the views of stakeholders and observations from the field.</w:t>
      </w:r>
    </w:p>
    <w:p w14:paraId="08195E04" w14:textId="77777777" w:rsidR="00E951E5" w:rsidRDefault="00E951E5" w:rsidP="000B5B50">
      <w:pPr>
        <w:pStyle w:val="ListParagraph"/>
        <w:numPr>
          <w:ilvl w:val="0"/>
          <w:numId w:val="6"/>
        </w:numPr>
        <w:rPr>
          <w:sz w:val="22"/>
        </w:rPr>
      </w:pPr>
      <w:r w:rsidRPr="001B449B">
        <w:rPr>
          <w:sz w:val="22"/>
        </w:rPr>
        <w:t>The evidence and perspectives have been documented in a manner that illustrates the relationships that lead to change, potentially enabling other organisations to reproduce the approach and method.</w:t>
      </w:r>
      <w:r w:rsidRPr="001B449B">
        <w:rPr>
          <w:sz w:val="22"/>
          <w:vertAlign w:val="superscript"/>
        </w:rPr>
        <w:footnoteReference w:id="21"/>
      </w:r>
      <w:r w:rsidRPr="001B449B">
        <w:rPr>
          <w:sz w:val="22"/>
        </w:rPr>
        <w:t xml:space="preserve"> </w:t>
      </w:r>
    </w:p>
    <w:p w14:paraId="5038843D" w14:textId="77777777" w:rsidR="002548A4" w:rsidRPr="001B449B" w:rsidRDefault="002548A4" w:rsidP="001B449B">
      <w:pPr>
        <w:rPr>
          <w:sz w:val="22"/>
        </w:rPr>
      </w:pPr>
      <w:r w:rsidRPr="001B449B">
        <w:rPr>
          <w:sz w:val="22"/>
        </w:rPr>
        <w:t>DFAT investments are subject to annual Aid Quality Checks (AQC) to ensure they are performing well and achieving their intended results. This evaluation uses a different methodology from DFAT’s AQC. Although the ratings broadly correspond to the AQC scores, (see table 3) they should not be aggregated or assumed to be directly comparable without context.</w:t>
      </w:r>
    </w:p>
    <w:p w14:paraId="2335E843" w14:textId="77777777" w:rsidR="00E951E5" w:rsidRPr="003E437B" w:rsidRDefault="00E951E5" w:rsidP="00B363EF">
      <w:pPr>
        <w:pStyle w:val="Table1"/>
      </w:pPr>
      <w:r w:rsidRPr="003E437B">
        <w:t xml:space="preserve">Table 3: Evaluation Ratings </w:t>
      </w:r>
    </w:p>
    <w:tbl>
      <w:tblPr>
        <w:tblStyle w:val="PlainTable41"/>
        <w:tblW w:w="8990" w:type="dxa"/>
        <w:tblLook w:val="04A0" w:firstRow="1" w:lastRow="0" w:firstColumn="1" w:lastColumn="0" w:noHBand="0" w:noVBand="1"/>
      </w:tblPr>
      <w:tblGrid>
        <w:gridCol w:w="3079"/>
        <w:gridCol w:w="802"/>
        <w:gridCol w:w="2351"/>
        <w:gridCol w:w="2758"/>
      </w:tblGrid>
      <w:tr w:rsidR="00E951E5" w:rsidRPr="00F94BA8" w14:paraId="4C17053E" w14:textId="77777777">
        <w:trPr>
          <w:cnfStyle w:val="100000000000" w:firstRow="1" w:lastRow="0" w:firstColumn="0" w:lastColumn="0" w:oddVBand="0" w:evenVBand="0" w:oddHBand="0"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119" w:type="dxa"/>
          </w:tcPr>
          <w:p w14:paraId="661C0C7B" w14:textId="77777777" w:rsidR="00E951E5" w:rsidRPr="001B449B" w:rsidRDefault="00E951E5" w:rsidP="004F53EC">
            <w:pPr>
              <w:rPr>
                <w:sz w:val="22"/>
              </w:rPr>
            </w:pPr>
            <w:r w:rsidRPr="001B449B">
              <w:rPr>
                <w:sz w:val="22"/>
              </w:rPr>
              <w:t>Description</w:t>
            </w:r>
          </w:p>
        </w:tc>
        <w:tc>
          <w:tcPr>
            <w:tcW w:w="709" w:type="dxa"/>
          </w:tcPr>
          <w:p w14:paraId="5D17C916" w14:textId="77777777" w:rsidR="00E951E5" w:rsidRPr="001B449B" w:rsidRDefault="00E951E5" w:rsidP="001A78AF">
            <w:pPr>
              <w:cnfStyle w:val="100000000000" w:firstRow="1" w:lastRow="0" w:firstColumn="0" w:lastColumn="0" w:oddVBand="0" w:evenVBand="0" w:oddHBand="0" w:evenHBand="0" w:firstRowFirstColumn="0" w:firstRowLastColumn="0" w:lastRowFirstColumn="0" w:lastRowLastColumn="0"/>
              <w:rPr>
                <w:sz w:val="22"/>
              </w:rPr>
            </w:pPr>
            <w:r w:rsidRPr="001B449B">
              <w:rPr>
                <w:sz w:val="22"/>
              </w:rPr>
              <w:t>Rating</w:t>
            </w:r>
          </w:p>
        </w:tc>
        <w:tc>
          <w:tcPr>
            <w:tcW w:w="2375" w:type="dxa"/>
          </w:tcPr>
          <w:p w14:paraId="748A3B3D" w14:textId="77777777" w:rsidR="00E951E5" w:rsidRPr="001B449B" w:rsidRDefault="00E951E5" w:rsidP="001A78AF">
            <w:pPr>
              <w:cnfStyle w:val="100000000000" w:firstRow="1" w:lastRow="0" w:firstColumn="0" w:lastColumn="0" w:oddVBand="0" w:evenVBand="0" w:oddHBand="0" w:evenHBand="0" w:firstRowFirstColumn="0" w:firstRowLastColumn="0" w:lastRowFirstColumn="0" w:lastRowLastColumn="0"/>
              <w:rPr>
                <w:sz w:val="22"/>
              </w:rPr>
            </w:pPr>
            <w:r w:rsidRPr="001B449B">
              <w:rPr>
                <w:sz w:val="22"/>
              </w:rPr>
              <w:t>Explanation</w:t>
            </w:r>
          </w:p>
        </w:tc>
        <w:tc>
          <w:tcPr>
            <w:tcW w:w="2787" w:type="dxa"/>
          </w:tcPr>
          <w:p w14:paraId="760F82BA" w14:textId="77777777" w:rsidR="00E951E5" w:rsidRPr="001B449B" w:rsidRDefault="00E951E5" w:rsidP="000B5B50">
            <w:pPr>
              <w:cnfStyle w:val="100000000000" w:firstRow="1" w:lastRow="0" w:firstColumn="0" w:lastColumn="0" w:oddVBand="0" w:evenVBand="0" w:oddHBand="0" w:evenHBand="0" w:firstRowFirstColumn="0" w:firstRowLastColumn="0" w:lastRowFirstColumn="0" w:lastRowLastColumn="0"/>
              <w:rPr>
                <w:sz w:val="22"/>
              </w:rPr>
            </w:pPr>
            <w:r w:rsidRPr="001B449B">
              <w:rPr>
                <w:sz w:val="22"/>
              </w:rPr>
              <w:t xml:space="preserve">AQC equivalent rating </w:t>
            </w:r>
          </w:p>
        </w:tc>
      </w:tr>
      <w:tr w:rsidR="00E951E5" w:rsidRPr="00F94BA8" w14:paraId="196D7451"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9" w:type="dxa"/>
          </w:tcPr>
          <w:p w14:paraId="2A30F61D" w14:textId="77777777" w:rsidR="00E951E5" w:rsidRPr="001B449B" w:rsidRDefault="00E951E5" w:rsidP="00F65774">
            <w:pPr>
              <w:rPr>
                <w:sz w:val="22"/>
              </w:rPr>
            </w:pPr>
            <w:r w:rsidRPr="001B449B">
              <w:rPr>
                <w:sz w:val="22"/>
              </w:rPr>
              <w:t>Findings are not supported by evidence</w:t>
            </w:r>
          </w:p>
        </w:tc>
        <w:tc>
          <w:tcPr>
            <w:tcW w:w="709" w:type="dxa"/>
          </w:tcPr>
          <w:p w14:paraId="335E812A" w14:textId="77777777" w:rsidR="00E951E5" w:rsidRPr="001B449B" w:rsidRDefault="00E951E5" w:rsidP="007D1047">
            <w:pPr>
              <w:cnfStyle w:val="000000100000" w:firstRow="0" w:lastRow="0" w:firstColumn="0" w:lastColumn="0" w:oddVBand="0" w:evenVBand="0" w:oddHBand="1" w:evenHBand="0" w:firstRowFirstColumn="0" w:firstRowLastColumn="0" w:lastRowFirstColumn="0" w:lastRowLastColumn="0"/>
              <w:rPr>
                <w:sz w:val="22"/>
              </w:rPr>
            </w:pPr>
            <w:r w:rsidRPr="001B449B">
              <w:rPr>
                <w:sz w:val="22"/>
              </w:rPr>
              <w:t>0</w:t>
            </w:r>
          </w:p>
        </w:tc>
        <w:tc>
          <w:tcPr>
            <w:tcW w:w="2375" w:type="dxa"/>
          </w:tcPr>
          <w:p w14:paraId="4B8DFECD" w14:textId="77777777" w:rsidR="00E951E5" w:rsidRPr="001B449B" w:rsidRDefault="00E951E5" w:rsidP="00A251FA">
            <w:pPr>
              <w:cnfStyle w:val="000000100000" w:firstRow="0" w:lastRow="0" w:firstColumn="0" w:lastColumn="0" w:oddVBand="0" w:evenVBand="0" w:oddHBand="1" w:evenHBand="0" w:firstRowFirstColumn="0" w:firstRowLastColumn="0" w:lastRowFirstColumn="0" w:lastRowLastColumn="0"/>
              <w:rPr>
                <w:sz w:val="22"/>
              </w:rPr>
            </w:pPr>
            <w:r w:rsidRPr="001B449B">
              <w:rPr>
                <w:sz w:val="22"/>
              </w:rPr>
              <w:t>No criteria have been met</w:t>
            </w:r>
          </w:p>
        </w:tc>
        <w:tc>
          <w:tcPr>
            <w:tcW w:w="2787" w:type="dxa"/>
          </w:tcPr>
          <w:p w14:paraId="2174D072" w14:textId="77777777" w:rsidR="00E951E5" w:rsidRPr="001B449B" w:rsidRDefault="00E951E5" w:rsidP="00A251FA">
            <w:pPr>
              <w:cnfStyle w:val="000000100000" w:firstRow="0" w:lastRow="0" w:firstColumn="0" w:lastColumn="0" w:oddVBand="0" w:evenVBand="0" w:oddHBand="1" w:evenHBand="0" w:firstRowFirstColumn="0" w:firstRowLastColumn="0" w:lastRowFirstColumn="0" w:lastRowLastColumn="0"/>
              <w:rPr>
                <w:sz w:val="22"/>
              </w:rPr>
            </w:pPr>
            <w:r w:rsidRPr="001B449B">
              <w:rPr>
                <w:sz w:val="22"/>
              </w:rPr>
              <w:t>Very poor - unsatisfactory</w:t>
            </w:r>
          </w:p>
        </w:tc>
      </w:tr>
      <w:tr w:rsidR="00E951E5" w:rsidRPr="00F94BA8" w14:paraId="061017A9" w14:textId="77777777">
        <w:trPr>
          <w:trHeight w:val="37"/>
        </w:trPr>
        <w:tc>
          <w:tcPr>
            <w:cnfStyle w:val="001000000000" w:firstRow="0" w:lastRow="0" w:firstColumn="1" w:lastColumn="0" w:oddVBand="0" w:evenVBand="0" w:oddHBand="0" w:evenHBand="0" w:firstRowFirstColumn="0" w:firstRowLastColumn="0" w:lastRowFirstColumn="0" w:lastRowLastColumn="0"/>
            <w:tcW w:w="3119" w:type="dxa"/>
          </w:tcPr>
          <w:p w14:paraId="1714052B" w14:textId="77777777" w:rsidR="00E951E5" w:rsidRPr="001B449B" w:rsidRDefault="00E951E5" w:rsidP="00F65774">
            <w:pPr>
              <w:rPr>
                <w:sz w:val="22"/>
              </w:rPr>
            </w:pPr>
            <w:r w:rsidRPr="001B449B">
              <w:rPr>
                <w:sz w:val="22"/>
              </w:rPr>
              <w:t>Findings are supported by weak evidence</w:t>
            </w:r>
          </w:p>
        </w:tc>
        <w:tc>
          <w:tcPr>
            <w:tcW w:w="709" w:type="dxa"/>
          </w:tcPr>
          <w:p w14:paraId="76170FDF" w14:textId="77777777" w:rsidR="00E951E5" w:rsidRPr="001B449B" w:rsidRDefault="00E951E5" w:rsidP="007D1047">
            <w:pPr>
              <w:cnfStyle w:val="000000000000" w:firstRow="0" w:lastRow="0" w:firstColumn="0" w:lastColumn="0" w:oddVBand="0" w:evenVBand="0" w:oddHBand="0" w:evenHBand="0" w:firstRowFirstColumn="0" w:firstRowLastColumn="0" w:lastRowFirstColumn="0" w:lastRowLastColumn="0"/>
              <w:rPr>
                <w:sz w:val="22"/>
              </w:rPr>
            </w:pPr>
            <w:r w:rsidRPr="001B449B">
              <w:rPr>
                <w:sz w:val="22"/>
              </w:rPr>
              <w:t>1</w:t>
            </w:r>
          </w:p>
        </w:tc>
        <w:tc>
          <w:tcPr>
            <w:tcW w:w="2375" w:type="dxa"/>
          </w:tcPr>
          <w:p w14:paraId="6DC8C243" w14:textId="77777777" w:rsidR="00E951E5" w:rsidRPr="001B449B" w:rsidRDefault="00E951E5" w:rsidP="00A251FA">
            <w:pPr>
              <w:cnfStyle w:val="000000000000" w:firstRow="0" w:lastRow="0" w:firstColumn="0" w:lastColumn="0" w:oddVBand="0" w:evenVBand="0" w:oddHBand="0" w:evenHBand="0" w:firstRowFirstColumn="0" w:firstRowLastColumn="0" w:lastRowFirstColumn="0" w:lastRowLastColumn="0"/>
              <w:rPr>
                <w:sz w:val="22"/>
              </w:rPr>
            </w:pPr>
            <w:r w:rsidRPr="001B449B">
              <w:rPr>
                <w:sz w:val="22"/>
              </w:rPr>
              <w:t>One criteria has been met</w:t>
            </w:r>
          </w:p>
        </w:tc>
        <w:tc>
          <w:tcPr>
            <w:tcW w:w="2787" w:type="dxa"/>
          </w:tcPr>
          <w:p w14:paraId="49D1860A" w14:textId="77777777" w:rsidR="00E951E5" w:rsidRPr="001B449B" w:rsidRDefault="00E951E5" w:rsidP="00A251FA">
            <w:pPr>
              <w:cnfStyle w:val="000000000000" w:firstRow="0" w:lastRow="0" w:firstColumn="0" w:lastColumn="0" w:oddVBand="0" w:evenVBand="0" w:oddHBand="0" w:evenHBand="0" w:firstRowFirstColumn="0" w:firstRowLastColumn="0" w:lastRowFirstColumn="0" w:lastRowLastColumn="0"/>
              <w:rPr>
                <w:sz w:val="22"/>
              </w:rPr>
            </w:pPr>
            <w:r w:rsidRPr="001B449B">
              <w:rPr>
                <w:sz w:val="22"/>
              </w:rPr>
              <w:t xml:space="preserve">Poor - unsatisfactory </w:t>
            </w:r>
          </w:p>
        </w:tc>
      </w:tr>
      <w:tr w:rsidR="00E951E5" w:rsidRPr="00F94BA8" w14:paraId="23362FD1" w14:textId="7777777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119" w:type="dxa"/>
          </w:tcPr>
          <w:p w14:paraId="326862B2" w14:textId="77777777" w:rsidR="00E951E5" w:rsidRPr="001B449B" w:rsidRDefault="00E951E5" w:rsidP="00F65774">
            <w:pPr>
              <w:rPr>
                <w:sz w:val="22"/>
              </w:rPr>
            </w:pPr>
            <w:r w:rsidRPr="001B449B">
              <w:rPr>
                <w:sz w:val="22"/>
              </w:rPr>
              <w:t>Findings are supported by adequate evidence</w:t>
            </w:r>
          </w:p>
        </w:tc>
        <w:tc>
          <w:tcPr>
            <w:tcW w:w="709" w:type="dxa"/>
          </w:tcPr>
          <w:p w14:paraId="699F1842" w14:textId="77777777" w:rsidR="00E951E5" w:rsidRPr="001B449B" w:rsidRDefault="00E951E5" w:rsidP="007D1047">
            <w:pPr>
              <w:cnfStyle w:val="000000100000" w:firstRow="0" w:lastRow="0" w:firstColumn="0" w:lastColumn="0" w:oddVBand="0" w:evenVBand="0" w:oddHBand="1" w:evenHBand="0" w:firstRowFirstColumn="0" w:firstRowLastColumn="0" w:lastRowFirstColumn="0" w:lastRowLastColumn="0"/>
              <w:rPr>
                <w:sz w:val="22"/>
              </w:rPr>
            </w:pPr>
            <w:r w:rsidRPr="001B449B">
              <w:rPr>
                <w:sz w:val="22"/>
              </w:rPr>
              <w:t>2</w:t>
            </w:r>
          </w:p>
        </w:tc>
        <w:tc>
          <w:tcPr>
            <w:tcW w:w="2375" w:type="dxa"/>
          </w:tcPr>
          <w:p w14:paraId="177294C4" w14:textId="77777777" w:rsidR="00E951E5" w:rsidRPr="001B449B" w:rsidRDefault="00E951E5" w:rsidP="00A251FA">
            <w:pPr>
              <w:cnfStyle w:val="000000100000" w:firstRow="0" w:lastRow="0" w:firstColumn="0" w:lastColumn="0" w:oddVBand="0" w:evenVBand="0" w:oddHBand="1" w:evenHBand="0" w:firstRowFirstColumn="0" w:firstRowLastColumn="0" w:lastRowFirstColumn="0" w:lastRowLastColumn="0"/>
              <w:rPr>
                <w:sz w:val="22"/>
              </w:rPr>
            </w:pPr>
            <w:r w:rsidRPr="001B449B">
              <w:rPr>
                <w:sz w:val="22"/>
              </w:rPr>
              <w:t>Two criteria have been met</w:t>
            </w:r>
          </w:p>
        </w:tc>
        <w:tc>
          <w:tcPr>
            <w:tcW w:w="2787" w:type="dxa"/>
          </w:tcPr>
          <w:p w14:paraId="21C1CF30" w14:textId="77777777" w:rsidR="00E951E5" w:rsidRPr="001B449B" w:rsidRDefault="00E951E5" w:rsidP="00A251FA">
            <w:pPr>
              <w:cnfStyle w:val="000000100000" w:firstRow="0" w:lastRow="0" w:firstColumn="0" w:lastColumn="0" w:oddVBand="0" w:evenVBand="0" w:oddHBand="1" w:evenHBand="0" w:firstRowFirstColumn="0" w:firstRowLastColumn="0" w:lastRowFirstColumn="0" w:lastRowLastColumn="0"/>
              <w:rPr>
                <w:sz w:val="22"/>
              </w:rPr>
            </w:pPr>
            <w:r w:rsidRPr="001B449B">
              <w:rPr>
                <w:sz w:val="22"/>
              </w:rPr>
              <w:t xml:space="preserve">Less than adequate - unsatisfactory </w:t>
            </w:r>
          </w:p>
        </w:tc>
      </w:tr>
      <w:tr w:rsidR="00E951E5" w:rsidRPr="00F94BA8" w14:paraId="12794FCC" w14:textId="77777777">
        <w:trPr>
          <w:trHeight w:val="37"/>
        </w:trPr>
        <w:tc>
          <w:tcPr>
            <w:cnfStyle w:val="001000000000" w:firstRow="0" w:lastRow="0" w:firstColumn="1" w:lastColumn="0" w:oddVBand="0" w:evenVBand="0" w:oddHBand="0" w:evenHBand="0" w:firstRowFirstColumn="0" w:firstRowLastColumn="0" w:lastRowFirstColumn="0" w:lastRowLastColumn="0"/>
            <w:tcW w:w="3119" w:type="dxa"/>
          </w:tcPr>
          <w:p w14:paraId="70D5346C" w14:textId="77777777" w:rsidR="00E951E5" w:rsidRPr="001B449B" w:rsidRDefault="00E951E5" w:rsidP="00F65774">
            <w:pPr>
              <w:rPr>
                <w:sz w:val="22"/>
              </w:rPr>
            </w:pPr>
            <w:r w:rsidRPr="001B449B">
              <w:rPr>
                <w:sz w:val="22"/>
              </w:rPr>
              <w:t>Findings are supported by good evidence</w:t>
            </w:r>
          </w:p>
        </w:tc>
        <w:tc>
          <w:tcPr>
            <w:tcW w:w="709" w:type="dxa"/>
          </w:tcPr>
          <w:p w14:paraId="3E4908B9" w14:textId="77777777" w:rsidR="00E951E5" w:rsidRPr="001B449B" w:rsidRDefault="00E951E5" w:rsidP="007D1047">
            <w:pPr>
              <w:cnfStyle w:val="000000000000" w:firstRow="0" w:lastRow="0" w:firstColumn="0" w:lastColumn="0" w:oddVBand="0" w:evenVBand="0" w:oddHBand="0" w:evenHBand="0" w:firstRowFirstColumn="0" w:firstRowLastColumn="0" w:lastRowFirstColumn="0" w:lastRowLastColumn="0"/>
              <w:rPr>
                <w:sz w:val="22"/>
              </w:rPr>
            </w:pPr>
            <w:r w:rsidRPr="001B449B">
              <w:rPr>
                <w:sz w:val="22"/>
              </w:rPr>
              <w:t>3</w:t>
            </w:r>
          </w:p>
        </w:tc>
        <w:tc>
          <w:tcPr>
            <w:tcW w:w="2375" w:type="dxa"/>
          </w:tcPr>
          <w:p w14:paraId="12E073DB" w14:textId="77777777" w:rsidR="00E951E5" w:rsidRPr="001B449B" w:rsidRDefault="00E951E5" w:rsidP="00A251FA">
            <w:pPr>
              <w:cnfStyle w:val="000000000000" w:firstRow="0" w:lastRow="0" w:firstColumn="0" w:lastColumn="0" w:oddVBand="0" w:evenVBand="0" w:oddHBand="0" w:evenHBand="0" w:firstRowFirstColumn="0" w:firstRowLastColumn="0" w:lastRowFirstColumn="0" w:lastRowLastColumn="0"/>
              <w:rPr>
                <w:sz w:val="22"/>
              </w:rPr>
            </w:pPr>
            <w:r w:rsidRPr="001B449B">
              <w:rPr>
                <w:sz w:val="22"/>
              </w:rPr>
              <w:t>Three criteria have been met</w:t>
            </w:r>
          </w:p>
        </w:tc>
        <w:tc>
          <w:tcPr>
            <w:tcW w:w="2787" w:type="dxa"/>
          </w:tcPr>
          <w:p w14:paraId="47C95972" w14:textId="77777777" w:rsidR="00E951E5" w:rsidRPr="001B449B" w:rsidRDefault="00E951E5" w:rsidP="00A251FA">
            <w:pPr>
              <w:cnfStyle w:val="000000000000" w:firstRow="0" w:lastRow="0" w:firstColumn="0" w:lastColumn="0" w:oddVBand="0" w:evenVBand="0" w:oddHBand="0" w:evenHBand="0" w:firstRowFirstColumn="0" w:firstRowLastColumn="0" w:lastRowFirstColumn="0" w:lastRowLastColumn="0"/>
              <w:rPr>
                <w:sz w:val="22"/>
              </w:rPr>
            </w:pPr>
            <w:r w:rsidRPr="001B449B">
              <w:rPr>
                <w:sz w:val="22"/>
              </w:rPr>
              <w:t xml:space="preserve">Adequate - satisfactory </w:t>
            </w:r>
          </w:p>
        </w:tc>
      </w:tr>
      <w:tr w:rsidR="00E951E5" w:rsidRPr="00F94BA8" w14:paraId="787220C5" w14:textId="7777777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119" w:type="dxa"/>
          </w:tcPr>
          <w:p w14:paraId="52F6EF5E" w14:textId="77777777" w:rsidR="00E951E5" w:rsidRPr="001B449B" w:rsidRDefault="00E951E5" w:rsidP="00F65774">
            <w:pPr>
              <w:rPr>
                <w:sz w:val="22"/>
              </w:rPr>
            </w:pPr>
            <w:r w:rsidRPr="001B449B">
              <w:rPr>
                <w:sz w:val="22"/>
              </w:rPr>
              <w:t>Findings are supported by strong evidence</w:t>
            </w:r>
          </w:p>
        </w:tc>
        <w:tc>
          <w:tcPr>
            <w:tcW w:w="709" w:type="dxa"/>
          </w:tcPr>
          <w:p w14:paraId="6649D412" w14:textId="77777777" w:rsidR="00E951E5" w:rsidRPr="001B449B" w:rsidRDefault="00E951E5" w:rsidP="007D1047">
            <w:pPr>
              <w:cnfStyle w:val="000000100000" w:firstRow="0" w:lastRow="0" w:firstColumn="0" w:lastColumn="0" w:oddVBand="0" w:evenVBand="0" w:oddHBand="1" w:evenHBand="0" w:firstRowFirstColumn="0" w:firstRowLastColumn="0" w:lastRowFirstColumn="0" w:lastRowLastColumn="0"/>
              <w:rPr>
                <w:sz w:val="22"/>
              </w:rPr>
            </w:pPr>
            <w:r w:rsidRPr="001B449B">
              <w:rPr>
                <w:sz w:val="22"/>
              </w:rPr>
              <w:t>4</w:t>
            </w:r>
          </w:p>
        </w:tc>
        <w:tc>
          <w:tcPr>
            <w:tcW w:w="2375" w:type="dxa"/>
          </w:tcPr>
          <w:p w14:paraId="39599819" w14:textId="77777777" w:rsidR="00E951E5" w:rsidRPr="001B449B" w:rsidRDefault="00E951E5" w:rsidP="00A251FA">
            <w:pPr>
              <w:cnfStyle w:val="000000100000" w:firstRow="0" w:lastRow="0" w:firstColumn="0" w:lastColumn="0" w:oddVBand="0" w:evenVBand="0" w:oddHBand="1" w:evenHBand="0" w:firstRowFirstColumn="0" w:firstRowLastColumn="0" w:lastRowFirstColumn="0" w:lastRowLastColumn="0"/>
              <w:rPr>
                <w:sz w:val="22"/>
              </w:rPr>
            </w:pPr>
            <w:r w:rsidRPr="001B449B">
              <w:rPr>
                <w:sz w:val="22"/>
              </w:rPr>
              <w:t>Four criteria have been met</w:t>
            </w:r>
          </w:p>
        </w:tc>
        <w:tc>
          <w:tcPr>
            <w:tcW w:w="2787" w:type="dxa"/>
          </w:tcPr>
          <w:p w14:paraId="3D2CBD97" w14:textId="77777777" w:rsidR="00E951E5" w:rsidRPr="001B449B" w:rsidRDefault="00E951E5" w:rsidP="00A251FA">
            <w:pPr>
              <w:cnfStyle w:val="000000100000" w:firstRow="0" w:lastRow="0" w:firstColumn="0" w:lastColumn="0" w:oddVBand="0" w:evenVBand="0" w:oddHBand="1" w:evenHBand="0" w:firstRowFirstColumn="0" w:firstRowLastColumn="0" w:lastRowFirstColumn="0" w:lastRowLastColumn="0"/>
              <w:rPr>
                <w:sz w:val="22"/>
              </w:rPr>
            </w:pPr>
            <w:r w:rsidRPr="001B449B">
              <w:rPr>
                <w:sz w:val="22"/>
              </w:rPr>
              <w:t xml:space="preserve">Good - satisfactory </w:t>
            </w:r>
          </w:p>
        </w:tc>
      </w:tr>
      <w:tr w:rsidR="00E951E5" w:rsidRPr="00F94BA8" w14:paraId="21F79764" w14:textId="77777777">
        <w:trPr>
          <w:trHeight w:val="37"/>
        </w:trPr>
        <w:tc>
          <w:tcPr>
            <w:cnfStyle w:val="001000000000" w:firstRow="0" w:lastRow="0" w:firstColumn="1" w:lastColumn="0" w:oddVBand="0" w:evenVBand="0" w:oddHBand="0" w:evenHBand="0" w:firstRowFirstColumn="0" w:firstRowLastColumn="0" w:lastRowFirstColumn="0" w:lastRowLastColumn="0"/>
            <w:tcW w:w="3119" w:type="dxa"/>
          </w:tcPr>
          <w:p w14:paraId="4D601A61" w14:textId="77777777" w:rsidR="00E951E5" w:rsidRPr="001B449B" w:rsidRDefault="00E951E5" w:rsidP="00F65774">
            <w:pPr>
              <w:rPr>
                <w:sz w:val="22"/>
              </w:rPr>
            </w:pPr>
            <w:r w:rsidRPr="001B449B">
              <w:rPr>
                <w:sz w:val="22"/>
              </w:rPr>
              <w:t>Findings are supported by very strong evidence</w:t>
            </w:r>
          </w:p>
        </w:tc>
        <w:tc>
          <w:tcPr>
            <w:tcW w:w="709" w:type="dxa"/>
          </w:tcPr>
          <w:p w14:paraId="7AE0DBF8" w14:textId="77777777" w:rsidR="00E951E5" w:rsidRPr="001B449B" w:rsidRDefault="00E951E5" w:rsidP="007D1047">
            <w:pPr>
              <w:cnfStyle w:val="000000000000" w:firstRow="0" w:lastRow="0" w:firstColumn="0" w:lastColumn="0" w:oddVBand="0" w:evenVBand="0" w:oddHBand="0" w:evenHBand="0" w:firstRowFirstColumn="0" w:firstRowLastColumn="0" w:lastRowFirstColumn="0" w:lastRowLastColumn="0"/>
              <w:rPr>
                <w:sz w:val="22"/>
              </w:rPr>
            </w:pPr>
            <w:r w:rsidRPr="001B449B">
              <w:rPr>
                <w:sz w:val="22"/>
              </w:rPr>
              <w:t>5</w:t>
            </w:r>
          </w:p>
        </w:tc>
        <w:tc>
          <w:tcPr>
            <w:tcW w:w="2375" w:type="dxa"/>
          </w:tcPr>
          <w:p w14:paraId="1F63A60B" w14:textId="77777777" w:rsidR="00E951E5" w:rsidRPr="001B449B" w:rsidRDefault="00E951E5" w:rsidP="00A251FA">
            <w:pPr>
              <w:cnfStyle w:val="000000000000" w:firstRow="0" w:lastRow="0" w:firstColumn="0" w:lastColumn="0" w:oddVBand="0" w:evenVBand="0" w:oddHBand="0" w:evenHBand="0" w:firstRowFirstColumn="0" w:firstRowLastColumn="0" w:lastRowFirstColumn="0" w:lastRowLastColumn="0"/>
              <w:rPr>
                <w:sz w:val="22"/>
              </w:rPr>
            </w:pPr>
            <w:r w:rsidRPr="001B449B">
              <w:rPr>
                <w:sz w:val="22"/>
              </w:rPr>
              <w:t>Five criteria have been met</w:t>
            </w:r>
          </w:p>
        </w:tc>
        <w:tc>
          <w:tcPr>
            <w:tcW w:w="2787" w:type="dxa"/>
          </w:tcPr>
          <w:p w14:paraId="4CE5ABAB" w14:textId="77777777" w:rsidR="00E951E5" w:rsidRPr="001B449B" w:rsidRDefault="00E951E5" w:rsidP="00A251FA">
            <w:pPr>
              <w:cnfStyle w:val="000000000000" w:firstRow="0" w:lastRow="0" w:firstColumn="0" w:lastColumn="0" w:oddVBand="0" w:evenVBand="0" w:oddHBand="0" w:evenHBand="0" w:firstRowFirstColumn="0" w:firstRowLastColumn="0" w:lastRowFirstColumn="0" w:lastRowLastColumn="0"/>
              <w:rPr>
                <w:sz w:val="22"/>
              </w:rPr>
            </w:pPr>
            <w:r w:rsidRPr="001B449B">
              <w:rPr>
                <w:sz w:val="22"/>
              </w:rPr>
              <w:t xml:space="preserve">Overall rating is very good -satisfactory </w:t>
            </w:r>
          </w:p>
        </w:tc>
      </w:tr>
    </w:tbl>
    <w:p w14:paraId="4851D8FE" w14:textId="6AC28E73" w:rsidR="006945A1" w:rsidRDefault="006945A1" w:rsidP="00B363EF">
      <w:pPr>
        <w:pStyle w:val="Heading2"/>
      </w:pPr>
      <w:bookmarkStart w:id="10" w:name="_Toc517615234"/>
      <w:bookmarkStart w:id="11" w:name="_Toc512241906"/>
      <w:r>
        <w:t>Recommendations</w:t>
      </w:r>
      <w:bookmarkEnd w:id="10"/>
    </w:p>
    <w:p w14:paraId="012D84EA" w14:textId="10E9D13D" w:rsidR="006945A1" w:rsidRPr="00954204" w:rsidRDefault="00954204" w:rsidP="006945A1">
      <w:pPr>
        <w:rPr>
          <w:rFonts w:ascii="Calibri" w:hAnsi="Calibri"/>
          <w:sz w:val="22"/>
          <w:lang w:val="en-US"/>
        </w:rPr>
      </w:pPr>
      <w:r>
        <w:rPr>
          <w:rFonts w:ascii="Calibri" w:hAnsi="Calibri"/>
          <w:sz w:val="22"/>
          <w:lang w:val="en-US"/>
        </w:rPr>
        <w:t>T</w:t>
      </w:r>
      <w:r w:rsidR="006945A1" w:rsidRPr="00954204">
        <w:rPr>
          <w:rFonts w:ascii="Calibri" w:hAnsi="Calibri"/>
          <w:sz w:val="22"/>
          <w:lang w:val="en-US"/>
        </w:rPr>
        <w:t xml:space="preserve">his evaluation report makes recommendations that arise from the findings. </w:t>
      </w:r>
      <w:r w:rsidR="000C7637" w:rsidRPr="00954204">
        <w:rPr>
          <w:rFonts w:ascii="Calibri" w:hAnsi="Calibri"/>
          <w:sz w:val="22"/>
        </w:rPr>
        <w:t xml:space="preserve">These are based upon the data and information gathered during the short period of the evaluation. </w:t>
      </w:r>
      <w:r w:rsidR="006945A1" w:rsidRPr="00954204">
        <w:rPr>
          <w:rFonts w:ascii="Calibri" w:hAnsi="Calibri"/>
          <w:sz w:val="22"/>
          <w:lang w:val="en-US"/>
        </w:rPr>
        <w:t xml:space="preserve">Some of these recommendations flow logically from the key findings, whereas others are </w:t>
      </w:r>
      <w:r w:rsidR="000C7637" w:rsidRPr="00954204">
        <w:rPr>
          <w:rFonts w:ascii="Calibri" w:hAnsi="Calibri"/>
          <w:sz w:val="22"/>
          <w:lang w:val="en-US"/>
        </w:rPr>
        <w:t xml:space="preserve">where the evaluator has attempted to interpret how program objectives can best be met, given the practical circumstances in which it operates. </w:t>
      </w:r>
    </w:p>
    <w:p w14:paraId="07D644C9" w14:textId="68021DC4" w:rsidR="000C7637" w:rsidRPr="00954204" w:rsidRDefault="000C7637" w:rsidP="00A02664">
      <w:pPr>
        <w:rPr>
          <w:rFonts w:ascii="Calibri" w:hAnsi="Calibri"/>
          <w:sz w:val="22"/>
        </w:rPr>
      </w:pPr>
      <w:r w:rsidRPr="00954204">
        <w:rPr>
          <w:rFonts w:ascii="Calibri" w:hAnsi="Calibri"/>
          <w:sz w:val="22"/>
        </w:rPr>
        <w:t xml:space="preserve">However, for various reasons unknown to the evaluation team, these recommendations may not be possible to implement, or may require resources that are not yet available. Therefore, these recommendations are designed to inform further discussion, instead of being definitive.  </w:t>
      </w:r>
    </w:p>
    <w:p w14:paraId="327789C2" w14:textId="5BEDAEA5" w:rsidR="00E951E5" w:rsidRPr="007D5DA9" w:rsidRDefault="00E951E5" w:rsidP="00B363EF">
      <w:pPr>
        <w:pStyle w:val="Heading2"/>
      </w:pPr>
      <w:bookmarkStart w:id="12" w:name="_Toc517615235"/>
      <w:r w:rsidRPr="007D5DA9">
        <w:t>Limitations</w:t>
      </w:r>
      <w:bookmarkEnd w:id="11"/>
      <w:bookmarkEnd w:id="12"/>
    </w:p>
    <w:p w14:paraId="2EEC9452" w14:textId="77777777" w:rsidR="00E951E5" w:rsidRPr="001B449B" w:rsidRDefault="00E951E5" w:rsidP="00B363EF">
      <w:pPr>
        <w:rPr>
          <w:sz w:val="22"/>
        </w:rPr>
      </w:pPr>
      <w:r w:rsidRPr="001B449B">
        <w:rPr>
          <w:sz w:val="22"/>
        </w:rPr>
        <w:t>There were several limitations anticipated and realised during the project:</w:t>
      </w:r>
    </w:p>
    <w:p w14:paraId="372FC628" w14:textId="320FF87F" w:rsidR="00E620D6" w:rsidRPr="00A02664" w:rsidRDefault="00E620D6" w:rsidP="00E620D6">
      <w:pPr>
        <w:pStyle w:val="ListParagraph"/>
        <w:numPr>
          <w:ilvl w:val="0"/>
          <w:numId w:val="46"/>
        </w:numPr>
        <w:rPr>
          <w:sz w:val="22"/>
          <w:lang w:val="en-US"/>
        </w:rPr>
      </w:pPr>
      <w:r w:rsidRPr="001B449B">
        <w:rPr>
          <w:sz w:val="22"/>
        </w:rPr>
        <w:t>T</w:t>
      </w:r>
      <w:r>
        <w:rPr>
          <w:sz w:val="22"/>
        </w:rPr>
        <w:t>he resources allocated</w:t>
      </w:r>
      <w:r w:rsidRPr="001B449B">
        <w:rPr>
          <w:sz w:val="22"/>
        </w:rPr>
        <w:t xml:space="preserve"> </w:t>
      </w:r>
      <w:r>
        <w:rPr>
          <w:sz w:val="22"/>
        </w:rPr>
        <w:t xml:space="preserve">to conduct the evaluation were limited. This </w:t>
      </w:r>
      <w:r w:rsidRPr="001B449B">
        <w:rPr>
          <w:sz w:val="22"/>
        </w:rPr>
        <w:t xml:space="preserve">limited </w:t>
      </w:r>
      <w:r>
        <w:rPr>
          <w:sz w:val="22"/>
        </w:rPr>
        <w:t xml:space="preserve">the evaluation team’s </w:t>
      </w:r>
      <w:r w:rsidRPr="001B449B">
        <w:rPr>
          <w:sz w:val="22"/>
        </w:rPr>
        <w:t>ability to reschedule interviews if informant</w:t>
      </w:r>
      <w:r>
        <w:rPr>
          <w:sz w:val="22"/>
        </w:rPr>
        <w:t>s were</w:t>
      </w:r>
      <w:r w:rsidRPr="001B449B">
        <w:rPr>
          <w:sz w:val="22"/>
        </w:rPr>
        <w:t xml:space="preserve"> not available</w:t>
      </w:r>
      <w:r>
        <w:rPr>
          <w:sz w:val="22"/>
        </w:rPr>
        <w:t xml:space="preserve"> and constrained the extent and </w:t>
      </w:r>
      <w:r w:rsidRPr="001B449B">
        <w:rPr>
          <w:sz w:val="22"/>
        </w:rPr>
        <w:t>depth of document analysis possible</w:t>
      </w:r>
      <w:r w:rsidR="00190984">
        <w:rPr>
          <w:sz w:val="22"/>
        </w:rPr>
        <w:t xml:space="preserve">. </w:t>
      </w:r>
    </w:p>
    <w:p w14:paraId="4502D426" w14:textId="10DADBD2" w:rsidR="00E951E5" w:rsidRPr="001B449B" w:rsidRDefault="00E951E5" w:rsidP="00B363EF">
      <w:pPr>
        <w:pStyle w:val="ListParagraph"/>
        <w:numPr>
          <w:ilvl w:val="0"/>
          <w:numId w:val="46"/>
        </w:numPr>
        <w:rPr>
          <w:sz w:val="22"/>
        </w:rPr>
      </w:pPr>
      <w:r w:rsidRPr="001B449B">
        <w:rPr>
          <w:sz w:val="22"/>
        </w:rPr>
        <w:t xml:space="preserve">It was noted that although the results framework for IFG is agreed, it was created after the program had started. As a result, there are no baseline measurements in the results framework from which to measure progress quantitatively. </w:t>
      </w:r>
    </w:p>
    <w:p w14:paraId="18917ECA" w14:textId="77777777" w:rsidR="00C40A82" w:rsidRPr="001B449B" w:rsidRDefault="00E951E5" w:rsidP="004F53EC">
      <w:pPr>
        <w:pStyle w:val="ListParagraph"/>
        <w:numPr>
          <w:ilvl w:val="0"/>
          <w:numId w:val="46"/>
        </w:numPr>
        <w:rPr>
          <w:sz w:val="22"/>
          <w:lang w:val="en-US"/>
        </w:rPr>
      </w:pPr>
      <w:r w:rsidRPr="001B449B">
        <w:rPr>
          <w:sz w:val="22"/>
        </w:rPr>
        <w:t>Project documentation for the reviews w</w:t>
      </w:r>
      <w:r w:rsidR="007D5DA9">
        <w:rPr>
          <w:sz w:val="22"/>
        </w:rPr>
        <w:t>ere</w:t>
      </w:r>
      <w:r w:rsidRPr="001B449B">
        <w:rPr>
          <w:sz w:val="22"/>
        </w:rPr>
        <w:t xml:space="preserve"> still being received (and in some cases not received at all) when the evaluators were conducting in-country informant interviews</w:t>
      </w:r>
      <w:r w:rsidR="00C40A82" w:rsidRPr="001B449B">
        <w:rPr>
          <w:sz w:val="22"/>
        </w:rPr>
        <w:t xml:space="preserve">. </w:t>
      </w:r>
      <w:r w:rsidRPr="001B449B">
        <w:rPr>
          <w:sz w:val="22"/>
        </w:rPr>
        <w:t xml:space="preserve"> </w:t>
      </w:r>
    </w:p>
    <w:p w14:paraId="20B9BBB7" w14:textId="4A785A6F" w:rsidR="00E951E5" w:rsidRPr="001B449B" w:rsidRDefault="00C40A82" w:rsidP="001A78AF">
      <w:pPr>
        <w:pStyle w:val="ListParagraph"/>
        <w:numPr>
          <w:ilvl w:val="0"/>
          <w:numId w:val="46"/>
        </w:numPr>
        <w:rPr>
          <w:sz w:val="22"/>
          <w:lang w:val="en-US"/>
        </w:rPr>
      </w:pPr>
      <w:r w:rsidRPr="001B449B">
        <w:rPr>
          <w:sz w:val="22"/>
        </w:rPr>
        <w:lastRenderedPageBreak/>
        <w:t>T</w:t>
      </w:r>
      <w:r w:rsidR="00E951E5" w:rsidRPr="001B449B">
        <w:rPr>
          <w:sz w:val="22"/>
        </w:rPr>
        <w:t>he time constraint limited the extent/depth of document analysis possible, and limited ability to reschedule interviews if informant</w:t>
      </w:r>
      <w:r w:rsidR="00E12590">
        <w:rPr>
          <w:sz w:val="22"/>
        </w:rPr>
        <w:t>s were</w:t>
      </w:r>
      <w:r w:rsidR="00E951E5" w:rsidRPr="001B449B">
        <w:rPr>
          <w:sz w:val="22"/>
        </w:rPr>
        <w:t xml:space="preserve"> not available.</w:t>
      </w:r>
    </w:p>
    <w:p w14:paraId="10631507" w14:textId="77777777" w:rsidR="00E951E5" w:rsidRPr="001B449B" w:rsidRDefault="00E951E5" w:rsidP="001A78AF">
      <w:pPr>
        <w:pStyle w:val="ListParagraph"/>
        <w:numPr>
          <w:ilvl w:val="0"/>
          <w:numId w:val="46"/>
        </w:numPr>
        <w:rPr>
          <w:sz w:val="22"/>
        </w:rPr>
      </w:pPr>
      <w:r w:rsidRPr="001B449B">
        <w:rPr>
          <w:sz w:val="22"/>
        </w:rPr>
        <w:t xml:space="preserve">Due to scheduling or emergent issues, the evaluation team was able to interview only eight from the 12 Task Team Leaders responsible for projects selected for further analysis, and a selected number of interviewees from DFAT and the TAF. A full list of interviewees is provided </w:t>
      </w:r>
      <w:r w:rsidR="00B363EF" w:rsidRPr="001B449B">
        <w:rPr>
          <w:sz w:val="22"/>
        </w:rPr>
        <w:t>in</w:t>
      </w:r>
      <w:r w:rsidRPr="001B449B">
        <w:rPr>
          <w:sz w:val="22"/>
        </w:rPr>
        <w:t xml:space="preserve"> Annex 8</w:t>
      </w:r>
      <w:r w:rsidR="00FE3446">
        <w:rPr>
          <w:sz w:val="22"/>
        </w:rPr>
        <w:t>.</w:t>
      </w:r>
    </w:p>
    <w:p w14:paraId="442A7433" w14:textId="77777777" w:rsidR="00E951E5" w:rsidRPr="001B449B" w:rsidRDefault="00E951E5" w:rsidP="000B5B50">
      <w:pPr>
        <w:pStyle w:val="ListParagraph"/>
        <w:numPr>
          <w:ilvl w:val="0"/>
          <w:numId w:val="46"/>
        </w:numPr>
        <w:rPr>
          <w:sz w:val="22"/>
        </w:rPr>
      </w:pPr>
      <w:r w:rsidRPr="001B449B">
        <w:rPr>
          <w:sz w:val="22"/>
        </w:rPr>
        <w:t xml:space="preserve">The evaluation team received </w:t>
      </w:r>
      <w:r w:rsidR="00B363EF" w:rsidRPr="001B449B">
        <w:rPr>
          <w:sz w:val="22"/>
        </w:rPr>
        <w:t xml:space="preserve">some </w:t>
      </w:r>
      <w:r w:rsidRPr="001B449B">
        <w:rPr>
          <w:sz w:val="22"/>
        </w:rPr>
        <w:t>project documentation</w:t>
      </w:r>
      <w:r w:rsidR="00B363EF" w:rsidRPr="001B449B">
        <w:rPr>
          <w:sz w:val="22"/>
        </w:rPr>
        <w:t xml:space="preserve"> for</w:t>
      </w:r>
      <w:r w:rsidRPr="001B449B">
        <w:rPr>
          <w:sz w:val="22"/>
        </w:rPr>
        <w:t xml:space="preserve"> ten of the 12 selected projects. The </w:t>
      </w:r>
      <w:r w:rsidR="00B363EF" w:rsidRPr="001B449B">
        <w:rPr>
          <w:sz w:val="22"/>
        </w:rPr>
        <w:t xml:space="preserve">two </w:t>
      </w:r>
      <w:r w:rsidRPr="001B449B">
        <w:rPr>
          <w:sz w:val="22"/>
        </w:rPr>
        <w:t xml:space="preserve">exceptions </w:t>
      </w:r>
      <w:r w:rsidR="00B363EF" w:rsidRPr="001B449B">
        <w:rPr>
          <w:sz w:val="22"/>
        </w:rPr>
        <w:t>included one project selected for in-depth study</w:t>
      </w:r>
      <w:r w:rsidRPr="001B449B">
        <w:rPr>
          <w:sz w:val="22"/>
        </w:rPr>
        <w:t>:</w:t>
      </w:r>
    </w:p>
    <w:p w14:paraId="2BB8AD62" w14:textId="77777777" w:rsidR="009E5D3D" w:rsidRPr="001B449B" w:rsidRDefault="00E951E5" w:rsidP="00B363EF">
      <w:pPr>
        <w:pStyle w:val="ListParagraph"/>
        <w:numPr>
          <w:ilvl w:val="1"/>
          <w:numId w:val="47"/>
        </w:numPr>
        <w:rPr>
          <w:sz w:val="22"/>
        </w:rPr>
      </w:pPr>
      <w:r w:rsidRPr="001B449B">
        <w:rPr>
          <w:sz w:val="22"/>
        </w:rPr>
        <w:t>IFG - Chittagong Urban Resilience and City Development Strategy</w:t>
      </w:r>
    </w:p>
    <w:p w14:paraId="66E04ECF" w14:textId="77777777" w:rsidR="00B363EF" w:rsidRDefault="00E951E5" w:rsidP="000151BA">
      <w:pPr>
        <w:pStyle w:val="ListParagraph"/>
        <w:numPr>
          <w:ilvl w:val="1"/>
          <w:numId w:val="47"/>
        </w:numPr>
      </w:pPr>
      <w:r w:rsidRPr="009E5D3D">
        <w:rPr>
          <w:sz w:val="22"/>
        </w:rPr>
        <w:t>SARTFP- Advancing Women’s Enterprises for Economic Impact in the farm/non</w:t>
      </w:r>
      <w:r w:rsidR="00435C40">
        <w:rPr>
          <w:sz w:val="22"/>
        </w:rPr>
        <w:t>-</w:t>
      </w:r>
      <w:r w:rsidRPr="009E5D3D">
        <w:rPr>
          <w:sz w:val="22"/>
        </w:rPr>
        <w:t>farm value chain and regional trade</w:t>
      </w:r>
    </w:p>
    <w:p w14:paraId="463C3C9B" w14:textId="77777777" w:rsidR="0071637F" w:rsidRPr="000151BA" w:rsidRDefault="006F6F3F">
      <w:pPr>
        <w:pStyle w:val="Heading1"/>
      </w:pPr>
      <w:bookmarkStart w:id="13" w:name="_Toc517615236"/>
      <w:r w:rsidRPr="000151BA">
        <w:t xml:space="preserve">Main Report: </w:t>
      </w:r>
      <w:r w:rsidR="00234A9D" w:rsidRPr="000151BA">
        <w:t>Evaluation Findings</w:t>
      </w:r>
      <w:bookmarkEnd w:id="13"/>
    </w:p>
    <w:p w14:paraId="34805AAF" w14:textId="248CF78F" w:rsidR="00425C35" w:rsidRPr="001B449B" w:rsidRDefault="0071637F">
      <w:pPr>
        <w:rPr>
          <w:sz w:val="22"/>
        </w:rPr>
      </w:pPr>
      <w:r w:rsidRPr="001B449B">
        <w:rPr>
          <w:sz w:val="22"/>
        </w:rPr>
        <w:t xml:space="preserve">The following sections detail the evaluation findings and provide a rating for each of the dimensions: </w:t>
      </w:r>
      <w:r w:rsidRPr="00A02664">
        <w:rPr>
          <w:i/>
          <w:sz w:val="22"/>
        </w:rPr>
        <w:t>effectiveness, efficiency, relevance and gender equality</w:t>
      </w:r>
      <w:r w:rsidRPr="001B449B">
        <w:rPr>
          <w:sz w:val="22"/>
        </w:rPr>
        <w:t xml:space="preserve">. </w:t>
      </w:r>
      <w:r w:rsidR="00C2514A" w:rsidRPr="001B449B">
        <w:rPr>
          <w:sz w:val="22"/>
        </w:rPr>
        <w:t>Findings from the specific projects reviewed are woven throughout these sections where appropriate, however supporting information and tables are included as annexes to provide a short and readable review. Each of the four parts of the evaluation are connected and</w:t>
      </w:r>
      <w:r w:rsidR="00C17AE6" w:rsidRPr="001B449B">
        <w:rPr>
          <w:sz w:val="22"/>
        </w:rPr>
        <w:t>,</w:t>
      </w:r>
      <w:r w:rsidR="00C2514A" w:rsidRPr="001B449B">
        <w:rPr>
          <w:sz w:val="22"/>
        </w:rPr>
        <w:t xml:space="preserve"> within respective programs, activities often contribute to more than one objective. While attempts to avoid duplication have been made, it is inevitable that some points are made in more than one section.   </w:t>
      </w:r>
    </w:p>
    <w:p w14:paraId="3B23B947" w14:textId="77777777" w:rsidR="002D5E36" w:rsidRPr="000151BA" w:rsidRDefault="001F742F" w:rsidP="00B363EF">
      <w:pPr>
        <w:pStyle w:val="Heading1"/>
      </w:pPr>
      <w:bookmarkStart w:id="14" w:name="_Toc517615237"/>
      <w:r w:rsidRPr="000151BA">
        <w:t xml:space="preserve">Part One: </w:t>
      </w:r>
      <w:bookmarkStart w:id="15" w:name="_Hlk514054525"/>
      <w:r w:rsidRPr="000151BA">
        <w:t>Evaluation of IFG</w:t>
      </w:r>
      <w:bookmarkEnd w:id="14"/>
      <w:bookmarkEnd w:id="15"/>
    </w:p>
    <w:p w14:paraId="64879A21" w14:textId="77777777" w:rsidR="003659CB" w:rsidRPr="007D5DA9" w:rsidRDefault="00B00BE0" w:rsidP="00B363EF">
      <w:pPr>
        <w:pStyle w:val="Heading2"/>
      </w:pPr>
      <w:bookmarkStart w:id="16" w:name="_Toc517615238"/>
      <w:r w:rsidRPr="007D5DA9">
        <w:t>IFG Effectiveness</w:t>
      </w:r>
      <w:bookmarkEnd w:id="16"/>
      <w:r w:rsidRPr="007D5DA9">
        <w:t xml:space="preserve"> </w:t>
      </w:r>
    </w:p>
    <w:p w14:paraId="4130CCD0" w14:textId="77777777" w:rsidR="00B00BE0" w:rsidRPr="001B449B" w:rsidRDefault="00532777" w:rsidP="00B363EF">
      <w:pPr>
        <w:rPr>
          <w:sz w:val="22"/>
        </w:rPr>
      </w:pPr>
      <w:r w:rsidRPr="001B449B">
        <w:rPr>
          <w:color w:val="C00000"/>
          <w:sz w:val="22"/>
        </w:rPr>
        <w:t>Rating</w:t>
      </w:r>
      <w:r w:rsidRPr="001B449B">
        <w:rPr>
          <w:color w:val="FF0000"/>
          <w:sz w:val="22"/>
        </w:rPr>
        <w:t xml:space="preserve">: </w:t>
      </w:r>
      <w:r w:rsidR="00765C92" w:rsidRPr="001B449B">
        <w:rPr>
          <w:color w:val="FF0000"/>
          <w:sz w:val="22"/>
        </w:rPr>
        <w:t xml:space="preserve">3 - </w:t>
      </w:r>
      <w:r w:rsidRPr="001B449B">
        <w:rPr>
          <w:color w:val="FF0000"/>
          <w:sz w:val="22"/>
        </w:rPr>
        <w:t>Findings are supported by good evidence</w:t>
      </w:r>
    </w:p>
    <w:p w14:paraId="082E25D3" w14:textId="6B609807" w:rsidR="00282CB4" w:rsidRPr="001B449B" w:rsidRDefault="00667ABD">
      <w:pPr>
        <w:rPr>
          <w:sz w:val="22"/>
        </w:rPr>
      </w:pPr>
      <w:r>
        <w:rPr>
          <w:sz w:val="22"/>
          <w:lang w:val="en-US"/>
        </w:rPr>
        <w:t>T</w:t>
      </w:r>
      <w:r w:rsidR="007824FE" w:rsidRPr="001B449B">
        <w:rPr>
          <w:sz w:val="22"/>
          <w:lang w:val="en-US"/>
        </w:rPr>
        <w:t>here is good evidence</w:t>
      </w:r>
      <w:r w:rsidR="00EF49C0">
        <w:rPr>
          <w:sz w:val="22"/>
          <w:lang w:val="en-US"/>
        </w:rPr>
        <w:t xml:space="preserve"> </w:t>
      </w:r>
      <w:r w:rsidR="000C5633" w:rsidRPr="001B449B">
        <w:rPr>
          <w:sz w:val="22"/>
          <w:lang w:val="en-US"/>
        </w:rPr>
        <w:t xml:space="preserve">the program </w:t>
      </w:r>
      <w:r w:rsidR="007824FE" w:rsidRPr="001B449B">
        <w:rPr>
          <w:sz w:val="22"/>
          <w:lang w:val="en-US"/>
        </w:rPr>
        <w:t>ha</w:t>
      </w:r>
      <w:r w:rsidR="000C5633" w:rsidRPr="001B449B">
        <w:rPr>
          <w:sz w:val="22"/>
          <w:lang w:val="en-US"/>
        </w:rPr>
        <w:t xml:space="preserve">s </w:t>
      </w:r>
      <w:r w:rsidR="007824FE" w:rsidRPr="001B449B">
        <w:rPr>
          <w:sz w:val="22"/>
          <w:lang w:val="en-US"/>
        </w:rPr>
        <w:t xml:space="preserve">been effective in achieving </w:t>
      </w:r>
      <w:r w:rsidR="000C5633" w:rsidRPr="001B449B">
        <w:rPr>
          <w:sz w:val="22"/>
          <w:lang w:val="en-US"/>
        </w:rPr>
        <w:t xml:space="preserve">its </w:t>
      </w:r>
      <w:r w:rsidR="007824FE" w:rsidRPr="001B449B">
        <w:rPr>
          <w:sz w:val="22"/>
          <w:lang w:val="en-US"/>
        </w:rPr>
        <w:t>goals</w:t>
      </w:r>
      <w:r w:rsidR="00224608">
        <w:rPr>
          <w:sz w:val="22"/>
          <w:lang w:val="en-US"/>
        </w:rPr>
        <w:t xml:space="preserve"> and t</w:t>
      </w:r>
      <w:r w:rsidR="00224608">
        <w:rPr>
          <w:sz w:val="22"/>
        </w:rPr>
        <w:t>his section provides examples to illustrate the degree to which the evidence supports the rating.</w:t>
      </w:r>
      <w:r w:rsidR="00282CB4" w:rsidRPr="001B449B">
        <w:rPr>
          <w:sz w:val="22"/>
          <w:lang w:val="en-US"/>
        </w:rPr>
        <w:t xml:space="preserve"> </w:t>
      </w:r>
      <w:r w:rsidR="00EF49C0">
        <w:rPr>
          <w:rStyle w:val="FootnoteReference"/>
          <w:sz w:val="22"/>
          <w:lang w:val="en-US"/>
        </w:rPr>
        <w:footnoteReference w:id="22"/>
      </w:r>
      <w:r w:rsidR="00EF49C0" w:rsidRPr="001B449B">
        <w:rPr>
          <w:sz w:val="22"/>
          <w:lang w:val="en-US"/>
        </w:rPr>
        <w:t xml:space="preserve"> </w:t>
      </w:r>
      <w:r w:rsidR="00282CB4" w:rsidRPr="001B449B">
        <w:rPr>
          <w:sz w:val="22"/>
          <w:lang w:val="en-US"/>
        </w:rPr>
        <w:t xml:space="preserve">However, </w:t>
      </w:r>
      <w:r w:rsidR="000C5633" w:rsidRPr="001B449B">
        <w:rPr>
          <w:sz w:val="22"/>
          <w:lang w:val="en-US"/>
        </w:rPr>
        <w:t xml:space="preserve">it has proved difficult to </w:t>
      </w:r>
      <w:r w:rsidR="000C5633" w:rsidRPr="001B449B">
        <w:rPr>
          <w:iCs/>
          <w:sz w:val="22"/>
        </w:rPr>
        <w:t xml:space="preserve">assemble </w:t>
      </w:r>
      <w:r w:rsidR="00282CB4" w:rsidRPr="001B449B">
        <w:rPr>
          <w:iCs/>
          <w:sz w:val="22"/>
        </w:rPr>
        <w:t xml:space="preserve">a coherent </w:t>
      </w:r>
      <w:r w:rsidR="00105B4A">
        <w:rPr>
          <w:iCs/>
          <w:sz w:val="22"/>
        </w:rPr>
        <w:t>narrative</w:t>
      </w:r>
      <w:r w:rsidR="00105B4A" w:rsidRPr="001B449B">
        <w:rPr>
          <w:i/>
          <w:iCs/>
          <w:sz w:val="22"/>
        </w:rPr>
        <w:t xml:space="preserve"> </w:t>
      </w:r>
      <w:r w:rsidR="00282CB4" w:rsidRPr="001B449B">
        <w:rPr>
          <w:sz w:val="22"/>
        </w:rPr>
        <w:t xml:space="preserve">of how IFG investment </w:t>
      </w:r>
      <w:r w:rsidR="000C5633" w:rsidRPr="001B449B">
        <w:rPr>
          <w:sz w:val="22"/>
        </w:rPr>
        <w:t>has been effective in achieving broader influence</w:t>
      </w:r>
      <w:r w:rsidR="00105B4A">
        <w:rPr>
          <w:sz w:val="22"/>
        </w:rPr>
        <w:t xml:space="preserve"> based on the information gathered for this evaluation</w:t>
      </w:r>
      <w:r w:rsidR="00282CB4" w:rsidRPr="001B449B">
        <w:rPr>
          <w:sz w:val="22"/>
        </w:rPr>
        <w:t>.</w:t>
      </w:r>
      <w:r w:rsidR="00C03DA0" w:rsidRPr="001B449B">
        <w:rPr>
          <w:sz w:val="22"/>
        </w:rPr>
        <w:t xml:space="preserve"> </w:t>
      </w:r>
      <w:r w:rsidR="000C5633" w:rsidRPr="001B449B">
        <w:rPr>
          <w:sz w:val="22"/>
        </w:rPr>
        <w:t>Furthermore, t</w:t>
      </w:r>
      <w:r w:rsidR="00C03DA0" w:rsidRPr="001B449B">
        <w:rPr>
          <w:sz w:val="22"/>
        </w:rPr>
        <w:t>he</w:t>
      </w:r>
      <w:r w:rsidR="000C5633" w:rsidRPr="001B449B">
        <w:rPr>
          <w:sz w:val="22"/>
        </w:rPr>
        <w:t xml:space="preserve"> absence</w:t>
      </w:r>
      <w:r w:rsidR="00C03DA0" w:rsidRPr="001B449B">
        <w:rPr>
          <w:sz w:val="22"/>
        </w:rPr>
        <w:t xml:space="preserve"> of a complete strategy and monitoring plan from the outset </w:t>
      </w:r>
      <w:r w:rsidR="000C5633" w:rsidRPr="001B449B">
        <w:rPr>
          <w:sz w:val="22"/>
        </w:rPr>
        <w:t xml:space="preserve">of the program </w:t>
      </w:r>
      <w:r w:rsidR="004F6811" w:rsidRPr="001B449B">
        <w:rPr>
          <w:sz w:val="22"/>
        </w:rPr>
        <w:t>limits the extent to which effectiveness can be measure</w:t>
      </w:r>
      <w:r w:rsidR="00105B4A">
        <w:rPr>
          <w:sz w:val="22"/>
        </w:rPr>
        <w:t>d,</w:t>
      </w:r>
      <w:r w:rsidR="00105B4A" w:rsidRPr="00105B4A">
        <w:rPr>
          <w:sz w:val="22"/>
        </w:rPr>
        <w:t xml:space="preserve"> </w:t>
      </w:r>
      <w:r w:rsidR="00105B4A" w:rsidRPr="00FC6548">
        <w:rPr>
          <w:sz w:val="22"/>
        </w:rPr>
        <w:t>which would have defined the indicators of effectiveness</w:t>
      </w:r>
      <w:r w:rsidR="00105B4A">
        <w:rPr>
          <w:sz w:val="22"/>
        </w:rPr>
        <w:t>.</w:t>
      </w:r>
      <w:r w:rsidR="004F6811" w:rsidRPr="001B449B">
        <w:rPr>
          <w:sz w:val="22"/>
        </w:rPr>
        <w:t xml:space="preserve"> </w:t>
      </w:r>
      <w:r w:rsidR="00105B4A">
        <w:rPr>
          <w:sz w:val="22"/>
        </w:rPr>
        <w:t>F</w:t>
      </w:r>
      <w:r w:rsidR="004F6811" w:rsidRPr="001B449B">
        <w:rPr>
          <w:sz w:val="22"/>
        </w:rPr>
        <w:t xml:space="preserve">or most of </w:t>
      </w:r>
      <w:r w:rsidR="00105B4A">
        <w:rPr>
          <w:sz w:val="22"/>
        </w:rPr>
        <w:t xml:space="preserve">its implementation, </w:t>
      </w:r>
      <w:r w:rsidR="004F6811" w:rsidRPr="001B449B">
        <w:rPr>
          <w:sz w:val="22"/>
        </w:rPr>
        <w:t>IFG operated without a results framework.</w:t>
      </w:r>
    </w:p>
    <w:p w14:paraId="6D6DD675" w14:textId="66722791" w:rsidR="00667ABD" w:rsidRPr="006E263E" w:rsidRDefault="00667ABD" w:rsidP="00667ABD">
      <w:pPr>
        <w:rPr>
          <w:sz w:val="22"/>
        </w:rPr>
      </w:pPr>
      <w:r w:rsidRPr="00A02664">
        <w:rPr>
          <w:sz w:val="22"/>
        </w:rPr>
        <w:t>Overall, this evaluation reveals some weaknesses in the way the IFG program was monitored and evaluated, which w</w:t>
      </w:r>
      <w:r w:rsidR="00EF05D5" w:rsidRPr="00A02664">
        <w:rPr>
          <w:sz w:val="22"/>
        </w:rPr>
        <w:t>ere</w:t>
      </w:r>
      <w:r w:rsidRPr="00A02664">
        <w:rPr>
          <w:sz w:val="22"/>
        </w:rPr>
        <w:t xml:space="preserve"> acknowledged by DFAT in 2016.</w:t>
      </w:r>
      <w:r w:rsidRPr="00A02664">
        <w:rPr>
          <w:rStyle w:val="FootnoteReference"/>
          <w:sz w:val="22"/>
        </w:rPr>
        <w:footnoteReference w:id="23"/>
      </w:r>
      <w:r w:rsidRPr="00A02664">
        <w:rPr>
          <w:sz w:val="22"/>
        </w:rPr>
        <w:t xml:space="preserve"> Because of this, the World Bank did strengthen the IFG results framework to try to demonstrate how activities within projects contribute to the program level goals. Nonetheless, without a more effective communication plan, it is difficult for either WB staff, DFAT or evaluators to trace how IFG investments contributed to strategic goals or influenced other investments.</w:t>
      </w:r>
      <w:r w:rsidRPr="006E263E">
        <w:rPr>
          <w:sz w:val="22"/>
        </w:rPr>
        <w:t xml:space="preserve">  </w:t>
      </w:r>
    </w:p>
    <w:p w14:paraId="29C9394C" w14:textId="77777777" w:rsidR="00AF6F8B" w:rsidRPr="001B449B" w:rsidRDefault="00AF6F8B">
      <w:pPr>
        <w:rPr>
          <w:sz w:val="22"/>
        </w:rPr>
      </w:pPr>
      <w:r w:rsidRPr="001B449B">
        <w:rPr>
          <w:sz w:val="22"/>
        </w:rPr>
        <w:t xml:space="preserve">The 2016-17 annual review claimed the program was contributing towards ‘shifting the status quo in South Asia’. This implies systemic transformation of institutions, policies and processes. There is some evidence of change in these areas, but it </w:t>
      </w:r>
      <w:r w:rsidR="00105B4A">
        <w:rPr>
          <w:sz w:val="22"/>
        </w:rPr>
        <w:t>is</w:t>
      </w:r>
      <w:r w:rsidRPr="001B449B">
        <w:rPr>
          <w:sz w:val="22"/>
        </w:rPr>
        <w:t xml:space="preserve"> difficult to attribute this to any one program. </w:t>
      </w:r>
    </w:p>
    <w:p w14:paraId="6CDFA78E" w14:textId="0CBFF323" w:rsidR="0013229C" w:rsidRPr="0064242D" w:rsidRDefault="00667ABD">
      <w:pPr>
        <w:rPr>
          <w:sz w:val="22"/>
        </w:rPr>
      </w:pPr>
      <w:r>
        <w:rPr>
          <w:sz w:val="22"/>
        </w:rPr>
        <w:t xml:space="preserve">There is indication where </w:t>
      </w:r>
      <w:r w:rsidRPr="00002651">
        <w:rPr>
          <w:sz w:val="22"/>
        </w:rPr>
        <w:t xml:space="preserve">IFG can influence the World Bank effectively, </w:t>
      </w:r>
      <w:r w:rsidRPr="0064242D">
        <w:rPr>
          <w:sz w:val="22"/>
        </w:rPr>
        <w:t xml:space="preserve">it can </w:t>
      </w:r>
      <w:r w:rsidR="009225AE">
        <w:rPr>
          <w:sz w:val="22"/>
        </w:rPr>
        <w:t>lead</w:t>
      </w:r>
      <w:r w:rsidRPr="0064242D">
        <w:rPr>
          <w:sz w:val="22"/>
        </w:rPr>
        <w:t xml:space="preserve"> to influencing large amounts of investment.</w:t>
      </w:r>
      <w:r>
        <w:rPr>
          <w:sz w:val="22"/>
        </w:rPr>
        <w:t xml:space="preserve"> While the claim is difficult to validate, </w:t>
      </w:r>
      <w:r w:rsidR="00E27667" w:rsidRPr="001B449B">
        <w:rPr>
          <w:sz w:val="22"/>
        </w:rPr>
        <w:t xml:space="preserve">IFG’s analytical work has informed the substantial infrastructure work and portfolio in the region, </w:t>
      </w:r>
      <w:r w:rsidR="003E437B" w:rsidRPr="001B449B">
        <w:rPr>
          <w:sz w:val="22"/>
        </w:rPr>
        <w:t>totalling</w:t>
      </w:r>
      <w:r w:rsidR="00E27667" w:rsidRPr="001B449B">
        <w:rPr>
          <w:sz w:val="22"/>
        </w:rPr>
        <w:t xml:space="preserve"> USD 8 billion to </w:t>
      </w:r>
      <w:r w:rsidR="00E27667" w:rsidRPr="001B449B">
        <w:rPr>
          <w:sz w:val="22"/>
        </w:rPr>
        <w:lastRenderedPageBreak/>
        <w:t xml:space="preserve">date, with USD 1 billion in the pipeline. </w:t>
      </w:r>
      <w:r w:rsidRPr="005E62AF">
        <w:rPr>
          <w:sz w:val="22"/>
        </w:rPr>
        <w:t xml:space="preserve">The Bank states the analytical work funded under IFG would not otherwise have been </w:t>
      </w:r>
      <w:r>
        <w:rPr>
          <w:sz w:val="22"/>
        </w:rPr>
        <w:t>conducted.</w:t>
      </w:r>
      <w:r w:rsidR="00EF05D5" w:rsidRPr="001B449B" w:rsidDel="00EF05D5">
        <w:rPr>
          <w:sz w:val="22"/>
        </w:rPr>
        <w:t xml:space="preserve"> </w:t>
      </w:r>
    </w:p>
    <w:tbl>
      <w:tblPr>
        <w:tblStyle w:val="TableGrid"/>
        <w:tblpPr w:leftFromText="180" w:rightFromText="180" w:vertAnchor="text" w:horzAnchor="page" w:tblpX="1450" w:tblpY="216"/>
        <w:tblW w:w="0" w:type="auto"/>
        <w:tblLook w:val="04A0" w:firstRow="1" w:lastRow="0" w:firstColumn="1" w:lastColumn="0" w:noHBand="0" w:noVBand="1"/>
      </w:tblPr>
      <w:tblGrid>
        <w:gridCol w:w="9010"/>
      </w:tblGrid>
      <w:tr w:rsidR="009F1D7D" w:rsidRPr="007D5DA9" w14:paraId="431B3C39" w14:textId="77777777">
        <w:tc>
          <w:tcPr>
            <w:tcW w:w="9010" w:type="dxa"/>
          </w:tcPr>
          <w:p w14:paraId="5B2BF0D7" w14:textId="77777777" w:rsidR="009F1D7D" w:rsidRPr="001B449B" w:rsidRDefault="009F1D7D" w:rsidP="00B363EF">
            <w:pPr>
              <w:pStyle w:val="Heading3"/>
              <w:rPr>
                <w:sz w:val="22"/>
              </w:rPr>
            </w:pPr>
            <w:r w:rsidRPr="001B449B">
              <w:rPr>
                <w:sz w:val="22"/>
              </w:rPr>
              <w:t>Most relevant Medium-Term Outcomes to this section:</w:t>
            </w:r>
          </w:p>
          <w:p w14:paraId="3FC3447E" w14:textId="77777777" w:rsidR="009F1D7D" w:rsidRPr="001B449B" w:rsidRDefault="009F1D7D" w:rsidP="00B363EF">
            <w:pPr>
              <w:rPr>
                <w:sz w:val="22"/>
              </w:rPr>
            </w:pPr>
            <w:r w:rsidRPr="001B449B">
              <w:rPr>
                <w:b/>
                <w:sz w:val="22"/>
              </w:rPr>
              <w:t>MTO A:</w:t>
            </w:r>
            <w:r w:rsidRPr="001B449B">
              <w:rPr>
                <w:sz w:val="22"/>
              </w:rPr>
              <w:t xml:space="preserve"> IFG activities support critical policy and reform measures in priority sectors (transport, energy)</w:t>
            </w:r>
          </w:p>
          <w:p w14:paraId="41276E30" w14:textId="77777777" w:rsidR="009F1D7D" w:rsidRPr="001B449B" w:rsidRDefault="009F1D7D" w:rsidP="00B363EF">
            <w:pPr>
              <w:rPr>
                <w:sz w:val="22"/>
              </w:rPr>
            </w:pPr>
            <w:r w:rsidRPr="001B449B">
              <w:rPr>
                <w:b/>
                <w:sz w:val="22"/>
              </w:rPr>
              <w:t>MTO B:</w:t>
            </w:r>
            <w:r w:rsidRPr="001B449B">
              <w:rPr>
                <w:sz w:val="22"/>
              </w:rPr>
              <w:t xml:space="preserve"> Increased quality and volume of Sector investments (transport, energy) unlocked or leveraged from </w:t>
            </w:r>
            <w:r w:rsidR="00A077A1" w:rsidRPr="001B449B">
              <w:rPr>
                <w:sz w:val="22"/>
              </w:rPr>
              <w:t>the World Bank</w:t>
            </w:r>
            <w:r w:rsidRPr="001B449B">
              <w:rPr>
                <w:sz w:val="22"/>
              </w:rPr>
              <w:t xml:space="preserve"> and from external resources (donors, Public Private Partnerships), as a result of IFG work</w:t>
            </w:r>
          </w:p>
          <w:p w14:paraId="20BB0E2B" w14:textId="77777777" w:rsidR="009F1D7D" w:rsidRPr="001B449B" w:rsidRDefault="009F1D7D" w:rsidP="00B363EF">
            <w:pPr>
              <w:rPr>
                <w:sz w:val="22"/>
              </w:rPr>
            </w:pPr>
            <w:r w:rsidRPr="001B449B">
              <w:rPr>
                <w:b/>
                <w:sz w:val="22"/>
              </w:rPr>
              <w:t>MTO D:</w:t>
            </w:r>
            <w:r w:rsidRPr="001B449B">
              <w:rPr>
                <w:sz w:val="22"/>
              </w:rPr>
              <w:t xml:space="preserve"> IFG contributes to improved effectiveness of World Bank Operations in transport and energy in South Asia</w:t>
            </w:r>
          </w:p>
        </w:tc>
      </w:tr>
    </w:tbl>
    <w:p w14:paraId="06E21DD1" w14:textId="77777777" w:rsidR="003E437B" w:rsidRPr="007D5DA9" w:rsidRDefault="003E437B" w:rsidP="002A1403">
      <w:pPr>
        <w:pStyle w:val="KeyFinding"/>
      </w:pPr>
      <w:r w:rsidRPr="007D5DA9">
        <w:t>There is good evidence of the role of research and analysis in addressing knowledge gaps in areas of energy, transport and climate change.</w:t>
      </w:r>
      <w:r w:rsidR="00CE4DB1" w:rsidRPr="007D5DA9">
        <w:rPr>
          <w:rStyle w:val="FootnoteReference"/>
          <w:i w:val="0"/>
        </w:rPr>
        <w:footnoteReference w:id="24"/>
      </w:r>
    </w:p>
    <w:p w14:paraId="2B9E9CDD" w14:textId="77777777" w:rsidR="005C488B" w:rsidRPr="001B449B" w:rsidRDefault="005C488B" w:rsidP="004F53EC">
      <w:pPr>
        <w:rPr>
          <w:sz w:val="22"/>
        </w:rPr>
      </w:pPr>
      <w:r w:rsidRPr="001B449B">
        <w:rPr>
          <w:sz w:val="22"/>
        </w:rPr>
        <w:t>Where infrastructure is financed</w:t>
      </w:r>
      <w:r w:rsidR="001F545D" w:rsidRPr="001B449B">
        <w:rPr>
          <w:sz w:val="22"/>
        </w:rPr>
        <w:t xml:space="preserve"> or supported by the World Bank</w:t>
      </w:r>
      <w:r w:rsidRPr="001B449B">
        <w:rPr>
          <w:sz w:val="22"/>
        </w:rPr>
        <w:t>, IFG funding aims to </w:t>
      </w:r>
      <w:r w:rsidRPr="001B449B">
        <w:rPr>
          <w:b/>
          <w:sz w:val="22"/>
        </w:rPr>
        <w:t>improve the quality</w:t>
      </w:r>
      <w:r w:rsidRPr="001B449B">
        <w:rPr>
          <w:sz w:val="22"/>
        </w:rPr>
        <w:t xml:space="preserve"> of these investments. This may take the form of funding analytical work that client </w:t>
      </w:r>
      <w:r w:rsidR="007D15EB" w:rsidRPr="001B449B">
        <w:rPr>
          <w:sz w:val="22"/>
        </w:rPr>
        <w:t xml:space="preserve">governments would not otherwise </w:t>
      </w:r>
      <w:r w:rsidR="00B23C01" w:rsidRPr="001B449B">
        <w:rPr>
          <w:sz w:val="22"/>
        </w:rPr>
        <w:t xml:space="preserve">have undertaken, </w:t>
      </w:r>
      <w:r w:rsidRPr="001B449B">
        <w:rPr>
          <w:sz w:val="22"/>
        </w:rPr>
        <w:t>but which inform the design and execution of the project by mitigating some of the negative consequences of infrastructure.</w:t>
      </w:r>
    </w:p>
    <w:p w14:paraId="7EF49E20" w14:textId="4875D1C8" w:rsidR="00371481" w:rsidRPr="00732A9F" w:rsidRDefault="00371481" w:rsidP="001A78AF">
      <w:pPr>
        <w:rPr>
          <w:sz w:val="22"/>
        </w:rPr>
      </w:pPr>
      <w:r w:rsidRPr="001B449B">
        <w:rPr>
          <w:sz w:val="22"/>
        </w:rPr>
        <w:t>South Asia’s Hotspots report</w:t>
      </w:r>
      <w:r w:rsidR="00C848EB" w:rsidRPr="001B449B">
        <w:rPr>
          <w:rStyle w:val="FootnoteReference"/>
          <w:sz w:val="22"/>
        </w:rPr>
        <w:footnoteReference w:id="25"/>
      </w:r>
      <w:r w:rsidRPr="001B449B">
        <w:rPr>
          <w:sz w:val="22"/>
        </w:rPr>
        <w:t xml:space="preserve"> is an example of IFG funding being used for innovative analytical work. The first of its kind in the region, the objective is to understand the impact of climate change at a granular level in South Asia. By using detailed climate and household level data, the report identifies focus areas which </w:t>
      </w:r>
      <w:r w:rsidR="009071A4">
        <w:rPr>
          <w:sz w:val="22"/>
        </w:rPr>
        <w:t>are</w:t>
      </w:r>
      <w:r w:rsidR="009071A4" w:rsidRPr="001B449B">
        <w:rPr>
          <w:sz w:val="22"/>
        </w:rPr>
        <w:t xml:space="preserve"> </w:t>
      </w:r>
      <w:r w:rsidRPr="001B449B">
        <w:rPr>
          <w:sz w:val="22"/>
        </w:rPr>
        <w:t xml:space="preserve">intended to help national and sub-national governments in their allocation of </w:t>
      </w:r>
      <w:r w:rsidR="00BA2EDF" w:rsidRPr="001B449B">
        <w:rPr>
          <w:sz w:val="22"/>
        </w:rPr>
        <w:t xml:space="preserve">financial and human </w:t>
      </w:r>
      <w:r w:rsidRPr="001B449B">
        <w:rPr>
          <w:sz w:val="22"/>
        </w:rPr>
        <w:t>resources. The findings are also intended for use by Bank teams during in-country policy dialogue, and when teams are designing projects in specific locations identified as hotspots in the report. There is evidence this is starting to happen</w:t>
      </w:r>
      <w:r w:rsidR="00667ABD">
        <w:rPr>
          <w:sz w:val="22"/>
        </w:rPr>
        <w:t>,</w:t>
      </w:r>
      <w:r w:rsidRPr="001B449B">
        <w:rPr>
          <w:sz w:val="22"/>
        </w:rPr>
        <w:t xml:space="preserve"> with the findings being used in an agricultural resilience and insurance project in India to analy</w:t>
      </w:r>
      <w:r w:rsidR="00BA2EDF" w:rsidRPr="001B449B">
        <w:rPr>
          <w:sz w:val="22"/>
        </w:rPr>
        <w:t>s</w:t>
      </w:r>
      <w:r w:rsidRPr="001B449B">
        <w:rPr>
          <w:sz w:val="22"/>
        </w:rPr>
        <w:t xml:space="preserve">e how insurance coverage can be improved in the </w:t>
      </w:r>
      <w:r w:rsidRPr="00732A9F">
        <w:rPr>
          <w:sz w:val="22"/>
        </w:rPr>
        <w:t>hotspots.</w:t>
      </w:r>
      <w:r w:rsidRPr="00732A9F">
        <w:rPr>
          <w:b/>
          <w:bCs/>
          <w:sz w:val="22"/>
        </w:rPr>
        <w:t xml:space="preserve"> </w:t>
      </w:r>
      <w:r w:rsidR="005712CE" w:rsidRPr="00732A9F">
        <w:rPr>
          <w:bCs/>
          <w:sz w:val="22"/>
        </w:rPr>
        <w:t xml:space="preserve">Interviews with the World </w:t>
      </w:r>
      <w:r w:rsidR="007B71E8" w:rsidRPr="00732A9F">
        <w:rPr>
          <w:bCs/>
          <w:sz w:val="22"/>
        </w:rPr>
        <w:t>B</w:t>
      </w:r>
      <w:r w:rsidR="005712CE" w:rsidRPr="00732A9F">
        <w:rPr>
          <w:bCs/>
          <w:sz w:val="22"/>
        </w:rPr>
        <w:t>ank</w:t>
      </w:r>
      <w:r w:rsidR="00A07820" w:rsidRPr="00732A9F">
        <w:rPr>
          <w:bCs/>
          <w:sz w:val="22"/>
        </w:rPr>
        <w:t xml:space="preserve">’s Chief Economist’s Office of South Asia </w:t>
      </w:r>
      <w:r w:rsidR="005712CE" w:rsidRPr="00732A9F">
        <w:rPr>
          <w:bCs/>
          <w:sz w:val="22"/>
        </w:rPr>
        <w:t>indicated</w:t>
      </w:r>
      <w:r w:rsidR="005712CE" w:rsidRPr="00732A9F">
        <w:rPr>
          <w:b/>
          <w:bCs/>
          <w:sz w:val="22"/>
        </w:rPr>
        <w:t xml:space="preserve"> </w:t>
      </w:r>
      <w:r w:rsidR="005712CE" w:rsidRPr="00732A9F">
        <w:rPr>
          <w:bCs/>
          <w:sz w:val="22"/>
        </w:rPr>
        <w:t>i</w:t>
      </w:r>
      <w:r w:rsidRPr="00732A9F">
        <w:rPr>
          <w:bCs/>
          <w:sz w:val="22"/>
        </w:rPr>
        <w:t xml:space="preserve">t is unlikely </w:t>
      </w:r>
      <w:r w:rsidRPr="00732A9F">
        <w:rPr>
          <w:sz w:val="22"/>
        </w:rPr>
        <w:t xml:space="preserve">other </w:t>
      </w:r>
      <w:r w:rsidR="005712CE" w:rsidRPr="00732A9F">
        <w:rPr>
          <w:sz w:val="22"/>
        </w:rPr>
        <w:t xml:space="preserve">internal </w:t>
      </w:r>
      <w:r w:rsidRPr="00732A9F">
        <w:rPr>
          <w:sz w:val="22"/>
        </w:rPr>
        <w:t xml:space="preserve">financial resources were available to do this specialised technical </w:t>
      </w:r>
      <w:r w:rsidR="00667ABD" w:rsidRPr="00732A9F">
        <w:rPr>
          <w:sz w:val="22"/>
        </w:rPr>
        <w:t>analysis</w:t>
      </w:r>
      <w:r w:rsidRPr="00732A9F">
        <w:rPr>
          <w:sz w:val="22"/>
        </w:rPr>
        <w:t xml:space="preserve">, </w:t>
      </w:r>
      <w:r w:rsidR="00D43472" w:rsidRPr="00732A9F">
        <w:rPr>
          <w:sz w:val="22"/>
        </w:rPr>
        <w:t>and</w:t>
      </w:r>
      <w:r w:rsidRPr="00732A9F">
        <w:rPr>
          <w:sz w:val="22"/>
        </w:rPr>
        <w:t xml:space="preserve"> would not have been possible without the support of IFG.</w:t>
      </w:r>
      <w:r w:rsidR="008A4A60" w:rsidRPr="00732A9F">
        <w:rPr>
          <w:rStyle w:val="FootnoteReference"/>
          <w:sz w:val="22"/>
        </w:rPr>
        <w:footnoteReference w:id="26"/>
      </w:r>
      <w:r w:rsidRPr="00732A9F">
        <w:rPr>
          <w:sz w:val="22"/>
        </w:rPr>
        <w:t xml:space="preserve"> </w:t>
      </w:r>
    </w:p>
    <w:p w14:paraId="09633BA6" w14:textId="77777777" w:rsidR="00371481" w:rsidRPr="00732A9F" w:rsidRDefault="00371481" w:rsidP="001A78AF">
      <w:pPr>
        <w:rPr>
          <w:sz w:val="22"/>
        </w:rPr>
      </w:pPr>
      <w:r w:rsidRPr="00732A9F">
        <w:rPr>
          <w:b/>
          <w:sz w:val="22"/>
        </w:rPr>
        <w:t>Situational analysis and benchmarking has been used successfully</w:t>
      </w:r>
      <w:r w:rsidRPr="00732A9F">
        <w:rPr>
          <w:sz w:val="22"/>
        </w:rPr>
        <w:t xml:space="preserve"> in IFG projects</w:t>
      </w:r>
      <w:r w:rsidR="00124115" w:rsidRPr="00732A9F">
        <w:rPr>
          <w:sz w:val="22"/>
        </w:rPr>
        <w:t xml:space="preserve"> as a means of informing how loans are managed, for example </w:t>
      </w:r>
      <w:r w:rsidR="00D43472" w:rsidRPr="00732A9F">
        <w:rPr>
          <w:sz w:val="22"/>
        </w:rPr>
        <w:t xml:space="preserve">in </w:t>
      </w:r>
      <w:r w:rsidR="00124115" w:rsidRPr="00732A9F">
        <w:rPr>
          <w:sz w:val="22"/>
        </w:rPr>
        <w:t xml:space="preserve">the </w:t>
      </w:r>
      <w:r w:rsidR="00124115" w:rsidRPr="00732A9F">
        <w:rPr>
          <w:sz w:val="22"/>
          <w:lang w:val="en-US"/>
        </w:rPr>
        <w:t xml:space="preserve">Trade, Logistics and Competitiveness in the Port Sector project in South Asia. </w:t>
      </w:r>
      <w:r w:rsidR="00B50B9F" w:rsidRPr="00732A9F">
        <w:rPr>
          <w:sz w:val="22"/>
        </w:rPr>
        <w:t>In this project, t</w:t>
      </w:r>
      <w:r w:rsidR="00124115" w:rsidRPr="00732A9F">
        <w:rPr>
          <w:sz w:val="22"/>
        </w:rPr>
        <w:t xml:space="preserve">he World Bank’s Transport Team used IFG funding to address a lack of knowledge about the current state of the port sector in the region.  </w:t>
      </w:r>
    </w:p>
    <w:p w14:paraId="3EF3F2E5" w14:textId="6AFDB23B" w:rsidR="00371481" w:rsidRPr="001B449B" w:rsidRDefault="005C488B" w:rsidP="001A78AF">
      <w:pPr>
        <w:rPr>
          <w:sz w:val="22"/>
        </w:rPr>
      </w:pPr>
      <w:r w:rsidRPr="00732A9F">
        <w:rPr>
          <w:sz w:val="22"/>
        </w:rPr>
        <w:t>Introducing analytical work into policy making is challenging.</w:t>
      </w:r>
      <w:r w:rsidR="00371481" w:rsidRPr="00732A9F">
        <w:rPr>
          <w:sz w:val="22"/>
        </w:rPr>
        <w:t xml:space="preserve"> </w:t>
      </w:r>
      <w:r w:rsidR="00D43472" w:rsidRPr="00732A9F">
        <w:rPr>
          <w:sz w:val="22"/>
        </w:rPr>
        <w:t>The</w:t>
      </w:r>
      <w:r w:rsidR="00CE7D11" w:rsidRPr="00732A9F">
        <w:rPr>
          <w:sz w:val="22"/>
        </w:rPr>
        <w:t xml:space="preserve"> World Bank’s Transport Team </w:t>
      </w:r>
      <w:r w:rsidR="00371481" w:rsidRPr="00732A9F">
        <w:rPr>
          <w:sz w:val="22"/>
        </w:rPr>
        <w:t>acknowledged that in this project</w:t>
      </w:r>
      <w:r w:rsidR="00D43472" w:rsidRPr="00732A9F">
        <w:rPr>
          <w:sz w:val="22"/>
        </w:rPr>
        <w:t>,</w:t>
      </w:r>
      <w:r w:rsidR="00371481" w:rsidRPr="00732A9F">
        <w:rPr>
          <w:sz w:val="22"/>
        </w:rPr>
        <w:t xml:space="preserve"> some governments were not interested at the outset and saw the benchmarking of port performance as politically sensitive.</w:t>
      </w:r>
      <w:r w:rsidR="008A4A60" w:rsidRPr="00732A9F">
        <w:rPr>
          <w:rStyle w:val="FootnoteReference"/>
          <w:sz w:val="22"/>
        </w:rPr>
        <w:footnoteReference w:id="27"/>
      </w:r>
      <w:r w:rsidR="00371481" w:rsidRPr="001B449B">
        <w:rPr>
          <w:sz w:val="22"/>
        </w:rPr>
        <w:t xml:space="preserve"> However, as the research findings and potential for application started to emerge they became more engaged. Because the research was objective and factual, this allayed concern</w:t>
      </w:r>
      <w:r w:rsidR="00D43472">
        <w:rPr>
          <w:sz w:val="22"/>
        </w:rPr>
        <w:t>s</w:t>
      </w:r>
      <w:r w:rsidR="00371481" w:rsidRPr="001B449B">
        <w:rPr>
          <w:sz w:val="22"/>
        </w:rPr>
        <w:t xml:space="preserve"> of politici</w:t>
      </w:r>
      <w:r w:rsidR="009D0C2F" w:rsidRPr="001B449B">
        <w:rPr>
          <w:sz w:val="22"/>
        </w:rPr>
        <w:t>s</w:t>
      </w:r>
      <w:r w:rsidR="00371481" w:rsidRPr="001B449B">
        <w:rPr>
          <w:sz w:val="22"/>
        </w:rPr>
        <w:t>ation.</w:t>
      </w:r>
    </w:p>
    <w:p w14:paraId="2FBA1FBF" w14:textId="21AB73B4" w:rsidR="00371481" w:rsidRPr="001B449B" w:rsidRDefault="00D92B5E" w:rsidP="000B5B50">
      <w:pPr>
        <w:rPr>
          <w:sz w:val="22"/>
        </w:rPr>
      </w:pPr>
      <w:r w:rsidRPr="001B449B">
        <w:rPr>
          <w:sz w:val="22"/>
        </w:rPr>
        <w:t xml:space="preserve">The examples </w:t>
      </w:r>
      <w:r w:rsidR="001C5756">
        <w:rPr>
          <w:sz w:val="22"/>
        </w:rPr>
        <w:t xml:space="preserve">above </w:t>
      </w:r>
      <w:r w:rsidRPr="001B449B">
        <w:rPr>
          <w:sz w:val="22"/>
        </w:rPr>
        <w:t xml:space="preserve">illustrate that </w:t>
      </w:r>
      <w:r w:rsidR="001546B7" w:rsidRPr="001B449B">
        <w:rPr>
          <w:sz w:val="22"/>
        </w:rPr>
        <w:t>IFG supports the</w:t>
      </w:r>
      <w:r w:rsidR="00371481" w:rsidRPr="001B449B">
        <w:rPr>
          <w:sz w:val="22"/>
        </w:rPr>
        <w:t xml:space="preserve"> World Bank</w:t>
      </w:r>
      <w:r w:rsidR="001546B7" w:rsidRPr="001B449B">
        <w:rPr>
          <w:sz w:val="22"/>
        </w:rPr>
        <w:t xml:space="preserve">’s </w:t>
      </w:r>
      <w:r w:rsidR="00371481" w:rsidRPr="001B449B">
        <w:rPr>
          <w:sz w:val="22"/>
        </w:rPr>
        <w:t>role in filling</w:t>
      </w:r>
      <w:r w:rsidRPr="001B449B">
        <w:rPr>
          <w:sz w:val="22"/>
        </w:rPr>
        <w:t xml:space="preserve"> knowledge</w:t>
      </w:r>
      <w:r w:rsidR="00371481" w:rsidRPr="001B449B">
        <w:rPr>
          <w:sz w:val="22"/>
        </w:rPr>
        <w:t xml:space="preserve"> </w:t>
      </w:r>
      <w:r w:rsidRPr="001B449B">
        <w:rPr>
          <w:sz w:val="22"/>
        </w:rPr>
        <w:t>gaps that inhibit countries in the region from developing efficient and appropriate infrastructure</w:t>
      </w:r>
      <w:r w:rsidR="00371481" w:rsidRPr="001B449B">
        <w:rPr>
          <w:sz w:val="22"/>
        </w:rPr>
        <w:t xml:space="preserve">. Partner governments are usually not able to fund this sort of research and analysis, as such spending is separated from capital investment in national accounts, often barring them from using debt to cover </w:t>
      </w:r>
      <w:r w:rsidR="00371481" w:rsidRPr="001B449B">
        <w:rPr>
          <w:sz w:val="22"/>
        </w:rPr>
        <w:lastRenderedPageBreak/>
        <w:t xml:space="preserve">the cost. Through identifying important areas where knowledge is sparse, with no organisations or governments capable of filling that gap, the Bank has </w:t>
      </w:r>
      <w:r w:rsidR="00442DBA" w:rsidRPr="001B449B">
        <w:rPr>
          <w:sz w:val="22"/>
        </w:rPr>
        <w:t>found effective ways to use</w:t>
      </w:r>
      <w:r w:rsidR="00371481" w:rsidRPr="001B449B">
        <w:rPr>
          <w:sz w:val="22"/>
        </w:rPr>
        <w:t xml:space="preserve"> IFG funds. </w:t>
      </w:r>
    </w:p>
    <w:p w14:paraId="1260B316" w14:textId="77777777" w:rsidR="003E437B" w:rsidRPr="007D5DA9" w:rsidRDefault="003E437B" w:rsidP="00D25D0F">
      <w:pPr>
        <w:pStyle w:val="KeyFinding"/>
      </w:pPr>
      <w:r w:rsidRPr="007D5DA9">
        <w:t>There is good evidence that research and analysis is improving the quality of World Bank loans, with signs that analytical work influenced other projects and divisions within the Bank.</w:t>
      </w:r>
      <w:r w:rsidR="00CE4DB1" w:rsidRPr="007D5DA9">
        <w:rPr>
          <w:rStyle w:val="FootnoteReference"/>
          <w:i w:val="0"/>
        </w:rPr>
        <w:t xml:space="preserve"> </w:t>
      </w:r>
      <w:r w:rsidR="00CE4DB1" w:rsidRPr="007D5DA9">
        <w:rPr>
          <w:rStyle w:val="FootnoteReference"/>
          <w:i w:val="0"/>
        </w:rPr>
        <w:footnoteReference w:id="28"/>
      </w:r>
    </w:p>
    <w:p w14:paraId="22C31E86" w14:textId="77777777" w:rsidR="001041B3" w:rsidRPr="001B449B" w:rsidRDefault="001041B3" w:rsidP="00D25D0F">
      <w:pPr>
        <w:rPr>
          <w:sz w:val="22"/>
        </w:rPr>
      </w:pPr>
      <w:r w:rsidRPr="001B449B">
        <w:rPr>
          <w:sz w:val="22"/>
        </w:rPr>
        <w:t xml:space="preserve">One measure of IFG’s success is the extent to which the WB found </w:t>
      </w:r>
      <w:r w:rsidRPr="001B449B">
        <w:rPr>
          <w:b/>
          <w:sz w:val="22"/>
        </w:rPr>
        <w:t>new ways to positively influence an infrastructure project</w:t>
      </w:r>
      <w:r w:rsidRPr="001B449B">
        <w:rPr>
          <w:sz w:val="22"/>
        </w:rPr>
        <w:t xml:space="preserve">, simultaneously stimulating borrowing for productive investment, whilst also ensuring the project is well designed and executed, </w:t>
      </w:r>
      <w:r w:rsidR="00D43472">
        <w:rPr>
          <w:sz w:val="22"/>
        </w:rPr>
        <w:t>and</w:t>
      </w:r>
      <w:r w:rsidR="00D43472" w:rsidRPr="001B449B">
        <w:rPr>
          <w:sz w:val="22"/>
        </w:rPr>
        <w:t xml:space="preserve"> </w:t>
      </w:r>
      <w:r w:rsidRPr="001B449B">
        <w:rPr>
          <w:sz w:val="22"/>
        </w:rPr>
        <w:t xml:space="preserve">attention </w:t>
      </w:r>
      <w:r w:rsidR="00D43472">
        <w:rPr>
          <w:sz w:val="22"/>
        </w:rPr>
        <w:t xml:space="preserve">is </w:t>
      </w:r>
      <w:r w:rsidRPr="001B449B">
        <w:rPr>
          <w:sz w:val="22"/>
        </w:rPr>
        <w:t>paid to development outcomes and sustainability. Projects may include ongoing WB infrastructure loans to countries in South Asia, as well as new opportunities identified by the Bank or requests from client governments.</w:t>
      </w:r>
      <w:r w:rsidR="00C62831" w:rsidRPr="001B449B">
        <w:rPr>
          <w:sz w:val="22"/>
        </w:rPr>
        <w:t xml:space="preserve"> The World Bank</w:t>
      </w:r>
      <w:r w:rsidR="00442DBA" w:rsidRPr="001B449B">
        <w:rPr>
          <w:sz w:val="22"/>
        </w:rPr>
        <w:t xml:space="preserve">’s annual report </w:t>
      </w:r>
      <w:r w:rsidR="00C62831" w:rsidRPr="001B449B">
        <w:rPr>
          <w:sz w:val="22"/>
        </w:rPr>
        <w:t>describes IFG as raising the quality of the World Bank’s analytical and operational work</w:t>
      </w:r>
      <w:r w:rsidR="00332CB1" w:rsidRPr="001B449B">
        <w:rPr>
          <w:sz w:val="22"/>
        </w:rPr>
        <w:t>.</w:t>
      </w:r>
      <w:r w:rsidR="0043406A" w:rsidRPr="001B449B">
        <w:rPr>
          <w:rStyle w:val="FootnoteReference"/>
          <w:sz w:val="22"/>
        </w:rPr>
        <w:footnoteReference w:id="29"/>
      </w:r>
      <w:r w:rsidR="00C62831" w:rsidRPr="001B449B">
        <w:rPr>
          <w:sz w:val="22"/>
        </w:rPr>
        <w:t xml:space="preserve"> However, it is not clear </w:t>
      </w:r>
      <w:r w:rsidR="00A35293" w:rsidRPr="001B449B">
        <w:rPr>
          <w:sz w:val="22"/>
        </w:rPr>
        <w:t xml:space="preserve">from interviews or the literature review, </w:t>
      </w:r>
      <w:r w:rsidR="00C62831" w:rsidRPr="001B449B">
        <w:rPr>
          <w:sz w:val="22"/>
        </w:rPr>
        <w:t xml:space="preserve">how much of this improvement in the Bank’s operations would have happened anyway as part of ongoing reforms, or how much can be attributed to DFAT support. </w:t>
      </w:r>
    </w:p>
    <w:p w14:paraId="3276B1C1" w14:textId="77777777" w:rsidR="001041B3" w:rsidRPr="001B449B" w:rsidRDefault="001041B3">
      <w:pPr>
        <w:rPr>
          <w:sz w:val="22"/>
        </w:rPr>
      </w:pPr>
      <w:r w:rsidRPr="001B449B">
        <w:rPr>
          <w:sz w:val="22"/>
        </w:rPr>
        <w:t>Box 1 provides a case study to illustrate how the World Bank transport team has utilised IFG funding to improve the quality of their loans. The team identified the need to benchmark global metro stations to provide appropriate international examples and recommendations to India</w:t>
      </w:r>
      <w:r w:rsidR="005B1445" w:rsidRPr="001B449B">
        <w:rPr>
          <w:sz w:val="22"/>
        </w:rPr>
        <w:t>,</w:t>
      </w:r>
      <w:r w:rsidRPr="001B449B">
        <w:rPr>
          <w:sz w:val="22"/>
        </w:rPr>
        <w:t xml:space="preserve"> and other countries</w:t>
      </w:r>
      <w:r w:rsidR="005B1445" w:rsidRPr="001B449B">
        <w:rPr>
          <w:sz w:val="22"/>
        </w:rPr>
        <w:t>,</w:t>
      </w:r>
      <w:r w:rsidRPr="001B449B">
        <w:rPr>
          <w:sz w:val="22"/>
        </w:rPr>
        <w:t xml:space="preserve"> to inform decisions on metro investments and operations. </w:t>
      </w:r>
    </w:p>
    <w:p w14:paraId="0E8E0000" w14:textId="77777777" w:rsidR="001041B3" w:rsidRPr="001B449B" w:rsidRDefault="001041B3" w:rsidP="00D25D0F">
      <w:pPr>
        <w:pStyle w:val="Heading3"/>
        <w:rPr>
          <w:sz w:val="22"/>
        </w:rPr>
      </w:pPr>
      <w:r w:rsidRPr="001B449B">
        <w:rPr>
          <w:sz w:val="22"/>
        </w:rPr>
        <w:t xml:space="preserve">Box 1: Case Study- </w:t>
      </w:r>
      <w:r w:rsidR="00C24388" w:rsidRPr="001B449B">
        <w:rPr>
          <w:sz w:val="22"/>
        </w:rPr>
        <w:t xml:space="preserve">IFG Project TF0A0727: </w:t>
      </w:r>
      <w:r w:rsidRPr="001B449B">
        <w:rPr>
          <w:sz w:val="22"/>
        </w:rPr>
        <w:t>International Experiences with Urban Rail Funding, Institutional Frameworks, and Private Sector Participation</w:t>
      </w:r>
      <w:r w:rsidR="00C86F5F" w:rsidRPr="001B449B">
        <w:rPr>
          <w:rStyle w:val="FootnoteReference"/>
          <w:sz w:val="22"/>
        </w:rPr>
        <w:footnoteReference w:id="30"/>
      </w:r>
    </w:p>
    <w:tbl>
      <w:tblPr>
        <w:tblStyle w:val="TableGrid"/>
        <w:tblW w:w="0" w:type="auto"/>
        <w:shd w:val="clear" w:color="auto" w:fill="F2F2F2" w:themeFill="background1" w:themeFillShade="F2"/>
        <w:tblLook w:val="04A0" w:firstRow="1" w:lastRow="0" w:firstColumn="1" w:lastColumn="0" w:noHBand="0" w:noVBand="1"/>
      </w:tblPr>
      <w:tblGrid>
        <w:gridCol w:w="9010"/>
      </w:tblGrid>
      <w:tr w:rsidR="001041B3" w:rsidRPr="007D5DA9" w14:paraId="2C5B3AFF" w14:textId="77777777">
        <w:tc>
          <w:tcPr>
            <w:tcW w:w="9010" w:type="dxa"/>
            <w:shd w:val="clear" w:color="auto" w:fill="F2F2F2" w:themeFill="background1" w:themeFillShade="F2"/>
          </w:tcPr>
          <w:p w14:paraId="78A2AD07" w14:textId="77777777" w:rsidR="001041B3" w:rsidRPr="001B449B" w:rsidRDefault="00D851E3" w:rsidP="00D25D0F">
            <w:pPr>
              <w:rPr>
                <w:sz w:val="22"/>
              </w:rPr>
            </w:pPr>
            <w:r w:rsidRPr="001B449B">
              <w:rPr>
                <w:b/>
                <w:sz w:val="22"/>
              </w:rPr>
              <w:t>Project o</w:t>
            </w:r>
            <w:r w:rsidR="001041B3" w:rsidRPr="001B449B">
              <w:rPr>
                <w:b/>
                <w:sz w:val="22"/>
              </w:rPr>
              <w:t>bjective:</w:t>
            </w:r>
            <w:r w:rsidR="001041B3" w:rsidRPr="001B449B">
              <w:rPr>
                <w:sz w:val="22"/>
              </w:rPr>
              <w:t xml:space="preserve"> To provide India and other countries with </w:t>
            </w:r>
            <w:r w:rsidRPr="001B449B">
              <w:rPr>
                <w:sz w:val="22"/>
              </w:rPr>
              <w:t xml:space="preserve">international examples and </w:t>
            </w:r>
            <w:r w:rsidR="001041B3" w:rsidRPr="001B449B">
              <w:rPr>
                <w:sz w:val="22"/>
              </w:rPr>
              <w:t xml:space="preserve">recommendations </w:t>
            </w:r>
            <w:r w:rsidR="00495885" w:rsidRPr="001B449B">
              <w:rPr>
                <w:sz w:val="22"/>
              </w:rPr>
              <w:t xml:space="preserve">for </w:t>
            </w:r>
            <w:r w:rsidR="001041B3" w:rsidRPr="001B449B">
              <w:rPr>
                <w:sz w:val="22"/>
              </w:rPr>
              <w:t xml:space="preserve">the institutional, financial, regulatory, and policy environments </w:t>
            </w:r>
            <w:r w:rsidR="00495885" w:rsidRPr="001B449B">
              <w:rPr>
                <w:sz w:val="22"/>
              </w:rPr>
              <w:t>required to plan and build urban railways</w:t>
            </w:r>
            <w:r w:rsidR="001041B3" w:rsidRPr="001B449B">
              <w:rPr>
                <w:sz w:val="22"/>
              </w:rPr>
              <w:t>.</w:t>
            </w:r>
            <w:r w:rsidR="00495885" w:rsidRPr="001B449B">
              <w:rPr>
                <w:sz w:val="22"/>
              </w:rPr>
              <w:t xml:space="preserve"> </w:t>
            </w:r>
            <w:r w:rsidR="001041B3" w:rsidRPr="001B449B">
              <w:rPr>
                <w:sz w:val="22"/>
              </w:rPr>
              <w:t>F</w:t>
            </w:r>
            <w:r w:rsidR="001041B3" w:rsidRPr="001B449B" w:rsidDel="097EC278">
              <w:rPr>
                <w:color w:val="000000"/>
                <w:sz w:val="22"/>
              </w:rPr>
              <w:t>un</w:t>
            </w:r>
            <w:r w:rsidR="001041B3" w:rsidRPr="001B449B" w:rsidDel="097EC278">
              <w:rPr>
                <w:sz w:val="22"/>
              </w:rPr>
              <w:t>ding: US</w:t>
            </w:r>
            <w:r w:rsidR="00AA40EC" w:rsidRPr="001B449B">
              <w:rPr>
                <w:sz w:val="22"/>
              </w:rPr>
              <w:t>D</w:t>
            </w:r>
            <w:r w:rsidR="001041B3" w:rsidRPr="001B449B" w:rsidDel="097EC278">
              <w:rPr>
                <w:sz w:val="22"/>
              </w:rPr>
              <w:t xml:space="preserve">350,000 IFG </w:t>
            </w:r>
            <w:r w:rsidR="001041B3" w:rsidRPr="001B449B">
              <w:rPr>
                <w:sz w:val="22"/>
              </w:rPr>
              <w:t>p</w:t>
            </w:r>
            <w:r w:rsidR="001041B3" w:rsidRPr="001B449B" w:rsidDel="097EC278">
              <w:rPr>
                <w:sz w:val="22"/>
              </w:rPr>
              <w:t>l</w:t>
            </w:r>
            <w:r w:rsidR="001041B3" w:rsidRPr="001B449B" w:rsidDel="097EC278">
              <w:rPr>
                <w:color w:val="000000"/>
                <w:sz w:val="22"/>
              </w:rPr>
              <w:t>u</w:t>
            </w:r>
            <w:r w:rsidR="00AA40EC" w:rsidRPr="001B449B">
              <w:rPr>
                <w:sz w:val="22"/>
              </w:rPr>
              <w:t>s USD</w:t>
            </w:r>
            <w:r w:rsidR="001041B3" w:rsidRPr="001B449B">
              <w:rPr>
                <w:sz w:val="22"/>
              </w:rPr>
              <w:t>70,000 DF</w:t>
            </w:r>
            <w:r w:rsidR="001041B3" w:rsidRPr="001B449B" w:rsidDel="097EC278">
              <w:rPr>
                <w:sz w:val="22"/>
              </w:rPr>
              <w:t>ID</w:t>
            </w:r>
            <w:r w:rsidR="00CE7D11" w:rsidRPr="001B449B">
              <w:rPr>
                <w:rStyle w:val="FootnoteReference"/>
                <w:sz w:val="22"/>
              </w:rPr>
              <w:footnoteReference w:id="31"/>
            </w:r>
          </w:p>
          <w:p w14:paraId="13D4EC1E" w14:textId="6A57AA3C" w:rsidR="001041B3" w:rsidRPr="001B449B" w:rsidRDefault="001041B3">
            <w:pPr>
              <w:rPr>
                <w:sz w:val="22"/>
              </w:rPr>
            </w:pPr>
            <w:r w:rsidRPr="001B449B">
              <w:rPr>
                <w:sz w:val="22"/>
              </w:rPr>
              <w:t>The WB team collaborated with a group of technical experts from the </w:t>
            </w:r>
            <w:hyperlink r:id="rId12" w:history="1">
              <w:r w:rsidRPr="001B449B">
                <w:rPr>
                  <w:rStyle w:val="Hyperlink"/>
                  <w:sz w:val="22"/>
                </w:rPr>
                <w:t>Railway and Transport Strategy Centre (RTSC)</w:t>
              </w:r>
              <w:r w:rsidRPr="001B449B">
                <w:rPr>
                  <w:rStyle w:val="Hyperlink"/>
                  <w:b/>
                  <w:bCs/>
                  <w:sz w:val="22"/>
                </w:rPr>
                <w:t>,</w:t>
              </w:r>
            </w:hyperlink>
            <w:r w:rsidR="009B46D7">
              <w:rPr>
                <w:rStyle w:val="FootnoteReference"/>
                <w:sz w:val="22"/>
              </w:rPr>
              <w:footnoteReference w:id="32"/>
            </w:r>
            <w:r w:rsidRPr="001B449B">
              <w:rPr>
                <w:sz w:val="22"/>
              </w:rPr>
              <w:t xml:space="preserve"> at Imperial College London and the Community of Metros (CoMET) benchmarking group. Analysis of global metro systems enabled metro operators to be benchmarked as well as drawing insights and identifying lessons learned such as: best design attributes for a metro system, when and how to approach investors, </w:t>
            </w:r>
            <w:r w:rsidR="00696439">
              <w:rPr>
                <w:sz w:val="22"/>
              </w:rPr>
              <w:t xml:space="preserve">and </w:t>
            </w:r>
            <w:r w:rsidRPr="001B449B">
              <w:rPr>
                <w:sz w:val="22"/>
              </w:rPr>
              <w:t>ongoing metro maintenance.</w:t>
            </w:r>
            <w:r w:rsidR="00495885" w:rsidRPr="001B449B">
              <w:rPr>
                <w:sz w:val="22"/>
              </w:rPr>
              <w:t xml:space="preserve"> Through improving urban transport infrastructure, countries can boost the efficient clustering of certain industries, which in turn become regional production and trading hubs.</w:t>
            </w:r>
            <w:r w:rsidR="003E437B" w:rsidRPr="001B449B">
              <w:rPr>
                <w:rStyle w:val="FootnoteReference"/>
                <w:sz w:val="22"/>
              </w:rPr>
              <w:footnoteReference w:id="33"/>
            </w:r>
          </w:p>
          <w:p w14:paraId="6A72F710" w14:textId="482581F0" w:rsidR="001041B3" w:rsidRPr="001B449B" w:rsidRDefault="001041B3">
            <w:pPr>
              <w:rPr>
                <w:sz w:val="22"/>
              </w:rPr>
            </w:pPr>
            <w:r w:rsidRPr="001B449B">
              <w:rPr>
                <w:sz w:val="22"/>
              </w:rPr>
              <w:t>The W</w:t>
            </w:r>
            <w:r w:rsidR="00C24388" w:rsidRPr="001B449B">
              <w:rPr>
                <w:sz w:val="22"/>
              </w:rPr>
              <w:t xml:space="preserve">orld </w:t>
            </w:r>
            <w:r w:rsidRPr="001B449B">
              <w:rPr>
                <w:sz w:val="22"/>
              </w:rPr>
              <w:t>B</w:t>
            </w:r>
            <w:r w:rsidR="00C24388" w:rsidRPr="001B449B">
              <w:rPr>
                <w:sz w:val="22"/>
              </w:rPr>
              <w:t>ank</w:t>
            </w:r>
            <w:r w:rsidRPr="001B449B">
              <w:rPr>
                <w:sz w:val="22"/>
              </w:rPr>
              <w:t xml:space="preserve"> presented </w:t>
            </w:r>
            <w:r w:rsidR="00B34503" w:rsidRPr="001B449B">
              <w:rPr>
                <w:sz w:val="22"/>
              </w:rPr>
              <w:t xml:space="preserve">its </w:t>
            </w:r>
            <w:r w:rsidRPr="001B449B">
              <w:rPr>
                <w:sz w:val="22"/>
              </w:rPr>
              <w:t xml:space="preserve">research findings, including best practices, to policy makers and drafted a note on how to establish a metro ticket pricing system. The findings were intended to inform, among others, the Government of India (GOI). </w:t>
            </w:r>
            <w:r w:rsidR="002108F9" w:rsidRPr="001B449B">
              <w:rPr>
                <w:sz w:val="22"/>
              </w:rPr>
              <w:t>The</w:t>
            </w:r>
            <w:r w:rsidRPr="001B449B">
              <w:rPr>
                <w:sz w:val="22"/>
              </w:rPr>
              <w:t xml:space="preserve"> </w:t>
            </w:r>
            <w:r w:rsidR="002108F9" w:rsidRPr="001B449B">
              <w:rPr>
                <w:sz w:val="22"/>
              </w:rPr>
              <w:t>World Bank claims the project</w:t>
            </w:r>
            <w:r w:rsidRPr="001B449B">
              <w:rPr>
                <w:sz w:val="22"/>
              </w:rPr>
              <w:t xml:space="preserve"> influenced the fare fixation decision for the Delhi metro.</w:t>
            </w:r>
            <w:r w:rsidR="005B5450" w:rsidRPr="001B449B">
              <w:rPr>
                <w:rStyle w:val="FootnoteReference"/>
                <w:sz w:val="22"/>
              </w:rPr>
              <w:footnoteReference w:id="34"/>
            </w:r>
            <w:r w:rsidRPr="001B449B">
              <w:rPr>
                <w:sz w:val="22"/>
              </w:rPr>
              <w:t xml:space="preserve"> </w:t>
            </w:r>
            <w:r w:rsidR="002108F9" w:rsidRPr="001B449B">
              <w:rPr>
                <w:sz w:val="22"/>
              </w:rPr>
              <w:t xml:space="preserve">The </w:t>
            </w:r>
            <w:r w:rsidR="00CE7D11" w:rsidRPr="001B449B">
              <w:rPr>
                <w:sz w:val="22"/>
              </w:rPr>
              <w:t xml:space="preserve">interviewee indicated that the </w:t>
            </w:r>
            <w:r w:rsidRPr="001B449B">
              <w:rPr>
                <w:sz w:val="22"/>
              </w:rPr>
              <w:t>W</w:t>
            </w:r>
            <w:r w:rsidR="00123829" w:rsidRPr="001B449B">
              <w:rPr>
                <w:sz w:val="22"/>
              </w:rPr>
              <w:t xml:space="preserve">orld </w:t>
            </w:r>
            <w:r w:rsidRPr="001B449B">
              <w:rPr>
                <w:sz w:val="22"/>
              </w:rPr>
              <w:t>B</w:t>
            </w:r>
            <w:r w:rsidR="00123829" w:rsidRPr="001B449B">
              <w:rPr>
                <w:sz w:val="22"/>
              </w:rPr>
              <w:t>ank</w:t>
            </w:r>
            <w:r w:rsidRPr="001B449B">
              <w:rPr>
                <w:sz w:val="22"/>
              </w:rPr>
              <w:t xml:space="preserve"> subsequently received two more loan requests to fund metros in India which the Bank is confident were informed by the research work. These were ultimately withdrawn due to India being close to the single borrower limit at the W</w:t>
            </w:r>
            <w:r w:rsidR="00123829" w:rsidRPr="001B449B">
              <w:rPr>
                <w:sz w:val="22"/>
              </w:rPr>
              <w:t xml:space="preserve">orld </w:t>
            </w:r>
            <w:r w:rsidRPr="001B449B">
              <w:rPr>
                <w:sz w:val="22"/>
              </w:rPr>
              <w:t>B</w:t>
            </w:r>
            <w:r w:rsidR="00123829" w:rsidRPr="001B449B">
              <w:rPr>
                <w:sz w:val="22"/>
              </w:rPr>
              <w:t>ank</w:t>
            </w:r>
            <w:r w:rsidRPr="001B449B">
              <w:rPr>
                <w:sz w:val="22"/>
              </w:rPr>
              <w:t xml:space="preserve">. The latest update </w:t>
            </w:r>
            <w:r w:rsidR="00CE7D11" w:rsidRPr="001B449B">
              <w:rPr>
                <w:sz w:val="22"/>
              </w:rPr>
              <w:t>indicates</w:t>
            </w:r>
            <w:r w:rsidRPr="001B449B">
              <w:rPr>
                <w:sz w:val="22"/>
              </w:rPr>
              <w:t xml:space="preserve"> that AIIB will finance the investment and the W</w:t>
            </w:r>
            <w:r w:rsidR="00123829" w:rsidRPr="001B449B">
              <w:rPr>
                <w:sz w:val="22"/>
              </w:rPr>
              <w:t>orld Bank</w:t>
            </w:r>
            <w:r w:rsidRPr="001B449B">
              <w:rPr>
                <w:sz w:val="22"/>
              </w:rPr>
              <w:t xml:space="preserve"> will provide a guarantee, so the project may still be realised. </w:t>
            </w:r>
          </w:p>
          <w:p w14:paraId="577D1B8B" w14:textId="77777777" w:rsidR="001041B3" w:rsidRPr="001B449B" w:rsidRDefault="001041B3">
            <w:pPr>
              <w:rPr>
                <w:sz w:val="22"/>
              </w:rPr>
            </w:pPr>
            <w:r w:rsidRPr="001B449B">
              <w:rPr>
                <w:sz w:val="22"/>
              </w:rPr>
              <w:lastRenderedPageBreak/>
              <w:t>Research findings are also being used in the design of the W</w:t>
            </w:r>
            <w:r w:rsidR="00123829" w:rsidRPr="001B449B">
              <w:rPr>
                <w:sz w:val="22"/>
              </w:rPr>
              <w:t xml:space="preserve">orld </w:t>
            </w:r>
            <w:r w:rsidRPr="001B449B">
              <w:rPr>
                <w:sz w:val="22"/>
              </w:rPr>
              <w:t>B</w:t>
            </w:r>
            <w:r w:rsidR="00123829" w:rsidRPr="001B449B">
              <w:rPr>
                <w:sz w:val="22"/>
              </w:rPr>
              <w:t>ank</w:t>
            </w:r>
            <w:r w:rsidRPr="001B449B">
              <w:rPr>
                <w:sz w:val="22"/>
              </w:rPr>
              <w:t>-supported Mumbai Urban Transport Project III.  Specifically, this will entail lessons learned on communications-based train control (</w:t>
            </w:r>
            <w:r w:rsidR="00696439" w:rsidRPr="00206CE2">
              <w:rPr>
                <w:sz w:val="22"/>
              </w:rPr>
              <w:t>signalling</w:t>
            </w:r>
            <w:r w:rsidRPr="001B449B">
              <w:rPr>
                <w:sz w:val="22"/>
              </w:rPr>
              <w:t xml:space="preserve"> systems) and installing them on brownfield railway operations (which metros around the world have struggled with considerably).</w:t>
            </w:r>
            <w:r w:rsidR="00D851E3" w:rsidRPr="001B449B">
              <w:rPr>
                <w:rStyle w:val="FootnoteReference"/>
                <w:sz w:val="22"/>
              </w:rPr>
              <w:footnoteReference w:id="35"/>
            </w:r>
          </w:p>
          <w:p w14:paraId="75969190" w14:textId="77777777" w:rsidR="001041B3" w:rsidRPr="001B449B" w:rsidRDefault="001041B3">
            <w:pPr>
              <w:rPr>
                <w:sz w:val="22"/>
              </w:rPr>
            </w:pPr>
            <w:r w:rsidRPr="001B449B">
              <w:rPr>
                <w:sz w:val="22"/>
              </w:rPr>
              <w:t>The study findings were presented at the OECD transport forum</w:t>
            </w:r>
            <w:r w:rsidRPr="001B449B">
              <w:rPr>
                <w:sz w:val="22"/>
                <w:vertAlign w:val="superscript"/>
              </w:rPr>
              <w:footnoteReference w:id="36"/>
            </w:r>
            <w:r w:rsidRPr="001B449B">
              <w:rPr>
                <w:sz w:val="22"/>
              </w:rPr>
              <w:t xml:space="preserve"> where they garnered </w:t>
            </w:r>
            <w:r w:rsidR="00696439">
              <w:rPr>
                <w:sz w:val="22"/>
              </w:rPr>
              <w:t>substantial</w:t>
            </w:r>
            <w:r w:rsidRPr="001B449B">
              <w:rPr>
                <w:sz w:val="22"/>
              </w:rPr>
              <w:t> interest and press coverage. For example, the Washington Post ran an article on how the findings could inform Washington metro improvements</w:t>
            </w:r>
            <w:r w:rsidR="00332CB1" w:rsidRPr="001B449B">
              <w:rPr>
                <w:sz w:val="22"/>
              </w:rPr>
              <w:t>.</w:t>
            </w:r>
            <w:r w:rsidR="00613BB3" w:rsidRPr="001B449B">
              <w:rPr>
                <w:rStyle w:val="FootnoteReference"/>
                <w:sz w:val="22"/>
              </w:rPr>
              <w:footnoteReference w:id="37"/>
            </w:r>
          </w:p>
        </w:tc>
      </w:tr>
    </w:tbl>
    <w:p w14:paraId="42F321E0" w14:textId="77777777" w:rsidR="00C62831" w:rsidRPr="007D5DA9" w:rsidRDefault="005B1CE0" w:rsidP="000A64A8">
      <w:pPr>
        <w:pStyle w:val="KeyFinding"/>
      </w:pPr>
      <w:r w:rsidRPr="007D5DA9">
        <w:lastRenderedPageBreak/>
        <w:t>IFG enables some teams in the World Bank to take a more holistic system view, rather than being trapped in sector-based thinking.</w:t>
      </w:r>
    </w:p>
    <w:p w14:paraId="04677508" w14:textId="77777777" w:rsidR="00C71067" w:rsidRPr="001B449B" w:rsidRDefault="00442DBA" w:rsidP="000A64A8">
      <w:pPr>
        <w:rPr>
          <w:sz w:val="22"/>
        </w:rPr>
      </w:pPr>
      <w:r w:rsidRPr="001B449B">
        <w:rPr>
          <w:sz w:val="22"/>
        </w:rPr>
        <w:t>In interviews, t</w:t>
      </w:r>
      <w:r w:rsidR="002108F9" w:rsidRPr="001B449B">
        <w:rPr>
          <w:sz w:val="22"/>
        </w:rPr>
        <w:t>h</w:t>
      </w:r>
      <w:r w:rsidR="00C71067" w:rsidRPr="001B449B">
        <w:rPr>
          <w:sz w:val="22"/>
        </w:rPr>
        <w:t xml:space="preserve">e </w:t>
      </w:r>
      <w:r w:rsidR="00C62831" w:rsidRPr="001B449B">
        <w:rPr>
          <w:sz w:val="22"/>
        </w:rPr>
        <w:t xml:space="preserve">WB </w:t>
      </w:r>
      <w:r w:rsidR="00C71067" w:rsidRPr="001B449B">
        <w:rPr>
          <w:sz w:val="22"/>
        </w:rPr>
        <w:t>Transport team emphasi</w:t>
      </w:r>
      <w:r w:rsidRPr="001B449B">
        <w:rPr>
          <w:sz w:val="22"/>
        </w:rPr>
        <w:t>s</w:t>
      </w:r>
      <w:r w:rsidR="00C71067" w:rsidRPr="001B449B">
        <w:rPr>
          <w:sz w:val="22"/>
        </w:rPr>
        <w:t>ed the benefits of flexibility within IFG for funding analytical work</w:t>
      </w:r>
      <w:r w:rsidR="00C62831" w:rsidRPr="001B449B">
        <w:rPr>
          <w:sz w:val="22"/>
        </w:rPr>
        <w:t xml:space="preserve">, </w:t>
      </w:r>
      <w:r w:rsidR="00C71067" w:rsidRPr="001B449B">
        <w:rPr>
          <w:sz w:val="22"/>
        </w:rPr>
        <w:t>enabl</w:t>
      </w:r>
      <w:r w:rsidR="00C62831" w:rsidRPr="001B449B">
        <w:rPr>
          <w:sz w:val="22"/>
        </w:rPr>
        <w:t>ing</w:t>
      </w:r>
      <w:r w:rsidR="00C71067" w:rsidRPr="001B449B">
        <w:rPr>
          <w:sz w:val="22"/>
        </w:rPr>
        <w:t xml:space="preserve"> the Bank to </w:t>
      </w:r>
      <w:r w:rsidR="00C62831" w:rsidRPr="001B449B">
        <w:rPr>
          <w:sz w:val="22"/>
        </w:rPr>
        <w:t xml:space="preserve">respond to </w:t>
      </w:r>
      <w:r w:rsidR="00C71067" w:rsidRPr="001B449B">
        <w:rPr>
          <w:sz w:val="22"/>
        </w:rPr>
        <w:t>need</w:t>
      </w:r>
      <w:r w:rsidR="00C62831" w:rsidRPr="001B449B">
        <w:rPr>
          <w:sz w:val="22"/>
        </w:rPr>
        <w:t>s as they ar</w:t>
      </w:r>
      <w:r w:rsidR="00696439">
        <w:rPr>
          <w:sz w:val="22"/>
        </w:rPr>
        <w:t>e identified</w:t>
      </w:r>
      <w:r w:rsidR="00C71067" w:rsidRPr="001B449B">
        <w:rPr>
          <w:sz w:val="22"/>
        </w:rPr>
        <w:t>. It was noted that although sometimes the analytical work did</w:t>
      </w:r>
      <w:r w:rsidR="00C62831" w:rsidRPr="001B449B">
        <w:rPr>
          <w:sz w:val="22"/>
        </w:rPr>
        <w:t xml:space="preserve"> not</w:t>
      </w:r>
      <w:r w:rsidR="00C71067" w:rsidRPr="001B449B">
        <w:rPr>
          <w:sz w:val="22"/>
        </w:rPr>
        <w:t xml:space="preserve"> lead to a specific investment, it always </w:t>
      </w:r>
      <w:r w:rsidR="00C62831" w:rsidRPr="001B449B">
        <w:rPr>
          <w:sz w:val="22"/>
        </w:rPr>
        <w:t xml:space="preserve">initiated a </w:t>
      </w:r>
      <w:r w:rsidR="00984D0C" w:rsidRPr="001B449B">
        <w:rPr>
          <w:sz w:val="22"/>
        </w:rPr>
        <w:t>valuable</w:t>
      </w:r>
      <w:r w:rsidR="00C71067" w:rsidRPr="001B449B">
        <w:rPr>
          <w:sz w:val="22"/>
        </w:rPr>
        <w:t xml:space="preserve"> dialogue</w:t>
      </w:r>
      <w:r w:rsidR="00C62831" w:rsidRPr="001B449B">
        <w:rPr>
          <w:sz w:val="22"/>
        </w:rPr>
        <w:t>, both</w:t>
      </w:r>
      <w:r w:rsidR="00C71067" w:rsidRPr="001B449B">
        <w:rPr>
          <w:sz w:val="22"/>
        </w:rPr>
        <w:t xml:space="preserve"> internally and with client governments. </w:t>
      </w:r>
    </w:p>
    <w:p w14:paraId="1001618A" w14:textId="3E05CF6E" w:rsidR="00C71067" w:rsidRPr="001B449B" w:rsidRDefault="00206CE2">
      <w:pPr>
        <w:rPr>
          <w:sz w:val="22"/>
        </w:rPr>
      </w:pPr>
      <w:r w:rsidRPr="0064242D">
        <w:rPr>
          <w:sz w:val="22"/>
        </w:rPr>
        <w:t>There is good evidence the World Bank transport team is approaching issues from a connectivity and logistics standpoint rather than simply responding to loan requests</w:t>
      </w:r>
      <w:r w:rsidRPr="001B449B">
        <w:rPr>
          <w:sz w:val="22"/>
        </w:rPr>
        <w:t>.</w:t>
      </w:r>
      <w:r w:rsidRPr="001B449B">
        <w:rPr>
          <w:sz w:val="22"/>
          <w:vertAlign w:val="superscript"/>
        </w:rPr>
        <w:footnoteReference w:id="38"/>
      </w:r>
      <w:r w:rsidR="00C71067" w:rsidRPr="001B449B">
        <w:rPr>
          <w:sz w:val="22"/>
        </w:rPr>
        <w:t xml:space="preserve">The case study below </w:t>
      </w:r>
      <w:r w:rsidR="00814EDF">
        <w:rPr>
          <w:sz w:val="22"/>
        </w:rPr>
        <w:t xml:space="preserve">is an example of this and </w:t>
      </w:r>
      <w:r w:rsidR="00264921" w:rsidRPr="001B449B">
        <w:rPr>
          <w:sz w:val="22"/>
        </w:rPr>
        <w:t xml:space="preserve">illustrates </w:t>
      </w:r>
      <w:r w:rsidR="00C62831" w:rsidRPr="001B449B">
        <w:rPr>
          <w:sz w:val="22"/>
        </w:rPr>
        <w:t xml:space="preserve">how an IFG project helped </w:t>
      </w:r>
      <w:r w:rsidR="00C71067" w:rsidRPr="001B449B">
        <w:rPr>
          <w:sz w:val="22"/>
        </w:rPr>
        <w:t>th</w:t>
      </w:r>
      <w:r w:rsidR="00C62831" w:rsidRPr="001B449B">
        <w:rPr>
          <w:sz w:val="22"/>
        </w:rPr>
        <w:t>e Bank</w:t>
      </w:r>
      <w:r w:rsidR="00C71067" w:rsidRPr="001B449B">
        <w:rPr>
          <w:sz w:val="22"/>
        </w:rPr>
        <w:t xml:space="preserve"> identif</w:t>
      </w:r>
      <w:r w:rsidR="00C62831" w:rsidRPr="001B449B">
        <w:rPr>
          <w:sz w:val="22"/>
        </w:rPr>
        <w:t>y</w:t>
      </w:r>
      <w:r w:rsidR="00C71067" w:rsidRPr="001B449B">
        <w:rPr>
          <w:sz w:val="22"/>
        </w:rPr>
        <w:t xml:space="preserve"> knowledge gaps, t</w:t>
      </w:r>
      <w:r w:rsidR="00C62831" w:rsidRPr="001B449B">
        <w:rPr>
          <w:sz w:val="22"/>
        </w:rPr>
        <w:t>ake calculated</w:t>
      </w:r>
      <w:r w:rsidR="00C71067" w:rsidRPr="001B449B">
        <w:rPr>
          <w:sz w:val="22"/>
        </w:rPr>
        <w:t xml:space="preserve"> risks and </w:t>
      </w:r>
      <w:r w:rsidR="00C62831" w:rsidRPr="001B449B">
        <w:rPr>
          <w:sz w:val="22"/>
        </w:rPr>
        <w:t>improve their own approach to investing in infrastructure projects.</w:t>
      </w:r>
      <w:r w:rsidR="00C86F5F" w:rsidRPr="001B449B">
        <w:rPr>
          <w:sz w:val="22"/>
        </w:rPr>
        <w:t xml:space="preserve"> In this example the IFG program helped the W</w:t>
      </w:r>
      <w:r w:rsidR="00264921" w:rsidRPr="001B449B">
        <w:rPr>
          <w:sz w:val="22"/>
        </w:rPr>
        <w:t xml:space="preserve">orld </w:t>
      </w:r>
      <w:r w:rsidR="00C86F5F" w:rsidRPr="001B449B">
        <w:rPr>
          <w:sz w:val="22"/>
        </w:rPr>
        <w:t>B</w:t>
      </w:r>
      <w:r w:rsidR="00264921" w:rsidRPr="001B449B">
        <w:rPr>
          <w:sz w:val="22"/>
        </w:rPr>
        <w:t>ank</w:t>
      </w:r>
      <w:r w:rsidR="00C86F5F" w:rsidRPr="001B449B">
        <w:rPr>
          <w:sz w:val="22"/>
        </w:rPr>
        <w:t xml:space="preserve"> and G</w:t>
      </w:r>
      <w:r w:rsidR="00150621" w:rsidRPr="001B449B">
        <w:rPr>
          <w:sz w:val="22"/>
        </w:rPr>
        <w:t xml:space="preserve">overnment of India </w:t>
      </w:r>
      <w:r w:rsidR="00C86F5F" w:rsidRPr="001B449B">
        <w:rPr>
          <w:sz w:val="22"/>
        </w:rPr>
        <w:t xml:space="preserve">recognise that infrastructure projects are not sufficient in themselves to boost </w:t>
      </w:r>
      <w:r w:rsidRPr="001B449B">
        <w:rPr>
          <w:sz w:val="22"/>
        </w:rPr>
        <w:t>growth but</w:t>
      </w:r>
      <w:r w:rsidR="00C86F5F" w:rsidRPr="001B449B">
        <w:rPr>
          <w:sz w:val="22"/>
        </w:rPr>
        <w:t xml:space="preserve"> need to be part of a whole system that connects people to each other and to government services as well as to markets. </w:t>
      </w:r>
    </w:p>
    <w:p w14:paraId="2007B65D" w14:textId="77777777" w:rsidR="00C71067" w:rsidRPr="001B449B" w:rsidRDefault="00C71067" w:rsidP="000A64A8">
      <w:pPr>
        <w:pStyle w:val="Heading3"/>
        <w:rPr>
          <w:sz w:val="22"/>
        </w:rPr>
      </w:pPr>
      <w:r w:rsidRPr="001B449B">
        <w:rPr>
          <w:sz w:val="22"/>
        </w:rPr>
        <w:t>Box 2: Case Study</w:t>
      </w:r>
      <w:r w:rsidR="00C86F5F" w:rsidRPr="001B449B">
        <w:rPr>
          <w:sz w:val="22"/>
        </w:rPr>
        <w:t>- IFG Project TF0A0308:</w:t>
      </w:r>
      <w:r w:rsidRPr="001B449B">
        <w:rPr>
          <w:sz w:val="22"/>
        </w:rPr>
        <w:t xml:space="preserve"> Eastern Corridor Intermodal Transport and Logistics in India</w:t>
      </w:r>
      <w:r w:rsidR="00C86F5F" w:rsidRPr="001B449B">
        <w:rPr>
          <w:rStyle w:val="FootnoteReference"/>
          <w:sz w:val="22"/>
        </w:rPr>
        <w:footnoteReference w:id="39"/>
      </w:r>
    </w:p>
    <w:tbl>
      <w:tblPr>
        <w:tblStyle w:val="TableGrid"/>
        <w:tblW w:w="0" w:type="auto"/>
        <w:shd w:val="clear" w:color="auto" w:fill="F2F2F2" w:themeFill="background1" w:themeFillShade="F2"/>
        <w:tblLook w:val="04A0" w:firstRow="1" w:lastRow="0" w:firstColumn="1" w:lastColumn="0" w:noHBand="0" w:noVBand="1"/>
      </w:tblPr>
      <w:tblGrid>
        <w:gridCol w:w="9010"/>
      </w:tblGrid>
      <w:tr w:rsidR="00C71067" w:rsidRPr="007D5DA9" w14:paraId="33EDB272" w14:textId="77777777">
        <w:tc>
          <w:tcPr>
            <w:tcW w:w="9010" w:type="dxa"/>
            <w:shd w:val="clear" w:color="auto" w:fill="F2F2F2" w:themeFill="background1" w:themeFillShade="F2"/>
          </w:tcPr>
          <w:p w14:paraId="62EBCF58" w14:textId="77777777" w:rsidR="00C71067" w:rsidRPr="001B449B" w:rsidRDefault="00C86F5F" w:rsidP="000A64A8">
            <w:pPr>
              <w:rPr>
                <w:sz w:val="22"/>
              </w:rPr>
            </w:pPr>
            <w:r w:rsidRPr="001B449B">
              <w:rPr>
                <w:b/>
                <w:sz w:val="22"/>
              </w:rPr>
              <w:t>Project o</w:t>
            </w:r>
            <w:r w:rsidR="00C71067" w:rsidRPr="001B449B" w:rsidDel="097EC278">
              <w:rPr>
                <w:b/>
                <w:sz w:val="22"/>
              </w:rPr>
              <w:t>bjective:</w:t>
            </w:r>
            <w:r w:rsidR="00C71067" w:rsidRPr="001B449B" w:rsidDel="097EC278">
              <w:rPr>
                <w:sz w:val="22"/>
              </w:rPr>
              <w:t xml:space="preserve"> </w:t>
            </w:r>
            <w:r w:rsidR="00C71067" w:rsidRPr="001B449B">
              <w:rPr>
                <w:sz w:val="22"/>
              </w:rPr>
              <w:t xml:space="preserve">To identify and define the potential for increasing intermodal transport and improving logistics along the Eastern Corridor in India to improve its ability to move freight seamlessly and cost effectively from </w:t>
            </w:r>
            <w:r w:rsidR="00E51FF8" w:rsidRPr="001B449B">
              <w:rPr>
                <w:sz w:val="22"/>
              </w:rPr>
              <w:t>centres</w:t>
            </w:r>
            <w:r w:rsidR="00C71067" w:rsidRPr="001B449B">
              <w:rPr>
                <w:sz w:val="22"/>
              </w:rPr>
              <w:t xml:space="preserve"> of production to </w:t>
            </w:r>
            <w:r w:rsidR="00E51FF8" w:rsidRPr="001B449B">
              <w:rPr>
                <w:sz w:val="22"/>
              </w:rPr>
              <w:t>centres</w:t>
            </w:r>
            <w:r w:rsidR="00C71067" w:rsidRPr="001B449B">
              <w:rPr>
                <w:sz w:val="22"/>
              </w:rPr>
              <w:t xml:space="preserve"> of consumption or to export markets. Fun</w:t>
            </w:r>
            <w:r w:rsidR="00C71067" w:rsidRPr="001B449B" w:rsidDel="097EC278">
              <w:rPr>
                <w:sz w:val="22"/>
              </w:rPr>
              <w:t>ding: USD600,000 </w:t>
            </w:r>
            <w:r w:rsidR="00E51FF8" w:rsidRPr="001B449B">
              <w:rPr>
                <w:sz w:val="22"/>
              </w:rPr>
              <w:t xml:space="preserve">from </w:t>
            </w:r>
            <w:r w:rsidR="00C71067" w:rsidRPr="001B449B" w:rsidDel="097EC278">
              <w:rPr>
                <w:sz w:val="22"/>
              </w:rPr>
              <w:t>IFG</w:t>
            </w:r>
            <w:r w:rsidR="00887976" w:rsidRPr="001B449B">
              <w:rPr>
                <w:sz w:val="22"/>
              </w:rPr>
              <w:t>.</w:t>
            </w:r>
            <w:r w:rsidRPr="001B449B">
              <w:rPr>
                <w:rStyle w:val="FootnoteReference"/>
                <w:sz w:val="22"/>
              </w:rPr>
              <w:footnoteReference w:id="40"/>
            </w:r>
          </w:p>
          <w:p w14:paraId="0B7E60B4" w14:textId="5F80A46C" w:rsidR="00E51FF8" w:rsidRPr="001B449B" w:rsidRDefault="00CA12E9">
            <w:pPr>
              <w:rPr>
                <w:sz w:val="22"/>
              </w:rPr>
            </w:pPr>
            <w:r>
              <w:rPr>
                <w:sz w:val="22"/>
              </w:rPr>
              <w:t xml:space="preserve">Interviews </w:t>
            </w:r>
            <w:r w:rsidR="00CE7D11" w:rsidRPr="001B449B">
              <w:rPr>
                <w:sz w:val="22"/>
              </w:rPr>
              <w:t>indicated that while t</w:t>
            </w:r>
            <w:r w:rsidR="00E51FF8" w:rsidRPr="001B449B">
              <w:rPr>
                <w:sz w:val="22"/>
              </w:rPr>
              <w:t>he current Indian government is pro-reform</w:t>
            </w:r>
            <w:r w:rsidR="00CE7D11" w:rsidRPr="001B449B">
              <w:rPr>
                <w:sz w:val="22"/>
              </w:rPr>
              <w:t>,</w:t>
            </w:r>
            <w:r w:rsidR="00E51FF8" w:rsidRPr="001B449B">
              <w:rPr>
                <w:sz w:val="22"/>
              </w:rPr>
              <w:t xml:space="preserve"> </w:t>
            </w:r>
            <w:r>
              <w:rPr>
                <w:sz w:val="22"/>
              </w:rPr>
              <w:t xml:space="preserve">like many bureaucracies, </w:t>
            </w:r>
            <w:r w:rsidR="00E51FF8" w:rsidRPr="001B449B">
              <w:rPr>
                <w:sz w:val="22"/>
              </w:rPr>
              <w:t xml:space="preserve">bureaucrats in the Indian administration are usually </w:t>
            </w:r>
            <w:r w:rsidR="001C5756">
              <w:rPr>
                <w:sz w:val="22"/>
              </w:rPr>
              <w:t>generalists and not technical specialists, and</w:t>
            </w:r>
            <w:r w:rsidR="00E51FF8" w:rsidRPr="001B449B">
              <w:rPr>
                <w:sz w:val="22"/>
              </w:rPr>
              <w:t xml:space="preserve"> move to other ministries every few years</w:t>
            </w:r>
            <w:r w:rsidR="00CE7D11" w:rsidRPr="001B449B">
              <w:rPr>
                <w:sz w:val="22"/>
              </w:rPr>
              <w:t>.</w:t>
            </w:r>
            <w:r w:rsidR="007B2C9F">
              <w:rPr>
                <w:rStyle w:val="FootnoteReference"/>
                <w:sz w:val="22"/>
              </w:rPr>
              <w:footnoteReference w:id="41"/>
            </w:r>
            <w:r w:rsidR="00CE7D11" w:rsidRPr="001B449B">
              <w:rPr>
                <w:sz w:val="22"/>
              </w:rPr>
              <w:t xml:space="preserve"> </w:t>
            </w:r>
            <w:r w:rsidR="00206CE2" w:rsidRPr="00206CE2">
              <w:rPr>
                <w:sz w:val="22"/>
              </w:rPr>
              <w:t>Therefore,</w:t>
            </w:r>
            <w:r w:rsidR="00E51FF8" w:rsidRPr="001B449B">
              <w:rPr>
                <w:sz w:val="22"/>
              </w:rPr>
              <w:t xml:space="preserve"> they are not </w:t>
            </w:r>
            <w:r w:rsidR="00BE35B4" w:rsidRPr="001B449B">
              <w:rPr>
                <w:sz w:val="22"/>
              </w:rPr>
              <w:t xml:space="preserve">always </w:t>
            </w:r>
            <w:r w:rsidR="00E51FF8" w:rsidRPr="001B449B">
              <w:rPr>
                <w:sz w:val="22"/>
              </w:rPr>
              <w:t>equipped with the knowledge to implement such reforms</w:t>
            </w:r>
            <w:r>
              <w:rPr>
                <w:sz w:val="22"/>
              </w:rPr>
              <w:t xml:space="preserve"> and have other priorities</w:t>
            </w:r>
            <w:r w:rsidR="00203852" w:rsidRPr="001B449B">
              <w:rPr>
                <w:sz w:val="22"/>
              </w:rPr>
              <w:t xml:space="preserve"> predominately in terms of their respective ministries, competing for funds for highways, railways and waterways.</w:t>
            </w:r>
            <w:r w:rsidR="0002128C" w:rsidRPr="001B449B">
              <w:rPr>
                <w:sz w:val="22"/>
              </w:rPr>
              <w:t xml:space="preserve"> Consequently, </w:t>
            </w:r>
            <w:r>
              <w:rPr>
                <w:sz w:val="22"/>
              </w:rPr>
              <w:t xml:space="preserve">it was difficult for </w:t>
            </w:r>
            <w:r w:rsidR="00E51FF8" w:rsidRPr="001B449B">
              <w:rPr>
                <w:sz w:val="22"/>
              </w:rPr>
              <w:t>ministries in charge of highways, railways, and waterways to work together and as such were less </w:t>
            </w:r>
            <w:r>
              <w:rPr>
                <w:sz w:val="22"/>
              </w:rPr>
              <w:t xml:space="preserve">obvious in their </w:t>
            </w:r>
            <w:r w:rsidR="00E51FF8" w:rsidRPr="001B449B">
              <w:rPr>
                <w:sz w:val="22"/>
              </w:rPr>
              <w:t>support to implement</w:t>
            </w:r>
            <w:r w:rsidR="007B2C9F">
              <w:rPr>
                <w:sz w:val="22"/>
              </w:rPr>
              <w:t xml:space="preserve"> </w:t>
            </w:r>
            <w:r w:rsidR="00E51FF8" w:rsidRPr="001B449B">
              <w:rPr>
                <w:sz w:val="22"/>
              </w:rPr>
              <w:t>reforms.</w:t>
            </w:r>
            <w:r>
              <w:rPr>
                <w:rStyle w:val="FootnoteReference"/>
                <w:sz w:val="22"/>
              </w:rPr>
              <w:footnoteReference w:id="42"/>
            </w:r>
          </w:p>
          <w:p w14:paraId="0A5084ED" w14:textId="77777777" w:rsidR="00E51FF8" w:rsidRPr="001B449B" w:rsidRDefault="00E51FF8">
            <w:pPr>
              <w:rPr>
                <w:sz w:val="22"/>
              </w:rPr>
            </w:pPr>
            <w:r w:rsidRPr="001B449B">
              <w:rPr>
                <w:sz w:val="22"/>
              </w:rPr>
              <w:t>In response, IFG funded study trips for Government of India</w:t>
            </w:r>
            <w:r w:rsidR="00332CB1" w:rsidRPr="001B449B">
              <w:rPr>
                <w:sz w:val="22"/>
              </w:rPr>
              <w:t xml:space="preserve"> </w:t>
            </w:r>
            <w:r w:rsidR="008E5A5D" w:rsidRPr="001B449B">
              <w:rPr>
                <w:sz w:val="22"/>
              </w:rPr>
              <w:t>(GOI)</w:t>
            </w:r>
            <w:r w:rsidRPr="001B449B">
              <w:rPr>
                <w:sz w:val="22"/>
              </w:rPr>
              <w:t xml:space="preserve"> officials to see first-hand global best practices and latest examples of intermodal transport and logistics and to build trust across the ministries. Sites visited included The Netherlands, UK, Germany, USA and China. </w:t>
            </w:r>
            <w:r w:rsidR="00AD23CF" w:rsidRPr="001B449B">
              <w:rPr>
                <w:sz w:val="22"/>
              </w:rPr>
              <w:t xml:space="preserve">The </w:t>
            </w:r>
            <w:r w:rsidR="001D3804" w:rsidRPr="001B449B">
              <w:rPr>
                <w:sz w:val="22"/>
              </w:rPr>
              <w:t>officials learned</w:t>
            </w:r>
            <w:r w:rsidRPr="001B449B">
              <w:rPr>
                <w:sz w:val="22"/>
              </w:rPr>
              <w:t xml:space="preserve"> which services and investments add value in terms of broader economic and human </w:t>
            </w:r>
            <w:r w:rsidRPr="001B449B">
              <w:rPr>
                <w:sz w:val="22"/>
              </w:rPr>
              <w:lastRenderedPageBreak/>
              <w:t xml:space="preserve">development. </w:t>
            </w:r>
            <w:r w:rsidR="001D3804" w:rsidRPr="001B449B">
              <w:rPr>
                <w:sz w:val="22"/>
              </w:rPr>
              <w:t>They also</w:t>
            </w:r>
            <w:r w:rsidRPr="001B449B">
              <w:rPr>
                <w:sz w:val="22"/>
              </w:rPr>
              <w:t xml:space="preserve"> started to see </w:t>
            </w:r>
            <w:r w:rsidR="001D3804" w:rsidRPr="001B449B">
              <w:rPr>
                <w:sz w:val="22"/>
              </w:rPr>
              <w:t xml:space="preserve">the </w:t>
            </w:r>
            <w:r w:rsidRPr="001B449B">
              <w:rPr>
                <w:sz w:val="22"/>
              </w:rPr>
              <w:t xml:space="preserve">benefits of working </w:t>
            </w:r>
            <w:r w:rsidR="001D3804" w:rsidRPr="001B449B">
              <w:rPr>
                <w:sz w:val="22"/>
              </w:rPr>
              <w:t>more collaboratively</w:t>
            </w:r>
            <w:r w:rsidRPr="001B449B">
              <w:rPr>
                <w:sz w:val="22"/>
              </w:rPr>
              <w:t xml:space="preserve"> and started to discuss how to improve transport and mobilise financing.</w:t>
            </w:r>
          </w:p>
          <w:p w14:paraId="4E084007" w14:textId="7713FD0A" w:rsidR="00C71067" w:rsidRPr="001B449B" w:rsidRDefault="00C71067">
            <w:pPr>
              <w:rPr>
                <w:sz w:val="22"/>
              </w:rPr>
            </w:pPr>
            <w:r w:rsidRPr="001B449B">
              <w:rPr>
                <w:sz w:val="22"/>
              </w:rPr>
              <w:t>The World Bank is financing significant investments in Indian railways including supporting the Eastern Dedicated Freight Corridor. By increasing the Indian Railways’ freight carrying capacity and transferring freight to dedicated freight-only lines, it is hoped that congestion on existing railway tracks in the lower Ganges basin will ease, improving passenger rail services. The region is one of India's poorest and most densely populated and its citizens rely heavily on rail transport for affordable travel.</w:t>
            </w:r>
            <w:r w:rsidR="001F29FC">
              <w:rPr>
                <w:rStyle w:val="FootnoteReference"/>
                <w:sz w:val="22"/>
              </w:rPr>
              <w:footnoteReference w:id="43"/>
            </w:r>
            <w:r w:rsidRPr="001B449B">
              <w:rPr>
                <w:sz w:val="22"/>
              </w:rPr>
              <w:t xml:space="preserve"> Additionally, these innovative freight-only corridors will make it much cheaper, faster, and more reliable to move goods between the industrial heartland in the north and ports on the eastern and western coasts. </w:t>
            </w:r>
          </w:p>
          <w:p w14:paraId="2D8D34C5" w14:textId="61F0CEB7" w:rsidR="00C71067" w:rsidRPr="001B449B" w:rsidRDefault="00C71067">
            <w:pPr>
              <w:rPr>
                <w:sz w:val="22"/>
              </w:rPr>
            </w:pPr>
            <w:r w:rsidRPr="001B449B">
              <w:rPr>
                <w:sz w:val="22"/>
              </w:rPr>
              <w:t>The Delhi to Kolkata segment of the Golden Quadrilateral</w:t>
            </w:r>
            <w:r w:rsidR="000269B1" w:rsidRPr="001B449B">
              <w:rPr>
                <w:sz w:val="22"/>
              </w:rPr>
              <w:t>,</w:t>
            </w:r>
            <w:r w:rsidR="00150621" w:rsidRPr="001B449B">
              <w:rPr>
                <w:rStyle w:val="FootnoteReference"/>
                <w:sz w:val="22"/>
              </w:rPr>
              <w:footnoteReference w:id="44"/>
            </w:r>
            <w:r w:rsidR="00150621" w:rsidRPr="001B449B">
              <w:rPr>
                <w:sz w:val="22"/>
              </w:rPr>
              <w:t xml:space="preserve"> </w:t>
            </w:r>
            <w:r w:rsidRPr="001B449B">
              <w:rPr>
                <w:sz w:val="22"/>
              </w:rPr>
              <w:t xml:space="preserve">the largest highway in India, runs next to the railway. The WB financed the expansion of this highway some 10 years ago. The WB has provided a series of loans for highways, railways and inland waterways development and expansion along the corridor over a period of 10+ years with loans </w:t>
            </w:r>
            <w:r w:rsidR="00E51FF8" w:rsidRPr="001B449B">
              <w:rPr>
                <w:sz w:val="22"/>
              </w:rPr>
              <w:t>totalling</w:t>
            </w:r>
            <w:r w:rsidRPr="001B449B">
              <w:rPr>
                <w:sz w:val="22"/>
              </w:rPr>
              <w:t xml:space="preserve"> around USD3 billion, with the </w:t>
            </w:r>
            <w:r w:rsidR="008F4B8E" w:rsidRPr="001B449B">
              <w:rPr>
                <w:sz w:val="22"/>
              </w:rPr>
              <w:t>GOI</w:t>
            </w:r>
            <w:r w:rsidRPr="001B449B">
              <w:rPr>
                <w:sz w:val="22"/>
              </w:rPr>
              <w:t xml:space="preserve"> investing another USD3 billion.</w:t>
            </w:r>
          </w:p>
          <w:p w14:paraId="1D2E3672" w14:textId="77777777" w:rsidR="00C71067" w:rsidRPr="001B449B" w:rsidRDefault="00C71067">
            <w:pPr>
              <w:rPr>
                <w:sz w:val="22"/>
              </w:rPr>
            </w:pPr>
            <w:r w:rsidRPr="001B449B">
              <w:rPr>
                <w:sz w:val="22"/>
              </w:rPr>
              <w:t>Because these loans have historically been parallel investments, the WB identified an opportunity to explore how to better integrate across sectors. The IFG project funded a study that looked at these investments, including more broadly how these 3 modes of transport can be better integrated, how to achieve effective movement of cargo, support economic growth and human development.</w:t>
            </w:r>
          </w:p>
          <w:p w14:paraId="10EB74D4" w14:textId="77777777" w:rsidR="00C71067" w:rsidRPr="001B449B" w:rsidRDefault="00C71067">
            <w:pPr>
              <w:rPr>
                <w:sz w:val="22"/>
              </w:rPr>
            </w:pPr>
            <w:r w:rsidRPr="001B449B">
              <w:rPr>
                <w:sz w:val="22"/>
              </w:rPr>
              <w:t>The W</w:t>
            </w:r>
            <w:r w:rsidR="00264921" w:rsidRPr="001B449B">
              <w:rPr>
                <w:sz w:val="22"/>
              </w:rPr>
              <w:t xml:space="preserve">orld </w:t>
            </w:r>
            <w:r w:rsidRPr="001B449B">
              <w:rPr>
                <w:sz w:val="22"/>
              </w:rPr>
              <w:t>B</w:t>
            </w:r>
            <w:r w:rsidR="00264921" w:rsidRPr="001B449B">
              <w:rPr>
                <w:sz w:val="22"/>
              </w:rPr>
              <w:t>ank</w:t>
            </w:r>
            <w:r w:rsidRPr="001B449B">
              <w:rPr>
                <w:sz w:val="22"/>
              </w:rPr>
              <w:t xml:space="preserve"> subsequently received loan requests from GOI for</w:t>
            </w:r>
            <w:r w:rsidR="0002128C" w:rsidRPr="001B449B">
              <w:rPr>
                <w:sz w:val="22"/>
              </w:rPr>
              <w:t xml:space="preserve"> a</w:t>
            </w:r>
            <w:r w:rsidRPr="001B449B">
              <w:rPr>
                <w:sz w:val="22"/>
              </w:rPr>
              <w:t xml:space="preserve"> $400 million freight village and logistics hub and port-hinterland connectivity. Prior to IFG, the GOI, and other countries were </w:t>
            </w:r>
            <w:r w:rsidR="00A50B6B" w:rsidRPr="001B449B">
              <w:rPr>
                <w:sz w:val="22"/>
              </w:rPr>
              <w:t>interested only in</w:t>
            </w:r>
            <w:r w:rsidRPr="001B449B">
              <w:rPr>
                <w:sz w:val="22"/>
              </w:rPr>
              <w:t xml:space="preserve"> building big </w:t>
            </w:r>
            <w:r w:rsidR="00A50B6B" w:rsidRPr="001B449B">
              <w:rPr>
                <w:sz w:val="22"/>
              </w:rPr>
              <w:t xml:space="preserve">standalone </w:t>
            </w:r>
            <w:r w:rsidRPr="001B449B">
              <w:rPr>
                <w:sz w:val="22"/>
              </w:rPr>
              <w:t xml:space="preserve">infrastructure projects and </w:t>
            </w:r>
            <w:r w:rsidR="007A5114">
              <w:rPr>
                <w:sz w:val="22"/>
              </w:rPr>
              <w:t xml:space="preserve">the </w:t>
            </w:r>
            <w:r w:rsidRPr="001B449B">
              <w:rPr>
                <w:sz w:val="22"/>
              </w:rPr>
              <w:t>W</w:t>
            </w:r>
            <w:r w:rsidR="008E5A5D" w:rsidRPr="001B449B">
              <w:rPr>
                <w:sz w:val="22"/>
              </w:rPr>
              <w:t xml:space="preserve">orld </w:t>
            </w:r>
            <w:r w:rsidRPr="001B449B">
              <w:rPr>
                <w:sz w:val="22"/>
              </w:rPr>
              <w:t>B</w:t>
            </w:r>
            <w:r w:rsidR="008E5A5D" w:rsidRPr="001B449B">
              <w:rPr>
                <w:sz w:val="22"/>
              </w:rPr>
              <w:t>ank</w:t>
            </w:r>
            <w:r w:rsidRPr="001B449B">
              <w:rPr>
                <w:sz w:val="22"/>
              </w:rPr>
              <w:t xml:space="preserve"> lent accordingly. </w:t>
            </w:r>
          </w:p>
        </w:tc>
      </w:tr>
    </w:tbl>
    <w:p w14:paraId="40E3998E" w14:textId="19E8B56B" w:rsidR="00E46791" w:rsidRPr="001B449B" w:rsidRDefault="00C71067" w:rsidP="004F53EC">
      <w:pPr>
        <w:rPr>
          <w:sz w:val="22"/>
        </w:rPr>
      </w:pPr>
      <w:r w:rsidRPr="001B449B">
        <w:rPr>
          <w:sz w:val="22"/>
        </w:rPr>
        <w:lastRenderedPageBreak/>
        <w:t>One measure of effectiveness of the W</w:t>
      </w:r>
      <w:r w:rsidR="008E5A5D" w:rsidRPr="001B449B">
        <w:rPr>
          <w:sz w:val="22"/>
        </w:rPr>
        <w:t xml:space="preserve">orld </w:t>
      </w:r>
      <w:r w:rsidRPr="001B449B">
        <w:rPr>
          <w:sz w:val="22"/>
        </w:rPr>
        <w:t>B</w:t>
      </w:r>
      <w:r w:rsidR="008E5A5D" w:rsidRPr="001B449B">
        <w:rPr>
          <w:sz w:val="22"/>
        </w:rPr>
        <w:t>ank</w:t>
      </w:r>
      <w:r w:rsidRPr="001B449B">
        <w:rPr>
          <w:sz w:val="22"/>
        </w:rPr>
        <w:t>’s analytical work under IFG would be evidence that client governments place more value on analytical work to improve an infrastructure or energy investment</w:t>
      </w:r>
      <w:r w:rsidR="00CE7D11" w:rsidRPr="001B449B">
        <w:rPr>
          <w:sz w:val="22"/>
        </w:rPr>
        <w:t xml:space="preserve"> by </w:t>
      </w:r>
      <w:r w:rsidRPr="001B449B">
        <w:rPr>
          <w:sz w:val="22"/>
        </w:rPr>
        <w:t xml:space="preserve">allocating their own resources for analysis. Although progress varies </w:t>
      </w:r>
      <w:r w:rsidR="00C62831" w:rsidRPr="001B449B">
        <w:rPr>
          <w:sz w:val="22"/>
        </w:rPr>
        <w:t>between</w:t>
      </w:r>
      <w:r w:rsidRPr="001B449B">
        <w:rPr>
          <w:sz w:val="22"/>
        </w:rPr>
        <w:t xml:space="preserve"> countr</w:t>
      </w:r>
      <w:r w:rsidR="00C62831" w:rsidRPr="001B449B">
        <w:rPr>
          <w:sz w:val="22"/>
        </w:rPr>
        <w:t>ies</w:t>
      </w:r>
      <w:r w:rsidRPr="001B449B">
        <w:rPr>
          <w:sz w:val="22"/>
        </w:rPr>
        <w:t>, positive signs include India commissioning more studies and the evolution of the Bank’s role from funding and implementing analytical work in Bangladesh, to taking an advisory role for government-funded analytical work.</w:t>
      </w:r>
      <w:r w:rsidR="00F40E45">
        <w:rPr>
          <w:rStyle w:val="FootnoteReference"/>
          <w:sz w:val="22"/>
        </w:rPr>
        <w:footnoteReference w:id="45"/>
      </w:r>
      <w:r w:rsidRPr="001B449B">
        <w:rPr>
          <w:sz w:val="22"/>
        </w:rPr>
        <w:t xml:space="preserve"> </w:t>
      </w:r>
    </w:p>
    <w:p w14:paraId="7686A3C4" w14:textId="66F36227" w:rsidR="00A50B6B" w:rsidRPr="007D5DA9" w:rsidRDefault="005B1CE0" w:rsidP="000A64A8">
      <w:pPr>
        <w:pStyle w:val="KeyFinding"/>
      </w:pPr>
      <w:r w:rsidRPr="007D5DA9">
        <w:t>There is some evidence of IFG’s analytical work being associated with other investments but the precise role that IFG plays in attracting such investment is not well defined</w:t>
      </w:r>
      <w:r w:rsidRPr="007D5DA9">
        <w:rPr>
          <w:bCs/>
        </w:rPr>
        <w:t>.</w:t>
      </w:r>
      <w:r w:rsidR="001D1BDD" w:rsidRPr="007D5DA9">
        <w:rPr>
          <w:rStyle w:val="FootnoteReference"/>
          <w:b w:val="0"/>
          <w:bCs/>
        </w:rPr>
        <w:footnoteReference w:id="46"/>
      </w:r>
    </w:p>
    <w:p w14:paraId="26458579" w14:textId="3395FAA2" w:rsidR="00D83D6B" w:rsidRPr="001B449B" w:rsidRDefault="00D83D6B" w:rsidP="000A64A8">
      <w:pPr>
        <w:rPr>
          <w:sz w:val="22"/>
        </w:rPr>
      </w:pPr>
      <w:r w:rsidRPr="001B449B">
        <w:rPr>
          <w:sz w:val="22"/>
        </w:rPr>
        <w:t xml:space="preserve">The World Bank reported </w:t>
      </w:r>
      <w:r w:rsidR="00371021" w:rsidRPr="001B449B">
        <w:rPr>
          <w:sz w:val="22"/>
        </w:rPr>
        <w:t xml:space="preserve">that </w:t>
      </w:r>
      <w:r w:rsidRPr="001B449B">
        <w:rPr>
          <w:sz w:val="22"/>
        </w:rPr>
        <w:t xml:space="preserve">over </w:t>
      </w:r>
      <w:r w:rsidR="00BD609A" w:rsidRPr="001B449B">
        <w:rPr>
          <w:sz w:val="22"/>
        </w:rPr>
        <w:t>USD</w:t>
      </w:r>
      <w:r w:rsidRPr="001B449B">
        <w:rPr>
          <w:sz w:val="22"/>
        </w:rPr>
        <w:t>1 billion in lending (with a further $1.5 billion in the pipeline) was leveraged by $1.38 million of IFG funding, and that just two IFG activities have attracted over $500 million in external donor funding.</w:t>
      </w:r>
      <w:r w:rsidR="00BD609A" w:rsidRPr="001B449B">
        <w:rPr>
          <w:rStyle w:val="FootnoteReference"/>
          <w:sz w:val="22"/>
        </w:rPr>
        <w:footnoteReference w:id="47"/>
      </w:r>
      <w:r w:rsidRPr="001B449B">
        <w:rPr>
          <w:sz w:val="22"/>
        </w:rPr>
        <w:t xml:space="preserve"> These are very substantial claims of what the World Bank itself describes as ‘outstanding progress’</w:t>
      </w:r>
      <w:r w:rsidR="00264921" w:rsidRPr="001B449B">
        <w:rPr>
          <w:sz w:val="22"/>
        </w:rPr>
        <w:t>.</w:t>
      </w:r>
      <w:r w:rsidR="004C5F15" w:rsidRPr="001B449B">
        <w:rPr>
          <w:rStyle w:val="FootnoteReference"/>
          <w:sz w:val="22"/>
        </w:rPr>
        <w:footnoteReference w:id="48"/>
      </w:r>
      <w:r w:rsidRPr="001B449B">
        <w:rPr>
          <w:sz w:val="22"/>
        </w:rPr>
        <w:t xml:space="preserve"> However, </w:t>
      </w:r>
      <w:r w:rsidR="00264921" w:rsidRPr="001B449B">
        <w:rPr>
          <w:sz w:val="22"/>
        </w:rPr>
        <w:t xml:space="preserve">to prove effectiveness, </w:t>
      </w:r>
      <w:r w:rsidRPr="001B449B">
        <w:rPr>
          <w:sz w:val="22"/>
        </w:rPr>
        <w:t xml:space="preserve">the evidence would need to show the extent to which IFG unlocked </w:t>
      </w:r>
      <w:r w:rsidRPr="001B449B">
        <w:rPr>
          <w:b/>
          <w:sz w:val="22"/>
        </w:rPr>
        <w:t>additional lending</w:t>
      </w:r>
      <w:r w:rsidRPr="001B449B">
        <w:rPr>
          <w:sz w:val="22"/>
        </w:rPr>
        <w:t xml:space="preserve"> that would not otherwise have been made</w:t>
      </w:r>
      <w:r w:rsidR="002D7C5C">
        <w:rPr>
          <w:sz w:val="22"/>
        </w:rPr>
        <w:t xml:space="preserve">. </w:t>
      </w:r>
      <w:r w:rsidR="00264921" w:rsidRPr="001B449B">
        <w:rPr>
          <w:sz w:val="22"/>
        </w:rPr>
        <w:t>Such evidence did not arise during this evaluation.</w:t>
      </w:r>
    </w:p>
    <w:p w14:paraId="541E42C1" w14:textId="19920668" w:rsidR="00CF2DF0" w:rsidRPr="001B449B" w:rsidRDefault="00264921">
      <w:pPr>
        <w:rPr>
          <w:sz w:val="22"/>
        </w:rPr>
      </w:pPr>
      <w:r w:rsidRPr="001B449B">
        <w:rPr>
          <w:sz w:val="22"/>
        </w:rPr>
        <w:lastRenderedPageBreak/>
        <w:t>A</w:t>
      </w:r>
      <w:r w:rsidR="006D0D92" w:rsidRPr="001B449B">
        <w:rPr>
          <w:sz w:val="22"/>
        </w:rPr>
        <w:t xml:space="preserve">lthough there is evidence of </w:t>
      </w:r>
      <w:r w:rsidR="008E5A5D" w:rsidRPr="001B449B">
        <w:rPr>
          <w:sz w:val="22"/>
        </w:rPr>
        <w:t xml:space="preserve">IFG’s </w:t>
      </w:r>
      <w:r w:rsidR="006D0D92" w:rsidRPr="001B449B">
        <w:rPr>
          <w:sz w:val="22"/>
        </w:rPr>
        <w:t xml:space="preserve">analytical work </w:t>
      </w:r>
      <w:r w:rsidRPr="001B449B">
        <w:rPr>
          <w:sz w:val="22"/>
        </w:rPr>
        <w:t xml:space="preserve">complementing the Bank’s </w:t>
      </w:r>
      <w:r w:rsidR="006D0D92" w:rsidRPr="001B449B">
        <w:rPr>
          <w:sz w:val="22"/>
        </w:rPr>
        <w:t xml:space="preserve">investments, gathering the necessary information to </w:t>
      </w:r>
      <w:r w:rsidRPr="001B449B">
        <w:rPr>
          <w:iCs/>
          <w:sz w:val="22"/>
        </w:rPr>
        <w:t>determine</w:t>
      </w:r>
      <w:r w:rsidR="006D0D92" w:rsidRPr="001B449B">
        <w:rPr>
          <w:i/>
          <w:iCs/>
          <w:sz w:val="22"/>
        </w:rPr>
        <w:t xml:space="preserve"> </w:t>
      </w:r>
      <w:r w:rsidR="006D0D92" w:rsidRPr="001B449B">
        <w:rPr>
          <w:sz w:val="22"/>
        </w:rPr>
        <w:t xml:space="preserve">how IFG investment influenced </w:t>
      </w:r>
      <w:r w:rsidRPr="001B449B">
        <w:rPr>
          <w:sz w:val="22"/>
        </w:rPr>
        <w:t>World Bank strategy in the region</w:t>
      </w:r>
      <w:r w:rsidR="00D06EE1" w:rsidRPr="001B449B">
        <w:rPr>
          <w:sz w:val="22"/>
        </w:rPr>
        <w:t>, or unlocked new investment,</w:t>
      </w:r>
      <w:r w:rsidR="006D0D92" w:rsidRPr="001B449B">
        <w:rPr>
          <w:sz w:val="22"/>
        </w:rPr>
        <w:t xml:space="preserve"> is very difficult. </w:t>
      </w:r>
      <w:r w:rsidR="006D0D92" w:rsidRPr="0064242D">
        <w:rPr>
          <w:sz w:val="22"/>
        </w:rPr>
        <w:t xml:space="preserve">This is </w:t>
      </w:r>
      <w:r w:rsidR="00EF05D5">
        <w:rPr>
          <w:sz w:val="22"/>
        </w:rPr>
        <w:t xml:space="preserve">an </w:t>
      </w:r>
      <w:r w:rsidR="006D0D92" w:rsidRPr="0064242D">
        <w:rPr>
          <w:sz w:val="22"/>
        </w:rPr>
        <w:t xml:space="preserve">area that needs </w:t>
      </w:r>
      <w:r w:rsidR="00EF05D5">
        <w:rPr>
          <w:sz w:val="22"/>
        </w:rPr>
        <w:t xml:space="preserve">significant </w:t>
      </w:r>
      <w:r w:rsidR="006D0D92" w:rsidRPr="0064242D">
        <w:rPr>
          <w:sz w:val="22"/>
        </w:rPr>
        <w:t xml:space="preserve">attention. </w:t>
      </w:r>
      <w:r w:rsidR="006D0D92" w:rsidRPr="001B449B">
        <w:rPr>
          <w:sz w:val="22"/>
        </w:rPr>
        <w:t>Understanding the pathway of how a</w:t>
      </w:r>
      <w:r w:rsidR="00D06EE1" w:rsidRPr="001B449B">
        <w:rPr>
          <w:sz w:val="22"/>
        </w:rPr>
        <w:t>n IFG</w:t>
      </w:r>
      <w:r w:rsidR="006D0D92" w:rsidRPr="001B449B">
        <w:rPr>
          <w:sz w:val="22"/>
        </w:rPr>
        <w:t xml:space="preserve"> project influenced change is important for both the World Bank and DFAT and has broader application for both, especially when considering the scale of the portfolio. For example, according to </w:t>
      </w:r>
      <w:r w:rsidR="006A42C9" w:rsidRPr="001B449B">
        <w:rPr>
          <w:sz w:val="22"/>
        </w:rPr>
        <w:t>the World Bank, IFG</w:t>
      </w:r>
      <w:r w:rsidR="006D0D92" w:rsidRPr="001B449B">
        <w:rPr>
          <w:sz w:val="22"/>
        </w:rPr>
        <w:t xml:space="preserve"> analytical work is informing USD8</w:t>
      </w:r>
      <w:r w:rsidR="001B449B">
        <w:rPr>
          <w:sz w:val="22"/>
        </w:rPr>
        <w:t xml:space="preserve"> billion</w:t>
      </w:r>
      <w:r w:rsidR="006D0D92" w:rsidRPr="001B449B">
        <w:rPr>
          <w:sz w:val="22"/>
        </w:rPr>
        <w:t xml:space="preserve"> total (</w:t>
      </w:r>
      <w:r w:rsidR="001B449B">
        <w:rPr>
          <w:sz w:val="22"/>
        </w:rPr>
        <w:t>USD</w:t>
      </w:r>
      <w:r w:rsidR="006D0D92" w:rsidRPr="001B449B">
        <w:rPr>
          <w:sz w:val="22"/>
        </w:rPr>
        <w:t>1</w:t>
      </w:r>
      <w:r w:rsidR="001B449B">
        <w:rPr>
          <w:sz w:val="22"/>
        </w:rPr>
        <w:t xml:space="preserve"> billion</w:t>
      </w:r>
      <w:r w:rsidR="006D0D92" w:rsidRPr="001B449B">
        <w:rPr>
          <w:sz w:val="22"/>
        </w:rPr>
        <w:t xml:space="preserve"> upcoming) of infrastructure work in the region.</w:t>
      </w:r>
      <w:r w:rsidR="00D06EE1" w:rsidRPr="001B449B">
        <w:rPr>
          <w:sz w:val="22"/>
        </w:rPr>
        <w:t xml:space="preserve"> </w:t>
      </w:r>
    </w:p>
    <w:p w14:paraId="27F3D11D" w14:textId="77777777" w:rsidR="00CF2DF0" w:rsidRPr="007D5DA9" w:rsidRDefault="005B1CE0" w:rsidP="000A64A8">
      <w:pPr>
        <w:pStyle w:val="KeyFinding"/>
      </w:pPr>
      <w:r w:rsidRPr="007D5DA9">
        <w:t>IFG supports the technical coherence of energy and transport investments planned by the Bank. However, there is less evidence of IFG influencing the way infrastructure projects will affect human welfare or gender equality.</w:t>
      </w:r>
      <w:r w:rsidR="00F32740" w:rsidRPr="001B449B">
        <w:rPr>
          <w:color w:val="auto"/>
          <w:vertAlign w:val="superscript"/>
        </w:rPr>
        <w:t xml:space="preserve"> </w:t>
      </w:r>
      <w:r w:rsidR="00F32740" w:rsidRPr="007D5DA9">
        <w:rPr>
          <w:vertAlign w:val="superscript"/>
        </w:rPr>
        <w:footnoteReference w:id="49"/>
      </w:r>
    </w:p>
    <w:p w14:paraId="4FAA07B2" w14:textId="77777777" w:rsidR="00217B1F" w:rsidRPr="001B449B" w:rsidRDefault="00B00BE0" w:rsidP="000A64A8">
      <w:pPr>
        <w:rPr>
          <w:sz w:val="22"/>
        </w:rPr>
      </w:pPr>
      <w:r w:rsidRPr="001B449B">
        <w:rPr>
          <w:sz w:val="22"/>
        </w:rPr>
        <w:t xml:space="preserve">Much of the evidence of effectiveness outlined so far focuses on physical assets such as infrastructure and knowledge products. The evaluation also explored the extent to which the World Bank measured transformation in the lives of people, especially women, in the countries where IFG projects </w:t>
      </w:r>
      <w:r w:rsidR="001B449B">
        <w:rPr>
          <w:sz w:val="22"/>
        </w:rPr>
        <w:t>were</w:t>
      </w:r>
      <w:r w:rsidRPr="001B449B">
        <w:rPr>
          <w:sz w:val="22"/>
        </w:rPr>
        <w:t xml:space="preserve"> implemented.</w:t>
      </w:r>
      <w:r w:rsidR="00834F79" w:rsidRPr="001B449B">
        <w:rPr>
          <w:sz w:val="22"/>
        </w:rPr>
        <w:t xml:space="preserve"> </w:t>
      </w:r>
      <w:r w:rsidR="00217B1F" w:rsidRPr="001B449B">
        <w:rPr>
          <w:sz w:val="22"/>
        </w:rPr>
        <w:t>There was less evidence</w:t>
      </w:r>
      <w:r w:rsidR="00D94E9D" w:rsidRPr="001B449B">
        <w:rPr>
          <w:sz w:val="22"/>
        </w:rPr>
        <w:t xml:space="preserve"> in program documentation or interviews</w:t>
      </w:r>
      <w:r w:rsidR="00217B1F" w:rsidRPr="001B449B">
        <w:rPr>
          <w:sz w:val="22"/>
        </w:rPr>
        <w:t xml:space="preserve"> in this regard.</w:t>
      </w:r>
    </w:p>
    <w:p w14:paraId="61C5D84A" w14:textId="21BC56BC" w:rsidR="00780623" w:rsidRDefault="00B00BE0" w:rsidP="00A02664">
      <w:r w:rsidRPr="0031486C">
        <w:rPr>
          <w:sz w:val="22"/>
        </w:rPr>
        <w:t>Effective communication is the essential ingredient required to nurture influence.</w:t>
      </w:r>
      <w:r w:rsidR="00217B1F" w:rsidRPr="0031486C">
        <w:rPr>
          <w:sz w:val="22"/>
        </w:rPr>
        <w:t xml:space="preserve"> </w:t>
      </w:r>
      <w:r w:rsidRPr="0031486C">
        <w:rPr>
          <w:sz w:val="22"/>
        </w:rPr>
        <w:t xml:space="preserve">An example of where case studies could be used better is ‘Lighting </w:t>
      </w:r>
      <w:r w:rsidR="00317360" w:rsidRPr="0031486C">
        <w:rPr>
          <w:sz w:val="22"/>
        </w:rPr>
        <w:t>the</w:t>
      </w:r>
      <w:r w:rsidRPr="0031486C">
        <w:rPr>
          <w:sz w:val="22"/>
        </w:rPr>
        <w:t xml:space="preserve"> Way in Manipur’</w:t>
      </w:r>
      <w:r w:rsidRPr="0031486C">
        <w:rPr>
          <w:rStyle w:val="FootnoteReference"/>
          <w:sz w:val="22"/>
        </w:rPr>
        <w:footnoteReference w:id="50"/>
      </w:r>
      <w:r w:rsidR="007F65A0" w:rsidRPr="0031486C">
        <w:rPr>
          <w:sz w:val="22"/>
        </w:rPr>
        <w:t>; a</w:t>
      </w:r>
      <w:r w:rsidRPr="0031486C">
        <w:rPr>
          <w:sz w:val="22"/>
        </w:rPr>
        <w:t xml:space="preserve"> case study </w:t>
      </w:r>
      <w:r w:rsidR="007F65A0" w:rsidRPr="0031486C">
        <w:rPr>
          <w:sz w:val="22"/>
        </w:rPr>
        <w:t xml:space="preserve">about </w:t>
      </w:r>
      <w:r w:rsidRPr="0031486C">
        <w:rPr>
          <w:sz w:val="22"/>
        </w:rPr>
        <w:t xml:space="preserve">institutional strengthening and capacity building reforms for </w:t>
      </w:r>
      <w:r w:rsidR="00217B1F" w:rsidRPr="0031486C">
        <w:rPr>
          <w:sz w:val="22"/>
        </w:rPr>
        <w:t xml:space="preserve">the </w:t>
      </w:r>
      <w:r w:rsidRPr="0031486C">
        <w:rPr>
          <w:sz w:val="22"/>
        </w:rPr>
        <w:t>Manipur State</w:t>
      </w:r>
      <w:r w:rsidR="00217B1F" w:rsidRPr="0031486C">
        <w:rPr>
          <w:sz w:val="22"/>
        </w:rPr>
        <w:t xml:space="preserve"> power distribution company. The</w:t>
      </w:r>
      <w:r w:rsidR="00B91A24" w:rsidRPr="0031486C">
        <w:rPr>
          <w:sz w:val="22"/>
        </w:rPr>
        <w:t xml:space="preserve"> 2016</w:t>
      </w:r>
      <w:r w:rsidR="00217B1F" w:rsidRPr="0031486C">
        <w:rPr>
          <w:sz w:val="22"/>
        </w:rPr>
        <w:t xml:space="preserve"> case study</w:t>
      </w:r>
      <w:r w:rsidRPr="0031486C">
        <w:rPr>
          <w:sz w:val="22"/>
        </w:rPr>
        <w:t xml:space="preserve"> </w:t>
      </w:r>
      <w:r w:rsidR="00380742" w:rsidRPr="0031486C">
        <w:rPr>
          <w:sz w:val="22"/>
        </w:rPr>
        <w:t>contains</w:t>
      </w:r>
      <w:r w:rsidRPr="0031486C">
        <w:rPr>
          <w:sz w:val="22"/>
        </w:rPr>
        <w:t xml:space="preserve"> stock photographs of women using energy at work and in the home, however there is no mention of women or gender in the text itself. </w:t>
      </w:r>
      <w:r w:rsidR="00644C5F">
        <w:rPr>
          <w:sz w:val="22"/>
        </w:rPr>
        <w:t>While this case study may not have originally been intended to showcase gender, it</w:t>
      </w:r>
      <w:r w:rsidRPr="0031486C">
        <w:rPr>
          <w:sz w:val="22"/>
        </w:rPr>
        <w:t xml:space="preserve"> may be an effective example of mainstreaming gender, as women are depicted in a variety of work settings that differ from traditional roles. </w:t>
      </w:r>
      <w:r w:rsidR="00407C20" w:rsidRPr="0031486C">
        <w:rPr>
          <w:sz w:val="22"/>
        </w:rPr>
        <w:t>Furthermore</w:t>
      </w:r>
      <w:r w:rsidR="00164DF0" w:rsidRPr="0031486C">
        <w:rPr>
          <w:sz w:val="22"/>
        </w:rPr>
        <w:t xml:space="preserve">, </w:t>
      </w:r>
      <w:r w:rsidR="00407C20" w:rsidRPr="0031486C">
        <w:rPr>
          <w:sz w:val="22"/>
        </w:rPr>
        <w:t xml:space="preserve">as part of the same multi-loan investment in the North-Eastern region of India, in 2015 </w:t>
      </w:r>
      <w:r w:rsidRPr="0031486C">
        <w:rPr>
          <w:sz w:val="22"/>
        </w:rPr>
        <w:t xml:space="preserve">IFG funded </w:t>
      </w:r>
      <w:r w:rsidR="00407C20" w:rsidRPr="0031486C">
        <w:rPr>
          <w:sz w:val="22"/>
        </w:rPr>
        <w:t xml:space="preserve">an </w:t>
      </w:r>
      <w:r w:rsidRPr="0031486C">
        <w:rPr>
          <w:sz w:val="22"/>
        </w:rPr>
        <w:t>analysis of gender and access to power</w:t>
      </w:r>
      <w:r w:rsidR="00F328A8" w:rsidRPr="0031486C">
        <w:rPr>
          <w:sz w:val="22"/>
        </w:rPr>
        <w:t>,</w:t>
      </w:r>
      <w:r w:rsidRPr="0031486C">
        <w:rPr>
          <w:rStyle w:val="FootnoteReference"/>
          <w:sz w:val="22"/>
        </w:rPr>
        <w:footnoteReference w:id="51"/>
      </w:r>
      <w:r w:rsidR="006C2F68" w:rsidRPr="0031486C">
        <w:rPr>
          <w:sz w:val="22"/>
        </w:rPr>
        <w:t xml:space="preserve"> with the intention that this would</w:t>
      </w:r>
      <w:r w:rsidRPr="0031486C">
        <w:rPr>
          <w:sz w:val="22"/>
        </w:rPr>
        <w:t xml:space="preserve"> </w:t>
      </w:r>
      <w:r w:rsidR="006C2F68" w:rsidRPr="0031486C">
        <w:rPr>
          <w:sz w:val="22"/>
        </w:rPr>
        <w:t xml:space="preserve">improve how </w:t>
      </w:r>
      <w:r w:rsidRPr="0031486C">
        <w:rPr>
          <w:sz w:val="22"/>
        </w:rPr>
        <w:t xml:space="preserve">investments </w:t>
      </w:r>
      <w:r w:rsidR="006C2F68" w:rsidRPr="0031486C">
        <w:rPr>
          <w:sz w:val="22"/>
        </w:rPr>
        <w:t xml:space="preserve">are planned </w:t>
      </w:r>
      <w:r w:rsidRPr="0031486C">
        <w:rPr>
          <w:sz w:val="22"/>
        </w:rPr>
        <w:t xml:space="preserve">in </w:t>
      </w:r>
      <w:r w:rsidR="006C2F68" w:rsidRPr="0031486C">
        <w:rPr>
          <w:sz w:val="22"/>
        </w:rPr>
        <w:t>this</w:t>
      </w:r>
      <w:r w:rsidRPr="0031486C">
        <w:rPr>
          <w:sz w:val="22"/>
        </w:rPr>
        <w:t xml:space="preserve"> traditionally gender-blind sector. The absence of any </w:t>
      </w:r>
      <w:r w:rsidR="00B91A24" w:rsidRPr="0031486C">
        <w:rPr>
          <w:sz w:val="22"/>
        </w:rPr>
        <w:t xml:space="preserve">discernible </w:t>
      </w:r>
      <w:r w:rsidRPr="0031486C">
        <w:rPr>
          <w:sz w:val="22"/>
        </w:rPr>
        <w:t>connection between the Manipur power project and the IFG gender analysis is</w:t>
      </w:r>
      <w:r w:rsidR="004031E3" w:rsidRPr="004C3817">
        <w:rPr>
          <w:sz w:val="22"/>
        </w:rPr>
        <w:t xml:space="preserve"> a missed opportunity to</w:t>
      </w:r>
      <w:r w:rsidR="0031486C" w:rsidRPr="004C3817">
        <w:rPr>
          <w:sz w:val="22"/>
        </w:rPr>
        <w:t xml:space="preserve"> educate and inform in traditionally gender-blind space. </w:t>
      </w:r>
      <w:r w:rsidRPr="0031486C">
        <w:rPr>
          <w:sz w:val="22"/>
        </w:rPr>
        <w:t xml:space="preserve"> </w:t>
      </w:r>
    </w:p>
    <w:p w14:paraId="254659CD" w14:textId="327C3339" w:rsidR="006763B9" w:rsidRPr="007D5DA9" w:rsidRDefault="00A17AC7" w:rsidP="000A64A8">
      <w:pPr>
        <w:pStyle w:val="Heading2"/>
      </w:pPr>
      <w:bookmarkStart w:id="17" w:name="_Toc517615239"/>
      <w:r w:rsidRPr="007D5DA9">
        <w:t>Efficiency</w:t>
      </w:r>
      <w:bookmarkEnd w:id="17"/>
    </w:p>
    <w:p w14:paraId="16EFD867" w14:textId="77777777" w:rsidR="008464F4" w:rsidRPr="001B449B" w:rsidRDefault="00A068CF" w:rsidP="000A64A8">
      <w:pPr>
        <w:rPr>
          <w:color w:val="FF0000"/>
          <w:sz w:val="22"/>
        </w:rPr>
      </w:pPr>
      <w:r w:rsidRPr="001B449B">
        <w:rPr>
          <w:color w:val="FF0000"/>
          <w:sz w:val="22"/>
        </w:rPr>
        <w:t xml:space="preserve">Rating: </w:t>
      </w:r>
      <w:r w:rsidR="00F30ACF" w:rsidRPr="001B449B">
        <w:rPr>
          <w:color w:val="FF0000"/>
          <w:sz w:val="22"/>
        </w:rPr>
        <w:t>3</w:t>
      </w:r>
      <w:r w:rsidR="001716F3" w:rsidRPr="001B449B">
        <w:rPr>
          <w:color w:val="FF0000"/>
          <w:sz w:val="22"/>
        </w:rPr>
        <w:t xml:space="preserve"> </w:t>
      </w:r>
      <w:r w:rsidR="00765C92" w:rsidRPr="001B449B">
        <w:rPr>
          <w:color w:val="FF0000"/>
          <w:sz w:val="22"/>
        </w:rPr>
        <w:t xml:space="preserve">- </w:t>
      </w:r>
      <w:r w:rsidRPr="001B449B">
        <w:rPr>
          <w:color w:val="FF0000"/>
          <w:sz w:val="22"/>
        </w:rPr>
        <w:t xml:space="preserve">Findings are supported by </w:t>
      </w:r>
      <w:r w:rsidR="00F30ACF" w:rsidRPr="001B449B">
        <w:rPr>
          <w:color w:val="FF0000"/>
          <w:sz w:val="22"/>
        </w:rPr>
        <w:t>good</w:t>
      </w:r>
      <w:r w:rsidR="005A1894" w:rsidRPr="001B449B">
        <w:rPr>
          <w:color w:val="FF0000"/>
          <w:sz w:val="22"/>
        </w:rPr>
        <w:t xml:space="preserve"> </w:t>
      </w:r>
      <w:r w:rsidRPr="001B449B">
        <w:rPr>
          <w:color w:val="FF0000"/>
          <w:sz w:val="22"/>
        </w:rPr>
        <w:t>evidence</w:t>
      </w:r>
    </w:p>
    <w:p w14:paraId="0A4DB379" w14:textId="34BD6EAA" w:rsidR="000F1923" w:rsidRDefault="005A1894">
      <w:pPr>
        <w:rPr>
          <w:sz w:val="22"/>
        </w:rPr>
      </w:pPr>
      <w:r w:rsidRPr="001B449B">
        <w:rPr>
          <w:sz w:val="22"/>
        </w:rPr>
        <w:t xml:space="preserve">Although the evaluation </w:t>
      </w:r>
      <w:r w:rsidR="009C2692" w:rsidRPr="001B449B">
        <w:rPr>
          <w:sz w:val="22"/>
        </w:rPr>
        <w:t xml:space="preserve">found </w:t>
      </w:r>
      <w:r w:rsidR="00741C07" w:rsidRPr="001B449B">
        <w:rPr>
          <w:sz w:val="22"/>
        </w:rPr>
        <w:t xml:space="preserve">sufficient </w:t>
      </w:r>
      <w:r w:rsidR="009C2692" w:rsidRPr="001B449B">
        <w:rPr>
          <w:sz w:val="22"/>
        </w:rPr>
        <w:t xml:space="preserve">evidence to support a rating of 3, there are areas that require attention. </w:t>
      </w:r>
    </w:p>
    <w:p w14:paraId="79CF8CBB" w14:textId="2B283D0A" w:rsidR="00780623" w:rsidRPr="00732A9F" w:rsidRDefault="00780623" w:rsidP="00780623">
      <w:pPr>
        <w:rPr>
          <w:rFonts w:ascii="Calibri" w:hAnsi="Calibri"/>
          <w:sz w:val="22"/>
        </w:rPr>
      </w:pPr>
      <w:r w:rsidRPr="00732A9F">
        <w:rPr>
          <w:rFonts w:ascii="Calibri" w:hAnsi="Calibri"/>
          <w:sz w:val="22"/>
        </w:rPr>
        <w:t>The rating reflects the evidence, from interviews, follow-up correspondence and the literature review, that IFG is managed efficiently.</w:t>
      </w:r>
      <w:r w:rsidRPr="00732A9F">
        <w:rPr>
          <w:rStyle w:val="FootnoteReference"/>
          <w:rFonts w:ascii="Calibri" w:hAnsi="Calibri"/>
          <w:sz w:val="22"/>
        </w:rPr>
        <w:footnoteReference w:id="52"/>
      </w:r>
      <w:r w:rsidRPr="00732A9F">
        <w:rPr>
          <w:rFonts w:ascii="Calibri" w:hAnsi="Calibri"/>
          <w:sz w:val="22"/>
        </w:rPr>
        <w:t xml:space="preserve"> In particular, the evaluation noted how IFG has been previously assessed by DFAT in the annual aid quality checks, as DFAT staff are in the best position to see how the IFG program was administered. </w:t>
      </w:r>
      <w:r w:rsidR="00EE2D21">
        <w:rPr>
          <w:rFonts w:ascii="Calibri" w:hAnsi="Calibri"/>
          <w:color w:val="000000"/>
          <w:sz w:val="22"/>
        </w:rPr>
        <w:t>The evaluators did not access the World Bank’s online reporting system which contains d</w:t>
      </w:r>
      <w:r w:rsidR="00D2247D">
        <w:rPr>
          <w:rFonts w:ascii="Calibri" w:hAnsi="Calibri"/>
          <w:color w:val="000000"/>
          <w:sz w:val="22"/>
        </w:rPr>
        <w:t xml:space="preserve">etailed financial information. </w:t>
      </w:r>
      <w:r w:rsidR="00EE2D21" w:rsidRPr="004C3817">
        <w:rPr>
          <w:sz w:val="22"/>
        </w:rPr>
        <w:t>However, the data sets shared with the evaluators</w:t>
      </w:r>
      <w:r w:rsidR="00EE2D21" w:rsidRPr="004C3817">
        <w:rPr>
          <w:rStyle w:val="FootnoteReference"/>
          <w:sz w:val="22"/>
        </w:rPr>
        <w:footnoteReference w:id="53"/>
      </w:r>
      <w:r w:rsidR="00EE2D21" w:rsidRPr="004C3817">
        <w:rPr>
          <w:sz w:val="22"/>
        </w:rPr>
        <w:t xml:space="preserve"> by both the World bank and DFAT</w:t>
      </w:r>
      <w:r w:rsidR="00EE2D21" w:rsidRPr="00EE2D21">
        <w:rPr>
          <w:sz w:val="22"/>
        </w:rPr>
        <w:t xml:space="preserve"> </w:t>
      </w:r>
      <w:r w:rsidRPr="00491305">
        <w:rPr>
          <w:rFonts w:ascii="Calibri" w:hAnsi="Calibri"/>
          <w:color w:val="000000"/>
          <w:sz w:val="22"/>
        </w:rPr>
        <w:t>was</w:t>
      </w:r>
      <w:r w:rsidRPr="00732A9F">
        <w:rPr>
          <w:rFonts w:ascii="Calibri" w:hAnsi="Calibri"/>
          <w:color w:val="000000"/>
          <w:sz w:val="22"/>
        </w:rPr>
        <w:t xml:space="preserve"> presented on spreadsheets that lacked creation date</w:t>
      </w:r>
      <w:r w:rsidR="001553C8" w:rsidRPr="00732A9F">
        <w:rPr>
          <w:rFonts w:ascii="Calibri" w:hAnsi="Calibri"/>
          <w:color w:val="000000"/>
          <w:sz w:val="22"/>
        </w:rPr>
        <w:t xml:space="preserve">s and </w:t>
      </w:r>
      <w:r w:rsidRPr="00732A9F">
        <w:rPr>
          <w:rFonts w:ascii="Calibri" w:hAnsi="Calibri"/>
          <w:color w:val="000000"/>
          <w:sz w:val="22"/>
        </w:rPr>
        <w:t xml:space="preserve">version control, whilst discrepancies between data sets were not </w:t>
      </w:r>
      <w:r w:rsidR="001553C8" w:rsidRPr="00732A9F">
        <w:rPr>
          <w:rFonts w:ascii="Calibri" w:hAnsi="Calibri"/>
          <w:color w:val="000000"/>
          <w:sz w:val="22"/>
        </w:rPr>
        <w:t>clear</w:t>
      </w:r>
      <w:r w:rsidRPr="00732A9F">
        <w:rPr>
          <w:rFonts w:ascii="Calibri" w:hAnsi="Calibri"/>
          <w:color w:val="000000"/>
          <w:sz w:val="22"/>
        </w:rPr>
        <w:t>.</w:t>
      </w:r>
      <w:r w:rsidR="00FA0216" w:rsidRPr="00FA0216">
        <w:rPr>
          <w:sz w:val="22"/>
        </w:rPr>
        <w:t xml:space="preserve"> </w:t>
      </w:r>
      <w:r w:rsidRPr="00732A9F">
        <w:rPr>
          <w:rFonts w:ascii="Calibri" w:hAnsi="Calibri"/>
          <w:color w:val="000000"/>
          <w:sz w:val="22"/>
        </w:rPr>
        <w:t>This impeded the evaluation team’s efforts to get a clear picture of project dispositio</w:t>
      </w:r>
      <w:r w:rsidR="001553C8" w:rsidRPr="00732A9F">
        <w:rPr>
          <w:rFonts w:ascii="Calibri" w:hAnsi="Calibri"/>
          <w:color w:val="000000"/>
          <w:sz w:val="22"/>
        </w:rPr>
        <w:t>n</w:t>
      </w:r>
      <w:r w:rsidRPr="00732A9F">
        <w:rPr>
          <w:rFonts w:ascii="Calibri" w:hAnsi="Calibri"/>
          <w:color w:val="000000"/>
          <w:sz w:val="22"/>
        </w:rPr>
        <w:t xml:space="preserve">. </w:t>
      </w:r>
      <w:r w:rsidRPr="00732A9F">
        <w:rPr>
          <w:rFonts w:ascii="Calibri" w:hAnsi="Calibri"/>
          <w:sz w:val="22"/>
        </w:rPr>
        <w:t>These issues are included in this report as they lead to recommendations which will improve efficiencies in the oversight of the program in the future. However, these administrative shortcomings did not in themselves warrant a reduction in the rating.</w:t>
      </w:r>
    </w:p>
    <w:p w14:paraId="0C30E7D1" w14:textId="77777777" w:rsidR="00480A76" w:rsidRPr="007D5DA9" w:rsidRDefault="005B1CE0" w:rsidP="000A64A8">
      <w:pPr>
        <w:pStyle w:val="KeyFinding"/>
      </w:pPr>
      <w:r w:rsidRPr="007D5DA9">
        <w:lastRenderedPageBreak/>
        <w:t>The lack of a results framework until 2016 was inherently inefficient</w:t>
      </w:r>
    </w:p>
    <w:p w14:paraId="4B39EC94" w14:textId="77777777" w:rsidR="0075716D" w:rsidRPr="001B449B" w:rsidRDefault="00F32740" w:rsidP="000A64A8">
      <w:pPr>
        <w:rPr>
          <w:bCs/>
          <w:sz w:val="22"/>
        </w:rPr>
      </w:pPr>
      <w:r w:rsidRPr="001B449B">
        <w:rPr>
          <w:sz w:val="22"/>
        </w:rPr>
        <w:t xml:space="preserve">Developing a </w:t>
      </w:r>
      <w:r w:rsidR="00CC1FFB" w:rsidRPr="001B449B">
        <w:rPr>
          <w:sz w:val="22"/>
        </w:rPr>
        <w:t>results framework at the beginning of the program would have allowed programs and teams (both W</w:t>
      </w:r>
      <w:r w:rsidR="008265F4" w:rsidRPr="001B449B">
        <w:rPr>
          <w:sz w:val="22"/>
        </w:rPr>
        <w:t xml:space="preserve">orld </w:t>
      </w:r>
      <w:r w:rsidR="00CC1FFB" w:rsidRPr="001B449B">
        <w:rPr>
          <w:sz w:val="22"/>
        </w:rPr>
        <w:t>B</w:t>
      </w:r>
      <w:r w:rsidR="008265F4" w:rsidRPr="001B449B">
        <w:rPr>
          <w:sz w:val="22"/>
        </w:rPr>
        <w:t>ank</w:t>
      </w:r>
      <w:r w:rsidR="00CC1FFB" w:rsidRPr="001B449B">
        <w:rPr>
          <w:sz w:val="22"/>
        </w:rPr>
        <w:t xml:space="preserve"> and DFAT) to </w:t>
      </w:r>
      <w:r w:rsidR="00431938">
        <w:rPr>
          <w:sz w:val="22"/>
        </w:rPr>
        <w:t>better plan for</w:t>
      </w:r>
      <w:r w:rsidR="00CC1FFB" w:rsidRPr="001B449B">
        <w:rPr>
          <w:sz w:val="22"/>
        </w:rPr>
        <w:t xml:space="preserve"> shared objectives and focus</w:t>
      </w:r>
      <w:r w:rsidR="00431938">
        <w:rPr>
          <w:sz w:val="22"/>
        </w:rPr>
        <w:t>ing</w:t>
      </w:r>
      <w:r w:rsidR="00CC1FFB" w:rsidRPr="001B449B">
        <w:rPr>
          <w:sz w:val="22"/>
        </w:rPr>
        <w:t xml:space="preserve"> on the most efficient way to achieve agreed goals, including guiding allocation of resources.</w:t>
      </w:r>
      <w:r w:rsidR="0075716D" w:rsidRPr="001B449B">
        <w:rPr>
          <w:b/>
          <w:bCs/>
          <w:sz w:val="22"/>
        </w:rPr>
        <w:t xml:space="preserve"> </w:t>
      </w:r>
    </w:p>
    <w:p w14:paraId="0835D7B0" w14:textId="2AEC4D11" w:rsidR="00F45C8C" w:rsidRPr="001B449B" w:rsidRDefault="00F45C8C">
      <w:pPr>
        <w:rPr>
          <w:sz w:val="22"/>
        </w:rPr>
      </w:pPr>
      <w:r w:rsidRPr="001B449B">
        <w:rPr>
          <w:sz w:val="22"/>
        </w:rPr>
        <w:t>The issue of establishing a results framework at the outset of a program with the World Bank is well established in the</w:t>
      </w:r>
      <w:r w:rsidR="00EA5ECA">
        <w:rPr>
          <w:sz w:val="22"/>
        </w:rPr>
        <w:t xml:space="preserve"> World Bank’s Independent Evaluation Group</w:t>
      </w:r>
      <w:r w:rsidR="00917DB5">
        <w:rPr>
          <w:sz w:val="22"/>
        </w:rPr>
        <w:t xml:space="preserve"> (</w:t>
      </w:r>
      <w:r w:rsidRPr="00436B92">
        <w:rPr>
          <w:sz w:val="22"/>
        </w:rPr>
        <w:t>IEG</w:t>
      </w:r>
      <w:r w:rsidR="00917DB5">
        <w:rPr>
          <w:sz w:val="22"/>
        </w:rPr>
        <w:t>)</w:t>
      </w:r>
      <w:r w:rsidR="0094061B">
        <w:rPr>
          <w:sz w:val="22"/>
        </w:rPr>
        <w:t xml:space="preserve"> </w:t>
      </w:r>
      <w:r w:rsidRPr="001B449B">
        <w:rPr>
          <w:sz w:val="22"/>
        </w:rPr>
        <w:t>evaluation literature and was noted in the 2015 mid-term review of the PFSA (which includes IFG)</w:t>
      </w:r>
      <w:r w:rsidR="00431938">
        <w:rPr>
          <w:sz w:val="22"/>
        </w:rPr>
        <w:t>.</w:t>
      </w:r>
      <w:r w:rsidRPr="001B449B">
        <w:rPr>
          <w:rStyle w:val="FootnoteReference"/>
          <w:sz w:val="22"/>
        </w:rPr>
        <w:footnoteReference w:id="54"/>
      </w:r>
    </w:p>
    <w:p w14:paraId="14A04053" w14:textId="548C6D1A" w:rsidR="00480A76" w:rsidRPr="007D5DA9" w:rsidRDefault="005B1CE0" w:rsidP="000A64A8">
      <w:pPr>
        <w:pStyle w:val="KeyFinding"/>
      </w:pPr>
      <w:r w:rsidRPr="00AB5969">
        <w:t xml:space="preserve">The efficiency of disbursement rates is hard to judge at a project level because of the way the World Bank </w:t>
      </w:r>
      <w:r w:rsidR="00780623" w:rsidRPr="00A02664">
        <w:t>shared financial data.</w:t>
      </w:r>
    </w:p>
    <w:p w14:paraId="0FBDAA36" w14:textId="4C53D142" w:rsidR="00780623" w:rsidRPr="0094061B" w:rsidRDefault="00780623" w:rsidP="00780623">
      <w:pPr>
        <w:rPr>
          <w:rFonts w:ascii="Calibri" w:hAnsi="Calibri" w:cs="Calibri"/>
          <w:sz w:val="22"/>
        </w:rPr>
      </w:pPr>
      <w:r w:rsidRPr="0094061B">
        <w:rPr>
          <w:rFonts w:ascii="Calibri" w:hAnsi="Calibri"/>
          <w:sz w:val="22"/>
        </w:rPr>
        <w:t xml:space="preserve">There were significant differences between the February 2018 disbursement data spreadsheet shared with the evaluation team (over 90 per cent of total grant value had been disbursed), and the earlier data shared with the evaluation team (December 2017). For example, there was an increase of almost USD2.5 million in reported total disbursement in the two months between the two reports. This is a movement of 15 per cent of the total IFG budget in a very short time. When the evaluation team queried the discrepancies, the relevant World Bank staff explained in emails that </w:t>
      </w:r>
      <w:r w:rsidRPr="0094061B">
        <w:rPr>
          <w:rFonts w:ascii="Calibri" w:hAnsi="Calibri" w:cs="Calibri"/>
          <w:sz w:val="22"/>
        </w:rPr>
        <w:t>when a project closes the grant allocation recorded on the spreadsheet is automatically adjusted to the amount that was actually disbursed</w:t>
      </w:r>
      <w:r w:rsidR="0094061B">
        <w:rPr>
          <w:rFonts w:ascii="Calibri" w:hAnsi="Calibri" w:cs="Calibri"/>
          <w:sz w:val="22"/>
        </w:rPr>
        <w:t xml:space="preserve">. </w:t>
      </w:r>
    </w:p>
    <w:p w14:paraId="7A378CB7" w14:textId="2890F2C9" w:rsidR="00780623" w:rsidRPr="00780623" w:rsidRDefault="00780623" w:rsidP="00780623">
      <w:pPr>
        <w:rPr>
          <w:rFonts w:cs="Calibri"/>
          <w:sz w:val="22"/>
        </w:rPr>
      </w:pPr>
      <w:r w:rsidRPr="00780623">
        <w:rPr>
          <w:sz w:val="22"/>
        </w:rPr>
        <w:t>The World Bank explained that it</w:t>
      </w:r>
      <w:r w:rsidRPr="00A02664">
        <w:rPr>
          <w:sz w:val="22"/>
        </w:rPr>
        <w:t xml:space="preserve"> is standard practice for a grant amount to be altered to match its total disbursements at the time it is closed, as this</w:t>
      </w:r>
      <w:r w:rsidRPr="00780623">
        <w:rPr>
          <w:rFonts w:cs="Calibri"/>
          <w:sz w:val="22"/>
        </w:rPr>
        <w:t xml:space="preserve"> enables the team to keep track of how much of the total budget for the program is still available to allocate</w:t>
      </w:r>
      <w:r w:rsidRPr="00A02664">
        <w:rPr>
          <w:sz w:val="22"/>
        </w:rPr>
        <w:t>.</w:t>
      </w:r>
      <w:r w:rsidRPr="00A02664">
        <w:rPr>
          <w:rStyle w:val="FootnoteReference"/>
          <w:sz w:val="22"/>
        </w:rPr>
        <w:footnoteReference w:id="55"/>
      </w:r>
      <w:r w:rsidRPr="00780623">
        <w:rPr>
          <w:sz w:val="22"/>
        </w:rPr>
        <w:t xml:space="preserve"> For example, some projects have had their original grant allocation sum reduced to match the actual disbursement, whilst others have had their grant increased, so the net grant amount for the total of all projects stays almost the same. The explanation given by World Bank staff was that </w:t>
      </w:r>
      <w:r w:rsidRPr="00780623">
        <w:rPr>
          <w:rFonts w:cs="Calibri"/>
          <w:sz w:val="22"/>
        </w:rPr>
        <w:t>increases in grant amount are due to “top-ups”. The Task Team Leaders are conservative when budgeting the amount required at the inception of the project, but with proper justification and endorsement by the practice manager and country management unit, some grants do get top-ups to allow them complete activities.  Top</w:t>
      </w:r>
      <w:r w:rsidRPr="00780623">
        <w:rPr>
          <w:rFonts w:cs="Calibri"/>
          <w:sz w:val="22"/>
        </w:rPr>
        <w:noBreakHyphen/>
        <w:t>ups of over USD 50,000 need a no-objection approval from the Internal Review Committee, while top-ups under this amount, with proper justification, can be approved by the program manager in consultation with the director.</w:t>
      </w:r>
      <w:r w:rsidRPr="00780623">
        <w:rPr>
          <w:rStyle w:val="FootnoteReference"/>
          <w:rFonts w:ascii="Calibri" w:hAnsi="Calibri" w:cs="Calibri"/>
          <w:sz w:val="22"/>
        </w:rPr>
        <w:footnoteReference w:id="56"/>
      </w:r>
      <w:r w:rsidRPr="00780623">
        <w:rPr>
          <w:rFonts w:cs="Calibri"/>
          <w:sz w:val="22"/>
        </w:rPr>
        <w:t> </w:t>
      </w:r>
    </w:p>
    <w:p w14:paraId="401E440A" w14:textId="506C5409" w:rsidR="00780623" w:rsidRPr="00780623" w:rsidRDefault="00780623" w:rsidP="00780623">
      <w:pPr>
        <w:rPr>
          <w:sz w:val="22"/>
        </w:rPr>
      </w:pPr>
      <w:r w:rsidRPr="00213912">
        <w:rPr>
          <w:sz w:val="22"/>
        </w:rPr>
        <w:t>This evaluation assumes that the redeployment of funds between grants, increasing some project allo</w:t>
      </w:r>
      <w:r w:rsidRPr="00491305">
        <w:rPr>
          <w:sz w:val="22"/>
        </w:rPr>
        <w:t xml:space="preserve">cation while reducing others, is within the remit of the World Bank based on its agreement with DFAT. </w:t>
      </w:r>
    </w:p>
    <w:p w14:paraId="6424FB56" w14:textId="1FE2B28D" w:rsidR="00780623" w:rsidRPr="00780623" w:rsidRDefault="00780623" w:rsidP="00780623">
      <w:pPr>
        <w:rPr>
          <w:rFonts w:ascii="Calibri" w:hAnsi="Calibri" w:cs="Calibri"/>
          <w:sz w:val="22"/>
        </w:rPr>
      </w:pPr>
      <w:r w:rsidRPr="00780623">
        <w:rPr>
          <w:sz w:val="22"/>
        </w:rPr>
        <w:t xml:space="preserve">In the opinion of the evaluator, shortfalls in disbursement rates and </w:t>
      </w:r>
      <w:r w:rsidRPr="00780623">
        <w:rPr>
          <w:i/>
          <w:sz w:val="22"/>
        </w:rPr>
        <w:t>ad hoc</w:t>
      </w:r>
      <w:r w:rsidRPr="00780623">
        <w:rPr>
          <w:sz w:val="22"/>
        </w:rPr>
        <w:t xml:space="preserve"> reallocations between projects are not a problem if these instances are highlighted in reports and the reasons for the deviation explained, with lessons learned to improve project cost estimation and future grant value forecasting. Indeed, if a project could achieve its goals for less than the budgeted amount, this itself is a sign of efficiency.</w:t>
      </w:r>
      <w:r w:rsidRPr="00780623">
        <w:rPr>
          <w:rFonts w:ascii="Calibri" w:hAnsi="Calibri"/>
          <w:color w:val="000000"/>
          <w:sz w:val="22"/>
        </w:rPr>
        <w:t xml:space="preserve"> </w:t>
      </w:r>
      <w:r w:rsidRPr="00780623">
        <w:rPr>
          <w:rFonts w:ascii="Calibri" w:hAnsi="Calibri" w:cs="Calibri"/>
          <w:sz w:val="22"/>
        </w:rPr>
        <w:t xml:space="preserve">Whilst project teams can explain any shortfalls, reasons for extension and need for top-up in the WB’s annual Grant Reporting and Monitoring (GRM) reports or when submitting such a request to the Secretariat, there is no clear audit trail in the </w:t>
      </w:r>
      <w:r w:rsidR="00F60DC7">
        <w:rPr>
          <w:rFonts w:ascii="Calibri" w:hAnsi="Calibri" w:cs="Calibri"/>
          <w:sz w:val="22"/>
        </w:rPr>
        <w:t xml:space="preserve">shared </w:t>
      </w:r>
      <w:r w:rsidRPr="00780623">
        <w:rPr>
          <w:rFonts w:ascii="Calibri" w:hAnsi="Calibri" w:cs="Calibri"/>
          <w:sz w:val="22"/>
        </w:rPr>
        <w:t xml:space="preserve">data. </w:t>
      </w:r>
    </w:p>
    <w:p w14:paraId="7D955C55" w14:textId="77777777" w:rsidR="00780623" w:rsidRPr="00780623" w:rsidRDefault="00780623" w:rsidP="00780623">
      <w:pPr>
        <w:pStyle w:val="recommendation"/>
        <w:rPr>
          <w:sz w:val="22"/>
        </w:rPr>
      </w:pPr>
      <w:r w:rsidRPr="00780623">
        <w:rPr>
          <w:sz w:val="22"/>
        </w:rPr>
        <w:t>Recommendation</w:t>
      </w:r>
    </w:p>
    <w:p w14:paraId="660435F8" w14:textId="024F1FDC" w:rsidR="00780623" w:rsidRPr="00A02664" w:rsidRDefault="00954645" w:rsidP="004C3817">
      <w:pPr>
        <w:pStyle w:val="recommendation"/>
        <w:ind w:left="360"/>
        <w:rPr>
          <w:sz w:val="22"/>
        </w:rPr>
      </w:pPr>
      <w:bookmarkStart w:id="18" w:name="_Hlk516687975"/>
      <w:r>
        <w:rPr>
          <w:sz w:val="22"/>
        </w:rPr>
        <w:t xml:space="preserve">1. </w:t>
      </w:r>
      <w:r w:rsidR="00780623" w:rsidRPr="00780623">
        <w:rPr>
          <w:sz w:val="22"/>
        </w:rPr>
        <w:t xml:space="preserve">Agree on a common reporting standard </w:t>
      </w:r>
      <w:r w:rsidR="00780623" w:rsidRPr="00780623">
        <w:rPr>
          <w:b w:val="0"/>
          <w:sz w:val="22"/>
        </w:rPr>
        <w:t>for reporting grant data, allowing opportunities for discussing significant budget reallocations with DFAT</w:t>
      </w:r>
      <w:r w:rsidR="00780623" w:rsidRPr="00780623">
        <w:rPr>
          <w:sz w:val="22"/>
        </w:rPr>
        <w:t>.</w:t>
      </w:r>
      <w:bookmarkEnd w:id="18"/>
    </w:p>
    <w:p w14:paraId="7B062B84" w14:textId="77777777" w:rsidR="00780623" w:rsidRDefault="00780623" w:rsidP="000A64A8">
      <w:pPr>
        <w:rPr>
          <w:sz w:val="22"/>
        </w:rPr>
      </w:pPr>
    </w:p>
    <w:p w14:paraId="27F83BE1" w14:textId="77777777" w:rsidR="00ED0CBF" w:rsidRPr="007D5DA9" w:rsidRDefault="00ED0CBF" w:rsidP="00EE5425">
      <w:pPr>
        <w:pStyle w:val="Heading2"/>
      </w:pPr>
      <w:bookmarkStart w:id="19" w:name="_Toc517615240"/>
      <w:r w:rsidRPr="007D5DA9">
        <w:lastRenderedPageBreak/>
        <w:t>Relevance</w:t>
      </w:r>
      <w:bookmarkEnd w:id="19"/>
    </w:p>
    <w:p w14:paraId="791DFABB" w14:textId="77777777" w:rsidR="00AF78D8" w:rsidRPr="001B449B" w:rsidRDefault="00DE6BE1" w:rsidP="00EE5425">
      <w:pPr>
        <w:rPr>
          <w:sz w:val="22"/>
        </w:rPr>
      </w:pPr>
      <w:r w:rsidRPr="001B449B">
        <w:rPr>
          <w:color w:val="C00000"/>
          <w:sz w:val="22"/>
        </w:rPr>
        <w:t>Rating</w:t>
      </w:r>
      <w:r w:rsidRPr="001B449B">
        <w:rPr>
          <w:color w:val="FF0000"/>
          <w:sz w:val="22"/>
        </w:rPr>
        <w:t>: 4</w:t>
      </w:r>
      <w:r w:rsidR="00765C92" w:rsidRPr="001B449B">
        <w:rPr>
          <w:color w:val="FF0000"/>
          <w:sz w:val="22"/>
        </w:rPr>
        <w:t xml:space="preserve"> -</w:t>
      </w:r>
      <w:r w:rsidRPr="001B449B">
        <w:rPr>
          <w:color w:val="FF0000"/>
          <w:sz w:val="22"/>
        </w:rPr>
        <w:t xml:space="preserve"> Findings are supported by strong evidence</w:t>
      </w:r>
    </w:p>
    <w:p w14:paraId="0E28C987" w14:textId="1036F240" w:rsidR="00AF78D8" w:rsidRPr="001B449B" w:rsidRDefault="00AF78D8">
      <w:pPr>
        <w:rPr>
          <w:sz w:val="22"/>
        </w:rPr>
      </w:pPr>
      <w:r w:rsidRPr="001B449B">
        <w:rPr>
          <w:sz w:val="22"/>
        </w:rPr>
        <w:t xml:space="preserve">The evaluation found strong evidence from multiple </w:t>
      </w:r>
      <w:r w:rsidR="008C4B08" w:rsidRPr="001B449B">
        <w:rPr>
          <w:sz w:val="22"/>
        </w:rPr>
        <w:t xml:space="preserve">sources </w:t>
      </w:r>
      <w:r w:rsidR="00917DB5">
        <w:rPr>
          <w:rStyle w:val="FootnoteReference"/>
          <w:sz w:val="22"/>
        </w:rPr>
        <w:footnoteReference w:id="57"/>
      </w:r>
      <w:r w:rsidR="008C4B08" w:rsidRPr="001B449B">
        <w:rPr>
          <w:sz w:val="22"/>
        </w:rPr>
        <w:t xml:space="preserve">to support the </w:t>
      </w:r>
      <w:r w:rsidR="00EE5425" w:rsidRPr="001B449B">
        <w:rPr>
          <w:sz w:val="22"/>
        </w:rPr>
        <w:t>finding th</w:t>
      </w:r>
      <w:r w:rsidR="002A1403" w:rsidRPr="001B449B">
        <w:rPr>
          <w:sz w:val="22"/>
        </w:rPr>
        <w:t>a</w:t>
      </w:r>
      <w:r w:rsidR="00EE5425" w:rsidRPr="001B449B">
        <w:rPr>
          <w:sz w:val="22"/>
        </w:rPr>
        <w:t xml:space="preserve">t IFG remains </w:t>
      </w:r>
      <w:r w:rsidR="008C4B08" w:rsidRPr="001B449B">
        <w:rPr>
          <w:sz w:val="22"/>
        </w:rPr>
        <w:t>relevan</w:t>
      </w:r>
      <w:r w:rsidR="00EE5425" w:rsidRPr="001B449B">
        <w:rPr>
          <w:sz w:val="22"/>
        </w:rPr>
        <w:t>t</w:t>
      </w:r>
      <w:r w:rsidR="008C4B08" w:rsidRPr="001B449B">
        <w:rPr>
          <w:sz w:val="22"/>
        </w:rPr>
        <w:t xml:space="preserve">. The program </w:t>
      </w:r>
      <w:r w:rsidR="00D44B55" w:rsidRPr="001B449B">
        <w:rPr>
          <w:sz w:val="22"/>
        </w:rPr>
        <w:t>ha</w:t>
      </w:r>
      <w:r w:rsidR="008C4B08" w:rsidRPr="001B449B">
        <w:rPr>
          <w:sz w:val="22"/>
        </w:rPr>
        <w:t xml:space="preserve">s </w:t>
      </w:r>
      <w:r w:rsidR="00D44B55" w:rsidRPr="001B449B">
        <w:rPr>
          <w:sz w:val="22"/>
        </w:rPr>
        <w:t xml:space="preserve">been </w:t>
      </w:r>
      <w:r w:rsidR="008C4B08" w:rsidRPr="001B449B">
        <w:rPr>
          <w:sz w:val="22"/>
        </w:rPr>
        <w:t xml:space="preserve">aligned with DFAT objectives and priorities </w:t>
      </w:r>
      <w:r w:rsidR="00231FD6" w:rsidRPr="001B449B">
        <w:rPr>
          <w:sz w:val="22"/>
        </w:rPr>
        <w:t>for the</w:t>
      </w:r>
      <w:r w:rsidR="008C4B08" w:rsidRPr="001B449B">
        <w:rPr>
          <w:sz w:val="22"/>
        </w:rPr>
        <w:t xml:space="preserve"> South Asia</w:t>
      </w:r>
      <w:r w:rsidR="00231FD6" w:rsidRPr="001B449B">
        <w:rPr>
          <w:sz w:val="22"/>
        </w:rPr>
        <w:t xml:space="preserve"> region</w:t>
      </w:r>
      <w:r w:rsidR="008C4B08" w:rsidRPr="001B449B">
        <w:rPr>
          <w:sz w:val="22"/>
        </w:rPr>
        <w:t>.</w:t>
      </w:r>
      <w:r w:rsidR="00231FD6" w:rsidRPr="001B449B">
        <w:rPr>
          <w:rStyle w:val="FootnoteReference"/>
          <w:bCs/>
          <w:sz w:val="22"/>
        </w:rPr>
        <w:footnoteReference w:id="58"/>
      </w:r>
    </w:p>
    <w:p w14:paraId="4DC8019B" w14:textId="77777777" w:rsidR="00DE6BE1" w:rsidRPr="007D5DA9" w:rsidRDefault="00FC0D71" w:rsidP="00EE5425">
      <w:pPr>
        <w:pStyle w:val="KeyFinding"/>
      </w:pPr>
      <w:r w:rsidRPr="007D5DA9">
        <w:t>IFG is strongly related to Australian government objectives and other Australian government policies within the region</w:t>
      </w:r>
    </w:p>
    <w:p w14:paraId="0CF26EAE" w14:textId="3FCCB647" w:rsidR="001510F5" w:rsidRPr="001B449B" w:rsidRDefault="00B73D0D">
      <w:pPr>
        <w:rPr>
          <w:sz w:val="22"/>
        </w:rPr>
      </w:pPr>
      <w:r w:rsidRPr="001B449B">
        <w:rPr>
          <w:sz w:val="22"/>
        </w:rPr>
        <w:t>An examination of the objectives and activities of a selection of IFG projects, combined with interviews with both World Bank and DFAT staff, shows consensus that</w:t>
      </w:r>
      <w:r w:rsidR="00A062E7" w:rsidRPr="001B449B">
        <w:rPr>
          <w:sz w:val="22"/>
        </w:rPr>
        <w:t xml:space="preserve"> IFG </w:t>
      </w:r>
      <w:r w:rsidR="00796381" w:rsidRPr="001B449B">
        <w:rPr>
          <w:sz w:val="22"/>
        </w:rPr>
        <w:t>has remained</w:t>
      </w:r>
      <w:r w:rsidRPr="001B449B">
        <w:rPr>
          <w:sz w:val="22"/>
        </w:rPr>
        <w:t xml:space="preserve"> </w:t>
      </w:r>
      <w:r w:rsidR="00A062E7" w:rsidRPr="001B449B">
        <w:rPr>
          <w:sz w:val="22"/>
        </w:rPr>
        <w:t xml:space="preserve">relevant to Australia’s </w:t>
      </w:r>
      <w:r w:rsidR="00796381" w:rsidRPr="001B449B">
        <w:rPr>
          <w:sz w:val="22"/>
        </w:rPr>
        <w:t xml:space="preserve">changing </w:t>
      </w:r>
      <w:r w:rsidR="00A062E7" w:rsidRPr="001B449B">
        <w:rPr>
          <w:sz w:val="22"/>
        </w:rPr>
        <w:t>aid priorities</w:t>
      </w:r>
      <w:r w:rsidR="00E21B04" w:rsidRPr="001B449B">
        <w:rPr>
          <w:sz w:val="22"/>
        </w:rPr>
        <w:t>.</w:t>
      </w:r>
      <w:r w:rsidR="00A062E7" w:rsidRPr="001B449B">
        <w:rPr>
          <w:sz w:val="22"/>
        </w:rPr>
        <w:t xml:space="preserve"> </w:t>
      </w:r>
      <w:r w:rsidR="00E21B04" w:rsidRPr="001B449B">
        <w:rPr>
          <w:sz w:val="22"/>
        </w:rPr>
        <w:t>It encompasses</w:t>
      </w:r>
      <w:r w:rsidR="00A062E7" w:rsidRPr="001B449B">
        <w:rPr>
          <w:sz w:val="22"/>
        </w:rPr>
        <w:t xml:space="preserve"> DFAT’s investment priorities in gender equality and empowering women and girls; infrastructure, trade facilitation and international competitiveness</w:t>
      </w:r>
      <w:r w:rsidR="00231FD6" w:rsidRPr="001B449B">
        <w:rPr>
          <w:sz w:val="22"/>
        </w:rPr>
        <w:t>.</w:t>
      </w:r>
      <w:r w:rsidR="00A062E7" w:rsidRPr="001B449B">
        <w:rPr>
          <w:sz w:val="22"/>
        </w:rPr>
        <w:t xml:space="preserve"> </w:t>
      </w:r>
      <w:r w:rsidRPr="001B449B">
        <w:rPr>
          <w:sz w:val="22"/>
        </w:rPr>
        <w:t>IFG</w:t>
      </w:r>
      <w:r w:rsidR="00796381" w:rsidRPr="001B449B">
        <w:rPr>
          <w:sz w:val="22"/>
        </w:rPr>
        <w:t xml:space="preserve">’s goals and cross-cutting themes coincide with </w:t>
      </w:r>
      <w:r w:rsidRPr="001B449B">
        <w:rPr>
          <w:sz w:val="22"/>
        </w:rPr>
        <w:t>Australia’s aid policy and economic diplomacy agenda, as described in the recent Foreign Policy White Paper</w:t>
      </w:r>
      <w:r w:rsidR="007C6390" w:rsidRPr="001B449B">
        <w:rPr>
          <w:sz w:val="22"/>
        </w:rPr>
        <w:t>.</w:t>
      </w:r>
      <w:r w:rsidRPr="001B449B">
        <w:rPr>
          <w:rStyle w:val="FootnoteReference"/>
          <w:sz w:val="22"/>
        </w:rPr>
        <w:footnoteReference w:id="59"/>
      </w:r>
      <w:r w:rsidR="00876F4B" w:rsidRPr="001B449B">
        <w:rPr>
          <w:sz w:val="22"/>
        </w:rPr>
        <w:t xml:space="preserve"> For instance, the activities in transport connectivity and cross-border trade support the foreign policy objective to ‘help build the infrastructure and capacity that developing countries need to benefit from trade’; </w:t>
      </w:r>
      <w:r w:rsidR="00876F4B" w:rsidRPr="00A4090F">
        <w:rPr>
          <w:sz w:val="22"/>
        </w:rPr>
        <w:t>Almost half of the projects are situated in India, described by the White Paper as sitting ‘the front rank of Australia’s international partnerships’</w:t>
      </w:r>
      <w:r w:rsidR="0043289D" w:rsidRPr="00A4090F">
        <w:rPr>
          <w:sz w:val="22"/>
        </w:rPr>
        <w:t>,</w:t>
      </w:r>
      <w:r w:rsidR="00876F4B" w:rsidRPr="00A4090F">
        <w:rPr>
          <w:rStyle w:val="FootnoteReference"/>
          <w:sz w:val="22"/>
        </w:rPr>
        <w:footnoteReference w:id="60"/>
      </w:r>
      <w:r w:rsidR="00984A46">
        <w:rPr>
          <w:sz w:val="22"/>
        </w:rPr>
        <w:t xml:space="preserve"> and therefore IFG will continue to be relevant to </w:t>
      </w:r>
      <w:r w:rsidR="0043289D" w:rsidRPr="00A4090F">
        <w:rPr>
          <w:sz w:val="22"/>
        </w:rPr>
        <w:t>Australia’s partnership with India and the region.</w:t>
      </w:r>
    </w:p>
    <w:p w14:paraId="4B8CB4BE" w14:textId="12684566" w:rsidR="00876F4B" w:rsidRPr="001B449B" w:rsidRDefault="00876F4B">
      <w:pPr>
        <w:rPr>
          <w:sz w:val="22"/>
        </w:rPr>
      </w:pPr>
      <w:r w:rsidRPr="001B449B">
        <w:rPr>
          <w:sz w:val="22"/>
        </w:rPr>
        <w:t xml:space="preserve">The data available to this evaluation shows that IFG funded 53 activities since 2012, all of which were relevant to Australia’s aid and foreign policy priorities to a greater or lesser extent. </w:t>
      </w:r>
      <w:r w:rsidRPr="001B449B">
        <w:rPr>
          <w:bCs/>
          <w:sz w:val="22"/>
        </w:rPr>
        <w:t>Australian Government</w:t>
      </w:r>
      <w:r w:rsidR="007C6390" w:rsidRPr="001B449B">
        <w:rPr>
          <w:bCs/>
          <w:sz w:val="22"/>
        </w:rPr>
        <w:t xml:space="preserve"> priorities have changed over the course of IFG’s existence</w:t>
      </w:r>
      <w:r w:rsidR="00037178">
        <w:rPr>
          <w:bCs/>
          <w:sz w:val="22"/>
        </w:rPr>
        <w:t>, and</w:t>
      </w:r>
      <w:r w:rsidR="007C6390" w:rsidRPr="001B449B">
        <w:rPr>
          <w:bCs/>
          <w:sz w:val="22"/>
        </w:rPr>
        <w:t xml:space="preserve"> </w:t>
      </w:r>
      <w:r w:rsidR="00037178">
        <w:rPr>
          <w:bCs/>
          <w:sz w:val="22"/>
        </w:rPr>
        <w:t>t</w:t>
      </w:r>
      <w:r w:rsidR="0005125B" w:rsidRPr="001B449B">
        <w:rPr>
          <w:bCs/>
          <w:sz w:val="22"/>
        </w:rPr>
        <w:t>he</w:t>
      </w:r>
      <w:r w:rsidRPr="001B449B">
        <w:rPr>
          <w:sz w:val="22"/>
        </w:rPr>
        <w:t xml:space="preserve"> inherent flexibility of the IFG program </w:t>
      </w:r>
      <w:r w:rsidR="0005125B" w:rsidRPr="001B449B">
        <w:rPr>
          <w:sz w:val="22"/>
        </w:rPr>
        <w:t>ha</w:t>
      </w:r>
      <w:r w:rsidR="00037178">
        <w:rPr>
          <w:sz w:val="22"/>
        </w:rPr>
        <w:t>s</w:t>
      </w:r>
      <w:r w:rsidR="0005125B" w:rsidRPr="001B449B">
        <w:rPr>
          <w:sz w:val="22"/>
        </w:rPr>
        <w:t xml:space="preserve"> </w:t>
      </w:r>
      <w:r w:rsidRPr="001B449B">
        <w:rPr>
          <w:sz w:val="22"/>
        </w:rPr>
        <w:t xml:space="preserve">enabled the Secretariat to adjust project priorities in response to </w:t>
      </w:r>
      <w:r w:rsidR="00037178">
        <w:rPr>
          <w:sz w:val="22"/>
        </w:rPr>
        <w:t>changes in policies and priorities in</w:t>
      </w:r>
      <w:r w:rsidRPr="001B449B">
        <w:rPr>
          <w:sz w:val="22"/>
        </w:rPr>
        <w:t xml:space="preserve"> DFAT</w:t>
      </w:r>
      <w:r w:rsidR="00037178">
        <w:rPr>
          <w:sz w:val="22"/>
        </w:rPr>
        <w:t>, particularly after changes in the Australian Government after elections</w:t>
      </w:r>
      <w:r w:rsidRPr="001B449B">
        <w:rPr>
          <w:sz w:val="22"/>
        </w:rPr>
        <w:t>.</w:t>
      </w:r>
      <w:r w:rsidR="00E21B04" w:rsidRPr="001B449B">
        <w:rPr>
          <w:sz w:val="22"/>
        </w:rPr>
        <w:t xml:space="preserve"> </w:t>
      </w:r>
    </w:p>
    <w:p w14:paraId="6FFECB51" w14:textId="77777777" w:rsidR="00A062E7" w:rsidRPr="007D5DA9" w:rsidRDefault="00FC0D71" w:rsidP="00EE5425">
      <w:pPr>
        <w:pStyle w:val="KeyFinding"/>
      </w:pPr>
      <w:r w:rsidRPr="007D5DA9">
        <w:t xml:space="preserve">The Government of India’s Act East policy demonstrates that regional connectivity remains a priority for South Asia.   </w:t>
      </w:r>
    </w:p>
    <w:p w14:paraId="1CCACAA7" w14:textId="7C393D1D" w:rsidR="00E5271E" w:rsidRPr="001B449B" w:rsidRDefault="00A062E7">
      <w:pPr>
        <w:rPr>
          <w:sz w:val="22"/>
        </w:rPr>
      </w:pPr>
      <w:r w:rsidRPr="001B449B">
        <w:rPr>
          <w:sz w:val="22"/>
        </w:rPr>
        <w:t>External stakeholders from the region confirmed that in political terms, it is a good time for programs with a regional focus.</w:t>
      </w:r>
      <w:r w:rsidR="00A859CA" w:rsidRPr="001B449B">
        <w:rPr>
          <w:rStyle w:val="FootnoteReference"/>
          <w:sz w:val="22"/>
        </w:rPr>
        <w:footnoteReference w:id="61"/>
      </w:r>
      <w:r w:rsidRPr="001B449B">
        <w:rPr>
          <w:sz w:val="22"/>
        </w:rPr>
        <w:t xml:space="preserve"> The</w:t>
      </w:r>
      <w:r w:rsidR="00E5271E" w:rsidRPr="001B449B">
        <w:rPr>
          <w:sz w:val="22"/>
        </w:rPr>
        <w:t xml:space="preserve">y noted recent changes in tone </w:t>
      </w:r>
      <w:r w:rsidRPr="001B449B">
        <w:rPr>
          <w:sz w:val="22"/>
        </w:rPr>
        <w:t>in South Asian politics and relationships, which makes IFG even more relevant to respond to these emerging opportunities.</w:t>
      </w:r>
      <w:r w:rsidR="002562C3" w:rsidRPr="001B449B">
        <w:rPr>
          <w:rStyle w:val="FootnoteReference"/>
          <w:sz w:val="22"/>
        </w:rPr>
        <w:footnoteReference w:id="62"/>
      </w:r>
      <w:r w:rsidRPr="001B449B">
        <w:rPr>
          <w:sz w:val="22"/>
        </w:rPr>
        <w:t xml:space="preserve"> </w:t>
      </w:r>
    </w:p>
    <w:p w14:paraId="2ACD359F" w14:textId="4D67F93E" w:rsidR="00CE2551" w:rsidRPr="001B449B" w:rsidRDefault="00A062E7">
      <w:pPr>
        <w:rPr>
          <w:sz w:val="22"/>
        </w:rPr>
      </w:pPr>
      <w:r w:rsidRPr="001B449B">
        <w:rPr>
          <w:sz w:val="22"/>
        </w:rPr>
        <w:t xml:space="preserve">The Government of India’s Act East policy </w:t>
      </w:r>
      <w:r w:rsidR="00A26E85">
        <w:rPr>
          <w:sz w:val="22"/>
        </w:rPr>
        <w:t>suggests</w:t>
      </w:r>
      <w:r w:rsidR="00A26E85" w:rsidRPr="001B449B">
        <w:rPr>
          <w:sz w:val="22"/>
        </w:rPr>
        <w:t xml:space="preserve"> </w:t>
      </w:r>
      <w:r w:rsidRPr="001B449B">
        <w:rPr>
          <w:sz w:val="22"/>
        </w:rPr>
        <w:t xml:space="preserve">that </w:t>
      </w:r>
      <w:r w:rsidR="00E5271E" w:rsidRPr="001B449B">
        <w:rPr>
          <w:sz w:val="22"/>
        </w:rPr>
        <w:t xml:space="preserve">addressing </w:t>
      </w:r>
      <w:r w:rsidRPr="001B449B">
        <w:rPr>
          <w:sz w:val="22"/>
        </w:rPr>
        <w:t xml:space="preserve">regional connectivity </w:t>
      </w:r>
      <w:r w:rsidR="00E5271E" w:rsidRPr="001B449B">
        <w:rPr>
          <w:sz w:val="22"/>
        </w:rPr>
        <w:t xml:space="preserve">constraints is becoming more of a priority </w:t>
      </w:r>
      <w:r w:rsidRPr="001B449B">
        <w:rPr>
          <w:sz w:val="22"/>
        </w:rPr>
        <w:t>for South Asia</w:t>
      </w:r>
      <w:r w:rsidR="00E5271E" w:rsidRPr="001B449B">
        <w:rPr>
          <w:sz w:val="22"/>
        </w:rPr>
        <w:t>, with potential for increasing energy exports and reducing non-</w:t>
      </w:r>
      <w:r w:rsidR="002153FB" w:rsidRPr="001B449B">
        <w:rPr>
          <w:sz w:val="22"/>
        </w:rPr>
        <w:t>tariff</w:t>
      </w:r>
      <w:r w:rsidR="00E5271E" w:rsidRPr="001B449B">
        <w:rPr>
          <w:sz w:val="22"/>
        </w:rPr>
        <w:t xml:space="preserve"> barriers</w:t>
      </w:r>
      <w:r w:rsidRPr="001B449B">
        <w:rPr>
          <w:sz w:val="22"/>
        </w:rPr>
        <w:t>.</w:t>
      </w:r>
      <w:r w:rsidR="00E5271E" w:rsidRPr="001B449B">
        <w:rPr>
          <w:rStyle w:val="FootnoteReference"/>
          <w:sz w:val="22"/>
        </w:rPr>
        <w:footnoteReference w:id="63"/>
      </w:r>
      <w:r w:rsidRPr="001B449B">
        <w:rPr>
          <w:sz w:val="22"/>
        </w:rPr>
        <w:t xml:space="preserve"> </w:t>
      </w:r>
      <w:r w:rsidR="002153FB" w:rsidRPr="001B449B">
        <w:rPr>
          <w:sz w:val="22"/>
        </w:rPr>
        <w:t>IFG’s work is clearly relevant to this emerging theme, with over half of investments made into the transport and energy sectors.</w:t>
      </w:r>
      <w:r w:rsidR="002153FB" w:rsidRPr="001B449B">
        <w:rPr>
          <w:rStyle w:val="FootnoteReference"/>
          <w:sz w:val="22"/>
        </w:rPr>
        <w:footnoteReference w:id="64"/>
      </w:r>
    </w:p>
    <w:p w14:paraId="1D8EDD25" w14:textId="77777777" w:rsidR="001510F5" w:rsidRPr="007D5DA9" w:rsidRDefault="00FC0D71" w:rsidP="00EE5425">
      <w:pPr>
        <w:pStyle w:val="KeyFinding"/>
      </w:pPr>
      <w:r w:rsidRPr="007D5DA9">
        <w:t>IFG is strongly rel</w:t>
      </w:r>
      <w:r w:rsidR="00037178">
        <w:t>evant</w:t>
      </w:r>
      <w:r w:rsidRPr="007D5DA9">
        <w:t xml:space="preserve"> to existing World Bank South Asia priorities</w:t>
      </w:r>
    </w:p>
    <w:p w14:paraId="0CC699C1" w14:textId="6A2A5782" w:rsidR="00A062E7" w:rsidRPr="001B449B" w:rsidRDefault="002153FB" w:rsidP="00EE5425">
      <w:pPr>
        <w:rPr>
          <w:sz w:val="22"/>
        </w:rPr>
      </w:pPr>
      <w:r w:rsidRPr="001B449B">
        <w:rPr>
          <w:sz w:val="22"/>
        </w:rPr>
        <w:t>The review of World Bank documents</w:t>
      </w:r>
      <w:r w:rsidR="00333DC4">
        <w:rPr>
          <w:sz w:val="22"/>
        </w:rPr>
        <w:t xml:space="preserve"> provided for this evaluation</w:t>
      </w:r>
      <w:r w:rsidR="00333DC4">
        <w:rPr>
          <w:rStyle w:val="FootnoteReference"/>
          <w:sz w:val="22"/>
        </w:rPr>
        <w:footnoteReference w:id="65"/>
      </w:r>
      <w:r w:rsidRPr="001B449B">
        <w:rPr>
          <w:sz w:val="22"/>
        </w:rPr>
        <w:t xml:space="preserve"> shows that </w:t>
      </w:r>
      <w:r w:rsidR="00A062E7" w:rsidRPr="001B449B">
        <w:rPr>
          <w:sz w:val="22"/>
        </w:rPr>
        <w:t>IFG is consistent with</w:t>
      </w:r>
      <w:r w:rsidRPr="001B449B">
        <w:rPr>
          <w:sz w:val="22"/>
        </w:rPr>
        <w:t>,</w:t>
      </w:r>
      <w:r w:rsidR="00A062E7" w:rsidRPr="001B449B">
        <w:rPr>
          <w:sz w:val="22"/>
        </w:rPr>
        <w:t xml:space="preserve"> and responsive to</w:t>
      </w:r>
      <w:r w:rsidRPr="001B449B">
        <w:rPr>
          <w:sz w:val="22"/>
        </w:rPr>
        <w:t>,</w:t>
      </w:r>
      <w:r w:rsidR="00A062E7" w:rsidRPr="001B449B">
        <w:rPr>
          <w:sz w:val="22"/>
        </w:rPr>
        <w:t xml:space="preserve"> partner country policy priorities and initiatives as reflected in the Bank’s Country Strategies and implementation portfolio</w:t>
      </w:r>
      <w:r w:rsidRPr="001B449B">
        <w:rPr>
          <w:sz w:val="22"/>
        </w:rPr>
        <w:t>.</w:t>
      </w:r>
      <w:r w:rsidR="00A062E7" w:rsidRPr="001B449B">
        <w:rPr>
          <w:sz w:val="22"/>
        </w:rPr>
        <w:t xml:space="preserve"> </w:t>
      </w:r>
      <w:r w:rsidRPr="001B449B">
        <w:rPr>
          <w:sz w:val="22"/>
        </w:rPr>
        <w:t>F</w:t>
      </w:r>
      <w:r w:rsidR="00A062E7" w:rsidRPr="001B449B">
        <w:rPr>
          <w:sz w:val="22"/>
        </w:rPr>
        <w:t>or example</w:t>
      </w:r>
      <w:r w:rsidRPr="001B449B">
        <w:rPr>
          <w:sz w:val="22"/>
        </w:rPr>
        <w:t>,</w:t>
      </w:r>
      <w:r w:rsidR="00A062E7" w:rsidRPr="001B449B">
        <w:rPr>
          <w:sz w:val="22"/>
        </w:rPr>
        <w:t xml:space="preserve"> </w:t>
      </w:r>
      <w:r w:rsidR="00A062E7" w:rsidRPr="001B449B">
        <w:rPr>
          <w:sz w:val="22"/>
          <w:lang w:val="en-AU"/>
        </w:rPr>
        <w:t>the</w:t>
      </w:r>
      <w:r w:rsidRPr="001B449B">
        <w:rPr>
          <w:sz w:val="22"/>
          <w:lang w:val="en-AU"/>
        </w:rPr>
        <w:t xml:space="preserve"> Bank’s</w:t>
      </w:r>
      <w:r w:rsidR="00A062E7" w:rsidRPr="001B449B">
        <w:rPr>
          <w:sz w:val="22"/>
          <w:lang w:val="en-AU"/>
        </w:rPr>
        <w:t xml:space="preserve"> strategy </w:t>
      </w:r>
      <w:r w:rsidR="00A062E7" w:rsidRPr="001B449B">
        <w:rPr>
          <w:sz w:val="22"/>
        </w:rPr>
        <w:t xml:space="preserve">for India supports </w:t>
      </w:r>
      <w:r w:rsidR="00A062E7" w:rsidRPr="001B449B">
        <w:rPr>
          <w:sz w:val="22"/>
        </w:rPr>
        <w:lastRenderedPageBreak/>
        <w:t>poverty reduction, inclusion and shared prosperity</w:t>
      </w:r>
      <w:r w:rsidRPr="001B449B">
        <w:rPr>
          <w:sz w:val="22"/>
        </w:rPr>
        <w:t>, all of which are covered to varying degrees by IFG projects</w:t>
      </w:r>
      <w:r w:rsidR="00A062E7" w:rsidRPr="001B449B">
        <w:rPr>
          <w:sz w:val="22"/>
        </w:rPr>
        <w:t>.</w:t>
      </w:r>
      <w:r w:rsidR="00A062E7" w:rsidRPr="001B449B">
        <w:rPr>
          <w:sz w:val="22"/>
          <w:vertAlign w:val="superscript"/>
        </w:rPr>
        <w:footnoteReference w:id="66"/>
      </w:r>
      <w:r w:rsidR="00A062E7" w:rsidRPr="001B449B">
        <w:rPr>
          <w:sz w:val="22"/>
        </w:rPr>
        <w:t xml:space="preserve">  </w:t>
      </w:r>
    </w:p>
    <w:p w14:paraId="3A053544" w14:textId="77777777" w:rsidR="00A062E7" w:rsidRPr="001B449B" w:rsidRDefault="00A062E7">
      <w:pPr>
        <w:rPr>
          <w:sz w:val="22"/>
        </w:rPr>
      </w:pPr>
      <w:r w:rsidRPr="001B449B">
        <w:rPr>
          <w:sz w:val="22"/>
        </w:rPr>
        <w:t xml:space="preserve">IFG is aligned with the relevant sector investment priorities identified and supported by each of its Global Practices focused on Transport, Energy, Environment, Water, and the Global Social, Urban and Rural Development. The investment aligns with the World Bank </w:t>
      </w:r>
      <w:r w:rsidR="00B85110" w:rsidRPr="001B449B">
        <w:rPr>
          <w:sz w:val="22"/>
        </w:rPr>
        <w:t>r</w:t>
      </w:r>
      <w:r w:rsidRPr="001B449B">
        <w:rPr>
          <w:sz w:val="22"/>
        </w:rPr>
        <w:t xml:space="preserve">egional </w:t>
      </w:r>
      <w:r w:rsidR="00B85110" w:rsidRPr="001B449B">
        <w:rPr>
          <w:sz w:val="22"/>
        </w:rPr>
        <w:t>s</w:t>
      </w:r>
      <w:r w:rsidRPr="001B449B">
        <w:rPr>
          <w:sz w:val="22"/>
        </w:rPr>
        <w:t>trategy for South Asia, which prioritises regional integration and gender equality.</w:t>
      </w:r>
      <w:r w:rsidR="00B85110" w:rsidRPr="001B449B">
        <w:rPr>
          <w:rStyle w:val="FootnoteReference"/>
          <w:sz w:val="22"/>
        </w:rPr>
        <w:footnoteReference w:id="67"/>
      </w:r>
    </w:p>
    <w:p w14:paraId="74D9355C" w14:textId="77777777" w:rsidR="00A062E7" w:rsidRPr="007D5DA9" w:rsidRDefault="00FC0D71" w:rsidP="00EE5425">
      <w:pPr>
        <w:pStyle w:val="KeyFinding"/>
      </w:pPr>
      <w:r w:rsidRPr="007D5DA9">
        <w:t>IFG activities fill the gap of preparatory work and technical analysis, which are critical for infrastructure programs but challenging to source from government funding.</w:t>
      </w:r>
    </w:p>
    <w:p w14:paraId="4BE10B73" w14:textId="77777777" w:rsidR="00A062E7" w:rsidRPr="001B449B" w:rsidRDefault="008B7A58" w:rsidP="00EE5425">
      <w:pPr>
        <w:rPr>
          <w:sz w:val="22"/>
        </w:rPr>
      </w:pPr>
      <w:r w:rsidRPr="001B449B">
        <w:rPr>
          <w:sz w:val="22"/>
        </w:rPr>
        <w:t>E</w:t>
      </w:r>
      <w:r w:rsidR="00A062E7" w:rsidRPr="001B449B">
        <w:rPr>
          <w:sz w:val="22"/>
        </w:rPr>
        <w:t>vidence</w:t>
      </w:r>
      <w:r w:rsidRPr="001B449B">
        <w:rPr>
          <w:sz w:val="22"/>
        </w:rPr>
        <w:t xml:space="preserve"> from the literature review and interviews indicates</w:t>
      </w:r>
      <w:r w:rsidR="003526D2" w:rsidRPr="001B449B">
        <w:rPr>
          <w:sz w:val="22"/>
        </w:rPr>
        <w:t xml:space="preserve"> </w:t>
      </w:r>
      <w:r w:rsidR="00A062E7" w:rsidRPr="001B449B">
        <w:rPr>
          <w:sz w:val="22"/>
        </w:rPr>
        <w:t xml:space="preserve">IFG’s </w:t>
      </w:r>
      <w:r w:rsidR="00A062E7" w:rsidRPr="001B449B">
        <w:rPr>
          <w:b/>
          <w:sz w:val="22"/>
        </w:rPr>
        <w:t>portfolio approach</w:t>
      </w:r>
      <w:r w:rsidR="00A062E7" w:rsidRPr="001B449B">
        <w:rPr>
          <w:sz w:val="22"/>
        </w:rPr>
        <w:t xml:space="preserve"> has been both strategic and opportunistic, both in terms of prioriti</w:t>
      </w:r>
      <w:r w:rsidR="00037178">
        <w:rPr>
          <w:sz w:val="22"/>
        </w:rPr>
        <w:t>s</w:t>
      </w:r>
      <w:r w:rsidR="00A062E7" w:rsidRPr="001B449B">
        <w:rPr>
          <w:sz w:val="22"/>
        </w:rPr>
        <w:t>ing the most critical needs of the region and being able to flexibly respond to emerging partner priorities as these arise</w:t>
      </w:r>
      <w:r w:rsidR="00B85110" w:rsidRPr="001B449B">
        <w:rPr>
          <w:sz w:val="22"/>
        </w:rPr>
        <w:t>.</w:t>
      </w:r>
      <w:r w:rsidR="003526D2" w:rsidRPr="001B449B">
        <w:rPr>
          <w:rStyle w:val="FootnoteReference"/>
          <w:sz w:val="22"/>
        </w:rPr>
        <w:footnoteReference w:id="68"/>
      </w:r>
      <w:r w:rsidR="00A062E7" w:rsidRPr="001B449B">
        <w:rPr>
          <w:sz w:val="22"/>
        </w:rPr>
        <w:t xml:space="preserve"> Buying into the World Bank’s larger regional connectivity portfolio has enabled IFG to have reach and influence in the South Asia region. In a complex geopolitical context </w:t>
      </w:r>
      <w:r w:rsidR="00F97CF0" w:rsidRPr="001B449B">
        <w:rPr>
          <w:sz w:val="22"/>
        </w:rPr>
        <w:t xml:space="preserve">involving national rivalries and disputes, </w:t>
      </w:r>
      <w:r w:rsidR="00A062E7" w:rsidRPr="001B449B">
        <w:rPr>
          <w:sz w:val="22"/>
        </w:rPr>
        <w:t xml:space="preserve">the World Bank </w:t>
      </w:r>
      <w:r w:rsidR="00F97CF0" w:rsidRPr="001B449B">
        <w:rPr>
          <w:sz w:val="22"/>
        </w:rPr>
        <w:t>has the advantage of being politically neutral</w:t>
      </w:r>
      <w:r w:rsidR="00E07CB1">
        <w:rPr>
          <w:sz w:val="22"/>
        </w:rPr>
        <w:t>.</w:t>
      </w:r>
      <w:r w:rsidR="00F97CF0" w:rsidRPr="001B449B">
        <w:rPr>
          <w:rStyle w:val="FootnoteReference"/>
          <w:sz w:val="22"/>
        </w:rPr>
        <w:footnoteReference w:id="69"/>
      </w:r>
      <w:r w:rsidR="00A062E7" w:rsidRPr="001B449B">
        <w:rPr>
          <w:sz w:val="22"/>
        </w:rPr>
        <w:t xml:space="preserve"> The flexibility of the Trust Fund instrument has enabled the Bank to use technical entry points to engage with sensitive issues, and to extend reach to lagging and conflict-affected areas. New technical analysis, innovative tools and options are helping to address critical </w:t>
      </w:r>
      <w:r w:rsidR="00A062E7" w:rsidRPr="001B449B">
        <w:rPr>
          <w:bCs/>
          <w:sz w:val="22"/>
        </w:rPr>
        <w:t>bottlenecks to regional integration</w:t>
      </w:r>
      <w:r w:rsidR="00A062E7" w:rsidRPr="001B449B">
        <w:rPr>
          <w:sz w:val="22"/>
        </w:rPr>
        <w:t xml:space="preserve"> in South Asia, and to inform and influence the direction of government investments and programs. IFG also provides </w:t>
      </w:r>
      <w:r w:rsidR="00A062E7" w:rsidRPr="001B449B">
        <w:rPr>
          <w:bCs/>
          <w:sz w:val="22"/>
        </w:rPr>
        <w:t>entry points for dynamic dialogue</w:t>
      </w:r>
      <w:r w:rsidR="00A062E7" w:rsidRPr="001B449B">
        <w:rPr>
          <w:sz w:val="22"/>
        </w:rPr>
        <w:t xml:space="preserve"> with partner governments on regional issues that go </w:t>
      </w:r>
      <w:r w:rsidR="00A062E7" w:rsidRPr="001B449B">
        <w:rPr>
          <w:bCs/>
          <w:sz w:val="22"/>
        </w:rPr>
        <w:t>beyond the mandate of the Bank’s country level portfolios</w:t>
      </w:r>
      <w:r w:rsidR="00A062E7" w:rsidRPr="001B449B">
        <w:rPr>
          <w:sz w:val="22"/>
        </w:rPr>
        <w:t>.</w:t>
      </w:r>
    </w:p>
    <w:p w14:paraId="13810C87" w14:textId="77777777" w:rsidR="00311CB7" w:rsidRPr="007D5DA9" w:rsidRDefault="00A17AC7" w:rsidP="005A1E47">
      <w:pPr>
        <w:pStyle w:val="Heading2"/>
      </w:pPr>
      <w:bookmarkStart w:id="20" w:name="_Toc517615241"/>
      <w:r w:rsidRPr="007D5DA9">
        <w:t>Gender Equality</w:t>
      </w:r>
      <w:bookmarkEnd w:id="20"/>
    </w:p>
    <w:p w14:paraId="58CA5109" w14:textId="77777777" w:rsidR="00311CB7" w:rsidRPr="001B449B" w:rsidRDefault="00311CB7" w:rsidP="005A1E47">
      <w:pPr>
        <w:rPr>
          <w:color w:val="FF0000"/>
          <w:sz w:val="22"/>
        </w:rPr>
      </w:pPr>
      <w:r w:rsidRPr="001B449B">
        <w:rPr>
          <w:color w:val="FF0000"/>
          <w:sz w:val="22"/>
        </w:rPr>
        <w:t>Rating: 3 - Findings are supported by good evidence</w:t>
      </w:r>
    </w:p>
    <w:p w14:paraId="6493B6BC" w14:textId="77777777" w:rsidR="00262D89" w:rsidRPr="001B449B" w:rsidRDefault="00D33D53">
      <w:pPr>
        <w:rPr>
          <w:sz w:val="22"/>
        </w:rPr>
      </w:pPr>
      <w:r w:rsidRPr="001B449B">
        <w:rPr>
          <w:sz w:val="22"/>
        </w:rPr>
        <w:t xml:space="preserve">This </w:t>
      </w:r>
      <w:r w:rsidR="00CF2DF0" w:rsidRPr="001B449B">
        <w:rPr>
          <w:sz w:val="22"/>
        </w:rPr>
        <w:t>rating acknowledges that the original design of IFG</w:t>
      </w:r>
      <w:r w:rsidR="002426E0" w:rsidRPr="001B449B">
        <w:rPr>
          <w:sz w:val="22"/>
        </w:rPr>
        <w:t xml:space="preserve"> would not have envisaged evaluating its impact on gender equality. </w:t>
      </w:r>
      <w:r w:rsidR="00262D89" w:rsidRPr="001B449B">
        <w:rPr>
          <w:sz w:val="22"/>
        </w:rPr>
        <w:t xml:space="preserve">Nonetheless, the approach to gender equality has evolved throughout the program. </w:t>
      </w:r>
    </w:p>
    <w:tbl>
      <w:tblPr>
        <w:tblStyle w:val="TableGrid"/>
        <w:tblpPr w:leftFromText="180" w:rightFromText="180" w:vertAnchor="text" w:horzAnchor="page" w:tblpX="1450" w:tblpY="47"/>
        <w:tblW w:w="0" w:type="auto"/>
        <w:tblLook w:val="04A0" w:firstRow="1" w:lastRow="0" w:firstColumn="1" w:lastColumn="0" w:noHBand="0" w:noVBand="1"/>
      </w:tblPr>
      <w:tblGrid>
        <w:gridCol w:w="9010"/>
      </w:tblGrid>
      <w:tr w:rsidR="00262D89" w:rsidRPr="007D5DA9" w14:paraId="4D3FD962" w14:textId="77777777">
        <w:tc>
          <w:tcPr>
            <w:tcW w:w="9010" w:type="dxa"/>
          </w:tcPr>
          <w:p w14:paraId="11D63CCA" w14:textId="77777777" w:rsidR="00262D89" w:rsidRPr="001B449B" w:rsidRDefault="00262D89" w:rsidP="005A1E47">
            <w:pPr>
              <w:pStyle w:val="Heading3"/>
              <w:rPr>
                <w:sz w:val="22"/>
              </w:rPr>
            </w:pPr>
            <w:r w:rsidRPr="001B449B">
              <w:rPr>
                <w:sz w:val="22"/>
              </w:rPr>
              <w:t>Most relevant Medium-Term Outcomes to this section:</w:t>
            </w:r>
          </w:p>
          <w:p w14:paraId="62E6D9D6" w14:textId="77777777" w:rsidR="00262D89" w:rsidRPr="001B449B" w:rsidRDefault="00262D89" w:rsidP="005A1E47">
            <w:pPr>
              <w:rPr>
                <w:sz w:val="22"/>
              </w:rPr>
            </w:pPr>
            <w:r w:rsidRPr="001B449B">
              <w:rPr>
                <w:b/>
                <w:sz w:val="22"/>
              </w:rPr>
              <w:t>MTO C:</w:t>
            </w:r>
            <w:r w:rsidRPr="001B449B">
              <w:rPr>
                <w:sz w:val="22"/>
              </w:rPr>
              <w:t xml:space="preserve"> IFG strengthens Social Inclusion and Gender equality and empowerment in transport and energy sector investments</w:t>
            </w:r>
          </w:p>
        </w:tc>
      </w:tr>
    </w:tbl>
    <w:p w14:paraId="25835AFF" w14:textId="77777777" w:rsidR="00A7557C" w:rsidRPr="007D5DA9" w:rsidRDefault="00FC0D71" w:rsidP="005A1E47">
      <w:pPr>
        <w:pStyle w:val="KeyFinding"/>
      </w:pPr>
      <w:r w:rsidRPr="007D5DA9">
        <w:t xml:space="preserve">The World Bank acknowledges </w:t>
      </w:r>
      <w:r w:rsidR="00FE5342" w:rsidRPr="007D5DA9">
        <w:t>it e</w:t>
      </w:r>
      <w:r w:rsidRPr="007D5DA9">
        <w:t>xperienced internal challenges in integrating gender into a traditionally ‘gender-blind’ space. There is more evidence of progress within Transport than in Energy and Extractives.</w:t>
      </w:r>
    </w:p>
    <w:p w14:paraId="3B46ACAC" w14:textId="77777777" w:rsidR="00FE5342" w:rsidRPr="001B449B" w:rsidRDefault="008C6FE0" w:rsidP="004F53EC">
      <w:pPr>
        <w:rPr>
          <w:rFonts w:cs="Calibri"/>
          <w:sz w:val="22"/>
        </w:rPr>
      </w:pPr>
      <w:r w:rsidRPr="001B449B">
        <w:rPr>
          <w:sz w:val="22"/>
        </w:rPr>
        <w:t>There was consensus among</w:t>
      </w:r>
      <w:r w:rsidR="000301B5" w:rsidRPr="001B449B">
        <w:rPr>
          <w:sz w:val="22"/>
        </w:rPr>
        <w:t xml:space="preserve"> </w:t>
      </w:r>
      <w:r w:rsidR="00D82D2B" w:rsidRPr="001B449B">
        <w:rPr>
          <w:sz w:val="22"/>
        </w:rPr>
        <w:t xml:space="preserve">World </w:t>
      </w:r>
      <w:r w:rsidR="000301B5" w:rsidRPr="001B449B">
        <w:rPr>
          <w:sz w:val="22"/>
        </w:rPr>
        <w:t>Bank</w:t>
      </w:r>
      <w:r w:rsidR="00B85110" w:rsidRPr="001B449B">
        <w:rPr>
          <w:sz w:val="22"/>
        </w:rPr>
        <w:t xml:space="preserve"> </w:t>
      </w:r>
      <w:r w:rsidRPr="001B449B">
        <w:rPr>
          <w:sz w:val="22"/>
        </w:rPr>
        <w:t>staff intervi</w:t>
      </w:r>
      <w:r w:rsidR="005A1E47" w:rsidRPr="001B449B">
        <w:rPr>
          <w:sz w:val="22"/>
        </w:rPr>
        <w:t>e</w:t>
      </w:r>
      <w:r w:rsidRPr="001B449B">
        <w:rPr>
          <w:sz w:val="22"/>
        </w:rPr>
        <w:t>wed that</w:t>
      </w:r>
      <w:r w:rsidR="000301B5" w:rsidRPr="001B449B">
        <w:rPr>
          <w:sz w:val="22"/>
        </w:rPr>
        <w:t xml:space="preserve"> integrating gender equality is a work in progress.</w:t>
      </w:r>
      <w:r w:rsidR="000301B5" w:rsidRPr="001B449B">
        <w:rPr>
          <w:rStyle w:val="FootnoteReference"/>
          <w:sz w:val="22"/>
        </w:rPr>
        <w:footnoteReference w:id="70"/>
      </w:r>
      <w:r w:rsidR="000301B5" w:rsidRPr="001B449B">
        <w:rPr>
          <w:sz w:val="22"/>
        </w:rPr>
        <w:t xml:space="preserve"> </w:t>
      </w:r>
      <w:r w:rsidRPr="001B449B">
        <w:rPr>
          <w:sz w:val="22"/>
        </w:rPr>
        <w:t>This is also reflected in t</w:t>
      </w:r>
      <w:r w:rsidR="00FE5342" w:rsidRPr="001B449B">
        <w:rPr>
          <w:sz w:val="22"/>
        </w:rPr>
        <w:t xml:space="preserve">he </w:t>
      </w:r>
      <w:r w:rsidRPr="001B449B">
        <w:rPr>
          <w:sz w:val="22"/>
        </w:rPr>
        <w:t xml:space="preserve">Bank’s </w:t>
      </w:r>
      <w:r w:rsidR="00FE5342" w:rsidRPr="001B449B">
        <w:rPr>
          <w:sz w:val="22"/>
        </w:rPr>
        <w:t xml:space="preserve">2016 </w:t>
      </w:r>
      <w:r w:rsidRPr="001B449B">
        <w:rPr>
          <w:sz w:val="22"/>
        </w:rPr>
        <w:t xml:space="preserve">IEG Evaluation </w:t>
      </w:r>
      <w:r w:rsidR="00FE5342" w:rsidRPr="001B449B">
        <w:rPr>
          <w:sz w:val="22"/>
        </w:rPr>
        <w:t>report</w:t>
      </w:r>
      <w:r w:rsidRPr="001B449B">
        <w:rPr>
          <w:sz w:val="22"/>
        </w:rPr>
        <w:t xml:space="preserve"> (emphasis added):</w:t>
      </w:r>
    </w:p>
    <w:p w14:paraId="215B19A1" w14:textId="77777777" w:rsidR="00FE5342" w:rsidRPr="001B449B" w:rsidRDefault="00FE5342" w:rsidP="001A78AF">
      <w:pPr>
        <w:rPr>
          <w:sz w:val="22"/>
        </w:rPr>
      </w:pPr>
      <w:r w:rsidRPr="001B449B">
        <w:rPr>
          <w:sz w:val="22"/>
        </w:rPr>
        <w:t xml:space="preserve">‘…Over the past few years, the Bank Group has made steady progress in moving the gender agenda forward. Concrete actions include the creation of the Gender Labs, the production of an increasing number of impact evaluations, the preparation and implementation of Regional Gender Action Plans, and the development of a new World Bank Group Gender Strategy. These efforts have </w:t>
      </w:r>
      <w:r w:rsidRPr="001B449B">
        <w:rPr>
          <w:sz w:val="22"/>
        </w:rPr>
        <w:lastRenderedPageBreak/>
        <w:t xml:space="preserve">brought greater focus on gender issues at various levels; </w:t>
      </w:r>
      <w:r w:rsidRPr="001B449B">
        <w:rPr>
          <w:b/>
          <w:sz w:val="22"/>
        </w:rPr>
        <w:t>however, the results of that increased attention are not yet evident</w:t>
      </w:r>
      <w:r w:rsidR="008C6FE0" w:rsidRPr="001B449B">
        <w:rPr>
          <w:b/>
          <w:sz w:val="22"/>
        </w:rPr>
        <w:t>’.</w:t>
      </w:r>
      <w:r w:rsidRPr="001B449B">
        <w:rPr>
          <w:rStyle w:val="FootnoteReference"/>
          <w:sz w:val="22"/>
        </w:rPr>
        <w:footnoteReference w:id="71"/>
      </w:r>
      <w:r w:rsidRPr="001B449B">
        <w:rPr>
          <w:sz w:val="22"/>
        </w:rPr>
        <w:t xml:space="preserve"> </w:t>
      </w:r>
    </w:p>
    <w:p w14:paraId="3EF2F27B" w14:textId="77777777" w:rsidR="000301B5" w:rsidRPr="001B449B" w:rsidRDefault="00FE5342" w:rsidP="001A78AF">
      <w:pPr>
        <w:rPr>
          <w:sz w:val="22"/>
        </w:rPr>
      </w:pPr>
      <w:r w:rsidRPr="001B449B">
        <w:rPr>
          <w:sz w:val="22"/>
        </w:rPr>
        <w:t>I</w:t>
      </w:r>
      <w:r w:rsidR="000301B5" w:rsidRPr="001B449B">
        <w:rPr>
          <w:sz w:val="22"/>
        </w:rPr>
        <w:t>nterviews</w:t>
      </w:r>
      <w:r w:rsidRPr="001B449B">
        <w:rPr>
          <w:sz w:val="22"/>
        </w:rPr>
        <w:t xml:space="preserve"> for this evaluation</w:t>
      </w:r>
      <w:r w:rsidR="000301B5" w:rsidRPr="001B449B">
        <w:rPr>
          <w:sz w:val="22"/>
        </w:rPr>
        <w:t xml:space="preserve"> </w:t>
      </w:r>
      <w:r w:rsidRPr="001B449B">
        <w:rPr>
          <w:sz w:val="22"/>
        </w:rPr>
        <w:t xml:space="preserve">revealed </w:t>
      </w:r>
      <w:r w:rsidR="000301B5" w:rsidRPr="001B449B">
        <w:rPr>
          <w:sz w:val="22"/>
        </w:rPr>
        <w:t>there is appreciation by World Bank staff how consultation that includes marginali</w:t>
      </w:r>
      <w:r w:rsidR="00E739EE">
        <w:rPr>
          <w:sz w:val="22"/>
        </w:rPr>
        <w:t>s</w:t>
      </w:r>
      <w:r w:rsidR="000301B5" w:rsidRPr="001B449B">
        <w:rPr>
          <w:sz w:val="22"/>
        </w:rPr>
        <w:t xml:space="preserve">ed groups – such as women </w:t>
      </w:r>
      <w:r w:rsidR="00E739EE">
        <w:rPr>
          <w:sz w:val="22"/>
        </w:rPr>
        <w:t>–</w:t>
      </w:r>
      <w:r w:rsidR="000301B5" w:rsidRPr="001B449B">
        <w:rPr>
          <w:sz w:val="22"/>
        </w:rPr>
        <w:t xml:space="preserve"> can</w:t>
      </w:r>
      <w:r w:rsidR="00E739EE">
        <w:rPr>
          <w:sz w:val="22"/>
        </w:rPr>
        <w:t xml:space="preserve"> </w:t>
      </w:r>
      <w:r w:rsidR="000301B5" w:rsidRPr="001B449B">
        <w:rPr>
          <w:sz w:val="22"/>
        </w:rPr>
        <w:t>strengthen the design of projects.</w:t>
      </w:r>
      <w:r w:rsidRPr="001B449B">
        <w:rPr>
          <w:rStyle w:val="FootnoteReference"/>
          <w:sz w:val="22"/>
        </w:rPr>
        <w:footnoteReference w:id="72"/>
      </w:r>
      <w:r w:rsidR="000301B5" w:rsidRPr="001B449B">
        <w:rPr>
          <w:sz w:val="22"/>
        </w:rPr>
        <w:t xml:space="preserve"> Where this has happened, it has been effective, for instance in the case of the civic engagement platform for urban service delivery in Chittagong. This IFG project helped promote hands-on collaboration among various stakeholders</w:t>
      </w:r>
      <w:r w:rsidR="00E739EE">
        <w:rPr>
          <w:sz w:val="22"/>
        </w:rPr>
        <w:t>,</w:t>
      </w:r>
      <w:r w:rsidR="000301B5" w:rsidRPr="001B449B">
        <w:rPr>
          <w:sz w:val="22"/>
        </w:rPr>
        <w:t xml:space="preserve"> </w:t>
      </w:r>
      <w:r w:rsidR="00E739EE" w:rsidRPr="001B449B">
        <w:rPr>
          <w:sz w:val="22"/>
        </w:rPr>
        <w:t xml:space="preserve">management that </w:t>
      </w:r>
      <w:r w:rsidR="00E739EE">
        <w:rPr>
          <w:sz w:val="22"/>
        </w:rPr>
        <w:t>wa</w:t>
      </w:r>
      <w:r w:rsidR="00E739EE" w:rsidRPr="001B449B">
        <w:rPr>
          <w:sz w:val="22"/>
        </w:rPr>
        <w:t>s tailored to the local reality</w:t>
      </w:r>
      <w:r w:rsidR="00E739EE">
        <w:rPr>
          <w:sz w:val="22"/>
        </w:rPr>
        <w:t>,</w:t>
      </w:r>
      <w:r w:rsidR="00E739EE" w:rsidRPr="001B449B">
        <w:rPr>
          <w:sz w:val="22"/>
        </w:rPr>
        <w:t xml:space="preserve"> </w:t>
      </w:r>
      <w:r w:rsidR="000301B5" w:rsidRPr="001B449B">
        <w:rPr>
          <w:sz w:val="22"/>
        </w:rPr>
        <w:t>and strengthened operational and tactical planning.</w:t>
      </w:r>
    </w:p>
    <w:p w14:paraId="094D2CFB" w14:textId="10853203" w:rsidR="000301B5" w:rsidRPr="001B449B" w:rsidRDefault="000301B5" w:rsidP="000B5B50">
      <w:pPr>
        <w:rPr>
          <w:sz w:val="22"/>
        </w:rPr>
      </w:pPr>
      <w:r w:rsidRPr="001B449B">
        <w:rPr>
          <w:sz w:val="22"/>
        </w:rPr>
        <w:t>There was good evidence</w:t>
      </w:r>
      <w:r w:rsidR="00983889" w:rsidRPr="001B449B">
        <w:rPr>
          <w:sz w:val="22"/>
        </w:rPr>
        <w:t xml:space="preserve"> </w:t>
      </w:r>
      <w:r w:rsidRPr="001B449B">
        <w:rPr>
          <w:sz w:val="22"/>
        </w:rPr>
        <w:t>the transport sector team include</w:t>
      </w:r>
      <w:r w:rsidR="00E739EE">
        <w:rPr>
          <w:sz w:val="22"/>
        </w:rPr>
        <w:t>d</w:t>
      </w:r>
      <w:r w:rsidRPr="001B449B">
        <w:rPr>
          <w:sz w:val="22"/>
        </w:rPr>
        <w:t xml:space="preserve"> some champions of gender equality, whom are actively learning how to look at their sector from a different perspective.</w:t>
      </w:r>
      <w:r w:rsidR="008C6FE0" w:rsidRPr="001B449B">
        <w:rPr>
          <w:rStyle w:val="FootnoteReference"/>
          <w:sz w:val="22"/>
        </w:rPr>
        <w:footnoteReference w:id="73"/>
      </w:r>
      <w:r w:rsidRPr="001B449B">
        <w:rPr>
          <w:sz w:val="22"/>
        </w:rPr>
        <w:t xml:space="preserve"> For example, IFG funding enabled support to mainstream measures that improve safety and security, as well as reduce the risk of violence against women and girls on transport in Mumbai, to be provided at the early design stages of the US</w:t>
      </w:r>
      <w:r w:rsidR="00E739EE">
        <w:rPr>
          <w:sz w:val="22"/>
        </w:rPr>
        <w:t>D</w:t>
      </w:r>
      <w:r w:rsidRPr="001B449B">
        <w:rPr>
          <w:sz w:val="22"/>
        </w:rPr>
        <w:t>600 million Mumbai Urban Transport Project.</w:t>
      </w:r>
    </w:p>
    <w:p w14:paraId="70C359EB" w14:textId="77777777" w:rsidR="000301B5" w:rsidRPr="001B449B" w:rsidRDefault="000301B5" w:rsidP="000B5B50">
      <w:pPr>
        <w:rPr>
          <w:sz w:val="22"/>
        </w:rPr>
      </w:pPr>
      <w:r w:rsidRPr="001B449B">
        <w:rPr>
          <w:sz w:val="22"/>
        </w:rPr>
        <w:t>There was also evidence of efforts made to use IFG funding to incorporate a gender lens into the energy sector projects, for example with an Analysis of Gender and Access to Power in the North-Eastern Region. However, it is not clear how the results of this analysis have informed future developments within the investment.</w:t>
      </w:r>
    </w:p>
    <w:p w14:paraId="115D8A2E" w14:textId="77777777" w:rsidR="000301B5" w:rsidRPr="007D5DA9" w:rsidRDefault="00FC0D71" w:rsidP="000B5B50">
      <w:pPr>
        <w:pStyle w:val="KeyFinding"/>
      </w:pPr>
      <w:r w:rsidRPr="007D5DA9">
        <w:t xml:space="preserve">This evaluation finds that gender being a cross-cutting theme in IFG did not lead to gender equality being integrated into </w:t>
      </w:r>
      <w:r w:rsidR="008C6FE0" w:rsidRPr="007D5DA9">
        <w:t xml:space="preserve">all </w:t>
      </w:r>
      <w:r w:rsidRPr="007D5DA9">
        <w:t>projects. Instead, a small number of projects with 100</w:t>
      </w:r>
      <w:r w:rsidR="00E07CB1">
        <w:t> </w:t>
      </w:r>
      <w:r w:rsidR="00B62F6C" w:rsidRPr="007D5DA9">
        <w:t>per</w:t>
      </w:r>
      <w:r w:rsidR="00E07CB1">
        <w:t> </w:t>
      </w:r>
      <w:r w:rsidR="00B62F6C" w:rsidRPr="007D5DA9">
        <w:t xml:space="preserve">cent </w:t>
      </w:r>
      <w:r w:rsidRPr="007D5DA9">
        <w:t>gender focus offset the majority that reported none, or little focus.</w:t>
      </w:r>
    </w:p>
    <w:p w14:paraId="4C8AB949" w14:textId="77777777" w:rsidR="000301B5" w:rsidRPr="001B449B" w:rsidRDefault="000301B5" w:rsidP="005A1E47">
      <w:pPr>
        <w:rPr>
          <w:sz w:val="22"/>
        </w:rPr>
      </w:pPr>
      <w:r w:rsidRPr="001B449B">
        <w:rPr>
          <w:sz w:val="22"/>
        </w:rPr>
        <w:t xml:space="preserve">The evidence is not definitive regarding the extent to which Bank practices and processes are treating gender equality with a higher priority than before. </w:t>
      </w:r>
      <w:r w:rsidR="008E018D" w:rsidRPr="001B449B">
        <w:rPr>
          <w:sz w:val="22"/>
        </w:rPr>
        <w:t xml:space="preserve">Interviews with Task Team Leaders revealed differing views about the importance and practicalities of integrating gender equality into their projects. Those that are more engaged with technical infrastructure studies were not treating gender equality as a priority, whereas some others were very concerned with gender issues. In the opinion of the evaluation team, this tendency for </w:t>
      </w:r>
      <w:r w:rsidR="00535281" w:rsidRPr="001B449B">
        <w:rPr>
          <w:sz w:val="22"/>
        </w:rPr>
        <w:t xml:space="preserve">staff to perceive gender concerns to be a discrete project intervention, instead of a way of thinking about all development, </w:t>
      </w:r>
      <w:r w:rsidRPr="001B449B">
        <w:rPr>
          <w:sz w:val="22"/>
        </w:rPr>
        <w:t xml:space="preserve">may have been exacerbated by IFG </w:t>
      </w:r>
      <w:r w:rsidR="00535281" w:rsidRPr="001B449B">
        <w:rPr>
          <w:sz w:val="22"/>
        </w:rPr>
        <w:t xml:space="preserve">presenting </w:t>
      </w:r>
      <w:r w:rsidRPr="001B449B">
        <w:rPr>
          <w:sz w:val="22"/>
        </w:rPr>
        <w:t>gender as a cross-cutting theme rather than integrating it into all aspects of project design</w:t>
      </w:r>
      <w:r w:rsidR="00535281" w:rsidRPr="001B449B">
        <w:rPr>
          <w:sz w:val="22"/>
        </w:rPr>
        <w:t>.</w:t>
      </w:r>
    </w:p>
    <w:p w14:paraId="00F316AA" w14:textId="0BA3CF1D" w:rsidR="009A3AE5" w:rsidRPr="001B449B" w:rsidRDefault="00535281">
      <w:pPr>
        <w:rPr>
          <w:sz w:val="22"/>
        </w:rPr>
      </w:pPr>
      <w:r w:rsidRPr="001B449B">
        <w:rPr>
          <w:sz w:val="22"/>
        </w:rPr>
        <w:t xml:space="preserve">The evidence for this approach to gender can be found in the way </w:t>
      </w:r>
      <w:r w:rsidR="000301B5" w:rsidRPr="001B449B">
        <w:rPr>
          <w:sz w:val="22"/>
        </w:rPr>
        <w:t>some IFG projects</w:t>
      </w:r>
      <w:r w:rsidRPr="001B449B">
        <w:rPr>
          <w:sz w:val="22"/>
        </w:rPr>
        <w:t>, driven by Task Team Leaders with more interest the subject,</w:t>
      </w:r>
      <w:r w:rsidR="000301B5" w:rsidRPr="001B449B">
        <w:rPr>
          <w:sz w:val="22"/>
        </w:rPr>
        <w:t xml:space="preserve"> claim to have a 100</w:t>
      </w:r>
      <w:r w:rsidR="00B62F6C" w:rsidRPr="001B449B">
        <w:rPr>
          <w:sz w:val="22"/>
        </w:rPr>
        <w:t xml:space="preserve"> per cent</w:t>
      </w:r>
      <w:r w:rsidR="000301B5" w:rsidRPr="001B449B">
        <w:rPr>
          <w:sz w:val="22"/>
        </w:rPr>
        <w:t xml:space="preserve"> gender focus</w:t>
      </w:r>
      <w:r w:rsidRPr="001B449B">
        <w:rPr>
          <w:sz w:val="22"/>
        </w:rPr>
        <w:t>, despite IFG (unlike SARTFP) lacking an explicit gender integration goal</w:t>
      </w:r>
      <w:r w:rsidR="000301B5" w:rsidRPr="001B449B">
        <w:rPr>
          <w:sz w:val="22"/>
        </w:rPr>
        <w:t>.</w:t>
      </w:r>
      <w:r w:rsidR="009A3AE5" w:rsidRPr="001B449B">
        <w:rPr>
          <w:sz w:val="22"/>
        </w:rPr>
        <w:t xml:space="preserve"> These are listed in the table below.</w:t>
      </w:r>
      <w:r w:rsidR="000301B5" w:rsidRPr="001B449B">
        <w:rPr>
          <w:sz w:val="22"/>
        </w:rPr>
        <w:t xml:space="preserve"> </w:t>
      </w:r>
      <w:r w:rsidR="00AF1E92" w:rsidRPr="001B449B">
        <w:rPr>
          <w:sz w:val="22"/>
        </w:rPr>
        <w:t>The social development team provided recommendations about how to integrate gender equality into Global Practices (such as transport, energy etc.).</w:t>
      </w:r>
      <w:r w:rsidR="00AF1E92" w:rsidRPr="001B449B">
        <w:rPr>
          <w:rStyle w:val="FootnoteReference"/>
          <w:sz w:val="22"/>
        </w:rPr>
        <w:footnoteReference w:id="74"/>
      </w:r>
      <w:r w:rsidR="00AF1E92" w:rsidRPr="001B449B">
        <w:rPr>
          <w:sz w:val="22"/>
        </w:rPr>
        <w:t xml:space="preserve"> </w:t>
      </w:r>
      <w:r w:rsidR="00725EDD" w:rsidRPr="001B449B">
        <w:rPr>
          <w:sz w:val="22"/>
        </w:rPr>
        <w:t xml:space="preserve">However, no evidence </w:t>
      </w:r>
      <w:r w:rsidR="0079498B">
        <w:rPr>
          <w:sz w:val="22"/>
        </w:rPr>
        <w:t xml:space="preserve">was </w:t>
      </w:r>
      <w:r w:rsidR="00AF1E92" w:rsidRPr="001B449B">
        <w:rPr>
          <w:sz w:val="22"/>
        </w:rPr>
        <w:t>found o</w:t>
      </w:r>
      <w:r w:rsidR="0079498B">
        <w:rPr>
          <w:sz w:val="22"/>
        </w:rPr>
        <w:t>n</w:t>
      </w:r>
      <w:r w:rsidR="00AF1E92" w:rsidRPr="001B449B">
        <w:rPr>
          <w:sz w:val="22"/>
        </w:rPr>
        <w:t xml:space="preserve"> </w:t>
      </w:r>
      <w:r w:rsidR="009A3AE5" w:rsidRPr="001B449B">
        <w:rPr>
          <w:sz w:val="22"/>
        </w:rPr>
        <w:t>how</w:t>
      </w:r>
      <w:r w:rsidR="00725EDD" w:rsidRPr="001B449B">
        <w:rPr>
          <w:sz w:val="22"/>
        </w:rPr>
        <w:t xml:space="preserve"> </w:t>
      </w:r>
      <w:r w:rsidR="002F47C0" w:rsidRPr="001B449B">
        <w:rPr>
          <w:sz w:val="22"/>
        </w:rPr>
        <w:t>this work has</w:t>
      </w:r>
      <w:r w:rsidR="00725EDD" w:rsidRPr="001B449B">
        <w:rPr>
          <w:sz w:val="22"/>
        </w:rPr>
        <w:t xml:space="preserve"> </w:t>
      </w:r>
      <w:r w:rsidR="009A3AE5" w:rsidRPr="001B449B">
        <w:rPr>
          <w:sz w:val="22"/>
        </w:rPr>
        <w:t>influence</w:t>
      </w:r>
      <w:r w:rsidR="00AF1E92" w:rsidRPr="001B449B">
        <w:rPr>
          <w:sz w:val="22"/>
        </w:rPr>
        <w:t>d</w:t>
      </w:r>
      <w:r w:rsidR="00725EDD" w:rsidRPr="001B449B">
        <w:rPr>
          <w:sz w:val="22"/>
        </w:rPr>
        <w:t xml:space="preserve"> other </w:t>
      </w:r>
      <w:r w:rsidR="00AF1E92" w:rsidRPr="001B449B">
        <w:rPr>
          <w:sz w:val="22"/>
        </w:rPr>
        <w:t xml:space="preserve">IFG projects. The evaluation team received the impression that for some </w:t>
      </w:r>
      <w:r w:rsidR="00A14D94">
        <w:rPr>
          <w:sz w:val="22"/>
        </w:rPr>
        <w:t>T</w:t>
      </w:r>
      <w:r w:rsidR="00AF1E92" w:rsidRPr="001B449B">
        <w:rPr>
          <w:sz w:val="22"/>
        </w:rPr>
        <w:t xml:space="preserve">ask </w:t>
      </w:r>
      <w:r w:rsidR="00A14D94">
        <w:rPr>
          <w:sz w:val="22"/>
        </w:rPr>
        <w:t>T</w:t>
      </w:r>
      <w:r w:rsidR="00AF1E92" w:rsidRPr="001B449B">
        <w:rPr>
          <w:sz w:val="22"/>
        </w:rPr>
        <w:t xml:space="preserve">eam </w:t>
      </w:r>
      <w:r w:rsidR="00A14D94">
        <w:rPr>
          <w:sz w:val="22"/>
        </w:rPr>
        <w:t>L</w:t>
      </w:r>
      <w:r w:rsidR="00AF1E92" w:rsidRPr="001B449B">
        <w:rPr>
          <w:sz w:val="22"/>
        </w:rPr>
        <w:t xml:space="preserve">eaders, </w:t>
      </w:r>
      <w:r w:rsidR="000301B5" w:rsidRPr="001B449B">
        <w:rPr>
          <w:sz w:val="22"/>
        </w:rPr>
        <w:t xml:space="preserve">gender equality </w:t>
      </w:r>
      <w:r w:rsidR="00AF1E92" w:rsidRPr="001B449B">
        <w:rPr>
          <w:sz w:val="22"/>
        </w:rPr>
        <w:t>is not</w:t>
      </w:r>
      <w:r w:rsidR="000301B5" w:rsidRPr="001B449B">
        <w:rPr>
          <w:sz w:val="22"/>
        </w:rPr>
        <w:t xml:space="preserve"> </w:t>
      </w:r>
      <w:r w:rsidR="00AF1E92" w:rsidRPr="001B449B">
        <w:rPr>
          <w:sz w:val="22"/>
        </w:rPr>
        <w:t xml:space="preserve">yet </w:t>
      </w:r>
      <w:r w:rsidR="000301B5" w:rsidRPr="001B449B">
        <w:rPr>
          <w:sz w:val="22"/>
        </w:rPr>
        <w:t>an essential component of all infrastructure design.</w:t>
      </w:r>
    </w:p>
    <w:p w14:paraId="08B935E1" w14:textId="77777777" w:rsidR="009A3AE5" w:rsidRPr="00A90E0D" w:rsidRDefault="009A3AE5" w:rsidP="000151BA">
      <w:pPr>
        <w:pStyle w:val="Table1"/>
        <w:rPr>
          <w:sz w:val="22"/>
        </w:rPr>
      </w:pPr>
      <w:r w:rsidRPr="000151BA">
        <w:rPr>
          <w:sz w:val="22"/>
          <w:szCs w:val="22"/>
        </w:rPr>
        <w:t xml:space="preserve">Table </w:t>
      </w:r>
      <w:r w:rsidR="0079498B" w:rsidRPr="000151BA">
        <w:rPr>
          <w:sz w:val="22"/>
          <w:szCs w:val="22"/>
        </w:rPr>
        <w:t>5</w:t>
      </w:r>
      <w:r w:rsidRPr="00BF634C">
        <w:rPr>
          <w:sz w:val="22"/>
          <w:szCs w:val="22"/>
        </w:rPr>
        <w:t xml:space="preserve"> – IFG projects wi</w:t>
      </w:r>
      <w:r w:rsidRPr="00A90E0D">
        <w:rPr>
          <w:sz w:val="22"/>
          <w:szCs w:val="22"/>
        </w:rPr>
        <w:t>th exclusive gender equality focus</w:t>
      </w:r>
    </w:p>
    <w:tbl>
      <w:tblPr>
        <w:tblStyle w:val="TableGrid"/>
        <w:tblW w:w="0" w:type="auto"/>
        <w:tblLook w:val="04A0" w:firstRow="1" w:lastRow="0" w:firstColumn="1" w:lastColumn="0" w:noHBand="0" w:noVBand="1"/>
      </w:tblPr>
      <w:tblGrid>
        <w:gridCol w:w="4957"/>
        <w:gridCol w:w="1842"/>
        <w:gridCol w:w="2211"/>
      </w:tblGrid>
      <w:tr w:rsidR="009A3AE5" w:rsidRPr="007D5DA9" w14:paraId="31D72362" w14:textId="77777777">
        <w:tc>
          <w:tcPr>
            <w:tcW w:w="4957" w:type="dxa"/>
          </w:tcPr>
          <w:p w14:paraId="44549C1B" w14:textId="77777777" w:rsidR="009A3AE5" w:rsidRPr="001B449B" w:rsidRDefault="009A3AE5" w:rsidP="000151BA">
            <w:pPr>
              <w:jc w:val="center"/>
              <w:rPr>
                <w:sz w:val="22"/>
              </w:rPr>
            </w:pPr>
            <w:r w:rsidRPr="001B449B">
              <w:rPr>
                <w:sz w:val="22"/>
              </w:rPr>
              <w:t>IFG Project</w:t>
            </w:r>
          </w:p>
        </w:tc>
        <w:tc>
          <w:tcPr>
            <w:tcW w:w="1842" w:type="dxa"/>
          </w:tcPr>
          <w:p w14:paraId="7CF592F5" w14:textId="77777777" w:rsidR="009A3AE5" w:rsidRPr="001B449B" w:rsidRDefault="009A3AE5" w:rsidP="000151BA">
            <w:pPr>
              <w:jc w:val="center"/>
              <w:rPr>
                <w:sz w:val="22"/>
              </w:rPr>
            </w:pPr>
            <w:r w:rsidRPr="001B449B">
              <w:rPr>
                <w:sz w:val="22"/>
              </w:rPr>
              <w:t>Reference</w:t>
            </w:r>
          </w:p>
        </w:tc>
        <w:tc>
          <w:tcPr>
            <w:tcW w:w="2211" w:type="dxa"/>
          </w:tcPr>
          <w:p w14:paraId="7413ACBF" w14:textId="77777777" w:rsidR="009A3AE5" w:rsidRPr="000151BA" w:rsidRDefault="009A3AE5">
            <w:pPr>
              <w:rPr>
                <w:sz w:val="20"/>
                <w:szCs w:val="20"/>
              </w:rPr>
            </w:pPr>
            <w:r w:rsidRPr="000151BA">
              <w:rPr>
                <w:sz w:val="20"/>
                <w:szCs w:val="20"/>
              </w:rPr>
              <w:t>Budget (USD, rounded)</w:t>
            </w:r>
          </w:p>
        </w:tc>
      </w:tr>
      <w:tr w:rsidR="009A3AE5" w:rsidRPr="007D5DA9" w14:paraId="780F648D" w14:textId="77777777">
        <w:tc>
          <w:tcPr>
            <w:tcW w:w="4957" w:type="dxa"/>
          </w:tcPr>
          <w:p w14:paraId="25753427" w14:textId="77777777" w:rsidR="009A3AE5" w:rsidRPr="001B449B" w:rsidRDefault="009A3AE5" w:rsidP="005A1E47">
            <w:pPr>
              <w:rPr>
                <w:sz w:val="22"/>
              </w:rPr>
            </w:pPr>
            <w:r w:rsidRPr="001B449B">
              <w:rPr>
                <w:sz w:val="22"/>
              </w:rPr>
              <w:t>Evaluating Gender Gaps in Infrastructure</w:t>
            </w:r>
          </w:p>
        </w:tc>
        <w:tc>
          <w:tcPr>
            <w:tcW w:w="1842" w:type="dxa"/>
          </w:tcPr>
          <w:p w14:paraId="1C5E95EF" w14:textId="77777777" w:rsidR="009A3AE5" w:rsidRPr="001B449B" w:rsidRDefault="009A3AE5" w:rsidP="000151BA">
            <w:pPr>
              <w:jc w:val="center"/>
              <w:rPr>
                <w:sz w:val="22"/>
              </w:rPr>
            </w:pPr>
            <w:r w:rsidRPr="001B449B">
              <w:rPr>
                <w:sz w:val="22"/>
              </w:rPr>
              <w:t>TF0A2612</w:t>
            </w:r>
          </w:p>
        </w:tc>
        <w:tc>
          <w:tcPr>
            <w:tcW w:w="2211" w:type="dxa"/>
          </w:tcPr>
          <w:p w14:paraId="73AABC86" w14:textId="77777777" w:rsidR="009A3AE5" w:rsidRPr="001B449B" w:rsidRDefault="009A3AE5" w:rsidP="000151BA">
            <w:pPr>
              <w:jc w:val="right"/>
              <w:rPr>
                <w:sz w:val="22"/>
              </w:rPr>
            </w:pPr>
            <w:r w:rsidRPr="001B449B">
              <w:rPr>
                <w:sz w:val="22"/>
              </w:rPr>
              <w:t>250,000</w:t>
            </w:r>
          </w:p>
        </w:tc>
      </w:tr>
      <w:tr w:rsidR="009A3AE5" w:rsidRPr="007D5DA9" w14:paraId="452D03A4" w14:textId="77777777">
        <w:tc>
          <w:tcPr>
            <w:tcW w:w="4957" w:type="dxa"/>
          </w:tcPr>
          <w:p w14:paraId="01916971" w14:textId="77777777" w:rsidR="009A3AE5" w:rsidRPr="001B449B" w:rsidRDefault="009A3AE5" w:rsidP="005A1E47">
            <w:pPr>
              <w:rPr>
                <w:sz w:val="22"/>
              </w:rPr>
            </w:pPr>
            <w:r w:rsidRPr="001B449B">
              <w:rPr>
                <w:sz w:val="22"/>
              </w:rPr>
              <w:t>Creating GBV Community Networks</w:t>
            </w:r>
          </w:p>
        </w:tc>
        <w:tc>
          <w:tcPr>
            <w:tcW w:w="1842" w:type="dxa"/>
          </w:tcPr>
          <w:p w14:paraId="4286BD09" w14:textId="77777777" w:rsidR="009A3AE5" w:rsidRPr="001B449B" w:rsidRDefault="009A3AE5" w:rsidP="000151BA">
            <w:pPr>
              <w:jc w:val="center"/>
              <w:rPr>
                <w:sz w:val="22"/>
              </w:rPr>
            </w:pPr>
            <w:r w:rsidRPr="001B449B">
              <w:rPr>
                <w:sz w:val="22"/>
              </w:rPr>
              <w:t>TF017707</w:t>
            </w:r>
          </w:p>
        </w:tc>
        <w:tc>
          <w:tcPr>
            <w:tcW w:w="2211" w:type="dxa"/>
          </w:tcPr>
          <w:p w14:paraId="460EE9D2" w14:textId="77777777" w:rsidR="009A3AE5" w:rsidRPr="001B449B" w:rsidRDefault="009A3AE5" w:rsidP="000151BA">
            <w:pPr>
              <w:jc w:val="right"/>
              <w:rPr>
                <w:sz w:val="22"/>
              </w:rPr>
            </w:pPr>
            <w:r w:rsidRPr="001B449B">
              <w:rPr>
                <w:sz w:val="22"/>
              </w:rPr>
              <w:t>600,000</w:t>
            </w:r>
          </w:p>
        </w:tc>
      </w:tr>
      <w:tr w:rsidR="009A3AE5" w:rsidRPr="007D5DA9" w14:paraId="1104D644" w14:textId="77777777">
        <w:tc>
          <w:tcPr>
            <w:tcW w:w="4957" w:type="dxa"/>
          </w:tcPr>
          <w:p w14:paraId="6AF1890F" w14:textId="77777777" w:rsidR="009A3AE5" w:rsidRPr="001B449B" w:rsidRDefault="009A3AE5" w:rsidP="005A1E47">
            <w:pPr>
              <w:rPr>
                <w:sz w:val="22"/>
              </w:rPr>
            </w:pPr>
            <w:r w:rsidRPr="001B449B">
              <w:rPr>
                <w:sz w:val="22"/>
              </w:rPr>
              <w:lastRenderedPageBreak/>
              <w:t>South Asia Regional Facility for Women’s Economic Empowerment and Integration</w:t>
            </w:r>
          </w:p>
        </w:tc>
        <w:tc>
          <w:tcPr>
            <w:tcW w:w="1842" w:type="dxa"/>
          </w:tcPr>
          <w:p w14:paraId="4F240686" w14:textId="77777777" w:rsidR="009A3AE5" w:rsidRPr="001B449B" w:rsidRDefault="009A3AE5" w:rsidP="000151BA">
            <w:pPr>
              <w:jc w:val="center"/>
              <w:rPr>
                <w:sz w:val="22"/>
              </w:rPr>
            </w:pPr>
            <w:r w:rsidRPr="001B449B">
              <w:rPr>
                <w:sz w:val="22"/>
              </w:rPr>
              <w:t>TF016426</w:t>
            </w:r>
          </w:p>
        </w:tc>
        <w:tc>
          <w:tcPr>
            <w:tcW w:w="2211" w:type="dxa"/>
          </w:tcPr>
          <w:p w14:paraId="341B291C" w14:textId="77777777" w:rsidR="009A3AE5" w:rsidRPr="001B449B" w:rsidRDefault="009A3AE5" w:rsidP="000151BA">
            <w:pPr>
              <w:jc w:val="right"/>
              <w:rPr>
                <w:sz w:val="22"/>
              </w:rPr>
            </w:pPr>
            <w:r w:rsidRPr="001B449B">
              <w:rPr>
                <w:sz w:val="22"/>
              </w:rPr>
              <w:t>385,000</w:t>
            </w:r>
          </w:p>
        </w:tc>
      </w:tr>
    </w:tbl>
    <w:p w14:paraId="019C9FEF" w14:textId="77777777" w:rsidR="00EA5AA6" w:rsidRDefault="002F47C0" w:rsidP="007D1047">
      <w:pPr>
        <w:rPr>
          <w:sz w:val="22"/>
        </w:rPr>
      </w:pPr>
      <w:r w:rsidRPr="001B449B">
        <w:rPr>
          <w:sz w:val="22"/>
        </w:rPr>
        <w:t xml:space="preserve">The potential to make more </w:t>
      </w:r>
      <w:r w:rsidR="006B5EBE" w:rsidRPr="001B449B">
        <w:rPr>
          <w:sz w:val="22"/>
        </w:rPr>
        <w:t xml:space="preserve">progress </w:t>
      </w:r>
      <w:r w:rsidRPr="001B449B">
        <w:rPr>
          <w:sz w:val="22"/>
        </w:rPr>
        <w:t>on integrating gender</w:t>
      </w:r>
      <w:r w:rsidR="006B5EBE" w:rsidRPr="001B449B">
        <w:rPr>
          <w:sz w:val="22"/>
        </w:rPr>
        <w:t xml:space="preserve"> is </w:t>
      </w:r>
      <w:r w:rsidRPr="001B449B">
        <w:rPr>
          <w:sz w:val="22"/>
        </w:rPr>
        <w:t xml:space="preserve">enhanced by </w:t>
      </w:r>
      <w:r w:rsidR="006B5EBE" w:rsidRPr="001B449B">
        <w:rPr>
          <w:sz w:val="22"/>
        </w:rPr>
        <w:t>the</w:t>
      </w:r>
      <w:r w:rsidRPr="001B449B">
        <w:rPr>
          <w:sz w:val="22"/>
        </w:rPr>
        <w:t xml:space="preserve"> recent announcement by the</w:t>
      </w:r>
      <w:r w:rsidR="006B5EBE" w:rsidRPr="001B449B">
        <w:rPr>
          <w:sz w:val="22"/>
        </w:rPr>
        <w:t xml:space="preserve"> W</w:t>
      </w:r>
      <w:r w:rsidRPr="001B449B">
        <w:rPr>
          <w:sz w:val="22"/>
        </w:rPr>
        <w:t xml:space="preserve">orld </w:t>
      </w:r>
      <w:r w:rsidR="006B5EBE" w:rsidRPr="001B449B">
        <w:rPr>
          <w:sz w:val="22"/>
        </w:rPr>
        <w:t>B</w:t>
      </w:r>
      <w:r w:rsidRPr="001B449B">
        <w:rPr>
          <w:sz w:val="22"/>
        </w:rPr>
        <w:t>ank</w:t>
      </w:r>
      <w:r w:rsidR="006B5EBE" w:rsidRPr="001B449B">
        <w:rPr>
          <w:sz w:val="22"/>
        </w:rPr>
        <w:t xml:space="preserve"> Vice President for South Asia</w:t>
      </w:r>
      <w:r w:rsidRPr="001B449B">
        <w:rPr>
          <w:sz w:val="22"/>
        </w:rPr>
        <w:t>,</w:t>
      </w:r>
      <w:r w:rsidR="006B5EBE" w:rsidRPr="001B449B">
        <w:rPr>
          <w:sz w:val="22"/>
        </w:rPr>
        <w:t xml:space="preserve"> introdu</w:t>
      </w:r>
      <w:r w:rsidRPr="001B449B">
        <w:rPr>
          <w:sz w:val="22"/>
        </w:rPr>
        <w:t>cing</w:t>
      </w:r>
      <w:r w:rsidR="006B5EBE" w:rsidRPr="001B449B">
        <w:rPr>
          <w:sz w:val="22"/>
        </w:rPr>
        <w:t xml:space="preserve"> a regional commitment that 100 per cent of </w:t>
      </w:r>
      <w:r w:rsidRPr="001B449B">
        <w:rPr>
          <w:sz w:val="22"/>
        </w:rPr>
        <w:t xml:space="preserve">Bank </w:t>
      </w:r>
      <w:r w:rsidR="006B5EBE" w:rsidRPr="001B449B">
        <w:rPr>
          <w:sz w:val="22"/>
        </w:rPr>
        <w:t xml:space="preserve">operations for South Asia must be </w:t>
      </w:r>
      <w:r w:rsidRPr="001B449B">
        <w:rPr>
          <w:sz w:val="22"/>
        </w:rPr>
        <w:t>‘</w:t>
      </w:r>
      <w:r w:rsidR="006B5EBE" w:rsidRPr="001B449B">
        <w:rPr>
          <w:b/>
          <w:sz w:val="22"/>
        </w:rPr>
        <w:t>gender-tagged</w:t>
      </w:r>
      <w:r w:rsidRPr="001B449B">
        <w:rPr>
          <w:b/>
          <w:sz w:val="22"/>
        </w:rPr>
        <w:t>’.</w:t>
      </w:r>
      <w:r w:rsidR="006B5EBE" w:rsidRPr="001B449B">
        <w:rPr>
          <w:rStyle w:val="FootnoteReference"/>
          <w:b/>
          <w:sz w:val="22"/>
        </w:rPr>
        <w:footnoteReference w:id="75"/>
      </w:r>
      <w:r w:rsidR="006B5EBE" w:rsidRPr="001B449B">
        <w:rPr>
          <w:rStyle w:val="FootnoteReference"/>
          <w:b/>
          <w:sz w:val="22"/>
        </w:rPr>
        <w:t xml:space="preserve"> </w:t>
      </w:r>
      <w:r w:rsidR="006B5EBE" w:rsidRPr="001B449B">
        <w:rPr>
          <w:sz w:val="22"/>
        </w:rPr>
        <w:t xml:space="preserve">This target does not yet include </w:t>
      </w:r>
      <w:r w:rsidRPr="001B449B">
        <w:rPr>
          <w:sz w:val="22"/>
        </w:rPr>
        <w:t xml:space="preserve">the sort of </w:t>
      </w:r>
      <w:r w:rsidR="006B5EBE" w:rsidRPr="001B449B">
        <w:rPr>
          <w:sz w:val="22"/>
        </w:rPr>
        <w:t>analytical work</w:t>
      </w:r>
      <w:r w:rsidRPr="001B449B">
        <w:rPr>
          <w:sz w:val="22"/>
        </w:rPr>
        <w:t xml:space="preserve"> performed by IFG projects</w:t>
      </w:r>
      <w:r w:rsidR="006B5EBE" w:rsidRPr="001B449B">
        <w:rPr>
          <w:sz w:val="22"/>
        </w:rPr>
        <w:t>, however considering the global target is 55 per cent for all World Bank projects this is encouraging.</w:t>
      </w:r>
    </w:p>
    <w:p w14:paraId="70B05443" w14:textId="77777777" w:rsidR="000301B5" w:rsidRPr="007D5DA9" w:rsidRDefault="00FC0D71" w:rsidP="004A08B3">
      <w:pPr>
        <w:pStyle w:val="KeyFinding"/>
      </w:pPr>
      <w:r w:rsidRPr="007D5DA9">
        <w:t>Where the teams have the capacity, technical know-how and resources to follow up on gender issues, they are more likely to do it.</w:t>
      </w:r>
    </w:p>
    <w:p w14:paraId="379D7046" w14:textId="4CE2325D" w:rsidR="000301B5" w:rsidRPr="001B449B" w:rsidRDefault="000301B5" w:rsidP="005A1E47">
      <w:pPr>
        <w:rPr>
          <w:sz w:val="22"/>
        </w:rPr>
      </w:pPr>
      <w:r w:rsidRPr="001B449B">
        <w:rPr>
          <w:sz w:val="22"/>
        </w:rPr>
        <w:t>As mentioned previously,</w:t>
      </w:r>
      <w:r w:rsidR="002230FA" w:rsidRPr="001B449B">
        <w:rPr>
          <w:sz w:val="22"/>
        </w:rPr>
        <w:t xml:space="preserve"> sectors such as infrastructure and energy within the </w:t>
      </w:r>
      <w:r w:rsidRPr="001B449B">
        <w:rPr>
          <w:sz w:val="22"/>
        </w:rPr>
        <w:t xml:space="preserve">World Bank operate in a </w:t>
      </w:r>
      <w:r w:rsidR="002230FA" w:rsidRPr="001B449B">
        <w:rPr>
          <w:sz w:val="22"/>
        </w:rPr>
        <w:t xml:space="preserve">traditionally </w:t>
      </w:r>
      <w:r w:rsidRPr="001B449B">
        <w:rPr>
          <w:sz w:val="22"/>
        </w:rPr>
        <w:t>‘gender-blind’ space</w:t>
      </w:r>
      <w:r w:rsidR="0079498B">
        <w:rPr>
          <w:sz w:val="22"/>
        </w:rPr>
        <w:t>.</w:t>
      </w:r>
      <w:r w:rsidR="002230FA" w:rsidRPr="001B449B">
        <w:rPr>
          <w:rStyle w:val="FootnoteReference"/>
          <w:sz w:val="22"/>
        </w:rPr>
        <w:footnoteReference w:id="76"/>
      </w:r>
      <w:r w:rsidRPr="001B449B">
        <w:rPr>
          <w:sz w:val="22"/>
        </w:rPr>
        <w:t xml:space="preserve"> Staff develop their work </w:t>
      </w:r>
      <w:r w:rsidR="00BB7DBB">
        <w:rPr>
          <w:sz w:val="22"/>
        </w:rPr>
        <w:t>based on</w:t>
      </w:r>
      <w:r w:rsidRPr="001B449B">
        <w:rPr>
          <w:sz w:val="22"/>
        </w:rPr>
        <w:t xml:space="preserve"> existing processes, with little incentive to break out of these habits, for instance by introducing gender equality concerns. Unless staff are already accustomed to reflecting on gender equality and possess the technical skills to operationalise it</w:t>
      </w:r>
      <w:r w:rsidR="00B41511">
        <w:rPr>
          <w:sz w:val="22"/>
        </w:rPr>
        <w:t xml:space="preserve">, </w:t>
      </w:r>
      <w:r w:rsidRPr="001B449B">
        <w:rPr>
          <w:sz w:val="22"/>
        </w:rPr>
        <w:t xml:space="preserve">the involvement of IFG does not of itself inculcate new habits. Some WB staff explained that even where wider stakeholder consultation was included in project design (with the objective of including the concerns of women), there were few opportunities to integrate gender concerns into the project. This is because the </w:t>
      </w:r>
      <w:r w:rsidR="000C5A45">
        <w:rPr>
          <w:sz w:val="22"/>
        </w:rPr>
        <w:t xml:space="preserve">gender </w:t>
      </w:r>
      <w:r w:rsidRPr="001B449B">
        <w:rPr>
          <w:sz w:val="22"/>
        </w:rPr>
        <w:t>inte</w:t>
      </w:r>
      <w:r w:rsidR="000C5A45">
        <w:rPr>
          <w:sz w:val="22"/>
        </w:rPr>
        <w:t>gration</w:t>
      </w:r>
      <w:r w:rsidRPr="001B449B">
        <w:rPr>
          <w:sz w:val="22"/>
        </w:rPr>
        <w:t xml:space="preserve"> point in the project </w:t>
      </w:r>
      <w:r w:rsidR="000C5A45">
        <w:rPr>
          <w:sz w:val="22"/>
        </w:rPr>
        <w:t xml:space="preserve">should have been early in the design process </w:t>
      </w:r>
      <w:r w:rsidR="00B41511">
        <w:rPr>
          <w:sz w:val="22"/>
        </w:rPr>
        <w:t xml:space="preserve">addressing </w:t>
      </w:r>
      <w:r w:rsidRPr="001B449B">
        <w:rPr>
          <w:sz w:val="22"/>
        </w:rPr>
        <w:t xml:space="preserve">the </w:t>
      </w:r>
      <w:r w:rsidRPr="001B449B">
        <w:rPr>
          <w:b/>
          <w:sz w:val="22"/>
        </w:rPr>
        <w:t>social or economic challenges</w:t>
      </w:r>
      <w:r w:rsidR="000C5A45">
        <w:rPr>
          <w:b/>
          <w:sz w:val="22"/>
        </w:rPr>
        <w:t xml:space="preserve"> </w:t>
      </w:r>
      <w:r w:rsidRPr="001B449B">
        <w:rPr>
          <w:sz w:val="22"/>
        </w:rPr>
        <w:t>of how to make infrastructure more inclusive and thus</w:t>
      </w:r>
      <w:r w:rsidR="00B41511">
        <w:rPr>
          <w:sz w:val="22"/>
        </w:rPr>
        <w:t xml:space="preserve"> </w:t>
      </w:r>
      <w:r w:rsidRPr="001B449B">
        <w:rPr>
          <w:sz w:val="22"/>
        </w:rPr>
        <w:t xml:space="preserve">transformational. </w:t>
      </w:r>
    </w:p>
    <w:p w14:paraId="2DE8FC08" w14:textId="5A1C2D45" w:rsidR="000301B5" w:rsidRPr="001B449B" w:rsidRDefault="00B80FB6">
      <w:pPr>
        <w:rPr>
          <w:sz w:val="22"/>
        </w:rPr>
      </w:pPr>
      <w:r>
        <w:rPr>
          <w:sz w:val="22"/>
        </w:rPr>
        <w:t>S</w:t>
      </w:r>
      <w:r w:rsidR="00B331DD">
        <w:rPr>
          <w:sz w:val="22"/>
        </w:rPr>
        <w:t xml:space="preserve">ome World Bank staff interviewed </w:t>
      </w:r>
      <w:r>
        <w:rPr>
          <w:sz w:val="22"/>
        </w:rPr>
        <w:t xml:space="preserve">articulated </w:t>
      </w:r>
      <w:r w:rsidR="00B331DD">
        <w:rPr>
          <w:sz w:val="22"/>
        </w:rPr>
        <w:t>how a gender lens can be applied in the context of the projects they manage</w:t>
      </w:r>
      <w:r>
        <w:rPr>
          <w:sz w:val="22"/>
        </w:rPr>
        <w:t>,</w:t>
      </w:r>
      <w:r w:rsidR="00B331DD">
        <w:rPr>
          <w:sz w:val="22"/>
        </w:rPr>
        <w:t xml:space="preserve"> but for many others it was not</w:t>
      </w:r>
      <w:r>
        <w:rPr>
          <w:sz w:val="22"/>
        </w:rPr>
        <w:t xml:space="preserve"> obvious</w:t>
      </w:r>
      <w:r w:rsidR="00B331DD">
        <w:rPr>
          <w:sz w:val="22"/>
        </w:rPr>
        <w:t>.</w:t>
      </w:r>
      <w:r w:rsidR="005E1DA0" w:rsidRPr="001B449B">
        <w:rPr>
          <w:rStyle w:val="FootnoteReference"/>
          <w:sz w:val="22"/>
        </w:rPr>
        <w:footnoteReference w:id="77"/>
      </w:r>
      <w:r w:rsidR="000301B5" w:rsidRPr="001B449B">
        <w:rPr>
          <w:sz w:val="22"/>
        </w:rPr>
        <w:t xml:space="preserve"> For instance, it was mentioned by Bank staff that macroeconomic assessments do not always ask social questions</w:t>
      </w:r>
      <w:r w:rsidR="00333DC4">
        <w:rPr>
          <w:sz w:val="22"/>
        </w:rPr>
        <w:t>. This may result in the lack of</w:t>
      </w:r>
      <w:r w:rsidR="00984A46">
        <w:rPr>
          <w:sz w:val="22"/>
        </w:rPr>
        <w:t xml:space="preserve"> seeing</w:t>
      </w:r>
      <w:r w:rsidR="000301B5" w:rsidRPr="001B449B">
        <w:rPr>
          <w:sz w:val="22"/>
        </w:rPr>
        <w:t xml:space="preserve"> a logical entry point to include gender. This highlights the need for</w:t>
      </w:r>
      <w:r w:rsidR="001754C6" w:rsidRPr="001B449B">
        <w:rPr>
          <w:sz w:val="22"/>
        </w:rPr>
        <w:t xml:space="preserve"> internal WB support for</w:t>
      </w:r>
      <w:r w:rsidR="000301B5" w:rsidRPr="001B449B">
        <w:rPr>
          <w:sz w:val="22"/>
        </w:rPr>
        <w:t xml:space="preserve"> </w:t>
      </w:r>
      <w:r w:rsidR="00541F9F" w:rsidRPr="001B449B">
        <w:rPr>
          <w:sz w:val="22"/>
        </w:rPr>
        <w:t xml:space="preserve">more </w:t>
      </w:r>
      <w:r w:rsidR="000301B5" w:rsidRPr="001B449B">
        <w:rPr>
          <w:sz w:val="22"/>
        </w:rPr>
        <w:t>input from the Bank’s Gender and Social Development team and the respective Global Practice Gender Focal Points to address this gap between aspiration and practice. If it is not considered at the project design stage, then it becomes harder to integrate later, thus almost inevitably gender becomes a generic cross-cutting theme, attached to projects as an afterthought, or diverted into a niche side project.</w:t>
      </w:r>
    </w:p>
    <w:p w14:paraId="5E198723" w14:textId="77777777" w:rsidR="000301B5" w:rsidRPr="007D5DA9" w:rsidRDefault="00FC0D71">
      <w:pPr>
        <w:pStyle w:val="KeyFinding"/>
      </w:pPr>
      <w:r w:rsidRPr="007D5DA9">
        <w:t>IFG has contributed to improving the enabling environment for gender equality being integrated into future infrastructure projects.</w:t>
      </w:r>
    </w:p>
    <w:p w14:paraId="14904989" w14:textId="78CCB76C" w:rsidR="00435C40" w:rsidRPr="00B80FB6" w:rsidRDefault="000301B5" w:rsidP="00B80FB6">
      <w:pPr>
        <w:rPr>
          <w:sz w:val="22"/>
        </w:rPr>
      </w:pPr>
      <w:r w:rsidRPr="001B449B">
        <w:rPr>
          <w:sz w:val="22"/>
        </w:rPr>
        <w:t xml:space="preserve">Including gender as a cross-cutting theme in IFG has not yet led to significant advances for gender equality within </w:t>
      </w:r>
      <w:r w:rsidR="00436B92">
        <w:rPr>
          <w:sz w:val="22"/>
        </w:rPr>
        <w:t xml:space="preserve">the </w:t>
      </w:r>
      <w:r w:rsidRPr="001B449B">
        <w:rPr>
          <w:sz w:val="22"/>
        </w:rPr>
        <w:t xml:space="preserve">IFG </w:t>
      </w:r>
      <w:r w:rsidRPr="001B449B">
        <w:rPr>
          <w:iCs/>
          <w:sz w:val="22"/>
        </w:rPr>
        <w:t>projects</w:t>
      </w:r>
      <w:r w:rsidR="00436B92">
        <w:rPr>
          <w:iCs/>
          <w:sz w:val="22"/>
        </w:rPr>
        <w:t xml:space="preserve"> analysed for this evaluation</w:t>
      </w:r>
      <w:r w:rsidRPr="001B449B">
        <w:rPr>
          <w:sz w:val="22"/>
        </w:rPr>
        <w:t>.</w:t>
      </w:r>
      <w:r w:rsidR="00253DE0">
        <w:rPr>
          <w:rStyle w:val="FootnoteReference"/>
          <w:sz w:val="22"/>
        </w:rPr>
        <w:footnoteReference w:id="78"/>
      </w:r>
      <w:r w:rsidRPr="001B449B">
        <w:rPr>
          <w:sz w:val="22"/>
        </w:rPr>
        <w:t xml:space="preserve"> However, the World Bank cultivates long term relationships with partner governments </w:t>
      </w:r>
      <w:r w:rsidR="00BF634C" w:rsidRPr="001B449B">
        <w:rPr>
          <w:sz w:val="22"/>
        </w:rPr>
        <w:t>to</w:t>
      </w:r>
      <w:r w:rsidRPr="001B449B">
        <w:rPr>
          <w:sz w:val="22"/>
        </w:rPr>
        <w:t xml:space="preserve"> manage multi-year loans for infrastructure, energy and transport. The involvement of IFG in many of these relationships and deals has stimulated an evolution in the way gender issues are discussed and respected when larg</w:t>
      </w:r>
      <w:r w:rsidR="00B80FB6">
        <w:rPr>
          <w:sz w:val="22"/>
        </w:rPr>
        <w:t xml:space="preserve">e projects are being planned.  </w:t>
      </w:r>
    </w:p>
    <w:p w14:paraId="7E61CFAD" w14:textId="77777777" w:rsidR="000301B5" w:rsidRPr="00166A23" w:rsidRDefault="000301B5" w:rsidP="002749C9">
      <w:pPr>
        <w:pStyle w:val="Heading1"/>
      </w:pPr>
      <w:bookmarkStart w:id="21" w:name="_Toc517615242"/>
      <w:r>
        <w:t xml:space="preserve">Part Two: </w:t>
      </w:r>
      <w:r w:rsidRPr="00166A23">
        <w:t>Evaluation of SARTFP</w:t>
      </w:r>
      <w:bookmarkEnd w:id="21"/>
    </w:p>
    <w:p w14:paraId="096927EC" w14:textId="77777777" w:rsidR="000301B5" w:rsidRPr="007D5DA9" w:rsidRDefault="000301B5" w:rsidP="002749C9">
      <w:pPr>
        <w:pStyle w:val="Heading2"/>
      </w:pPr>
      <w:bookmarkStart w:id="22" w:name="_Toc517615243"/>
      <w:r w:rsidRPr="007D5DA9">
        <w:t>Effectiveness</w:t>
      </w:r>
      <w:bookmarkEnd w:id="22"/>
    </w:p>
    <w:p w14:paraId="222D36D1" w14:textId="77777777" w:rsidR="000301B5" w:rsidRPr="001B449B" w:rsidRDefault="000301B5" w:rsidP="002749C9">
      <w:pPr>
        <w:rPr>
          <w:color w:val="FF0000"/>
          <w:sz w:val="22"/>
        </w:rPr>
      </w:pPr>
      <w:r w:rsidRPr="001B449B">
        <w:rPr>
          <w:color w:val="FF0000"/>
          <w:sz w:val="22"/>
        </w:rPr>
        <w:t>Rating: 3 - Findings are supported by good evidence</w:t>
      </w:r>
    </w:p>
    <w:p w14:paraId="3B9CBE9A" w14:textId="76A150D1" w:rsidR="00FC0D71" w:rsidRPr="001B449B" w:rsidRDefault="005024D3" w:rsidP="002749C9">
      <w:pPr>
        <w:rPr>
          <w:sz w:val="22"/>
        </w:rPr>
      </w:pPr>
      <w:r>
        <w:rPr>
          <w:sz w:val="22"/>
        </w:rPr>
        <w:lastRenderedPageBreak/>
        <w:t>Based on the findings</w:t>
      </w:r>
      <w:r w:rsidR="0075236A">
        <w:rPr>
          <w:sz w:val="22"/>
        </w:rPr>
        <w:t>,</w:t>
      </w:r>
      <w:r>
        <w:rPr>
          <w:sz w:val="22"/>
        </w:rPr>
        <w:t xml:space="preserve"> </w:t>
      </w:r>
      <w:r w:rsidR="00EF49C0">
        <w:rPr>
          <w:sz w:val="22"/>
        </w:rPr>
        <w:t xml:space="preserve">outlined </w:t>
      </w:r>
      <w:r>
        <w:rPr>
          <w:sz w:val="22"/>
        </w:rPr>
        <w:t>below, there are</w:t>
      </w:r>
      <w:r w:rsidR="001E3413">
        <w:rPr>
          <w:sz w:val="22"/>
        </w:rPr>
        <w:t xml:space="preserve"> </w:t>
      </w:r>
      <w:r w:rsidR="00FC0D71" w:rsidRPr="001B449B">
        <w:rPr>
          <w:sz w:val="22"/>
        </w:rPr>
        <w:t>indications</w:t>
      </w:r>
      <w:r w:rsidR="00436B92">
        <w:rPr>
          <w:sz w:val="22"/>
        </w:rPr>
        <w:t xml:space="preserve"> </w:t>
      </w:r>
      <w:r w:rsidR="00FC0D71" w:rsidRPr="001B449B">
        <w:rPr>
          <w:sz w:val="22"/>
        </w:rPr>
        <w:t xml:space="preserve">of development outcomes resulting from SARTFP (including contributions to regional connectivity, trade facilitation and gender) beginning to emerge. </w:t>
      </w:r>
      <w:r w:rsidR="00FC0D71" w:rsidRPr="001B449B">
        <w:rPr>
          <w:b/>
          <w:sz w:val="22"/>
        </w:rPr>
        <w:t>These are strongest at the micro level</w:t>
      </w:r>
      <w:r w:rsidR="00FC0D71" w:rsidRPr="001B449B">
        <w:rPr>
          <w:sz w:val="22"/>
        </w:rPr>
        <w:t xml:space="preserve"> (for instance cross-border markets, inland waterways). It will help monitoring and evaluation to be better aligned with the nature of the program if the Medium-Term Outcomes (MTOs) were renamed as </w:t>
      </w:r>
      <w:r w:rsidR="001E3413" w:rsidRPr="001B449B">
        <w:rPr>
          <w:sz w:val="22"/>
        </w:rPr>
        <w:t>long-term</w:t>
      </w:r>
      <w:r w:rsidR="00C630AB" w:rsidRPr="001B449B">
        <w:rPr>
          <w:sz w:val="22"/>
        </w:rPr>
        <w:t xml:space="preserve"> outcomes. Developing </w:t>
      </w:r>
      <w:r w:rsidR="00FC0D71" w:rsidRPr="001B449B">
        <w:rPr>
          <w:sz w:val="22"/>
        </w:rPr>
        <w:t>some short</w:t>
      </w:r>
      <w:r w:rsidR="001E3413">
        <w:rPr>
          <w:sz w:val="22"/>
        </w:rPr>
        <w:t>-</w:t>
      </w:r>
      <w:r w:rsidR="00FC0D71" w:rsidRPr="001B449B">
        <w:rPr>
          <w:sz w:val="22"/>
        </w:rPr>
        <w:t xml:space="preserve"> to medium</w:t>
      </w:r>
      <w:r w:rsidR="001E3413">
        <w:rPr>
          <w:sz w:val="22"/>
        </w:rPr>
        <w:t>-</w:t>
      </w:r>
      <w:r w:rsidR="00FC0D71" w:rsidRPr="001B449B">
        <w:rPr>
          <w:sz w:val="22"/>
        </w:rPr>
        <w:t xml:space="preserve">term outputs and indicators </w:t>
      </w:r>
      <w:r w:rsidR="00C630AB" w:rsidRPr="001B449B">
        <w:rPr>
          <w:sz w:val="22"/>
        </w:rPr>
        <w:t xml:space="preserve">would then </w:t>
      </w:r>
      <w:r w:rsidR="00FC0D71" w:rsidRPr="001B449B">
        <w:rPr>
          <w:sz w:val="22"/>
        </w:rPr>
        <w:t>enable such results to inform course correction by the program where needed.</w:t>
      </w:r>
    </w:p>
    <w:p w14:paraId="0748E926" w14:textId="77777777" w:rsidR="00E03429" w:rsidRPr="001B449B" w:rsidRDefault="00FC0D71" w:rsidP="002749C9">
      <w:pPr>
        <w:rPr>
          <w:sz w:val="22"/>
        </w:rPr>
      </w:pPr>
      <w:r w:rsidRPr="001B449B">
        <w:rPr>
          <w:sz w:val="22"/>
        </w:rPr>
        <w:t xml:space="preserve">The program strategy encourages SARTFP to be more </w:t>
      </w:r>
      <w:r w:rsidRPr="00734056">
        <w:rPr>
          <w:sz w:val="22"/>
        </w:rPr>
        <w:t>innovative</w:t>
      </w:r>
      <w:r w:rsidRPr="001B449B">
        <w:rPr>
          <w:sz w:val="22"/>
        </w:rPr>
        <w:t xml:space="preserve"> than IFG, with an appreciation </w:t>
      </w:r>
      <w:r w:rsidR="003B3DF0" w:rsidRPr="001B449B">
        <w:rPr>
          <w:sz w:val="22"/>
        </w:rPr>
        <w:t xml:space="preserve">by the donor </w:t>
      </w:r>
      <w:r w:rsidRPr="001B449B">
        <w:rPr>
          <w:sz w:val="22"/>
        </w:rPr>
        <w:t xml:space="preserve">that </w:t>
      </w:r>
      <w:r w:rsidR="00794708" w:rsidRPr="001B449B">
        <w:rPr>
          <w:sz w:val="22"/>
        </w:rPr>
        <w:t xml:space="preserve">encouraging </w:t>
      </w:r>
      <w:r w:rsidRPr="001B449B">
        <w:rPr>
          <w:sz w:val="22"/>
        </w:rPr>
        <w:t xml:space="preserve">innovation </w:t>
      </w:r>
      <w:r w:rsidR="001E3413">
        <w:rPr>
          <w:sz w:val="22"/>
        </w:rPr>
        <w:t>means</w:t>
      </w:r>
      <w:r w:rsidRPr="001B449B">
        <w:rPr>
          <w:sz w:val="22"/>
        </w:rPr>
        <w:t xml:space="preserve"> greater uncertainty </w:t>
      </w:r>
      <w:r w:rsidR="001E3413">
        <w:rPr>
          <w:sz w:val="22"/>
        </w:rPr>
        <w:t>around</w:t>
      </w:r>
      <w:r w:rsidR="001E3413" w:rsidRPr="001B449B">
        <w:rPr>
          <w:sz w:val="22"/>
        </w:rPr>
        <w:t xml:space="preserve"> </w:t>
      </w:r>
      <w:r w:rsidRPr="001B449B">
        <w:rPr>
          <w:sz w:val="22"/>
        </w:rPr>
        <w:t>the likelihood of positive impact and the time it takes for measurable outcomes to emerge.</w:t>
      </w:r>
      <w:r w:rsidR="00A251FA" w:rsidRPr="001B449B">
        <w:rPr>
          <w:rStyle w:val="FootnoteReference"/>
          <w:sz w:val="22"/>
        </w:rPr>
        <w:footnoteReference w:id="79"/>
      </w:r>
      <w:r w:rsidRPr="001B449B">
        <w:rPr>
          <w:sz w:val="22"/>
        </w:rPr>
        <w:t xml:space="preserve"> Innovation carries the risk of failure, but with the possibility of more profound success that can be replicated elsewhere at lower risk.</w:t>
      </w:r>
      <w:r w:rsidR="00BC375A" w:rsidRPr="001B449B">
        <w:rPr>
          <w:rStyle w:val="FootnoteReference"/>
          <w:sz w:val="22"/>
        </w:rPr>
        <w:footnoteReference w:id="80"/>
      </w:r>
      <w:r w:rsidRPr="001B449B">
        <w:rPr>
          <w:sz w:val="22"/>
        </w:rPr>
        <w:t xml:space="preserve"> Because innovation requires an adaptable project design that reacts quickly to changing outputs, this also calls for</w:t>
      </w:r>
      <w:r w:rsidR="00BC375A" w:rsidRPr="001B449B">
        <w:rPr>
          <w:sz w:val="22"/>
        </w:rPr>
        <w:t xml:space="preserve"> more agile</w:t>
      </w:r>
      <w:r w:rsidRPr="001B449B">
        <w:rPr>
          <w:sz w:val="22"/>
        </w:rPr>
        <w:t xml:space="preserve"> approaches to managing performance.</w:t>
      </w:r>
      <w:r w:rsidR="00BC375A" w:rsidRPr="001B449B">
        <w:rPr>
          <w:rStyle w:val="FootnoteReference"/>
          <w:sz w:val="22"/>
        </w:rPr>
        <w:footnoteReference w:id="81"/>
      </w:r>
      <w:r w:rsidRPr="001B449B">
        <w:rPr>
          <w:sz w:val="22"/>
        </w:rPr>
        <w:t xml:space="preserve"> This makes it </w:t>
      </w:r>
      <w:r w:rsidR="001E3413">
        <w:rPr>
          <w:sz w:val="22"/>
        </w:rPr>
        <w:t xml:space="preserve">crucial for </w:t>
      </w:r>
      <w:r w:rsidRPr="001B449B">
        <w:rPr>
          <w:sz w:val="22"/>
        </w:rPr>
        <w:t xml:space="preserve">SARTFP work </w:t>
      </w:r>
      <w:r w:rsidR="001E3413">
        <w:rPr>
          <w:sz w:val="22"/>
        </w:rPr>
        <w:t xml:space="preserve">to be </w:t>
      </w:r>
      <w:r w:rsidRPr="001B449B">
        <w:rPr>
          <w:sz w:val="22"/>
        </w:rPr>
        <w:t>measured and communicated effectively. However, SARTFP is not yet effective in this area. Where results are reported, they are not set in context or analysed in a manner that will lead to lessons being learned and the approach adjusted where necessary. Reports of effectiveness are not verified or independently verifiable</w:t>
      </w:r>
      <w:r w:rsidR="001E3413">
        <w:rPr>
          <w:sz w:val="22"/>
        </w:rPr>
        <w:t>,</w:t>
      </w:r>
      <w:r w:rsidRPr="001B449B">
        <w:rPr>
          <w:sz w:val="22"/>
        </w:rPr>
        <w:t xml:space="preserve"> </w:t>
      </w:r>
      <w:r w:rsidR="001E3413">
        <w:rPr>
          <w:sz w:val="22"/>
        </w:rPr>
        <w:t>m</w:t>
      </w:r>
      <w:r w:rsidRPr="001B449B">
        <w:rPr>
          <w:sz w:val="22"/>
        </w:rPr>
        <w:t>aking it hard for DFAT and other program partners to obtain a clear picture. However, the Donor Steering Committee has provided a better overview of what has been happening within SARTFP, which has helped DFAT to better understand the objectives and results of the activities.</w:t>
      </w:r>
    </w:p>
    <w:p w14:paraId="13250A0F" w14:textId="77777777" w:rsidR="002E225E" w:rsidRPr="005A1E47" w:rsidRDefault="002E225E" w:rsidP="002749C9">
      <w:pPr>
        <w:pStyle w:val="recommendation"/>
        <w:rPr>
          <w:lang w:val="en-AU"/>
        </w:rPr>
      </w:pPr>
      <w:r>
        <w:t>Recommendation</w:t>
      </w:r>
    </w:p>
    <w:p w14:paraId="0EFF9E38" w14:textId="30000097" w:rsidR="002E225E" w:rsidRPr="00FC0D71" w:rsidRDefault="00954645" w:rsidP="004C3817">
      <w:pPr>
        <w:pStyle w:val="recommendation"/>
        <w:ind w:left="360"/>
        <w:rPr>
          <w:lang w:val="en-AU"/>
        </w:rPr>
      </w:pPr>
      <w:bookmarkStart w:id="23" w:name="_Hlk514052595"/>
      <w:bookmarkStart w:id="24" w:name="_Hlk514052574"/>
      <w:r>
        <w:t xml:space="preserve">2. </w:t>
      </w:r>
      <w:r w:rsidR="002E225E" w:rsidRPr="00FC0D71">
        <w:t>Consider renaming the Medium-Term Outcomes (MTOs) as long ter</w:t>
      </w:r>
      <w:r w:rsidR="00157FB3">
        <w:t>m</w:t>
      </w:r>
      <w:r w:rsidR="00435C40">
        <w:t>, and d</w:t>
      </w:r>
      <w:r w:rsidR="002E225E" w:rsidRPr="00FC0D71">
        <w:t>evelop short</w:t>
      </w:r>
      <w:r w:rsidR="00435C40">
        <w:t>-</w:t>
      </w:r>
      <w:r w:rsidR="002E225E" w:rsidRPr="00FC0D71">
        <w:t xml:space="preserve"> to medium</w:t>
      </w:r>
      <w:r w:rsidR="00435C40">
        <w:t>-</w:t>
      </w:r>
      <w:r w:rsidR="002E225E" w:rsidRPr="00FC0D71">
        <w:t>term outputs and indicators to enable results to inform course correction by the program</w:t>
      </w:r>
      <w:bookmarkEnd w:id="23"/>
      <w:r w:rsidR="002E225E" w:rsidRPr="00FC0D71">
        <w:t>.</w:t>
      </w:r>
      <w:r w:rsidR="002E225E" w:rsidRPr="00FC0D71">
        <w:rPr>
          <w:lang w:val="en-AU"/>
        </w:rPr>
        <w:t xml:space="preserve"> </w:t>
      </w:r>
    </w:p>
    <w:bookmarkEnd w:id="24"/>
    <w:p w14:paraId="7F6589BB" w14:textId="77777777" w:rsidR="002E225E" w:rsidRPr="001B449B" w:rsidRDefault="002E225E" w:rsidP="004F53EC">
      <w:pPr>
        <w:rPr>
          <w:sz w:val="22"/>
        </w:rPr>
      </w:pPr>
    </w:p>
    <w:tbl>
      <w:tblPr>
        <w:tblStyle w:val="TableGrid"/>
        <w:tblW w:w="0" w:type="auto"/>
        <w:tblLook w:val="04A0" w:firstRow="1" w:lastRow="0" w:firstColumn="1" w:lastColumn="0" w:noHBand="0" w:noVBand="1"/>
      </w:tblPr>
      <w:tblGrid>
        <w:gridCol w:w="9010"/>
      </w:tblGrid>
      <w:tr w:rsidR="00E03429" w:rsidRPr="007D5DA9" w14:paraId="573E9293" w14:textId="77777777">
        <w:trPr>
          <w:trHeight w:val="1550"/>
        </w:trPr>
        <w:tc>
          <w:tcPr>
            <w:tcW w:w="9010" w:type="dxa"/>
          </w:tcPr>
          <w:p w14:paraId="7561BE65" w14:textId="77777777" w:rsidR="00E03429" w:rsidRPr="001B449B" w:rsidRDefault="00E03429" w:rsidP="001A78AF">
            <w:pPr>
              <w:rPr>
                <w:sz w:val="22"/>
              </w:rPr>
            </w:pPr>
            <w:r w:rsidRPr="001B449B">
              <w:rPr>
                <w:sz w:val="22"/>
              </w:rPr>
              <w:t>Most relevant Medium-Term Outcomes to this section:</w:t>
            </w:r>
          </w:p>
          <w:p w14:paraId="41D22572" w14:textId="77777777" w:rsidR="00E03429" w:rsidRPr="001B449B" w:rsidRDefault="00E03429" w:rsidP="001A78AF">
            <w:pPr>
              <w:rPr>
                <w:sz w:val="22"/>
              </w:rPr>
            </w:pPr>
            <w:r w:rsidRPr="001B449B">
              <w:rPr>
                <w:b/>
                <w:bCs/>
                <w:sz w:val="22"/>
              </w:rPr>
              <w:t>MTO B</w:t>
            </w:r>
            <w:r w:rsidRPr="001B449B">
              <w:rPr>
                <w:sz w:val="22"/>
              </w:rPr>
              <w:t xml:space="preserve">: Governments in </w:t>
            </w:r>
            <w:r w:rsidR="003B5914" w:rsidRPr="003B5914">
              <w:rPr>
                <w:sz w:val="22"/>
              </w:rPr>
              <w:t xml:space="preserve">Bangladesh, Bhutan, India, Nepal </w:t>
            </w:r>
            <w:r w:rsidR="003B5914">
              <w:rPr>
                <w:sz w:val="22"/>
              </w:rPr>
              <w:t>(</w:t>
            </w:r>
            <w:r w:rsidRPr="001B449B">
              <w:rPr>
                <w:sz w:val="22"/>
              </w:rPr>
              <w:t>BBIN countries</w:t>
            </w:r>
            <w:r w:rsidR="003B5914">
              <w:rPr>
                <w:sz w:val="22"/>
              </w:rPr>
              <w:t>)</w:t>
            </w:r>
            <w:r w:rsidRPr="001B449B">
              <w:rPr>
                <w:sz w:val="22"/>
              </w:rPr>
              <w:t xml:space="preserve"> make </w:t>
            </w:r>
            <w:r w:rsidRPr="001B449B">
              <w:rPr>
                <w:b/>
                <w:bCs/>
                <w:sz w:val="22"/>
              </w:rPr>
              <w:t xml:space="preserve">complementary investments </w:t>
            </w:r>
            <w:r w:rsidRPr="001B449B">
              <w:rPr>
                <w:sz w:val="22"/>
              </w:rPr>
              <w:t>in trade facilitation, cross-border transport connectivity, and local economic opportunity that directly benefit women</w:t>
            </w:r>
          </w:p>
          <w:p w14:paraId="35F370E3" w14:textId="77777777" w:rsidR="00E03429" w:rsidRPr="001B449B" w:rsidRDefault="00E03429" w:rsidP="000B5B50">
            <w:pPr>
              <w:rPr>
                <w:sz w:val="22"/>
              </w:rPr>
            </w:pPr>
            <w:r w:rsidRPr="001B449B">
              <w:rPr>
                <w:b/>
                <w:bCs/>
                <w:sz w:val="22"/>
              </w:rPr>
              <w:t>MTO C</w:t>
            </w:r>
            <w:r w:rsidRPr="001B449B">
              <w:rPr>
                <w:sz w:val="22"/>
              </w:rPr>
              <w:t xml:space="preserve">: Governments in BBIN countries take </w:t>
            </w:r>
            <w:r w:rsidRPr="001B449B">
              <w:rPr>
                <w:b/>
                <w:bCs/>
                <w:sz w:val="22"/>
              </w:rPr>
              <w:t xml:space="preserve">regulatory and operational measures </w:t>
            </w:r>
            <w:r w:rsidRPr="001B449B">
              <w:rPr>
                <w:sz w:val="22"/>
              </w:rPr>
              <w:t xml:space="preserve">in trade facilitation, cross-border transport connectivity, and local economic opportunity, that directly benefit women. </w:t>
            </w:r>
          </w:p>
        </w:tc>
      </w:tr>
    </w:tbl>
    <w:p w14:paraId="1689F0A4" w14:textId="77777777" w:rsidR="000301B5" w:rsidRPr="007D5DA9" w:rsidRDefault="004C4BA4" w:rsidP="005A0021">
      <w:pPr>
        <w:pStyle w:val="KeyFinding"/>
      </w:pPr>
      <w:r w:rsidRPr="007D5DA9">
        <w:t xml:space="preserve">The program has failed to implement a communications plan that supports DFAT public diplomacy. Weakness in communication makes it is hard to </w:t>
      </w:r>
      <w:r w:rsidR="003C05F6" w:rsidRPr="007D5DA9">
        <w:t xml:space="preserve">track </w:t>
      </w:r>
      <w:r w:rsidRPr="007D5DA9">
        <w:t>program progress to date.</w:t>
      </w:r>
    </w:p>
    <w:p w14:paraId="44E171E2" w14:textId="7B95AE28" w:rsidR="00855D5E" w:rsidRPr="001B449B" w:rsidRDefault="000301B5">
      <w:pPr>
        <w:rPr>
          <w:sz w:val="22"/>
        </w:rPr>
      </w:pPr>
      <w:r w:rsidRPr="001B449B">
        <w:rPr>
          <w:sz w:val="22"/>
        </w:rPr>
        <w:t xml:space="preserve">The challenge for a program that is largely analytical and informative is how to demonstrate that it has influenced change on the ground. With this in mind </w:t>
      </w:r>
      <w:r w:rsidR="001E3413" w:rsidRPr="001B449B">
        <w:rPr>
          <w:sz w:val="22"/>
        </w:rPr>
        <w:t>and</w:t>
      </w:r>
      <w:r w:rsidRPr="001B449B">
        <w:rPr>
          <w:sz w:val="22"/>
        </w:rPr>
        <w:t xml:space="preserve"> to satisfy DFAT’s objectives, SARTFP is expected to have a communication strategy. </w:t>
      </w:r>
      <w:r w:rsidR="003259C6" w:rsidRPr="001B449B">
        <w:rPr>
          <w:sz w:val="22"/>
        </w:rPr>
        <w:t xml:space="preserve">This </w:t>
      </w:r>
      <w:r w:rsidR="00C36D62" w:rsidRPr="001B449B">
        <w:rPr>
          <w:sz w:val="22"/>
        </w:rPr>
        <w:t xml:space="preserve">evaluation suggests that ‘communications’ </w:t>
      </w:r>
      <w:r w:rsidR="003259C6" w:rsidRPr="001B449B">
        <w:rPr>
          <w:sz w:val="22"/>
        </w:rPr>
        <w:t xml:space="preserve">encompasses regular reporting to DFAT (as part of the Monitoring and Evaluation task), analysis of project performance to share within the Bank and with other </w:t>
      </w:r>
      <w:r w:rsidR="00C36D62" w:rsidRPr="001B449B">
        <w:rPr>
          <w:sz w:val="22"/>
        </w:rPr>
        <w:t xml:space="preserve">development institutions, and </w:t>
      </w:r>
      <w:r w:rsidR="003259C6" w:rsidRPr="001B449B">
        <w:rPr>
          <w:sz w:val="22"/>
        </w:rPr>
        <w:t>producing materials for us</w:t>
      </w:r>
      <w:r w:rsidR="00C36D62" w:rsidRPr="001B449B">
        <w:rPr>
          <w:sz w:val="22"/>
        </w:rPr>
        <w:t>e</w:t>
      </w:r>
      <w:r w:rsidR="003259C6" w:rsidRPr="001B449B">
        <w:rPr>
          <w:sz w:val="22"/>
        </w:rPr>
        <w:t xml:space="preserve"> in public diplomacy</w:t>
      </w:r>
      <w:r w:rsidR="00C36D62" w:rsidRPr="001B449B">
        <w:rPr>
          <w:sz w:val="22"/>
        </w:rPr>
        <w:t xml:space="preserve">. For </w:t>
      </w:r>
      <w:r w:rsidRPr="001B449B">
        <w:rPr>
          <w:sz w:val="22"/>
        </w:rPr>
        <w:t>instance, a performance benchmark for SARTFP</w:t>
      </w:r>
      <w:r w:rsidRPr="001B449B">
        <w:rPr>
          <w:rStyle w:val="FootnoteReference"/>
          <w:sz w:val="22"/>
        </w:rPr>
        <w:footnoteReference w:id="82"/>
      </w:r>
      <w:r w:rsidRPr="001B449B">
        <w:rPr>
          <w:sz w:val="22"/>
        </w:rPr>
        <w:t xml:space="preserve"> is to advance public diplomacy and economic diplomacy objectives with three examples </w:t>
      </w:r>
      <w:r w:rsidRPr="001B449B">
        <w:rPr>
          <w:sz w:val="22"/>
        </w:rPr>
        <w:lastRenderedPageBreak/>
        <w:t>each year. Some activities appear to have a lot of opportunity for ongoing public diplomacy (network</w:t>
      </w:r>
      <w:r w:rsidR="001E6C40">
        <w:rPr>
          <w:sz w:val="22"/>
        </w:rPr>
        <w:t>ing</w:t>
      </w:r>
      <w:r w:rsidRPr="001B449B">
        <w:rPr>
          <w:sz w:val="22"/>
        </w:rPr>
        <w:t xml:space="preserve">, workshops), yet the challenge </w:t>
      </w:r>
      <w:r w:rsidR="001E6C40">
        <w:rPr>
          <w:sz w:val="22"/>
        </w:rPr>
        <w:t>is</w:t>
      </w:r>
      <w:r w:rsidRPr="001B449B">
        <w:rPr>
          <w:sz w:val="22"/>
        </w:rPr>
        <w:t xml:space="preserve"> to derive material which can be used in such a manner, rather than as one-off communication pieces.  However, there was no evidence this target had been met. The weaknesses in communications</w:t>
      </w:r>
      <w:r w:rsidR="00A26E85">
        <w:rPr>
          <w:sz w:val="22"/>
        </w:rPr>
        <w:t xml:space="preserve"> </w:t>
      </w:r>
      <w:r w:rsidRPr="001B449B">
        <w:rPr>
          <w:sz w:val="22"/>
        </w:rPr>
        <w:t xml:space="preserve">need attention, having been raised on multiple occasions by DFAT. </w:t>
      </w:r>
    </w:p>
    <w:p w14:paraId="17DACEAF" w14:textId="06ABDF4E" w:rsidR="000301B5" w:rsidRPr="001B449B" w:rsidRDefault="00855D5E">
      <w:pPr>
        <w:rPr>
          <w:sz w:val="22"/>
        </w:rPr>
      </w:pPr>
      <w:r w:rsidRPr="001B449B">
        <w:rPr>
          <w:sz w:val="22"/>
        </w:rPr>
        <w:t xml:space="preserve">Senior members of the </w:t>
      </w:r>
      <w:r w:rsidR="000301B5" w:rsidRPr="001B449B">
        <w:rPr>
          <w:sz w:val="22"/>
        </w:rPr>
        <w:t>SARTFP Secretariat acknowledged</w:t>
      </w:r>
      <w:r w:rsidR="00555508" w:rsidRPr="001B449B">
        <w:rPr>
          <w:sz w:val="22"/>
        </w:rPr>
        <w:t xml:space="preserve"> </w:t>
      </w:r>
      <w:r w:rsidR="000301B5" w:rsidRPr="001B449B">
        <w:rPr>
          <w:sz w:val="22"/>
        </w:rPr>
        <w:t xml:space="preserve">there are communication </w:t>
      </w:r>
      <w:r w:rsidR="003C05F6" w:rsidRPr="001B449B">
        <w:rPr>
          <w:sz w:val="22"/>
        </w:rPr>
        <w:t>problems</w:t>
      </w:r>
      <w:r w:rsidR="000301B5" w:rsidRPr="001B449B">
        <w:rPr>
          <w:sz w:val="22"/>
        </w:rPr>
        <w:t>.</w:t>
      </w:r>
      <w:r w:rsidRPr="001B449B">
        <w:rPr>
          <w:rStyle w:val="FootnoteReference"/>
          <w:sz w:val="22"/>
        </w:rPr>
        <w:footnoteReference w:id="83"/>
      </w:r>
      <w:r w:rsidR="000301B5" w:rsidRPr="001B449B">
        <w:rPr>
          <w:sz w:val="22"/>
        </w:rPr>
        <w:t xml:space="preserve"> Now that SARTFP has results to share, the Bank needs to be more systematic in how </w:t>
      </w:r>
      <w:r w:rsidR="00C36D62" w:rsidRPr="001B449B">
        <w:rPr>
          <w:sz w:val="22"/>
        </w:rPr>
        <w:t>it</w:t>
      </w:r>
      <w:r w:rsidR="000301B5" w:rsidRPr="001B449B">
        <w:rPr>
          <w:sz w:val="22"/>
        </w:rPr>
        <w:t xml:space="preserve"> approach</w:t>
      </w:r>
      <w:r w:rsidR="00C36D62" w:rsidRPr="001B449B">
        <w:rPr>
          <w:sz w:val="22"/>
        </w:rPr>
        <w:t>es</w:t>
      </w:r>
      <w:r w:rsidR="000301B5" w:rsidRPr="001B449B">
        <w:rPr>
          <w:sz w:val="22"/>
        </w:rPr>
        <w:t xml:space="preserve"> communications and public diplomacy. Both </w:t>
      </w:r>
      <w:r w:rsidR="001E6C40">
        <w:rPr>
          <w:sz w:val="22"/>
        </w:rPr>
        <w:t>WB</w:t>
      </w:r>
      <w:r w:rsidR="000301B5" w:rsidRPr="001B449B">
        <w:rPr>
          <w:sz w:val="22"/>
        </w:rPr>
        <w:t xml:space="preserve"> and DFAT </w:t>
      </w:r>
      <w:r w:rsidR="003C05F6" w:rsidRPr="001B449B">
        <w:rPr>
          <w:sz w:val="22"/>
        </w:rPr>
        <w:t xml:space="preserve">interviewees </w:t>
      </w:r>
      <w:r w:rsidR="000301B5" w:rsidRPr="001B449B">
        <w:rPr>
          <w:sz w:val="22"/>
        </w:rPr>
        <w:t>agree</w:t>
      </w:r>
      <w:r w:rsidR="003C05F6" w:rsidRPr="001B449B">
        <w:rPr>
          <w:sz w:val="22"/>
        </w:rPr>
        <w:t>d</w:t>
      </w:r>
      <w:r w:rsidR="000301B5" w:rsidRPr="001B449B">
        <w:rPr>
          <w:sz w:val="22"/>
        </w:rPr>
        <w:t xml:space="preserve"> the style and substance of the </w:t>
      </w:r>
      <w:r w:rsidR="003C05F6" w:rsidRPr="001B449B">
        <w:rPr>
          <w:sz w:val="22"/>
        </w:rPr>
        <w:t xml:space="preserve">communications, including annual </w:t>
      </w:r>
      <w:r w:rsidR="000301B5" w:rsidRPr="001B449B">
        <w:rPr>
          <w:sz w:val="22"/>
        </w:rPr>
        <w:t>repor</w:t>
      </w:r>
      <w:r w:rsidR="003C05F6" w:rsidRPr="001B449B">
        <w:rPr>
          <w:sz w:val="22"/>
        </w:rPr>
        <w:t>ts,</w:t>
      </w:r>
      <w:r w:rsidR="000301B5" w:rsidRPr="001B449B">
        <w:rPr>
          <w:sz w:val="22"/>
        </w:rPr>
        <w:t xml:space="preserve"> need more clarity and structure.</w:t>
      </w:r>
      <w:r w:rsidR="00555508" w:rsidRPr="001B449B">
        <w:rPr>
          <w:rStyle w:val="FootnoteReference"/>
          <w:sz w:val="22"/>
        </w:rPr>
        <w:footnoteReference w:id="84"/>
      </w:r>
      <w:r w:rsidR="000301B5" w:rsidRPr="001B449B">
        <w:rPr>
          <w:sz w:val="22"/>
        </w:rPr>
        <w:t xml:space="preserve"> </w:t>
      </w:r>
    </w:p>
    <w:p w14:paraId="4037D269" w14:textId="415CC291" w:rsidR="00F65774" w:rsidRPr="001B449B" w:rsidRDefault="000301B5">
      <w:pPr>
        <w:rPr>
          <w:sz w:val="22"/>
        </w:rPr>
      </w:pPr>
      <w:r w:rsidRPr="001B449B">
        <w:rPr>
          <w:sz w:val="22"/>
        </w:rPr>
        <w:t xml:space="preserve">However, additional reporting </w:t>
      </w:r>
      <w:r w:rsidR="003C05F6" w:rsidRPr="001B449B">
        <w:rPr>
          <w:sz w:val="22"/>
        </w:rPr>
        <w:t xml:space="preserve">and other forms of communication </w:t>
      </w:r>
      <w:r w:rsidRPr="001B449B">
        <w:rPr>
          <w:sz w:val="22"/>
        </w:rPr>
        <w:t xml:space="preserve">will impose another burden on </w:t>
      </w:r>
      <w:r w:rsidR="001E6C40">
        <w:rPr>
          <w:sz w:val="22"/>
        </w:rPr>
        <w:t>Task Team Leaders</w:t>
      </w:r>
      <w:r w:rsidR="0084410D">
        <w:rPr>
          <w:sz w:val="22"/>
        </w:rPr>
        <w:t xml:space="preserve">, </w:t>
      </w:r>
      <w:r w:rsidR="003C05F6" w:rsidRPr="001B449B">
        <w:rPr>
          <w:sz w:val="22"/>
        </w:rPr>
        <w:t xml:space="preserve">requiring </w:t>
      </w:r>
      <w:r w:rsidRPr="001B449B">
        <w:rPr>
          <w:sz w:val="22"/>
        </w:rPr>
        <w:t>more management resources in compiling the information</w:t>
      </w:r>
      <w:r w:rsidR="003C05F6" w:rsidRPr="001B449B">
        <w:rPr>
          <w:sz w:val="22"/>
        </w:rPr>
        <w:t xml:space="preserve"> and overseeing the quality of the outputs</w:t>
      </w:r>
      <w:r w:rsidRPr="001B449B">
        <w:rPr>
          <w:sz w:val="22"/>
        </w:rPr>
        <w:t xml:space="preserve">. Therefore, if </w:t>
      </w:r>
      <w:r w:rsidR="001E6C40">
        <w:rPr>
          <w:sz w:val="22"/>
        </w:rPr>
        <w:t>communications</w:t>
      </w:r>
      <w:r w:rsidR="001E6C40" w:rsidRPr="001B449B">
        <w:rPr>
          <w:sz w:val="22"/>
        </w:rPr>
        <w:t xml:space="preserve"> </w:t>
      </w:r>
      <w:r w:rsidRPr="001B449B">
        <w:rPr>
          <w:sz w:val="22"/>
        </w:rPr>
        <w:t xml:space="preserve">reporting is required then work must be done to design the content around the needs of the readers of the report, so resources can be directed efficiently. </w:t>
      </w:r>
      <w:r w:rsidR="001E6C40">
        <w:rPr>
          <w:sz w:val="22"/>
        </w:rPr>
        <w:t>L</w:t>
      </w:r>
      <w:r w:rsidRPr="001B449B">
        <w:rPr>
          <w:sz w:val="22"/>
        </w:rPr>
        <w:t xml:space="preserve">essons can be learned from other DFAT programs which have been experimenting with </w:t>
      </w:r>
      <w:r w:rsidR="001E6C40">
        <w:rPr>
          <w:sz w:val="22"/>
        </w:rPr>
        <w:t>various</w:t>
      </w:r>
      <w:r w:rsidR="001E6C40" w:rsidRPr="001B449B">
        <w:rPr>
          <w:sz w:val="22"/>
        </w:rPr>
        <w:t xml:space="preserve"> </w:t>
      </w:r>
      <w:r w:rsidRPr="001B449B">
        <w:rPr>
          <w:sz w:val="22"/>
        </w:rPr>
        <w:t>types o</w:t>
      </w:r>
      <w:r w:rsidR="003C05F6" w:rsidRPr="001B449B">
        <w:rPr>
          <w:sz w:val="22"/>
        </w:rPr>
        <w:t>f</w:t>
      </w:r>
      <w:r w:rsidRPr="001B449B">
        <w:rPr>
          <w:sz w:val="22"/>
        </w:rPr>
        <w:t xml:space="preserve"> reporting</w:t>
      </w:r>
      <w:r w:rsidR="00F65774" w:rsidRPr="001B449B">
        <w:rPr>
          <w:sz w:val="22"/>
        </w:rPr>
        <w:t xml:space="preserve">, </w:t>
      </w:r>
      <w:r w:rsidR="001E6C40">
        <w:rPr>
          <w:sz w:val="22"/>
        </w:rPr>
        <w:t>including</w:t>
      </w:r>
      <w:r w:rsidR="00F65774" w:rsidRPr="001B449B">
        <w:rPr>
          <w:sz w:val="22"/>
        </w:rPr>
        <w:t xml:space="preserve"> </w:t>
      </w:r>
      <w:r w:rsidR="001E6C40">
        <w:rPr>
          <w:sz w:val="22"/>
        </w:rPr>
        <w:t>information that has</w:t>
      </w:r>
      <w:r w:rsidR="00F65774" w:rsidRPr="001B449B">
        <w:rPr>
          <w:sz w:val="22"/>
        </w:rPr>
        <w:t xml:space="preserve"> broader application for public communication and diplomacy</w:t>
      </w:r>
      <w:r w:rsidRPr="001B449B">
        <w:rPr>
          <w:sz w:val="22"/>
        </w:rPr>
        <w:t>.</w:t>
      </w:r>
      <w:r w:rsidRPr="001B449B">
        <w:rPr>
          <w:rStyle w:val="FootnoteReference"/>
          <w:sz w:val="22"/>
        </w:rPr>
        <w:footnoteReference w:id="85"/>
      </w:r>
      <w:r w:rsidRPr="001B449B">
        <w:rPr>
          <w:sz w:val="22"/>
        </w:rPr>
        <w:t xml:space="preserve"> </w:t>
      </w:r>
      <w:r w:rsidR="00F65774" w:rsidRPr="001B449B">
        <w:rPr>
          <w:sz w:val="22"/>
        </w:rPr>
        <w:t>Identifying the common resources that satisfy the various types</w:t>
      </w:r>
      <w:r w:rsidR="001E6C40">
        <w:rPr>
          <w:sz w:val="22"/>
        </w:rPr>
        <w:t xml:space="preserve"> </w:t>
      </w:r>
      <w:r w:rsidR="001E6C40" w:rsidRPr="001B449B">
        <w:rPr>
          <w:sz w:val="22"/>
        </w:rPr>
        <w:t xml:space="preserve">of reports required </w:t>
      </w:r>
      <w:r w:rsidR="00913285">
        <w:rPr>
          <w:sz w:val="22"/>
        </w:rPr>
        <w:t xml:space="preserve">for </w:t>
      </w:r>
      <w:r w:rsidR="001E6C40" w:rsidRPr="001B449B">
        <w:rPr>
          <w:sz w:val="22"/>
        </w:rPr>
        <w:t xml:space="preserve">World Bank internal procedures </w:t>
      </w:r>
      <w:r w:rsidR="00F65774" w:rsidRPr="001B449B">
        <w:rPr>
          <w:sz w:val="22"/>
        </w:rPr>
        <w:t xml:space="preserve">and delivery timetables, </w:t>
      </w:r>
      <w:r w:rsidR="00913285">
        <w:rPr>
          <w:sz w:val="22"/>
        </w:rPr>
        <w:t xml:space="preserve">and </w:t>
      </w:r>
      <w:r w:rsidR="00F65774" w:rsidRPr="001B449B">
        <w:rPr>
          <w:sz w:val="22"/>
        </w:rPr>
        <w:t xml:space="preserve">DFAT requirements </w:t>
      </w:r>
      <w:r w:rsidR="00913285">
        <w:rPr>
          <w:sz w:val="22"/>
        </w:rPr>
        <w:t>for</w:t>
      </w:r>
      <w:r w:rsidR="00F65774" w:rsidRPr="001B449B">
        <w:rPr>
          <w:sz w:val="22"/>
        </w:rPr>
        <w:t xml:space="preserve"> public communication needs could improve the quality whilst reducing the management burden.</w:t>
      </w:r>
    </w:p>
    <w:p w14:paraId="388FE0E2" w14:textId="77777777" w:rsidR="000301B5" w:rsidRPr="001B449B" w:rsidRDefault="000301B5" w:rsidP="002749C9">
      <w:pPr>
        <w:rPr>
          <w:sz w:val="22"/>
        </w:rPr>
      </w:pPr>
      <w:r w:rsidRPr="001B449B">
        <w:rPr>
          <w:sz w:val="22"/>
        </w:rPr>
        <w:t xml:space="preserve">World Bank headquarters is working on a regional communications strategy spanning multiple trust funds. This is for an external audience but there are in-country sensitivities around certain topics and </w:t>
      </w:r>
      <w:r w:rsidR="00855D5E" w:rsidRPr="001B449B">
        <w:rPr>
          <w:sz w:val="22"/>
        </w:rPr>
        <w:t>some interv</w:t>
      </w:r>
      <w:r w:rsidR="00F65774" w:rsidRPr="001B449B">
        <w:rPr>
          <w:sz w:val="22"/>
        </w:rPr>
        <w:t>ie</w:t>
      </w:r>
      <w:r w:rsidR="00855D5E" w:rsidRPr="001B449B">
        <w:rPr>
          <w:sz w:val="22"/>
        </w:rPr>
        <w:t xml:space="preserve">wees reported it is </w:t>
      </w:r>
      <w:r w:rsidRPr="001B449B">
        <w:rPr>
          <w:sz w:val="22"/>
        </w:rPr>
        <w:t>sometimes challenging to tell the story</w:t>
      </w:r>
      <w:r w:rsidR="00855D5E" w:rsidRPr="001B449B">
        <w:rPr>
          <w:rStyle w:val="FootnoteReference"/>
          <w:sz w:val="22"/>
        </w:rPr>
        <w:footnoteReference w:id="86"/>
      </w:r>
      <w:r w:rsidRPr="001B449B">
        <w:rPr>
          <w:sz w:val="22"/>
        </w:rPr>
        <w:t>. For example, with the Border Haats project there are multiple sources of funding. This underlines the need for a more strategic and innovative approach to communication, to make it less activity-based and more holistic, in a way that illustrates how a multiplicity of interventions work together to make a difference to the lives of people in the region.</w:t>
      </w:r>
    </w:p>
    <w:p w14:paraId="02B316AC" w14:textId="77777777" w:rsidR="000301B5" w:rsidRPr="004C4BA4" w:rsidRDefault="000301B5" w:rsidP="002749C9">
      <w:pPr>
        <w:pStyle w:val="recommendation"/>
      </w:pPr>
      <w:r w:rsidRPr="004C4BA4">
        <w:t>Recommendation</w:t>
      </w:r>
    </w:p>
    <w:p w14:paraId="2B796C6C" w14:textId="6E595FCA" w:rsidR="000301B5" w:rsidRPr="004C4BA4" w:rsidRDefault="00954645" w:rsidP="004C3817">
      <w:pPr>
        <w:pStyle w:val="recommendation"/>
        <w:ind w:left="360"/>
      </w:pPr>
      <w:bookmarkStart w:id="25" w:name="_Hlk514052688"/>
      <w:r>
        <w:t xml:space="preserve">3. </w:t>
      </w:r>
      <w:r w:rsidR="000301B5" w:rsidRPr="004C4BA4">
        <w:t>Produce a communication plan with milestones and resources</w:t>
      </w:r>
      <w:r w:rsidR="00310202">
        <w:t xml:space="preserve"> that</w:t>
      </w:r>
      <w:r w:rsidR="000301B5" w:rsidRPr="004C4BA4">
        <w:t xml:space="preserve"> communicate</w:t>
      </w:r>
      <w:r w:rsidR="00310202">
        <w:t>s</w:t>
      </w:r>
      <w:r w:rsidR="000301B5" w:rsidRPr="004C4BA4">
        <w:t xml:space="preserve"> ‘performance stories’</w:t>
      </w:r>
      <w:r w:rsidR="007F38AA" w:rsidRPr="004C4BA4">
        <w:t xml:space="preserve"> </w:t>
      </w:r>
      <w:r w:rsidR="000301B5" w:rsidRPr="004C4BA4">
        <w:t xml:space="preserve">as pioneered by </w:t>
      </w:r>
      <w:r w:rsidR="00513AFB">
        <w:t>other DFAT programs</w:t>
      </w:r>
      <w:bookmarkEnd w:id="25"/>
      <w:r w:rsidR="00720937" w:rsidRPr="00513AFB">
        <w:rPr>
          <w:rStyle w:val="FootnoteReference"/>
        </w:rPr>
        <w:footnoteReference w:id="87"/>
      </w:r>
      <w:r w:rsidR="000301B5" w:rsidRPr="004C4BA4">
        <w:t xml:space="preserve"> </w:t>
      </w:r>
    </w:p>
    <w:p w14:paraId="6C413DF5" w14:textId="77777777" w:rsidR="000301B5" w:rsidRPr="007D5DA9" w:rsidRDefault="00913285" w:rsidP="002749C9">
      <w:pPr>
        <w:pStyle w:val="KeyFinding"/>
      </w:pPr>
      <w:r w:rsidRPr="007D5DA9">
        <w:t>Because of</w:t>
      </w:r>
      <w:r w:rsidR="004C4BA4" w:rsidRPr="007D5DA9">
        <w:t xml:space="preserve"> robust internal review and quality assurance processes there is evidence of Task Team Leaders expanding their skills to encompass designing projects with a gender lens</w:t>
      </w:r>
    </w:p>
    <w:p w14:paraId="1DF2BEDE" w14:textId="01115F6D" w:rsidR="000301B5" w:rsidRPr="001B449B" w:rsidRDefault="00454CDE" w:rsidP="002749C9">
      <w:pPr>
        <w:rPr>
          <w:sz w:val="22"/>
        </w:rPr>
      </w:pPr>
      <w:r>
        <w:rPr>
          <w:sz w:val="22"/>
        </w:rPr>
        <w:t>T</w:t>
      </w:r>
      <w:r w:rsidR="000301B5" w:rsidRPr="001B449B">
        <w:rPr>
          <w:sz w:val="22"/>
        </w:rPr>
        <w:t>here is good evidence</w:t>
      </w:r>
      <w:r w:rsidR="00273210">
        <w:rPr>
          <w:sz w:val="22"/>
        </w:rPr>
        <w:t>, as outlined below,</w:t>
      </w:r>
      <w:r w:rsidR="000301B5" w:rsidRPr="001B449B">
        <w:rPr>
          <w:sz w:val="22"/>
        </w:rPr>
        <w:t xml:space="preserve"> </w:t>
      </w:r>
      <w:r>
        <w:rPr>
          <w:sz w:val="22"/>
        </w:rPr>
        <w:t>the SARTFP Secretariat</w:t>
      </w:r>
      <w:r w:rsidR="000301B5" w:rsidRPr="001B449B">
        <w:rPr>
          <w:sz w:val="22"/>
        </w:rPr>
        <w:t xml:space="preserve"> strengthens the ability of the program to meet its objectives.</w:t>
      </w:r>
      <w:r w:rsidR="00273210">
        <w:rPr>
          <w:rStyle w:val="FootnoteReference"/>
          <w:sz w:val="22"/>
        </w:rPr>
        <w:footnoteReference w:id="88"/>
      </w:r>
      <w:r w:rsidR="000301B5" w:rsidRPr="001B449B">
        <w:rPr>
          <w:sz w:val="22"/>
        </w:rPr>
        <w:t xml:space="preserve"> The Secretariat consists of a Window Manager, an M&amp;E Adviser</w:t>
      </w:r>
      <w:r w:rsidR="000F3E3B">
        <w:rPr>
          <w:sz w:val="22"/>
        </w:rPr>
        <w:t>,</w:t>
      </w:r>
      <w:r w:rsidR="000301B5" w:rsidRPr="001B449B">
        <w:rPr>
          <w:sz w:val="22"/>
        </w:rPr>
        <w:t xml:space="preserve"> a Regional Cooperation Consultant</w:t>
      </w:r>
      <w:r w:rsidR="000F3E3B">
        <w:rPr>
          <w:sz w:val="22"/>
        </w:rPr>
        <w:t xml:space="preserve"> and a Program Assistant</w:t>
      </w:r>
      <w:r w:rsidR="000301B5" w:rsidRPr="001B449B">
        <w:rPr>
          <w:sz w:val="22"/>
        </w:rPr>
        <w:t>. It is important to note that none of the current Secretariat were involved in the co-development of governance processes with DFAT. Despite that, they understand and take the program’s aims seriously, conducting due diligence and quality assurance through various internal review processes. When reviewing SARTFP proposals they provide honest, yet constructive, feedback and take a holistic view to look for alignment across regional projects. For example, they are actively looking for ways to operationali</w:t>
      </w:r>
      <w:r w:rsidR="00054DC8">
        <w:rPr>
          <w:sz w:val="22"/>
        </w:rPr>
        <w:t>s</w:t>
      </w:r>
      <w:r w:rsidR="000301B5" w:rsidRPr="001B449B">
        <w:rPr>
          <w:sz w:val="22"/>
        </w:rPr>
        <w:t>e analysis from the IFG funded South Asia’s Hotspots report.</w:t>
      </w:r>
    </w:p>
    <w:p w14:paraId="0490FCA1" w14:textId="767B6FD4" w:rsidR="000301B5" w:rsidRPr="001B449B" w:rsidRDefault="000301B5" w:rsidP="002749C9">
      <w:pPr>
        <w:rPr>
          <w:sz w:val="22"/>
        </w:rPr>
      </w:pPr>
      <w:r w:rsidRPr="001B449B">
        <w:rPr>
          <w:sz w:val="22"/>
        </w:rPr>
        <w:lastRenderedPageBreak/>
        <w:t xml:space="preserve">The Secretariat endeavours to identify opportunities for </w:t>
      </w:r>
      <w:r w:rsidR="006E38FE">
        <w:rPr>
          <w:sz w:val="22"/>
        </w:rPr>
        <w:t>Task Team Leaders</w:t>
      </w:r>
      <w:r w:rsidRPr="001B449B">
        <w:rPr>
          <w:sz w:val="22"/>
        </w:rPr>
        <w:t xml:space="preserve"> to improve their concepts and better integrate gender considerations. For example, in the </w:t>
      </w:r>
      <w:r w:rsidR="005E5A06">
        <w:rPr>
          <w:sz w:val="22"/>
        </w:rPr>
        <w:t>second</w:t>
      </w:r>
      <w:r w:rsidRPr="001B449B">
        <w:rPr>
          <w:sz w:val="22"/>
        </w:rPr>
        <w:t xml:space="preserve"> round of SARTFP</w:t>
      </w:r>
      <w:r w:rsidR="00734056">
        <w:rPr>
          <w:sz w:val="22"/>
        </w:rPr>
        <w:t>,</w:t>
      </w:r>
      <w:r w:rsidRPr="001B449B">
        <w:rPr>
          <w:sz w:val="22"/>
        </w:rPr>
        <w:t xml:space="preserve"> the </w:t>
      </w:r>
      <w:r w:rsidR="00054DC8">
        <w:rPr>
          <w:sz w:val="22"/>
        </w:rPr>
        <w:t>S</w:t>
      </w:r>
      <w:r w:rsidRPr="001B449B">
        <w:rPr>
          <w:sz w:val="22"/>
        </w:rPr>
        <w:t xml:space="preserve">ecretariat included a representative from </w:t>
      </w:r>
      <w:r w:rsidR="00054DC8">
        <w:rPr>
          <w:sz w:val="22"/>
        </w:rPr>
        <w:t>the Indian Council for Research on International Economic Relations (</w:t>
      </w:r>
      <w:r w:rsidRPr="001B449B">
        <w:rPr>
          <w:sz w:val="22"/>
        </w:rPr>
        <w:t>ICRIER</w:t>
      </w:r>
      <w:r w:rsidR="00054DC8">
        <w:rPr>
          <w:sz w:val="22"/>
        </w:rPr>
        <w:t>)</w:t>
      </w:r>
      <w:r w:rsidRPr="001B449B">
        <w:rPr>
          <w:sz w:val="22"/>
        </w:rPr>
        <w:t xml:space="preserve">, a leading Indian economic think tank, to provide comment and critique the proposals. There is evidence of TTLs expanding their skills to encompass designing with a gender lens (e.g. the TTL leaders for </w:t>
      </w:r>
      <w:r w:rsidRPr="000151BA">
        <w:rPr>
          <w:sz w:val="22"/>
        </w:rPr>
        <w:t>Assam Inland Waterways</w:t>
      </w:r>
      <w:r w:rsidRPr="00054DC8">
        <w:rPr>
          <w:sz w:val="22"/>
        </w:rPr>
        <w:t xml:space="preserve"> project and </w:t>
      </w:r>
      <w:r w:rsidRPr="000151BA">
        <w:rPr>
          <w:sz w:val="22"/>
        </w:rPr>
        <w:t>Strengthening cross-border value chains and leveraging local development linkages in the Eastern region of South Asia).</w:t>
      </w:r>
      <w:r w:rsidRPr="001B449B">
        <w:rPr>
          <w:sz w:val="22"/>
        </w:rPr>
        <w:t xml:space="preserve"> The evaluation team were informed during interviews this type of internal review and quality assurance does not usually happen in other trust funds.</w:t>
      </w:r>
      <w:r w:rsidR="00427A9B" w:rsidRPr="001B449B">
        <w:rPr>
          <w:rStyle w:val="FootnoteReference"/>
          <w:sz w:val="22"/>
        </w:rPr>
        <w:footnoteReference w:id="89"/>
      </w:r>
      <w:r w:rsidRPr="001B449B">
        <w:rPr>
          <w:sz w:val="22"/>
        </w:rPr>
        <w:t xml:space="preserve"> </w:t>
      </w:r>
    </w:p>
    <w:p w14:paraId="493865E2" w14:textId="77777777" w:rsidR="000301B5" w:rsidRPr="007D5DA9" w:rsidRDefault="004C4BA4" w:rsidP="002749C9">
      <w:pPr>
        <w:pStyle w:val="KeyFinding"/>
      </w:pPr>
      <w:r w:rsidRPr="007D5DA9">
        <w:t>SARTFP creates space for innovators within the Bank to design projects that integrate gender equality and inclusive development objectives.</w:t>
      </w:r>
    </w:p>
    <w:p w14:paraId="13A96E30" w14:textId="77777777" w:rsidR="000301B5" w:rsidRPr="001B449B" w:rsidRDefault="000301B5" w:rsidP="002749C9">
      <w:pPr>
        <w:rPr>
          <w:sz w:val="22"/>
        </w:rPr>
      </w:pPr>
      <w:r w:rsidRPr="001B449B">
        <w:rPr>
          <w:sz w:val="22"/>
        </w:rPr>
        <w:t xml:space="preserve">SARTFP </w:t>
      </w:r>
      <w:r w:rsidR="00C36D62" w:rsidRPr="001B449B">
        <w:rPr>
          <w:sz w:val="22"/>
        </w:rPr>
        <w:t>intends</w:t>
      </w:r>
      <w:r w:rsidRPr="001B449B">
        <w:rPr>
          <w:sz w:val="22"/>
        </w:rPr>
        <w:t xml:space="preserve"> to help the World Bank improve its policies and processes in the region</w:t>
      </w:r>
      <w:r w:rsidR="00054DC8">
        <w:rPr>
          <w:sz w:val="22"/>
        </w:rPr>
        <w:t xml:space="preserve"> in </w:t>
      </w:r>
      <w:r w:rsidRPr="001B449B">
        <w:rPr>
          <w:sz w:val="22"/>
        </w:rPr>
        <w:t xml:space="preserve">sectors not accustomed to introducing social innovation in their projects. </w:t>
      </w:r>
      <w:r w:rsidR="00C36D62" w:rsidRPr="001B449B">
        <w:rPr>
          <w:sz w:val="22"/>
        </w:rPr>
        <w:t>World Bank interviewees agreed that i</w:t>
      </w:r>
      <w:r w:rsidRPr="001B449B">
        <w:rPr>
          <w:sz w:val="22"/>
        </w:rPr>
        <w:t>t does this by enabling innovators to design projects that do not need to be wholly embedded in the Bank’s core business, or the ‘business as usual’ approaches. Nonetheless, SARTFP involves all kinds of team leaders, from different disciplines and with varying levels of understanding of the program’s objectives</w:t>
      </w:r>
      <w:r w:rsidR="00096A53">
        <w:rPr>
          <w:sz w:val="22"/>
        </w:rPr>
        <w:t xml:space="preserve"> and </w:t>
      </w:r>
      <w:r w:rsidRPr="001B449B">
        <w:rPr>
          <w:sz w:val="22"/>
        </w:rPr>
        <w:t xml:space="preserve">existing Bank business. </w:t>
      </w:r>
      <w:r w:rsidR="007C4866" w:rsidRPr="001B449B">
        <w:rPr>
          <w:sz w:val="22"/>
        </w:rPr>
        <w:t xml:space="preserve">Some </w:t>
      </w:r>
      <w:r w:rsidRPr="001B449B">
        <w:rPr>
          <w:sz w:val="22"/>
        </w:rPr>
        <w:t>World Bank managers acknowledge</w:t>
      </w:r>
      <w:r w:rsidR="00C36D62" w:rsidRPr="001B449B">
        <w:rPr>
          <w:sz w:val="22"/>
        </w:rPr>
        <w:t>d</w:t>
      </w:r>
      <w:r w:rsidRPr="001B449B">
        <w:rPr>
          <w:sz w:val="22"/>
        </w:rPr>
        <w:t xml:space="preserve"> that Task Team Leaders working on the operational side will place most of their attention on the lending project, rather than the supplementary projects such as SARTFP</w:t>
      </w:r>
      <w:r w:rsidR="00096A53">
        <w:rPr>
          <w:sz w:val="22"/>
        </w:rPr>
        <w:t>.</w:t>
      </w:r>
      <w:r w:rsidR="007C4866" w:rsidRPr="001B449B">
        <w:rPr>
          <w:rStyle w:val="FootnoteReference"/>
          <w:sz w:val="22"/>
        </w:rPr>
        <w:footnoteReference w:id="90"/>
      </w:r>
      <w:r w:rsidRPr="001B449B">
        <w:rPr>
          <w:sz w:val="22"/>
        </w:rPr>
        <w:t xml:space="preserve"> Therefore, management intervention is needed to ensure </w:t>
      </w:r>
      <w:r w:rsidR="00096A53">
        <w:rPr>
          <w:sz w:val="22"/>
        </w:rPr>
        <w:t>innovation</w:t>
      </w:r>
      <w:r w:rsidRPr="001B449B">
        <w:rPr>
          <w:sz w:val="22"/>
        </w:rPr>
        <w:t xml:space="preserve"> projects are given due attention and substantively support the goals of the program. </w:t>
      </w:r>
    </w:p>
    <w:p w14:paraId="65F4EE2B" w14:textId="392B8975" w:rsidR="000301B5" w:rsidRPr="001B449B" w:rsidRDefault="000301B5" w:rsidP="004F53EC">
      <w:pPr>
        <w:rPr>
          <w:sz w:val="22"/>
        </w:rPr>
      </w:pPr>
      <w:r w:rsidRPr="001B449B">
        <w:rPr>
          <w:sz w:val="22"/>
        </w:rPr>
        <w:t>Co-developing the SARTFP theory of change and results framework took almost one year</w:t>
      </w:r>
      <w:r w:rsidR="00734056">
        <w:rPr>
          <w:sz w:val="22"/>
        </w:rPr>
        <w:t>,</w:t>
      </w:r>
      <w:r w:rsidR="00916686" w:rsidRPr="001B449B">
        <w:rPr>
          <w:sz w:val="22"/>
        </w:rPr>
        <w:t xml:space="preserve"> after DFAT funding for SARTFP had commenced</w:t>
      </w:r>
      <w:r w:rsidRPr="001B449B">
        <w:rPr>
          <w:sz w:val="22"/>
        </w:rPr>
        <w:t xml:space="preserve">. </w:t>
      </w:r>
      <w:r w:rsidR="00096A53">
        <w:rPr>
          <w:sz w:val="22"/>
        </w:rPr>
        <w:t>D</w:t>
      </w:r>
      <w:r w:rsidRPr="001B449B">
        <w:rPr>
          <w:sz w:val="22"/>
        </w:rPr>
        <w:t>uring this phase, some World Bank sector leaders and task managers with ideas for funding were involved in meetings with DFAT and members of the DFAT-contracted Technical Advisory Facility.</w:t>
      </w:r>
      <w:r w:rsidR="00916686" w:rsidRPr="001B449B">
        <w:rPr>
          <w:rStyle w:val="FootnoteReference"/>
          <w:sz w:val="22"/>
        </w:rPr>
        <w:footnoteReference w:id="91"/>
      </w:r>
      <w:r w:rsidRPr="001B449B">
        <w:rPr>
          <w:sz w:val="22"/>
        </w:rPr>
        <w:t xml:space="preserve"> </w:t>
      </w:r>
      <w:r w:rsidR="00C36D62" w:rsidRPr="001B449B">
        <w:rPr>
          <w:sz w:val="22"/>
        </w:rPr>
        <w:t>World Bank and TAF interviewees recalled that this process</w:t>
      </w:r>
      <w:r w:rsidRPr="001B449B">
        <w:rPr>
          <w:sz w:val="22"/>
        </w:rPr>
        <w:t xml:space="preserve"> enabled a diversity of individuals from the W</w:t>
      </w:r>
      <w:r w:rsidR="00916686" w:rsidRPr="001B449B">
        <w:rPr>
          <w:sz w:val="22"/>
        </w:rPr>
        <w:t xml:space="preserve">orld </w:t>
      </w:r>
      <w:r w:rsidRPr="001B449B">
        <w:rPr>
          <w:sz w:val="22"/>
        </w:rPr>
        <w:t>B</w:t>
      </w:r>
      <w:r w:rsidR="00916686" w:rsidRPr="001B449B">
        <w:rPr>
          <w:sz w:val="22"/>
        </w:rPr>
        <w:t>ank</w:t>
      </w:r>
      <w:r w:rsidRPr="001B449B">
        <w:rPr>
          <w:sz w:val="22"/>
        </w:rPr>
        <w:t>, those naturally drawn to SARTFP and its strong gender focus, to be directly involved in aspects of the program and MTO</w:t>
      </w:r>
      <w:r w:rsidR="00096A53">
        <w:rPr>
          <w:sz w:val="22"/>
        </w:rPr>
        <w:t xml:space="preserve"> design</w:t>
      </w:r>
      <w:r w:rsidRPr="001B449B">
        <w:rPr>
          <w:sz w:val="22"/>
        </w:rPr>
        <w:t>.</w:t>
      </w:r>
      <w:r w:rsidR="00C36D62" w:rsidRPr="001B449B">
        <w:rPr>
          <w:rStyle w:val="FootnoteReference"/>
          <w:sz w:val="22"/>
        </w:rPr>
        <w:footnoteReference w:id="92"/>
      </w:r>
      <w:r w:rsidRPr="001B449B">
        <w:rPr>
          <w:sz w:val="22"/>
        </w:rPr>
        <w:t xml:space="preserve"> This process, which was noted </w:t>
      </w:r>
      <w:r w:rsidR="007D1047" w:rsidRPr="001B449B">
        <w:rPr>
          <w:sz w:val="22"/>
        </w:rPr>
        <w:t xml:space="preserve">by interviewees </w:t>
      </w:r>
      <w:r w:rsidRPr="001B449B">
        <w:rPr>
          <w:sz w:val="22"/>
        </w:rPr>
        <w:t>as unusual for W</w:t>
      </w:r>
      <w:r w:rsidR="00916686" w:rsidRPr="001B449B">
        <w:rPr>
          <w:sz w:val="22"/>
        </w:rPr>
        <w:t>orld Bank</w:t>
      </w:r>
      <w:r w:rsidRPr="001B449B">
        <w:rPr>
          <w:sz w:val="22"/>
        </w:rPr>
        <w:t xml:space="preserve"> trust funds, also facilitated rich discussion of some proposal ideas to ‘test’ their validity against the objectives of SARTFP. </w:t>
      </w:r>
      <w:r w:rsidR="007D1047" w:rsidRPr="001B449B">
        <w:rPr>
          <w:sz w:val="22"/>
        </w:rPr>
        <w:t>The</w:t>
      </w:r>
      <w:r w:rsidRPr="001B449B">
        <w:rPr>
          <w:sz w:val="22"/>
        </w:rPr>
        <w:t xml:space="preserve"> </w:t>
      </w:r>
      <w:r w:rsidR="00855D5E" w:rsidRPr="001B449B">
        <w:rPr>
          <w:sz w:val="22"/>
        </w:rPr>
        <w:t xml:space="preserve">World Bank </w:t>
      </w:r>
      <w:r w:rsidR="007D1047" w:rsidRPr="001B449B">
        <w:rPr>
          <w:sz w:val="22"/>
        </w:rPr>
        <w:t>staff who were involved at the early stage of</w:t>
      </w:r>
      <w:r w:rsidRPr="001B449B">
        <w:rPr>
          <w:sz w:val="22"/>
        </w:rPr>
        <w:t xml:space="preserve"> SARTFP </w:t>
      </w:r>
      <w:r w:rsidR="007D1047" w:rsidRPr="001B449B">
        <w:rPr>
          <w:sz w:val="22"/>
        </w:rPr>
        <w:t xml:space="preserve">explained this planning phase </w:t>
      </w:r>
      <w:r w:rsidRPr="001B449B">
        <w:rPr>
          <w:sz w:val="22"/>
        </w:rPr>
        <w:t xml:space="preserve">was </w:t>
      </w:r>
      <w:r w:rsidR="007D1047" w:rsidRPr="001B449B">
        <w:rPr>
          <w:sz w:val="22"/>
        </w:rPr>
        <w:t xml:space="preserve">for them </w:t>
      </w:r>
      <w:r w:rsidRPr="001B449B">
        <w:rPr>
          <w:sz w:val="22"/>
        </w:rPr>
        <w:t>a rich experience, where they felt able to be honest about their project proposals and the challenges in achieving their objectives. Proposals were also peer reviewed by the W</w:t>
      </w:r>
      <w:r w:rsidR="00855D5E" w:rsidRPr="001B449B">
        <w:rPr>
          <w:sz w:val="22"/>
        </w:rPr>
        <w:t xml:space="preserve">orld </w:t>
      </w:r>
      <w:r w:rsidRPr="001B449B">
        <w:rPr>
          <w:sz w:val="22"/>
        </w:rPr>
        <w:t>B</w:t>
      </w:r>
      <w:r w:rsidR="00855D5E" w:rsidRPr="001B449B">
        <w:rPr>
          <w:sz w:val="22"/>
        </w:rPr>
        <w:t>ank</w:t>
      </w:r>
      <w:r w:rsidRPr="001B449B">
        <w:rPr>
          <w:sz w:val="22"/>
        </w:rPr>
        <w:t>’s gender and social development team and strengthened</w:t>
      </w:r>
      <w:r w:rsidR="007D1047" w:rsidRPr="001B449B">
        <w:rPr>
          <w:sz w:val="22"/>
        </w:rPr>
        <w:t xml:space="preserve"> further</w:t>
      </w:r>
      <w:r w:rsidRPr="001B449B">
        <w:rPr>
          <w:sz w:val="22"/>
        </w:rPr>
        <w:t xml:space="preserve">. </w:t>
      </w:r>
    </w:p>
    <w:p w14:paraId="0061D372" w14:textId="77777777" w:rsidR="000301B5" w:rsidRPr="001B449B" w:rsidRDefault="000301B5" w:rsidP="001A78AF">
      <w:pPr>
        <w:rPr>
          <w:sz w:val="22"/>
        </w:rPr>
      </w:pPr>
      <w:r w:rsidRPr="001B449B">
        <w:rPr>
          <w:sz w:val="22"/>
        </w:rPr>
        <w:t xml:space="preserve">This required innovation on the side of the donor to fund a trade facilitation program with gender integration, and reformers within the WB to rise to the challenge and create space for early adopters to present their ideas. </w:t>
      </w:r>
    </w:p>
    <w:p w14:paraId="43F97E80" w14:textId="77777777" w:rsidR="000301B5" w:rsidRPr="008A1BF1" w:rsidRDefault="000301B5" w:rsidP="00477221">
      <w:pPr>
        <w:pStyle w:val="recommendation"/>
      </w:pPr>
      <w:r w:rsidRPr="008A1BF1">
        <w:t>Recommendation</w:t>
      </w:r>
    </w:p>
    <w:p w14:paraId="5576D648" w14:textId="64B7711F" w:rsidR="000301B5" w:rsidRPr="002C1F77" w:rsidRDefault="00954645" w:rsidP="004C3817">
      <w:pPr>
        <w:pStyle w:val="recommendation"/>
        <w:ind w:left="720"/>
      </w:pPr>
      <w:bookmarkStart w:id="26" w:name="_Hlk514052796"/>
      <w:r>
        <w:t xml:space="preserve">4. </w:t>
      </w:r>
      <w:r w:rsidR="00F97FE1" w:rsidRPr="00F97FE1">
        <w:t xml:space="preserve">Ensure ongoing DFAT engagement to encourage </w:t>
      </w:r>
      <w:r w:rsidR="006E38FE">
        <w:t>Task Team Leader</w:t>
      </w:r>
      <w:r w:rsidR="00F97FE1" w:rsidRPr="00F97FE1">
        <w:t>s to continue introducing new perspectives into project design, particularly new approaches to integrating gender equality and inclusive development that can then be shared and replicated across the organisation.</w:t>
      </w:r>
      <w:bookmarkEnd w:id="26"/>
    </w:p>
    <w:p w14:paraId="4B0771F4" w14:textId="77777777" w:rsidR="000301B5" w:rsidRPr="007D5DA9" w:rsidRDefault="004C4BA4" w:rsidP="007D1047">
      <w:pPr>
        <w:pStyle w:val="KeyFinding"/>
      </w:pPr>
      <w:r w:rsidRPr="007D5DA9">
        <w:t>The strategic planning of SARTFP is an improvement on</w:t>
      </w:r>
      <w:r w:rsidR="007D1047" w:rsidRPr="007D5DA9">
        <w:t xml:space="preserve"> the planning process available to </w:t>
      </w:r>
      <w:r w:rsidRPr="007D5DA9">
        <w:t>IFG</w:t>
      </w:r>
    </w:p>
    <w:p w14:paraId="77AB89C2" w14:textId="5D9E0090" w:rsidR="000301B5" w:rsidRPr="001B449B" w:rsidRDefault="000301B5" w:rsidP="007D1047">
      <w:pPr>
        <w:rPr>
          <w:sz w:val="22"/>
        </w:rPr>
      </w:pPr>
      <w:r w:rsidRPr="001B449B">
        <w:rPr>
          <w:sz w:val="22"/>
        </w:rPr>
        <w:t>Much of DFAT’s efforts in the early stages of SARTFP focused on working with the W</w:t>
      </w:r>
      <w:r w:rsidR="00AB0983" w:rsidRPr="001B449B">
        <w:rPr>
          <w:sz w:val="22"/>
        </w:rPr>
        <w:t xml:space="preserve">orld </w:t>
      </w:r>
      <w:r w:rsidRPr="001B449B">
        <w:rPr>
          <w:sz w:val="22"/>
        </w:rPr>
        <w:t>B</w:t>
      </w:r>
      <w:r w:rsidR="00AB0983" w:rsidRPr="001B449B">
        <w:rPr>
          <w:sz w:val="22"/>
        </w:rPr>
        <w:t>ank</w:t>
      </w:r>
      <w:r w:rsidRPr="001B449B">
        <w:rPr>
          <w:sz w:val="22"/>
        </w:rPr>
        <w:t xml:space="preserve"> to strengthen the focus on gender equality and </w:t>
      </w:r>
      <w:r w:rsidR="00734056">
        <w:rPr>
          <w:sz w:val="22"/>
        </w:rPr>
        <w:t>develop</w:t>
      </w:r>
      <w:r w:rsidR="00734056" w:rsidRPr="001B449B">
        <w:rPr>
          <w:sz w:val="22"/>
        </w:rPr>
        <w:t xml:space="preserve"> </w:t>
      </w:r>
      <w:r w:rsidRPr="001B449B">
        <w:rPr>
          <w:sz w:val="22"/>
        </w:rPr>
        <w:t>rigorous governance processes</w:t>
      </w:r>
      <w:r w:rsidR="00734056">
        <w:rPr>
          <w:sz w:val="22"/>
        </w:rPr>
        <w:t xml:space="preserve"> that set out a clear role for both parties</w:t>
      </w:r>
      <w:r w:rsidRPr="001B449B">
        <w:rPr>
          <w:sz w:val="22"/>
        </w:rPr>
        <w:t xml:space="preserve">. Outcomes from these efforts included the development and </w:t>
      </w:r>
      <w:r w:rsidRPr="001B449B">
        <w:rPr>
          <w:sz w:val="22"/>
        </w:rPr>
        <w:lastRenderedPageBreak/>
        <w:t>implementation of a program theory of change and results framework</w:t>
      </w:r>
      <w:r w:rsidR="00734056">
        <w:rPr>
          <w:sz w:val="22"/>
        </w:rPr>
        <w:t>, and a biannual Donor Steering Committee meeting</w:t>
      </w:r>
      <w:r w:rsidRPr="001B449B">
        <w:rPr>
          <w:sz w:val="22"/>
        </w:rPr>
        <w:t>. The World Bank increased emphasis on monitoring and evaluation, developing activity results chains and improved annual reporting processes (including revised input templates for W</w:t>
      </w:r>
      <w:r w:rsidR="00AB0983" w:rsidRPr="001B449B">
        <w:rPr>
          <w:sz w:val="22"/>
        </w:rPr>
        <w:t xml:space="preserve">orld </w:t>
      </w:r>
      <w:r w:rsidRPr="001B449B">
        <w:rPr>
          <w:sz w:val="22"/>
        </w:rPr>
        <w:t>B</w:t>
      </w:r>
      <w:r w:rsidR="00AB0983" w:rsidRPr="001B449B">
        <w:rPr>
          <w:sz w:val="22"/>
        </w:rPr>
        <w:t>ank</w:t>
      </w:r>
      <w:r w:rsidRPr="001B449B">
        <w:rPr>
          <w:sz w:val="22"/>
        </w:rPr>
        <w:t xml:space="preserve"> Task Team Leaders)</w:t>
      </w:r>
      <w:r w:rsidR="00C36D62" w:rsidRPr="001B449B">
        <w:rPr>
          <w:sz w:val="22"/>
        </w:rPr>
        <w:t>,</w:t>
      </w:r>
      <w:r w:rsidRPr="001B449B">
        <w:rPr>
          <w:sz w:val="22"/>
        </w:rPr>
        <w:t xml:space="preserve"> to highlight how projects contribute to SARTFP medium-term outcomes. </w:t>
      </w:r>
      <w:r w:rsidR="00F21795" w:rsidRPr="001B449B">
        <w:rPr>
          <w:sz w:val="22"/>
        </w:rPr>
        <w:t xml:space="preserve">As discussed in the previous section, IFG lacked a complete strategy until late in the program, so the SARTFP approach </w:t>
      </w:r>
      <w:r w:rsidRPr="001B449B">
        <w:rPr>
          <w:sz w:val="22"/>
        </w:rPr>
        <w:t>is an improvement on the way IFG was designed and managed.</w:t>
      </w:r>
      <w:r w:rsidR="00F21795" w:rsidRPr="001B449B">
        <w:rPr>
          <w:sz w:val="22"/>
        </w:rPr>
        <w:t xml:space="preserve"> </w:t>
      </w:r>
      <w:r w:rsidR="00A251FA" w:rsidRPr="001B449B">
        <w:rPr>
          <w:sz w:val="22"/>
        </w:rPr>
        <w:t xml:space="preserve">One senior DFAT interviewee noted that </w:t>
      </w:r>
      <w:r w:rsidR="00096A53">
        <w:rPr>
          <w:sz w:val="22"/>
        </w:rPr>
        <w:t>DFAT had</w:t>
      </w:r>
      <w:r w:rsidR="00A251FA" w:rsidRPr="001B449B">
        <w:rPr>
          <w:sz w:val="22"/>
        </w:rPr>
        <w:t xml:space="preserve"> more input to the strategic direction of SARTFP than with IFG.</w:t>
      </w:r>
      <w:r w:rsidR="00A251FA" w:rsidRPr="001B449B">
        <w:rPr>
          <w:rStyle w:val="FootnoteReference"/>
          <w:sz w:val="22"/>
        </w:rPr>
        <w:footnoteReference w:id="93"/>
      </w:r>
    </w:p>
    <w:p w14:paraId="0AD0DBCE" w14:textId="6943B2AC" w:rsidR="00E74766" w:rsidRPr="001B449B" w:rsidRDefault="000301B5" w:rsidP="007D1047">
      <w:pPr>
        <w:rPr>
          <w:sz w:val="22"/>
        </w:rPr>
      </w:pPr>
      <w:r w:rsidRPr="001B449B">
        <w:rPr>
          <w:sz w:val="22"/>
        </w:rPr>
        <w:t xml:space="preserve">Comprehensive gender-sensitive programming is embedded in SARTFP’s design, implementation, monitoring and reporting in terms of the theory, decision making processes, </w:t>
      </w:r>
      <w:r w:rsidR="00734056">
        <w:rPr>
          <w:sz w:val="22"/>
        </w:rPr>
        <w:t xml:space="preserve">and </w:t>
      </w:r>
      <w:r w:rsidRPr="001B449B">
        <w:rPr>
          <w:sz w:val="22"/>
        </w:rPr>
        <w:t>templates. However, the evidence regarding the strength of these in practice is mixed.</w:t>
      </w:r>
      <w:r w:rsidR="00AB0983" w:rsidRPr="001B449B">
        <w:rPr>
          <w:sz w:val="22"/>
        </w:rPr>
        <w:t xml:space="preserve"> For example, the variable quality of round two proposals was highlighted at a World Bank SARTFP </w:t>
      </w:r>
      <w:r w:rsidR="00B273B0">
        <w:rPr>
          <w:sz w:val="22"/>
        </w:rPr>
        <w:t>I</w:t>
      </w:r>
      <w:r w:rsidR="00AB0983" w:rsidRPr="001B449B">
        <w:rPr>
          <w:sz w:val="22"/>
        </w:rPr>
        <w:t xml:space="preserve">nternal </w:t>
      </w:r>
      <w:r w:rsidR="00B273B0">
        <w:rPr>
          <w:sz w:val="22"/>
        </w:rPr>
        <w:t>R</w:t>
      </w:r>
      <w:r w:rsidR="00AB0983" w:rsidRPr="001B449B">
        <w:rPr>
          <w:sz w:val="22"/>
        </w:rPr>
        <w:t xml:space="preserve">eview </w:t>
      </w:r>
      <w:r w:rsidR="00B273B0">
        <w:rPr>
          <w:sz w:val="22"/>
        </w:rPr>
        <w:t>C</w:t>
      </w:r>
      <w:r w:rsidR="00AB0983" w:rsidRPr="001B449B">
        <w:rPr>
          <w:sz w:val="22"/>
        </w:rPr>
        <w:t>ommittee meeting, with some proposals seen as “retrofitting the regional and gender aspects”.</w:t>
      </w:r>
      <w:r w:rsidR="00AB0983" w:rsidRPr="001B449B">
        <w:rPr>
          <w:rStyle w:val="FootnoteReference"/>
          <w:sz w:val="22"/>
        </w:rPr>
        <w:footnoteReference w:id="94"/>
      </w:r>
      <w:r w:rsidR="00AB0983" w:rsidRPr="001B449B">
        <w:rPr>
          <w:sz w:val="22"/>
        </w:rPr>
        <w:t xml:space="preserve"> However</w:t>
      </w:r>
      <w:r w:rsidR="007D1047" w:rsidRPr="001B449B">
        <w:rPr>
          <w:sz w:val="22"/>
        </w:rPr>
        <w:t>,</w:t>
      </w:r>
      <w:r w:rsidR="00AB0983" w:rsidRPr="001B449B">
        <w:rPr>
          <w:sz w:val="22"/>
        </w:rPr>
        <w:t xml:space="preserve"> the meeting minutes also provide evidence the Bank recognised this was a problem and discussed ways to improve the quality of future SARTFP proposals.</w:t>
      </w:r>
    </w:p>
    <w:p w14:paraId="098D18EC" w14:textId="77777777" w:rsidR="00E74766" w:rsidRPr="00954645" w:rsidRDefault="00E74766" w:rsidP="00954645">
      <w:pPr>
        <w:pStyle w:val="recommendation"/>
      </w:pPr>
      <w:r w:rsidRPr="008A1BF1">
        <w:t>Recommendation</w:t>
      </w:r>
      <w:r w:rsidR="004C4BA4">
        <w:t>s</w:t>
      </w:r>
    </w:p>
    <w:p w14:paraId="0501DA39" w14:textId="6151C012" w:rsidR="00E74766" w:rsidRDefault="00954645" w:rsidP="004C3817">
      <w:pPr>
        <w:pStyle w:val="recommendation"/>
        <w:ind w:left="720"/>
      </w:pPr>
      <w:bookmarkStart w:id="27" w:name="_Hlk514053113"/>
      <w:r>
        <w:t xml:space="preserve">5. </w:t>
      </w:r>
      <w:r w:rsidR="00E74766" w:rsidRPr="00E74766">
        <w:t>Revisit and refine the SARTFP results framework in the light of implementation experience and an established program Secretariat who were not involved in the original co-development process</w:t>
      </w:r>
      <w:bookmarkEnd w:id="27"/>
      <w:r w:rsidR="00E74766" w:rsidRPr="00E74766">
        <w:t>.</w:t>
      </w:r>
    </w:p>
    <w:p w14:paraId="331D70EF" w14:textId="77777777" w:rsidR="000301B5" w:rsidRPr="007D5DA9" w:rsidRDefault="004C4BA4" w:rsidP="002749C9">
      <w:pPr>
        <w:pStyle w:val="KeyFinding"/>
      </w:pPr>
      <w:r w:rsidRPr="007D5DA9">
        <w:t>By engaging with a range of partners, SARTFP has begun to influence how complementary investments by other donors may support its objectives</w:t>
      </w:r>
      <w:r w:rsidR="008F6EAD" w:rsidRPr="007D5DA9">
        <w:rPr>
          <w:rStyle w:val="FootnoteReference"/>
          <w:b w:val="0"/>
        </w:rPr>
        <w:footnoteReference w:id="95"/>
      </w:r>
    </w:p>
    <w:p w14:paraId="0B824B75" w14:textId="69265CF5" w:rsidR="000301B5" w:rsidRPr="001B449B" w:rsidRDefault="000301B5" w:rsidP="002749C9">
      <w:pPr>
        <w:rPr>
          <w:sz w:val="22"/>
        </w:rPr>
      </w:pPr>
      <w:r w:rsidRPr="001B449B">
        <w:rPr>
          <w:sz w:val="22"/>
        </w:rPr>
        <w:t>In order to encourage complementary investments that benefit women, the Bank notes a change in thinking by ADB, JICA and DfID, influenced by a SARTFP report containing analytic findings on gender issues such as female wage employment under the Economic Corridors of South Asia activity.</w:t>
      </w:r>
      <w:r w:rsidRPr="001B449B">
        <w:rPr>
          <w:rStyle w:val="FootnoteReference"/>
          <w:sz w:val="22"/>
        </w:rPr>
        <w:footnoteReference w:id="96"/>
      </w:r>
      <w:r w:rsidRPr="001B449B">
        <w:rPr>
          <w:sz w:val="22"/>
        </w:rPr>
        <w:t xml:space="preserve"> </w:t>
      </w:r>
      <w:r w:rsidR="003167C9">
        <w:rPr>
          <w:sz w:val="22"/>
        </w:rPr>
        <w:t>The extent to which c</w:t>
      </w:r>
      <w:r w:rsidRPr="001B449B">
        <w:rPr>
          <w:sz w:val="22"/>
        </w:rPr>
        <w:t xml:space="preserve">omplementary investments </w:t>
      </w:r>
      <w:r w:rsidR="003167C9">
        <w:rPr>
          <w:sz w:val="22"/>
        </w:rPr>
        <w:t>can be attributed to SARTFP is</w:t>
      </w:r>
      <w:r w:rsidRPr="001B449B">
        <w:rPr>
          <w:sz w:val="22"/>
        </w:rPr>
        <w:t xml:space="preserve"> difficult to judge at this </w:t>
      </w:r>
      <w:r w:rsidR="00754CFB" w:rsidRPr="001B449B">
        <w:rPr>
          <w:sz w:val="22"/>
        </w:rPr>
        <w:t xml:space="preserve">early </w:t>
      </w:r>
      <w:r w:rsidRPr="001B449B">
        <w:rPr>
          <w:sz w:val="22"/>
        </w:rPr>
        <w:t>stage</w:t>
      </w:r>
      <w:r w:rsidR="00754CFB" w:rsidRPr="001B449B">
        <w:rPr>
          <w:sz w:val="22"/>
        </w:rPr>
        <w:t xml:space="preserve"> of the program</w:t>
      </w:r>
      <w:r w:rsidRPr="001B449B">
        <w:rPr>
          <w:sz w:val="22"/>
        </w:rPr>
        <w:t xml:space="preserve">, and may be challenging to calculate in future.  However, SARTFP is seen as leading this discussion, </w:t>
      </w:r>
      <w:r w:rsidR="00913F78">
        <w:rPr>
          <w:sz w:val="22"/>
        </w:rPr>
        <w:t xml:space="preserve">and </w:t>
      </w:r>
      <w:r w:rsidRPr="001B449B">
        <w:rPr>
          <w:sz w:val="22"/>
        </w:rPr>
        <w:t xml:space="preserve">it </w:t>
      </w:r>
      <w:r w:rsidR="00913F78" w:rsidRPr="001B449B">
        <w:rPr>
          <w:sz w:val="22"/>
        </w:rPr>
        <w:t>opens</w:t>
      </w:r>
      <w:r w:rsidRPr="001B449B">
        <w:rPr>
          <w:sz w:val="22"/>
        </w:rPr>
        <w:t xml:space="preserve"> more opportunities to introduce analysis and influence policy.</w:t>
      </w:r>
    </w:p>
    <w:p w14:paraId="04885955" w14:textId="3350FEF1" w:rsidR="007771D8" w:rsidRPr="00A02664" w:rsidRDefault="000301B5" w:rsidP="002749C9">
      <w:pPr>
        <w:rPr>
          <w:sz w:val="22"/>
        </w:rPr>
      </w:pPr>
      <w:r w:rsidRPr="00AB5969">
        <w:rPr>
          <w:sz w:val="22"/>
        </w:rPr>
        <w:t xml:space="preserve">A more comprehensive measure </w:t>
      </w:r>
      <w:r w:rsidR="001C020B" w:rsidRPr="00A02664">
        <w:rPr>
          <w:sz w:val="22"/>
        </w:rPr>
        <w:t>of SART</w:t>
      </w:r>
      <w:r w:rsidR="006E38FE">
        <w:rPr>
          <w:sz w:val="22"/>
        </w:rPr>
        <w:t>F</w:t>
      </w:r>
      <w:r w:rsidR="001C020B" w:rsidRPr="00A02664">
        <w:rPr>
          <w:sz w:val="22"/>
        </w:rPr>
        <w:t>P</w:t>
      </w:r>
      <w:r w:rsidR="00EC58A0" w:rsidRPr="00A02664">
        <w:rPr>
          <w:sz w:val="22"/>
        </w:rPr>
        <w:t>’s gender</w:t>
      </w:r>
      <w:r w:rsidR="001C020B" w:rsidRPr="00A02664">
        <w:rPr>
          <w:sz w:val="22"/>
        </w:rPr>
        <w:t xml:space="preserve"> influence </w:t>
      </w:r>
      <w:r w:rsidRPr="00AB5969">
        <w:rPr>
          <w:sz w:val="22"/>
        </w:rPr>
        <w:t xml:space="preserve">might be </w:t>
      </w:r>
      <w:r w:rsidR="001C020B" w:rsidRPr="00A02664">
        <w:rPr>
          <w:sz w:val="22"/>
        </w:rPr>
        <w:t>evidence of</w:t>
      </w:r>
      <w:r w:rsidRPr="00AB5969">
        <w:rPr>
          <w:sz w:val="22"/>
        </w:rPr>
        <w:t xml:space="preserve"> gender programming </w:t>
      </w:r>
      <w:r w:rsidR="001C020B" w:rsidRPr="00A02664">
        <w:rPr>
          <w:sz w:val="22"/>
        </w:rPr>
        <w:t xml:space="preserve">embedded </w:t>
      </w:r>
      <w:r w:rsidRPr="00AB5969">
        <w:rPr>
          <w:sz w:val="22"/>
        </w:rPr>
        <w:t xml:space="preserve">in key aspects of policy, financing, regulation and program delivery across relevant sectors. For instance, consultations with women’s </w:t>
      </w:r>
      <w:r w:rsidR="00913F78" w:rsidRPr="00AB5969">
        <w:rPr>
          <w:sz w:val="22"/>
        </w:rPr>
        <w:t>business</w:t>
      </w:r>
      <w:r w:rsidR="00EC58A0" w:rsidRPr="00A02664">
        <w:rPr>
          <w:sz w:val="22"/>
        </w:rPr>
        <w:t>es</w:t>
      </w:r>
      <w:r w:rsidR="00913F78" w:rsidRPr="00AB5969">
        <w:rPr>
          <w:sz w:val="22"/>
        </w:rPr>
        <w:t xml:space="preserve"> and enterprise </w:t>
      </w:r>
      <w:r w:rsidRPr="00AB5969">
        <w:rPr>
          <w:sz w:val="22"/>
        </w:rPr>
        <w:t xml:space="preserve">groups such as </w:t>
      </w:r>
      <w:r w:rsidR="008F6EAD" w:rsidRPr="00AB5969">
        <w:rPr>
          <w:sz w:val="22"/>
        </w:rPr>
        <w:t>Employment Support (</w:t>
      </w:r>
      <w:r w:rsidRPr="00AB5969">
        <w:rPr>
          <w:sz w:val="22"/>
        </w:rPr>
        <w:t>BEES</w:t>
      </w:r>
      <w:r w:rsidR="008F6EAD" w:rsidRPr="00AB5969">
        <w:rPr>
          <w:sz w:val="22"/>
        </w:rPr>
        <w:t xml:space="preserve">) </w:t>
      </w:r>
      <w:r w:rsidRPr="00AB5969">
        <w:rPr>
          <w:sz w:val="22"/>
        </w:rPr>
        <w:t>Network</w:t>
      </w:r>
      <w:r w:rsidR="008F6EAD" w:rsidRPr="00AB5969">
        <w:rPr>
          <w:sz w:val="22"/>
        </w:rPr>
        <w:t xml:space="preserve"> for Women i</w:t>
      </w:r>
      <w:r w:rsidR="008F6EAD" w:rsidRPr="0038416B">
        <w:rPr>
          <w:sz w:val="22"/>
        </w:rPr>
        <w:t>n South Asia</w:t>
      </w:r>
      <w:r w:rsidR="00913F78" w:rsidRPr="0038416B">
        <w:rPr>
          <w:sz w:val="22"/>
        </w:rPr>
        <w:t>,</w:t>
      </w:r>
      <w:r w:rsidRPr="00F97FE1">
        <w:rPr>
          <w:sz w:val="22"/>
        </w:rPr>
        <w:t xml:space="preserve"> South Asian Women Development Forum</w:t>
      </w:r>
      <w:r w:rsidR="00913F78" w:rsidRPr="00F97FE1">
        <w:rPr>
          <w:sz w:val="22"/>
        </w:rPr>
        <w:t>,</w:t>
      </w:r>
      <w:r w:rsidRPr="00F97FE1">
        <w:rPr>
          <w:sz w:val="22"/>
        </w:rPr>
        <w:t xml:space="preserve"> Business for Professional Women Nepal</w:t>
      </w:r>
      <w:r w:rsidR="00913F78" w:rsidRPr="00F97FE1">
        <w:rPr>
          <w:sz w:val="22"/>
        </w:rPr>
        <w:t>,</w:t>
      </w:r>
      <w:r w:rsidRPr="00F97FE1">
        <w:rPr>
          <w:sz w:val="22"/>
        </w:rPr>
        <w:t xml:space="preserve"> Bhutanese Association of Women Entrepreneurs </w:t>
      </w:r>
      <w:r w:rsidRPr="00AA2557">
        <w:rPr>
          <w:sz w:val="22"/>
        </w:rPr>
        <w:t xml:space="preserve">and others could provide anecdotal evidence or case-studies of policy and program changes at a local level, </w:t>
      </w:r>
      <w:r w:rsidR="00913F78" w:rsidRPr="00CF021A">
        <w:rPr>
          <w:sz w:val="22"/>
        </w:rPr>
        <w:t>such as</w:t>
      </w:r>
      <w:r w:rsidRPr="00CF021A">
        <w:rPr>
          <w:sz w:val="22"/>
        </w:rPr>
        <w:t xml:space="preserve"> the stronger inclusion of women in WTO Trade </w:t>
      </w:r>
      <w:r w:rsidRPr="00C038F9">
        <w:rPr>
          <w:sz w:val="22"/>
        </w:rPr>
        <w:t>Facilitation National Committees.</w:t>
      </w:r>
    </w:p>
    <w:p w14:paraId="5D0B902B" w14:textId="4499EE3F" w:rsidR="007771D8" w:rsidRPr="00AB5969" w:rsidRDefault="007771D8" w:rsidP="007771D8">
      <w:pPr>
        <w:pStyle w:val="recommendation"/>
      </w:pPr>
      <w:r w:rsidRPr="00AB5969">
        <w:t xml:space="preserve"> Recommendations</w:t>
      </w:r>
    </w:p>
    <w:p w14:paraId="209577AF" w14:textId="62E6EE3F" w:rsidR="000301B5" w:rsidRPr="00A02664" w:rsidRDefault="00954645" w:rsidP="004C3817">
      <w:pPr>
        <w:pStyle w:val="recommendation"/>
        <w:ind w:left="360"/>
        <w:rPr>
          <w:color w:val="00B050"/>
          <w:szCs w:val="20"/>
        </w:rPr>
      </w:pPr>
      <w:r>
        <w:rPr>
          <w:szCs w:val="20"/>
        </w:rPr>
        <w:t xml:space="preserve">6. </w:t>
      </w:r>
      <w:r w:rsidR="00EC58A0" w:rsidRPr="00AB5969">
        <w:rPr>
          <w:szCs w:val="20"/>
        </w:rPr>
        <w:t>Track</w:t>
      </w:r>
      <w:r w:rsidR="007771D8" w:rsidRPr="00AB5969">
        <w:rPr>
          <w:szCs w:val="20"/>
        </w:rPr>
        <w:t xml:space="preserve"> </w:t>
      </w:r>
      <w:r w:rsidR="001C020B" w:rsidRPr="00A02664">
        <w:rPr>
          <w:szCs w:val="20"/>
        </w:rPr>
        <w:t>evidence of</w:t>
      </w:r>
      <w:r w:rsidR="007771D8" w:rsidRPr="00A02664">
        <w:rPr>
          <w:szCs w:val="20"/>
        </w:rPr>
        <w:t xml:space="preserve"> gender </w:t>
      </w:r>
      <w:r w:rsidR="001C020B" w:rsidRPr="00A02664">
        <w:rPr>
          <w:szCs w:val="20"/>
        </w:rPr>
        <w:t xml:space="preserve">being embedded </w:t>
      </w:r>
      <w:r w:rsidR="007771D8" w:rsidRPr="00A02664">
        <w:rPr>
          <w:szCs w:val="20"/>
        </w:rPr>
        <w:t>in key aspects of policy, financing, regulation and program delivery across the relevant sectors</w:t>
      </w:r>
      <w:r w:rsidR="00EC58A0" w:rsidRPr="00A02664">
        <w:rPr>
          <w:szCs w:val="20"/>
        </w:rPr>
        <w:t xml:space="preserve"> to measure the influence of SART</w:t>
      </w:r>
      <w:r w:rsidR="005D53C0">
        <w:rPr>
          <w:szCs w:val="20"/>
        </w:rPr>
        <w:t>F</w:t>
      </w:r>
      <w:r w:rsidR="00EC58A0" w:rsidRPr="00A02664">
        <w:rPr>
          <w:szCs w:val="20"/>
        </w:rPr>
        <w:t>P on gender programming</w:t>
      </w:r>
      <w:r w:rsidR="007771D8" w:rsidRPr="00A02664">
        <w:rPr>
          <w:szCs w:val="20"/>
        </w:rPr>
        <w:t>.</w:t>
      </w:r>
    </w:p>
    <w:p w14:paraId="211D468C" w14:textId="77777777" w:rsidR="000301B5" w:rsidRPr="007D5DA9" w:rsidRDefault="000301B5" w:rsidP="002749C9">
      <w:pPr>
        <w:pStyle w:val="Heading2"/>
      </w:pPr>
      <w:bookmarkStart w:id="28" w:name="_Toc517615244"/>
      <w:r w:rsidRPr="007D5DA9">
        <w:lastRenderedPageBreak/>
        <w:t>Efficiency</w:t>
      </w:r>
      <w:bookmarkEnd w:id="28"/>
    </w:p>
    <w:p w14:paraId="7B2837C1" w14:textId="77777777" w:rsidR="000301B5" w:rsidRPr="001B449B" w:rsidRDefault="000301B5" w:rsidP="002749C9">
      <w:pPr>
        <w:pStyle w:val="Heading3"/>
        <w:rPr>
          <w:sz w:val="22"/>
        </w:rPr>
      </w:pPr>
      <w:r w:rsidRPr="001B449B">
        <w:rPr>
          <w:b/>
          <w:sz w:val="22"/>
        </w:rPr>
        <w:t>Rating:</w:t>
      </w:r>
      <w:r w:rsidRPr="001B449B">
        <w:rPr>
          <w:sz w:val="22"/>
        </w:rPr>
        <w:t xml:space="preserve"> 3 - Findings are supported by good evidence</w:t>
      </w:r>
    </w:p>
    <w:p w14:paraId="50EFF194" w14:textId="134A3A1C" w:rsidR="00A616F1" w:rsidRPr="001B449B" w:rsidRDefault="002F2D8B" w:rsidP="002749C9">
      <w:pPr>
        <w:rPr>
          <w:sz w:val="22"/>
        </w:rPr>
      </w:pPr>
      <w:r w:rsidRPr="001B449B">
        <w:rPr>
          <w:sz w:val="22"/>
        </w:rPr>
        <w:t>Overall, the evaluation found good evidence</w:t>
      </w:r>
      <w:r w:rsidR="00D57D35">
        <w:rPr>
          <w:sz w:val="22"/>
        </w:rPr>
        <w:t>, as outlined in paragraphs below,</w:t>
      </w:r>
      <w:r w:rsidRPr="001B449B">
        <w:rPr>
          <w:sz w:val="22"/>
        </w:rPr>
        <w:t xml:space="preserve"> th</w:t>
      </w:r>
      <w:r w:rsidR="00D57D35">
        <w:rPr>
          <w:sz w:val="22"/>
        </w:rPr>
        <w:t>at</w:t>
      </w:r>
      <w:r w:rsidRPr="001B449B">
        <w:rPr>
          <w:sz w:val="22"/>
        </w:rPr>
        <w:t xml:space="preserve"> SARTFP is being managed efficiently</w:t>
      </w:r>
      <w:r w:rsidR="00B21179" w:rsidRPr="001B449B">
        <w:rPr>
          <w:sz w:val="22"/>
        </w:rPr>
        <w:t>. However</w:t>
      </w:r>
      <w:r w:rsidRPr="001B449B">
        <w:rPr>
          <w:sz w:val="22"/>
        </w:rPr>
        <w:t>,</w:t>
      </w:r>
      <w:r w:rsidR="00B21179" w:rsidRPr="001B449B">
        <w:rPr>
          <w:sz w:val="22"/>
        </w:rPr>
        <w:t xml:space="preserve"> </w:t>
      </w:r>
      <w:r w:rsidRPr="001B449B">
        <w:rPr>
          <w:sz w:val="22"/>
        </w:rPr>
        <w:t xml:space="preserve">there are shortcomings in the way the TAF is managed which may undermine </w:t>
      </w:r>
      <w:r w:rsidR="00913F78">
        <w:rPr>
          <w:sz w:val="22"/>
        </w:rPr>
        <w:t xml:space="preserve">this </w:t>
      </w:r>
      <w:r w:rsidRPr="001B449B">
        <w:rPr>
          <w:sz w:val="22"/>
        </w:rPr>
        <w:t>component to the program</w:t>
      </w:r>
      <w:r w:rsidR="00913F78" w:rsidRPr="00913F78">
        <w:rPr>
          <w:sz w:val="22"/>
        </w:rPr>
        <w:t xml:space="preserve"> </w:t>
      </w:r>
      <w:r w:rsidR="00913F78" w:rsidRPr="001B449B">
        <w:rPr>
          <w:sz w:val="22"/>
        </w:rPr>
        <w:t>if not addressed</w:t>
      </w:r>
      <w:r w:rsidRPr="001B449B">
        <w:rPr>
          <w:sz w:val="22"/>
        </w:rPr>
        <w:t xml:space="preserve">. </w:t>
      </w:r>
    </w:p>
    <w:p w14:paraId="2013AE62" w14:textId="77777777" w:rsidR="000301B5" w:rsidRPr="007D5DA9" w:rsidRDefault="004C4BA4" w:rsidP="002749C9">
      <w:pPr>
        <w:pStyle w:val="KeyFinding"/>
      </w:pPr>
      <w:r w:rsidRPr="007D5DA9">
        <w:t>WB has established an Internal Review Committee for SARTFP as means of quality assurance (includes WB Country Directors, Regional Director, Chief Economist’s office, and relevant Practice Managers).</w:t>
      </w:r>
    </w:p>
    <w:p w14:paraId="2E15A37E" w14:textId="2FBF731E" w:rsidR="000301B5" w:rsidRPr="001B449B" w:rsidRDefault="00021FD5" w:rsidP="002749C9">
      <w:pPr>
        <w:rPr>
          <w:sz w:val="22"/>
        </w:rPr>
      </w:pPr>
      <w:r w:rsidRPr="001B449B">
        <w:rPr>
          <w:sz w:val="22"/>
        </w:rPr>
        <w:t>E</w:t>
      </w:r>
      <w:r w:rsidR="000301B5" w:rsidRPr="001B449B">
        <w:rPr>
          <w:sz w:val="22"/>
        </w:rPr>
        <w:t xml:space="preserve">vidence </w:t>
      </w:r>
      <w:r w:rsidRPr="001B449B">
        <w:rPr>
          <w:sz w:val="22"/>
        </w:rPr>
        <w:t xml:space="preserve">indicated </w:t>
      </w:r>
      <w:r w:rsidR="000301B5" w:rsidRPr="001B449B">
        <w:rPr>
          <w:sz w:val="22"/>
        </w:rPr>
        <w:t xml:space="preserve">the World Bank’s SARTFP Secretariat and Internal Review Committee (IRC) are </w:t>
      </w:r>
      <w:r w:rsidR="00913F78">
        <w:rPr>
          <w:sz w:val="22"/>
        </w:rPr>
        <w:t>actively</w:t>
      </w:r>
      <w:r w:rsidR="000301B5" w:rsidRPr="001B449B">
        <w:rPr>
          <w:sz w:val="22"/>
        </w:rPr>
        <w:t xml:space="preserve"> contributing to an enabling environment for the program to be fully operationali</w:t>
      </w:r>
      <w:r w:rsidR="00913F78">
        <w:rPr>
          <w:sz w:val="22"/>
        </w:rPr>
        <w:t>s</w:t>
      </w:r>
      <w:r w:rsidR="000301B5" w:rsidRPr="001B449B">
        <w:rPr>
          <w:sz w:val="22"/>
        </w:rPr>
        <w:t>ed.</w:t>
      </w:r>
      <w:r w:rsidRPr="001B449B">
        <w:rPr>
          <w:rStyle w:val="FootnoteReference"/>
          <w:sz w:val="22"/>
        </w:rPr>
        <w:footnoteReference w:id="97"/>
      </w:r>
      <w:r w:rsidR="000301B5" w:rsidRPr="001B449B">
        <w:rPr>
          <w:sz w:val="22"/>
        </w:rPr>
        <w:t xml:space="preserve"> </w:t>
      </w:r>
      <w:r w:rsidRPr="001B449B">
        <w:rPr>
          <w:sz w:val="22"/>
        </w:rPr>
        <w:t>For example, changes were introduced to make the SARTFP proposal selection process more robust and the Secretariat advocated for expanding the number of World Bank Global Practices eligible for funding.</w:t>
      </w:r>
      <w:r w:rsidRPr="001B449B">
        <w:rPr>
          <w:rStyle w:val="FootnoteReference"/>
          <w:sz w:val="22"/>
        </w:rPr>
        <w:footnoteReference w:id="98"/>
      </w:r>
      <w:r w:rsidRPr="001B449B">
        <w:rPr>
          <w:sz w:val="22"/>
        </w:rPr>
        <w:t xml:space="preserve"> </w:t>
      </w:r>
      <w:r w:rsidR="000301B5" w:rsidRPr="001B449B">
        <w:rPr>
          <w:sz w:val="22"/>
        </w:rPr>
        <w:t>The</w:t>
      </w:r>
      <w:r w:rsidR="00336A24">
        <w:rPr>
          <w:sz w:val="22"/>
        </w:rPr>
        <w:t xml:space="preserve"> Secretariat</w:t>
      </w:r>
      <w:r w:rsidR="000301B5" w:rsidRPr="001B449B">
        <w:rPr>
          <w:sz w:val="22"/>
        </w:rPr>
        <w:t xml:space="preserve"> role includes: </w:t>
      </w:r>
      <w:r w:rsidR="000301B5" w:rsidRPr="001B449B">
        <w:rPr>
          <w:sz w:val="22"/>
          <w:lang w:val="en-AU"/>
        </w:rPr>
        <w:t xml:space="preserve">balancing funding supply and demand; </w:t>
      </w:r>
      <w:r w:rsidR="00336A24">
        <w:rPr>
          <w:sz w:val="22"/>
          <w:lang w:val="en-AU"/>
        </w:rPr>
        <w:t xml:space="preserve">ensuring </w:t>
      </w:r>
      <w:r w:rsidR="000301B5" w:rsidRPr="001B449B">
        <w:rPr>
          <w:sz w:val="22"/>
          <w:lang w:val="en-AU"/>
        </w:rPr>
        <w:t>align</w:t>
      </w:r>
      <w:r w:rsidR="00336A24">
        <w:rPr>
          <w:sz w:val="22"/>
          <w:lang w:val="en-AU"/>
        </w:rPr>
        <w:t xml:space="preserve">ment </w:t>
      </w:r>
      <w:r w:rsidR="000301B5" w:rsidRPr="001B449B">
        <w:rPr>
          <w:sz w:val="22"/>
          <w:lang w:val="en-AU"/>
        </w:rPr>
        <w:t>with the Bank’s country programs in South Asia; maximis</w:t>
      </w:r>
      <w:r w:rsidR="00336A24">
        <w:rPr>
          <w:sz w:val="22"/>
          <w:lang w:val="en-AU"/>
        </w:rPr>
        <w:t>ing</w:t>
      </w:r>
      <w:r w:rsidR="000301B5" w:rsidRPr="001B449B">
        <w:rPr>
          <w:sz w:val="22"/>
          <w:lang w:val="en-AU"/>
        </w:rPr>
        <w:t xml:space="preserve"> space for innovation; avoid</w:t>
      </w:r>
      <w:r w:rsidR="00336A24">
        <w:rPr>
          <w:sz w:val="22"/>
          <w:lang w:val="en-AU"/>
        </w:rPr>
        <w:t>ing</w:t>
      </w:r>
      <w:r w:rsidR="000301B5" w:rsidRPr="001B449B">
        <w:rPr>
          <w:sz w:val="22"/>
          <w:lang w:val="en-AU"/>
        </w:rPr>
        <w:t xml:space="preserve"> overlap of funding requests by having a single point to review progress and disburse. Care is needed to balance </w:t>
      </w:r>
      <w:r w:rsidR="000301B5" w:rsidRPr="001B449B">
        <w:rPr>
          <w:sz w:val="22"/>
        </w:rPr>
        <w:t>tension</w:t>
      </w:r>
      <w:r w:rsidR="00336A24">
        <w:rPr>
          <w:sz w:val="22"/>
        </w:rPr>
        <w:t>s</w:t>
      </w:r>
      <w:r w:rsidR="000301B5" w:rsidRPr="001B449B">
        <w:rPr>
          <w:sz w:val="22"/>
        </w:rPr>
        <w:t xml:space="preserve"> between </w:t>
      </w:r>
      <w:r w:rsidR="00336A24" w:rsidRPr="001B449B">
        <w:rPr>
          <w:sz w:val="22"/>
        </w:rPr>
        <w:t xml:space="preserve">project selection </w:t>
      </w:r>
      <w:r w:rsidR="000301B5" w:rsidRPr="001B449B">
        <w:rPr>
          <w:sz w:val="22"/>
        </w:rPr>
        <w:t xml:space="preserve">quality assurance and DFAT </w:t>
      </w:r>
      <w:r w:rsidR="00336A24" w:rsidRPr="001B449B">
        <w:rPr>
          <w:sz w:val="22"/>
        </w:rPr>
        <w:t>pressure</w:t>
      </w:r>
      <w:r w:rsidR="00336A24">
        <w:rPr>
          <w:sz w:val="22"/>
        </w:rPr>
        <w:t>s</w:t>
      </w:r>
      <w:r w:rsidR="00336A24" w:rsidRPr="001B449B">
        <w:rPr>
          <w:sz w:val="22"/>
        </w:rPr>
        <w:t xml:space="preserve"> </w:t>
      </w:r>
      <w:r w:rsidR="000301B5" w:rsidRPr="001B449B">
        <w:rPr>
          <w:sz w:val="22"/>
        </w:rPr>
        <w:t>to disburse funds.</w:t>
      </w:r>
    </w:p>
    <w:p w14:paraId="0F2DF3F7" w14:textId="015EE0EB" w:rsidR="000301B5" w:rsidRPr="007D5DA9" w:rsidRDefault="002A3A5C" w:rsidP="002749C9">
      <w:pPr>
        <w:pStyle w:val="KeyFinding"/>
      </w:pPr>
      <w:r>
        <w:t>There is g</w:t>
      </w:r>
      <w:r w:rsidR="004C4BA4" w:rsidRPr="007D5DA9">
        <w:t>ood evidence that</w:t>
      </w:r>
      <w:r>
        <w:t xml:space="preserve"> the</w:t>
      </w:r>
      <w:r w:rsidR="004C4BA4" w:rsidRPr="007D5DA9">
        <w:t xml:space="preserve"> TAF has </w:t>
      </w:r>
      <w:r w:rsidR="00F97FE1">
        <w:t>produced positive</w:t>
      </w:r>
      <w:r w:rsidR="004C4BA4" w:rsidRPr="007D5DA9">
        <w:t xml:space="preserve"> results (especially </w:t>
      </w:r>
      <w:r>
        <w:t xml:space="preserve">developing the </w:t>
      </w:r>
      <w:r w:rsidR="004C4BA4" w:rsidRPr="007D5DA9">
        <w:t xml:space="preserve">theory of change and results framework), but role clarity is now needed </w:t>
      </w:r>
      <w:r w:rsidR="00436B92">
        <w:t>to maximise value of any future investment</w:t>
      </w:r>
    </w:p>
    <w:p w14:paraId="70F50060" w14:textId="77777777" w:rsidR="00A616F1" w:rsidRPr="001B449B" w:rsidRDefault="00A616F1" w:rsidP="002749C9">
      <w:pPr>
        <w:rPr>
          <w:sz w:val="22"/>
        </w:rPr>
      </w:pPr>
      <w:r w:rsidRPr="001B449B">
        <w:rPr>
          <w:sz w:val="22"/>
          <w:lang w:val="en-AU"/>
        </w:rPr>
        <w:t>In a recent report, DFAT rates the management of SARTFP as efficient, with one DFAT Canberra staff member managing both IFG and SARTFP. In addition, DFAT engages five advisers in the Technical Advisory Facility (TAF) to engage on SARTFP at a technical level as required, and whose technical expertise has been crucial to DFAT’s ability to influence World Bank processes.</w:t>
      </w:r>
      <w:r w:rsidRPr="001B449B">
        <w:rPr>
          <w:rStyle w:val="FootnoteReference"/>
          <w:sz w:val="22"/>
          <w:lang w:val="en-AU"/>
        </w:rPr>
        <w:footnoteReference w:id="99"/>
      </w:r>
      <w:r w:rsidRPr="001B449B">
        <w:rPr>
          <w:sz w:val="22"/>
          <w:lang w:val="en-AU"/>
        </w:rPr>
        <w:t xml:space="preserve"> </w:t>
      </w:r>
    </w:p>
    <w:p w14:paraId="021C652E" w14:textId="77777777" w:rsidR="000301B5" w:rsidRPr="001B449B" w:rsidRDefault="000301B5" w:rsidP="002749C9">
      <w:pPr>
        <w:rPr>
          <w:sz w:val="22"/>
        </w:rPr>
      </w:pPr>
      <w:r w:rsidRPr="001B449B">
        <w:rPr>
          <w:sz w:val="22"/>
          <w:lang w:val="en-AU"/>
        </w:rPr>
        <w:t>There is good evidence of the TAF working closely with DFAT and the W</w:t>
      </w:r>
      <w:r w:rsidR="00B273B0">
        <w:rPr>
          <w:sz w:val="22"/>
          <w:lang w:val="en-AU"/>
        </w:rPr>
        <w:t xml:space="preserve">orld </w:t>
      </w:r>
      <w:r w:rsidRPr="001B449B">
        <w:rPr>
          <w:sz w:val="22"/>
          <w:lang w:val="en-AU"/>
        </w:rPr>
        <w:t>B</w:t>
      </w:r>
      <w:r w:rsidR="00B273B0">
        <w:rPr>
          <w:sz w:val="22"/>
          <w:lang w:val="en-AU"/>
        </w:rPr>
        <w:t>ank</w:t>
      </w:r>
      <w:r w:rsidRPr="001B449B">
        <w:rPr>
          <w:sz w:val="22"/>
          <w:lang w:val="en-AU"/>
        </w:rPr>
        <w:t xml:space="preserve"> to develop the theory of change and results framework that explicitly addressed gender equality and provid</w:t>
      </w:r>
      <w:r w:rsidR="002D5AD5">
        <w:rPr>
          <w:sz w:val="22"/>
          <w:lang w:val="en-AU"/>
        </w:rPr>
        <w:t>ing</w:t>
      </w:r>
      <w:r w:rsidRPr="001B449B">
        <w:rPr>
          <w:sz w:val="22"/>
          <w:lang w:val="en-AU"/>
        </w:rPr>
        <w:t xml:space="preserve"> clarity and coherence to the program. If this additional investment has meant </w:t>
      </w:r>
      <w:r w:rsidRPr="001B449B">
        <w:rPr>
          <w:i/>
          <w:sz w:val="22"/>
          <w:lang w:val="en-AU"/>
        </w:rPr>
        <w:t>‘</w:t>
      </w:r>
      <w:r w:rsidRPr="001B449B">
        <w:rPr>
          <w:i/>
          <w:sz w:val="22"/>
        </w:rPr>
        <w:t>getting SARTFP right provided a model for the rest of PFSA’</w:t>
      </w:r>
      <w:r w:rsidRPr="001B449B">
        <w:rPr>
          <w:rStyle w:val="FootnoteReference"/>
          <w:sz w:val="22"/>
        </w:rPr>
        <w:footnoteReference w:id="100"/>
      </w:r>
      <w:r w:rsidRPr="001B449B">
        <w:rPr>
          <w:sz w:val="22"/>
        </w:rPr>
        <w:t>, th</w:t>
      </w:r>
      <w:r w:rsidR="002749C9" w:rsidRPr="001B449B">
        <w:rPr>
          <w:sz w:val="22"/>
        </w:rPr>
        <w:t>at</w:t>
      </w:r>
      <w:r w:rsidRPr="001B449B">
        <w:rPr>
          <w:sz w:val="22"/>
        </w:rPr>
        <w:t xml:space="preserve"> seems</w:t>
      </w:r>
      <w:r w:rsidR="002749C9" w:rsidRPr="001B449B">
        <w:rPr>
          <w:sz w:val="22"/>
        </w:rPr>
        <w:t>, in the opinion of the evaluator,</w:t>
      </w:r>
      <w:r w:rsidRPr="001B449B">
        <w:rPr>
          <w:sz w:val="22"/>
        </w:rPr>
        <w:t xml:space="preserve"> an efficient use of resources. However, clarity</w:t>
      </w:r>
      <w:r w:rsidR="002749C9" w:rsidRPr="001B449B">
        <w:rPr>
          <w:sz w:val="22"/>
        </w:rPr>
        <w:t xml:space="preserve"> over roles</w:t>
      </w:r>
      <w:r w:rsidRPr="001B449B">
        <w:rPr>
          <w:sz w:val="22"/>
        </w:rPr>
        <w:t xml:space="preserve"> is needed if the investment is to continue and remain efficient. The </w:t>
      </w:r>
      <w:r w:rsidR="002749C9" w:rsidRPr="001B449B">
        <w:rPr>
          <w:sz w:val="22"/>
        </w:rPr>
        <w:t xml:space="preserve">performance of the </w:t>
      </w:r>
      <w:r w:rsidRPr="001B449B">
        <w:rPr>
          <w:sz w:val="22"/>
        </w:rPr>
        <w:t>TAF is discussed in more detail in part three of the findings.</w:t>
      </w:r>
    </w:p>
    <w:p w14:paraId="16624465" w14:textId="77777777" w:rsidR="000301B5" w:rsidRPr="001B449B" w:rsidRDefault="000301B5" w:rsidP="002749C9">
      <w:pPr>
        <w:rPr>
          <w:sz w:val="22"/>
        </w:rPr>
      </w:pPr>
      <w:r w:rsidRPr="001B449B">
        <w:rPr>
          <w:sz w:val="22"/>
        </w:rPr>
        <w:t xml:space="preserve">The Donor Steering Committee (DSC) for SARTFP is </w:t>
      </w:r>
      <w:r w:rsidR="002749C9" w:rsidRPr="001B449B">
        <w:rPr>
          <w:sz w:val="22"/>
        </w:rPr>
        <w:t>combined with</w:t>
      </w:r>
      <w:r w:rsidRPr="001B449B">
        <w:rPr>
          <w:sz w:val="22"/>
        </w:rPr>
        <w:t xml:space="preserve"> the DSC for PFSA, with twice yearly SARTFP specific meetings. The minutes from the most recent DSC indicate TAF members were present and all PFSA programs </w:t>
      </w:r>
      <w:r w:rsidR="00367F30" w:rsidRPr="001B449B">
        <w:rPr>
          <w:sz w:val="22"/>
        </w:rPr>
        <w:t xml:space="preserve">were </w:t>
      </w:r>
      <w:r w:rsidRPr="001B449B">
        <w:rPr>
          <w:sz w:val="22"/>
        </w:rPr>
        <w:t>discussed</w:t>
      </w:r>
      <w:r w:rsidR="00A251FA" w:rsidRPr="001B449B">
        <w:rPr>
          <w:sz w:val="22"/>
        </w:rPr>
        <w:t>, to varying degrees of detail</w:t>
      </w:r>
      <w:r w:rsidRPr="001B449B">
        <w:rPr>
          <w:sz w:val="22"/>
        </w:rPr>
        <w:t xml:space="preserve">. </w:t>
      </w:r>
      <w:r w:rsidR="003B3DF0" w:rsidRPr="001B449B">
        <w:rPr>
          <w:sz w:val="22"/>
        </w:rPr>
        <w:t>Interviews with DFAT staff support the view that t</w:t>
      </w:r>
      <w:r w:rsidRPr="001B449B">
        <w:rPr>
          <w:sz w:val="22"/>
        </w:rPr>
        <w:t>his</w:t>
      </w:r>
      <w:r w:rsidR="00A251FA" w:rsidRPr="001B449B">
        <w:rPr>
          <w:sz w:val="22"/>
        </w:rPr>
        <w:t xml:space="preserve"> is an</w:t>
      </w:r>
      <w:r w:rsidRPr="001B449B">
        <w:rPr>
          <w:sz w:val="22"/>
        </w:rPr>
        <w:t xml:space="preserve"> efficient approach</w:t>
      </w:r>
      <w:r w:rsidR="00A251FA" w:rsidRPr="001B449B">
        <w:rPr>
          <w:sz w:val="22"/>
        </w:rPr>
        <w:t xml:space="preserve"> that</w:t>
      </w:r>
      <w:r w:rsidRPr="001B449B">
        <w:rPr>
          <w:sz w:val="22"/>
        </w:rPr>
        <w:t xml:space="preserve"> could facilitate cross-program learning</w:t>
      </w:r>
      <w:r w:rsidR="002D5AD5">
        <w:rPr>
          <w:sz w:val="22"/>
        </w:rPr>
        <w:t xml:space="preserve">, </w:t>
      </w:r>
      <w:r w:rsidRPr="001B449B">
        <w:rPr>
          <w:sz w:val="22"/>
        </w:rPr>
        <w:t>maximi</w:t>
      </w:r>
      <w:r w:rsidR="002D5AD5">
        <w:rPr>
          <w:sz w:val="22"/>
        </w:rPr>
        <w:t>s</w:t>
      </w:r>
      <w:r w:rsidRPr="001B449B">
        <w:rPr>
          <w:sz w:val="22"/>
        </w:rPr>
        <w:t>e the technical reach of the advisors</w:t>
      </w:r>
      <w:r w:rsidR="002D5AD5">
        <w:rPr>
          <w:sz w:val="22"/>
        </w:rPr>
        <w:t>,</w:t>
      </w:r>
      <w:r w:rsidRPr="001B449B">
        <w:rPr>
          <w:sz w:val="22"/>
        </w:rPr>
        <w:t xml:space="preserve"> and facilitate learning from SARTFP to be shared across the </w:t>
      </w:r>
      <w:r w:rsidR="00E05A07">
        <w:rPr>
          <w:sz w:val="22"/>
        </w:rPr>
        <w:t xml:space="preserve">WB </w:t>
      </w:r>
      <w:r w:rsidRPr="001B449B">
        <w:rPr>
          <w:sz w:val="22"/>
        </w:rPr>
        <w:t>portfolio.</w:t>
      </w:r>
      <w:r w:rsidR="003B3DF0" w:rsidRPr="001B449B">
        <w:rPr>
          <w:rStyle w:val="FootnoteReference"/>
          <w:sz w:val="22"/>
        </w:rPr>
        <w:footnoteReference w:id="101"/>
      </w:r>
      <w:r w:rsidR="003B3DF0" w:rsidRPr="001B449B">
        <w:rPr>
          <w:sz w:val="22"/>
        </w:rPr>
        <w:t xml:space="preserve"> </w:t>
      </w:r>
    </w:p>
    <w:p w14:paraId="52E69063" w14:textId="77777777" w:rsidR="00E74766" w:rsidRPr="00884062" w:rsidRDefault="00E74766" w:rsidP="002749C9">
      <w:pPr>
        <w:pStyle w:val="recommendation"/>
      </w:pPr>
      <w:r w:rsidRPr="00884062">
        <w:t>Recommendation</w:t>
      </w:r>
    </w:p>
    <w:p w14:paraId="723E118F" w14:textId="18992301" w:rsidR="00E74766" w:rsidRDefault="00954645" w:rsidP="004C3817">
      <w:pPr>
        <w:pStyle w:val="recommendation"/>
        <w:ind w:left="720"/>
      </w:pPr>
      <w:bookmarkStart w:id="29" w:name="_Hlk514053125"/>
      <w:r>
        <w:rPr>
          <w:lang w:val="en-AU"/>
        </w:rPr>
        <w:t xml:space="preserve">7. </w:t>
      </w:r>
      <w:r w:rsidR="00E74766" w:rsidRPr="00E74766">
        <w:rPr>
          <w:lang w:val="en-AU"/>
        </w:rPr>
        <w:t xml:space="preserve">Update the </w:t>
      </w:r>
      <w:r w:rsidR="00E74766" w:rsidRPr="00E74766">
        <w:t>Specific Program Management Arrangements for SARTFP and disseminate to keep all parties (DFAT, WB, TAF) informed of roles and responsibilities in the program.</w:t>
      </w:r>
    </w:p>
    <w:p w14:paraId="523494DB" w14:textId="7F4BEAC1" w:rsidR="001F4257" w:rsidRPr="00A90E0D" w:rsidRDefault="00954645" w:rsidP="004C3817">
      <w:pPr>
        <w:pStyle w:val="recommendation"/>
        <w:ind w:left="360"/>
      </w:pPr>
      <w:bookmarkStart w:id="30" w:name="_Hlk514053213"/>
      <w:r>
        <w:lastRenderedPageBreak/>
        <w:t xml:space="preserve">8. </w:t>
      </w:r>
      <w:r w:rsidR="00310202">
        <w:t xml:space="preserve">Make </w:t>
      </w:r>
      <w:r w:rsidR="001F4257" w:rsidRPr="000151BA">
        <w:t xml:space="preserve">SARTFP </w:t>
      </w:r>
      <w:r w:rsidR="00310202" w:rsidRPr="00596C4B">
        <w:t xml:space="preserve">funding accessible to all </w:t>
      </w:r>
      <w:r w:rsidR="00310202">
        <w:t xml:space="preserve">WB </w:t>
      </w:r>
      <w:r w:rsidR="003167C9">
        <w:t xml:space="preserve">Global Practices </w:t>
      </w:r>
      <w:r w:rsidR="00310202">
        <w:t xml:space="preserve">to </w:t>
      </w:r>
      <w:r w:rsidR="001F4257" w:rsidRPr="000151BA">
        <w:t>be more effective in influencing WB practices and processes and supporting reformers</w:t>
      </w:r>
      <w:bookmarkEnd w:id="30"/>
      <w:r w:rsidR="001F4257" w:rsidRPr="000151BA">
        <w:t>.</w:t>
      </w:r>
      <w:bookmarkEnd w:id="29"/>
      <w:r w:rsidR="001F4257" w:rsidRPr="000151BA">
        <w:rPr>
          <w:rStyle w:val="FootnoteReference"/>
          <w:color w:val="000000" w:themeColor="text1" w:themeShade="40"/>
        </w:rPr>
        <w:t xml:space="preserve"> </w:t>
      </w:r>
      <w:r w:rsidR="001F4257" w:rsidRPr="000151BA">
        <w:rPr>
          <w:rStyle w:val="FootnoteReference"/>
          <w:color w:val="000000" w:themeColor="text1" w:themeShade="40"/>
        </w:rPr>
        <w:footnoteReference w:id="102"/>
      </w:r>
    </w:p>
    <w:p w14:paraId="463F83C7" w14:textId="77777777" w:rsidR="000301B5" w:rsidRPr="007D5DA9" w:rsidRDefault="004C4BA4" w:rsidP="002749C9">
      <w:pPr>
        <w:pStyle w:val="KeyFinding"/>
      </w:pPr>
      <w:r w:rsidRPr="007D5DA9">
        <w:t>The</w:t>
      </w:r>
      <w:r w:rsidR="004A08B3" w:rsidRPr="007D5DA9">
        <w:t xml:space="preserve"> SARTFP Secretariat</w:t>
      </w:r>
      <w:r w:rsidRPr="007D5DA9">
        <w:t xml:space="preserve"> is</w:t>
      </w:r>
      <w:r w:rsidR="004A08B3" w:rsidRPr="007D5DA9">
        <w:t xml:space="preserve"> balancing </w:t>
      </w:r>
      <w:r w:rsidRPr="007D5DA9">
        <w:t xml:space="preserve">quality assurance on project selection </w:t>
      </w:r>
      <w:r w:rsidR="004A08B3" w:rsidRPr="007D5DA9">
        <w:t xml:space="preserve">with </w:t>
      </w:r>
      <w:r w:rsidR="001F5861" w:rsidRPr="007D5DA9">
        <w:t xml:space="preserve">program need </w:t>
      </w:r>
      <w:r w:rsidRPr="007D5DA9">
        <w:t>to disburse funds</w:t>
      </w:r>
      <w:r w:rsidR="001F5861" w:rsidRPr="007D5DA9">
        <w:t>.</w:t>
      </w:r>
    </w:p>
    <w:p w14:paraId="0DAF4A8E" w14:textId="77777777" w:rsidR="00A616F1" w:rsidRPr="001B449B" w:rsidRDefault="00A616F1" w:rsidP="002749C9">
      <w:pPr>
        <w:rPr>
          <w:sz w:val="22"/>
        </w:rPr>
      </w:pPr>
      <w:r w:rsidRPr="001B449B">
        <w:rPr>
          <w:sz w:val="22"/>
        </w:rPr>
        <w:t xml:space="preserve">There have been delays in both allocation and disbursement for SARTFP, despite this being raised as a potential problem </w:t>
      </w:r>
      <w:r w:rsidR="002D5AD5" w:rsidRPr="001B449B">
        <w:rPr>
          <w:sz w:val="22"/>
        </w:rPr>
        <w:t xml:space="preserve">based on the </w:t>
      </w:r>
      <w:r w:rsidR="002D5AD5">
        <w:rPr>
          <w:sz w:val="22"/>
        </w:rPr>
        <w:t xml:space="preserve">IFG </w:t>
      </w:r>
      <w:r w:rsidR="002D5AD5" w:rsidRPr="001B449B">
        <w:rPr>
          <w:sz w:val="22"/>
        </w:rPr>
        <w:t xml:space="preserve">experience </w:t>
      </w:r>
      <w:r w:rsidRPr="001B449B">
        <w:rPr>
          <w:sz w:val="22"/>
        </w:rPr>
        <w:t>in SARTFP’s Framing paper</w:t>
      </w:r>
      <w:r w:rsidR="002D5AD5" w:rsidRPr="001B449B">
        <w:rPr>
          <w:sz w:val="22"/>
        </w:rPr>
        <w:t>.</w:t>
      </w:r>
      <w:r w:rsidR="00021FD5" w:rsidRPr="001B449B">
        <w:rPr>
          <w:rStyle w:val="FootnoteReference"/>
          <w:sz w:val="22"/>
        </w:rPr>
        <w:footnoteReference w:id="103"/>
      </w:r>
      <w:r w:rsidRPr="001B449B">
        <w:rPr>
          <w:sz w:val="22"/>
        </w:rPr>
        <w:t xml:space="preserve"> The delay was </w:t>
      </w:r>
      <w:r w:rsidR="003B3DF0" w:rsidRPr="001B449B">
        <w:rPr>
          <w:sz w:val="22"/>
        </w:rPr>
        <w:t>attributed to the</w:t>
      </w:r>
      <w:r w:rsidRPr="001B449B">
        <w:rPr>
          <w:sz w:val="22"/>
        </w:rPr>
        <w:t xml:space="preserve"> time required to co-develop the governance arrangements including ensuring gender was integrated in all SARTFP programming. Since then the World Bank reports that allocation and disbursements are on track.</w:t>
      </w:r>
      <w:r w:rsidR="00655B36" w:rsidRPr="001B449B">
        <w:rPr>
          <w:rStyle w:val="FootnoteReference"/>
          <w:sz w:val="22"/>
        </w:rPr>
        <w:footnoteReference w:id="104"/>
      </w:r>
    </w:p>
    <w:p w14:paraId="18CBD439" w14:textId="58612D4F" w:rsidR="000301B5" w:rsidRPr="001B449B" w:rsidRDefault="000301B5" w:rsidP="002749C9">
      <w:pPr>
        <w:rPr>
          <w:sz w:val="22"/>
        </w:rPr>
      </w:pPr>
      <w:r w:rsidRPr="001B449B">
        <w:rPr>
          <w:sz w:val="22"/>
        </w:rPr>
        <w:t>Most SARTFP projects are classified as regional in focus, with India accounting for the majority of those implemented in a single country.</w:t>
      </w:r>
      <w:r w:rsidR="009810E3" w:rsidRPr="001B449B">
        <w:rPr>
          <w:sz w:val="22"/>
        </w:rPr>
        <w:t xml:space="preserve"> The evaluation did not review the geographical spread of unsuccessful proposals, however evidence from an Internal Review Committee meeting indicated that in </w:t>
      </w:r>
      <w:r w:rsidR="00655B36" w:rsidRPr="001B449B">
        <w:rPr>
          <w:sz w:val="22"/>
        </w:rPr>
        <w:t xml:space="preserve">the second </w:t>
      </w:r>
      <w:r w:rsidR="009810E3" w:rsidRPr="001B449B">
        <w:rPr>
          <w:sz w:val="22"/>
        </w:rPr>
        <w:t>round</w:t>
      </w:r>
      <w:r w:rsidR="00655B36" w:rsidRPr="001B449B">
        <w:rPr>
          <w:sz w:val="22"/>
        </w:rPr>
        <w:t xml:space="preserve"> </w:t>
      </w:r>
      <w:r w:rsidR="009810E3" w:rsidRPr="001B449B">
        <w:rPr>
          <w:sz w:val="22"/>
        </w:rPr>
        <w:t>of SARTFP</w:t>
      </w:r>
      <w:r w:rsidR="002D5AD5">
        <w:rPr>
          <w:sz w:val="22"/>
        </w:rPr>
        <w:t>,</w:t>
      </w:r>
      <w:r w:rsidR="009810E3" w:rsidRPr="001B449B">
        <w:rPr>
          <w:sz w:val="22"/>
        </w:rPr>
        <w:t xml:space="preserve"> some countries had not received adequate </w:t>
      </w:r>
      <w:r w:rsidR="005149D9">
        <w:rPr>
          <w:sz w:val="22"/>
        </w:rPr>
        <w:t>attention.</w:t>
      </w:r>
      <w:r w:rsidR="009810E3" w:rsidRPr="001B449B">
        <w:rPr>
          <w:rStyle w:val="FootnoteReference"/>
          <w:sz w:val="22"/>
        </w:rPr>
        <w:footnoteReference w:id="105"/>
      </w:r>
      <w:r w:rsidR="002D5AD5">
        <w:rPr>
          <w:sz w:val="22"/>
        </w:rPr>
        <w:t xml:space="preserve"> </w:t>
      </w:r>
      <w:r w:rsidR="001F5861" w:rsidRPr="001B449B">
        <w:rPr>
          <w:sz w:val="22"/>
        </w:rPr>
        <w:t xml:space="preserve">Additionally, the SARTFP Secretariat </w:t>
      </w:r>
      <w:r w:rsidR="002D5AD5">
        <w:rPr>
          <w:sz w:val="22"/>
        </w:rPr>
        <w:t xml:space="preserve">stated </w:t>
      </w:r>
      <w:r w:rsidR="001F5861" w:rsidRPr="001B449B">
        <w:rPr>
          <w:sz w:val="22"/>
        </w:rPr>
        <w:t xml:space="preserve">that restrictions on Global Practices eligible to submit proposals limited the quality of proposals. Despite these limitations, </w:t>
      </w:r>
      <w:r w:rsidRPr="001B449B">
        <w:rPr>
          <w:sz w:val="22"/>
        </w:rPr>
        <w:t xml:space="preserve">it is encouraging to see the World Bank’s Social Global Practice featuring so prominently. </w:t>
      </w:r>
      <w:r w:rsidR="00655B36" w:rsidRPr="001B449B">
        <w:rPr>
          <w:sz w:val="22"/>
        </w:rPr>
        <w:t xml:space="preserve">The evaluation team formed the impression </w:t>
      </w:r>
      <w:r w:rsidR="00790DA9" w:rsidRPr="001B449B">
        <w:rPr>
          <w:sz w:val="22"/>
        </w:rPr>
        <w:t>from discussions</w:t>
      </w:r>
      <w:r w:rsidR="00655B36" w:rsidRPr="001B449B">
        <w:rPr>
          <w:sz w:val="22"/>
        </w:rPr>
        <w:t xml:space="preserve"> t</w:t>
      </w:r>
      <w:r w:rsidRPr="001B449B">
        <w:rPr>
          <w:sz w:val="22"/>
        </w:rPr>
        <w:t xml:space="preserve">his </w:t>
      </w:r>
      <w:r w:rsidR="00655B36" w:rsidRPr="001B449B">
        <w:rPr>
          <w:sz w:val="22"/>
        </w:rPr>
        <w:t>may be because</w:t>
      </w:r>
      <w:r w:rsidRPr="001B449B">
        <w:rPr>
          <w:sz w:val="22"/>
        </w:rPr>
        <w:t xml:space="preserve"> early adopters of SARTFP are likely to be those who can design with gender equality and a broad development lens in mind. </w:t>
      </w:r>
    </w:p>
    <w:p w14:paraId="5E994FBE" w14:textId="77777777" w:rsidR="000301B5" w:rsidRPr="00E74766" w:rsidRDefault="00E74766" w:rsidP="002749C9">
      <w:pPr>
        <w:pStyle w:val="recommendation"/>
      </w:pPr>
      <w:r w:rsidRPr="00E74766">
        <w:t>Recommendation</w:t>
      </w:r>
    </w:p>
    <w:p w14:paraId="3A951F57" w14:textId="6AFC3CD4" w:rsidR="00655B36" w:rsidRDefault="00954645" w:rsidP="004C3817">
      <w:pPr>
        <w:pStyle w:val="recommendation"/>
        <w:ind w:left="360"/>
      </w:pPr>
      <w:bookmarkStart w:id="31" w:name="_Hlk514053237"/>
      <w:r>
        <w:t xml:space="preserve">9. </w:t>
      </w:r>
      <w:r w:rsidR="00C4730B">
        <w:t>The SARTFP Secretariat monitor</w:t>
      </w:r>
      <w:r w:rsidR="00B273B0">
        <w:t>s</w:t>
      </w:r>
      <w:r w:rsidR="00C4730B">
        <w:t xml:space="preserve"> the spread of SARTFP funds while maintaining quality thresholds of project selection and implementation</w:t>
      </w:r>
      <w:bookmarkEnd w:id="31"/>
      <w:r w:rsidR="00C4730B">
        <w:t xml:space="preserve">. </w:t>
      </w:r>
    </w:p>
    <w:p w14:paraId="05E014FD" w14:textId="77777777" w:rsidR="00B462A2" w:rsidRDefault="00B462A2" w:rsidP="00C4730B">
      <w:pPr>
        <w:pStyle w:val="Heading3"/>
      </w:pPr>
    </w:p>
    <w:p w14:paraId="0091F339" w14:textId="77777777" w:rsidR="00655B36" w:rsidRPr="001B449B" w:rsidRDefault="00655B36" w:rsidP="000151BA">
      <w:pPr>
        <w:pStyle w:val="Heading2"/>
      </w:pPr>
      <w:bookmarkStart w:id="32" w:name="_Toc517615245"/>
      <w:r w:rsidRPr="001B449B">
        <w:t>Relevance</w:t>
      </w:r>
      <w:bookmarkEnd w:id="32"/>
    </w:p>
    <w:p w14:paraId="7A2C85DB" w14:textId="77777777" w:rsidR="00A616F1" w:rsidRPr="001B449B" w:rsidRDefault="000301B5" w:rsidP="00C4730B">
      <w:pPr>
        <w:rPr>
          <w:sz w:val="22"/>
        </w:rPr>
      </w:pPr>
      <w:r w:rsidRPr="001B449B">
        <w:rPr>
          <w:color w:val="C00000"/>
          <w:sz w:val="22"/>
        </w:rPr>
        <w:t xml:space="preserve">Rating: </w:t>
      </w:r>
      <w:r w:rsidRPr="001B449B">
        <w:rPr>
          <w:sz w:val="22"/>
        </w:rPr>
        <w:t>4 - Findings are supported by strong evidence</w:t>
      </w:r>
    </w:p>
    <w:p w14:paraId="19180C96" w14:textId="613637A0" w:rsidR="00A02664" w:rsidRDefault="00A616F1">
      <w:pPr>
        <w:rPr>
          <w:sz w:val="22"/>
        </w:rPr>
      </w:pPr>
      <w:r w:rsidRPr="001B449B">
        <w:rPr>
          <w:sz w:val="22"/>
        </w:rPr>
        <w:t xml:space="preserve">The rating </w:t>
      </w:r>
      <w:r w:rsidR="00134168" w:rsidRPr="001B449B">
        <w:rPr>
          <w:sz w:val="22"/>
        </w:rPr>
        <w:t xml:space="preserve">and findings </w:t>
      </w:r>
      <w:r w:rsidRPr="001B449B">
        <w:rPr>
          <w:sz w:val="22"/>
        </w:rPr>
        <w:t>for relevance are similar to IFG</w:t>
      </w:r>
      <w:r w:rsidR="00DB0939" w:rsidRPr="00DB0939">
        <w:rPr>
          <w:sz w:val="22"/>
        </w:rPr>
        <w:t xml:space="preserve">, </w:t>
      </w:r>
      <w:r w:rsidR="00DB0939">
        <w:rPr>
          <w:sz w:val="22"/>
        </w:rPr>
        <w:t xml:space="preserve">and </w:t>
      </w:r>
      <w:r w:rsidR="00DB0939" w:rsidRPr="00DB0939">
        <w:rPr>
          <w:sz w:val="22"/>
        </w:rPr>
        <w:t>SARTFP remains relevant to Australia’s aid priorities and Foreign Policy White Paper</w:t>
      </w:r>
      <w:r w:rsidR="00DB0939">
        <w:rPr>
          <w:sz w:val="22"/>
        </w:rPr>
        <w:t>.</w:t>
      </w:r>
      <w:r w:rsidR="00DB0939" w:rsidRPr="00DB0939">
        <w:rPr>
          <w:sz w:val="22"/>
        </w:rPr>
        <w:t xml:space="preserve"> </w:t>
      </w:r>
      <w:r w:rsidR="00134168" w:rsidRPr="001B449B">
        <w:rPr>
          <w:sz w:val="22"/>
        </w:rPr>
        <w:t>As a more recently designed program SAR</w:t>
      </w:r>
      <w:r w:rsidR="004161DD" w:rsidRPr="001B449B">
        <w:rPr>
          <w:sz w:val="22"/>
        </w:rPr>
        <w:t>T</w:t>
      </w:r>
      <w:r w:rsidR="00134168" w:rsidRPr="001B449B">
        <w:rPr>
          <w:sz w:val="22"/>
        </w:rPr>
        <w:t>FP has some additional aspects that enhance its relevance</w:t>
      </w:r>
      <w:r w:rsidR="00C95B2C" w:rsidRPr="001B449B">
        <w:rPr>
          <w:sz w:val="22"/>
        </w:rPr>
        <w:t>.</w:t>
      </w:r>
    </w:p>
    <w:p w14:paraId="2226BD5C" w14:textId="77777777" w:rsidR="00A02664" w:rsidRDefault="00A02664">
      <w:pPr>
        <w:spacing w:before="0" w:after="0"/>
        <w:rPr>
          <w:sz w:val="22"/>
        </w:rPr>
      </w:pPr>
      <w:r>
        <w:rPr>
          <w:sz w:val="22"/>
        </w:rPr>
        <w:br w:type="page"/>
      </w:r>
    </w:p>
    <w:p w14:paraId="4AA79668" w14:textId="77777777" w:rsidR="000301B5" w:rsidRPr="007D5DA9" w:rsidRDefault="004C4BA4" w:rsidP="00C4730B">
      <w:pPr>
        <w:pStyle w:val="KeyFinding"/>
      </w:pPr>
      <w:r w:rsidRPr="007D5DA9">
        <w:lastRenderedPageBreak/>
        <w:t>SARTFP</w:t>
      </w:r>
      <w:r w:rsidR="00655B36" w:rsidRPr="007D5DA9">
        <w:t xml:space="preserve"> is well aligned with</w:t>
      </w:r>
      <w:r w:rsidRPr="007D5DA9">
        <w:t xml:space="preserve"> Australian government objectives and other Australian government policies within the regio</w:t>
      </w:r>
      <w:r w:rsidR="00655B36" w:rsidRPr="007D5DA9">
        <w:t xml:space="preserve">n. </w:t>
      </w:r>
    </w:p>
    <w:p w14:paraId="1A41EB4D" w14:textId="77777777" w:rsidR="000301B5" w:rsidRPr="001B449B" w:rsidRDefault="00435EC7" w:rsidP="00C4730B">
      <w:pPr>
        <w:rPr>
          <w:sz w:val="22"/>
        </w:rPr>
      </w:pPr>
      <w:r w:rsidRPr="001B449B">
        <w:rPr>
          <w:rFonts w:eastAsiaTheme="minorHAnsi"/>
          <w:sz w:val="22"/>
          <w:lang w:val="en-US"/>
        </w:rPr>
        <w:t xml:space="preserve">SARTFP encompasses DFAT’s </w:t>
      </w:r>
      <w:r w:rsidR="00B273B0">
        <w:rPr>
          <w:rFonts w:eastAsiaTheme="minorHAnsi"/>
          <w:sz w:val="22"/>
          <w:lang w:val="en-US"/>
        </w:rPr>
        <w:t xml:space="preserve">aid policy </w:t>
      </w:r>
      <w:r w:rsidR="00655B36" w:rsidRPr="001B449B">
        <w:rPr>
          <w:rFonts w:eastAsiaTheme="minorHAnsi"/>
          <w:sz w:val="22"/>
          <w:lang w:val="en-US"/>
        </w:rPr>
        <w:t xml:space="preserve">objectives, </w:t>
      </w:r>
      <w:r w:rsidR="00655B36" w:rsidRPr="001B449B">
        <w:rPr>
          <w:sz w:val="22"/>
        </w:rPr>
        <w:t xml:space="preserve">such as a commitment to both supporting economic growth and women’s economic empowerment in the </w:t>
      </w:r>
      <w:r w:rsidR="00B462A2" w:rsidRPr="001B449B">
        <w:rPr>
          <w:sz w:val="22"/>
        </w:rPr>
        <w:t>Indo-</w:t>
      </w:r>
      <w:r w:rsidR="00655B36" w:rsidRPr="001B449B">
        <w:rPr>
          <w:sz w:val="22"/>
        </w:rPr>
        <w:t>Pacific region. It reflects DFAT’s</w:t>
      </w:r>
      <w:r w:rsidR="00DB0939">
        <w:rPr>
          <w:rFonts w:ascii="MS Mincho" w:eastAsia="MS Mincho" w:hAnsi="MS Mincho" w:cs="MS Mincho"/>
          <w:sz w:val="22"/>
        </w:rPr>
        <w:t xml:space="preserve"> </w:t>
      </w:r>
      <w:r w:rsidRPr="001B449B">
        <w:rPr>
          <w:rFonts w:eastAsiaTheme="minorHAnsi"/>
          <w:sz w:val="22"/>
          <w:lang w:val="en-US"/>
        </w:rPr>
        <w:t>investment priorities in gender equality and empowering women and girls</w:t>
      </w:r>
      <w:r w:rsidR="00655B36" w:rsidRPr="001B449B">
        <w:rPr>
          <w:rFonts w:eastAsiaTheme="minorHAnsi"/>
          <w:sz w:val="22"/>
          <w:lang w:val="en-US"/>
        </w:rPr>
        <w:t>,</w:t>
      </w:r>
      <w:r w:rsidRPr="001B449B">
        <w:rPr>
          <w:rFonts w:eastAsiaTheme="minorHAnsi"/>
          <w:sz w:val="22"/>
          <w:lang w:val="en-US"/>
        </w:rPr>
        <w:t xml:space="preserve"> infrastructure, trade facilitation and international competitiveness. Therefore, SARTFP’s goals coincide with Australia’s aid policy and economic diplomacy agenda, as described in the recent Foreign Policy White Paper.</w:t>
      </w:r>
      <w:r w:rsidRPr="001B449B">
        <w:rPr>
          <w:rStyle w:val="FootnoteReference"/>
          <w:rFonts w:eastAsiaTheme="minorHAnsi"/>
          <w:sz w:val="22"/>
          <w:lang w:val="en-US"/>
        </w:rPr>
        <w:footnoteReference w:id="106"/>
      </w:r>
    </w:p>
    <w:p w14:paraId="6DECA271" w14:textId="77777777" w:rsidR="00B503CC" w:rsidRPr="007D5DA9" w:rsidRDefault="00B503CC" w:rsidP="00B462A2">
      <w:pPr>
        <w:pStyle w:val="KeyFinding"/>
      </w:pPr>
      <w:r w:rsidRPr="007D5DA9">
        <w:t xml:space="preserve">SARTFP includes attempts to </w:t>
      </w:r>
      <w:r w:rsidR="00655B36" w:rsidRPr="007D5DA9">
        <w:t>counter-balance</w:t>
      </w:r>
      <w:r w:rsidRPr="007D5DA9">
        <w:t xml:space="preserve"> the potential negative impacts of transport and infrastructure on women and marginalised people.</w:t>
      </w:r>
    </w:p>
    <w:p w14:paraId="2A20AF1B" w14:textId="0EB13BD3" w:rsidR="00B503CC" w:rsidRPr="001B449B" w:rsidRDefault="00B503CC" w:rsidP="00B462A2">
      <w:pPr>
        <w:rPr>
          <w:sz w:val="22"/>
          <w:lang w:val="en-US"/>
        </w:rPr>
      </w:pPr>
      <w:r w:rsidRPr="001B449B">
        <w:rPr>
          <w:sz w:val="22"/>
        </w:rPr>
        <w:t xml:space="preserve">The 2017 DFAT Foreign Policy White Paper states that </w:t>
      </w:r>
      <w:r w:rsidR="000C5A45">
        <w:rPr>
          <w:i/>
          <w:sz w:val="22"/>
        </w:rPr>
        <w:t>“</w:t>
      </w:r>
      <w:r w:rsidR="003B5914" w:rsidRPr="00A02664">
        <w:rPr>
          <w:i/>
          <w:sz w:val="22"/>
          <w:lang w:val="en-US"/>
        </w:rPr>
        <w:t>…</w:t>
      </w:r>
      <w:r w:rsidRPr="00A02664">
        <w:rPr>
          <w:i/>
          <w:sz w:val="22"/>
          <w:lang w:val="en-US"/>
        </w:rPr>
        <w:t>growth alone will not guarantee prosperity and stability. That is why we focus on poverty reduction and promoting the participation in the economy and society of the most disadvantaged, including women and girls and people living with disabilities</w:t>
      </w:r>
      <w:r w:rsidR="000C5A45">
        <w:rPr>
          <w:i/>
          <w:sz w:val="22"/>
          <w:lang w:val="en-US"/>
        </w:rPr>
        <w:t>”</w:t>
      </w:r>
      <w:r w:rsidRPr="001B449B">
        <w:rPr>
          <w:sz w:val="22"/>
          <w:lang w:val="en-US"/>
        </w:rPr>
        <w:t>.</w:t>
      </w:r>
      <w:r w:rsidRPr="001B449B">
        <w:rPr>
          <w:rStyle w:val="FootnoteReference"/>
          <w:i/>
          <w:sz w:val="22"/>
          <w:lang w:val="en-US"/>
        </w:rPr>
        <w:footnoteReference w:id="107"/>
      </w:r>
      <w:r w:rsidRPr="001B449B">
        <w:rPr>
          <w:sz w:val="22"/>
          <w:lang w:val="en-US"/>
        </w:rPr>
        <w:t xml:space="preserve"> This calls for programs such as SARTFP to be at the vanguard of finding ways that infrastructure development and regional trade connectivity can be achieved in a way that does not disadvantage certain groups of people.</w:t>
      </w:r>
    </w:p>
    <w:p w14:paraId="42EA6192" w14:textId="77777777" w:rsidR="00B503CC" w:rsidRPr="001B449B" w:rsidRDefault="0037380F">
      <w:pPr>
        <w:rPr>
          <w:i/>
          <w:sz w:val="22"/>
        </w:rPr>
      </w:pPr>
      <w:r w:rsidRPr="001B449B">
        <w:rPr>
          <w:rFonts w:eastAsiaTheme="majorEastAsia" w:cstheme="majorBidi"/>
          <w:sz w:val="22"/>
        </w:rPr>
        <w:t>In support of DFAT’s objective to ensure investment leads to inclusive growth,</w:t>
      </w:r>
      <w:r w:rsidRPr="001B449B">
        <w:rPr>
          <w:sz w:val="22"/>
        </w:rPr>
        <w:t xml:space="preserve"> SARTFP funds are being used to address the negative effects of connectivity, for instance</w:t>
      </w:r>
      <w:r w:rsidRPr="001B449B">
        <w:rPr>
          <w:i/>
          <w:sz w:val="22"/>
        </w:rPr>
        <w:t xml:space="preserve"> </w:t>
      </w:r>
      <w:r w:rsidRPr="001B449B">
        <w:rPr>
          <w:sz w:val="22"/>
        </w:rPr>
        <w:t>in the project</w:t>
      </w:r>
      <w:r w:rsidRPr="001B449B">
        <w:rPr>
          <w:i/>
          <w:sz w:val="22"/>
        </w:rPr>
        <w:t xml:space="preserve"> ‘Addressing Women’s and Children’s Risks from Enhanced Connectivity’. </w:t>
      </w:r>
      <w:r w:rsidRPr="001B449B">
        <w:rPr>
          <w:sz w:val="22"/>
        </w:rPr>
        <w:t>To maintain focus on this aspect of inclusive development, future SARTFP projects could</w:t>
      </w:r>
      <w:r w:rsidR="00B503CC" w:rsidRPr="001B449B">
        <w:rPr>
          <w:sz w:val="22"/>
        </w:rPr>
        <w:t xml:space="preserve"> monitor the </w:t>
      </w:r>
      <w:r w:rsidR="004305F5" w:rsidRPr="001B449B">
        <w:rPr>
          <w:sz w:val="22"/>
        </w:rPr>
        <w:t>degree</w:t>
      </w:r>
      <w:r w:rsidR="00B503CC" w:rsidRPr="001B449B">
        <w:rPr>
          <w:sz w:val="22"/>
        </w:rPr>
        <w:t xml:space="preserve"> to which the extensive </w:t>
      </w:r>
      <w:r w:rsidRPr="001B449B">
        <w:rPr>
          <w:sz w:val="22"/>
        </w:rPr>
        <w:t xml:space="preserve">capital </w:t>
      </w:r>
      <w:r w:rsidR="00B503CC" w:rsidRPr="001B449B">
        <w:rPr>
          <w:sz w:val="22"/>
        </w:rPr>
        <w:t>investment in North East India will benefit the local communities</w:t>
      </w:r>
      <w:r w:rsidRPr="001B449B">
        <w:rPr>
          <w:sz w:val="22"/>
        </w:rPr>
        <w:t>,</w:t>
      </w:r>
      <w:r w:rsidR="00B503CC" w:rsidRPr="001B449B">
        <w:rPr>
          <w:sz w:val="22"/>
        </w:rPr>
        <w:t xml:space="preserve"> </w:t>
      </w:r>
      <w:r w:rsidRPr="001B449B">
        <w:rPr>
          <w:sz w:val="22"/>
        </w:rPr>
        <w:t xml:space="preserve">as </w:t>
      </w:r>
      <w:r w:rsidR="004F53EC" w:rsidRPr="001B449B">
        <w:rPr>
          <w:sz w:val="22"/>
        </w:rPr>
        <w:t>being situated in a</w:t>
      </w:r>
      <w:r w:rsidR="00B503CC" w:rsidRPr="001B449B">
        <w:rPr>
          <w:sz w:val="22"/>
        </w:rPr>
        <w:t xml:space="preserve"> transport corridor </w:t>
      </w:r>
      <w:r w:rsidRPr="001B449B">
        <w:rPr>
          <w:sz w:val="22"/>
        </w:rPr>
        <w:t>could impose</w:t>
      </w:r>
      <w:r w:rsidR="00B503CC" w:rsidRPr="001B449B">
        <w:rPr>
          <w:sz w:val="22"/>
        </w:rPr>
        <w:t xml:space="preserve"> the negative consequences of </w:t>
      </w:r>
      <w:r w:rsidRPr="001B449B">
        <w:rPr>
          <w:sz w:val="22"/>
        </w:rPr>
        <w:t>infrastructure development without the benefits of local economic growth</w:t>
      </w:r>
      <w:r w:rsidR="00B503CC" w:rsidRPr="001B449B">
        <w:rPr>
          <w:sz w:val="22"/>
        </w:rPr>
        <w:t>.</w:t>
      </w:r>
      <w:r w:rsidR="00B503CC" w:rsidRPr="001B449B">
        <w:rPr>
          <w:rFonts w:eastAsiaTheme="majorEastAsia" w:cstheme="majorBidi"/>
          <w:color w:val="C00000"/>
          <w:sz w:val="22"/>
        </w:rPr>
        <w:t xml:space="preserve"> </w:t>
      </w:r>
    </w:p>
    <w:p w14:paraId="34ADF1CF" w14:textId="77777777" w:rsidR="007B0454" w:rsidRPr="00E74766" w:rsidRDefault="007B0454" w:rsidP="007B0454">
      <w:pPr>
        <w:pStyle w:val="recommendation"/>
      </w:pPr>
      <w:r w:rsidRPr="00E74766">
        <w:t>Recommendation</w:t>
      </w:r>
    </w:p>
    <w:p w14:paraId="10226EE4" w14:textId="3779C090" w:rsidR="007B0454" w:rsidRDefault="00954645" w:rsidP="004C3817">
      <w:pPr>
        <w:pStyle w:val="recommendation"/>
        <w:ind w:left="360"/>
      </w:pPr>
      <w:bookmarkStart w:id="33" w:name="_Hlk514053374"/>
      <w:r>
        <w:t xml:space="preserve">10. </w:t>
      </w:r>
      <w:r w:rsidR="00E23FBF">
        <w:t>M</w:t>
      </w:r>
      <w:r w:rsidR="007B0454">
        <w:t xml:space="preserve">aintain </w:t>
      </w:r>
      <w:r w:rsidR="00E23FBF">
        <w:t>relevance to</w:t>
      </w:r>
      <w:r w:rsidR="007B0454">
        <w:t xml:space="preserve"> DFAT development policy for the region by integrating inclusive growth into</w:t>
      </w:r>
      <w:r w:rsidR="003249A0">
        <w:t xml:space="preserve"> SARTFP</w:t>
      </w:r>
      <w:r w:rsidR="007B0454">
        <w:t xml:space="preserve"> infrastructure and connectivity investments</w:t>
      </w:r>
      <w:bookmarkEnd w:id="33"/>
      <w:r w:rsidR="007B0454">
        <w:t>.</w:t>
      </w:r>
    </w:p>
    <w:p w14:paraId="1404C865" w14:textId="77777777" w:rsidR="000301B5" w:rsidRPr="007D5DA9" w:rsidRDefault="004C4BA4" w:rsidP="007B0454">
      <w:pPr>
        <w:pStyle w:val="KeyFinding"/>
      </w:pPr>
      <w:r w:rsidRPr="007D5DA9">
        <w:t>SARTFP aligns with and is complementary to the Bank’s country strategies and investments in each of the BBIN countries, supporting its goals for gender equality and women’s empowerment.</w:t>
      </w:r>
    </w:p>
    <w:p w14:paraId="16887A93" w14:textId="3FEB7A4C" w:rsidR="000301B5" w:rsidRPr="001B449B" w:rsidRDefault="000301B5" w:rsidP="007B0454">
      <w:pPr>
        <w:rPr>
          <w:b/>
          <w:bCs/>
          <w:sz w:val="22"/>
        </w:rPr>
      </w:pPr>
      <w:r w:rsidRPr="001B449B">
        <w:rPr>
          <w:sz w:val="22"/>
        </w:rPr>
        <w:t xml:space="preserve">The Bank’s </w:t>
      </w:r>
      <w:r w:rsidR="001A78AF" w:rsidRPr="001B449B">
        <w:rPr>
          <w:bCs/>
          <w:sz w:val="22"/>
        </w:rPr>
        <w:t>South Asia Regional Gender Action Plan</w:t>
      </w:r>
      <w:r w:rsidR="000B5B50" w:rsidRPr="001B449B">
        <w:rPr>
          <w:bCs/>
          <w:sz w:val="22"/>
        </w:rPr>
        <w:t xml:space="preserve"> (RGAP)</w:t>
      </w:r>
      <w:r w:rsidR="001A78AF" w:rsidRPr="001B449B">
        <w:rPr>
          <w:b/>
          <w:bCs/>
          <w:sz w:val="22"/>
        </w:rPr>
        <w:t xml:space="preserve"> </w:t>
      </w:r>
      <w:r w:rsidRPr="001B449B">
        <w:rPr>
          <w:sz w:val="22"/>
        </w:rPr>
        <w:t>prioriti</w:t>
      </w:r>
      <w:r w:rsidR="003B5914">
        <w:rPr>
          <w:sz w:val="22"/>
        </w:rPr>
        <w:t>s</w:t>
      </w:r>
      <w:r w:rsidRPr="001B449B">
        <w:rPr>
          <w:sz w:val="22"/>
        </w:rPr>
        <w:t>es regional integration and gender equity</w:t>
      </w:r>
      <w:r w:rsidR="000B5B50" w:rsidRPr="001B449B">
        <w:rPr>
          <w:sz w:val="22"/>
        </w:rPr>
        <w:t>, with women's economic empowerment as a central pillar</w:t>
      </w:r>
      <w:r w:rsidRPr="001B449B">
        <w:rPr>
          <w:sz w:val="22"/>
        </w:rPr>
        <w:t>.</w:t>
      </w:r>
      <w:r w:rsidR="001A78AF" w:rsidRPr="001B449B">
        <w:rPr>
          <w:rStyle w:val="FootnoteReference"/>
          <w:sz w:val="22"/>
        </w:rPr>
        <w:footnoteReference w:id="108"/>
      </w:r>
      <w:r w:rsidRPr="001B449B">
        <w:rPr>
          <w:sz w:val="22"/>
        </w:rPr>
        <w:t xml:space="preserve"> Additionally, SAR</w:t>
      </w:r>
      <w:r w:rsidR="007C1816">
        <w:rPr>
          <w:sz w:val="22"/>
        </w:rPr>
        <w:t>TFP</w:t>
      </w:r>
      <w:r w:rsidRPr="001B449B">
        <w:rPr>
          <w:sz w:val="22"/>
        </w:rPr>
        <w:t xml:space="preserve"> aligns with and is complementary to the Bank’s Country Strategies and investments in each of the BBIN countries, enabling a more integrated approach to tackle these key regional issues.</w:t>
      </w:r>
      <w:r w:rsidR="000B5B50" w:rsidRPr="001B449B">
        <w:rPr>
          <w:rStyle w:val="FootnoteReference"/>
          <w:sz w:val="22"/>
        </w:rPr>
        <w:footnoteReference w:id="109"/>
      </w:r>
      <w:r w:rsidRPr="001B449B">
        <w:rPr>
          <w:sz w:val="22"/>
        </w:rPr>
        <w:t xml:space="preserve"> </w:t>
      </w:r>
      <w:r w:rsidR="003B5914" w:rsidRPr="003B5914">
        <w:rPr>
          <w:sz w:val="22"/>
        </w:rPr>
        <w:t xml:space="preserve">Attention </w:t>
      </w:r>
      <w:r w:rsidR="000C5A45">
        <w:rPr>
          <w:sz w:val="22"/>
        </w:rPr>
        <w:t>is</w:t>
      </w:r>
      <w:r w:rsidR="003B5914" w:rsidRPr="003B5914">
        <w:rPr>
          <w:sz w:val="22"/>
        </w:rPr>
        <w:t xml:space="preserve"> needed to ensure SARTFP activities continue to fill the gap of preparatory work and technical analysis critical for infrastructure and trade facilitation programs, whilst also mainstreaming gender equality in all activities.</w:t>
      </w:r>
    </w:p>
    <w:p w14:paraId="0CD30F81" w14:textId="77777777" w:rsidR="007B0454" w:rsidRDefault="007B0454" w:rsidP="007B0454">
      <w:pPr>
        <w:pStyle w:val="recommendation"/>
      </w:pPr>
      <w:r w:rsidRPr="00E74766">
        <w:t>Recommendation</w:t>
      </w:r>
    </w:p>
    <w:p w14:paraId="180680E3" w14:textId="317C3C0C" w:rsidR="007B0454" w:rsidRDefault="00954645" w:rsidP="004C3817">
      <w:pPr>
        <w:pStyle w:val="recommendation"/>
        <w:ind w:left="284"/>
      </w:pPr>
      <w:bookmarkStart w:id="34" w:name="_Hlk514053411"/>
      <w:bookmarkStart w:id="35" w:name="_Hlk513816039"/>
      <w:r>
        <w:t xml:space="preserve">11. </w:t>
      </w:r>
      <w:r w:rsidR="003B5914">
        <w:t>C</w:t>
      </w:r>
      <w:r w:rsidR="007B0454" w:rsidRPr="00502187">
        <w:t>ontinue to fill the gap</w:t>
      </w:r>
      <w:r w:rsidR="00E23FBF">
        <w:t>s</w:t>
      </w:r>
      <w:r w:rsidR="007B0454" w:rsidRPr="00502187">
        <w:t xml:space="preserve"> </w:t>
      </w:r>
      <w:r w:rsidR="00E23FBF">
        <w:t>in</w:t>
      </w:r>
      <w:r w:rsidR="007B0454" w:rsidRPr="00502187">
        <w:t xml:space="preserve"> preparatory work and technical analysis</w:t>
      </w:r>
      <w:r w:rsidR="003B5914">
        <w:t xml:space="preserve"> on</w:t>
      </w:r>
      <w:r w:rsidR="007B0454" w:rsidRPr="00502187">
        <w:t xml:space="preserve"> mainstreaming gender equality in all activitie</w:t>
      </w:r>
      <w:r w:rsidR="007B0454">
        <w:t>s</w:t>
      </w:r>
      <w:bookmarkEnd w:id="34"/>
      <w:r w:rsidR="007B0454">
        <w:t>.</w:t>
      </w:r>
      <w:bookmarkEnd w:id="35"/>
    </w:p>
    <w:p w14:paraId="4C8B40B5" w14:textId="77777777" w:rsidR="000301B5" w:rsidRPr="007D5DA9" w:rsidRDefault="004C4BA4" w:rsidP="007B0454">
      <w:pPr>
        <w:pStyle w:val="KeyFinding"/>
      </w:pPr>
      <w:r w:rsidRPr="007D5DA9">
        <w:t>SARTFP remains strongly relevant to the developmental priorities of the BBIN region and their growing political momentum for closer regional cooperation.</w:t>
      </w:r>
    </w:p>
    <w:p w14:paraId="0F6DCB4F" w14:textId="231B72E2" w:rsidR="000301B5" w:rsidRPr="00166A23" w:rsidRDefault="000301B5">
      <w:pPr>
        <w:rPr>
          <w:rFonts w:eastAsiaTheme="majorEastAsia"/>
        </w:rPr>
      </w:pPr>
      <w:r w:rsidRPr="001B449B">
        <w:rPr>
          <w:sz w:val="22"/>
        </w:rPr>
        <w:t xml:space="preserve">Recent years have seen growing political momentum for regional economic integration in South Asia. There has been a significant improvement in the India-Bangladesh relationship and in the </w:t>
      </w:r>
      <w:r w:rsidRPr="001B449B">
        <w:rPr>
          <w:sz w:val="22"/>
        </w:rPr>
        <w:lastRenderedPageBreak/>
        <w:t>regional sub-block comprising Bangladesh, Bhutan, India and Nepal (BBIN)</w:t>
      </w:r>
      <w:r w:rsidR="00340688">
        <w:rPr>
          <w:rStyle w:val="FootnoteReference"/>
          <w:sz w:val="22"/>
        </w:rPr>
        <w:footnoteReference w:id="110"/>
      </w:r>
      <w:r w:rsidRPr="001B449B">
        <w:rPr>
          <w:sz w:val="22"/>
        </w:rPr>
        <w:t>. A shift towards a multilateral approach represents a new opportunity to deepen trade relationships.</w:t>
      </w:r>
      <w:r w:rsidRPr="001B449B">
        <w:rPr>
          <w:rStyle w:val="FootnoteReference"/>
          <w:color w:val="000000"/>
          <w:sz w:val="22"/>
        </w:rPr>
        <w:footnoteReference w:id="111"/>
      </w:r>
      <w:r w:rsidRPr="001B449B">
        <w:rPr>
          <w:sz w:val="22"/>
        </w:rPr>
        <w:t xml:space="preserve"> The BBIN countries are the more progressive part</w:t>
      </w:r>
      <w:r w:rsidR="003B5914">
        <w:rPr>
          <w:sz w:val="22"/>
        </w:rPr>
        <w:t>s</w:t>
      </w:r>
      <w:r w:rsidRPr="001B449B">
        <w:rPr>
          <w:sz w:val="22"/>
        </w:rPr>
        <w:t xml:space="preserve"> of South</w:t>
      </w:r>
      <w:r w:rsidR="003B5914">
        <w:rPr>
          <w:sz w:val="22"/>
        </w:rPr>
        <w:t>,</w:t>
      </w:r>
      <w:r w:rsidRPr="001B449B">
        <w:rPr>
          <w:sz w:val="22"/>
        </w:rPr>
        <w:t xml:space="preserve"> Asia borne out </w:t>
      </w:r>
      <w:r w:rsidR="003B5914">
        <w:rPr>
          <w:sz w:val="22"/>
        </w:rPr>
        <w:t>of</w:t>
      </w:r>
      <w:r w:rsidR="003B5914" w:rsidRPr="001B449B">
        <w:rPr>
          <w:sz w:val="22"/>
        </w:rPr>
        <w:t xml:space="preserve"> </w:t>
      </w:r>
      <w:r w:rsidRPr="001B449B">
        <w:rPr>
          <w:sz w:val="22"/>
        </w:rPr>
        <w:t>their health, education and connectivity statistics. Progress in the eastern sub-region is evidenced by cross-country agreements, such as the India-Bangladesh Protocol on Inland Water Transit and Trade.  These inter-country agreements provide a credible backdrop for the importance of programs such as SARTFP.</w:t>
      </w:r>
      <w:r w:rsidRPr="001B449B">
        <w:rPr>
          <w:rStyle w:val="FootnoteReference"/>
          <w:rFonts w:cs="Calibri"/>
          <w:sz w:val="22"/>
        </w:rPr>
        <w:footnoteReference w:id="112"/>
      </w:r>
    </w:p>
    <w:p w14:paraId="021D4309" w14:textId="77777777" w:rsidR="000301B5" w:rsidRPr="007D5DA9" w:rsidRDefault="000301B5" w:rsidP="005B19D5">
      <w:pPr>
        <w:pStyle w:val="Heading2"/>
      </w:pPr>
      <w:bookmarkStart w:id="36" w:name="_Toc517615246"/>
      <w:r w:rsidRPr="007D5DA9">
        <w:t>Gender Equality</w:t>
      </w:r>
      <w:bookmarkEnd w:id="36"/>
    </w:p>
    <w:p w14:paraId="37A15FA0" w14:textId="77777777" w:rsidR="000301B5" w:rsidRPr="001B449B" w:rsidRDefault="000301B5" w:rsidP="005B19D5">
      <w:pPr>
        <w:rPr>
          <w:sz w:val="22"/>
        </w:rPr>
      </w:pPr>
      <w:r w:rsidRPr="001B449B">
        <w:rPr>
          <w:color w:val="C00000"/>
          <w:sz w:val="22"/>
        </w:rPr>
        <w:t xml:space="preserve">Rating: </w:t>
      </w:r>
      <w:r w:rsidRPr="001B449B">
        <w:rPr>
          <w:sz w:val="22"/>
        </w:rPr>
        <w:t>3 - Findings are supported by good evidence</w:t>
      </w:r>
    </w:p>
    <w:p w14:paraId="44DE4F2D" w14:textId="39BBBB41" w:rsidR="00DA5CE0" w:rsidRPr="001B449B" w:rsidRDefault="0034278C">
      <w:pPr>
        <w:rPr>
          <w:sz w:val="22"/>
        </w:rPr>
      </w:pPr>
      <w:r>
        <w:rPr>
          <w:sz w:val="22"/>
        </w:rPr>
        <w:t xml:space="preserve">This section illustrates the degree to which the evidence supports the rating. </w:t>
      </w:r>
      <w:r w:rsidR="003B5914">
        <w:rPr>
          <w:sz w:val="22"/>
        </w:rPr>
        <w:t>G</w:t>
      </w:r>
      <w:r w:rsidR="003B089D" w:rsidRPr="001B449B">
        <w:rPr>
          <w:sz w:val="22"/>
        </w:rPr>
        <w:t>ender equality is at the heart of SARTFP’s work</w:t>
      </w:r>
      <w:r>
        <w:rPr>
          <w:sz w:val="22"/>
        </w:rPr>
        <w:t>. Based on the findings outlined below</w:t>
      </w:r>
      <w:r w:rsidR="008D1F1E">
        <w:rPr>
          <w:sz w:val="22"/>
        </w:rPr>
        <w:t>,</w:t>
      </w:r>
      <w:r>
        <w:rPr>
          <w:sz w:val="22"/>
        </w:rPr>
        <w:t xml:space="preserve"> SARTFP </w:t>
      </w:r>
      <w:r w:rsidR="003B089D" w:rsidRPr="001B449B">
        <w:rPr>
          <w:sz w:val="22"/>
        </w:rPr>
        <w:t>is beginning to show it can influence systems both within and outside the W</w:t>
      </w:r>
      <w:r w:rsidR="00DA5CE0" w:rsidRPr="001B449B">
        <w:rPr>
          <w:sz w:val="22"/>
        </w:rPr>
        <w:t xml:space="preserve">orld </w:t>
      </w:r>
      <w:r w:rsidR="003B089D" w:rsidRPr="001B449B">
        <w:rPr>
          <w:sz w:val="22"/>
        </w:rPr>
        <w:t>B</w:t>
      </w:r>
      <w:r w:rsidR="00DA5CE0" w:rsidRPr="001B449B">
        <w:rPr>
          <w:sz w:val="22"/>
        </w:rPr>
        <w:t>ank</w:t>
      </w:r>
      <w:r w:rsidR="003B089D" w:rsidRPr="001B449B">
        <w:rPr>
          <w:sz w:val="22"/>
        </w:rPr>
        <w:t xml:space="preserve">. However, </w:t>
      </w:r>
      <w:r w:rsidR="002E1015" w:rsidRPr="001B449B">
        <w:rPr>
          <w:sz w:val="22"/>
        </w:rPr>
        <w:t xml:space="preserve">meaningful </w:t>
      </w:r>
      <w:r w:rsidR="003B089D" w:rsidRPr="001B449B">
        <w:rPr>
          <w:sz w:val="22"/>
        </w:rPr>
        <w:t xml:space="preserve">results </w:t>
      </w:r>
      <w:r w:rsidR="00561501">
        <w:rPr>
          <w:sz w:val="22"/>
        </w:rPr>
        <w:t>and c</w:t>
      </w:r>
      <w:r w:rsidR="00561501" w:rsidRPr="001B449B">
        <w:rPr>
          <w:sz w:val="22"/>
        </w:rPr>
        <w:t>hange</w:t>
      </w:r>
      <w:r w:rsidR="00561501">
        <w:rPr>
          <w:sz w:val="22"/>
        </w:rPr>
        <w:t>s to</w:t>
      </w:r>
      <w:r w:rsidR="00561501" w:rsidRPr="001B449B">
        <w:rPr>
          <w:sz w:val="22"/>
        </w:rPr>
        <w:t xml:space="preserve"> policy and practice </w:t>
      </w:r>
      <w:r w:rsidR="003B089D" w:rsidRPr="001B449B">
        <w:rPr>
          <w:sz w:val="22"/>
        </w:rPr>
        <w:t xml:space="preserve">will follow only </w:t>
      </w:r>
      <w:r w:rsidR="00C95B2C" w:rsidRPr="001B449B">
        <w:rPr>
          <w:sz w:val="22"/>
        </w:rPr>
        <w:t>i</w:t>
      </w:r>
      <w:r w:rsidR="003B089D" w:rsidRPr="001B449B">
        <w:rPr>
          <w:sz w:val="22"/>
        </w:rPr>
        <w:t xml:space="preserve">f the </w:t>
      </w:r>
      <w:r w:rsidR="002E1015" w:rsidRPr="001B449B">
        <w:rPr>
          <w:sz w:val="22"/>
        </w:rPr>
        <w:t xml:space="preserve">SARTFP </w:t>
      </w:r>
      <w:r w:rsidR="003B089D" w:rsidRPr="001B449B">
        <w:rPr>
          <w:sz w:val="22"/>
        </w:rPr>
        <w:t>team continually ad</w:t>
      </w:r>
      <w:r w:rsidR="00C95B2C" w:rsidRPr="001B449B">
        <w:rPr>
          <w:sz w:val="22"/>
        </w:rPr>
        <w:t>a</w:t>
      </w:r>
      <w:r w:rsidR="003B089D" w:rsidRPr="001B449B">
        <w:rPr>
          <w:sz w:val="22"/>
        </w:rPr>
        <w:t xml:space="preserve">pts its </w:t>
      </w:r>
      <w:r w:rsidR="00561501">
        <w:rPr>
          <w:sz w:val="22"/>
        </w:rPr>
        <w:t xml:space="preserve">gender learnings </w:t>
      </w:r>
      <w:r w:rsidR="003B5914" w:rsidRPr="001B449B">
        <w:rPr>
          <w:sz w:val="22"/>
        </w:rPr>
        <w:t>to</w:t>
      </w:r>
      <w:r w:rsidR="003B089D" w:rsidRPr="001B449B">
        <w:rPr>
          <w:sz w:val="22"/>
        </w:rPr>
        <w:t xml:space="preserve"> </w:t>
      </w:r>
      <w:r w:rsidR="00561501">
        <w:rPr>
          <w:sz w:val="22"/>
        </w:rPr>
        <w:t>program/lending implementation</w:t>
      </w:r>
      <w:r w:rsidR="003B089D" w:rsidRPr="001B449B">
        <w:rPr>
          <w:sz w:val="22"/>
        </w:rPr>
        <w:t xml:space="preserve">. </w:t>
      </w:r>
    </w:p>
    <w:p w14:paraId="1F9037DC" w14:textId="7C7BACAE" w:rsidR="00267AE4" w:rsidRDefault="00561501">
      <w:r>
        <w:rPr>
          <w:sz w:val="22"/>
        </w:rPr>
        <w:t>I</w:t>
      </w:r>
      <w:r w:rsidR="00267AE4" w:rsidRPr="001B449B">
        <w:rPr>
          <w:sz w:val="22"/>
        </w:rPr>
        <w:t>f a donor funded program intends to influence World Bank policies and processes, the pathway for achieving such changes needs to be explicitly defined and integrated into the program’s theory of change. Similarly, if gender equality has demonstrable and powerful economic and social development outcomes (as suggested by the ‘smart economics’ thesis</w:t>
      </w:r>
      <w:r w:rsidR="003C3118" w:rsidRPr="001B449B">
        <w:rPr>
          <w:sz w:val="22"/>
        </w:rPr>
        <w:t xml:space="preserve"> </w:t>
      </w:r>
      <w:r w:rsidR="00894DA7" w:rsidRPr="001B449B">
        <w:rPr>
          <w:sz w:val="22"/>
        </w:rPr>
        <w:t>expressed</w:t>
      </w:r>
      <w:r w:rsidR="003C3118" w:rsidRPr="001B449B">
        <w:rPr>
          <w:sz w:val="22"/>
        </w:rPr>
        <w:t xml:space="preserve"> by </w:t>
      </w:r>
      <w:r w:rsidR="00894DA7" w:rsidRPr="001B449B">
        <w:rPr>
          <w:sz w:val="22"/>
        </w:rPr>
        <w:t>DFAT</w:t>
      </w:r>
      <w:r w:rsidR="00267AE4" w:rsidRPr="001B449B">
        <w:rPr>
          <w:rStyle w:val="FootnoteReference"/>
          <w:sz w:val="22"/>
        </w:rPr>
        <w:footnoteReference w:id="113"/>
      </w:r>
      <w:r w:rsidR="003C3118" w:rsidRPr="001B449B">
        <w:rPr>
          <w:sz w:val="22"/>
        </w:rPr>
        <w:t>)</w:t>
      </w:r>
      <w:r w:rsidR="00267AE4" w:rsidRPr="001B449B">
        <w:rPr>
          <w:sz w:val="22"/>
        </w:rPr>
        <w:t xml:space="preserve">, then integrating gender in World Bank lending and development activities would be part of the core thinking of how the bank operated. Bringing the </w:t>
      </w:r>
      <w:r w:rsidR="00E05A07">
        <w:rPr>
          <w:sz w:val="22"/>
        </w:rPr>
        <w:t>B</w:t>
      </w:r>
      <w:r w:rsidR="00267AE4" w:rsidRPr="001B449B">
        <w:rPr>
          <w:sz w:val="22"/>
        </w:rPr>
        <w:t xml:space="preserve">ank to the same level as DFAT on this topic can partly be achieved by SARTFP, but it will also require ongoing political engagement by DFAT. </w:t>
      </w:r>
    </w:p>
    <w:tbl>
      <w:tblPr>
        <w:tblStyle w:val="TableGrid"/>
        <w:tblW w:w="0" w:type="auto"/>
        <w:tblLook w:val="04A0" w:firstRow="1" w:lastRow="0" w:firstColumn="1" w:lastColumn="0" w:noHBand="0" w:noVBand="1"/>
      </w:tblPr>
      <w:tblGrid>
        <w:gridCol w:w="9010"/>
      </w:tblGrid>
      <w:tr w:rsidR="00DA5CE0" w:rsidRPr="007D5DA9" w14:paraId="46540849" w14:textId="77777777">
        <w:tc>
          <w:tcPr>
            <w:tcW w:w="9010" w:type="dxa"/>
          </w:tcPr>
          <w:p w14:paraId="7ABBA379" w14:textId="77777777" w:rsidR="00DA5CE0" w:rsidRPr="001B449B" w:rsidRDefault="00DA5CE0" w:rsidP="005B19D5">
            <w:pPr>
              <w:pStyle w:val="Heading3"/>
              <w:rPr>
                <w:sz w:val="22"/>
              </w:rPr>
            </w:pPr>
            <w:r w:rsidRPr="001B449B">
              <w:rPr>
                <w:sz w:val="22"/>
              </w:rPr>
              <w:t>Most relevant Medium-Term Outcomes to this section:</w:t>
            </w:r>
          </w:p>
          <w:p w14:paraId="0B7B4DC6" w14:textId="77777777" w:rsidR="00DA5CE0" w:rsidRPr="001B449B" w:rsidRDefault="00DA5CE0" w:rsidP="005B19D5">
            <w:pPr>
              <w:rPr>
                <w:sz w:val="22"/>
              </w:rPr>
            </w:pPr>
            <w:r w:rsidRPr="001B449B">
              <w:rPr>
                <w:b/>
                <w:bCs/>
                <w:sz w:val="22"/>
              </w:rPr>
              <w:t>MTO A</w:t>
            </w:r>
            <w:r w:rsidRPr="001B449B">
              <w:rPr>
                <w:sz w:val="22"/>
              </w:rPr>
              <w:t xml:space="preserve">: Projects in trade facilitation, cross border transport connectivity, and local economic opportunity </w:t>
            </w:r>
            <w:r w:rsidRPr="001B449B">
              <w:rPr>
                <w:b/>
                <w:bCs/>
                <w:sz w:val="22"/>
              </w:rPr>
              <w:t>financed by World Bank</w:t>
            </w:r>
            <w:r w:rsidRPr="001B449B">
              <w:rPr>
                <w:sz w:val="22"/>
              </w:rPr>
              <w:t xml:space="preserve">, </w:t>
            </w:r>
            <w:r w:rsidRPr="001B449B">
              <w:rPr>
                <w:b/>
                <w:bCs/>
                <w:sz w:val="22"/>
              </w:rPr>
              <w:t xml:space="preserve">DFAT and others, </w:t>
            </w:r>
            <w:r w:rsidRPr="001B449B">
              <w:rPr>
                <w:sz w:val="22"/>
              </w:rPr>
              <w:t>increasingly benefit women</w:t>
            </w:r>
          </w:p>
          <w:p w14:paraId="14635F4D" w14:textId="77777777" w:rsidR="00DA5CE0" w:rsidRPr="001B449B" w:rsidRDefault="00DA5CE0">
            <w:pPr>
              <w:rPr>
                <w:rFonts w:cs="Times"/>
                <w:sz w:val="22"/>
              </w:rPr>
            </w:pPr>
            <w:r w:rsidRPr="001B449B">
              <w:rPr>
                <w:b/>
                <w:bCs/>
                <w:sz w:val="22"/>
              </w:rPr>
              <w:t>MTO C</w:t>
            </w:r>
            <w:r w:rsidRPr="001B449B">
              <w:rPr>
                <w:sz w:val="22"/>
              </w:rPr>
              <w:t xml:space="preserve">: Governments in BBIN countries take </w:t>
            </w:r>
            <w:r w:rsidRPr="001B449B">
              <w:rPr>
                <w:b/>
                <w:bCs/>
                <w:sz w:val="22"/>
              </w:rPr>
              <w:t xml:space="preserve">regulatory and operational measures </w:t>
            </w:r>
            <w:r w:rsidRPr="001B449B">
              <w:rPr>
                <w:sz w:val="22"/>
              </w:rPr>
              <w:t xml:space="preserve">in trade facilitation, cross-border transport connectivity, and local economic opportunity, that directly benefit women </w:t>
            </w:r>
          </w:p>
          <w:p w14:paraId="434BD38E" w14:textId="77777777" w:rsidR="00DA5CE0" w:rsidRPr="001B449B" w:rsidRDefault="00DA5CE0">
            <w:pPr>
              <w:rPr>
                <w:rFonts w:cs="Times"/>
                <w:sz w:val="22"/>
              </w:rPr>
            </w:pPr>
            <w:r w:rsidRPr="001B449B">
              <w:rPr>
                <w:b/>
                <w:bCs/>
                <w:sz w:val="22"/>
              </w:rPr>
              <w:t>MTO D</w:t>
            </w:r>
            <w:r w:rsidRPr="001B449B">
              <w:rPr>
                <w:sz w:val="22"/>
              </w:rPr>
              <w:t xml:space="preserve">: SARTFP contributes </w:t>
            </w:r>
            <w:r w:rsidRPr="001B449B">
              <w:rPr>
                <w:b/>
                <w:bCs/>
                <w:sz w:val="22"/>
              </w:rPr>
              <w:t xml:space="preserve">to producing and sharing knowledge </w:t>
            </w:r>
            <w:r w:rsidRPr="001B449B">
              <w:rPr>
                <w:sz w:val="22"/>
              </w:rPr>
              <w:t xml:space="preserve">on how trade facilitation, cross-border transport connectivity, and local economic opportunity can directly benefit women </w:t>
            </w:r>
          </w:p>
          <w:p w14:paraId="4EFFCC78" w14:textId="77777777" w:rsidR="00DA5CE0" w:rsidRPr="001B449B" w:rsidRDefault="00DA5CE0">
            <w:pPr>
              <w:rPr>
                <w:color w:val="000000"/>
                <w:sz w:val="22"/>
              </w:rPr>
            </w:pPr>
            <w:r w:rsidRPr="001B449B">
              <w:rPr>
                <w:b/>
                <w:bCs/>
                <w:sz w:val="22"/>
              </w:rPr>
              <w:t>MTO E</w:t>
            </w:r>
            <w:r w:rsidRPr="001B449B">
              <w:rPr>
                <w:sz w:val="22"/>
              </w:rPr>
              <w:t xml:space="preserve">: There is improved </w:t>
            </w:r>
            <w:r w:rsidRPr="001B449B">
              <w:rPr>
                <w:b/>
                <w:bCs/>
                <w:sz w:val="22"/>
              </w:rPr>
              <w:t xml:space="preserve">economic opportunity and livelihood </w:t>
            </w:r>
            <w:r w:rsidRPr="001B449B">
              <w:rPr>
                <w:sz w:val="22"/>
              </w:rPr>
              <w:t>for the poor, especially women, in targeted value chains and corridors</w:t>
            </w:r>
            <w:r w:rsidRPr="001B449B">
              <w:rPr>
                <w:rFonts w:ascii="Calibri" w:hAnsi="Calibri"/>
                <w:sz w:val="22"/>
              </w:rPr>
              <w:t xml:space="preserve"> </w:t>
            </w:r>
          </w:p>
        </w:tc>
      </w:tr>
    </w:tbl>
    <w:p w14:paraId="20CEB98E" w14:textId="77777777" w:rsidR="00154EA0" w:rsidRPr="007D5DA9" w:rsidRDefault="004C4BA4" w:rsidP="004F53EC">
      <w:pPr>
        <w:pStyle w:val="KeyFinding"/>
        <w:rPr>
          <w:rFonts w:eastAsia="Calibri"/>
          <w:color w:val="000000"/>
        </w:rPr>
      </w:pPr>
      <w:r w:rsidRPr="007D5DA9">
        <w:t>The gender focus of SARTFP is providing resources that do not exist elsewhere for innovators and early adopters in the Bank to demonstrate how gender equality can be integrated into all projects.</w:t>
      </w:r>
    </w:p>
    <w:p w14:paraId="35B138AE" w14:textId="77777777" w:rsidR="00BA2712" w:rsidRPr="001B449B" w:rsidRDefault="00266DC4" w:rsidP="005B19D5">
      <w:pPr>
        <w:rPr>
          <w:sz w:val="22"/>
        </w:rPr>
      </w:pPr>
      <w:r w:rsidRPr="001B449B">
        <w:rPr>
          <w:rFonts w:eastAsia="Calibri"/>
          <w:sz w:val="22"/>
        </w:rPr>
        <w:t>Evidence from interviews indicated that</w:t>
      </w:r>
      <w:r w:rsidR="00BA2712" w:rsidRPr="001B449B">
        <w:rPr>
          <w:rFonts w:eastAsia="Calibri"/>
          <w:sz w:val="22"/>
        </w:rPr>
        <w:t xml:space="preserve"> SARTFP enabled some innovative, ambitious, and unconventional World Bank projects to be funded.</w:t>
      </w:r>
      <w:r w:rsidRPr="001B449B">
        <w:rPr>
          <w:rStyle w:val="FootnoteReference"/>
          <w:rFonts w:eastAsia="Calibri"/>
          <w:color w:val="000000"/>
          <w:sz w:val="22"/>
        </w:rPr>
        <w:footnoteReference w:id="114"/>
      </w:r>
      <w:r w:rsidRPr="001B449B">
        <w:rPr>
          <w:rFonts w:eastAsia="Calibri"/>
          <w:sz w:val="22"/>
        </w:rPr>
        <w:t xml:space="preserve"> </w:t>
      </w:r>
      <w:r w:rsidR="00BA2712" w:rsidRPr="001B449B">
        <w:rPr>
          <w:rFonts w:eastAsia="Calibri"/>
          <w:sz w:val="22"/>
        </w:rPr>
        <w:t xml:space="preserve">If SARTFP can successfully create space for innovators in the Bank to design with gender equality and a broad development lens, there is potential for significant change that transforms the lives of marginalised people. This type of change, </w:t>
      </w:r>
      <w:r w:rsidR="00BA2712" w:rsidRPr="001B449B">
        <w:rPr>
          <w:rFonts w:eastAsia="Calibri"/>
          <w:sz w:val="22"/>
        </w:rPr>
        <w:lastRenderedPageBreak/>
        <w:t>requiring changes in behaviours, institutions, policies and practice, takes time and will require ongoing commitment of both DFAT and the World Bank beyond the timeline of SARTFP.</w:t>
      </w:r>
    </w:p>
    <w:p w14:paraId="6AD8389C" w14:textId="77777777" w:rsidR="004A22A6" w:rsidRPr="001B449B" w:rsidRDefault="00BA2712">
      <w:pPr>
        <w:rPr>
          <w:rFonts w:eastAsia="Calibri"/>
          <w:sz w:val="22"/>
        </w:rPr>
      </w:pPr>
      <w:r w:rsidRPr="001B449B">
        <w:rPr>
          <w:rFonts w:eastAsia="Calibri"/>
          <w:sz w:val="22"/>
        </w:rPr>
        <w:t>One such example is the Buddhist Circuit, which is exploring tourism as a means of poverty reduction and inclusive growth. There are plenty of examples worldwide where tourism has not resulted in positive change for the local economy or local community.</w:t>
      </w:r>
      <w:r w:rsidRPr="001B449B">
        <w:rPr>
          <w:rStyle w:val="FootnoteReference"/>
          <w:rFonts w:eastAsia="Calibri"/>
          <w:color w:val="000000"/>
          <w:sz w:val="22"/>
        </w:rPr>
        <w:footnoteReference w:id="115"/>
      </w:r>
      <w:r w:rsidRPr="001B449B">
        <w:rPr>
          <w:rFonts w:eastAsia="Calibri"/>
          <w:sz w:val="22"/>
        </w:rPr>
        <w:t xml:space="preserve"> </w:t>
      </w:r>
      <w:r w:rsidR="004A22A6" w:rsidRPr="000151BA">
        <w:rPr>
          <w:rFonts w:eastAsia="Calibri"/>
          <w:iCs/>
          <w:sz w:val="22"/>
        </w:rPr>
        <w:t>What</w:t>
      </w:r>
      <w:r w:rsidR="00894DA7" w:rsidRPr="000151BA">
        <w:rPr>
          <w:rFonts w:eastAsia="Calibri"/>
          <w:iCs/>
          <w:sz w:val="22"/>
        </w:rPr>
        <w:t xml:space="preserve"> differ</w:t>
      </w:r>
      <w:r w:rsidR="00790DA9" w:rsidRPr="000151BA">
        <w:rPr>
          <w:rFonts w:eastAsia="Calibri"/>
          <w:iCs/>
          <w:sz w:val="22"/>
        </w:rPr>
        <w:t>e</w:t>
      </w:r>
      <w:r w:rsidR="00894DA7" w:rsidRPr="000151BA">
        <w:rPr>
          <w:rFonts w:eastAsia="Calibri"/>
          <w:iCs/>
          <w:sz w:val="22"/>
        </w:rPr>
        <w:t>ntiates</w:t>
      </w:r>
      <w:r w:rsidR="004A22A6" w:rsidRPr="000151BA">
        <w:rPr>
          <w:rFonts w:eastAsia="Calibri"/>
          <w:iCs/>
          <w:sz w:val="22"/>
        </w:rPr>
        <w:t xml:space="preserve"> this project is that ‘rather than representing a specific type of tourism or market segment, the project’s pro-poor tourism approach focuses on how the sector is structured to ensure that local communities and the destinations per se benefit from tourism. It does so by supporting a range of activities from strengthening policies, regulations and institutional capacities to providing basic services to communities and tourists alike and ensuring that economic and non-economic linkages with local communities and entrepreneurs are established throughout the tourism value chain.’</w:t>
      </w:r>
      <w:r w:rsidR="004A22A6" w:rsidRPr="000151BA">
        <w:rPr>
          <w:rStyle w:val="FootnoteReference"/>
          <w:rFonts w:eastAsia="Calibri"/>
          <w:iCs/>
          <w:color w:val="000000"/>
          <w:sz w:val="22"/>
        </w:rPr>
        <w:footnoteReference w:id="116"/>
      </w:r>
      <w:r w:rsidR="004A22A6" w:rsidRPr="001B449B">
        <w:rPr>
          <w:rFonts w:eastAsia="Calibri"/>
          <w:i/>
          <w:iCs/>
          <w:sz w:val="22"/>
        </w:rPr>
        <w:t> </w:t>
      </w:r>
    </w:p>
    <w:p w14:paraId="0400AADE" w14:textId="77777777" w:rsidR="00BA2712" w:rsidRPr="001B449B" w:rsidRDefault="00BA2712">
      <w:pPr>
        <w:rPr>
          <w:sz w:val="22"/>
        </w:rPr>
      </w:pPr>
      <w:r w:rsidRPr="001B449B">
        <w:rPr>
          <w:rFonts w:eastAsia="Calibri"/>
          <w:sz w:val="22"/>
        </w:rPr>
        <w:t xml:space="preserve">The case study below explores this in more detail. </w:t>
      </w:r>
    </w:p>
    <w:p w14:paraId="28A7B33C" w14:textId="40809065" w:rsidR="00BA2712" w:rsidRPr="000151BA" w:rsidRDefault="00BA2712" w:rsidP="000151BA">
      <w:pPr>
        <w:pStyle w:val="Heading3"/>
        <w:rPr>
          <w:sz w:val="22"/>
        </w:rPr>
      </w:pPr>
      <w:r w:rsidRPr="000151BA">
        <w:rPr>
          <w:sz w:val="22"/>
        </w:rPr>
        <w:t xml:space="preserve">Box 3: Case Study: </w:t>
      </w:r>
      <w:r w:rsidR="0057036A" w:rsidRPr="000151BA">
        <w:rPr>
          <w:sz w:val="22"/>
        </w:rPr>
        <w:t>SARTFP Project</w:t>
      </w:r>
      <w:r w:rsidR="00266DC4" w:rsidRPr="000151BA">
        <w:rPr>
          <w:sz w:val="22"/>
        </w:rPr>
        <w:t xml:space="preserve"> TF0A311: </w:t>
      </w:r>
      <w:r w:rsidRPr="000151BA">
        <w:rPr>
          <w:sz w:val="22"/>
        </w:rPr>
        <w:t>Buddhist Circuit Project</w:t>
      </w:r>
    </w:p>
    <w:tbl>
      <w:tblPr>
        <w:tblStyle w:val="TableGrid"/>
        <w:tblW w:w="0" w:type="auto"/>
        <w:shd w:val="clear" w:color="auto" w:fill="F2F2F2" w:themeFill="background1" w:themeFillShade="F2"/>
        <w:tblLook w:val="04A0" w:firstRow="1" w:lastRow="0" w:firstColumn="1" w:lastColumn="0" w:noHBand="0" w:noVBand="1"/>
      </w:tblPr>
      <w:tblGrid>
        <w:gridCol w:w="9010"/>
      </w:tblGrid>
      <w:tr w:rsidR="004C4BA4" w:rsidRPr="007D5DA9" w14:paraId="653847B9" w14:textId="77777777">
        <w:tc>
          <w:tcPr>
            <w:tcW w:w="9010" w:type="dxa"/>
            <w:shd w:val="clear" w:color="auto" w:fill="F2F2F2" w:themeFill="background1" w:themeFillShade="F2"/>
          </w:tcPr>
          <w:p w14:paraId="4493BB32" w14:textId="5277ACCF" w:rsidR="00097449" w:rsidRPr="001B449B" w:rsidRDefault="00097449">
            <w:pPr>
              <w:rPr>
                <w:sz w:val="22"/>
              </w:rPr>
            </w:pPr>
            <w:r w:rsidRPr="001B449B">
              <w:rPr>
                <w:b/>
                <w:sz w:val="22"/>
              </w:rPr>
              <w:t>Objective:</w:t>
            </w:r>
            <w:r w:rsidRPr="001B449B">
              <w:rPr>
                <w:sz w:val="22"/>
              </w:rPr>
              <w:t xml:space="preserve"> i) To harness the power of tourism and pilgrimage for poverty reduction and inclusive growth, particularly in asset rich but economically poor areas, ii) to successfully open up opportunities for skill enhancement as a way of diversifying women's income source, and that fulfil their aspirations and contribute to changing their status in society. Budget to date: USD700,000</w:t>
            </w:r>
            <w:r w:rsidR="00E05A07">
              <w:rPr>
                <w:sz w:val="22"/>
              </w:rPr>
              <w:t>.</w:t>
            </w:r>
            <w:r w:rsidR="00266DC4" w:rsidRPr="001B449B">
              <w:rPr>
                <w:rStyle w:val="FootnoteReference"/>
                <w:sz w:val="22"/>
              </w:rPr>
              <w:footnoteReference w:id="117"/>
            </w:r>
          </w:p>
          <w:p w14:paraId="7281420E" w14:textId="77777777" w:rsidR="00097449" w:rsidRPr="001B449B" w:rsidRDefault="00097449">
            <w:pPr>
              <w:rPr>
                <w:b/>
                <w:sz w:val="22"/>
              </w:rPr>
            </w:pPr>
            <w:r w:rsidRPr="001B449B">
              <w:rPr>
                <w:b/>
                <w:sz w:val="22"/>
              </w:rPr>
              <w:t>Results</w:t>
            </w:r>
          </w:p>
          <w:p w14:paraId="3F58BCE0" w14:textId="00049C8B" w:rsidR="00097449" w:rsidRDefault="00097449">
            <w:pPr>
              <w:rPr>
                <w:sz w:val="22"/>
              </w:rPr>
            </w:pPr>
            <w:r w:rsidRPr="001B449B">
              <w:rPr>
                <w:sz w:val="22"/>
              </w:rPr>
              <w:t xml:space="preserve">The Buddhist Circuit Project </w:t>
            </w:r>
            <w:r w:rsidR="000669E7" w:rsidRPr="001B449B">
              <w:rPr>
                <w:sz w:val="22"/>
              </w:rPr>
              <w:t>is in</w:t>
            </w:r>
            <w:r w:rsidRPr="001B449B">
              <w:rPr>
                <w:sz w:val="22"/>
              </w:rPr>
              <w:t xml:space="preserve"> Sarnath, </w:t>
            </w:r>
            <w:r w:rsidR="005D53C0">
              <w:rPr>
                <w:sz w:val="22"/>
              </w:rPr>
              <w:t>ten</w:t>
            </w:r>
            <w:r w:rsidRPr="001B449B">
              <w:rPr>
                <w:sz w:val="22"/>
              </w:rPr>
              <w:t xml:space="preserve"> k</w:t>
            </w:r>
            <w:r w:rsidR="000669E7">
              <w:rPr>
                <w:sz w:val="22"/>
              </w:rPr>
              <w:t>ilometres</w:t>
            </w:r>
            <w:r w:rsidRPr="001B449B">
              <w:rPr>
                <w:sz w:val="22"/>
              </w:rPr>
              <w:t xml:space="preserve"> north-east of the heritage city of Varanasi, near the confluence of the Ganges and Varuna rivers. Despite Sarnarth being situated in the current Indian Prime Minister’s constituency, and </w:t>
            </w:r>
            <w:r w:rsidR="000669E7">
              <w:rPr>
                <w:sz w:val="22"/>
              </w:rPr>
              <w:t>thus</w:t>
            </w:r>
            <w:r w:rsidRPr="001B449B">
              <w:rPr>
                <w:sz w:val="22"/>
              </w:rPr>
              <w:t xml:space="preserve"> </w:t>
            </w:r>
            <w:r w:rsidR="000669E7">
              <w:rPr>
                <w:sz w:val="22"/>
              </w:rPr>
              <w:t xml:space="preserve">receiving </w:t>
            </w:r>
            <w:r w:rsidRPr="001B449B">
              <w:rPr>
                <w:sz w:val="22"/>
              </w:rPr>
              <w:t>significant investment in some sectors, the district lacked basic population information.</w:t>
            </w:r>
            <w:r w:rsidR="00CC5757">
              <w:rPr>
                <w:rStyle w:val="FootnoteReference"/>
                <w:sz w:val="22"/>
              </w:rPr>
              <w:footnoteReference w:id="118"/>
            </w:r>
            <w:r w:rsidRPr="001B449B">
              <w:rPr>
                <w:sz w:val="22"/>
              </w:rPr>
              <w:t xml:space="preserve"> Understanding the importance of advocating for change with robust data, the project team saw this as an opportunity and embarked on extensive data collection.</w:t>
            </w:r>
          </w:p>
          <w:p w14:paraId="6610D705" w14:textId="77777777" w:rsidR="00CC5757" w:rsidRPr="001B449B" w:rsidRDefault="00CC5757" w:rsidP="00CC5757">
            <w:pPr>
              <w:rPr>
                <w:sz w:val="22"/>
              </w:rPr>
            </w:pPr>
            <w:r w:rsidRPr="001B449B">
              <w:rPr>
                <w:sz w:val="22"/>
              </w:rPr>
              <w:t xml:space="preserve">An important aim of the project is to re-position women in society from their current status of being almost invisible. Therefore, consultation needed to include the voices of these women and reflect their lived experiences and aspirations for the future. To do this the project team reported that they sought out the disempowered and made efforts to listen to the quiet voices who often provide the most useful insights. </w:t>
            </w:r>
            <w:r>
              <w:rPr>
                <w:sz w:val="22"/>
              </w:rPr>
              <w:t>T</w:t>
            </w:r>
            <w:r w:rsidRPr="001B449B">
              <w:rPr>
                <w:sz w:val="22"/>
              </w:rPr>
              <w:t>ogether</w:t>
            </w:r>
            <w:r>
              <w:rPr>
                <w:sz w:val="22"/>
              </w:rPr>
              <w:t>, they</w:t>
            </w:r>
            <w:r w:rsidRPr="001B449B">
              <w:rPr>
                <w:sz w:val="22"/>
              </w:rPr>
              <w:t xml:space="preserve"> are trying to find solutions which incrementally can help to turn around perceptions, behaviours and opportunities.</w:t>
            </w:r>
            <w:r w:rsidRPr="001B449B" w:rsidDel="007A0379">
              <w:rPr>
                <w:sz w:val="22"/>
              </w:rPr>
              <w:t xml:space="preserve"> </w:t>
            </w:r>
          </w:p>
          <w:p w14:paraId="4E6D4AB6" w14:textId="77777777" w:rsidR="00097449" w:rsidRPr="001B449B" w:rsidRDefault="00097449" w:rsidP="005B19D5">
            <w:pPr>
              <w:rPr>
                <w:sz w:val="22"/>
              </w:rPr>
            </w:pPr>
            <w:r w:rsidRPr="001B449B">
              <w:rPr>
                <w:sz w:val="22"/>
              </w:rPr>
              <w:t>The investment in quality and inclusive data collection and analysis is already showing success:</w:t>
            </w:r>
          </w:p>
          <w:p w14:paraId="00B47E1A" w14:textId="62FD5250" w:rsidR="007A4160" w:rsidRDefault="00D1056F" w:rsidP="00CC5757">
            <w:pPr>
              <w:pStyle w:val="ListParagraph"/>
              <w:numPr>
                <w:ilvl w:val="0"/>
                <w:numId w:val="48"/>
              </w:numPr>
              <w:rPr>
                <w:sz w:val="22"/>
              </w:rPr>
            </w:pPr>
            <w:r>
              <w:rPr>
                <w:sz w:val="22"/>
              </w:rPr>
              <w:t>A</w:t>
            </w:r>
            <w:r w:rsidR="00097449" w:rsidRPr="001B449B">
              <w:rPr>
                <w:sz w:val="22"/>
              </w:rPr>
              <w:t xml:space="preserve"> public investment plan</w:t>
            </w:r>
            <w:r>
              <w:rPr>
                <w:sz w:val="22"/>
              </w:rPr>
              <w:t xml:space="preserve"> has been agreed which</w:t>
            </w:r>
            <w:r w:rsidR="00CC5757">
              <w:rPr>
                <w:sz w:val="22"/>
              </w:rPr>
              <w:t xml:space="preserve"> </w:t>
            </w:r>
            <w:r w:rsidR="00097449" w:rsidRPr="001B449B">
              <w:rPr>
                <w:sz w:val="22"/>
              </w:rPr>
              <w:t>sta</w:t>
            </w:r>
            <w:r>
              <w:rPr>
                <w:sz w:val="22"/>
              </w:rPr>
              <w:t>rts</w:t>
            </w:r>
            <w:r w:rsidR="00097449" w:rsidRPr="001B449B">
              <w:rPr>
                <w:sz w:val="22"/>
              </w:rPr>
              <w:t xml:space="preserve"> with provision of basic services (including free access to functioning toilet facilities) to locals</w:t>
            </w:r>
            <w:r w:rsidR="007A4160">
              <w:rPr>
                <w:sz w:val="22"/>
              </w:rPr>
              <w:t>, including street vendors,</w:t>
            </w:r>
            <w:r w:rsidR="00097449" w:rsidRPr="001B449B">
              <w:rPr>
                <w:sz w:val="22"/>
              </w:rPr>
              <w:t xml:space="preserve"> in the surroundings of the main tourist attractions</w:t>
            </w:r>
            <w:r>
              <w:rPr>
                <w:sz w:val="22"/>
              </w:rPr>
              <w:t xml:space="preserve">. </w:t>
            </w:r>
            <w:r w:rsidR="002C234E">
              <w:rPr>
                <w:sz w:val="22"/>
              </w:rPr>
              <w:t>This will address</w:t>
            </w:r>
            <w:r w:rsidR="007A4160">
              <w:rPr>
                <w:sz w:val="22"/>
              </w:rPr>
              <w:t xml:space="preserve"> </w:t>
            </w:r>
            <w:r w:rsidR="002C234E">
              <w:rPr>
                <w:sz w:val="22"/>
              </w:rPr>
              <w:t xml:space="preserve">a fundamental hygiene and safety issue </w:t>
            </w:r>
            <w:r w:rsidR="007A4160">
              <w:rPr>
                <w:sz w:val="22"/>
              </w:rPr>
              <w:t>raised by</w:t>
            </w:r>
            <w:r w:rsidR="00097449" w:rsidRPr="001B449B">
              <w:rPr>
                <w:sz w:val="22"/>
              </w:rPr>
              <w:t xml:space="preserve"> </w:t>
            </w:r>
            <w:r w:rsidR="007A4160">
              <w:rPr>
                <w:sz w:val="22"/>
              </w:rPr>
              <w:t xml:space="preserve">female </w:t>
            </w:r>
            <w:r w:rsidR="00097449" w:rsidRPr="001B449B">
              <w:rPr>
                <w:sz w:val="22"/>
              </w:rPr>
              <w:t>street vendors</w:t>
            </w:r>
            <w:r w:rsidR="002C234E">
              <w:rPr>
                <w:sz w:val="22"/>
              </w:rPr>
              <w:t xml:space="preserve"> during project consultations.</w:t>
            </w:r>
            <w:r w:rsidR="007A4160">
              <w:rPr>
                <w:rStyle w:val="FootnoteReference"/>
                <w:sz w:val="22"/>
              </w:rPr>
              <w:footnoteReference w:id="119"/>
            </w:r>
          </w:p>
          <w:p w14:paraId="1F2CDFEF" w14:textId="52891795" w:rsidR="00097449" w:rsidRPr="00A02664" w:rsidRDefault="007A4160" w:rsidP="007A4160">
            <w:pPr>
              <w:pStyle w:val="ListParagraph"/>
              <w:numPr>
                <w:ilvl w:val="0"/>
                <w:numId w:val="48"/>
              </w:numPr>
              <w:rPr>
                <w:sz w:val="22"/>
              </w:rPr>
            </w:pPr>
            <w:r w:rsidRPr="001B449B">
              <w:rPr>
                <w:sz w:val="22"/>
              </w:rPr>
              <w:t>Previously unlikely alliances are being formed such as the Archaeological society of India working together with street vendors</w:t>
            </w:r>
            <w:r>
              <w:rPr>
                <w:rStyle w:val="FootnoteReference"/>
                <w:sz w:val="22"/>
              </w:rPr>
              <w:footnoteReference w:id="120"/>
            </w:r>
          </w:p>
          <w:p w14:paraId="179789C6" w14:textId="4BB2EFE0" w:rsidR="00097449" w:rsidRPr="00A02664" w:rsidRDefault="00097449" w:rsidP="007A4160">
            <w:pPr>
              <w:pStyle w:val="ListParagraph"/>
              <w:numPr>
                <w:ilvl w:val="0"/>
                <w:numId w:val="48"/>
              </w:numPr>
              <w:rPr>
                <w:sz w:val="22"/>
              </w:rPr>
            </w:pPr>
            <w:r w:rsidRPr="001B449B">
              <w:rPr>
                <w:sz w:val="22"/>
              </w:rPr>
              <w:lastRenderedPageBreak/>
              <w:t>The Tourism Minister requested all the data collected to help inform tourism policies and investment strategy.</w:t>
            </w:r>
          </w:p>
          <w:p w14:paraId="2E37A025" w14:textId="40ABDA7E" w:rsidR="00CC5757" w:rsidRPr="001B449B" w:rsidRDefault="00CC5757" w:rsidP="00CC5757">
            <w:pPr>
              <w:rPr>
                <w:sz w:val="22"/>
              </w:rPr>
            </w:pPr>
            <w:r w:rsidRPr="001B449B">
              <w:rPr>
                <w:sz w:val="22"/>
              </w:rPr>
              <w:t>To highlight the broader opportunity th</w:t>
            </w:r>
            <w:r>
              <w:rPr>
                <w:sz w:val="22"/>
              </w:rPr>
              <w:t>is</w:t>
            </w:r>
            <w:r w:rsidRPr="001B449B">
              <w:rPr>
                <w:sz w:val="22"/>
              </w:rPr>
              <w:t xml:space="preserve"> holistic approach </w:t>
            </w:r>
            <w:r>
              <w:rPr>
                <w:sz w:val="22"/>
              </w:rPr>
              <w:t>presents</w:t>
            </w:r>
            <w:r w:rsidRPr="001B449B">
              <w:rPr>
                <w:sz w:val="22"/>
              </w:rPr>
              <w:t>, the WB is supporting multiple tourism</w:t>
            </w:r>
            <w:r>
              <w:rPr>
                <w:sz w:val="22"/>
              </w:rPr>
              <w:t>-</w:t>
            </w:r>
            <w:r w:rsidRPr="001B449B">
              <w:rPr>
                <w:sz w:val="22"/>
              </w:rPr>
              <w:t>related loans</w:t>
            </w:r>
            <w:r>
              <w:rPr>
                <w:sz w:val="22"/>
              </w:rPr>
              <w:t>. It</w:t>
            </w:r>
            <w:r w:rsidRPr="001B449B">
              <w:rPr>
                <w:sz w:val="22"/>
              </w:rPr>
              <w:t xml:space="preserve"> includ</w:t>
            </w:r>
            <w:r>
              <w:rPr>
                <w:sz w:val="22"/>
              </w:rPr>
              <w:t>es</w:t>
            </w:r>
            <w:r w:rsidRPr="001B449B">
              <w:rPr>
                <w:sz w:val="22"/>
              </w:rPr>
              <w:t xml:space="preserve"> USD57 million to Uttar Pradesh for its Pro-Poor Tourism Development Project</w:t>
            </w:r>
            <w:r>
              <w:rPr>
                <w:sz w:val="22"/>
              </w:rPr>
              <w:t>,</w:t>
            </w:r>
            <w:r w:rsidRPr="001B449B">
              <w:rPr>
                <w:sz w:val="22"/>
              </w:rPr>
              <w:t xml:space="preserve"> </w:t>
            </w:r>
            <w:r>
              <w:rPr>
                <w:sz w:val="22"/>
              </w:rPr>
              <w:t xml:space="preserve">the </w:t>
            </w:r>
            <w:r w:rsidRPr="001B449B">
              <w:rPr>
                <w:sz w:val="22"/>
              </w:rPr>
              <w:t>first WB-financed loan on tourism in India, and the State Government of Madhya Pradesh USD120 million for Inclusive Tourism Development Project under preparation.</w:t>
            </w:r>
            <w:r w:rsidRPr="001B449B">
              <w:rPr>
                <w:rStyle w:val="FootnoteReference"/>
                <w:sz w:val="22"/>
              </w:rPr>
              <w:footnoteReference w:id="121"/>
            </w:r>
            <w:r w:rsidRPr="001B449B">
              <w:rPr>
                <w:sz w:val="22"/>
              </w:rPr>
              <w:t xml:space="preserve"> </w:t>
            </w:r>
          </w:p>
          <w:p w14:paraId="2B8D4261" w14:textId="3CF9E688" w:rsidR="00CC5757" w:rsidRPr="00A02664" w:rsidRDefault="00CC5757" w:rsidP="00A02664">
            <w:pPr>
              <w:rPr>
                <w:sz w:val="22"/>
              </w:rPr>
            </w:pPr>
          </w:p>
        </w:tc>
      </w:tr>
    </w:tbl>
    <w:p w14:paraId="3B245ECC" w14:textId="77777777" w:rsidR="00BA2712" w:rsidRPr="00206CE2" w:rsidRDefault="00097449" w:rsidP="005B19D5">
      <w:pPr>
        <w:pStyle w:val="KeyFinding"/>
      </w:pPr>
      <w:r w:rsidRPr="00624BFC">
        <w:lastRenderedPageBreak/>
        <w:t>There is good evidence that the World Bank is investing in internal policies and processes concerning gender equality.</w:t>
      </w:r>
    </w:p>
    <w:p w14:paraId="7D5582BC" w14:textId="1C62E205" w:rsidR="00BA2712" w:rsidRPr="001B449B" w:rsidRDefault="00BA2712" w:rsidP="005B19D5">
      <w:pPr>
        <w:rPr>
          <w:sz w:val="22"/>
        </w:rPr>
      </w:pPr>
      <w:r w:rsidRPr="001B449B">
        <w:rPr>
          <w:sz w:val="22"/>
        </w:rPr>
        <w:t>The Bank’s gender strategy suggests that every project taken to the Board is expected to have a gender dimension, but it is not a requirement.</w:t>
      </w:r>
      <w:r w:rsidR="00296968" w:rsidRPr="001B449B">
        <w:rPr>
          <w:rStyle w:val="FootnoteReference"/>
          <w:sz w:val="22"/>
        </w:rPr>
        <w:footnoteReference w:id="122"/>
      </w:r>
      <w:r w:rsidRPr="001B449B">
        <w:rPr>
          <w:sz w:val="22"/>
        </w:rPr>
        <w:t xml:space="preserve"> Also, every Global Practice has a </w:t>
      </w:r>
      <w:r w:rsidRPr="001B449B">
        <w:rPr>
          <w:b/>
          <w:sz w:val="22"/>
        </w:rPr>
        <w:t xml:space="preserve">gender practice note. </w:t>
      </w:r>
      <w:r w:rsidRPr="001B449B">
        <w:rPr>
          <w:sz w:val="22"/>
        </w:rPr>
        <w:t xml:space="preserve">The inclusion of gender in this way may satisfy the objectives of ‘mainstreaming’, in the sense that gender considerations are regarded as conventional and normative, but it does not reach the requirement in SARTFP for </w:t>
      </w:r>
      <w:r w:rsidRPr="001B449B">
        <w:rPr>
          <w:b/>
          <w:sz w:val="22"/>
        </w:rPr>
        <w:t>gender equality to be</w:t>
      </w:r>
      <w:r w:rsidRPr="001B449B">
        <w:rPr>
          <w:sz w:val="22"/>
        </w:rPr>
        <w:t xml:space="preserve"> </w:t>
      </w:r>
      <w:r w:rsidRPr="001B449B">
        <w:rPr>
          <w:b/>
          <w:sz w:val="22"/>
        </w:rPr>
        <w:t>integrated</w:t>
      </w:r>
      <w:r w:rsidRPr="001B449B">
        <w:rPr>
          <w:sz w:val="22"/>
        </w:rPr>
        <w:t xml:space="preserve"> into all projects. </w:t>
      </w:r>
      <w:r w:rsidR="00296968" w:rsidRPr="001B449B">
        <w:rPr>
          <w:sz w:val="22"/>
        </w:rPr>
        <w:t>This evaluation found that s</w:t>
      </w:r>
      <w:r w:rsidRPr="001B449B">
        <w:rPr>
          <w:sz w:val="22"/>
        </w:rPr>
        <w:t>ome World Bank teams have struggled to meet the SARTFP gender requirement and needed to re-orientate their projects to get SARTFP funding.</w:t>
      </w:r>
      <w:r w:rsidR="00266DC4" w:rsidRPr="001B449B">
        <w:rPr>
          <w:rStyle w:val="FootnoteReference"/>
          <w:color w:val="000000"/>
          <w:sz w:val="22"/>
        </w:rPr>
        <w:footnoteReference w:id="123"/>
      </w:r>
      <w:r w:rsidRPr="001B449B">
        <w:rPr>
          <w:sz w:val="22"/>
        </w:rPr>
        <w:t xml:space="preserve"> For some, this an insurmountable barrier </w:t>
      </w:r>
      <w:r w:rsidR="00DC1D78">
        <w:rPr>
          <w:sz w:val="22"/>
        </w:rPr>
        <w:t>and</w:t>
      </w:r>
      <w:r w:rsidRPr="001B449B">
        <w:rPr>
          <w:sz w:val="22"/>
        </w:rPr>
        <w:t xml:space="preserve"> sought funding elsewhere, proving that ‘mainstreaming’ is yet to lead to wholly new thinking. Nonetheless, there is good evidence the World Bank is investing in internal policies and processes concerning gender equality, for example developing regional gender action plans. Also, the Bank has new safeguards, which from 1 July 2018</w:t>
      </w:r>
      <w:r w:rsidR="00DC1D78">
        <w:rPr>
          <w:sz w:val="22"/>
        </w:rPr>
        <w:t>,</w:t>
      </w:r>
      <w:r w:rsidRPr="001B449B">
        <w:rPr>
          <w:sz w:val="22"/>
        </w:rPr>
        <w:t xml:space="preserve"> will aim to </w:t>
      </w:r>
      <w:r w:rsidR="00DC1D78">
        <w:rPr>
          <w:sz w:val="22"/>
        </w:rPr>
        <w:t>be</w:t>
      </w:r>
      <w:r w:rsidRPr="001B449B">
        <w:rPr>
          <w:sz w:val="22"/>
        </w:rPr>
        <w:t xml:space="preserve"> embedded in documents for governments and contractors. Although these changes cannot be attributed to SARTFP, it shows that the program is stretching the World Bank in an area they recognise needs more attention. </w:t>
      </w:r>
    </w:p>
    <w:p w14:paraId="54856334" w14:textId="77777777" w:rsidR="00BA2712" w:rsidRPr="001B449B" w:rsidRDefault="00BA2712">
      <w:pPr>
        <w:rPr>
          <w:color w:val="00B050"/>
          <w:sz w:val="22"/>
        </w:rPr>
      </w:pPr>
      <w:r w:rsidRPr="001B449B">
        <w:rPr>
          <w:sz w:val="22"/>
        </w:rPr>
        <w:t xml:space="preserve">There is evidence that SARTFP helped the WB convince TTLs to raise </w:t>
      </w:r>
      <w:r w:rsidR="00420A67" w:rsidRPr="001B449B">
        <w:rPr>
          <w:sz w:val="22"/>
        </w:rPr>
        <w:t xml:space="preserve">gender </w:t>
      </w:r>
      <w:r w:rsidRPr="001B449B">
        <w:rPr>
          <w:sz w:val="22"/>
        </w:rPr>
        <w:t>awareness and enabled the Bank to increase in-house resources to help every task manager</w:t>
      </w:r>
      <w:r w:rsidR="00296968" w:rsidRPr="001B449B">
        <w:rPr>
          <w:sz w:val="22"/>
        </w:rPr>
        <w:t xml:space="preserve"> </w:t>
      </w:r>
      <w:r w:rsidRPr="001B449B">
        <w:rPr>
          <w:sz w:val="22"/>
        </w:rPr>
        <w:t xml:space="preserve">address gender issues. For instance, there </w:t>
      </w:r>
      <w:r w:rsidR="00420A67">
        <w:rPr>
          <w:sz w:val="22"/>
        </w:rPr>
        <w:t>was</w:t>
      </w:r>
      <w:r w:rsidRPr="001B449B">
        <w:rPr>
          <w:sz w:val="22"/>
        </w:rPr>
        <w:t xml:space="preserve"> a change in internal policy concerning budget allocation for accessing technical assistance from the Bank’s Gender and Social Development team. Previously, such technical work would be charged to individual projects, which served as a disincentive for Task Team Leaders who may have regarded gender as a peripheral issue. This policy change, in conjunction with SARTFP, has enabled gender technical inputs to be provided from the earliest stages of project design.  </w:t>
      </w:r>
    </w:p>
    <w:p w14:paraId="1C3B93F1" w14:textId="77777777" w:rsidR="00BA2712" w:rsidRPr="001B449B" w:rsidRDefault="00BA2712">
      <w:pPr>
        <w:rPr>
          <w:sz w:val="22"/>
        </w:rPr>
      </w:pPr>
      <w:r w:rsidRPr="001B449B">
        <w:rPr>
          <w:sz w:val="22"/>
        </w:rPr>
        <w:t>The examples given by the Bank of greater demand</w:t>
      </w:r>
      <w:r w:rsidR="00266DC4" w:rsidRPr="001B449B">
        <w:rPr>
          <w:sz w:val="22"/>
        </w:rPr>
        <w:t xml:space="preserve"> f</w:t>
      </w:r>
      <w:r w:rsidRPr="001B449B">
        <w:rPr>
          <w:sz w:val="22"/>
        </w:rPr>
        <w:t xml:space="preserve">or technical support on gender are encouraging, but it may be difficult to measure this change in demand over time without any baseline. Furthermore, it will be important to separate the demand arising from within the Bank, and that driven by the partner governments. </w:t>
      </w:r>
      <w:r w:rsidR="00266DC4" w:rsidRPr="001B449B">
        <w:rPr>
          <w:sz w:val="22"/>
        </w:rPr>
        <w:t>I</w:t>
      </w:r>
      <w:r w:rsidRPr="001B449B">
        <w:rPr>
          <w:sz w:val="22"/>
        </w:rPr>
        <w:t xml:space="preserve">t would be helpful for program learning if SARTFP </w:t>
      </w:r>
      <w:r w:rsidR="00420A67" w:rsidRPr="001B449B">
        <w:rPr>
          <w:sz w:val="22"/>
        </w:rPr>
        <w:t>c</w:t>
      </w:r>
      <w:r w:rsidR="00420A67">
        <w:rPr>
          <w:sz w:val="22"/>
        </w:rPr>
        <w:t>ould</w:t>
      </w:r>
      <w:r w:rsidR="00420A67" w:rsidRPr="001B449B">
        <w:rPr>
          <w:sz w:val="22"/>
        </w:rPr>
        <w:t xml:space="preserve"> identify</w:t>
      </w:r>
      <w:r w:rsidRPr="001B449B">
        <w:rPr>
          <w:sz w:val="22"/>
        </w:rPr>
        <w:t xml:space="preserve"> factors that increase demand for technical assistance, whilst allowing for the changes in background context (such as changes in personnel, government officials etc.) that could be confounding factors. </w:t>
      </w:r>
      <w:r w:rsidR="00D127BF" w:rsidRPr="001B449B">
        <w:rPr>
          <w:sz w:val="22"/>
        </w:rPr>
        <w:t xml:space="preserve">It was beyond </w:t>
      </w:r>
      <w:r w:rsidR="00266DC4" w:rsidRPr="001B449B">
        <w:rPr>
          <w:sz w:val="22"/>
        </w:rPr>
        <w:t xml:space="preserve">this evaluation </w:t>
      </w:r>
      <w:r w:rsidR="00D127BF" w:rsidRPr="001B449B">
        <w:rPr>
          <w:sz w:val="22"/>
        </w:rPr>
        <w:t xml:space="preserve">to explore </w:t>
      </w:r>
      <w:r w:rsidR="00296968" w:rsidRPr="001B449B">
        <w:rPr>
          <w:sz w:val="22"/>
        </w:rPr>
        <w:t>which factors enable or constrain demand for this assistance</w:t>
      </w:r>
      <w:r w:rsidR="00D127BF" w:rsidRPr="001B449B">
        <w:rPr>
          <w:sz w:val="22"/>
        </w:rPr>
        <w:t xml:space="preserve">. </w:t>
      </w:r>
      <w:r w:rsidR="00266DC4" w:rsidRPr="001B449B">
        <w:rPr>
          <w:sz w:val="22"/>
        </w:rPr>
        <w:t>However, u</w:t>
      </w:r>
      <w:r w:rsidRPr="001B449B">
        <w:rPr>
          <w:sz w:val="22"/>
        </w:rPr>
        <w:t>ntil more is known about the processes and conditions that enable gender issues to be integrated into both World Bank and partner government policy and practice, it will be difficult to judge the effectiveness of the design and performance of SARTFP and how it is geared towards transformational change in institutions, governance and leadership.</w:t>
      </w:r>
    </w:p>
    <w:p w14:paraId="17E01C5B" w14:textId="4F8CDFD1" w:rsidR="00A02664" w:rsidRDefault="00DA5CE0">
      <w:pPr>
        <w:rPr>
          <w:sz w:val="22"/>
        </w:rPr>
      </w:pPr>
      <w:r w:rsidRPr="001B449B">
        <w:rPr>
          <w:sz w:val="22"/>
        </w:rPr>
        <w:t xml:space="preserve">The changes in the WB may not be wholly attributable to SARTFP, however, they provide a platform for SARTFP to push for more profound changes </w:t>
      </w:r>
      <w:r w:rsidR="00420A67">
        <w:rPr>
          <w:sz w:val="22"/>
        </w:rPr>
        <w:t xml:space="preserve">in the </w:t>
      </w:r>
      <w:r w:rsidR="00420A67" w:rsidRPr="001B449B">
        <w:rPr>
          <w:sz w:val="22"/>
        </w:rPr>
        <w:t xml:space="preserve">WB and partner governments </w:t>
      </w:r>
      <w:r w:rsidRPr="001B449B">
        <w:rPr>
          <w:sz w:val="22"/>
        </w:rPr>
        <w:t xml:space="preserve">to take place. </w:t>
      </w:r>
    </w:p>
    <w:p w14:paraId="6A73392D" w14:textId="77777777" w:rsidR="00A02664" w:rsidRDefault="00A02664">
      <w:pPr>
        <w:spacing w:before="0" w:after="0"/>
        <w:rPr>
          <w:sz w:val="22"/>
        </w:rPr>
      </w:pPr>
      <w:r>
        <w:rPr>
          <w:sz w:val="22"/>
        </w:rPr>
        <w:br w:type="page"/>
      </w:r>
    </w:p>
    <w:p w14:paraId="2309F1C5" w14:textId="77777777" w:rsidR="00A02664" w:rsidRPr="001B449B" w:rsidRDefault="00A02664">
      <w:pPr>
        <w:rPr>
          <w:sz w:val="22"/>
        </w:rPr>
      </w:pPr>
    </w:p>
    <w:p w14:paraId="0D84DD13" w14:textId="77777777" w:rsidR="001D308F" w:rsidRPr="001D308F" w:rsidRDefault="001D308F" w:rsidP="005B19D5">
      <w:pPr>
        <w:pStyle w:val="recommendation"/>
      </w:pPr>
      <w:r w:rsidRPr="001D308F">
        <w:t>Recommendation</w:t>
      </w:r>
    </w:p>
    <w:p w14:paraId="3D21C92A" w14:textId="0B9492F3" w:rsidR="00DA5CE0" w:rsidRPr="00793289" w:rsidRDefault="00954645" w:rsidP="004C3817">
      <w:pPr>
        <w:pStyle w:val="recommendation"/>
        <w:ind w:left="360"/>
      </w:pPr>
      <w:bookmarkStart w:id="37" w:name="_Hlk514053502"/>
      <w:r>
        <w:t xml:space="preserve">12. </w:t>
      </w:r>
      <w:r w:rsidR="00420A67">
        <w:t>I</w:t>
      </w:r>
      <w:r w:rsidR="00DA5CE0" w:rsidRPr="004670D3">
        <w:t>dentify factors that increase demand for gender-related technical assistance, both internal</w:t>
      </w:r>
      <w:r w:rsidR="00420A67">
        <w:t>ly</w:t>
      </w:r>
      <w:r w:rsidR="00DA5CE0" w:rsidRPr="004670D3">
        <w:t xml:space="preserve"> and from client countries</w:t>
      </w:r>
      <w:bookmarkEnd w:id="37"/>
      <w:r w:rsidR="00713181">
        <w:t>.</w:t>
      </w:r>
    </w:p>
    <w:p w14:paraId="542F30FD" w14:textId="77777777" w:rsidR="00BA2712" w:rsidRPr="00206CE2" w:rsidRDefault="00420A67" w:rsidP="00296968">
      <w:pPr>
        <w:pStyle w:val="KeyFinding"/>
      </w:pPr>
      <w:r>
        <w:t>It is h</w:t>
      </w:r>
      <w:r w:rsidRPr="00624BFC">
        <w:t xml:space="preserve">ard to publicly attribute SARTFP </w:t>
      </w:r>
      <w:r>
        <w:t>to p</w:t>
      </w:r>
      <w:r w:rsidR="00097449" w:rsidRPr="00624BFC">
        <w:t>olicy reform that leads to gender equality being integrated into regional infrastructure projects.</w:t>
      </w:r>
    </w:p>
    <w:p w14:paraId="317746DB" w14:textId="77777777" w:rsidR="00BA2712" w:rsidRPr="001B449B" w:rsidRDefault="00BA2712" w:rsidP="00296968">
      <w:pPr>
        <w:rPr>
          <w:sz w:val="22"/>
        </w:rPr>
      </w:pPr>
      <w:r w:rsidRPr="001B449B">
        <w:rPr>
          <w:sz w:val="22"/>
        </w:rPr>
        <w:t>There is good rationale for DFAT partnering with the World Bank on gender in cross-border connectivity issues, as the Bank is a trusted partner in the region providing a range of expertise required to progress the trade facilitation agenda of SARTFP.</w:t>
      </w:r>
      <w:r w:rsidR="00E635F2">
        <w:rPr>
          <w:sz w:val="22"/>
        </w:rPr>
        <w:t xml:space="preserve"> </w:t>
      </w:r>
      <w:r w:rsidRPr="001B449B">
        <w:rPr>
          <w:sz w:val="22"/>
        </w:rPr>
        <w:t>However, there is also political sensitivity in the South Asia region</w:t>
      </w:r>
      <w:r w:rsidR="00E635F2">
        <w:rPr>
          <w:sz w:val="22"/>
        </w:rPr>
        <w:t xml:space="preserve"> to “foreign interference”</w:t>
      </w:r>
      <w:r w:rsidRPr="001B449B">
        <w:rPr>
          <w:sz w:val="22"/>
        </w:rPr>
        <w:t xml:space="preserve">, leading to reluctance by officials to </w:t>
      </w:r>
      <w:r w:rsidR="00E635F2">
        <w:rPr>
          <w:sz w:val="22"/>
        </w:rPr>
        <w:t>request assistance</w:t>
      </w:r>
      <w:r w:rsidR="00E635F2" w:rsidRPr="001B449B">
        <w:rPr>
          <w:sz w:val="22"/>
        </w:rPr>
        <w:t xml:space="preserve"> </w:t>
      </w:r>
      <w:r w:rsidRPr="001B449B">
        <w:rPr>
          <w:sz w:val="22"/>
        </w:rPr>
        <w:t xml:space="preserve">outside technical assistance </w:t>
      </w:r>
      <w:r w:rsidR="00E635F2">
        <w:rPr>
          <w:sz w:val="22"/>
        </w:rPr>
        <w:t>for</w:t>
      </w:r>
      <w:r w:rsidRPr="001B449B">
        <w:rPr>
          <w:sz w:val="22"/>
        </w:rPr>
        <w:t xml:space="preserve"> policy reform. The WB can navigate this context, make representations, and understands when to keep a low political profile whilst still influencing positive change. The Bank’s biggest influence can be when it remains invisible, which in reporting terms makes it hard to claim attribution for reform, or to </w:t>
      </w:r>
      <w:r w:rsidR="00E635F2" w:rsidRPr="001B449B">
        <w:rPr>
          <w:sz w:val="22"/>
        </w:rPr>
        <w:t>open</w:t>
      </w:r>
      <w:r w:rsidRPr="001B449B">
        <w:rPr>
          <w:sz w:val="22"/>
        </w:rPr>
        <w:t xml:space="preserve"> opportunities for public diplomacy.</w:t>
      </w:r>
    </w:p>
    <w:p w14:paraId="620468BE" w14:textId="475AFF55" w:rsidR="00BA2712" w:rsidRPr="001B449B" w:rsidRDefault="00BA2712" w:rsidP="00296968">
      <w:pPr>
        <w:rPr>
          <w:sz w:val="22"/>
        </w:rPr>
      </w:pPr>
      <w:r w:rsidRPr="001B449B">
        <w:rPr>
          <w:sz w:val="22"/>
        </w:rPr>
        <w:t>It is important that World Bank activities find ways to integrate gender equality into projects and wider lending activities.</w:t>
      </w:r>
      <w:r w:rsidR="00A2765E">
        <w:rPr>
          <w:sz w:val="22"/>
        </w:rPr>
        <w:t xml:space="preserve"> </w:t>
      </w:r>
      <w:r w:rsidRPr="001B449B">
        <w:rPr>
          <w:sz w:val="22"/>
        </w:rPr>
        <w:t>Integration of gender equality is a DFAT objective and essential to the success of SARTFP.</w:t>
      </w:r>
      <w:r w:rsidR="00296968" w:rsidRPr="001B449B">
        <w:rPr>
          <w:sz w:val="22"/>
        </w:rPr>
        <w:t xml:space="preserve"> </w:t>
      </w:r>
      <w:r w:rsidRPr="001B449B">
        <w:rPr>
          <w:sz w:val="22"/>
        </w:rPr>
        <w:t xml:space="preserve">Yet in some respects it is not clear how SARTFP will overcome </w:t>
      </w:r>
      <w:r w:rsidR="00296968" w:rsidRPr="001B449B">
        <w:rPr>
          <w:sz w:val="22"/>
        </w:rPr>
        <w:t>institutional and cultural</w:t>
      </w:r>
      <w:r w:rsidRPr="001B449B">
        <w:rPr>
          <w:sz w:val="22"/>
        </w:rPr>
        <w:t xml:space="preserve"> barriers to gender equality. Even where SARTFP achieves this aim successfully, it is not yet clear how the lessons learned will be shared so that such success can be replicated</w:t>
      </w:r>
      <w:r w:rsidR="00296968" w:rsidRPr="001B449B">
        <w:rPr>
          <w:sz w:val="22"/>
        </w:rPr>
        <w:t xml:space="preserve"> elsewhere</w:t>
      </w:r>
      <w:r w:rsidRPr="001B449B">
        <w:rPr>
          <w:sz w:val="22"/>
        </w:rPr>
        <w:t>.</w:t>
      </w:r>
    </w:p>
    <w:p w14:paraId="5E33220E" w14:textId="77777777" w:rsidR="00BA2712" w:rsidRPr="00624BFC" w:rsidRDefault="00097449" w:rsidP="00296968">
      <w:pPr>
        <w:pStyle w:val="KeyFinding"/>
      </w:pPr>
      <w:r w:rsidRPr="00624BFC">
        <w:t>SARTFP has the potential to demonstrate the benefits of integrating gender equality more fully into WB projects, whilst also illustrating how this can be best achieved.</w:t>
      </w:r>
    </w:p>
    <w:p w14:paraId="6AAE558A" w14:textId="60A3A54B" w:rsidR="00BA2712" w:rsidRPr="001B449B" w:rsidRDefault="00BA2712" w:rsidP="00296968">
      <w:pPr>
        <w:rPr>
          <w:sz w:val="22"/>
        </w:rPr>
      </w:pPr>
      <w:r w:rsidRPr="001B449B">
        <w:rPr>
          <w:sz w:val="22"/>
        </w:rPr>
        <w:t>With DFAT and the TAF working closely with the World Bank, SARTFP’s theory of change and results framework aligns with the DFAT gender equality and women’s empowerment strategy.</w:t>
      </w:r>
      <w:r w:rsidRPr="001B449B">
        <w:rPr>
          <w:sz w:val="22"/>
          <w:vertAlign w:val="superscript"/>
        </w:rPr>
        <w:footnoteReference w:id="124"/>
      </w:r>
      <w:r w:rsidRPr="001B449B">
        <w:rPr>
          <w:sz w:val="22"/>
        </w:rPr>
        <w:t xml:space="preserve"> However, the Bank’s gender strategy 2016-23 differs from the DFAT strategy (see Annex 10)</w:t>
      </w:r>
      <w:r w:rsidR="003249A0">
        <w:rPr>
          <w:sz w:val="22"/>
        </w:rPr>
        <w:t xml:space="preserve">, in </w:t>
      </w:r>
      <w:r w:rsidRPr="001B449B">
        <w:rPr>
          <w:sz w:val="22"/>
        </w:rPr>
        <w:t>that the Bank talks in terms of mainstreaming gender issues into programming, whereas DFAT prefers</w:t>
      </w:r>
      <w:r w:rsidR="001D308F" w:rsidRPr="001B449B">
        <w:rPr>
          <w:sz w:val="22"/>
        </w:rPr>
        <w:t xml:space="preserve"> </w:t>
      </w:r>
      <w:r w:rsidRPr="001B449B">
        <w:rPr>
          <w:sz w:val="22"/>
        </w:rPr>
        <w:t xml:space="preserve">integration of gender equality.  </w:t>
      </w:r>
    </w:p>
    <w:p w14:paraId="3D1482E6" w14:textId="77777777" w:rsidR="00BA2712" w:rsidRPr="001B449B" w:rsidRDefault="00BA2712" w:rsidP="00296968">
      <w:pPr>
        <w:rPr>
          <w:sz w:val="22"/>
        </w:rPr>
      </w:pPr>
      <w:r w:rsidRPr="001B449B">
        <w:rPr>
          <w:sz w:val="22"/>
        </w:rPr>
        <w:t xml:space="preserve">The importance of this difference is that </w:t>
      </w:r>
      <w:r w:rsidRPr="001B449B">
        <w:rPr>
          <w:b/>
          <w:sz w:val="22"/>
        </w:rPr>
        <w:t>mainstreaming</w:t>
      </w:r>
      <w:r w:rsidRPr="001B449B">
        <w:rPr>
          <w:sz w:val="22"/>
        </w:rPr>
        <w:t xml:space="preserve"> can be confined to how gender issues are discussed and reported, whereas </w:t>
      </w:r>
      <w:r w:rsidRPr="001B449B">
        <w:rPr>
          <w:b/>
          <w:sz w:val="22"/>
        </w:rPr>
        <w:t>integration</w:t>
      </w:r>
      <w:r w:rsidRPr="001B449B">
        <w:rPr>
          <w:sz w:val="22"/>
        </w:rPr>
        <w:t xml:space="preserve"> calls for a more profound and pervasive change in organisational culture and approach. Integrating gender equality across institutions requires a program that facilitates continuous reflection and adaptation. This includes the ability to encompass evolving donor priorities, global best practices and relevant strategies that may emerge before or after program implementation has begun. The differences in gender strategies between WB and DFAT may </w:t>
      </w:r>
      <w:r w:rsidR="00E635F2">
        <w:rPr>
          <w:sz w:val="22"/>
        </w:rPr>
        <w:t xml:space="preserve">appear </w:t>
      </w:r>
      <w:r w:rsidRPr="001B449B">
        <w:rPr>
          <w:sz w:val="22"/>
        </w:rPr>
        <w:t>semantic</w:t>
      </w:r>
      <w:r w:rsidR="00E635F2">
        <w:rPr>
          <w:sz w:val="22"/>
        </w:rPr>
        <w:t>; however,</w:t>
      </w:r>
      <w:r w:rsidRPr="001B449B">
        <w:rPr>
          <w:sz w:val="22"/>
        </w:rPr>
        <w:t xml:space="preserve"> they reveal a fundamental difference in approach that will need to be bridged by SARTFP. Either way, the program strategy should indicate an appreciation of these differences, and how they can be reconciled.</w:t>
      </w:r>
    </w:p>
    <w:p w14:paraId="56EE7D62" w14:textId="77777777" w:rsidR="00BA2712" w:rsidRDefault="00A054F0" w:rsidP="00296968">
      <w:pPr>
        <w:rPr>
          <w:sz w:val="22"/>
        </w:rPr>
      </w:pPr>
      <w:r w:rsidRPr="001B449B">
        <w:rPr>
          <w:sz w:val="22"/>
        </w:rPr>
        <w:t>The World</w:t>
      </w:r>
      <w:r w:rsidR="00BA2712" w:rsidRPr="001B449B">
        <w:rPr>
          <w:sz w:val="22"/>
        </w:rPr>
        <w:t xml:space="preserve"> Bank</w:t>
      </w:r>
      <w:r w:rsidRPr="001B449B">
        <w:rPr>
          <w:sz w:val="22"/>
        </w:rPr>
        <w:t>’s gender strategy acknowledges that ‘mainstreaming’</w:t>
      </w:r>
      <w:r w:rsidR="00383915">
        <w:rPr>
          <w:sz w:val="22"/>
        </w:rPr>
        <w:t xml:space="preserve"> by</w:t>
      </w:r>
      <w:r w:rsidRPr="001B449B">
        <w:rPr>
          <w:sz w:val="22"/>
        </w:rPr>
        <w:t xml:space="preserve"> including gender as </w:t>
      </w:r>
      <w:r w:rsidR="00BA2712" w:rsidRPr="001B449B">
        <w:rPr>
          <w:sz w:val="22"/>
        </w:rPr>
        <w:t>a cross-cutting theme</w:t>
      </w:r>
      <w:r w:rsidRPr="001B449B">
        <w:rPr>
          <w:sz w:val="22"/>
        </w:rPr>
        <w:t>,</w:t>
      </w:r>
      <w:r w:rsidR="00B17CA6" w:rsidRPr="001B449B">
        <w:rPr>
          <w:sz w:val="22"/>
        </w:rPr>
        <w:t xml:space="preserve"> ‘has not succeeded in embedding a gender equality orientation in the institutional DNA of most development agencies, and gender equality results have been fragmented and too rarely scaled up’.</w:t>
      </w:r>
      <w:r w:rsidR="00B17CA6" w:rsidRPr="001B449B">
        <w:rPr>
          <w:rStyle w:val="FootnoteReference"/>
          <w:sz w:val="22"/>
        </w:rPr>
        <w:footnoteReference w:id="125"/>
      </w:r>
      <w:r w:rsidR="00B17CA6" w:rsidRPr="001B449B">
        <w:rPr>
          <w:sz w:val="22"/>
        </w:rPr>
        <w:t xml:space="preserve"> In the past, gender as a cross-cutting theme has too often been introduced late in the project, for instance to</w:t>
      </w:r>
      <w:r w:rsidRPr="001B449B">
        <w:rPr>
          <w:sz w:val="22"/>
        </w:rPr>
        <w:t xml:space="preserve"> </w:t>
      </w:r>
      <w:r w:rsidR="00BA2712" w:rsidRPr="001B449B">
        <w:rPr>
          <w:sz w:val="22"/>
        </w:rPr>
        <w:t>mitigat</w:t>
      </w:r>
      <w:r w:rsidR="00B17CA6" w:rsidRPr="001B449B">
        <w:rPr>
          <w:sz w:val="22"/>
        </w:rPr>
        <w:t xml:space="preserve">e </w:t>
      </w:r>
      <w:r w:rsidR="00BA2712" w:rsidRPr="001B449B">
        <w:rPr>
          <w:sz w:val="22"/>
        </w:rPr>
        <w:t xml:space="preserve">negative side-effects, rather than </w:t>
      </w:r>
      <w:r w:rsidR="00B17CA6" w:rsidRPr="001B449B">
        <w:rPr>
          <w:sz w:val="22"/>
        </w:rPr>
        <w:t xml:space="preserve">early in the project through a </w:t>
      </w:r>
      <w:r w:rsidR="00BA2712" w:rsidRPr="001B449B">
        <w:rPr>
          <w:sz w:val="22"/>
        </w:rPr>
        <w:t>positive exploration of gender dimensions as a routine aspect of trade, infrastructure and other economic development</w:t>
      </w:r>
      <w:r w:rsidR="00A004B7" w:rsidRPr="001B449B">
        <w:rPr>
          <w:sz w:val="22"/>
        </w:rPr>
        <w:t>.</w:t>
      </w:r>
      <w:r w:rsidR="00B17CA6" w:rsidRPr="001B449B">
        <w:rPr>
          <w:rStyle w:val="FootnoteReference"/>
          <w:sz w:val="22"/>
        </w:rPr>
        <w:footnoteReference w:id="126"/>
      </w:r>
      <w:r w:rsidR="00BA2712" w:rsidRPr="001B449B">
        <w:rPr>
          <w:sz w:val="22"/>
        </w:rPr>
        <w:t xml:space="preserve"> </w:t>
      </w:r>
      <w:r w:rsidR="00A004B7" w:rsidRPr="001B449B">
        <w:rPr>
          <w:sz w:val="22"/>
        </w:rPr>
        <w:t>However, b</w:t>
      </w:r>
      <w:r w:rsidR="00B17CA6" w:rsidRPr="001B449B">
        <w:rPr>
          <w:sz w:val="22"/>
        </w:rPr>
        <w:t xml:space="preserve">ased on </w:t>
      </w:r>
      <w:r w:rsidR="00383915">
        <w:rPr>
          <w:sz w:val="22"/>
        </w:rPr>
        <w:t>consultations</w:t>
      </w:r>
      <w:r w:rsidR="00B17CA6" w:rsidRPr="001B449B">
        <w:rPr>
          <w:sz w:val="22"/>
        </w:rPr>
        <w:t xml:space="preserve"> for this evaluation, it is clear that s</w:t>
      </w:r>
      <w:r w:rsidR="00BA2712" w:rsidRPr="001B449B">
        <w:rPr>
          <w:sz w:val="22"/>
        </w:rPr>
        <w:t xml:space="preserve">ome Bank staff are thinking beyond </w:t>
      </w:r>
      <w:r w:rsidR="00B17CA6" w:rsidRPr="001B449B">
        <w:rPr>
          <w:sz w:val="22"/>
        </w:rPr>
        <w:t xml:space="preserve">mainstreaming </w:t>
      </w:r>
      <w:r w:rsidR="00BA2712" w:rsidRPr="001B449B">
        <w:rPr>
          <w:sz w:val="22"/>
        </w:rPr>
        <w:t xml:space="preserve">gender, and SARTFP has an opportunity to provide resources for TTLs that are more committed to deeper integration of </w:t>
      </w:r>
      <w:r w:rsidR="00BA2712" w:rsidRPr="001B449B">
        <w:rPr>
          <w:sz w:val="22"/>
        </w:rPr>
        <w:lastRenderedPageBreak/>
        <w:t xml:space="preserve">gender equality into programs. </w:t>
      </w:r>
      <w:r w:rsidR="00383915">
        <w:rPr>
          <w:sz w:val="22"/>
        </w:rPr>
        <w:t>T</w:t>
      </w:r>
      <w:r w:rsidR="00383915" w:rsidRPr="001B449B">
        <w:rPr>
          <w:sz w:val="22"/>
        </w:rPr>
        <w:t xml:space="preserve">he challenge for SARTFP </w:t>
      </w:r>
      <w:r w:rsidR="00383915">
        <w:rPr>
          <w:sz w:val="22"/>
        </w:rPr>
        <w:t xml:space="preserve">is to support </w:t>
      </w:r>
      <w:r w:rsidR="00383915" w:rsidRPr="001B449B">
        <w:rPr>
          <w:sz w:val="22"/>
        </w:rPr>
        <w:t xml:space="preserve">Bank staff and their counterparts </w:t>
      </w:r>
      <w:r w:rsidR="00383915">
        <w:rPr>
          <w:sz w:val="22"/>
        </w:rPr>
        <w:t xml:space="preserve">who </w:t>
      </w:r>
      <w:r w:rsidR="00383915" w:rsidRPr="001B449B">
        <w:rPr>
          <w:sz w:val="22"/>
        </w:rPr>
        <w:t xml:space="preserve">already </w:t>
      </w:r>
      <w:r w:rsidR="00383915">
        <w:rPr>
          <w:sz w:val="22"/>
        </w:rPr>
        <w:t>understand the importance of</w:t>
      </w:r>
      <w:r w:rsidR="00383915" w:rsidRPr="001B449B">
        <w:rPr>
          <w:sz w:val="22"/>
        </w:rPr>
        <w:t xml:space="preserve"> gender equality integration</w:t>
      </w:r>
      <w:r w:rsidR="00383915">
        <w:rPr>
          <w:sz w:val="22"/>
        </w:rPr>
        <w:t xml:space="preserve"> to translate their thinking and knowledge into program practice</w:t>
      </w:r>
      <w:r w:rsidR="00B17CA6" w:rsidRPr="001B449B">
        <w:rPr>
          <w:sz w:val="22"/>
        </w:rPr>
        <w:t>.</w:t>
      </w:r>
    </w:p>
    <w:p w14:paraId="164CEB8D" w14:textId="77777777" w:rsidR="00383915" w:rsidRPr="001B449B" w:rsidRDefault="00383915" w:rsidP="00296968">
      <w:pPr>
        <w:rPr>
          <w:sz w:val="22"/>
        </w:rPr>
      </w:pPr>
      <w:r w:rsidRPr="00383915">
        <w:rPr>
          <w:sz w:val="22"/>
        </w:rPr>
        <w:t xml:space="preserve">A flexible approach can enable the program to use projects as the prototypes to test different methods of integrating gender into WB projects. The aim is to see convergence between SARTFP and the </w:t>
      </w:r>
      <w:r>
        <w:rPr>
          <w:sz w:val="22"/>
        </w:rPr>
        <w:t>B</w:t>
      </w:r>
      <w:r w:rsidRPr="00383915">
        <w:rPr>
          <w:sz w:val="22"/>
        </w:rPr>
        <w:t>ank’s usual practice</w:t>
      </w:r>
      <w:r w:rsidR="00D369F5">
        <w:rPr>
          <w:sz w:val="22"/>
        </w:rPr>
        <w:t>, by</w:t>
      </w:r>
      <w:r w:rsidRPr="00383915">
        <w:rPr>
          <w:sz w:val="22"/>
        </w:rPr>
        <w:t xml:space="preserve"> SARTFP setting the standards on how the </w:t>
      </w:r>
      <w:r w:rsidR="00D369F5">
        <w:rPr>
          <w:sz w:val="22"/>
        </w:rPr>
        <w:t>B</w:t>
      </w:r>
      <w:r w:rsidRPr="00383915">
        <w:rPr>
          <w:sz w:val="22"/>
        </w:rPr>
        <w:t>ank policies and procedures can evolve. Discussing these matters openly at Secretariat and Donor Steering Committee level will be a good first step.</w:t>
      </w:r>
    </w:p>
    <w:p w14:paraId="1FF5369F" w14:textId="77777777" w:rsidR="00BA2712" w:rsidRPr="00606764" w:rsidRDefault="00BA2712" w:rsidP="00296968">
      <w:pPr>
        <w:pStyle w:val="recommendation"/>
      </w:pPr>
      <w:r w:rsidRPr="00606764">
        <w:t>Recommendation</w:t>
      </w:r>
      <w:r w:rsidR="00097449">
        <w:t>s</w:t>
      </w:r>
    </w:p>
    <w:p w14:paraId="1D3D46A8" w14:textId="44F780E5" w:rsidR="00D369F5" w:rsidRPr="005533D2" w:rsidRDefault="00954645" w:rsidP="004C3817">
      <w:pPr>
        <w:pStyle w:val="recommendation"/>
        <w:ind w:left="360"/>
      </w:pPr>
      <w:bookmarkStart w:id="38" w:name="_Hlk514053543"/>
      <w:r>
        <w:t xml:space="preserve">13. </w:t>
      </w:r>
      <w:r w:rsidR="00E23FBF">
        <w:t>C</w:t>
      </w:r>
      <w:r w:rsidR="00D369F5">
        <w:t>onsider</w:t>
      </w:r>
      <w:r w:rsidR="00D369F5" w:rsidRPr="00F76E8D">
        <w:t xml:space="preserve"> the differences between DFAT and the World Bank’s Gender Strategies, and how they can be reconciled</w:t>
      </w:r>
      <w:bookmarkEnd w:id="38"/>
      <w:r w:rsidR="00D369F5" w:rsidRPr="00F76E8D">
        <w:t>.</w:t>
      </w:r>
    </w:p>
    <w:p w14:paraId="52CC6D27" w14:textId="3E2E0AB7" w:rsidR="00BA2712" w:rsidRPr="002D49D6" w:rsidRDefault="00954645" w:rsidP="004C3817">
      <w:pPr>
        <w:pStyle w:val="recommendation"/>
        <w:ind w:left="360"/>
      </w:pPr>
      <w:bookmarkStart w:id="39" w:name="_Hlk514053553"/>
      <w:r>
        <w:t xml:space="preserve">14. </w:t>
      </w:r>
      <w:r w:rsidR="00482C54">
        <w:t>Use SARTFP to</w:t>
      </w:r>
      <w:r w:rsidR="00BA2712" w:rsidRPr="002D49D6">
        <w:t xml:space="preserve"> demonstrate the benefits of integrating gender equality into policy and practice</w:t>
      </w:r>
      <w:bookmarkEnd w:id="39"/>
      <w:r w:rsidR="00BA2712" w:rsidRPr="002D49D6">
        <w:t xml:space="preserve">. </w:t>
      </w:r>
    </w:p>
    <w:p w14:paraId="07844E02" w14:textId="77777777" w:rsidR="00BA2712" w:rsidRPr="00624BFC" w:rsidRDefault="00097449" w:rsidP="001A78AF">
      <w:pPr>
        <w:pStyle w:val="KeyFinding"/>
      </w:pPr>
      <w:r w:rsidRPr="00624BFC">
        <w:t>SARTFP is building the evidence base for effective gender-sensitive programming</w:t>
      </w:r>
    </w:p>
    <w:p w14:paraId="79B15839" w14:textId="29FF763B" w:rsidR="00BA2712" w:rsidRPr="001B449B" w:rsidRDefault="00BA2712" w:rsidP="008D3775">
      <w:pPr>
        <w:rPr>
          <w:sz w:val="22"/>
        </w:rPr>
      </w:pPr>
      <w:r w:rsidRPr="001B449B">
        <w:rPr>
          <w:sz w:val="22"/>
        </w:rPr>
        <w:t>The importance of generating quality information to use with governments was echoed by members of the World Bank’s Gender and Social Development team who provide technical support to all SARTFP projects. Using data driven evidence to present an economic argument for women’s role in the value chain is a powerful motivator for positive change. Feedback from research dissemination workshops highlighted that once government counterparts see the business case, they understand the value of integrating gender.</w:t>
      </w:r>
      <w:r w:rsidR="00A2765E">
        <w:rPr>
          <w:rStyle w:val="FootnoteReference"/>
          <w:sz w:val="22"/>
        </w:rPr>
        <w:footnoteReference w:id="127"/>
      </w:r>
      <w:r w:rsidRPr="001B449B">
        <w:rPr>
          <w:sz w:val="22"/>
        </w:rPr>
        <w:t xml:space="preserve"> </w:t>
      </w:r>
    </w:p>
    <w:p w14:paraId="23927713" w14:textId="77777777" w:rsidR="00BA2712" w:rsidRPr="00624BFC" w:rsidRDefault="00097449" w:rsidP="008D3775">
      <w:pPr>
        <w:pStyle w:val="KeyFinding"/>
      </w:pPr>
      <w:r w:rsidRPr="00624BFC">
        <w:t>SARTFP will be strengthened by encompassing diverse stakeholders</w:t>
      </w:r>
    </w:p>
    <w:p w14:paraId="44EECAD3" w14:textId="598A4EBB" w:rsidR="00EA1FCA" w:rsidRPr="001B449B" w:rsidRDefault="00D127BF" w:rsidP="008D3775">
      <w:pPr>
        <w:rPr>
          <w:sz w:val="22"/>
        </w:rPr>
      </w:pPr>
      <w:r w:rsidRPr="001B449B">
        <w:rPr>
          <w:sz w:val="22"/>
        </w:rPr>
        <w:t xml:space="preserve">World </w:t>
      </w:r>
      <w:r w:rsidR="00BA2712" w:rsidRPr="001B449B">
        <w:rPr>
          <w:sz w:val="22"/>
        </w:rPr>
        <w:t xml:space="preserve">Bank </w:t>
      </w:r>
      <w:r w:rsidRPr="001B449B">
        <w:rPr>
          <w:sz w:val="22"/>
        </w:rPr>
        <w:t xml:space="preserve">interviewees </w:t>
      </w:r>
      <w:r w:rsidR="00BA2712" w:rsidRPr="001B449B">
        <w:rPr>
          <w:sz w:val="22"/>
        </w:rPr>
        <w:t>acknowledge</w:t>
      </w:r>
      <w:r w:rsidRPr="001B449B">
        <w:rPr>
          <w:sz w:val="22"/>
        </w:rPr>
        <w:t>d</w:t>
      </w:r>
      <w:r w:rsidR="00BA2712" w:rsidRPr="001B449B">
        <w:rPr>
          <w:sz w:val="22"/>
        </w:rPr>
        <w:t xml:space="preserve"> that there are opportunities at different stages of the projects to consult with women</w:t>
      </w:r>
      <w:r w:rsidR="00A004B7" w:rsidRPr="001B449B">
        <w:rPr>
          <w:sz w:val="22"/>
        </w:rPr>
        <w:t xml:space="preserve"> as stakeholders. It was also accepted that citizen engagement should allow for redress mechanisms and feedback on how projects affect communities. However, they explained</w:t>
      </w:r>
      <w:r w:rsidR="00BA2712" w:rsidRPr="001B449B">
        <w:rPr>
          <w:sz w:val="22"/>
        </w:rPr>
        <w:t xml:space="preserve"> the complexity of the project is an important consideration, as it may impede </w:t>
      </w:r>
      <w:r w:rsidR="00A004B7" w:rsidRPr="001B449B">
        <w:rPr>
          <w:sz w:val="22"/>
        </w:rPr>
        <w:t xml:space="preserve">the </w:t>
      </w:r>
      <w:r w:rsidR="00BA2712" w:rsidRPr="001B449B">
        <w:rPr>
          <w:sz w:val="22"/>
        </w:rPr>
        <w:t xml:space="preserve">consultation </w:t>
      </w:r>
      <w:r w:rsidR="00A004B7" w:rsidRPr="001B449B">
        <w:rPr>
          <w:sz w:val="22"/>
        </w:rPr>
        <w:t>process. I</w:t>
      </w:r>
      <w:r w:rsidR="00BA2712" w:rsidRPr="001B449B">
        <w:rPr>
          <w:sz w:val="22"/>
        </w:rPr>
        <w:t xml:space="preserve">t </w:t>
      </w:r>
      <w:r w:rsidR="00A004B7" w:rsidRPr="001B449B">
        <w:rPr>
          <w:sz w:val="22"/>
        </w:rPr>
        <w:t>was</w:t>
      </w:r>
      <w:r w:rsidR="00BA2712" w:rsidRPr="001B449B">
        <w:rPr>
          <w:sz w:val="22"/>
        </w:rPr>
        <w:t xml:space="preserve"> not </w:t>
      </w:r>
      <w:r w:rsidR="00A004B7" w:rsidRPr="001B449B">
        <w:rPr>
          <w:sz w:val="22"/>
        </w:rPr>
        <w:t xml:space="preserve">made </w:t>
      </w:r>
      <w:r w:rsidR="00BA2712" w:rsidRPr="001B449B">
        <w:rPr>
          <w:sz w:val="22"/>
        </w:rPr>
        <w:t>clear why</w:t>
      </w:r>
      <w:r w:rsidR="00A004B7" w:rsidRPr="001B449B">
        <w:rPr>
          <w:sz w:val="22"/>
        </w:rPr>
        <w:t xml:space="preserve"> this is a constraint to consultation</w:t>
      </w:r>
      <w:r w:rsidR="00BA2712" w:rsidRPr="001B449B">
        <w:rPr>
          <w:sz w:val="22"/>
        </w:rPr>
        <w:t xml:space="preserve">, or </w:t>
      </w:r>
      <w:r w:rsidR="00A004B7" w:rsidRPr="001B449B">
        <w:rPr>
          <w:sz w:val="22"/>
        </w:rPr>
        <w:t xml:space="preserve">if it is </w:t>
      </w:r>
      <w:r w:rsidR="00BA2712" w:rsidRPr="001B449B">
        <w:rPr>
          <w:sz w:val="22"/>
        </w:rPr>
        <w:t xml:space="preserve">insurmountable. There is some evidence </w:t>
      </w:r>
      <w:r w:rsidR="00A004B7" w:rsidRPr="001B449B">
        <w:rPr>
          <w:sz w:val="22"/>
        </w:rPr>
        <w:t xml:space="preserve">from </w:t>
      </w:r>
      <w:r w:rsidR="00A2765E">
        <w:rPr>
          <w:sz w:val="22"/>
        </w:rPr>
        <w:t xml:space="preserve">interviews with the World Bank and project documentation </w:t>
      </w:r>
      <w:r w:rsidR="00BA2712" w:rsidRPr="001B449B">
        <w:rPr>
          <w:sz w:val="22"/>
        </w:rPr>
        <w:t>of the Bank trying to involve diverse stakeholders, although not consistent</w:t>
      </w:r>
      <w:r w:rsidR="00A004B7" w:rsidRPr="001B449B">
        <w:rPr>
          <w:sz w:val="22"/>
        </w:rPr>
        <w:t>ly</w:t>
      </w:r>
      <w:r w:rsidR="00BA2712" w:rsidRPr="001B449B">
        <w:rPr>
          <w:sz w:val="22"/>
        </w:rPr>
        <w:t xml:space="preserve"> across projects. </w:t>
      </w:r>
    </w:p>
    <w:p w14:paraId="17E7DFF7" w14:textId="77777777" w:rsidR="002D49D6" w:rsidRPr="001B449B" w:rsidRDefault="00D369F5" w:rsidP="008D3775">
      <w:pPr>
        <w:rPr>
          <w:color w:val="000000"/>
          <w:sz w:val="22"/>
        </w:rPr>
      </w:pPr>
      <w:r w:rsidRPr="001B449B">
        <w:rPr>
          <w:sz w:val="22"/>
        </w:rPr>
        <w:t>To</w:t>
      </w:r>
      <w:r w:rsidR="00A004B7" w:rsidRPr="001B449B">
        <w:rPr>
          <w:sz w:val="22"/>
        </w:rPr>
        <w:t xml:space="preserve"> improve how SARTFP can gather user insights to help strengthen project</w:t>
      </w:r>
      <w:r w:rsidR="00EA1FCA" w:rsidRPr="001B449B">
        <w:rPr>
          <w:sz w:val="22"/>
        </w:rPr>
        <w:t>s</w:t>
      </w:r>
      <w:r w:rsidR="00A004B7" w:rsidRPr="001B449B">
        <w:rPr>
          <w:sz w:val="22"/>
        </w:rPr>
        <w:t>, the evaluation team believes t</w:t>
      </w:r>
      <w:r w:rsidR="00BA2712" w:rsidRPr="001B449B">
        <w:rPr>
          <w:sz w:val="22"/>
        </w:rPr>
        <w:t xml:space="preserve">he program should include a process for integrating stakeholder feedback into project design with sincerity, transparency and a means of reporting back to the stakeholders. </w:t>
      </w:r>
      <w:r w:rsidR="00F33717" w:rsidRPr="001B449B">
        <w:rPr>
          <w:sz w:val="22"/>
        </w:rPr>
        <w:t>The cost of this should be included in the project budget from the start. If, as suggested by the evidence, wider consultation can improve project design, the benefits should outweigh the costs.</w:t>
      </w:r>
      <w:r w:rsidR="00F33717" w:rsidRPr="001B449B">
        <w:rPr>
          <w:rStyle w:val="FootnoteReference"/>
          <w:sz w:val="22"/>
        </w:rPr>
        <w:footnoteReference w:id="128"/>
      </w:r>
      <w:r w:rsidR="00BA2712" w:rsidRPr="001B449B">
        <w:rPr>
          <w:sz w:val="22"/>
        </w:rPr>
        <w:t xml:space="preserve"> That said, the Buddhist Circuit project illustrates that even without a </w:t>
      </w:r>
      <w:r w:rsidR="00EA1FCA" w:rsidRPr="001B449B">
        <w:rPr>
          <w:sz w:val="22"/>
        </w:rPr>
        <w:t>well-</w:t>
      </w:r>
      <w:r w:rsidR="00BA2712" w:rsidRPr="001B449B">
        <w:rPr>
          <w:sz w:val="22"/>
        </w:rPr>
        <w:t>defined process for engagement, the SARTFP team paid close attention to ensuring the design and implementation of the project was informed by a diverse group of stakeholders, actively seeking out the marginali</w:t>
      </w:r>
      <w:r>
        <w:rPr>
          <w:sz w:val="22"/>
        </w:rPr>
        <w:t>s</w:t>
      </w:r>
      <w:r w:rsidR="00BA2712" w:rsidRPr="001B449B">
        <w:rPr>
          <w:sz w:val="22"/>
        </w:rPr>
        <w:t xml:space="preserve">ed voices. </w:t>
      </w:r>
      <w:r w:rsidR="00BA2712" w:rsidRPr="001B449B">
        <w:rPr>
          <w:color w:val="000000"/>
          <w:sz w:val="22"/>
        </w:rPr>
        <w:t xml:space="preserve">Another SARTFP project which has made similar efforts is the Regional Trade and Gender Inclusive Inland Water Transport project. </w:t>
      </w:r>
    </w:p>
    <w:p w14:paraId="3587BC01" w14:textId="77777777" w:rsidR="002D49D6" w:rsidRPr="00E03429" w:rsidRDefault="002D49D6" w:rsidP="008D3775">
      <w:pPr>
        <w:pStyle w:val="recommendation"/>
      </w:pPr>
      <w:r w:rsidRPr="00E03429">
        <w:t>Recommendation</w:t>
      </w:r>
    </w:p>
    <w:p w14:paraId="334451D3" w14:textId="6478B81B" w:rsidR="002D49D6" w:rsidRPr="00F35892" w:rsidRDefault="00954645" w:rsidP="004C3817">
      <w:pPr>
        <w:pStyle w:val="recommendation"/>
        <w:ind w:left="360"/>
      </w:pPr>
      <w:bookmarkStart w:id="40" w:name="_Hlk514053597"/>
      <w:r>
        <w:t xml:space="preserve">15. </w:t>
      </w:r>
      <w:r w:rsidR="00E23FBF">
        <w:t>I</w:t>
      </w:r>
      <w:r w:rsidR="002D49D6" w:rsidRPr="00E03429">
        <w:t xml:space="preserve">nclude a process for integrating </w:t>
      </w:r>
      <w:r w:rsidR="00E23FBF" w:rsidRPr="00E03429">
        <w:t xml:space="preserve">SARTFP </w:t>
      </w:r>
      <w:r w:rsidR="002D49D6" w:rsidRPr="00E03429">
        <w:t>stakeholder feedback into project design with sincerity, transparency and a means of reporting back to the stakeholders</w:t>
      </w:r>
      <w:bookmarkEnd w:id="40"/>
      <w:r w:rsidR="00E23FBF">
        <w:t>.</w:t>
      </w:r>
    </w:p>
    <w:p w14:paraId="5F03CEDD" w14:textId="77777777" w:rsidR="005913BF" w:rsidRPr="0044740B" w:rsidRDefault="005913BF" w:rsidP="008D3775"/>
    <w:p w14:paraId="3023CB81" w14:textId="77777777" w:rsidR="00DB2C8F" w:rsidRPr="00166A23" w:rsidRDefault="00432A0E" w:rsidP="001B449B">
      <w:pPr>
        <w:pStyle w:val="Heading1"/>
      </w:pPr>
      <w:bookmarkStart w:id="41" w:name="_Toc517615247"/>
      <w:r>
        <w:lastRenderedPageBreak/>
        <w:t>Part 3</w:t>
      </w:r>
      <w:r w:rsidR="00CE2551">
        <w:t>:</w:t>
      </w:r>
      <w:r>
        <w:t xml:space="preserve"> </w:t>
      </w:r>
      <w:bookmarkStart w:id="42" w:name="_Hlk514053607"/>
      <w:r w:rsidR="001F742F" w:rsidRPr="00166A23">
        <w:t>Comparison of the programs’ management and implementation models</w:t>
      </w:r>
      <w:bookmarkEnd w:id="41"/>
      <w:r w:rsidR="001F742F" w:rsidRPr="00166A23">
        <w:t xml:space="preserve"> </w:t>
      </w:r>
      <w:bookmarkEnd w:id="42"/>
    </w:p>
    <w:p w14:paraId="6842D7D2" w14:textId="77777777" w:rsidR="006C3AE1" w:rsidRPr="001B449B" w:rsidRDefault="006C3AE1" w:rsidP="001B449B">
      <w:pPr>
        <w:pStyle w:val="Heading3"/>
        <w:rPr>
          <w:sz w:val="22"/>
        </w:rPr>
      </w:pPr>
      <w:r w:rsidRPr="001B449B">
        <w:rPr>
          <w:sz w:val="22"/>
        </w:rPr>
        <w:t>Overview</w:t>
      </w:r>
    </w:p>
    <w:p w14:paraId="675E89D3" w14:textId="77777777" w:rsidR="009C74A5" w:rsidRPr="001B449B" w:rsidRDefault="00BE30EA">
      <w:pPr>
        <w:rPr>
          <w:sz w:val="22"/>
        </w:rPr>
      </w:pPr>
      <w:r w:rsidRPr="001B449B">
        <w:rPr>
          <w:sz w:val="22"/>
        </w:rPr>
        <w:t xml:space="preserve">In interviews with </w:t>
      </w:r>
      <w:r w:rsidR="009C74A5" w:rsidRPr="001B449B">
        <w:rPr>
          <w:sz w:val="22"/>
        </w:rPr>
        <w:t>World Bank staff</w:t>
      </w:r>
      <w:r w:rsidRPr="001B449B">
        <w:rPr>
          <w:sz w:val="22"/>
        </w:rPr>
        <w:t xml:space="preserve">, there was consensus that </w:t>
      </w:r>
      <w:r w:rsidR="009C74A5" w:rsidRPr="001B449B">
        <w:rPr>
          <w:sz w:val="22"/>
        </w:rPr>
        <w:t>they expected DFAT to be more hands-on with SARTFP, compared to IFG.</w:t>
      </w:r>
      <w:r w:rsidR="00390B1D" w:rsidRPr="001B449B">
        <w:rPr>
          <w:rStyle w:val="FootnoteReference"/>
          <w:sz w:val="22"/>
        </w:rPr>
        <w:footnoteReference w:id="129"/>
      </w:r>
      <w:r w:rsidR="009C74A5" w:rsidRPr="001B449B">
        <w:rPr>
          <w:sz w:val="22"/>
        </w:rPr>
        <w:t xml:space="preserve"> For instance, the management model for SARTFP has more DFAT involvement in goal setting and decision making. This was evident in the way DFAT worked closely with </w:t>
      </w:r>
      <w:r w:rsidRPr="001B449B">
        <w:rPr>
          <w:sz w:val="22"/>
        </w:rPr>
        <w:t xml:space="preserve">the </w:t>
      </w:r>
      <w:r w:rsidR="009C74A5" w:rsidRPr="001B449B">
        <w:rPr>
          <w:sz w:val="22"/>
        </w:rPr>
        <w:t>W</w:t>
      </w:r>
      <w:r w:rsidRPr="001B449B">
        <w:rPr>
          <w:sz w:val="22"/>
        </w:rPr>
        <w:t xml:space="preserve">orld </w:t>
      </w:r>
      <w:r w:rsidR="009C74A5" w:rsidRPr="001B449B">
        <w:rPr>
          <w:sz w:val="22"/>
        </w:rPr>
        <w:t>B</w:t>
      </w:r>
      <w:r w:rsidRPr="001B449B">
        <w:rPr>
          <w:sz w:val="22"/>
        </w:rPr>
        <w:t>ank</w:t>
      </w:r>
      <w:r w:rsidR="009C74A5" w:rsidRPr="001B449B">
        <w:rPr>
          <w:sz w:val="22"/>
        </w:rPr>
        <w:t xml:space="preserve"> to co-develop the theory of change, results frameworks and governance structure.</w:t>
      </w:r>
      <w:r w:rsidR="007615BA">
        <w:rPr>
          <w:sz w:val="22"/>
        </w:rPr>
        <w:t xml:space="preserve"> </w:t>
      </w:r>
      <w:r w:rsidR="009C74A5" w:rsidRPr="001B449B">
        <w:rPr>
          <w:sz w:val="22"/>
        </w:rPr>
        <w:t>This implies that SARTFP was intended to improve on the IFG model.</w:t>
      </w:r>
    </w:p>
    <w:p w14:paraId="30DA4B21" w14:textId="10BF36C1" w:rsidR="009C74A5" w:rsidRPr="001B449B" w:rsidRDefault="00685767">
      <w:pPr>
        <w:rPr>
          <w:sz w:val="22"/>
        </w:rPr>
      </w:pPr>
      <w:r>
        <w:rPr>
          <w:sz w:val="22"/>
        </w:rPr>
        <w:t>Fr</w:t>
      </w:r>
      <w:r w:rsidR="009C74A5" w:rsidRPr="001B449B">
        <w:rPr>
          <w:sz w:val="22"/>
        </w:rPr>
        <w:t>om the perspective of senior W</w:t>
      </w:r>
      <w:r w:rsidR="00BE30EA" w:rsidRPr="001B449B">
        <w:rPr>
          <w:sz w:val="22"/>
        </w:rPr>
        <w:t xml:space="preserve">orld </w:t>
      </w:r>
      <w:r w:rsidR="009C74A5" w:rsidRPr="001B449B">
        <w:rPr>
          <w:sz w:val="22"/>
        </w:rPr>
        <w:t>B</w:t>
      </w:r>
      <w:r w:rsidR="00BE30EA" w:rsidRPr="001B449B">
        <w:rPr>
          <w:sz w:val="22"/>
        </w:rPr>
        <w:t>ank</w:t>
      </w:r>
      <w:r w:rsidR="009C74A5" w:rsidRPr="001B449B">
        <w:rPr>
          <w:sz w:val="22"/>
        </w:rPr>
        <w:t xml:space="preserve"> staff, IFG was more flexible than SARTFP, as it allowed the bank to be ‘opportunistic’.</w:t>
      </w:r>
      <w:r w:rsidR="001747ED" w:rsidRPr="001B449B">
        <w:rPr>
          <w:rStyle w:val="FootnoteReference"/>
          <w:sz w:val="22"/>
        </w:rPr>
        <w:footnoteReference w:id="130"/>
      </w:r>
      <w:r w:rsidR="009C74A5" w:rsidRPr="001B449B">
        <w:rPr>
          <w:sz w:val="22"/>
        </w:rPr>
        <w:t xml:space="preserve"> The advantage of the </w:t>
      </w:r>
      <w:r w:rsidR="001747ED" w:rsidRPr="001B449B">
        <w:rPr>
          <w:sz w:val="22"/>
        </w:rPr>
        <w:t xml:space="preserve">IFG </w:t>
      </w:r>
      <w:r w:rsidR="009C74A5" w:rsidRPr="001B449B">
        <w:rPr>
          <w:sz w:val="22"/>
        </w:rPr>
        <w:t>trust fund approach</w:t>
      </w:r>
      <w:r w:rsidR="007615BA">
        <w:rPr>
          <w:sz w:val="22"/>
        </w:rPr>
        <w:t xml:space="preserve"> </w:t>
      </w:r>
      <w:r w:rsidR="001747ED" w:rsidRPr="001B449B">
        <w:rPr>
          <w:sz w:val="22"/>
        </w:rPr>
        <w:t>wa</w:t>
      </w:r>
      <w:r w:rsidR="009C74A5" w:rsidRPr="001B449B">
        <w:rPr>
          <w:sz w:val="22"/>
        </w:rPr>
        <w:t>s that most of the decision making is entrusted to the Bank</w:t>
      </w:r>
      <w:r w:rsidR="007615BA">
        <w:rPr>
          <w:sz w:val="22"/>
        </w:rPr>
        <w:t>. S</w:t>
      </w:r>
      <w:r w:rsidR="009C74A5" w:rsidRPr="001B449B">
        <w:rPr>
          <w:sz w:val="22"/>
        </w:rPr>
        <w:t xml:space="preserve">enior Bank staff acknowledge that donors now expect more decision-making power. One area where this is most evident is in </w:t>
      </w:r>
      <w:r w:rsidR="001747ED" w:rsidRPr="001B449B">
        <w:rPr>
          <w:sz w:val="22"/>
        </w:rPr>
        <w:t xml:space="preserve">SARTFP </w:t>
      </w:r>
      <w:r w:rsidR="009C74A5" w:rsidRPr="001B449B">
        <w:rPr>
          <w:sz w:val="22"/>
        </w:rPr>
        <w:t>project selection, where there is some uncertainty from both DFAT and World Bank staff regarding how much veto power DFAT has, or should have, in how investment decisions are made.</w:t>
      </w:r>
    </w:p>
    <w:p w14:paraId="418104E8" w14:textId="7A2369ED" w:rsidR="009C74A5" w:rsidRPr="001B449B" w:rsidRDefault="001F5861">
      <w:pPr>
        <w:rPr>
          <w:sz w:val="22"/>
        </w:rPr>
      </w:pPr>
      <w:r w:rsidRPr="001B449B">
        <w:rPr>
          <w:sz w:val="22"/>
        </w:rPr>
        <w:t>A</w:t>
      </w:r>
      <w:r w:rsidR="00390B1D" w:rsidRPr="001B449B">
        <w:rPr>
          <w:sz w:val="22"/>
        </w:rPr>
        <w:t xml:space="preserve"> </w:t>
      </w:r>
      <w:r w:rsidRPr="001B449B">
        <w:rPr>
          <w:sz w:val="22"/>
        </w:rPr>
        <w:t>view</w:t>
      </w:r>
      <w:r w:rsidR="00390B1D" w:rsidRPr="001B449B">
        <w:rPr>
          <w:sz w:val="22"/>
        </w:rPr>
        <w:t xml:space="preserve"> consistently raised </w:t>
      </w:r>
      <w:r w:rsidRPr="001B449B">
        <w:rPr>
          <w:sz w:val="22"/>
        </w:rPr>
        <w:t>in interview</w:t>
      </w:r>
      <w:r w:rsidR="00926B8E" w:rsidRPr="001B449B">
        <w:rPr>
          <w:sz w:val="22"/>
        </w:rPr>
        <w:t>s</w:t>
      </w:r>
      <w:r w:rsidRPr="001B449B">
        <w:rPr>
          <w:sz w:val="22"/>
        </w:rPr>
        <w:t xml:space="preserve"> with DFAT was </w:t>
      </w:r>
      <w:r w:rsidR="009C74A5" w:rsidRPr="001B449B">
        <w:rPr>
          <w:sz w:val="22"/>
        </w:rPr>
        <w:t>that the partnership model adopted for SARTFP allow</w:t>
      </w:r>
      <w:r w:rsidR="00712AA9" w:rsidRPr="001B449B">
        <w:rPr>
          <w:sz w:val="22"/>
        </w:rPr>
        <w:t>ed</w:t>
      </w:r>
      <w:r w:rsidR="009C74A5" w:rsidRPr="001B449B">
        <w:rPr>
          <w:sz w:val="22"/>
        </w:rPr>
        <w:t xml:space="preserve"> DFAT to have more influence over areas of sensitivity or where innovative approaches are required. The theory is that the stronger institutional framework around the program ensures the donor profile and interests are more strongly reflected in program investments. However, it was </w:t>
      </w:r>
      <w:r w:rsidR="00390B1D" w:rsidRPr="001B449B">
        <w:rPr>
          <w:sz w:val="22"/>
        </w:rPr>
        <w:t xml:space="preserve">also </w:t>
      </w:r>
      <w:r w:rsidR="009C74A5" w:rsidRPr="001B449B">
        <w:rPr>
          <w:sz w:val="22"/>
        </w:rPr>
        <w:t xml:space="preserve">acknowledged by DFAT that this level of involvement requires </w:t>
      </w:r>
      <w:r w:rsidR="00881335">
        <w:rPr>
          <w:sz w:val="22"/>
        </w:rPr>
        <w:t>greater</w:t>
      </w:r>
      <w:r w:rsidR="009C74A5" w:rsidRPr="001B449B">
        <w:rPr>
          <w:sz w:val="22"/>
        </w:rPr>
        <w:t xml:space="preserve"> DFAT management input and technical expertise, which may not be consistently available as staff are rotated and resource priorities shift. In summary, the partnership relationship becomes difficult if the donor ass</w:t>
      </w:r>
      <w:r w:rsidR="00AC2556" w:rsidRPr="001B449B">
        <w:rPr>
          <w:sz w:val="22"/>
        </w:rPr>
        <w:t>erts more control</w:t>
      </w:r>
      <w:r w:rsidR="009C74A5" w:rsidRPr="001B449B">
        <w:rPr>
          <w:sz w:val="22"/>
        </w:rPr>
        <w:t xml:space="preserve"> without</w:t>
      </w:r>
      <w:r w:rsidR="00AC2556" w:rsidRPr="001B449B">
        <w:rPr>
          <w:sz w:val="22"/>
        </w:rPr>
        <w:t xml:space="preserve"> also assuming more</w:t>
      </w:r>
      <w:r w:rsidR="009C74A5" w:rsidRPr="001B449B">
        <w:rPr>
          <w:sz w:val="22"/>
        </w:rPr>
        <w:t xml:space="preserve"> responsibility.</w:t>
      </w:r>
    </w:p>
    <w:p w14:paraId="0DA622E8" w14:textId="77777777" w:rsidR="00D23C57" w:rsidRPr="001B449B" w:rsidRDefault="009C74A5">
      <w:pPr>
        <w:rPr>
          <w:sz w:val="22"/>
          <w:lang w:val="en-AU"/>
        </w:rPr>
      </w:pPr>
      <w:r w:rsidRPr="001B449B">
        <w:rPr>
          <w:sz w:val="22"/>
        </w:rPr>
        <w:t xml:space="preserve">Therefore, </w:t>
      </w:r>
      <w:r w:rsidR="00517738">
        <w:rPr>
          <w:sz w:val="22"/>
        </w:rPr>
        <w:t>while</w:t>
      </w:r>
      <w:r w:rsidRPr="001B449B">
        <w:rPr>
          <w:sz w:val="22"/>
        </w:rPr>
        <w:t xml:space="preserve"> management models for IFG and SARTFP were characterised as partner-led and partnership, both had their strengths and weaknesses, but were not wholly understood in the same way by both parties.</w:t>
      </w:r>
    </w:p>
    <w:p w14:paraId="3995E3F7" w14:textId="77777777" w:rsidR="004016A0" w:rsidRPr="00624BFC" w:rsidRDefault="00097449" w:rsidP="008E3308">
      <w:pPr>
        <w:pStyle w:val="KeyFinding"/>
        <w:rPr>
          <w:lang w:val="en-AU"/>
        </w:rPr>
      </w:pPr>
      <w:r w:rsidRPr="00624BFC">
        <w:rPr>
          <w:lang w:val="en-AU"/>
        </w:rPr>
        <w:t>The Technical Advisory Facility (TAF) role is not fully defined in the partnership or explicitly agreed by all parties.</w:t>
      </w:r>
    </w:p>
    <w:p w14:paraId="465751B9" w14:textId="77777777" w:rsidR="00067116" w:rsidRPr="001B449B" w:rsidRDefault="00D23C57" w:rsidP="00BE30EA">
      <w:pPr>
        <w:rPr>
          <w:iCs/>
          <w:sz w:val="22"/>
          <w:lang w:val="en-AU"/>
        </w:rPr>
      </w:pPr>
      <w:r w:rsidRPr="001B449B">
        <w:rPr>
          <w:sz w:val="22"/>
        </w:rPr>
        <w:t xml:space="preserve">According to the </w:t>
      </w:r>
      <w:r w:rsidR="00067116" w:rsidRPr="001B449B">
        <w:rPr>
          <w:sz w:val="22"/>
        </w:rPr>
        <w:t xml:space="preserve">terms of reference </w:t>
      </w:r>
      <w:r w:rsidRPr="001B449B">
        <w:rPr>
          <w:sz w:val="22"/>
        </w:rPr>
        <w:t xml:space="preserve">for the Technical Advisory Facility (TAF), their role </w:t>
      </w:r>
      <w:r w:rsidR="00067116" w:rsidRPr="001B449B">
        <w:rPr>
          <w:sz w:val="22"/>
        </w:rPr>
        <w:t xml:space="preserve">was to provide </w:t>
      </w:r>
      <w:r w:rsidR="00067116" w:rsidRPr="001B449B">
        <w:rPr>
          <w:sz w:val="22"/>
          <w:lang w:val="en-AU"/>
        </w:rPr>
        <w:t>ongoing advice and support to DFAT over the life of investment to ensure that</w:t>
      </w:r>
      <w:r w:rsidR="00067116" w:rsidRPr="001B449B">
        <w:rPr>
          <w:iCs/>
          <w:sz w:val="22"/>
          <w:lang w:val="en-AU"/>
        </w:rPr>
        <w:t>:</w:t>
      </w:r>
    </w:p>
    <w:p w14:paraId="1EE6FBA1" w14:textId="77777777" w:rsidR="00067116" w:rsidRPr="001B449B" w:rsidRDefault="00067116" w:rsidP="00BE30EA">
      <w:pPr>
        <w:pStyle w:val="ListParagraph"/>
        <w:numPr>
          <w:ilvl w:val="0"/>
          <w:numId w:val="61"/>
        </w:numPr>
        <w:rPr>
          <w:sz w:val="22"/>
          <w:lang w:val="en-AU"/>
        </w:rPr>
      </w:pPr>
      <w:r w:rsidRPr="001B449B">
        <w:rPr>
          <w:sz w:val="22"/>
          <w:lang w:val="en-AU"/>
        </w:rPr>
        <w:t xml:space="preserve">DFAT’s investments maintain alignment with the strategic priorities of the Australian </w:t>
      </w:r>
      <w:r w:rsidR="004B7250">
        <w:rPr>
          <w:sz w:val="22"/>
          <w:lang w:val="en-AU"/>
        </w:rPr>
        <w:t>A</w:t>
      </w:r>
      <w:r w:rsidRPr="001B449B">
        <w:rPr>
          <w:sz w:val="22"/>
          <w:lang w:val="en-AU"/>
        </w:rPr>
        <w:t xml:space="preserve">id </w:t>
      </w:r>
      <w:r w:rsidR="004B7250">
        <w:rPr>
          <w:sz w:val="22"/>
          <w:lang w:val="en-AU"/>
        </w:rPr>
        <w:t>P</w:t>
      </w:r>
      <w:r w:rsidRPr="001B449B">
        <w:rPr>
          <w:sz w:val="22"/>
          <w:lang w:val="en-AU"/>
        </w:rPr>
        <w:t>rogram, particularly “aid for trade”, engagement of the private sector, and women’s empowerment, and are an effective use of aid</w:t>
      </w:r>
      <w:r w:rsidR="003249A0">
        <w:rPr>
          <w:sz w:val="22"/>
          <w:lang w:val="en-AU"/>
        </w:rPr>
        <w:t xml:space="preserve"> funds</w:t>
      </w:r>
      <w:r w:rsidRPr="001B449B">
        <w:rPr>
          <w:sz w:val="22"/>
          <w:lang w:val="en-AU"/>
        </w:rPr>
        <w:t xml:space="preserve">; </w:t>
      </w:r>
    </w:p>
    <w:p w14:paraId="1E5005AA" w14:textId="34F236FA" w:rsidR="00067116" w:rsidRPr="001B449B" w:rsidRDefault="00067116" w:rsidP="00F65774">
      <w:pPr>
        <w:pStyle w:val="ListParagraph"/>
        <w:numPr>
          <w:ilvl w:val="0"/>
          <w:numId w:val="60"/>
        </w:numPr>
        <w:rPr>
          <w:sz w:val="22"/>
          <w:lang w:val="en-AU"/>
        </w:rPr>
      </w:pPr>
      <w:r w:rsidRPr="001B449B">
        <w:rPr>
          <w:sz w:val="22"/>
          <w:lang w:val="en-AU"/>
        </w:rPr>
        <w:t>SARTFP is designed as, and remains</w:t>
      </w:r>
      <w:r w:rsidR="006A13F4">
        <w:rPr>
          <w:sz w:val="22"/>
          <w:lang w:val="en-AU"/>
        </w:rPr>
        <w:t>,</w:t>
      </w:r>
      <w:r w:rsidRPr="001B449B">
        <w:rPr>
          <w:sz w:val="22"/>
          <w:lang w:val="en-AU"/>
        </w:rPr>
        <w:t xml:space="preserve"> a gender-sensitive trade facilitation program; and</w:t>
      </w:r>
    </w:p>
    <w:p w14:paraId="7EF60ABE" w14:textId="77777777" w:rsidR="00067116" w:rsidRPr="001B449B" w:rsidRDefault="00067116" w:rsidP="007D1047">
      <w:pPr>
        <w:pStyle w:val="ListParagraph"/>
        <w:numPr>
          <w:ilvl w:val="0"/>
          <w:numId w:val="60"/>
        </w:numPr>
        <w:rPr>
          <w:sz w:val="22"/>
          <w:lang w:val="en-AU"/>
        </w:rPr>
      </w:pPr>
      <w:r w:rsidRPr="001B449B">
        <w:rPr>
          <w:sz w:val="22"/>
          <w:lang w:val="en-AU"/>
        </w:rPr>
        <w:t>Australia has the technical capability to engage in policy dialogue in regional and international forums on economic connectivity and integration in South Asia.</w:t>
      </w:r>
    </w:p>
    <w:p w14:paraId="40071FDF" w14:textId="6E40DB38" w:rsidR="00D23C57" w:rsidRPr="001B449B" w:rsidRDefault="00BE30EA" w:rsidP="00BE30EA">
      <w:pPr>
        <w:rPr>
          <w:sz w:val="22"/>
        </w:rPr>
      </w:pPr>
      <w:r w:rsidRPr="001B449B">
        <w:rPr>
          <w:sz w:val="22"/>
        </w:rPr>
        <w:t xml:space="preserve">The TAF brings a range of technical expertise including in the areas of: gender, trade facilitation monitoring and evaluation. </w:t>
      </w:r>
      <w:r w:rsidR="00D23C57" w:rsidRPr="001B449B">
        <w:rPr>
          <w:sz w:val="22"/>
        </w:rPr>
        <w:t xml:space="preserve">There is less detail about their expected engagement with the World </w:t>
      </w:r>
      <w:r w:rsidR="003322EB">
        <w:rPr>
          <w:sz w:val="22"/>
        </w:rPr>
        <w:t>B</w:t>
      </w:r>
      <w:r w:rsidR="00D23C57" w:rsidRPr="001B449B">
        <w:rPr>
          <w:sz w:val="22"/>
        </w:rPr>
        <w:t>ank team, however there is some evidence that their efforts, and the increased focus on gender, has encouraged greater involvement by the Bank’s gender specialists. There is also more consistent communication between the TAF and the WB concerning monitoring and evaluation.</w:t>
      </w:r>
    </w:p>
    <w:p w14:paraId="6C5E89CC" w14:textId="77777777" w:rsidR="00D23C57" w:rsidRPr="001B449B" w:rsidRDefault="00D23C57" w:rsidP="001A78AF">
      <w:pPr>
        <w:rPr>
          <w:sz w:val="22"/>
        </w:rPr>
      </w:pPr>
      <w:r w:rsidRPr="001B449B">
        <w:rPr>
          <w:sz w:val="22"/>
        </w:rPr>
        <w:t xml:space="preserve">DFAT’s ambition is ‘to use </w:t>
      </w:r>
      <w:r w:rsidR="003322EB">
        <w:rPr>
          <w:sz w:val="22"/>
        </w:rPr>
        <w:t xml:space="preserve">the </w:t>
      </w:r>
      <w:r w:rsidRPr="001B449B">
        <w:rPr>
          <w:sz w:val="22"/>
        </w:rPr>
        <w:t xml:space="preserve">SARTFP investment to drive an integration of gender equality considerations’ and will ‘employ the ground-breaking approach of integrating gender in a </w:t>
      </w:r>
      <w:r w:rsidRPr="001B449B">
        <w:rPr>
          <w:sz w:val="22"/>
        </w:rPr>
        <w:lastRenderedPageBreak/>
        <w:t>predominantly gender-blind space.’</w:t>
      </w:r>
      <w:r w:rsidRPr="001B449B">
        <w:rPr>
          <w:rStyle w:val="FootnoteReference"/>
          <w:color w:val="000000"/>
          <w:sz w:val="22"/>
        </w:rPr>
        <w:footnoteReference w:id="131"/>
      </w:r>
      <w:r w:rsidRPr="001B449B">
        <w:rPr>
          <w:sz w:val="22"/>
        </w:rPr>
        <w:t xml:space="preserve"> By implication, DFAT intends to fill the ‘gender-blind space’ with expertise as well as using funding to incentivise a change in behaviour by South Asia governments and institutions. The TAF is designed to be </w:t>
      </w:r>
      <w:r w:rsidR="00C40A69" w:rsidRPr="001B449B">
        <w:rPr>
          <w:sz w:val="22"/>
        </w:rPr>
        <w:t xml:space="preserve">part of </w:t>
      </w:r>
      <w:r w:rsidR="004B7250" w:rsidRPr="001B449B">
        <w:rPr>
          <w:sz w:val="22"/>
        </w:rPr>
        <w:t>how</w:t>
      </w:r>
      <w:r w:rsidRPr="001B449B">
        <w:rPr>
          <w:sz w:val="22"/>
        </w:rPr>
        <w:t xml:space="preserve"> expertise and knowledge creation will influence how gender equality is managed by both the Bank and partner governments. </w:t>
      </w:r>
    </w:p>
    <w:p w14:paraId="01D94482" w14:textId="5F57691F" w:rsidR="00D23C57" w:rsidRPr="001B449B" w:rsidRDefault="00D23C57" w:rsidP="001A78AF">
      <w:pPr>
        <w:rPr>
          <w:sz w:val="22"/>
        </w:rPr>
      </w:pPr>
      <w:r w:rsidRPr="001B449B">
        <w:rPr>
          <w:sz w:val="22"/>
        </w:rPr>
        <w:t>The evaluation explored the extent to which DFAT’s investment in the TAF influence</w:t>
      </w:r>
      <w:r w:rsidR="004B7250">
        <w:rPr>
          <w:sz w:val="22"/>
        </w:rPr>
        <w:t>d</w:t>
      </w:r>
      <w:r w:rsidRPr="001B449B">
        <w:rPr>
          <w:sz w:val="22"/>
        </w:rPr>
        <w:t xml:space="preserve"> the WB and more broadly in regional connectivity programs. Ensuring that gender is situated in economic analysis (‘smart economics’</w:t>
      </w:r>
      <w:r w:rsidRPr="001B449B">
        <w:rPr>
          <w:rStyle w:val="FootnoteReference"/>
          <w:color w:val="000000"/>
          <w:sz w:val="22"/>
        </w:rPr>
        <w:footnoteReference w:id="132"/>
      </w:r>
      <w:r w:rsidRPr="001B449B">
        <w:rPr>
          <w:sz w:val="22"/>
        </w:rPr>
        <w:t>) could be one way the TAF can win more broad support for integrating gender into W</w:t>
      </w:r>
      <w:r w:rsidR="00B84DB2" w:rsidRPr="001B449B">
        <w:rPr>
          <w:sz w:val="22"/>
        </w:rPr>
        <w:t xml:space="preserve">orld </w:t>
      </w:r>
      <w:r w:rsidRPr="001B449B">
        <w:rPr>
          <w:sz w:val="22"/>
        </w:rPr>
        <w:t>B</w:t>
      </w:r>
      <w:r w:rsidR="00B84DB2" w:rsidRPr="001B449B">
        <w:rPr>
          <w:sz w:val="22"/>
        </w:rPr>
        <w:t>ank</w:t>
      </w:r>
      <w:r w:rsidRPr="001B449B">
        <w:rPr>
          <w:sz w:val="22"/>
        </w:rPr>
        <w:t xml:space="preserve"> programs</w:t>
      </w:r>
      <w:r w:rsidR="00F3116A">
        <w:rPr>
          <w:sz w:val="22"/>
        </w:rPr>
        <w:t>,</w:t>
      </w:r>
      <w:r w:rsidRPr="001B449B">
        <w:rPr>
          <w:sz w:val="22"/>
        </w:rPr>
        <w:t xml:space="preserve"> both within the Bank and with its client governments. The Bank acknowledg</w:t>
      </w:r>
      <w:r w:rsidR="00685767">
        <w:rPr>
          <w:sz w:val="22"/>
        </w:rPr>
        <w:t>es</w:t>
      </w:r>
      <w:r w:rsidRPr="001B449B">
        <w:rPr>
          <w:sz w:val="22"/>
        </w:rPr>
        <w:t xml:space="preserve"> that ‘gender equality is smart economics as it can enhance economic efficiency and improve other development outcomes’.</w:t>
      </w:r>
      <w:r w:rsidRPr="001B449B">
        <w:rPr>
          <w:rStyle w:val="FootnoteReference"/>
          <w:color w:val="000000"/>
          <w:sz w:val="22"/>
        </w:rPr>
        <w:footnoteReference w:id="133"/>
      </w:r>
      <w:r w:rsidRPr="001B449B">
        <w:rPr>
          <w:sz w:val="22"/>
        </w:rPr>
        <w:t xml:space="preserve"> However, it is not clear </w:t>
      </w:r>
      <w:r w:rsidR="004B7250">
        <w:rPr>
          <w:sz w:val="22"/>
        </w:rPr>
        <w:t>whether</w:t>
      </w:r>
      <w:r w:rsidRPr="001B449B">
        <w:rPr>
          <w:sz w:val="22"/>
        </w:rPr>
        <w:t xml:space="preserve"> DFAT, through the TAF or directly, has a clear strategy </w:t>
      </w:r>
      <w:r w:rsidR="004B7250">
        <w:rPr>
          <w:sz w:val="22"/>
        </w:rPr>
        <w:t xml:space="preserve">to do this, </w:t>
      </w:r>
      <w:r w:rsidR="003322EB">
        <w:rPr>
          <w:sz w:val="22"/>
        </w:rPr>
        <w:t>or whether this</w:t>
      </w:r>
      <w:r w:rsidR="003322EB" w:rsidRPr="001B449B">
        <w:rPr>
          <w:sz w:val="22"/>
        </w:rPr>
        <w:t xml:space="preserve"> </w:t>
      </w:r>
      <w:r w:rsidRPr="001B449B">
        <w:rPr>
          <w:sz w:val="22"/>
        </w:rPr>
        <w:t>is based on an understanding of the organisational complexity of the Bank</w:t>
      </w:r>
      <w:r w:rsidR="004B7250">
        <w:rPr>
          <w:sz w:val="22"/>
        </w:rPr>
        <w:t xml:space="preserve"> and</w:t>
      </w:r>
      <w:r w:rsidRPr="001B449B">
        <w:rPr>
          <w:sz w:val="22"/>
        </w:rPr>
        <w:t xml:space="preserve"> the steps required to fundamentally change how the Bank operates. It is also not clear how the TAF can help DFAT to have oversight and influence, without micromanaging the program and thereby undermining the partnership ethos.</w:t>
      </w:r>
      <w:r w:rsidRPr="001B449B" w:rsidDel="008418BE">
        <w:rPr>
          <w:sz w:val="22"/>
        </w:rPr>
        <w:t xml:space="preserve"> </w:t>
      </w:r>
    </w:p>
    <w:p w14:paraId="0725EA33" w14:textId="77777777" w:rsidR="008E3308" w:rsidRPr="00624BFC" w:rsidRDefault="00D127BF" w:rsidP="003B65ED">
      <w:pPr>
        <w:pStyle w:val="KeyFinding"/>
      </w:pPr>
      <w:r w:rsidRPr="00624BFC">
        <w:t xml:space="preserve">Despite the ambiguity over its role, and its evolution, the work of TAF is well-regarded. </w:t>
      </w:r>
    </w:p>
    <w:p w14:paraId="54965822" w14:textId="1209F540" w:rsidR="0067290E" w:rsidRPr="001B449B" w:rsidRDefault="0067290E" w:rsidP="0067290E">
      <w:pPr>
        <w:rPr>
          <w:sz w:val="22"/>
        </w:rPr>
      </w:pPr>
      <w:r w:rsidRPr="001B449B">
        <w:rPr>
          <w:sz w:val="22"/>
        </w:rPr>
        <w:t xml:space="preserve">It was mentioned in interviews with DFAT that the inclusion of the TAF in SARTFP came at an opportune time with a downscaling of DFAT resources available. The stability of the TAF team, compared to the </w:t>
      </w:r>
      <w:r>
        <w:rPr>
          <w:sz w:val="22"/>
        </w:rPr>
        <w:t>changing</w:t>
      </w:r>
      <w:r w:rsidRPr="001B449B">
        <w:rPr>
          <w:sz w:val="22"/>
        </w:rPr>
        <w:t xml:space="preserve"> composition of DFAT and to a lesser extent the WB teams had provided some continuity and consistency. Thus, TAF bec</w:t>
      </w:r>
      <w:r>
        <w:rPr>
          <w:sz w:val="22"/>
        </w:rPr>
        <w:t>a</w:t>
      </w:r>
      <w:r w:rsidRPr="001B449B">
        <w:rPr>
          <w:sz w:val="22"/>
        </w:rPr>
        <w:t xml:space="preserve">me both the strategic heart and the institutional memory for the program on behalf of DFAT. Yet this aspect of </w:t>
      </w:r>
      <w:r w:rsidR="00F3116A">
        <w:rPr>
          <w:sz w:val="22"/>
        </w:rPr>
        <w:t xml:space="preserve">the </w:t>
      </w:r>
      <w:r w:rsidRPr="001B449B">
        <w:rPr>
          <w:sz w:val="22"/>
        </w:rPr>
        <w:t>TAF</w:t>
      </w:r>
      <w:r w:rsidR="00F3116A">
        <w:rPr>
          <w:sz w:val="22"/>
        </w:rPr>
        <w:t>’</w:t>
      </w:r>
      <w:r w:rsidRPr="001B449B">
        <w:rPr>
          <w:sz w:val="22"/>
        </w:rPr>
        <w:t xml:space="preserve">s role has emerged by default and is not described in the documents reviewed by the evaluation. </w:t>
      </w:r>
    </w:p>
    <w:p w14:paraId="26BFE444" w14:textId="3944D93C" w:rsidR="0067290E" w:rsidRDefault="00F3116A" w:rsidP="0067290E">
      <w:pPr>
        <w:pStyle w:val="KeyFinding"/>
        <w:rPr>
          <w:rFonts w:eastAsia="Times New Roman"/>
          <w:b w:val="0"/>
          <w:i w:val="0"/>
          <w:color w:val="000000" w:themeColor="text1"/>
        </w:rPr>
      </w:pPr>
      <w:r>
        <w:rPr>
          <w:rFonts w:eastAsia="Times New Roman"/>
          <w:b w:val="0"/>
          <w:i w:val="0"/>
          <w:color w:val="000000" w:themeColor="text1"/>
        </w:rPr>
        <w:t>Ambiguity of the</w:t>
      </w:r>
      <w:r w:rsidR="0067290E" w:rsidRPr="000151BA">
        <w:rPr>
          <w:rFonts w:eastAsia="Times New Roman"/>
          <w:b w:val="0"/>
          <w:i w:val="0"/>
          <w:color w:val="000000" w:themeColor="text1"/>
        </w:rPr>
        <w:t xml:space="preserve"> TAF’s role is reflected in the comments from various WB sources. For instance, some TAF members were only recently (December 2017) made known to the SARTFP Secretariat.</w:t>
      </w:r>
      <w:r w:rsidR="00A0271D" w:rsidRPr="00A02664">
        <w:rPr>
          <w:rFonts w:eastAsia="Times New Roman"/>
          <w:b w:val="0"/>
          <w:i w:val="0"/>
          <w:color w:val="000000" w:themeColor="text1"/>
          <w:vertAlign w:val="superscript"/>
        </w:rPr>
        <w:footnoteReference w:id="134"/>
      </w:r>
      <w:r w:rsidR="0067290E" w:rsidRPr="000151BA">
        <w:rPr>
          <w:rFonts w:eastAsia="Times New Roman"/>
          <w:b w:val="0"/>
          <w:i w:val="0"/>
          <w:color w:val="000000" w:themeColor="text1"/>
        </w:rPr>
        <w:t xml:space="preserve"> It is unclear how World Bank staff should engage and use the TAF team. It is not defined how TAF members will be mobilised, and their time cost accounted for if TTLs contact TAF team members directly. There are also questions on how the TAF is resourced, which regional offices it serves, and who are the TAF contact people for different topics or countries. It would also strengthen the TAF team and its relevance to </w:t>
      </w:r>
      <w:r>
        <w:rPr>
          <w:rFonts w:eastAsia="Times New Roman"/>
          <w:b w:val="0"/>
          <w:i w:val="0"/>
          <w:color w:val="000000" w:themeColor="text1"/>
        </w:rPr>
        <w:t>TTLs</w:t>
      </w:r>
      <w:r w:rsidR="0067290E" w:rsidRPr="000151BA">
        <w:rPr>
          <w:rFonts w:eastAsia="Times New Roman"/>
          <w:b w:val="0"/>
          <w:i w:val="0"/>
          <w:color w:val="000000" w:themeColor="text1"/>
        </w:rPr>
        <w:t>, if it included local experts from the S</w:t>
      </w:r>
      <w:r w:rsidR="003322EB">
        <w:rPr>
          <w:rFonts w:eastAsia="Times New Roman"/>
          <w:b w:val="0"/>
          <w:i w:val="0"/>
          <w:color w:val="000000" w:themeColor="text1"/>
        </w:rPr>
        <w:t xml:space="preserve">outh </w:t>
      </w:r>
      <w:r w:rsidR="0067290E" w:rsidRPr="000151BA">
        <w:rPr>
          <w:rFonts w:eastAsia="Times New Roman"/>
          <w:b w:val="0"/>
          <w:i w:val="0"/>
          <w:color w:val="000000" w:themeColor="text1"/>
        </w:rPr>
        <w:t>A</w:t>
      </w:r>
      <w:r w:rsidR="003322EB">
        <w:rPr>
          <w:rFonts w:eastAsia="Times New Roman"/>
          <w:b w:val="0"/>
          <w:i w:val="0"/>
          <w:color w:val="000000" w:themeColor="text1"/>
        </w:rPr>
        <w:t>sia</w:t>
      </w:r>
      <w:r w:rsidR="0067290E" w:rsidRPr="000151BA">
        <w:rPr>
          <w:rFonts w:eastAsia="Times New Roman"/>
          <w:b w:val="0"/>
          <w:i w:val="0"/>
          <w:color w:val="000000" w:themeColor="text1"/>
        </w:rPr>
        <w:t xml:space="preserve"> region. </w:t>
      </w:r>
    </w:p>
    <w:p w14:paraId="2AA4B9AE" w14:textId="134F250D" w:rsidR="00D127BF" w:rsidRPr="001B449B" w:rsidRDefault="00B84DB2" w:rsidP="0067290E">
      <w:pPr>
        <w:pStyle w:val="KeyFinding"/>
        <w:rPr>
          <w:b w:val="0"/>
          <w:i w:val="0"/>
          <w:color w:val="000000" w:themeColor="text1"/>
        </w:rPr>
      </w:pPr>
      <w:r w:rsidRPr="000151BA">
        <w:rPr>
          <w:rFonts w:eastAsia="Times New Roman"/>
          <w:b w:val="0"/>
          <w:i w:val="0"/>
          <w:color w:val="000000" w:themeColor="text1"/>
        </w:rPr>
        <w:t>DFAT</w:t>
      </w:r>
      <w:r w:rsidRPr="001B449B">
        <w:rPr>
          <w:b w:val="0"/>
          <w:i w:val="0"/>
          <w:color w:val="000000" w:themeColor="text1"/>
        </w:rPr>
        <w:t xml:space="preserve"> and World Bank interviewees reported examples of </w:t>
      </w:r>
      <w:r w:rsidR="008E3308" w:rsidRPr="001B449B">
        <w:rPr>
          <w:b w:val="0"/>
          <w:i w:val="0"/>
          <w:color w:val="000000" w:themeColor="text1"/>
        </w:rPr>
        <w:t>how the TAF had added value to SARTFP.</w:t>
      </w:r>
      <w:r w:rsidRPr="001B449B">
        <w:rPr>
          <w:b w:val="0"/>
          <w:i w:val="0"/>
          <w:color w:val="000000" w:themeColor="text1"/>
        </w:rPr>
        <w:t xml:space="preserve"> </w:t>
      </w:r>
      <w:r w:rsidR="0067290E">
        <w:rPr>
          <w:b w:val="0"/>
          <w:i w:val="0"/>
          <w:color w:val="000000" w:themeColor="text1"/>
        </w:rPr>
        <w:t>T</w:t>
      </w:r>
      <w:r w:rsidR="008E3308" w:rsidRPr="001B449B">
        <w:rPr>
          <w:b w:val="0"/>
          <w:i w:val="0"/>
          <w:color w:val="000000" w:themeColor="text1"/>
        </w:rPr>
        <w:t>here was consensu</w:t>
      </w:r>
      <w:r w:rsidR="00F3116A">
        <w:rPr>
          <w:b w:val="0"/>
          <w:i w:val="0"/>
          <w:color w:val="000000" w:themeColor="text1"/>
        </w:rPr>
        <w:t>s</w:t>
      </w:r>
      <w:r w:rsidR="008E3308" w:rsidRPr="001B449B">
        <w:rPr>
          <w:b w:val="0"/>
          <w:i w:val="0"/>
          <w:color w:val="000000" w:themeColor="text1"/>
        </w:rPr>
        <w:t xml:space="preserve"> t</w:t>
      </w:r>
      <w:r w:rsidR="00D127BF" w:rsidRPr="001B449B">
        <w:rPr>
          <w:b w:val="0"/>
          <w:i w:val="0"/>
          <w:color w:val="000000" w:themeColor="text1"/>
        </w:rPr>
        <w:t xml:space="preserve">he </w:t>
      </w:r>
      <w:r w:rsidR="0067290E">
        <w:rPr>
          <w:b w:val="0"/>
          <w:i w:val="0"/>
          <w:color w:val="000000" w:themeColor="text1"/>
        </w:rPr>
        <w:t xml:space="preserve">time </w:t>
      </w:r>
      <w:r w:rsidR="00D127BF" w:rsidRPr="001B449B">
        <w:rPr>
          <w:b w:val="0"/>
          <w:i w:val="0"/>
          <w:color w:val="000000" w:themeColor="text1"/>
        </w:rPr>
        <w:t>inves</w:t>
      </w:r>
      <w:r w:rsidR="0067290E">
        <w:rPr>
          <w:b w:val="0"/>
          <w:i w:val="0"/>
          <w:color w:val="000000" w:themeColor="text1"/>
        </w:rPr>
        <w:t>ted</w:t>
      </w:r>
      <w:r w:rsidR="00D127BF" w:rsidRPr="001B449B">
        <w:rPr>
          <w:b w:val="0"/>
          <w:i w:val="0"/>
          <w:color w:val="000000" w:themeColor="text1"/>
        </w:rPr>
        <w:t xml:space="preserve"> in designing the results framework and theory of change, </w:t>
      </w:r>
      <w:r w:rsidR="008E3308" w:rsidRPr="001B449B">
        <w:rPr>
          <w:b w:val="0"/>
          <w:i w:val="0"/>
          <w:color w:val="000000" w:themeColor="text1"/>
        </w:rPr>
        <w:t>in particular with support from the TAF</w:t>
      </w:r>
      <w:r w:rsidR="00F3116A">
        <w:rPr>
          <w:b w:val="0"/>
          <w:i w:val="0"/>
          <w:color w:val="000000" w:themeColor="text1"/>
        </w:rPr>
        <w:t>,</w:t>
      </w:r>
      <w:r w:rsidR="008E3308" w:rsidRPr="001B449B">
        <w:rPr>
          <w:b w:val="0"/>
          <w:i w:val="0"/>
          <w:color w:val="000000" w:themeColor="text1"/>
        </w:rPr>
        <w:t xml:space="preserve"> </w:t>
      </w:r>
      <w:r w:rsidR="00D127BF" w:rsidRPr="001B449B">
        <w:rPr>
          <w:b w:val="0"/>
          <w:i w:val="0"/>
          <w:color w:val="000000" w:themeColor="text1"/>
        </w:rPr>
        <w:t xml:space="preserve">added significant value to the substance </w:t>
      </w:r>
      <w:r w:rsidR="008E3308" w:rsidRPr="001B449B">
        <w:rPr>
          <w:b w:val="0"/>
          <w:i w:val="0"/>
          <w:color w:val="000000" w:themeColor="text1"/>
        </w:rPr>
        <w:t>and</w:t>
      </w:r>
      <w:r w:rsidR="00D127BF" w:rsidRPr="001B449B">
        <w:rPr>
          <w:b w:val="0"/>
          <w:i w:val="0"/>
          <w:color w:val="000000" w:themeColor="text1"/>
        </w:rPr>
        <w:t xml:space="preserve"> technical integrity of the program</w:t>
      </w:r>
      <w:r w:rsidR="008E3308" w:rsidRPr="001B449B">
        <w:rPr>
          <w:b w:val="0"/>
          <w:i w:val="0"/>
          <w:color w:val="000000" w:themeColor="text1"/>
        </w:rPr>
        <w:t>.</w:t>
      </w:r>
      <w:r w:rsidR="008E3308" w:rsidRPr="001B449B">
        <w:rPr>
          <w:rStyle w:val="FootnoteReference"/>
          <w:b w:val="0"/>
          <w:i w:val="0"/>
          <w:color w:val="000000" w:themeColor="text1"/>
        </w:rPr>
        <w:footnoteReference w:id="135"/>
      </w:r>
      <w:r w:rsidR="008E3308" w:rsidRPr="001B449B">
        <w:rPr>
          <w:b w:val="0"/>
          <w:i w:val="0"/>
          <w:color w:val="000000" w:themeColor="text1"/>
        </w:rPr>
        <w:t xml:space="preserve"> One World Bank informant reported the TAF helped the World Bank understand the DFAT perspective</w:t>
      </w:r>
      <w:r w:rsidR="00F3116A">
        <w:rPr>
          <w:b w:val="0"/>
          <w:i w:val="0"/>
          <w:color w:val="000000" w:themeColor="text1"/>
        </w:rPr>
        <w:t xml:space="preserve"> and</w:t>
      </w:r>
      <w:r w:rsidR="00E900C1">
        <w:rPr>
          <w:b w:val="0"/>
          <w:i w:val="0"/>
          <w:color w:val="000000" w:themeColor="text1"/>
        </w:rPr>
        <w:t xml:space="preserve"> this</w:t>
      </w:r>
      <w:r w:rsidR="008E3308" w:rsidRPr="001B449B">
        <w:rPr>
          <w:b w:val="0"/>
          <w:i w:val="0"/>
          <w:color w:val="000000" w:themeColor="text1"/>
        </w:rPr>
        <w:t xml:space="preserve"> facilitate</w:t>
      </w:r>
      <w:r w:rsidR="00E900C1">
        <w:rPr>
          <w:b w:val="0"/>
          <w:i w:val="0"/>
          <w:color w:val="000000" w:themeColor="text1"/>
        </w:rPr>
        <w:t>d</w:t>
      </w:r>
      <w:r w:rsidR="008E3308" w:rsidRPr="001B449B">
        <w:rPr>
          <w:b w:val="0"/>
          <w:i w:val="0"/>
          <w:color w:val="000000" w:themeColor="text1"/>
        </w:rPr>
        <w:t xml:space="preserve"> a better donor relationship</w:t>
      </w:r>
      <w:r w:rsidR="00F3116A">
        <w:rPr>
          <w:b w:val="0"/>
          <w:i w:val="0"/>
          <w:color w:val="000000" w:themeColor="text1"/>
        </w:rPr>
        <w:t>,</w:t>
      </w:r>
      <w:r w:rsidR="008E3308" w:rsidRPr="001B449B">
        <w:rPr>
          <w:b w:val="0"/>
          <w:i w:val="0"/>
          <w:color w:val="000000" w:themeColor="text1"/>
        </w:rPr>
        <w:t xml:space="preserve"> which ultimately helped bring gender into the program and funding design.</w:t>
      </w:r>
      <w:r w:rsidR="000B5FE5" w:rsidRPr="001B449B">
        <w:rPr>
          <w:b w:val="0"/>
          <w:i w:val="0"/>
          <w:color w:val="000000" w:themeColor="text1"/>
        </w:rPr>
        <w:t xml:space="preserve"> However</w:t>
      </w:r>
      <w:r w:rsidR="00E23FBF">
        <w:rPr>
          <w:b w:val="0"/>
          <w:i w:val="0"/>
          <w:color w:val="000000" w:themeColor="text1"/>
        </w:rPr>
        <w:t>,</w:t>
      </w:r>
      <w:r w:rsidR="000B5FE5" w:rsidRPr="001B449B">
        <w:rPr>
          <w:b w:val="0"/>
          <w:i w:val="0"/>
          <w:color w:val="000000" w:themeColor="text1"/>
        </w:rPr>
        <w:t xml:space="preserve"> it was also reported that it would be helpful for </w:t>
      </w:r>
      <w:r w:rsidR="00E900C1">
        <w:rPr>
          <w:b w:val="0"/>
          <w:i w:val="0"/>
          <w:color w:val="000000" w:themeColor="text1"/>
        </w:rPr>
        <w:t>TTL</w:t>
      </w:r>
      <w:r w:rsidR="000B5FE5" w:rsidRPr="001B449B">
        <w:rPr>
          <w:b w:val="0"/>
          <w:i w:val="0"/>
          <w:color w:val="000000" w:themeColor="text1"/>
        </w:rPr>
        <w:t xml:space="preserve"> to have clarity about the role of the TAF on SARTFP projects.</w:t>
      </w:r>
      <w:r w:rsidR="000B5FE5" w:rsidRPr="001B449B">
        <w:rPr>
          <w:rStyle w:val="FootnoteReference"/>
          <w:b w:val="0"/>
          <w:i w:val="0"/>
          <w:color w:val="000000" w:themeColor="text1"/>
        </w:rPr>
        <w:footnoteReference w:id="136"/>
      </w:r>
    </w:p>
    <w:p w14:paraId="0C740BCD" w14:textId="77777777" w:rsidR="00B84DB2" w:rsidRDefault="00B84DB2" w:rsidP="00B84DB2">
      <w:pPr>
        <w:pStyle w:val="recommendation"/>
      </w:pPr>
      <w:r>
        <w:t>Recommendation:</w:t>
      </w:r>
    </w:p>
    <w:p w14:paraId="5AF564CE" w14:textId="446B2C0C" w:rsidR="00B84DB2" w:rsidRDefault="00954645" w:rsidP="004C3817">
      <w:pPr>
        <w:pStyle w:val="recommendation"/>
        <w:ind w:left="360"/>
        <w:rPr>
          <w:lang w:val="en-AU"/>
        </w:rPr>
      </w:pPr>
      <w:bookmarkStart w:id="43" w:name="_Hlk514053676"/>
      <w:r>
        <w:rPr>
          <w:lang w:val="en-AU"/>
        </w:rPr>
        <w:t xml:space="preserve">16. </w:t>
      </w:r>
      <w:r w:rsidR="00E23FBF">
        <w:rPr>
          <w:lang w:val="en-AU"/>
        </w:rPr>
        <w:t xml:space="preserve">Clearly define </w:t>
      </w:r>
      <w:r w:rsidR="00B84DB2" w:rsidRPr="006C6851">
        <w:rPr>
          <w:lang w:val="en-AU"/>
        </w:rPr>
        <w:t xml:space="preserve">TAF </w:t>
      </w:r>
      <w:r w:rsidR="00E23FBF">
        <w:rPr>
          <w:lang w:val="en-AU"/>
        </w:rPr>
        <w:t>role parameters</w:t>
      </w:r>
      <w:r w:rsidR="00B84DB2" w:rsidRPr="006C6851">
        <w:rPr>
          <w:lang w:val="en-AU"/>
        </w:rPr>
        <w:t xml:space="preserve"> </w:t>
      </w:r>
      <w:r w:rsidR="00F70552">
        <w:rPr>
          <w:lang w:val="en-AU"/>
        </w:rPr>
        <w:t xml:space="preserve">so that the World Bank is able to maximise their technical skills and </w:t>
      </w:r>
      <w:r w:rsidR="00B84DB2" w:rsidRPr="006C6851">
        <w:rPr>
          <w:lang w:val="en-AU"/>
        </w:rPr>
        <w:t xml:space="preserve">empower gender equality champions within the Bank </w:t>
      </w:r>
      <w:bookmarkEnd w:id="43"/>
    </w:p>
    <w:p w14:paraId="0C427792" w14:textId="77777777" w:rsidR="00A02664" w:rsidRDefault="00A02664">
      <w:pPr>
        <w:spacing w:before="0" w:after="0"/>
        <w:rPr>
          <w:rFonts w:eastAsiaTheme="minorHAnsi"/>
          <w:b/>
          <w:i/>
          <w:color w:val="C45911" w:themeColor="accent2" w:themeShade="BF"/>
          <w:sz w:val="22"/>
        </w:rPr>
      </w:pPr>
      <w:r>
        <w:br w:type="page"/>
      </w:r>
    </w:p>
    <w:p w14:paraId="1329088F" w14:textId="616574E6" w:rsidR="00D127BF" w:rsidRPr="00624BFC" w:rsidRDefault="00D127BF" w:rsidP="003B65ED">
      <w:pPr>
        <w:pStyle w:val="KeyFinding"/>
      </w:pPr>
      <w:r w:rsidRPr="00624BFC">
        <w:lastRenderedPageBreak/>
        <w:t>To ensure that gender equality and other development issues are integrated into World Bank lending involves responsibility on both sides.</w:t>
      </w:r>
    </w:p>
    <w:p w14:paraId="283A01A2" w14:textId="63C42798" w:rsidR="00E23FBF" w:rsidRPr="001B449B" w:rsidRDefault="00D23C57" w:rsidP="00894DA7">
      <w:pPr>
        <w:rPr>
          <w:sz w:val="22"/>
        </w:rPr>
      </w:pPr>
      <w:r w:rsidRPr="001B449B">
        <w:rPr>
          <w:sz w:val="22"/>
        </w:rPr>
        <w:t>If DFAT ha</w:t>
      </w:r>
      <w:r w:rsidR="003322EB">
        <w:rPr>
          <w:sz w:val="22"/>
        </w:rPr>
        <w:t>s</w:t>
      </w:r>
      <w:r w:rsidRPr="001B449B">
        <w:rPr>
          <w:sz w:val="22"/>
        </w:rPr>
        <w:t xml:space="preserve"> very definite parameters for SARTFP, this requires DFAT to be prepared to </w:t>
      </w:r>
      <w:r w:rsidR="0067290E">
        <w:rPr>
          <w:sz w:val="22"/>
        </w:rPr>
        <w:t>direct</w:t>
      </w:r>
      <w:r w:rsidRPr="001B449B">
        <w:rPr>
          <w:sz w:val="22"/>
        </w:rPr>
        <w:t xml:space="preserve"> the TAF </w:t>
      </w:r>
      <w:r w:rsidR="0067290E">
        <w:rPr>
          <w:sz w:val="22"/>
        </w:rPr>
        <w:t xml:space="preserve">on </w:t>
      </w:r>
      <w:r w:rsidRPr="001B449B">
        <w:rPr>
          <w:sz w:val="22"/>
        </w:rPr>
        <w:t xml:space="preserve">what </w:t>
      </w:r>
      <w:r w:rsidR="0067290E">
        <w:rPr>
          <w:sz w:val="22"/>
        </w:rPr>
        <w:t xml:space="preserve">areas </w:t>
      </w:r>
      <w:r w:rsidRPr="001B449B">
        <w:rPr>
          <w:sz w:val="22"/>
        </w:rPr>
        <w:t xml:space="preserve">to push through the medium of technical input. Therefore, although DFAT can outsource to TAF the technical integrity and a certain amount of investment oversight, DFAT cannot outsource </w:t>
      </w:r>
      <w:r w:rsidR="003322EB">
        <w:rPr>
          <w:sz w:val="22"/>
        </w:rPr>
        <w:t>its</w:t>
      </w:r>
      <w:r w:rsidR="003322EB" w:rsidRPr="001B449B">
        <w:rPr>
          <w:sz w:val="22"/>
        </w:rPr>
        <w:t xml:space="preserve"> </w:t>
      </w:r>
      <w:r w:rsidRPr="001B449B">
        <w:rPr>
          <w:sz w:val="22"/>
        </w:rPr>
        <w:t xml:space="preserve">political role. </w:t>
      </w:r>
      <w:r w:rsidR="00A93FE9">
        <w:rPr>
          <w:sz w:val="22"/>
        </w:rPr>
        <w:t>Al</w:t>
      </w:r>
      <w:r w:rsidR="00A93FE9" w:rsidRPr="001B449B">
        <w:rPr>
          <w:sz w:val="22"/>
        </w:rPr>
        <w:t xml:space="preserve">though </w:t>
      </w:r>
      <w:r w:rsidR="00A93FE9">
        <w:rPr>
          <w:sz w:val="22"/>
        </w:rPr>
        <w:t>engagement between the TAF and the World Bank to date</w:t>
      </w:r>
      <w:r w:rsidR="00A93FE9" w:rsidRPr="001B449B">
        <w:rPr>
          <w:sz w:val="22"/>
        </w:rPr>
        <w:t xml:space="preserve"> has been seen by all parties as constructive</w:t>
      </w:r>
      <w:r w:rsidR="00A93FE9">
        <w:rPr>
          <w:sz w:val="22"/>
        </w:rPr>
        <w:t xml:space="preserve">, DFAT needs to continue to </w:t>
      </w:r>
      <w:r w:rsidRPr="001B449B">
        <w:rPr>
          <w:sz w:val="22"/>
        </w:rPr>
        <w:t>re</w:t>
      </w:r>
      <w:r w:rsidR="005C7B81">
        <w:rPr>
          <w:sz w:val="22"/>
        </w:rPr>
        <w:t>inforce</w:t>
      </w:r>
      <w:r w:rsidRPr="001B449B">
        <w:rPr>
          <w:sz w:val="22"/>
        </w:rPr>
        <w:t xml:space="preserve"> the World Bank’s inclusion of the TAF in </w:t>
      </w:r>
      <w:r w:rsidR="005C7B81">
        <w:rPr>
          <w:sz w:val="22"/>
        </w:rPr>
        <w:t>program implementation</w:t>
      </w:r>
      <w:r w:rsidR="00A93FE9">
        <w:rPr>
          <w:sz w:val="22"/>
        </w:rPr>
        <w:t>, so that their technical expertise is used to maximum potential</w:t>
      </w:r>
      <w:r w:rsidRPr="001B449B">
        <w:rPr>
          <w:sz w:val="22"/>
        </w:rPr>
        <w:t>.</w:t>
      </w:r>
    </w:p>
    <w:p w14:paraId="545D79B8" w14:textId="77777777" w:rsidR="00D23C57" w:rsidRPr="00E03429" w:rsidRDefault="00D23C57" w:rsidP="00894DA7">
      <w:pPr>
        <w:pStyle w:val="recommendation"/>
      </w:pPr>
      <w:r w:rsidRPr="00E03429">
        <w:t>Recommendation</w:t>
      </w:r>
      <w:r w:rsidR="00097449">
        <w:t>s</w:t>
      </w:r>
    </w:p>
    <w:p w14:paraId="211367D4" w14:textId="57385C09" w:rsidR="00D23C57" w:rsidRPr="00CA6811" w:rsidRDefault="007D2EF6" w:rsidP="004C3817">
      <w:pPr>
        <w:pStyle w:val="recommendation"/>
        <w:ind w:left="360"/>
        <w:rPr>
          <w:szCs w:val="20"/>
          <w:lang w:val="en-AU"/>
        </w:rPr>
      </w:pPr>
      <w:bookmarkStart w:id="44" w:name="_Hlk514053817"/>
      <w:r>
        <w:rPr>
          <w:lang w:val="en-AU"/>
        </w:rPr>
        <w:t xml:space="preserve">17. </w:t>
      </w:r>
      <w:r w:rsidR="00E23FBF">
        <w:rPr>
          <w:lang w:val="en-AU"/>
        </w:rPr>
        <w:t>DFAT maintain</w:t>
      </w:r>
      <w:r w:rsidR="003322EB">
        <w:rPr>
          <w:lang w:val="en-AU"/>
        </w:rPr>
        <w:t>s</w:t>
      </w:r>
      <w:r w:rsidR="00E23FBF">
        <w:rPr>
          <w:lang w:val="en-AU"/>
        </w:rPr>
        <w:t xml:space="preserve"> close involvement in </w:t>
      </w:r>
      <w:r w:rsidR="003322EB">
        <w:rPr>
          <w:lang w:val="en-AU"/>
        </w:rPr>
        <w:t xml:space="preserve">SARTFP </w:t>
      </w:r>
      <w:r w:rsidR="00D23C57" w:rsidRPr="006C6851">
        <w:rPr>
          <w:lang w:val="en-AU"/>
        </w:rPr>
        <w:t xml:space="preserve">to continually </w:t>
      </w:r>
      <w:r w:rsidR="00E23FBF">
        <w:rPr>
          <w:lang w:val="en-AU"/>
        </w:rPr>
        <w:t xml:space="preserve">reinforce </w:t>
      </w:r>
      <w:r w:rsidR="00D23C57" w:rsidRPr="006C6851">
        <w:rPr>
          <w:lang w:val="en-AU"/>
        </w:rPr>
        <w:t xml:space="preserve">the Bank’s understanding </w:t>
      </w:r>
      <w:r w:rsidR="00D23C57" w:rsidRPr="00CA6811">
        <w:rPr>
          <w:szCs w:val="20"/>
          <w:lang w:val="en-AU"/>
        </w:rPr>
        <w:t>of the nature of the partnership and the role of TAF within the program</w:t>
      </w:r>
      <w:bookmarkEnd w:id="44"/>
      <w:r w:rsidR="00D23C57" w:rsidRPr="00CA6811">
        <w:rPr>
          <w:szCs w:val="20"/>
          <w:lang w:val="en-AU"/>
        </w:rPr>
        <w:t>.</w:t>
      </w:r>
    </w:p>
    <w:p w14:paraId="0082FDA5" w14:textId="77777777" w:rsidR="00D23C57" w:rsidRPr="00624BFC" w:rsidRDefault="00097449" w:rsidP="002A231B">
      <w:pPr>
        <w:pStyle w:val="KeyFinding"/>
        <w:rPr>
          <w:lang w:val="en-AU"/>
        </w:rPr>
      </w:pPr>
      <w:r w:rsidRPr="00624BFC">
        <w:t xml:space="preserve">The work that is happening within individual projects, is not always shared more widely, or connected to other projects. SARTFP is thus seen as a </w:t>
      </w:r>
      <w:r w:rsidR="00BE3D83" w:rsidRPr="00624BFC">
        <w:t>collection</w:t>
      </w:r>
      <w:r w:rsidRPr="00624BFC">
        <w:t xml:space="preserve"> of disparate </w:t>
      </w:r>
      <w:r w:rsidR="00BE3D83" w:rsidRPr="00624BFC">
        <w:t>projects, instead of a strategic portfolio</w:t>
      </w:r>
      <w:r w:rsidRPr="00624BFC">
        <w:t xml:space="preserve"> that is testing a theory of change.</w:t>
      </w:r>
    </w:p>
    <w:p w14:paraId="3C495D50" w14:textId="0B63729C" w:rsidR="00903C0E" w:rsidRPr="001B449B" w:rsidRDefault="00903C0E" w:rsidP="001A78AF">
      <w:pPr>
        <w:rPr>
          <w:sz w:val="22"/>
        </w:rPr>
      </w:pPr>
      <w:r w:rsidRPr="001B449B">
        <w:rPr>
          <w:sz w:val="22"/>
        </w:rPr>
        <w:t>An impediment to learning is described by one</w:t>
      </w:r>
      <w:r w:rsidR="00537612">
        <w:rPr>
          <w:sz w:val="22"/>
        </w:rPr>
        <w:t xml:space="preserve"> World Bank</w:t>
      </w:r>
      <w:r w:rsidRPr="001B449B">
        <w:rPr>
          <w:sz w:val="22"/>
        </w:rPr>
        <w:t xml:space="preserve"> interviewee as </w:t>
      </w:r>
      <w:r w:rsidR="00D127BF" w:rsidRPr="001B449B">
        <w:rPr>
          <w:sz w:val="22"/>
        </w:rPr>
        <w:t>“</w:t>
      </w:r>
      <w:r w:rsidRPr="001B449B">
        <w:rPr>
          <w:i/>
          <w:sz w:val="22"/>
        </w:rPr>
        <w:t>DFAT focuses too much on projects, not the bigger picture, but also the Bank is not good at helping DFAT see the bigger picture</w:t>
      </w:r>
      <w:r w:rsidRPr="001B449B">
        <w:rPr>
          <w:sz w:val="22"/>
        </w:rPr>
        <w:t>.</w:t>
      </w:r>
      <w:r w:rsidR="00D127BF" w:rsidRPr="001B449B">
        <w:rPr>
          <w:sz w:val="22"/>
        </w:rPr>
        <w:t>”</w:t>
      </w:r>
      <w:r w:rsidRPr="001B449B">
        <w:rPr>
          <w:sz w:val="22"/>
        </w:rPr>
        <w:t xml:space="preserve"> The work that is happening within individual projects is not always shared more widely, or connected to other projects. This leads to the problem of atomisation,</w:t>
      </w:r>
      <w:r w:rsidR="00BE3D83" w:rsidRPr="001B449B">
        <w:rPr>
          <w:sz w:val="22"/>
        </w:rPr>
        <w:t xml:space="preserve"> with</w:t>
      </w:r>
      <w:r w:rsidR="00BE3D83">
        <w:t xml:space="preserve"> </w:t>
      </w:r>
      <w:r w:rsidR="00BE3D83" w:rsidRPr="001B449B">
        <w:rPr>
          <w:sz w:val="22"/>
        </w:rPr>
        <w:t>SARTFP seen as a collection</w:t>
      </w:r>
      <w:r w:rsidRPr="001B449B">
        <w:rPr>
          <w:sz w:val="22"/>
        </w:rPr>
        <w:t xml:space="preserve"> of disparate projects, </w:t>
      </w:r>
      <w:r w:rsidR="00BE3D83" w:rsidRPr="001B449B">
        <w:rPr>
          <w:sz w:val="22"/>
        </w:rPr>
        <w:t>instead of a strategic portfolio</w:t>
      </w:r>
      <w:r w:rsidRPr="001B449B">
        <w:rPr>
          <w:sz w:val="22"/>
        </w:rPr>
        <w:t xml:space="preserve"> that is testing a theory of change.</w:t>
      </w:r>
    </w:p>
    <w:p w14:paraId="658D8CA5" w14:textId="1BAD8F16" w:rsidR="00BF1BA6" w:rsidRPr="001B449B" w:rsidRDefault="00903C0E" w:rsidP="001A78AF">
      <w:pPr>
        <w:rPr>
          <w:sz w:val="22"/>
        </w:rPr>
      </w:pPr>
      <w:r w:rsidRPr="001B449B">
        <w:rPr>
          <w:sz w:val="22"/>
        </w:rPr>
        <w:t xml:space="preserve">Another challenge for sharing results is that </w:t>
      </w:r>
      <w:r w:rsidR="00D127BF" w:rsidRPr="001B449B">
        <w:rPr>
          <w:i/>
          <w:sz w:val="22"/>
        </w:rPr>
        <w:t>“</w:t>
      </w:r>
      <w:r w:rsidRPr="001B449B">
        <w:rPr>
          <w:i/>
          <w:sz w:val="22"/>
        </w:rPr>
        <w:t xml:space="preserve">if it's not a core WB event, then it doesn't have influence and reach within the </w:t>
      </w:r>
      <w:r w:rsidR="007E431E">
        <w:rPr>
          <w:i/>
          <w:sz w:val="22"/>
        </w:rPr>
        <w:t>B</w:t>
      </w:r>
      <w:r w:rsidRPr="001B449B">
        <w:rPr>
          <w:i/>
          <w:sz w:val="22"/>
        </w:rPr>
        <w:t>ank</w:t>
      </w:r>
      <w:r w:rsidRPr="001B449B">
        <w:rPr>
          <w:sz w:val="22"/>
        </w:rPr>
        <w:t>.</w:t>
      </w:r>
      <w:r w:rsidR="00133F5A" w:rsidRPr="001B449B">
        <w:rPr>
          <w:sz w:val="22"/>
        </w:rPr>
        <w:t>”</w:t>
      </w:r>
      <w:r w:rsidR="00133F5A" w:rsidRPr="001B449B">
        <w:rPr>
          <w:rStyle w:val="FootnoteReference"/>
          <w:sz w:val="22"/>
        </w:rPr>
        <w:footnoteReference w:id="137"/>
      </w:r>
      <w:r w:rsidRPr="001B449B">
        <w:rPr>
          <w:sz w:val="22"/>
        </w:rPr>
        <w:t xml:space="preserve"> </w:t>
      </w:r>
      <w:r w:rsidR="007E431E">
        <w:rPr>
          <w:sz w:val="22"/>
        </w:rPr>
        <w:t>In</w:t>
      </w:r>
      <w:r w:rsidRPr="001B449B">
        <w:rPr>
          <w:sz w:val="22"/>
        </w:rPr>
        <w:t xml:space="preserve"> management theory </w:t>
      </w:r>
      <w:r w:rsidR="007E431E">
        <w:rPr>
          <w:sz w:val="22"/>
        </w:rPr>
        <w:t xml:space="preserve">this is referred </w:t>
      </w:r>
      <w:r w:rsidRPr="001B449B">
        <w:rPr>
          <w:sz w:val="22"/>
        </w:rPr>
        <w:t>as the 'not invented here' syndrome, which can build resistance to learning and adaptation, undermining the ethos of the partnership.</w:t>
      </w:r>
      <w:r w:rsidRPr="001B449B">
        <w:rPr>
          <w:rStyle w:val="FootnoteReference"/>
          <w:sz w:val="22"/>
        </w:rPr>
        <w:footnoteReference w:id="138"/>
      </w:r>
      <w:r w:rsidRPr="001B449B">
        <w:rPr>
          <w:sz w:val="22"/>
        </w:rPr>
        <w:t xml:space="preserve"> For instance, at a Gender </w:t>
      </w:r>
      <w:r w:rsidR="007E431E">
        <w:rPr>
          <w:sz w:val="22"/>
        </w:rPr>
        <w:t>and</w:t>
      </w:r>
      <w:r w:rsidRPr="001B449B">
        <w:rPr>
          <w:sz w:val="22"/>
        </w:rPr>
        <w:t xml:space="preserve"> Trade Facilitation Workshop in Delhi in </w:t>
      </w:r>
      <w:r w:rsidR="00133F5A" w:rsidRPr="001B449B">
        <w:rPr>
          <w:sz w:val="22"/>
        </w:rPr>
        <w:t xml:space="preserve">April </w:t>
      </w:r>
      <w:r w:rsidRPr="001B449B">
        <w:rPr>
          <w:sz w:val="22"/>
        </w:rPr>
        <w:t xml:space="preserve">2017, expectations were built up with participants, including civil society </w:t>
      </w:r>
      <w:r w:rsidR="00FE3446" w:rsidRPr="001B449B">
        <w:rPr>
          <w:sz w:val="22"/>
        </w:rPr>
        <w:t>organisations that</w:t>
      </w:r>
      <w:r w:rsidRPr="001B449B">
        <w:rPr>
          <w:sz w:val="22"/>
        </w:rPr>
        <w:t xml:space="preserve"> th</w:t>
      </w:r>
      <w:r w:rsidR="00537612">
        <w:rPr>
          <w:sz w:val="22"/>
        </w:rPr>
        <w:t>e workshop</w:t>
      </w:r>
      <w:r w:rsidRPr="001B449B">
        <w:rPr>
          <w:sz w:val="22"/>
        </w:rPr>
        <w:t xml:space="preserve"> would lead to </w:t>
      </w:r>
      <w:r w:rsidR="00537612">
        <w:rPr>
          <w:sz w:val="22"/>
        </w:rPr>
        <w:t xml:space="preserve">implementation of </w:t>
      </w:r>
      <w:r w:rsidRPr="001B449B">
        <w:rPr>
          <w:sz w:val="22"/>
        </w:rPr>
        <w:t>next step</w:t>
      </w:r>
      <w:r w:rsidR="00537612">
        <w:rPr>
          <w:sz w:val="22"/>
        </w:rPr>
        <w:t xml:space="preserve">s, including </w:t>
      </w:r>
      <w:r w:rsidR="005143A7">
        <w:rPr>
          <w:sz w:val="22"/>
        </w:rPr>
        <w:t xml:space="preserve">key actions agreed for SARTFP. </w:t>
      </w:r>
      <w:r w:rsidRPr="001B449B">
        <w:rPr>
          <w:sz w:val="22"/>
        </w:rPr>
        <w:t>However,</w:t>
      </w:r>
      <w:r w:rsidR="00623285">
        <w:rPr>
          <w:sz w:val="22"/>
        </w:rPr>
        <w:t xml:space="preserve"> based on int</w:t>
      </w:r>
      <w:r w:rsidR="00316F75">
        <w:rPr>
          <w:sz w:val="22"/>
        </w:rPr>
        <w:t xml:space="preserve">erviews with the World Bank, </w:t>
      </w:r>
      <w:r w:rsidR="00623285">
        <w:rPr>
          <w:sz w:val="22"/>
        </w:rPr>
        <w:t>DFAT</w:t>
      </w:r>
      <w:r w:rsidRPr="001B449B">
        <w:rPr>
          <w:sz w:val="22"/>
        </w:rPr>
        <w:t xml:space="preserve"> </w:t>
      </w:r>
      <w:r w:rsidR="00316F75">
        <w:rPr>
          <w:sz w:val="22"/>
        </w:rPr>
        <w:t xml:space="preserve">and members of the TAF, </w:t>
      </w:r>
      <w:r w:rsidR="00623285">
        <w:rPr>
          <w:sz w:val="22"/>
        </w:rPr>
        <w:t>there were different interpretations of</w:t>
      </w:r>
      <w:r w:rsidRPr="001B449B">
        <w:rPr>
          <w:sz w:val="22"/>
        </w:rPr>
        <w:t xml:space="preserve"> who ‘owned’ the </w:t>
      </w:r>
      <w:r w:rsidR="005143A7">
        <w:rPr>
          <w:sz w:val="22"/>
        </w:rPr>
        <w:t>workshop</w:t>
      </w:r>
      <w:r w:rsidR="00623285">
        <w:rPr>
          <w:sz w:val="22"/>
        </w:rPr>
        <w:t xml:space="preserve">, </w:t>
      </w:r>
      <w:r w:rsidRPr="001B449B">
        <w:rPr>
          <w:sz w:val="22"/>
        </w:rPr>
        <w:t>next actions, and what happened next.</w:t>
      </w:r>
      <w:r w:rsidR="00623285">
        <w:rPr>
          <w:sz w:val="22"/>
        </w:rPr>
        <w:t xml:space="preserve"> Therefore</w:t>
      </w:r>
      <w:r w:rsidRPr="001B449B">
        <w:rPr>
          <w:sz w:val="22"/>
        </w:rPr>
        <w:t xml:space="preserve"> the </w:t>
      </w:r>
      <w:r w:rsidR="00623285">
        <w:rPr>
          <w:sz w:val="22"/>
        </w:rPr>
        <w:t xml:space="preserve">partnership </w:t>
      </w:r>
      <w:r w:rsidRPr="001B449B">
        <w:rPr>
          <w:sz w:val="22"/>
        </w:rPr>
        <w:t xml:space="preserve">management model for innovative programs such as SARTFP needs to pay attention to how the 'learning and sharing' mechanisms are designed and fully integrated into existing systems in both WB and DFAT and perhaps also </w:t>
      </w:r>
      <w:r w:rsidR="007E431E">
        <w:rPr>
          <w:sz w:val="22"/>
        </w:rPr>
        <w:t xml:space="preserve">with </w:t>
      </w:r>
      <w:r w:rsidRPr="001B449B">
        <w:rPr>
          <w:sz w:val="22"/>
        </w:rPr>
        <w:t>other donors and institutions.</w:t>
      </w:r>
    </w:p>
    <w:p w14:paraId="02597F4B" w14:textId="77777777" w:rsidR="003322EB" w:rsidRPr="00624BFC" w:rsidRDefault="00097449" w:rsidP="002A231B">
      <w:pPr>
        <w:pStyle w:val="KeyFinding"/>
        <w:rPr>
          <w:lang w:val="en-AU"/>
        </w:rPr>
      </w:pPr>
      <w:r w:rsidRPr="00624BFC">
        <w:rPr>
          <w:lang w:val="en-AU"/>
        </w:rPr>
        <w:t xml:space="preserve">The partnership between DFAT and WB should </w:t>
      </w:r>
      <w:r w:rsidR="007E431E" w:rsidRPr="00624BFC">
        <w:rPr>
          <w:lang w:val="en-AU"/>
        </w:rPr>
        <w:t>consider</w:t>
      </w:r>
      <w:r w:rsidRPr="00624BFC">
        <w:rPr>
          <w:lang w:val="en-AU"/>
        </w:rPr>
        <w:t xml:space="preserve"> how roles should evolve over the course of the program</w:t>
      </w:r>
    </w:p>
    <w:p w14:paraId="3E75228F" w14:textId="140618E2" w:rsidR="007337D9" w:rsidRPr="001B449B" w:rsidRDefault="00133F5A">
      <w:pPr>
        <w:rPr>
          <w:sz w:val="22"/>
        </w:rPr>
      </w:pPr>
      <w:r w:rsidRPr="001B449B">
        <w:rPr>
          <w:sz w:val="22"/>
          <w:lang w:val="en-AU"/>
        </w:rPr>
        <w:t>According to interviews with both DFAT and the World Bank</w:t>
      </w:r>
      <w:r w:rsidR="007E431E">
        <w:rPr>
          <w:sz w:val="22"/>
          <w:lang w:val="en-AU"/>
        </w:rPr>
        <w:t>,</w:t>
      </w:r>
      <w:r w:rsidRPr="001B449B">
        <w:rPr>
          <w:sz w:val="22"/>
          <w:lang w:val="en-AU"/>
        </w:rPr>
        <w:t xml:space="preserve"> t</w:t>
      </w:r>
      <w:r w:rsidR="007337D9" w:rsidRPr="001B449B">
        <w:rPr>
          <w:sz w:val="22"/>
          <w:lang w:val="en-AU"/>
        </w:rPr>
        <w:t>he distinction between the different management models used for IFG and SARTFP is not widely understood, or consistently applied.</w:t>
      </w:r>
      <w:r w:rsidRPr="001B449B">
        <w:rPr>
          <w:rStyle w:val="FootnoteReference"/>
          <w:sz w:val="22"/>
          <w:lang w:val="en-AU"/>
        </w:rPr>
        <w:footnoteReference w:id="139"/>
      </w:r>
      <w:r w:rsidR="007337D9" w:rsidRPr="001B449B">
        <w:rPr>
          <w:sz w:val="22"/>
          <w:lang w:val="en-AU"/>
        </w:rPr>
        <w:t xml:space="preserve"> </w:t>
      </w:r>
      <w:r w:rsidR="007337D9" w:rsidRPr="001B449B">
        <w:rPr>
          <w:sz w:val="22"/>
        </w:rPr>
        <w:t xml:space="preserve">World Bank staff </w:t>
      </w:r>
      <w:r w:rsidR="007E431E">
        <w:rPr>
          <w:sz w:val="22"/>
        </w:rPr>
        <w:t>we</w:t>
      </w:r>
      <w:r w:rsidR="007337D9" w:rsidRPr="001B449B">
        <w:rPr>
          <w:sz w:val="22"/>
        </w:rPr>
        <w:t xml:space="preserve">re less aware of terminology used to describe partnerships. They were more likely to see </w:t>
      </w:r>
      <w:r w:rsidR="007E431E" w:rsidRPr="001B449B">
        <w:rPr>
          <w:sz w:val="22"/>
        </w:rPr>
        <w:t>th</w:t>
      </w:r>
      <w:r w:rsidR="007E431E">
        <w:rPr>
          <w:sz w:val="22"/>
        </w:rPr>
        <w:t>e</w:t>
      </w:r>
      <w:r w:rsidR="007E431E" w:rsidRPr="001B449B">
        <w:rPr>
          <w:sz w:val="22"/>
        </w:rPr>
        <w:t xml:space="preserve"> '</w:t>
      </w:r>
      <w:r w:rsidR="003322EB">
        <w:rPr>
          <w:sz w:val="22"/>
        </w:rPr>
        <w:t>P</w:t>
      </w:r>
      <w:r w:rsidR="007E431E" w:rsidRPr="001B449B">
        <w:rPr>
          <w:sz w:val="22"/>
        </w:rPr>
        <w:t>artnership for South Asia' as the umbrella term for whole trust fund</w:t>
      </w:r>
      <w:r w:rsidR="007E431E">
        <w:rPr>
          <w:sz w:val="22"/>
        </w:rPr>
        <w:t>, and</w:t>
      </w:r>
      <w:r w:rsidR="007E431E" w:rsidRPr="001B449B">
        <w:rPr>
          <w:sz w:val="22"/>
        </w:rPr>
        <w:t xml:space="preserve"> </w:t>
      </w:r>
      <w:r w:rsidR="007337D9" w:rsidRPr="001B449B">
        <w:rPr>
          <w:sz w:val="22"/>
        </w:rPr>
        <w:t>the</w:t>
      </w:r>
      <w:r w:rsidR="005143A7">
        <w:rPr>
          <w:sz w:val="22"/>
        </w:rPr>
        <w:t xml:space="preserve">refore the </w:t>
      </w:r>
      <w:r w:rsidR="007337D9" w:rsidRPr="001B449B">
        <w:rPr>
          <w:sz w:val="22"/>
        </w:rPr>
        <w:t xml:space="preserve">partnership defined by the </w:t>
      </w:r>
      <w:r w:rsidR="005143A7">
        <w:rPr>
          <w:sz w:val="22"/>
        </w:rPr>
        <w:t xml:space="preserve">broader </w:t>
      </w:r>
      <w:r w:rsidR="007337D9" w:rsidRPr="001B449B">
        <w:rPr>
          <w:sz w:val="22"/>
        </w:rPr>
        <w:t>trust fund agreement</w:t>
      </w:r>
      <w:r w:rsidR="005143A7">
        <w:rPr>
          <w:sz w:val="22"/>
        </w:rPr>
        <w:t>.</w:t>
      </w:r>
    </w:p>
    <w:p w14:paraId="2EBB9847" w14:textId="77777777" w:rsidR="001F4257" w:rsidRPr="001B449B" w:rsidRDefault="007337D9">
      <w:pPr>
        <w:rPr>
          <w:sz w:val="22"/>
          <w:lang w:val="en-AU"/>
        </w:rPr>
      </w:pPr>
      <w:r w:rsidRPr="001B449B">
        <w:rPr>
          <w:sz w:val="22"/>
        </w:rPr>
        <w:t>Instead of defining the partnership by the extent to which DFAT is more directly involved in program decisions, it may be more helpful to describe how different styles of partnership could be needed at different stages in the program, and at different management levels. For the partnership to be successful, there needs to be mutual trust to avoid micromanagement by the donor. This requires both partners to be fully present when the strategic elements of the program are being designed</w:t>
      </w:r>
      <w:r w:rsidR="007E431E">
        <w:rPr>
          <w:sz w:val="22"/>
        </w:rPr>
        <w:t>;</w:t>
      </w:r>
      <w:r w:rsidRPr="001B449B">
        <w:rPr>
          <w:sz w:val="22"/>
        </w:rPr>
        <w:t xml:space="preserve"> thus, the donor can be confident the strategy best reflects the objectives, and the World Bank can </w:t>
      </w:r>
      <w:r w:rsidRPr="001B449B">
        <w:rPr>
          <w:sz w:val="22"/>
        </w:rPr>
        <w:lastRenderedPageBreak/>
        <w:t xml:space="preserve">have clear goals and operating parameters.  This hybrid approach will also require good communication of progress and performance stories, so both parties can adapt the strategy in the light of experience. The learning and adaptation process is thus the link between strategy, as a high level ‘partnership’ activity, and tactical decisions made by the Bank acting in a ‘partner-led’ way. </w:t>
      </w:r>
    </w:p>
    <w:p w14:paraId="6DCD9B7B" w14:textId="77777777" w:rsidR="00682EC5" w:rsidRPr="00397BE0" w:rsidRDefault="00765EE6" w:rsidP="002A231B">
      <w:pPr>
        <w:pStyle w:val="recommendation"/>
      </w:pPr>
      <w:r w:rsidRPr="00397BE0">
        <w:t xml:space="preserve">Recommendation </w:t>
      </w:r>
    </w:p>
    <w:p w14:paraId="03D2A6AA" w14:textId="266D4F7D" w:rsidR="00765EE6" w:rsidRDefault="007D2EF6" w:rsidP="004C3817">
      <w:pPr>
        <w:pStyle w:val="recommendation"/>
        <w:pBdr>
          <w:bottom w:val="single" w:sz="8" w:space="0" w:color="767171" w:themeColor="background2" w:themeShade="80"/>
        </w:pBdr>
        <w:ind w:left="360"/>
      </w:pPr>
      <w:bookmarkStart w:id="45" w:name="_Hlk514053869"/>
      <w:r>
        <w:t xml:space="preserve">18. </w:t>
      </w:r>
      <w:r w:rsidR="00765EE6">
        <w:t xml:space="preserve">Consider </w:t>
      </w:r>
      <w:r w:rsidR="00397BE0">
        <w:t xml:space="preserve">a </w:t>
      </w:r>
      <w:r w:rsidR="0053368B">
        <w:t xml:space="preserve">phased </w:t>
      </w:r>
      <w:r w:rsidR="00397BE0">
        <w:t xml:space="preserve">management model that allows for a close partnership to agree initial strategy </w:t>
      </w:r>
      <w:r w:rsidR="0053368B">
        <w:t xml:space="preserve">that transitions to </w:t>
      </w:r>
      <w:r w:rsidR="00397BE0">
        <w:t xml:space="preserve">more autonomy for </w:t>
      </w:r>
      <w:r w:rsidR="00212FD2">
        <w:t xml:space="preserve">the Bank regarding </w:t>
      </w:r>
      <w:r w:rsidR="00397BE0">
        <w:t>tactical decisions</w:t>
      </w:r>
      <w:bookmarkEnd w:id="45"/>
      <w:r w:rsidR="00397BE0">
        <w:t>.</w:t>
      </w:r>
    </w:p>
    <w:p w14:paraId="4350674E" w14:textId="77777777" w:rsidR="00A90E0D" w:rsidRPr="00A90E0D" w:rsidRDefault="00A90E0D" w:rsidP="000151BA"/>
    <w:p w14:paraId="7E97E0DE" w14:textId="77777777" w:rsidR="00DB2C8F" w:rsidRDefault="00432A0E" w:rsidP="005E2A14">
      <w:pPr>
        <w:pStyle w:val="Heading1"/>
      </w:pPr>
      <w:bookmarkStart w:id="46" w:name="_Hlk514053919"/>
      <w:bookmarkStart w:id="47" w:name="_Toc517615248"/>
      <w:r>
        <w:t xml:space="preserve">Part </w:t>
      </w:r>
      <w:r w:rsidR="003C7E3E">
        <w:t>Four</w:t>
      </w:r>
      <w:r>
        <w:t xml:space="preserve"> </w:t>
      </w:r>
      <w:r w:rsidR="00DB2C8F" w:rsidRPr="00166A23">
        <w:t>Inform DFAT’s future investments and policy decisions</w:t>
      </w:r>
      <w:bookmarkEnd w:id="46"/>
      <w:bookmarkEnd w:id="47"/>
    </w:p>
    <w:p w14:paraId="239A9412" w14:textId="01DAF6E0" w:rsidR="00FC43E7" w:rsidRPr="001B449B" w:rsidRDefault="00FC43E7" w:rsidP="005E2A14">
      <w:pPr>
        <w:rPr>
          <w:sz w:val="22"/>
        </w:rPr>
      </w:pPr>
      <w:r w:rsidRPr="001B449B">
        <w:rPr>
          <w:sz w:val="22"/>
        </w:rPr>
        <w:t xml:space="preserve">This section considers the lessons learned from IFG and SARTFP </w:t>
      </w:r>
      <w:r w:rsidR="0053368B" w:rsidRPr="001B449B">
        <w:rPr>
          <w:sz w:val="22"/>
        </w:rPr>
        <w:t>to</w:t>
      </w:r>
      <w:r w:rsidRPr="001B449B">
        <w:rPr>
          <w:sz w:val="22"/>
        </w:rPr>
        <w:t xml:space="preserve"> shape options for how DFAT could plan </w:t>
      </w:r>
      <w:r w:rsidR="00BD71FB">
        <w:rPr>
          <w:sz w:val="22"/>
        </w:rPr>
        <w:t xml:space="preserve">future </w:t>
      </w:r>
      <w:r w:rsidRPr="001B449B">
        <w:rPr>
          <w:sz w:val="22"/>
        </w:rPr>
        <w:t>investments in the South Asia Region, as well as in other places. As such the structure for this section does not contain key findings but is organised around themes and recommendations.</w:t>
      </w:r>
    </w:p>
    <w:p w14:paraId="7C2F2DE8" w14:textId="77777777" w:rsidR="00FC43E7" w:rsidRDefault="002C635C" w:rsidP="005E2A14">
      <w:pPr>
        <w:pStyle w:val="Heading2"/>
      </w:pPr>
      <w:bookmarkStart w:id="48" w:name="_Toc517615249"/>
      <w:r>
        <w:t>Managing trust funds for effective and innovative programs</w:t>
      </w:r>
      <w:bookmarkEnd w:id="48"/>
    </w:p>
    <w:p w14:paraId="39012667" w14:textId="739DD425" w:rsidR="00FC43E7" w:rsidRPr="001B449B" w:rsidRDefault="00916CAC" w:rsidP="005E2A14">
      <w:pPr>
        <w:rPr>
          <w:sz w:val="22"/>
        </w:rPr>
      </w:pPr>
      <w:r w:rsidRPr="001B449B">
        <w:rPr>
          <w:sz w:val="22"/>
        </w:rPr>
        <w:t>T</w:t>
      </w:r>
      <w:r w:rsidR="00FC43E7" w:rsidRPr="001B449B">
        <w:rPr>
          <w:sz w:val="22"/>
        </w:rPr>
        <w:t xml:space="preserve">here is some consensus </w:t>
      </w:r>
      <w:r w:rsidR="00675CF8" w:rsidRPr="001B449B">
        <w:rPr>
          <w:sz w:val="22"/>
        </w:rPr>
        <w:t xml:space="preserve">in the literature </w:t>
      </w:r>
      <w:r w:rsidR="00FC43E7" w:rsidRPr="001B449B">
        <w:rPr>
          <w:sz w:val="22"/>
        </w:rPr>
        <w:t xml:space="preserve">that trust funds </w:t>
      </w:r>
      <w:r w:rsidRPr="001B449B">
        <w:rPr>
          <w:sz w:val="22"/>
        </w:rPr>
        <w:t xml:space="preserve">balance </w:t>
      </w:r>
      <w:r w:rsidR="00FE3446" w:rsidRPr="001B449B">
        <w:rPr>
          <w:sz w:val="22"/>
        </w:rPr>
        <w:t>donor</w:t>
      </w:r>
      <w:r w:rsidRPr="001B449B">
        <w:rPr>
          <w:sz w:val="22"/>
        </w:rPr>
        <w:t xml:space="preserve"> </w:t>
      </w:r>
      <w:r w:rsidR="0053368B">
        <w:rPr>
          <w:sz w:val="22"/>
        </w:rPr>
        <w:t xml:space="preserve">need </w:t>
      </w:r>
      <w:r w:rsidRPr="001B449B">
        <w:rPr>
          <w:sz w:val="22"/>
        </w:rPr>
        <w:t>to</w:t>
      </w:r>
      <w:r w:rsidR="00FC43E7" w:rsidRPr="001B449B">
        <w:rPr>
          <w:sz w:val="22"/>
        </w:rPr>
        <w:t xml:space="preserve"> </w:t>
      </w:r>
      <w:r w:rsidRPr="001B449B">
        <w:rPr>
          <w:sz w:val="22"/>
        </w:rPr>
        <w:t>remain visible</w:t>
      </w:r>
      <w:r w:rsidR="00FC43E7" w:rsidRPr="001B449B">
        <w:rPr>
          <w:sz w:val="22"/>
        </w:rPr>
        <w:t xml:space="preserve"> and </w:t>
      </w:r>
      <w:r w:rsidRPr="001B449B">
        <w:rPr>
          <w:sz w:val="22"/>
        </w:rPr>
        <w:t xml:space="preserve">wield </w:t>
      </w:r>
      <w:r w:rsidR="00FC43E7" w:rsidRPr="001B449B">
        <w:rPr>
          <w:sz w:val="22"/>
        </w:rPr>
        <w:t>influence</w:t>
      </w:r>
      <w:r w:rsidRPr="001B449B">
        <w:rPr>
          <w:sz w:val="22"/>
        </w:rPr>
        <w:t>, whilst lightening the management load.</w:t>
      </w:r>
      <w:r w:rsidR="004378E9" w:rsidRPr="001B449B">
        <w:rPr>
          <w:rStyle w:val="FootnoteReference"/>
          <w:sz w:val="22"/>
        </w:rPr>
        <w:footnoteReference w:id="140"/>
      </w:r>
      <w:r w:rsidR="00FC43E7" w:rsidRPr="001B449B">
        <w:rPr>
          <w:sz w:val="22"/>
        </w:rPr>
        <w:t xml:space="preserve"> </w:t>
      </w:r>
      <w:r w:rsidRPr="001B449B">
        <w:rPr>
          <w:sz w:val="22"/>
        </w:rPr>
        <w:t>This enables</w:t>
      </w:r>
      <w:r w:rsidR="00FC43E7" w:rsidRPr="001B449B">
        <w:rPr>
          <w:sz w:val="22"/>
        </w:rPr>
        <w:t xml:space="preserve"> donors to assist countries where their bilateral presence is limited, as is the case for DFAT in South Asia. </w:t>
      </w:r>
      <w:r w:rsidRPr="001B449B">
        <w:rPr>
          <w:sz w:val="22"/>
        </w:rPr>
        <w:t>The PFSA is a single donor fund, but</w:t>
      </w:r>
      <w:r w:rsidR="0053368B">
        <w:rPr>
          <w:sz w:val="22"/>
        </w:rPr>
        <w:t xml:space="preserve"> other</w:t>
      </w:r>
      <w:r w:rsidRPr="001B449B">
        <w:rPr>
          <w:sz w:val="22"/>
        </w:rPr>
        <w:t xml:space="preserve"> </w:t>
      </w:r>
      <w:r w:rsidR="00831B11" w:rsidRPr="001B449B">
        <w:rPr>
          <w:sz w:val="22"/>
        </w:rPr>
        <w:t>t</w:t>
      </w:r>
      <w:r w:rsidRPr="001B449B">
        <w:rPr>
          <w:sz w:val="22"/>
        </w:rPr>
        <w:t xml:space="preserve">rust funds may </w:t>
      </w:r>
      <w:r w:rsidR="00B97D4C">
        <w:rPr>
          <w:sz w:val="22"/>
        </w:rPr>
        <w:t>be</w:t>
      </w:r>
      <w:r w:rsidRPr="001B449B">
        <w:rPr>
          <w:sz w:val="22"/>
        </w:rPr>
        <w:t xml:space="preserve"> multi-donor (MDTF), with the advantages of scale and shared management resources for planning and oversight</w:t>
      </w:r>
      <w:r w:rsidR="0053368B">
        <w:rPr>
          <w:sz w:val="22"/>
        </w:rPr>
        <w:t>.</w:t>
      </w:r>
      <w:r w:rsidRPr="001B449B">
        <w:rPr>
          <w:sz w:val="22"/>
        </w:rPr>
        <w:t xml:space="preserve"> </w:t>
      </w:r>
      <w:r w:rsidR="0053368B">
        <w:rPr>
          <w:sz w:val="22"/>
        </w:rPr>
        <w:t>D</w:t>
      </w:r>
      <w:r w:rsidR="00794218" w:rsidRPr="001B449B">
        <w:rPr>
          <w:sz w:val="22"/>
        </w:rPr>
        <w:t xml:space="preserve">onors </w:t>
      </w:r>
      <w:r w:rsidRPr="001B449B">
        <w:rPr>
          <w:sz w:val="22"/>
        </w:rPr>
        <w:t xml:space="preserve">such as </w:t>
      </w:r>
      <w:r w:rsidR="00FC43E7" w:rsidRPr="001B449B">
        <w:rPr>
          <w:sz w:val="22"/>
        </w:rPr>
        <w:t>D</w:t>
      </w:r>
      <w:r w:rsidR="003716C3">
        <w:rPr>
          <w:sz w:val="22"/>
        </w:rPr>
        <w:t>f</w:t>
      </w:r>
      <w:r w:rsidR="00FC43E7" w:rsidRPr="001B449B">
        <w:rPr>
          <w:sz w:val="22"/>
        </w:rPr>
        <w:t>ID</w:t>
      </w:r>
      <w:r w:rsidR="00794218" w:rsidRPr="001B449B">
        <w:rPr>
          <w:sz w:val="22"/>
        </w:rPr>
        <w:t xml:space="preserve"> </w:t>
      </w:r>
      <w:r w:rsidR="00FC43E7" w:rsidRPr="001B449B">
        <w:rPr>
          <w:sz w:val="22"/>
        </w:rPr>
        <w:t>ha</w:t>
      </w:r>
      <w:r w:rsidRPr="001B449B">
        <w:rPr>
          <w:sz w:val="22"/>
        </w:rPr>
        <w:t>ve</w:t>
      </w:r>
      <w:r w:rsidR="00FC43E7" w:rsidRPr="001B449B">
        <w:rPr>
          <w:sz w:val="22"/>
        </w:rPr>
        <w:t xml:space="preserve"> questioned the effectiveness of </w:t>
      </w:r>
      <w:r w:rsidR="0053368B">
        <w:rPr>
          <w:sz w:val="22"/>
        </w:rPr>
        <w:t>MDTFs</w:t>
      </w:r>
      <w:r w:rsidR="00FC43E7" w:rsidRPr="001B449B">
        <w:rPr>
          <w:sz w:val="22"/>
        </w:rPr>
        <w:t xml:space="preserve">, </w:t>
      </w:r>
      <w:r w:rsidR="0053368B">
        <w:rPr>
          <w:sz w:val="22"/>
        </w:rPr>
        <w:t>i</w:t>
      </w:r>
      <w:r w:rsidR="00FC43E7" w:rsidRPr="001B449B">
        <w:rPr>
          <w:sz w:val="22"/>
        </w:rPr>
        <w:t>n value for money terms, although it is not clear if single-donor trust funds have advantages over multi-donor funds.</w:t>
      </w:r>
      <w:r w:rsidR="00FC43E7" w:rsidRPr="001B449B">
        <w:rPr>
          <w:sz w:val="22"/>
          <w:vertAlign w:val="superscript"/>
        </w:rPr>
        <w:footnoteReference w:id="141"/>
      </w:r>
      <w:r w:rsidR="00FC43E7" w:rsidRPr="001B449B">
        <w:rPr>
          <w:sz w:val="22"/>
        </w:rPr>
        <w:t xml:space="preserve"> </w:t>
      </w:r>
    </w:p>
    <w:p w14:paraId="7C2B007A" w14:textId="77777777" w:rsidR="00FC43E7" w:rsidRPr="001B449B" w:rsidRDefault="00FC43E7">
      <w:pPr>
        <w:rPr>
          <w:sz w:val="22"/>
        </w:rPr>
      </w:pPr>
      <w:r w:rsidRPr="001B449B">
        <w:rPr>
          <w:sz w:val="22"/>
        </w:rPr>
        <w:t xml:space="preserve">The World Bank is the dominant player in managing donor trust funds. As of </w:t>
      </w:r>
      <w:r w:rsidR="0053368B">
        <w:rPr>
          <w:sz w:val="22"/>
        </w:rPr>
        <w:t xml:space="preserve">30 </w:t>
      </w:r>
      <w:r w:rsidRPr="001B449B">
        <w:rPr>
          <w:sz w:val="22"/>
        </w:rPr>
        <w:t xml:space="preserve">December 2016, the Bank was stewarding </w:t>
      </w:r>
      <w:r w:rsidR="00E07CB1">
        <w:rPr>
          <w:sz w:val="22"/>
        </w:rPr>
        <w:t>USD</w:t>
      </w:r>
      <w:r w:rsidRPr="001B449B">
        <w:rPr>
          <w:sz w:val="22"/>
        </w:rPr>
        <w:t>11 billion in trust fund resources</w:t>
      </w:r>
      <w:r w:rsidR="0053368B">
        <w:rPr>
          <w:sz w:val="22"/>
        </w:rPr>
        <w:t>.</w:t>
      </w:r>
      <w:r w:rsidRPr="001B449B">
        <w:rPr>
          <w:rStyle w:val="FootnoteReference"/>
          <w:sz w:val="22"/>
        </w:rPr>
        <w:footnoteReference w:id="142"/>
      </w:r>
      <w:r w:rsidR="00675CF8" w:rsidRPr="001B449B">
        <w:rPr>
          <w:sz w:val="22"/>
        </w:rPr>
        <w:t>Multiple senior</w:t>
      </w:r>
      <w:r w:rsidRPr="001B449B">
        <w:rPr>
          <w:sz w:val="22"/>
        </w:rPr>
        <w:t xml:space="preserve"> World Bank</w:t>
      </w:r>
      <w:r w:rsidR="00675CF8" w:rsidRPr="001B449B">
        <w:rPr>
          <w:sz w:val="22"/>
        </w:rPr>
        <w:t xml:space="preserve"> interviewees </w:t>
      </w:r>
      <w:r w:rsidRPr="001B449B">
        <w:rPr>
          <w:sz w:val="22"/>
        </w:rPr>
        <w:t xml:space="preserve">explained that </w:t>
      </w:r>
      <w:r w:rsidR="0053368B">
        <w:rPr>
          <w:sz w:val="22"/>
        </w:rPr>
        <w:t>WB trust funds are</w:t>
      </w:r>
      <w:r w:rsidRPr="001B449B">
        <w:rPr>
          <w:sz w:val="22"/>
        </w:rPr>
        <w:t xml:space="preserve"> secure and robust portal</w:t>
      </w:r>
      <w:r w:rsidR="0053368B">
        <w:rPr>
          <w:sz w:val="22"/>
        </w:rPr>
        <w:t>s</w:t>
      </w:r>
      <w:r w:rsidRPr="001B449B">
        <w:rPr>
          <w:sz w:val="22"/>
        </w:rPr>
        <w:t xml:space="preserve"> for donor</w:t>
      </w:r>
      <w:r w:rsidR="0053368B">
        <w:rPr>
          <w:sz w:val="22"/>
        </w:rPr>
        <w:t>s</w:t>
      </w:r>
      <w:r w:rsidRPr="001B449B">
        <w:rPr>
          <w:sz w:val="22"/>
        </w:rPr>
        <w:t xml:space="preserve"> to channel ODA, benefitting from high level expertise within the Bank compared to other organi</w:t>
      </w:r>
      <w:r w:rsidR="0053368B">
        <w:rPr>
          <w:sz w:val="22"/>
        </w:rPr>
        <w:t>s</w:t>
      </w:r>
      <w:r w:rsidRPr="001B449B">
        <w:rPr>
          <w:sz w:val="22"/>
        </w:rPr>
        <w:t xml:space="preserve">ations. The programs gain access to experts not funded by </w:t>
      </w:r>
      <w:r w:rsidR="00625B5F" w:rsidRPr="001B449B">
        <w:rPr>
          <w:sz w:val="22"/>
        </w:rPr>
        <w:t xml:space="preserve">the </w:t>
      </w:r>
      <w:r w:rsidR="0053368B">
        <w:rPr>
          <w:sz w:val="22"/>
        </w:rPr>
        <w:t>t</w:t>
      </w:r>
      <w:r w:rsidR="00625B5F" w:rsidRPr="001B449B">
        <w:rPr>
          <w:sz w:val="22"/>
        </w:rPr>
        <w:t xml:space="preserve">rust </w:t>
      </w:r>
      <w:r w:rsidR="0053368B">
        <w:rPr>
          <w:sz w:val="22"/>
        </w:rPr>
        <w:t>f</w:t>
      </w:r>
      <w:r w:rsidRPr="001B449B">
        <w:rPr>
          <w:sz w:val="22"/>
        </w:rPr>
        <w:t xml:space="preserve">und, as the Bank also co-invests in these programs. Programs also benefit from the bigger perspective of the Bank and its global reach. </w:t>
      </w:r>
      <w:r w:rsidR="0070783C" w:rsidRPr="001B449B">
        <w:rPr>
          <w:sz w:val="22"/>
        </w:rPr>
        <w:t>B</w:t>
      </w:r>
      <w:r w:rsidRPr="001B449B">
        <w:rPr>
          <w:sz w:val="22"/>
        </w:rPr>
        <w:t xml:space="preserve">ank </w:t>
      </w:r>
      <w:r w:rsidR="0070783C" w:rsidRPr="001B449B">
        <w:rPr>
          <w:sz w:val="22"/>
        </w:rPr>
        <w:t xml:space="preserve">staff interviewed believe it </w:t>
      </w:r>
      <w:r w:rsidRPr="001B449B">
        <w:rPr>
          <w:sz w:val="22"/>
        </w:rPr>
        <w:t>has developed tried and tested modalities for partnerships with donors</w:t>
      </w:r>
      <w:r w:rsidR="007A056C">
        <w:rPr>
          <w:sz w:val="22"/>
        </w:rPr>
        <w:t>, which has cultivated their position as a preferred</w:t>
      </w:r>
      <w:r w:rsidR="007A056C" w:rsidRPr="001B449B">
        <w:rPr>
          <w:sz w:val="22"/>
        </w:rPr>
        <w:t xml:space="preserve"> recipient of trust fund money</w:t>
      </w:r>
      <w:r w:rsidRPr="001B449B">
        <w:rPr>
          <w:sz w:val="22"/>
        </w:rPr>
        <w:t xml:space="preserve">. </w:t>
      </w:r>
      <w:r w:rsidR="0070783C" w:rsidRPr="001B449B">
        <w:rPr>
          <w:sz w:val="22"/>
        </w:rPr>
        <w:t xml:space="preserve">On the other hand, </w:t>
      </w:r>
      <w:r w:rsidR="00C4379B" w:rsidRPr="001B449B">
        <w:rPr>
          <w:sz w:val="22"/>
        </w:rPr>
        <w:t xml:space="preserve">organisational theory indicates that </w:t>
      </w:r>
      <w:r w:rsidRPr="001B449B">
        <w:rPr>
          <w:sz w:val="22"/>
        </w:rPr>
        <w:t>market dominance may lead to complacency and reluctance to innovate</w:t>
      </w:r>
      <w:r w:rsidR="0070783C" w:rsidRPr="001B449B">
        <w:rPr>
          <w:sz w:val="22"/>
        </w:rPr>
        <w:t>, as evidence</w:t>
      </w:r>
      <w:r w:rsidR="007A056C">
        <w:rPr>
          <w:sz w:val="22"/>
        </w:rPr>
        <w:t>d</w:t>
      </w:r>
      <w:r w:rsidR="0070783C" w:rsidRPr="001B449B">
        <w:rPr>
          <w:sz w:val="22"/>
        </w:rPr>
        <w:t xml:space="preserve"> from the private sector</w:t>
      </w:r>
      <w:r w:rsidRPr="001B449B">
        <w:rPr>
          <w:sz w:val="22"/>
        </w:rPr>
        <w:t>.</w:t>
      </w:r>
      <w:r w:rsidR="0070783C" w:rsidRPr="001B449B">
        <w:rPr>
          <w:rStyle w:val="FootnoteReference"/>
          <w:sz w:val="22"/>
        </w:rPr>
        <w:footnoteReference w:id="143"/>
      </w:r>
      <w:r w:rsidRPr="001B449B">
        <w:rPr>
          <w:sz w:val="22"/>
        </w:rPr>
        <w:t xml:space="preserve"> </w:t>
      </w:r>
    </w:p>
    <w:p w14:paraId="18BE37F7" w14:textId="57168DCA" w:rsidR="001F4257" w:rsidRDefault="00C4379B">
      <w:pPr>
        <w:rPr>
          <w:sz w:val="22"/>
        </w:rPr>
      </w:pPr>
      <w:r w:rsidRPr="001B449B">
        <w:rPr>
          <w:sz w:val="22"/>
        </w:rPr>
        <w:t xml:space="preserve">Task </w:t>
      </w:r>
      <w:r w:rsidR="003716C3">
        <w:rPr>
          <w:sz w:val="22"/>
        </w:rPr>
        <w:t>T</w:t>
      </w:r>
      <w:r w:rsidRPr="001B449B">
        <w:rPr>
          <w:sz w:val="22"/>
        </w:rPr>
        <w:t xml:space="preserve">eam </w:t>
      </w:r>
      <w:r w:rsidR="003716C3">
        <w:rPr>
          <w:sz w:val="22"/>
        </w:rPr>
        <w:t>L</w:t>
      </w:r>
      <w:r w:rsidRPr="001B449B">
        <w:rPr>
          <w:sz w:val="22"/>
        </w:rPr>
        <w:t xml:space="preserve">eaders and certain Secretariat members proposed the advantage of the PFSA </w:t>
      </w:r>
      <w:r w:rsidR="00FC43E7" w:rsidRPr="001B449B">
        <w:rPr>
          <w:sz w:val="22"/>
        </w:rPr>
        <w:t>trust fund</w:t>
      </w:r>
      <w:r w:rsidRPr="001B449B">
        <w:rPr>
          <w:sz w:val="22"/>
        </w:rPr>
        <w:t xml:space="preserve"> model is the </w:t>
      </w:r>
      <w:r w:rsidR="00FC43E7" w:rsidRPr="001B449B">
        <w:rPr>
          <w:sz w:val="22"/>
        </w:rPr>
        <w:t>combin</w:t>
      </w:r>
      <w:r w:rsidRPr="001B449B">
        <w:rPr>
          <w:sz w:val="22"/>
        </w:rPr>
        <w:t>ation of</w:t>
      </w:r>
      <w:r w:rsidR="00FC43E7" w:rsidRPr="001B449B">
        <w:rPr>
          <w:sz w:val="22"/>
        </w:rPr>
        <w:t xml:space="preserve"> regional perspective with local design and implementation, which enables project diversity.</w:t>
      </w:r>
      <w:r w:rsidR="00B33B28" w:rsidRPr="001B449B">
        <w:rPr>
          <w:sz w:val="22"/>
        </w:rPr>
        <w:t xml:space="preserve"> Sharing project data from different countries that share common challenges</w:t>
      </w:r>
      <w:r w:rsidRPr="001B449B">
        <w:rPr>
          <w:sz w:val="22"/>
        </w:rPr>
        <w:t>, if it informs new project design, c</w:t>
      </w:r>
      <w:r w:rsidR="00FC43E7" w:rsidRPr="001B449B">
        <w:rPr>
          <w:sz w:val="22"/>
        </w:rPr>
        <w:t xml:space="preserve">ould promote innovation and experimentation that DFAT </w:t>
      </w:r>
      <w:r w:rsidRPr="001B449B">
        <w:rPr>
          <w:sz w:val="22"/>
        </w:rPr>
        <w:t>interviewees hope will become</w:t>
      </w:r>
      <w:r w:rsidR="00FC43E7" w:rsidRPr="001B449B">
        <w:rPr>
          <w:sz w:val="22"/>
        </w:rPr>
        <w:t xml:space="preserve"> </w:t>
      </w:r>
      <w:r w:rsidRPr="001B449B">
        <w:rPr>
          <w:sz w:val="22"/>
        </w:rPr>
        <w:t xml:space="preserve">a </w:t>
      </w:r>
      <w:r w:rsidR="00FC43E7" w:rsidRPr="001B449B">
        <w:rPr>
          <w:sz w:val="22"/>
        </w:rPr>
        <w:t>valuable</w:t>
      </w:r>
      <w:r w:rsidRPr="001B449B">
        <w:rPr>
          <w:sz w:val="22"/>
        </w:rPr>
        <w:t xml:space="preserve"> aspect of the program</w:t>
      </w:r>
      <w:r w:rsidR="00FC43E7" w:rsidRPr="001B449B">
        <w:rPr>
          <w:sz w:val="22"/>
        </w:rPr>
        <w:t xml:space="preserve">. However, </w:t>
      </w:r>
      <w:r w:rsidRPr="001B449B">
        <w:rPr>
          <w:sz w:val="22"/>
        </w:rPr>
        <w:t xml:space="preserve">in the experience of the evaluation team, the </w:t>
      </w:r>
      <w:r w:rsidR="00FC43E7" w:rsidRPr="001B449B">
        <w:rPr>
          <w:sz w:val="22"/>
        </w:rPr>
        <w:t xml:space="preserve">process of diversification, prototyping, collaboration and mutual learning </w:t>
      </w:r>
      <w:r w:rsidR="00B33B28" w:rsidRPr="001B449B">
        <w:rPr>
          <w:sz w:val="22"/>
        </w:rPr>
        <w:t xml:space="preserve">does not arise </w:t>
      </w:r>
      <w:r w:rsidR="00916CAC" w:rsidRPr="001B449B">
        <w:rPr>
          <w:sz w:val="22"/>
        </w:rPr>
        <w:t xml:space="preserve">automatically from the trust fund model, but </w:t>
      </w:r>
      <w:r w:rsidR="00FC43E7" w:rsidRPr="001B449B">
        <w:rPr>
          <w:sz w:val="22"/>
        </w:rPr>
        <w:t>requires communication and facilitation</w:t>
      </w:r>
      <w:r w:rsidRPr="001B449B">
        <w:rPr>
          <w:sz w:val="22"/>
        </w:rPr>
        <w:t xml:space="preserve"> by both donors and the trust fund manager</w:t>
      </w:r>
      <w:r w:rsidR="00FC43E7" w:rsidRPr="001B449B">
        <w:rPr>
          <w:sz w:val="22"/>
        </w:rPr>
        <w:t xml:space="preserve">. </w:t>
      </w:r>
      <w:r w:rsidR="007A056C">
        <w:rPr>
          <w:sz w:val="22"/>
        </w:rPr>
        <w:t>Processes for l</w:t>
      </w:r>
      <w:r w:rsidR="007A056C" w:rsidRPr="001B449B">
        <w:rPr>
          <w:sz w:val="22"/>
        </w:rPr>
        <w:t xml:space="preserve">earning and adaptation </w:t>
      </w:r>
      <w:r w:rsidR="003716C3">
        <w:rPr>
          <w:sz w:val="22"/>
        </w:rPr>
        <w:t>are</w:t>
      </w:r>
      <w:r w:rsidR="00FC43E7" w:rsidRPr="001B449B">
        <w:rPr>
          <w:sz w:val="22"/>
        </w:rPr>
        <w:t xml:space="preserve"> not clear in </w:t>
      </w:r>
      <w:r w:rsidR="00FC43E7" w:rsidRPr="001B449B">
        <w:rPr>
          <w:sz w:val="22"/>
        </w:rPr>
        <w:lastRenderedPageBreak/>
        <w:t xml:space="preserve">the SARTFP design </w:t>
      </w:r>
      <w:r w:rsidR="007A056C">
        <w:rPr>
          <w:sz w:val="22"/>
        </w:rPr>
        <w:t>n</w:t>
      </w:r>
      <w:r w:rsidR="00FC43E7" w:rsidRPr="001B449B">
        <w:rPr>
          <w:sz w:val="22"/>
        </w:rPr>
        <w:t xml:space="preserve">or in the PFSA structure, and </w:t>
      </w:r>
      <w:r w:rsidR="003065EB">
        <w:rPr>
          <w:sz w:val="22"/>
        </w:rPr>
        <w:t>consequently there is also a lack of clarity regarding the respective role and responsibility of DFAT and TAF within this.</w:t>
      </w:r>
    </w:p>
    <w:p w14:paraId="5475CB15" w14:textId="77777777" w:rsidR="00CD45BB" w:rsidRPr="00397BE0" w:rsidRDefault="00CD45BB" w:rsidP="00CD45BB">
      <w:pPr>
        <w:pStyle w:val="recommendation"/>
      </w:pPr>
      <w:r w:rsidRPr="00397BE0">
        <w:t xml:space="preserve">Recommendation </w:t>
      </w:r>
    </w:p>
    <w:p w14:paraId="45FCC1FD" w14:textId="268425B1" w:rsidR="00CD45BB" w:rsidRDefault="007D2EF6" w:rsidP="004C3817">
      <w:pPr>
        <w:pStyle w:val="recommendation"/>
        <w:ind w:left="360"/>
      </w:pPr>
      <w:bookmarkStart w:id="49" w:name="_Hlk514053932"/>
      <w:r>
        <w:t xml:space="preserve">19. </w:t>
      </w:r>
      <w:r w:rsidR="007A056C">
        <w:t>C</w:t>
      </w:r>
      <w:r w:rsidR="00CD45BB">
        <w:t xml:space="preserve">reate and maintain </w:t>
      </w:r>
      <w:r w:rsidR="007A056C">
        <w:t xml:space="preserve">processes that encourage </w:t>
      </w:r>
      <w:r w:rsidR="00CD45BB">
        <w:t xml:space="preserve">a </w:t>
      </w:r>
      <w:r w:rsidR="007A056C">
        <w:t>culture of</w:t>
      </w:r>
      <w:r w:rsidR="00CD45BB">
        <w:t xml:space="preserve"> sharing of information and facilitates innovation</w:t>
      </w:r>
      <w:bookmarkEnd w:id="49"/>
      <w:r w:rsidR="00453911">
        <w:t>.</w:t>
      </w:r>
    </w:p>
    <w:p w14:paraId="0CAAED31" w14:textId="77777777" w:rsidR="00FC43E7" w:rsidRPr="00624BFC" w:rsidRDefault="00FC43E7" w:rsidP="00262531">
      <w:pPr>
        <w:pStyle w:val="Heading2"/>
      </w:pPr>
      <w:bookmarkStart w:id="50" w:name="_Toc517615250"/>
      <w:r w:rsidRPr="00624BFC">
        <w:t>Influencing change through partnerships</w:t>
      </w:r>
      <w:bookmarkEnd w:id="50"/>
    </w:p>
    <w:p w14:paraId="145A21F5" w14:textId="77777777" w:rsidR="00FC43E7" w:rsidRPr="001B449B" w:rsidRDefault="00351F16" w:rsidP="00262531">
      <w:pPr>
        <w:rPr>
          <w:sz w:val="22"/>
        </w:rPr>
      </w:pPr>
      <w:r w:rsidRPr="001B449B">
        <w:rPr>
          <w:sz w:val="22"/>
        </w:rPr>
        <w:t>All external s</w:t>
      </w:r>
      <w:r w:rsidR="00FC43E7" w:rsidRPr="001B449B">
        <w:rPr>
          <w:sz w:val="22"/>
        </w:rPr>
        <w:t>takeholders consulted</w:t>
      </w:r>
      <w:r w:rsidRPr="001B449B">
        <w:rPr>
          <w:sz w:val="22"/>
        </w:rPr>
        <w:t xml:space="preserve"> for this evaluation</w:t>
      </w:r>
      <w:r w:rsidR="00FC43E7" w:rsidRPr="001B449B">
        <w:rPr>
          <w:sz w:val="22"/>
        </w:rPr>
        <w:t xml:space="preserve"> </w:t>
      </w:r>
      <w:r w:rsidRPr="001B449B">
        <w:rPr>
          <w:sz w:val="22"/>
        </w:rPr>
        <w:t xml:space="preserve">agreed </w:t>
      </w:r>
      <w:r w:rsidR="00FC43E7" w:rsidRPr="001B449B">
        <w:rPr>
          <w:sz w:val="22"/>
        </w:rPr>
        <w:t xml:space="preserve">that the issues being addressed by SARTFP need </w:t>
      </w:r>
      <w:bookmarkStart w:id="51" w:name="_Hlk514054131"/>
      <w:r w:rsidR="00FC43E7" w:rsidRPr="001B449B">
        <w:rPr>
          <w:sz w:val="22"/>
        </w:rPr>
        <w:t>multiple entry points to influence change</w:t>
      </w:r>
      <w:bookmarkEnd w:id="51"/>
      <w:r w:rsidR="00FC43E7" w:rsidRPr="001B449B">
        <w:rPr>
          <w:sz w:val="22"/>
        </w:rPr>
        <w:t xml:space="preserve"> in complex, gender-blind sectors and region.</w:t>
      </w:r>
      <w:r w:rsidRPr="001B449B">
        <w:rPr>
          <w:rStyle w:val="FootnoteReference"/>
          <w:sz w:val="22"/>
        </w:rPr>
        <w:footnoteReference w:id="144"/>
      </w:r>
      <w:r w:rsidR="00FC43E7" w:rsidRPr="001B449B">
        <w:rPr>
          <w:sz w:val="22"/>
        </w:rPr>
        <w:t xml:space="preserve"> It is not clear to what extent</w:t>
      </w:r>
      <w:r w:rsidRPr="001B449B">
        <w:rPr>
          <w:sz w:val="22"/>
        </w:rPr>
        <w:t xml:space="preserve"> IFG and SARTFP</w:t>
      </w:r>
      <w:r w:rsidR="00FC43E7" w:rsidRPr="001B449B">
        <w:rPr>
          <w:sz w:val="22"/>
        </w:rPr>
        <w:t xml:space="preserve"> investments are designed to be complementary to other donor efforts and other DFAT investments</w:t>
      </w:r>
      <w:r w:rsidRPr="001B449B">
        <w:rPr>
          <w:sz w:val="22"/>
        </w:rPr>
        <w:t>.</w:t>
      </w:r>
    </w:p>
    <w:p w14:paraId="60D56D79" w14:textId="51680BEB" w:rsidR="00FC43E7" w:rsidRPr="001B449B" w:rsidRDefault="00FC43E7">
      <w:pPr>
        <w:rPr>
          <w:sz w:val="22"/>
        </w:rPr>
      </w:pPr>
      <w:r w:rsidRPr="001B449B">
        <w:rPr>
          <w:sz w:val="22"/>
        </w:rPr>
        <w:t>Other donors in the region, notably D</w:t>
      </w:r>
      <w:r w:rsidR="003716C3">
        <w:rPr>
          <w:sz w:val="22"/>
        </w:rPr>
        <w:t>f</w:t>
      </w:r>
      <w:r w:rsidRPr="001B449B">
        <w:rPr>
          <w:sz w:val="22"/>
        </w:rPr>
        <w:t>ID, think it is important to retain direct relationships with some non-World Bank entities, such as CSOs and think tanks.</w:t>
      </w:r>
      <w:r w:rsidR="00351F16" w:rsidRPr="001B449B">
        <w:rPr>
          <w:rStyle w:val="FootnoteReference"/>
          <w:sz w:val="22"/>
        </w:rPr>
        <w:footnoteReference w:id="145"/>
      </w:r>
      <w:r w:rsidRPr="001B449B">
        <w:rPr>
          <w:sz w:val="22"/>
        </w:rPr>
        <w:t xml:space="preserve"> Therefore, </w:t>
      </w:r>
      <w:r w:rsidR="007A056C">
        <w:rPr>
          <w:sz w:val="22"/>
        </w:rPr>
        <w:t>DfID</w:t>
      </w:r>
      <w:r w:rsidRPr="001B449B">
        <w:rPr>
          <w:sz w:val="22"/>
        </w:rPr>
        <w:t xml:space="preserve"> fund such entities directly</w:t>
      </w:r>
      <w:r w:rsidR="007A056C">
        <w:rPr>
          <w:sz w:val="22"/>
        </w:rPr>
        <w:t>,</w:t>
      </w:r>
      <w:r w:rsidRPr="001B449B">
        <w:rPr>
          <w:sz w:val="22"/>
        </w:rPr>
        <w:t xml:space="preserve"> in parallel to their investment in the World Bank trust fund. In their experience</w:t>
      </w:r>
      <w:r w:rsidR="007A056C">
        <w:rPr>
          <w:sz w:val="22"/>
        </w:rPr>
        <w:t>,</w:t>
      </w:r>
      <w:r w:rsidRPr="001B449B">
        <w:rPr>
          <w:sz w:val="22"/>
        </w:rPr>
        <w:t xml:space="preserve"> the benefits exceed the cost of higher resources necessary to manage multiple funds. </w:t>
      </w:r>
    </w:p>
    <w:p w14:paraId="76D5A102" w14:textId="77777777" w:rsidR="00FC43E7" w:rsidRPr="001B449B" w:rsidRDefault="00351F16">
      <w:pPr>
        <w:rPr>
          <w:sz w:val="22"/>
        </w:rPr>
      </w:pPr>
      <w:r w:rsidRPr="001B449B">
        <w:rPr>
          <w:sz w:val="22"/>
        </w:rPr>
        <w:t xml:space="preserve">An interviewee with extensive contacts </w:t>
      </w:r>
      <w:r w:rsidR="00703339" w:rsidRPr="001B449B">
        <w:rPr>
          <w:sz w:val="22"/>
        </w:rPr>
        <w:t xml:space="preserve">in </w:t>
      </w:r>
      <w:r w:rsidRPr="001B449B">
        <w:rPr>
          <w:sz w:val="22"/>
        </w:rPr>
        <w:t>c</w:t>
      </w:r>
      <w:r w:rsidR="00FC43E7" w:rsidRPr="001B449B">
        <w:rPr>
          <w:sz w:val="22"/>
        </w:rPr>
        <w:t xml:space="preserve">ivil society networks in the region </w:t>
      </w:r>
      <w:r w:rsidRPr="001B449B">
        <w:rPr>
          <w:sz w:val="22"/>
        </w:rPr>
        <w:t xml:space="preserve">explained that </w:t>
      </w:r>
      <w:r w:rsidR="00FC43E7" w:rsidRPr="001B449B">
        <w:rPr>
          <w:sz w:val="22"/>
        </w:rPr>
        <w:t xml:space="preserve">they are an important constituency with which DFAT could </w:t>
      </w:r>
      <w:r w:rsidR="00703339" w:rsidRPr="001B449B">
        <w:rPr>
          <w:sz w:val="22"/>
        </w:rPr>
        <w:t xml:space="preserve">build partnerships </w:t>
      </w:r>
      <w:r w:rsidR="00FC43E7" w:rsidRPr="001B449B">
        <w:rPr>
          <w:sz w:val="22"/>
        </w:rPr>
        <w:t>in order to complement the SARTFP work.</w:t>
      </w:r>
      <w:r w:rsidR="00FC43E7" w:rsidRPr="001B449B">
        <w:rPr>
          <w:rStyle w:val="FootnoteReference"/>
          <w:sz w:val="22"/>
        </w:rPr>
        <w:footnoteReference w:id="146"/>
      </w:r>
      <w:r w:rsidR="00FC43E7" w:rsidRPr="001B449B">
        <w:rPr>
          <w:sz w:val="22"/>
        </w:rPr>
        <w:t xml:space="preserve"> </w:t>
      </w:r>
      <w:r w:rsidR="00DD4282" w:rsidRPr="00DD4282">
        <w:rPr>
          <w:sz w:val="22"/>
        </w:rPr>
        <w:t xml:space="preserve">This will </w:t>
      </w:r>
      <w:bookmarkStart w:id="52" w:name="_Hlk514054058"/>
      <w:r w:rsidR="00DD4282" w:rsidRPr="00DD4282">
        <w:rPr>
          <w:sz w:val="22"/>
        </w:rPr>
        <w:t>strengthen program legitimacy whilst allowing for the early testing of new approaches before significant resources are committed to projects</w:t>
      </w:r>
      <w:bookmarkEnd w:id="52"/>
      <w:r w:rsidR="00DD4282" w:rsidRPr="00DD4282">
        <w:rPr>
          <w:sz w:val="22"/>
        </w:rPr>
        <w:t xml:space="preserve">. </w:t>
      </w:r>
      <w:r w:rsidR="00FC43E7" w:rsidRPr="001B449B">
        <w:rPr>
          <w:sz w:val="22"/>
        </w:rPr>
        <w:t xml:space="preserve">This could </w:t>
      </w:r>
      <w:r w:rsidR="007A056C">
        <w:rPr>
          <w:sz w:val="22"/>
        </w:rPr>
        <w:t xml:space="preserve">also </w:t>
      </w:r>
      <w:r w:rsidR="00FC43E7" w:rsidRPr="001B449B">
        <w:rPr>
          <w:sz w:val="22"/>
        </w:rPr>
        <w:t xml:space="preserve">be a good opportunity for DFAT to improve visibility and public diplomacy. </w:t>
      </w:r>
      <w:r w:rsidR="00DD4282" w:rsidRPr="00DD4282">
        <w:rPr>
          <w:sz w:val="22"/>
        </w:rPr>
        <w:t xml:space="preserve">However, this activity will require some dedicated management from DFAT, supported by flexible funding schemes outside the PFSA. </w:t>
      </w:r>
      <w:r w:rsidR="00DD4282">
        <w:rPr>
          <w:sz w:val="22"/>
        </w:rPr>
        <w:t>A</w:t>
      </w:r>
      <w:r w:rsidR="00DD4282" w:rsidRPr="001B449B">
        <w:rPr>
          <w:sz w:val="22"/>
        </w:rPr>
        <w:t>s attractive as this may appear, the opportunity to fund parallel and complementary activities (for instance to improve the voice and influence of women, thereby bringing about sustainable policy reform) does require an intelligent and flexible funding mechanism</w:t>
      </w:r>
      <w:r w:rsidR="00DD4282">
        <w:rPr>
          <w:sz w:val="22"/>
        </w:rPr>
        <w:t xml:space="preserve"> with</w:t>
      </w:r>
      <w:r w:rsidR="00DD4282" w:rsidRPr="001B449B">
        <w:rPr>
          <w:sz w:val="22"/>
        </w:rPr>
        <w:t xml:space="preserve"> accompanying management overhead</w:t>
      </w:r>
      <w:r w:rsidR="00DD4282">
        <w:rPr>
          <w:sz w:val="22"/>
        </w:rPr>
        <w:t>s</w:t>
      </w:r>
      <w:r w:rsidR="00DD4282" w:rsidRPr="001B449B">
        <w:rPr>
          <w:sz w:val="22"/>
        </w:rPr>
        <w:t xml:space="preserve">. </w:t>
      </w:r>
      <w:r w:rsidR="00DD4282" w:rsidRPr="00DD4282">
        <w:rPr>
          <w:sz w:val="22"/>
        </w:rPr>
        <w:t>To minimise the management overhead, DFAT could consider funding vehicles such as Challenge funds</w:t>
      </w:r>
      <w:r w:rsidR="00DD4282">
        <w:rPr>
          <w:sz w:val="22"/>
        </w:rPr>
        <w:t>.</w:t>
      </w:r>
      <w:r w:rsidR="00DD4282" w:rsidRPr="00483C36">
        <w:rPr>
          <w:rStyle w:val="FootnoteReference"/>
        </w:rPr>
        <w:footnoteReference w:id="147"/>
      </w:r>
      <w:r w:rsidR="00DD4282">
        <w:rPr>
          <w:sz w:val="22"/>
        </w:rPr>
        <w:t xml:space="preserve"> </w:t>
      </w:r>
      <w:r w:rsidR="00FC43E7" w:rsidRPr="001B449B">
        <w:rPr>
          <w:sz w:val="22"/>
        </w:rPr>
        <w:t xml:space="preserve"> </w:t>
      </w:r>
    </w:p>
    <w:p w14:paraId="7C8EB2B3" w14:textId="77777777" w:rsidR="00721706" w:rsidRPr="00397BE0" w:rsidRDefault="00721706" w:rsidP="00721706">
      <w:pPr>
        <w:pStyle w:val="recommendation"/>
      </w:pPr>
      <w:r w:rsidRPr="00397BE0">
        <w:t xml:space="preserve">Recommendation </w:t>
      </w:r>
    </w:p>
    <w:p w14:paraId="096A694D" w14:textId="67675760" w:rsidR="00721706" w:rsidRDefault="007D2EF6" w:rsidP="004C3817">
      <w:pPr>
        <w:pStyle w:val="recommendation"/>
        <w:ind w:left="360"/>
      </w:pPr>
      <w:bookmarkStart w:id="53" w:name="_Hlk514054206"/>
      <w:r>
        <w:t xml:space="preserve">20. </w:t>
      </w:r>
      <w:r w:rsidR="00721706" w:rsidRPr="00483C36">
        <w:t xml:space="preserve">DFAT </w:t>
      </w:r>
      <w:r w:rsidR="00212FD2">
        <w:t>create</w:t>
      </w:r>
      <w:r w:rsidR="00B97D4C">
        <w:t>s</w:t>
      </w:r>
      <w:r w:rsidR="00212FD2">
        <w:t xml:space="preserve"> complementary relationships</w:t>
      </w:r>
      <w:r w:rsidR="00721706" w:rsidRPr="00483C36">
        <w:t xml:space="preserve"> outside the World Bank </w:t>
      </w:r>
      <w:r w:rsidR="00212FD2">
        <w:t xml:space="preserve">to create </w:t>
      </w:r>
      <w:r w:rsidR="00212FD2" w:rsidRPr="00212FD2">
        <w:t xml:space="preserve">multiple entry points to influence </w:t>
      </w:r>
      <w:r w:rsidR="00212FD2">
        <w:t>gender programming, and s</w:t>
      </w:r>
      <w:r w:rsidR="00212FD2" w:rsidRPr="00212FD2">
        <w:t>trengthen program legitimacy</w:t>
      </w:r>
      <w:bookmarkEnd w:id="53"/>
      <w:r w:rsidR="00721706" w:rsidRPr="00483C36">
        <w:t>.</w:t>
      </w:r>
    </w:p>
    <w:p w14:paraId="52567495" w14:textId="77777777" w:rsidR="00FC43E7" w:rsidRPr="00624BFC" w:rsidRDefault="00FC43E7" w:rsidP="007D1047">
      <w:pPr>
        <w:pStyle w:val="Heading2"/>
      </w:pPr>
      <w:bookmarkStart w:id="54" w:name="_Toc511305480"/>
      <w:bookmarkStart w:id="55" w:name="_Toc517615251"/>
      <w:r w:rsidRPr="00624BFC">
        <w:t>IFG and SARTFP: influence on other programs</w:t>
      </w:r>
      <w:bookmarkEnd w:id="54"/>
      <w:bookmarkEnd w:id="55"/>
    </w:p>
    <w:p w14:paraId="59C34827" w14:textId="77777777" w:rsidR="00FC43E7" w:rsidRPr="001B449B" w:rsidRDefault="00FC43E7" w:rsidP="00262531">
      <w:pPr>
        <w:rPr>
          <w:sz w:val="22"/>
        </w:rPr>
      </w:pPr>
      <w:r w:rsidRPr="001B449B">
        <w:rPr>
          <w:sz w:val="22"/>
        </w:rPr>
        <w:t xml:space="preserve">The </w:t>
      </w:r>
      <w:r w:rsidR="00DF51D2" w:rsidRPr="001B449B">
        <w:rPr>
          <w:sz w:val="22"/>
        </w:rPr>
        <w:t xml:space="preserve">2017 </w:t>
      </w:r>
      <w:r w:rsidRPr="001B449B">
        <w:rPr>
          <w:sz w:val="22"/>
        </w:rPr>
        <w:t xml:space="preserve">ACQ notes that </w:t>
      </w:r>
      <w:r w:rsidRPr="001B449B">
        <w:rPr>
          <w:sz w:val="22"/>
          <w:lang w:val="en-AU"/>
        </w:rPr>
        <w:t>‘key lessons learned from IFG are being implemented in SARTFP’</w:t>
      </w:r>
      <w:r w:rsidR="00D968AA" w:rsidRPr="001B449B">
        <w:rPr>
          <w:sz w:val="22"/>
          <w:lang w:val="en-AU"/>
        </w:rPr>
        <w:t>.</w:t>
      </w:r>
      <w:r w:rsidRPr="001B449B">
        <w:rPr>
          <w:sz w:val="22"/>
          <w:vertAlign w:val="superscript"/>
          <w:lang w:val="en-AU"/>
        </w:rPr>
        <w:footnoteReference w:id="148"/>
      </w:r>
      <w:r w:rsidRPr="001B449B">
        <w:rPr>
          <w:sz w:val="22"/>
          <w:lang w:val="en-AU"/>
        </w:rPr>
        <w:t xml:space="preserve"> However, </w:t>
      </w:r>
      <w:r w:rsidRPr="001B449B">
        <w:rPr>
          <w:sz w:val="22"/>
        </w:rPr>
        <w:t>this review has encountered limited evidence of IFG</w:t>
      </w:r>
      <w:r w:rsidR="00D968AA" w:rsidRPr="001B449B">
        <w:rPr>
          <w:sz w:val="22"/>
        </w:rPr>
        <w:t xml:space="preserve"> or </w:t>
      </w:r>
      <w:r w:rsidRPr="001B449B">
        <w:rPr>
          <w:sz w:val="22"/>
        </w:rPr>
        <w:t xml:space="preserve">SARTFP influencing other programs, or examples of individual projects being used to inform other projects within PFSA. </w:t>
      </w:r>
      <w:r w:rsidR="00D968AA" w:rsidRPr="001B449B">
        <w:rPr>
          <w:sz w:val="22"/>
        </w:rPr>
        <w:t xml:space="preserve">Senior </w:t>
      </w:r>
      <w:r w:rsidRPr="001B449B">
        <w:rPr>
          <w:sz w:val="22"/>
        </w:rPr>
        <w:t xml:space="preserve">DFAT </w:t>
      </w:r>
      <w:r w:rsidR="00D968AA" w:rsidRPr="001B449B">
        <w:rPr>
          <w:sz w:val="22"/>
        </w:rPr>
        <w:t xml:space="preserve">staff acknowledged it is the responsibility of the donor </w:t>
      </w:r>
      <w:r w:rsidRPr="001B449B">
        <w:rPr>
          <w:sz w:val="22"/>
        </w:rPr>
        <w:t>to share the lessons learned and practices with other programs, as well as to further DFAT’s diplomacy and policy objectives.</w:t>
      </w:r>
      <w:r w:rsidR="00D968AA" w:rsidRPr="001B449B">
        <w:rPr>
          <w:rStyle w:val="FootnoteReference"/>
          <w:sz w:val="22"/>
        </w:rPr>
        <w:footnoteReference w:id="149"/>
      </w:r>
      <w:r w:rsidRPr="001B449B">
        <w:rPr>
          <w:sz w:val="22"/>
        </w:rPr>
        <w:t xml:space="preserve"> It is not clear </w:t>
      </w:r>
      <w:r w:rsidR="00D968AA" w:rsidRPr="001B449B">
        <w:rPr>
          <w:sz w:val="22"/>
        </w:rPr>
        <w:t xml:space="preserve">from the documentation reviewed or interviews with DFAT staff, </w:t>
      </w:r>
      <w:r w:rsidRPr="001B449B">
        <w:rPr>
          <w:sz w:val="22"/>
        </w:rPr>
        <w:t xml:space="preserve">whether program results have been shared, or what the process is for dissemination of such information in order to influence other programs, both within DFAT and beyond. </w:t>
      </w:r>
    </w:p>
    <w:p w14:paraId="33B3D9B5" w14:textId="45FBB4EE" w:rsidR="00FC43E7" w:rsidRPr="001B449B" w:rsidRDefault="00FC43E7">
      <w:pPr>
        <w:rPr>
          <w:sz w:val="22"/>
        </w:rPr>
      </w:pPr>
      <w:r w:rsidRPr="001B449B">
        <w:rPr>
          <w:sz w:val="22"/>
        </w:rPr>
        <w:t xml:space="preserve">Similarly, it is not clear </w:t>
      </w:r>
      <w:r w:rsidR="00D968AA" w:rsidRPr="001B449B">
        <w:rPr>
          <w:sz w:val="22"/>
        </w:rPr>
        <w:t xml:space="preserve">from the documentation </w:t>
      </w:r>
      <w:r w:rsidRPr="001B449B">
        <w:rPr>
          <w:sz w:val="22"/>
        </w:rPr>
        <w:t xml:space="preserve">what protocol the World Bank has in place to </w:t>
      </w:r>
      <w:r w:rsidR="00B97D4C" w:rsidRPr="001B449B">
        <w:rPr>
          <w:sz w:val="22"/>
        </w:rPr>
        <w:t>operationalis</w:t>
      </w:r>
      <w:r w:rsidR="00B97D4C">
        <w:rPr>
          <w:sz w:val="22"/>
        </w:rPr>
        <w:t>e</w:t>
      </w:r>
      <w:r w:rsidR="00B97D4C" w:rsidRPr="001B449B">
        <w:rPr>
          <w:sz w:val="22"/>
        </w:rPr>
        <w:t xml:space="preserve"> </w:t>
      </w:r>
      <w:r w:rsidRPr="001B449B">
        <w:rPr>
          <w:sz w:val="22"/>
        </w:rPr>
        <w:t xml:space="preserve">recommendations, which may </w:t>
      </w:r>
      <w:r w:rsidR="00DD4282">
        <w:rPr>
          <w:sz w:val="22"/>
        </w:rPr>
        <w:t>be due to</w:t>
      </w:r>
      <w:r w:rsidRPr="001B449B">
        <w:rPr>
          <w:sz w:val="22"/>
        </w:rPr>
        <w:t xml:space="preserve"> </w:t>
      </w:r>
      <w:r w:rsidR="00DD4282">
        <w:rPr>
          <w:sz w:val="22"/>
        </w:rPr>
        <w:t>organisational</w:t>
      </w:r>
      <w:r w:rsidRPr="001B449B">
        <w:rPr>
          <w:sz w:val="22"/>
        </w:rPr>
        <w:t xml:space="preserve"> size and complexity. For </w:t>
      </w:r>
      <w:r w:rsidRPr="001B449B">
        <w:rPr>
          <w:sz w:val="22"/>
        </w:rPr>
        <w:lastRenderedPageBreak/>
        <w:t>example, the Bank’s own internal evaluation in 2012 recommended that results-based frameworks are developed at outset of programs</w:t>
      </w:r>
      <w:r w:rsidR="00DD4282">
        <w:rPr>
          <w:sz w:val="22"/>
        </w:rPr>
        <w:t>,</w:t>
      </w:r>
      <w:r w:rsidRPr="001B449B">
        <w:rPr>
          <w:sz w:val="22"/>
        </w:rPr>
        <w:t xml:space="preserve"> to facilitate consistent adoption of </w:t>
      </w:r>
      <w:r w:rsidR="00DD4282" w:rsidRPr="001B449B">
        <w:rPr>
          <w:sz w:val="22"/>
        </w:rPr>
        <w:t>gender integration</w:t>
      </w:r>
      <w:r w:rsidR="00DD4282" w:rsidRPr="001B449B" w:rsidDel="00DD4282">
        <w:rPr>
          <w:sz w:val="22"/>
        </w:rPr>
        <w:t xml:space="preserve"> </w:t>
      </w:r>
      <w:r w:rsidRPr="001B449B">
        <w:rPr>
          <w:sz w:val="22"/>
        </w:rPr>
        <w:t>outcome</w:t>
      </w:r>
      <w:r w:rsidR="00DD4282">
        <w:rPr>
          <w:sz w:val="22"/>
        </w:rPr>
        <w:t>s</w:t>
      </w:r>
      <w:r w:rsidRPr="001B449B">
        <w:rPr>
          <w:sz w:val="22"/>
        </w:rPr>
        <w:t xml:space="preserve">, </w:t>
      </w:r>
      <w:r w:rsidR="00DD4282">
        <w:rPr>
          <w:sz w:val="22"/>
        </w:rPr>
        <w:t>and to serve as</w:t>
      </w:r>
      <w:r w:rsidRPr="001B449B">
        <w:rPr>
          <w:sz w:val="22"/>
        </w:rPr>
        <w:t xml:space="preserve"> accountability tool</w:t>
      </w:r>
      <w:r w:rsidR="00DD4282">
        <w:rPr>
          <w:sz w:val="22"/>
        </w:rPr>
        <w:t>s</w:t>
      </w:r>
      <w:r w:rsidRPr="001B449B">
        <w:rPr>
          <w:sz w:val="22"/>
        </w:rPr>
        <w:t xml:space="preserve"> for evaluation</w:t>
      </w:r>
      <w:r w:rsidR="00BA121D" w:rsidRPr="001B449B">
        <w:rPr>
          <w:sz w:val="22"/>
        </w:rPr>
        <w:t>.</w:t>
      </w:r>
      <w:r w:rsidRPr="001B449B">
        <w:rPr>
          <w:sz w:val="22"/>
          <w:vertAlign w:val="superscript"/>
        </w:rPr>
        <w:footnoteReference w:id="150"/>
      </w:r>
      <w:r w:rsidRPr="001B449B">
        <w:rPr>
          <w:sz w:val="22"/>
        </w:rPr>
        <w:t xml:space="preserve">  It is possible that this recommendation arose from the IFG experience of operating for some years without a results framework, yet it was a further four years before this deficiency was corrected at IFG.  This delay suggests the internal evaluation was responding to problems across the whole World Bank portfolio, and </w:t>
      </w:r>
      <w:r w:rsidR="00DD4282">
        <w:rPr>
          <w:sz w:val="22"/>
        </w:rPr>
        <w:t xml:space="preserve">therefore </w:t>
      </w:r>
      <w:r w:rsidRPr="001B449B">
        <w:rPr>
          <w:sz w:val="22"/>
        </w:rPr>
        <w:t>cannot be attributed to influence from IFG or PFSA.</w:t>
      </w:r>
    </w:p>
    <w:p w14:paraId="15B3D0EB" w14:textId="77777777" w:rsidR="00FC43E7" w:rsidRDefault="00FC43E7" w:rsidP="004224DE">
      <w:pPr>
        <w:pStyle w:val="recommendation"/>
      </w:pPr>
      <w:r>
        <w:t>Recommendation</w:t>
      </w:r>
    </w:p>
    <w:p w14:paraId="2E628AE2" w14:textId="38555D65" w:rsidR="00FC43E7" w:rsidRDefault="007D2EF6" w:rsidP="007D2EF6">
      <w:pPr>
        <w:pStyle w:val="recommendation"/>
        <w:ind w:left="360"/>
      </w:pPr>
      <w:bookmarkStart w:id="56" w:name="_Hlk516690660"/>
      <w:bookmarkStart w:id="57" w:name="_Hlk514054239"/>
      <w:r>
        <w:t xml:space="preserve">21. </w:t>
      </w:r>
      <w:r w:rsidR="00FC43E7" w:rsidRPr="005938BF">
        <w:t>Develop a process to share lessons learned across DFAT-funded programs</w:t>
      </w:r>
      <w:r w:rsidR="00BA121D">
        <w:t xml:space="preserve"> in the region and beyond</w:t>
      </w:r>
      <w:bookmarkEnd w:id="56"/>
      <w:r w:rsidR="00BA121D">
        <w:t>.</w:t>
      </w:r>
      <w:r w:rsidR="00FC43E7" w:rsidRPr="005938BF">
        <w:t xml:space="preserve"> </w:t>
      </w:r>
      <w:bookmarkEnd w:id="57"/>
    </w:p>
    <w:p w14:paraId="1576CCD5" w14:textId="36B940CB" w:rsidR="00FC43E7" w:rsidRPr="00FC43E7" w:rsidRDefault="007D2EF6" w:rsidP="007D2EF6">
      <w:pPr>
        <w:pStyle w:val="recommendation"/>
        <w:ind w:left="360"/>
      </w:pPr>
      <w:bookmarkStart w:id="58" w:name="_Hlk514054254"/>
      <w:r>
        <w:t xml:space="preserve">22. </w:t>
      </w:r>
      <w:r w:rsidR="00FC43E7" w:rsidRPr="005938BF">
        <w:t>Ensure theory of change and results framework are living documents that are revisited and revised as necessary</w:t>
      </w:r>
      <w:bookmarkEnd w:id="58"/>
      <w:r w:rsidR="00FC43E7" w:rsidRPr="005938BF">
        <w:t>.</w:t>
      </w:r>
    </w:p>
    <w:p w14:paraId="099CBADC" w14:textId="77777777" w:rsidR="00564690" w:rsidRPr="00624BFC" w:rsidRDefault="00564690" w:rsidP="001A78AF">
      <w:pPr>
        <w:pStyle w:val="Heading2"/>
      </w:pPr>
      <w:bookmarkStart w:id="59" w:name="_Toc517615252"/>
      <w:r w:rsidRPr="00624BFC">
        <w:t>Sharing, learning and adapting programs</w:t>
      </w:r>
      <w:bookmarkEnd w:id="59"/>
    </w:p>
    <w:p w14:paraId="5CB9353B" w14:textId="77777777" w:rsidR="00FC43E7" w:rsidRPr="001B449B" w:rsidRDefault="00FC43E7" w:rsidP="001A78AF">
      <w:pPr>
        <w:rPr>
          <w:sz w:val="22"/>
        </w:rPr>
      </w:pPr>
      <w:r w:rsidRPr="001B449B">
        <w:rPr>
          <w:sz w:val="22"/>
        </w:rPr>
        <w:t>For IFG and SARTFP to be influential, they need a strategy for how Monitoring, Evaluation and Learning (MEL) is processed into communications, and how lessons are disseminated in networks - both within WB and beyond.  The presence of such a strategy is not clear from the literature, and interviews confirmed this is a work in progress.</w:t>
      </w:r>
      <w:r w:rsidR="00646AEB" w:rsidRPr="00646AEB">
        <w:rPr>
          <w:sz w:val="22"/>
          <w:vertAlign w:val="superscript"/>
        </w:rPr>
        <w:t xml:space="preserve"> </w:t>
      </w:r>
      <w:r w:rsidR="00646AEB" w:rsidRPr="001B449B">
        <w:rPr>
          <w:sz w:val="22"/>
          <w:vertAlign w:val="superscript"/>
        </w:rPr>
        <w:footnoteReference w:id="151"/>
      </w:r>
      <w:r w:rsidRPr="001B449B">
        <w:rPr>
          <w:sz w:val="22"/>
        </w:rPr>
        <w:t xml:space="preserve"> </w:t>
      </w:r>
      <w:r w:rsidR="00DD4282">
        <w:rPr>
          <w:sz w:val="22"/>
        </w:rPr>
        <w:t>T</w:t>
      </w:r>
      <w:r w:rsidRPr="001B449B">
        <w:rPr>
          <w:sz w:val="22"/>
        </w:rPr>
        <w:t xml:space="preserve">he </w:t>
      </w:r>
      <w:bookmarkStart w:id="60" w:name="_Hlk513825806"/>
      <w:r w:rsidRPr="001B449B">
        <w:rPr>
          <w:sz w:val="22"/>
        </w:rPr>
        <w:t xml:space="preserve">Donor Steering Committee </w:t>
      </w:r>
      <w:bookmarkEnd w:id="60"/>
      <w:r w:rsidR="00646AEB">
        <w:rPr>
          <w:sz w:val="22"/>
        </w:rPr>
        <w:t>(DSC)</w:t>
      </w:r>
      <w:r w:rsidR="00646AEB" w:rsidRPr="001B449B">
        <w:rPr>
          <w:sz w:val="22"/>
        </w:rPr>
        <w:t xml:space="preserve"> </w:t>
      </w:r>
      <w:r w:rsidRPr="001B449B">
        <w:rPr>
          <w:sz w:val="22"/>
        </w:rPr>
        <w:t xml:space="preserve">December 2017 </w:t>
      </w:r>
      <w:r w:rsidR="00B97D4C">
        <w:rPr>
          <w:sz w:val="22"/>
        </w:rPr>
        <w:t xml:space="preserve">meeting </w:t>
      </w:r>
      <w:r w:rsidRPr="001B449B">
        <w:rPr>
          <w:sz w:val="22"/>
        </w:rPr>
        <w:t xml:space="preserve">acknowledged the perennial problem of failure to learn from programs, citing the example of the Justice for the </w:t>
      </w:r>
      <w:r w:rsidR="00564690" w:rsidRPr="001B449B">
        <w:rPr>
          <w:sz w:val="22"/>
        </w:rPr>
        <w:t>P</w:t>
      </w:r>
      <w:r w:rsidRPr="001B449B">
        <w:rPr>
          <w:sz w:val="22"/>
        </w:rPr>
        <w:t>oor program</w:t>
      </w:r>
      <w:r w:rsidR="00B97D4C">
        <w:rPr>
          <w:sz w:val="22"/>
        </w:rPr>
        <w:t xml:space="preserve"> (Indonesia and select Pacific countries)</w:t>
      </w:r>
      <w:r w:rsidRPr="001B449B">
        <w:rPr>
          <w:sz w:val="22"/>
        </w:rPr>
        <w:t>, which was funded by DFAT for ten years, yet failed to collate and share knowledge and lessons effectively.</w:t>
      </w:r>
      <w:r w:rsidRPr="001B449B">
        <w:rPr>
          <w:sz w:val="22"/>
          <w:vertAlign w:val="superscript"/>
        </w:rPr>
        <w:footnoteReference w:id="152"/>
      </w:r>
      <w:r w:rsidRPr="001B449B">
        <w:rPr>
          <w:sz w:val="22"/>
        </w:rPr>
        <w:t xml:space="preserve"> </w:t>
      </w:r>
    </w:p>
    <w:p w14:paraId="483BF1D3" w14:textId="0938F0A0" w:rsidR="00FC43E7" w:rsidRPr="001B449B" w:rsidRDefault="00FC43E7" w:rsidP="001A78AF">
      <w:pPr>
        <w:rPr>
          <w:sz w:val="22"/>
        </w:rPr>
      </w:pPr>
      <w:r w:rsidRPr="001B449B">
        <w:rPr>
          <w:sz w:val="22"/>
        </w:rPr>
        <w:t xml:space="preserve">It is not clear to what extent the design of SARTFP was strengthened by lessons learned from IFG, or other programs </w:t>
      </w:r>
      <w:r w:rsidR="00646AEB">
        <w:rPr>
          <w:sz w:val="22"/>
        </w:rPr>
        <w:t xml:space="preserve">learning </w:t>
      </w:r>
      <w:r w:rsidRPr="001B449B">
        <w:rPr>
          <w:sz w:val="22"/>
        </w:rPr>
        <w:t xml:space="preserve">such as </w:t>
      </w:r>
      <w:r w:rsidR="00646AEB">
        <w:rPr>
          <w:sz w:val="22"/>
        </w:rPr>
        <w:t xml:space="preserve">from </w:t>
      </w:r>
      <w:r w:rsidRPr="001B449B">
        <w:rPr>
          <w:sz w:val="22"/>
        </w:rPr>
        <w:t xml:space="preserve">Justice for the Poor. However, learning is made more likely if all programs allocate resources to knowledge management, adaptive learning and communications.  This requires a plan at the start of the program and needs to be </w:t>
      </w:r>
      <w:r w:rsidR="00DF51D2" w:rsidRPr="001B449B">
        <w:rPr>
          <w:sz w:val="22"/>
        </w:rPr>
        <w:t>included</w:t>
      </w:r>
      <w:r w:rsidRPr="001B449B">
        <w:rPr>
          <w:sz w:val="22"/>
        </w:rPr>
        <w:t xml:space="preserve"> in the definition of the partnership roles and responsibilities. Otherwise, the reporting process becomes too internally focused, with the aim of </w:t>
      </w:r>
      <w:r w:rsidRPr="001B449B">
        <w:rPr>
          <w:b/>
          <w:sz w:val="22"/>
        </w:rPr>
        <w:t>preserving the partnership instead of improving it.</w:t>
      </w:r>
      <w:r w:rsidR="00D2247D">
        <w:rPr>
          <w:sz w:val="22"/>
        </w:rPr>
        <w:t xml:space="preserve"> </w:t>
      </w:r>
      <w:r w:rsidRPr="001B449B">
        <w:rPr>
          <w:sz w:val="22"/>
        </w:rPr>
        <w:t>This leads to a focus on measuring the efficiency of how donor funds are managed and spent, instead of a commitment to work together transparently to be more transformative.  </w:t>
      </w:r>
    </w:p>
    <w:p w14:paraId="3EB8F9E1" w14:textId="77777777" w:rsidR="00FC43E7" w:rsidRPr="001B449B" w:rsidRDefault="00FC43E7" w:rsidP="001A78AF">
      <w:pPr>
        <w:rPr>
          <w:sz w:val="22"/>
        </w:rPr>
      </w:pPr>
      <w:r w:rsidRPr="001B449B">
        <w:rPr>
          <w:sz w:val="22"/>
        </w:rPr>
        <w:t xml:space="preserve">One interviewee </w:t>
      </w:r>
      <w:r w:rsidR="00646AEB">
        <w:rPr>
          <w:sz w:val="22"/>
        </w:rPr>
        <w:t>observed</w:t>
      </w:r>
      <w:r w:rsidRPr="001B449B">
        <w:rPr>
          <w:sz w:val="22"/>
        </w:rPr>
        <w:t xml:space="preserve"> that DFAT does not realise how much it has contributed to raising awareness and understanding of gender issues in the region, because they only look at individual projects instead of seeing the whole picture. This may be </w:t>
      </w:r>
      <w:r w:rsidR="00646AEB">
        <w:rPr>
          <w:sz w:val="22"/>
        </w:rPr>
        <w:t>due to</w:t>
      </w:r>
      <w:r w:rsidRPr="001B449B">
        <w:rPr>
          <w:sz w:val="22"/>
        </w:rPr>
        <w:t xml:space="preserve"> weaknesses in the way program results are communicated, shared and fed into new </w:t>
      </w:r>
      <w:r w:rsidR="00646AEB">
        <w:rPr>
          <w:sz w:val="22"/>
        </w:rPr>
        <w:t>project design</w:t>
      </w:r>
      <w:r w:rsidRPr="001B449B">
        <w:rPr>
          <w:sz w:val="22"/>
        </w:rPr>
        <w:t>.</w:t>
      </w:r>
    </w:p>
    <w:p w14:paraId="5956F87D" w14:textId="77777777" w:rsidR="00FC43E7" w:rsidRPr="001B449B" w:rsidRDefault="00FC43E7" w:rsidP="000B5B50">
      <w:pPr>
        <w:rPr>
          <w:sz w:val="22"/>
        </w:rPr>
      </w:pPr>
      <w:r w:rsidRPr="001B449B">
        <w:rPr>
          <w:sz w:val="22"/>
        </w:rPr>
        <w:t xml:space="preserve">DFAT agrees that </w:t>
      </w:r>
      <w:r w:rsidR="00646AEB">
        <w:rPr>
          <w:sz w:val="22"/>
        </w:rPr>
        <w:t>there is scope</w:t>
      </w:r>
      <w:r w:rsidR="00646AEB" w:rsidRPr="001B449B">
        <w:rPr>
          <w:sz w:val="22"/>
        </w:rPr>
        <w:t xml:space="preserve"> to take a more strategic view</w:t>
      </w:r>
      <w:r w:rsidR="00646AEB">
        <w:rPr>
          <w:sz w:val="22"/>
        </w:rPr>
        <w:t>, and</w:t>
      </w:r>
      <w:r w:rsidR="00646AEB" w:rsidRPr="001B449B">
        <w:rPr>
          <w:sz w:val="22"/>
        </w:rPr>
        <w:t xml:space="preserve"> </w:t>
      </w:r>
      <w:r w:rsidRPr="001B449B">
        <w:rPr>
          <w:sz w:val="22"/>
        </w:rPr>
        <w:t>they have not made the most of opportunities to share lessons under PFSA.</w:t>
      </w:r>
      <w:r w:rsidRPr="001B449B">
        <w:rPr>
          <w:rStyle w:val="FootnoteReference"/>
          <w:sz w:val="22"/>
        </w:rPr>
        <w:footnoteReference w:id="153"/>
      </w:r>
      <w:r w:rsidRPr="001B449B">
        <w:rPr>
          <w:sz w:val="22"/>
        </w:rPr>
        <w:t xml:space="preserve"> The DSC may not be the right forum to have more in-depth discussion on the pertinent issues </w:t>
      </w:r>
      <w:r w:rsidR="00646AEB">
        <w:rPr>
          <w:sz w:val="22"/>
        </w:rPr>
        <w:t xml:space="preserve">for </w:t>
      </w:r>
      <w:r w:rsidRPr="001B449B">
        <w:rPr>
          <w:sz w:val="22"/>
        </w:rPr>
        <w:t>further</w:t>
      </w:r>
      <w:r w:rsidR="00646AEB">
        <w:rPr>
          <w:sz w:val="22"/>
        </w:rPr>
        <w:t xml:space="preserve"> development</w:t>
      </w:r>
      <w:r w:rsidRPr="001B449B">
        <w:rPr>
          <w:sz w:val="22"/>
        </w:rPr>
        <w:t>, but it is the only outlet for such matters to be aired. All parties seem to agree that communication and learning needs to improve.</w:t>
      </w:r>
    </w:p>
    <w:p w14:paraId="7887C5BF" w14:textId="7E66C23D" w:rsidR="00A02664" w:rsidRDefault="00FC43E7" w:rsidP="000B5B50">
      <w:pPr>
        <w:rPr>
          <w:sz w:val="22"/>
        </w:rPr>
      </w:pPr>
      <w:r w:rsidRPr="001B449B">
        <w:rPr>
          <w:sz w:val="22"/>
        </w:rPr>
        <w:t>As D</w:t>
      </w:r>
      <w:r w:rsidR="00B97D4C">
        <w:rPr>
          <w:sz w:val="22"/>
        </w:rPr>
        <w:t>f</w:t>
      </w:r>
      <w:r w:rsidRPr="001B449B">
        <w:rPr>
          <w:sz w:val="22"/>
        </w:rPr>
        <w:t xml:space="preserve">ID explained in the </w:t>
      </w:r>
      <w:r w:rsidR="006A13F4">
        <w:rPr>
          <w:sz w:val="22"/>
        </w:rPr>
        <w:t>DSC</w:t>
      </w:r>
      <w:r w:rsidRPr="001B449B">
        <w:rPr>
          <w:sz w:val="22"/>
        </w:rPr>
        <w:t xml:space="preserve"> meeting, the donors need to be ‘moving in disruptive space’ as a way to advance the work, thus it is ‘important to document the process and the M&amp;E evidence needs to be captured’.</w:t>
      </w:r>
      <w:r w:rsidRPr="001B449B">
        <w:rPr>
          <w:sz w:val="22"/>
          <w:vertAlign w:val="superscript"/>
        </w:rPr>
        <w:footnoteReference w:id="154"/>
      </w:r>
      <w:r w:rsidRPr="001B449B">
        <w:rPr>
          <w:sz w:val="22"/>
        </w:rPr>
        <w:t xml:space="preserve">  </w:t>
      </w:r>
      <w:r w:rsidR="00564690" w:rsidRPr="001B449B">
        <w:rPr>
          <w:sz w:val="22"/>
        </w:rPr>
        <w:t>In the opinion of the evaluator</w:t>
      </w:r>
      <w:r w:rsidRPr="001B449B">
        <w:rPr>
          <w:sz w:val="22"/>
        </w:rPr>
        <w:t>, this is not radical commentary on how development programs should be managed (the OECD’s Development Assistance Committee</w:t>
      </w:r>
      <w:r w:rsidR="00646AEB">
        <w:rPr>
          <w:sz w:val="22"/>
        </w:rPr>
        <w:t xml:space="preserve"> </w:t>
      </w:r>
      <w:r w:rsidRPr="001B449B">
        <w:rPr>
          <w:sz w:val="22"/>
        </w:rPr>
        <w:t>specifies this in detail)</w:t>
      </w:r>
      <w:r w:rsidRPr="001B449B">
        <w:rPr>
          <w:sz w:val="22"/>
          <w:vertAlign w:val="superscript"/>
        </w:rPr>
        <w:footnoteReference w:id="155"/>
      </w:r>
      <w:r w:rsidRPr="001B449B">
        <w:rPr>
          <w:sz w:val="22"/>
        </w:rPr>
        <w:t xml:space="preserve"> but it does </w:t>
      </w:r>
      <w:r w:rsidR="00646AEB">
        <w:rPr>
          <w:sz w:val="22"/>
        </w:rPr>
        <w:t>assume</w:t>
      </w:r>
      <w:r w:rsidRPr="001B449B">
        <w:rPr>
          <w:sz w:val="22"/>
        </w:rPr>
        <w:t xml:space="preserve"> how donor</w:t>
      </w:r>
      <w:r w:rsidR="00646AEB">
        <w:rPr>
          <w:sz w:val="22"/>
        </w:rPr>
        <w:t>s</w:t>
      </w:r>
      <w:r w:rsidRPr="001B449B">
        <w:rPr>
          <w:sz w:val="22"/>
        </w:rPr>
        <w:t xml:space="preserve"> need to work to create the right conditions for mutual learning and continuous improvement. </w:t>
      </w:r>
    </w:p>
    <w:p w14:paraId="772FEE98" w14:textId="77777777" w:rsidR="00A02664" w:rsidRDefault="00A02664">
      <w:pPr>
        <w:spacing w:before="0" w:after="0"/>
        <w:rPr>
          <w:sz w:val="22"/>
        </w:rPr>
      </w:pPr>
      <w:r>
        <w:rPr>
          <w:sz w:val="22"/>
        </w:rPr>
        <w:br w:type="page"/>
      </w:r>
    </w:p>
    <w:p w14:paraId="14034902" w14:textId="77777777" w:rsidR="00FC43E7" w:rsidRPr="001B449B" w:rsidRDefault="00FC43E7" w:rsidP="000B5B50">
      <w:pPr>
        <w:rPr>
          <w:sz w:val="22"/>
        </w:rPr>
      </w:pPr>
    </w:p>
    <w:p w14:paraId="0BBA37A3" w14:textId="77777777" w:rsidR="00FC43E7" w:rsidRPr="009C2734" w:rsidRDefault="00FC43E7" w:rsidP="004224DE">
      <w:pPr>
        <w:pStyle w:val="recommendation"/>
      </w:pPr>
      <w:r>
        <w:t>Recommendation:</w:t>
      </w:r>
    </w:p>
    <w:p w14:paraId="01F51673" w14:textId="46F5091A" w:rsidR="00FC43E7" w:rsidRDefault="007D2EF6" w:rsidP="007D2EF6">
      <w:pPr>
        <w:pStyle w:val="recommendation"/>
        <w:ind w:left="360"/>
      </w:pPr>
      <w:bookmarkStart w:id="61" w:name="_Hlk514054301"/>
      <w:bookmarkStart w:id="62" w:name="_Hlk516690686"/>
      <w:r>
        <w:t xml:space="preserve">23. </w:t>
      </w:r>
      <w:r w:rsidR="00FC43E7" w:rsidRPr="005938BF">
        <w:t>Develop and test the theory of change to be more than a collection of effective but disparate projects</w:t>
      </w:r>
      <w:bookmarkEnd w:id="61"/>
      <w:r w:rsidR="00FC43E7" w:rsidRPr="005938BF">
        <w:t>.</w:t>
      </w:r>
      <w:bookmarkEnd w:id="62"/>
      <w:r w:rsidR="00FC43E7" w:rsidRPr="005938BF">
        <w:t xml:space="preserve"> </w:t>
      </w:r>
    </w:p>
    <w:p w14:paraId="326AF007" w14:textId="7AE12B67" w:rsidR="00FC43E7" w:rsidRDefault="007D2EF6" w:rsidP="007D2EF6">
      <w:pPr>
        <w:pStyle w:val="recommendation"/>
        <w:ind w:left="360"/>
      </w:pPr>
      <w:bookmarkStart w:id="63" w:name="_Hlk514054352"/>
      <w:r>
        <w:t xml:space="preserve">24. </w:t>
      </w:r>
      <w:r w:rsidR="00FC43E7" w:rsidRPr="005938BF">
        <w:t xml:space="preserve">Develop a system for learning and adaptation (including </w:t>
      </w:r>
      <w:r w:rsidR="00212FD2">
        <w:t>defining</w:t>
      </w:r>
      <w:r w:rsidR="00212FD2" w:rsidRPr="005938BF">
        <w:t xml:space="preserve"> </w:t>
      </w:r>
      <w:r w:rsidR="00FC43E7" w:rsidRPr="005938BF">
        <w:t>roles and responsibilities) as part of the initial program design phase. Have regular health checks of this system and refine accordingly.</w:t>
      </w:r>
      <w:r w:rsidR="004224DE">
        <w:t xml:space="preserve"> Consider how the DSC can provide a support structure to this system.</w:t>
      </w:r>
      <w:bookmarkEnd w:id="63"/>
    </w:p>
    <w:p w14:paraId="4B870381" w14:textId="77777777" w:rsidR="00BF634C" w:rsidRDefault="00BF634C">
      <w:pPr>
        <w:spacing w:before="0" w:after="0"/>
      </w:pPr>
      <w:r>
        <w:br w:type="page"/>
      </w:r>
    </w:p>
    <w:p w14:paraId="159E36DF" w14:textId="3D2A67EA" w:rsidR="00AB59D0" w:rsidRPr="00AB59D0" w:rsidRDefault="00E409E2" w:rsidP="004224DE">
      <w:pPr>
        <w:pStyle w:val="Heading1"/>
      </w:pPr>
      <w:bookmarkStart w:id="64" w:name="_Toc517615253"/>
      <w:r w:rsidRPr="00E409E2">
        <w:lastRenderedPageBreak/>
        <w:t>Annexes</w:t>
      </w:r>
      <w:bookmarkEnd w:id="64"/>
    </w:p>
    <w:p w14:paraId="44B2EF76" w14:textId="3317F47D" w:rsidR="00FA18B1" w:rsidRDefault="00C038F9" w:rsidP="004224DE">
      <w:pPr>
        <w:pStyle w:val="Heading2"/>
      </w:pPr>
      <w:bookmarkStart w:id="65" w:name="_Toc517615254"/>
      <w:r w:rsidRPr="000F36DD">
        <w:rPr>
          <w:noProof/>
          <w:lang w:val="en-AU" w:eastAsia="en-AU"/>
        </w:rPr>
        <w:drawing>
          <wp:anchor distT="0" distB="0" distL="114300" distR="114300" simplePos="0" relativeHeight="251661312" behindDoc="1" locked="0" layoutInCell="1" allowOverlap="1" wp14:anchorId="11D92BB3" wp14:editId="40352A1D">
            <wp:simplePos x="0" y="0"/>
            <wp:positionH relativeFrom="margin">
              <wp:posOffset>1306195</wp:posOffset>
            </wp:positionH>
            <wp:positionV relativeFrom="margin">
              <wp:posOffset>650240</wp:posOffset>
            </wp:positionV>
            <wp:extent cx="3057525" cy="666750"/>
            <wp:effectExtent l="0" t="0" r="9525" b="0"/>
            <wp:wrapSquare wrapText="bothSides"/>
            <wp:docPr id="1" name="Picture 1" descr="Description: DFAT_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FAT_stri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7525" cy="666750"/>
                    </a:xfrm>
                    <a:prstGeom prst="rect">
                      <a:avLst/>
                    </a:prstGeom>
                    <a:noFill/>
                    <a:ln>
                      <a:noFill/>
                    </a:ln>
                  </pic:spPr>
                </pic:pic>
              </a:graphicData>
            </a:graphic>
          </wp:anchor>
        </w:drawing>
      </w:r>
      <w:r w:rsidR="00FA18B1">
        <w:t xml:space="preserve">Annex </w:t>
      </w:r>
      <w:r>
        <w:t>1</w:t>
      </w:r>
      <w:r w:rsidR="00FA18B1" w:rsidRPr="00FA18B1">
        <w:t>:</w:t>
      </w:r>
      <w:r w:rsidR="009D026A">
        <w:t xml:space="preserve"> Terms </w:t>
      </w:r>
      <w:r w:rsidR="00FA18B1">
        <w:t>of Reference</w:t>
      </w:r>
      <w:bookmarkEnd w:id="65"/>
    </w:p>
    <w:p w14:paraId="1F995710" w14:textId="73EFCC9E" w:rsidR="009D026A" w:rsidRDefault="009D026A" w:rsidP="004224DE"/>
    <w:p w14:paraId="58ADC871" w14:textId="77777777" w:rsidR="009D026A" w:rsidRDefault="009D026A"/>
    <w:p w14:paraId="1DEF89C5" w14:textId="77777777" w:rsidR="009D026A" w:rsidRDefault="009D026A"/>
    <w:p w14:paraId="09850191" w14:textId="77777777" w:rsidR="009D026A" w:rsidRPr="000151BA" w:rsidRDefault="009D026A">
      <w:pPr>
        <w:rPr>
          <w:sz w:val="22"/>
        </w:rPr>
      </w:pPr>
    </w:p>
    <w:p w14:paraId="4E99D797" w14:textId="77777777" w:rsidR="009D026A" w:rsidRPr="000151BA" w:rsidRDefault="009D026A">
      <w:pPr>
        <w:rPr>
          <w:sz w:val="21"/>
          <w:szCs w:val="21"/>
        </w:rPr>
      </w:pPr>
      <w:r w:rsidRPr="000151BA">
        <w:rPr>
          <w:sz w:val="21"/>
          <w:szCs w:val="21"/>
        </w:rPr>
        <w:t xml:space="preserve">South Asia Regional Connectivity </w:t>
      </w:r>
    </w:p>
    <w:p w14:paraId="7EF0935E" w14:textId="77777777" w:rsidR="009D026A" w:rsidRPr="000151BA" w:rsidRDefault="009D026A">
      <w:pPr>
        <w:rPr>
          <w:sz w:val="21"/>
          <w:szCs w:val="21"/>
        </w:rPr>
      </w:pPr>
      <w:r w:rsidRPr="000151BA">
        <w:rPr>
          <w:sz w:val="21"/>
          <w:szCs w:val="21"/>
        </w:rPr>
        <w:t>Infrastructure for Growth and the South Asia Regional Trade Facilitation Program</w:t>
      </w:r>
    </w:p>
    <w:p w14:paraId="6E528358" w14:textId="77777777" w:rsidR="009D026A" w:rsidRPr="000151BA" w:rsidRDefault="009D026A">
      <w:pPr>
        <w:rPr>
          <w:sz w:val="21"/>
          <w:szCs w:val="21"/>
        </w:rPr>
      </w:pPr>
      <w:r w:rsidRPr="000151BA">
        <w:rPr>
          <w:sz w:val="21"/>
          <w:szCs w:val="21"/>
        </w:rPr>
        <w:t>Independent Evaluation: Terms of Reference</w:t>
      </w:r>
    </w:p>
    <w:p w14:paraId="6E85AD18" w14:textId="77777777" w:rsidR="009D026A" w:rsidRPr="000151BA" w:rsidRDefault="009D026A" w:rsidP="004224DE">
      <w:pPr>
        <w:pStyle w:val="ListParagraph"/>
        <w:numPr>
          <w:ilvl w:val="0"/>
          <w:numId w:val="2"/>
        </w:numPr>
        <w:rPr>
          <w:sz w:val="21"/>
          <w:szCs w:val="21"/>
        </w:rPr>
      </w:pPr>
      <w:r w:rsidRPr="000151BA">
        <w:rPr>
          <w:sz w:val="21"/>
          <w:szCs w:val="21"/>
        </w:rPr>
        <w:t xml:space="preserve">Background and rationale </w:t>
      </w:r>
    </w:p>
    <w:p w14:paraId="194E61BD" w14:textId="77777777" w:rsidR="009D026A" w:rsidRPr="000151BA" w:rsidRDefault="009D026A" w:rsidP="004224DE">
      <w:pPr>
        <w:rPr>
          <w:sz w:val="21"/>
          <w:szCs w:val="21"/>
        </w:rPr>
      </w:pPr>
      <w:r w:rsidRPr="000151BA">
        <w:rPr>
          <w:sz w:val="21"/>
          <w:szCs w:val="21"/>
        </w:rPr>
        <w:t xml:space="preserve">The second objective of DFAT’s South Asia Regional program seeks to increase regional connectivity through trade facilitation and infrastructure connectivity. This objective is primarily advanced through two World Bank-led programs: </w:t>
      </w:r>
    </w:p>
    <w:p w14:paraId="6F08586A" w14:textId="77777777" w:rsidR="009D026A" w:rsidRPr="000151BA" w:rsidRDefault="009D026A" w:rsidP="004224DE">
      <w:pPr>
        <w:pStyle w:val="ListParagraph"/>
        <w:numPr>
          <w:ilvl w:val="0"/>
          <w:numId w:val="3"/>
        </w:numPr>
        <w:rPr>
          <w:sz w:val="21"/>
          <w:szCs w:val="21"/>
        </w:rPr>
      </w:pPr>
      <w:r w:rsidRPr="000151BA">
        <w:rPr>
          <w:sz w:val="21"/>
          <w:szCs w:val="21"/>
        </w:rPr>
        <w:t>Infrastructure for Growth (IFG, $20 million, 2012-2018); and</w:t>
      </w:r>
    </w:p>
    <w:p w14:paraId="2E34C2A9" w14:textId="77777777" w:rsidR="000D5996" w:rsidRPr="000151BA" w:rsidRDefault="009D026A" w:rsidP="001A78AF">
      <w:pPr>
        <w:pStyle w:val="ListParagraph"/>
        <w:numPr>
          <w:ilvl w:val="0"/>
          <w:numId w:val="3"/>
        </w:numPr>
        <w:rPr>
          <w:sz w:val="21"/>
          <w:szCs w:val="21"/>
        </w:rPr>
      </w:pPr>
      <w:r w:rsidRPr="000151BA">
        <w:rPr>
          <w:sz w:val="21"/>
          <w:szCs w:val="21"/>
        </w:rPr>
        <w:t>South Asia Regional Trade Facilitation Program (SARTFP, $25 million, 2015-2019).</w:t>
      </w:r>
    </w:p>
    <w:p w14:paraId="391C9374" w14:textId="77777777" w:rsidR="000D5996" w:rsidRPr="000151BA" w:rsidRDefault="009D026A" w:rsidP="004224DE">
      <w:pPr>
        <w:rPr>
          <w:sz w:val="21"/>
          <w:szCs w:val="21"/>
        </w:rPr>
      </w:pPr>
      <w:r w:rsidRPr="000151BA">
        <w:rPr>
          <w:sz w:val="21"/>
          <w:szCs w:val="21"/>
        </w:rPr>
        <w:t>The objective of IFG is to respond to the infrastructure gaps in South Asia by addressing the major challenges of insufficient connectivity and integration, both within participating countries and across the South Asia region. IFG focuses on two core sectors, energy and transport, through three thematic pillars: regional economic integration, climate change and cross-cutting themes (including gender and social inclusion). DFAT has expensed 100 per cent of its funding to IFG, of which the World Bank has disbursed almost 100 per cent to 53 activities. The implementation of IFG is led by the World Bank, with minimal DFAT input.</w:t>
      </w:r>
    </w:p>
    <w:p w14:paraId="18519C9D" w14:textId="77777777" w:rsidR="000D5996" w:rsidRPr="000151BA" w:rsidRDefault="009D026A" w:rsidP="001A78AF">
      <w:pPr>
        <w:rPr>
          <w:sz w:val="21"/>
          <w:szCs w:val="21"/>
        </w:rPr>
      </w:pPr>
      <w:r w:rsidRPr="000151BA">
        <w:rPr>
          <w:sz w:val="21"/>
          <w:szCs w:val="21"/>
        </w:rPr>
        <w:t>SARTFP aims to enhance trade and economic opportunities across Bangladesh, Bhutan, India and Nepal, with an emphasis on women’s participation in trade and economic activity across three focus areas: transport connectivity; trade facilitation and trade policy; and local enterprise development and economic opportunity. The South Asia Regional program operates in a complex geo-political environment. DFAT undertook comprehensive regional analysis to inform the strategy and narrative of the program. To date, DFAT has expensed 72 per cent ($18 million) of its funding to the World Bank. Of this, the World Bank has approved approximately $8.45 million for 14 activities. DFAT has appointed a Technical Advisory Facility</w:t>
      </w:r>
      <w:r w:rsidRPr="000151BA">
        <w:rPr>
          <w:rStyle w:val="FootnoteReference"/>
          <w:sz w:val="21"/>
          <w:szCs w:val="21"/>
        </w:rPr>
        <w:footnoteReference w:id="156"/>
      </w:r>
      <w:r w:rsidRPr="000151BA">
        <w:rPr>
          <w:sz w:val="21"/>
          <w:szCs w:val="21"/>
        </w:rPr>
        <w:t xml:space="preserve"> (TAF) to support its engagement in SARTFP. SARTFP is implemented through a ‘partnership’ approach with collaboration between DFAT and the World Bank. This has resulted in jointly-developed governance arrangements to guide program implementation and increased engagement by DFAT. During the first year of SARTFP implementation, DFAT and the World Bank developed a program logic, which included a set of medium-term outcomes, and there is also an agreed results framework. </w:t>
      </w:r>
    </w:p>
    <w:p w14:paraId="0DF1F3DA" w14:textId="77777777" w:rsidR="000D5996" w:rsidRPr="000151BA" w:rsidRDefault="009D026A" w:rsidP="001A78AF">
      <w:pPr>
        <w:rPr>
          <w:sz w:val="21"/>
          <w:szCs w:val="21"/>
        </w:rPr>
      </w:pPr>
      <w:r w:rsidRPr="000151BA">
        <w:rPr>
          <w:sz w:val="21"/>
          <w:szCs w:val="21"/>
        </w:rPr>
        <w:t xml:space="preserve">Both programs are solely funded by DFAT through the Partnership for South Asia (PFSA) Trust Fund – a DFAT-World Bank umbrella trust fund for nine DFAT investments across South and West Asia. The PFSA underwent an independent mid-term review in January 2015 which recommended revisions to the PFSA governance arrangements. The majority of the recommendations were implemented, including amending and restating of the PFSA Administration Arrangement and the development of an administration manual outlining governance structures of the PFSA, resulting in more effective oversight of the PFSA. At the time of the review, SARTFP was not designed and the review did not have a focus on regional connectivity.  </w:t>
      </w:r>
    </w:p>
    <w:p w14:paraId="1624AA3F" w14:textId="77777777" w:rsidR="009D026A" w:rsidRPr="000151BA" w:rsidRDefault="009D026A" w:rsidP="000B5B50">
      <w:pPr>
        <w:rPr>
          <w:sz w:val="21"/>
          <w:szCs w:val="21"/>
        </w:rPr>
      </w:pPr>
      <w:r w:rsidRPr="000151BA">
        <w:rPr>
          <w:sz w:val="21"/>
          <w:szCs w:val="21"/>
        </w:rPr>
        <w:lastRenderedPageBreak/>
        <w:t>With DFAT’s funding to SARTFP soon to be completed (and funding to IFG completed), DFAT will design a new regional connectivity program to commence in 2018. The purpose of the independent evaluation (‘the evaluation’) is to:</w:t>
      </w:r>
    </w:p>
    <w:p w14:paraId="17A3E145" w14:textId="77777777" w:rsidR="009D026A" w:rsidRPr="000151BA" w:rsidRDefault="009D026A" w:rsidP="004224DE">
      <w:pPr>
        <w:pStyle w:val="ListParagraph"/>
        <w:numPr>
          <w:ilvl w:val="0"/>
          <w:numId w:val="4"/>
        </w:numPr>
        <w:rPr>
          <w:sz w:val="21"/>
          <w:szCs w:val="21"/>
        </w:rPr>
      </w:pPr>
      <w:r w:rsidRPr="000151BA">
        <w:rPr>
          <w:sz w:val="21"/>
          <w:szCs w:val="21"/>
        </w:rPr>
        <w:t xml:space="preserve">review the performance of SARTFP and IFG (‘the programs’) against the objectives of Australia’s South Asia regional aid program.  </w:t>
      </w:r>
    </w:p>
    <w:p w14:paraId="0505D841" w14:textId="77777777" w:rsidR="009D026A" w:rsidRPr="000151BA" w:rsidRDefault="009D026A" w:rsidP="001A78AF">
      <w:pPr>
        <w:pStyle w:val="ListParagraph"/>
        <w:numPr>
          <w:ilvl w:val="0"/>
          <w:numId w:val="4"/>
        </w:numPr>
        <w:rPr>
          <w:sz w:val="21"/>
          <w:szCs w:val="21"/>
        </w:rPr>
      </w:pPr>
      <w:r w:rsidRPr="000151BA">
        <w:rPr>
          <w:sz w:val="21"/>
          <w:szCs w:val="21"/>
        </w:rPr>
        <w:t>provide reflections on comparative strengths and weaknesses of the management of the programs;</w:t>
      </w:r>
    </w:p>
    <w:p w14:paraId="4C45F454" w14:textId="77777777" w:rsidR="009D026A" w:rsidRPr="000151BA" w:rsidRDefault="009D026A" w:rsidP="001A78AF">
      <w:pPr>
        <w:pStyle w:val="ListParagraph"/>
        <w:numPr>
          <w:ilvl w:val="0"/>
          <w:numId w:val="4"/>
        </w:numPr>
        <w:rPr>
          <w:sz w:val="21"/>
          <w:szCs w:val="21"/>
        </w:rPr>
      </w:pPr>
      <w:r w:rsidRPr="000151BA">
        <w:rPr>
          <w:sz w:val="21"/>
          <w:szCs w:val="21"/>
        </w:rPr>
        <w:t xml:space="preserve">identify ways to increase the effectiveness, efficiency, gender equality and profile of the programs in South Asia; and </w:t>
      </w:r>
    </w:p>
    <w:p w14:paraId="32BB15A1" w14:textId="77777777" w:rsidR="009D026A" w:rsidRPr="000151BA" w:rsidRDefault="009D026A" w:rsidP="000B5B50">
      <w:pPr>
        <w:pStyle w:val="ListParagraph"/>
        <w:numPr>
          <w:ilvl w:val="0"/>
          <w:numId w:val="4"/>
        </w:numPr>
        <w:rPr>
          <w:sz w:val="21"/>
          <w:szCs w:val="21"/>
        </w:rPr>
      </w:pPr>
      <w:r w:rsidRPr="000151BA">
        <w:rPr>
          <w:sz w:val="21"/>
          <w:szCs w:val="21"/>
        </w:rPr>
        <w:t xml:space="preserve">inform future investment/engagement in regional connectivity in South Asia. </w:t>
      </w:r>
    </w:p>
    <w:p w14:paraId="4E399688" w14:textId="77777777" w:rsidR="000D5996" w:rsidRPr="000151BA" w:rsidRDefault="009D026A" w:rsidP="004224DE">
      <w:pPr>
        <w:rPr>
          <w:sz w:val="21"/>
          <w:szCs w:val="21"/>
        </w:rPr>
      </w:pPr>
      <w:r w:rsidRPr="000151BA">
        <w:rPr>
          <w:sz w:val="21"/>
          <w:szCs w:val="21"/>
        </w:rPr>
        <w:t>The primary user of the evaluation report will be DFAT (South and West Asia Division and New Delhi Post). The World Bank will also benefit from the evaluation report.</w:t>
      </w:r>
    </w:p>
    <w:p w14:paraId="1250BF78" w14:textId="77777777" w:rsidR="009D026A" w:rsidRPr="000151BA" w:rsidRDefault="009D026A" w:rsidP="004224DE">
      <w:pPr>
        <w:pStyle w:val="ListParagraph"/>
        <w:numPr>
          <w:ilvl w:val="0"/>
          <w:numId w:val="2"/>
        </w:numPr>
        <w:rPr>
          <w:sz w:val="21"/>
          <w:szCs w:val="21"/>
        </w:rPr>
      </w:pPr>
      <w:r w:rsidRPr="000151BA">
        <w:rPr>
          <w:sz w:val="21"/>
          <w:szCs w:val="21"/>
        </w:rPr>
        <w:t>Key Evaluation Questions and Scope</w:t>
      </w:r>
    </w:p>
    <w:p w14:paraId="3ECE0CD3" w14:textId="77777777" w:rsidR="000D5996" w:rsidRPr="000151BA" w:rsidRDefault="009D026A" w:rsidP="004224DE">
      <w:pPr>
        <w:rPr>
          <w:sz w:val="21"/>
          <w:szCs w:val="21"/>
        </w:rPr>
      </w:pPr>
      <w:r w:rsidRPr="000151BA">
        <w:rPr>
          <w:sz w:val="21"/>
          <w:szCs w:val="21"/>
        </w:rPr>
        <w:t xml:space="preserve">The evaluation will focus on the domains of effectiveness, efficiency, relevance and gender equality. In order to contribute to DFAT’s consideration of its future investments in regional connectivity in South Asia. The indicative evaluation questions identified for investigation are set out below, and will be refined by the evaluation team in consultation with DFAT during the detailed planning of the evaluation. </w:t>
      </w:r>
    </w:p>
    <w:p w14:paraId="01CED745" w14:textId="77777777" w:rsidR="009D026A" w:rsidRPr="000151BA" w:rsidRDefault="009D026A" w:rsidP="001A78AF">
      <w:pPr>
        <w:rPr>
          <w:sz w:val="21"/>
          <w:szCs w:val="21"/>
        </w:rPr>
      </w:pPr>
      <w:r w:rsidRPr="000151BA">
        <w:rPr>
          <w:sz w:val="21"/>
          <w:szCs w:val="21"/>
        </w:rPr>
        <w:t>The scope of the evaluation will be broken into four inter-related parts:</w:t>
      </w:r>
    </w:p>
    <w:p w14:paraId="772512A8" w14:textId="77777777" w:rsidR="009D026A" w:rsidRPr="000151BA" w:rsidRDefault="009D026A" w:rsidP="004224DE">
      <w:pPr>
        <w:pStyle w:val="ListParagraph"/>
        <w:numPr>
          <w:ilvl w:val="0"/>
          <w:numId w:val="5"/>
        </w:numPr>
        <w:rPr>
          <w:sz w:val="21"/>
          <w:szCs w:val="21"/>
        </w:rPr>
      </w:pPr>
      <w:r w:rsidRPr="000151BA">
        <w:rPr>
          <w:sz w:val="21"/>
          <w:szCs w:val="21"/>
        </w:rPr>
        <w:t>Evaluation of IFG (with respect to effectiveness, efficiency, relevance and gender equality)</w:t>
      </w:r>
    </w:p>
    <w:p w14:paraId="6449B7C2" w14:textId="77777777" w:rsidR="009D026A" w:rsidRPr="000151BA" w:rsidRDefault="009D026A" w:rsidP="001A78AF">
      <w:pPr>
        <w:pStyle w:val="ListParagraph"/>
        <w:numPr>
          <w:ilvl w:val="0"/>
          <w:numId w:val="5"/>
        </w:numPr>
        <w:rPr>
          <w:sz w:val="21"/>
          <w:szCs w:val="21"/>
        </w:rPr>
      </w:pPr>
      <w:r w:rsidRPr="000151BA">
        <w:rPr>
          <w:sz w:val="21"/>
          <w:szCs w:val="21"/>
        </w:rPr>
        <w:t>Review of SARTFP (with respect to effectiveness, efficiency, relevance and gender equality, noting that SARTFP activities formally commenced in September 2016, and results will be less extensive in comparison to IFG).</w:t>
      </w:r>
    </w:p>
    <w:p w14:paraId="7B1B80A3" w14:textId="77777777" w:rsidR="009D026A" w:rsidRPr="000151BA" w:rsidRDefault="009D026A" w:rsidP="001A78AF">
      <w:pPr>
        <w:pStyle w:val="ListParagraph"/>
        <w:numPr>
          <w:ilvl w:val="0"/>
          <w:numId w:val="5"/>
        </w:numPr>
        <w:rPr>
          <w:sz w:val="21"/>
          <w:szCs w:val="21"/>
        </w:rPr>
      </w:pPr>
      <w:r w:rsidRPr="000151BA">
        <w:rPr>
          <w:sz w:val="21"/>
          <w:szCs w:val="21"/>
        </w:rPr>
        <w:t>Comparison of the programs’ management and implementation models (partner-led vs partnership) with respect to efficiency, effectiveness, gender equality and governance/oversight.</w:t>
      </w:r>
    </w:p>
    <w:p w14:paraId="6922F462" w14:textId="77777777" w:rsidR="000D5996" w:rsidRPr="000151BA" w:rsidRDefault="009D026A" w:rsidP="000B5B50">
      <w:pPr>
        <w:pStyle w:val="ListParagraph"/>
        <w:numPr>
          <w:ilvl w:val="0"/>
          <w:numId w:val="5"/>
        </w:numPr>
        <w:rPr>
          <w:sz w:val="21"/>
          <w:szCs w:val="21"/>
        </w:rPr>
      </w:pPr>
      <w:r w:rsidRPr="000151BA">
        <w:rPr>
          <w:sz w:val="21"/>
          <w:szCs w:val="21"/>
        </w:rPr>
        <w:t>Informing DFAT’s future investments and engagement based on findings from parts 1, 2 and 3 above.</w:t>
      </w:r>
    </w:p>
    <w:p w14:paraId="7D064783" w14:textId="77777777" w:rsidR="009D026A" w:rsidRPr="000151BA" w:rsidRDefault="009D026A" w:rsidP="004224DE">
      <w:pPr>
        <w:rPr>
          <w:sz w:val="21"/>
          <w:szCs w:val="21"/>
        </w:rPr>
      </w:pPr>
      <w:r w:rsidRPr="000151BA">
        <w:rPr>
          <w:sz w:val="21"/>
          <w:szCs w:val="21"/>
        </w:rPr>
        <w:t>Part 1: Evaluation of IFG</w:t>
      </w:r>
    </w:p>
    <w:p w14:paraId="74F26CB7" w14:textId="77777777" w:rsidR="009D026A" w:rsidRPr="000151BA" w:rsidRDefault="009D026A" w:rsidP="001A78AF">
      <w:pPr>
        <w:rPr>
          <w:sz w:val="21"/>
          <w:szCs w:val="21"/>
        </w:rPr>
      </w:pPr>
      <w:r w:rsidRPr="000151BA">
        <w:rPr>
          <w:sz w:val="21"/>
          <w:szCs w:val="21"/>
        </w:rPr>
        <w:t>Effectiveness</w:t>
      </w:r>
    </w:p>
    <w:p w14:paraId="134199B3" w14:textId="77777777" w:rsidR="009D026A" w:rsidRPr="000151BA" w:rsidRDefault="009D026A" w:rsidP="004224DE">
      <w:pPr>
        <w:pStyle w:val="ListParagraph"/>
        <w:numPr>
          <w:ilvl w:val="0"/>
          <w:numId w:val="11"/>
        </w:numPr>
        <w:rPr>
          <w:sz w:val="21"/>
          <w:szCs w:val="21"/>
        </w:rPr>
      </w:pPr>
      <w:r w:rsidRPr="000151BA">
        <w:rPr>
          <w:sz w:val="21"/>
          <w:szCs w:val="21"/>
        </w:rPr>
        <w:t>Has IFG made progress as expected at this point in time, and what factors have hindered or enabled progress?</w:t>
      </w:r>
    </w:p>
    <w:p w14:paraId="56B22D2F" w14:textId="77777777" w:rsidR="009D026A" w:rsidRPr="000151BA" w:rsidRDefault="009D026A" w:rsidP="001A78AF">
      <w:pPr>
        <w:pStyle w:val="ListParagraph"/>
        <w:numPr>
          <w:ilvl w:val="0"/>
          <w:numId w:val="11"/>
        </w:numPr>
        <w:rPr>
          <w:sz w:val="21"/>
          <w:szCs w:val="21"/>
        </w:rPr>
      </w:pPr>
      <w:r w:rsidRPr="000151BA">
        <w:rPr>
          <w:sz w:val="21"/>
          <w:szCs w:val="21"/>
        </w:rPr>
        <w:t>What evidence exists of positive development outcomes (including contributions to regional connectivity, energy and climate change), resulting from IFG?</w:t>
      </w:r>
    </w:p>
    <w:p w14:paraId="0C7C5705" w14:textId="77777777" w:rsidR="009D026A" w:rsidRPr="000151BA" w:rsidRDefault="009D026A" w:rsidP="001A78AF">
      <w:pPr>
        <w:pStyle w:val="ListParagraph"/>
        <w:numPr>
          <w:ilvl w:val="0"/>
          <w:numId w:val="11"/>
        </w:numPr>
        <w:rPr>
          <w:sz w:val="21"/>
          <w:szCs w:val="21"/>
        </w:rPr>
      </w:pPr>
      <w:r w:rsidRPr="000151BA">
        <w:rPr>
          <w:sz w:val="21"/>
          <w:szCs w:val="21"/>
        </w:rPr>
        <w:t>What are the opportunities to improve the effectiveness and profile of IFG in South Asia?</w:t>
      </w:r>
    </w:p>
    <w:p w14:paraId="1923005C" w14:textId="77777777" w:rsidR="009D026A" w:rsidRPr="000151BA" w:rsidRDefault="009D026A" w:rsidP="000B5B50">
      <w:pPr>
        <w:pStyle w:val="ListParagraph"/>
        <w:numPr>
          <w:ilvl w:val="0"/>
          <w:numId w:val="11"/>
        </w:numPr>
        <w:rPr>
          <w:sz w:val="21"/>
          <w:szCs w:val="21"/>
        </w:rPr>
      </w:pPr>
      <w:r w:rsidRPr="000151BA">
        <w:rPr>
          <w:sz w:val="21"/>
          <w:szCs w:val="21"/>
        </w:rPr>
        <w:t>What are the opportunities to improve the profile of IFG and DFAT’s contribution to IFG in South Asia?</w:t>
      </w:r>
    </w:p>
    <w:p w14:paraId="6ED17CF8" w14:textId="77777777" w:rsidR="009D026A" w:rsidRPr="000151BA" w:rsidRDefault="009D026A" w:rsidP="004224DE">
      <w:pPr>
        <w:rPr>
          <w:sz w:val="21"/>
          <w:szCs w:val="21"/>
        </w:rPr>
      </w:pPr>
      <w:r w:rsidRPr="000151BA">
        <w:rPr>
          <w:sz w:val="21"/>
          <w:szCs w:val="21"/>
        </w:rPr>
        <w:t>Efficiency</w:t>
      </w:r>
    </w:p>
    <w:p w14:paraId="75B43518" w14:textId="77777777" w:rsidR="009D026A" w:rsidRPr="000151BA" w:rsidRDefault="009D026A" w:rsidP="004224DE">
      <w:pPr>
        <w:pStyle w:val="ListParagraph"/>
        <w:numPr>
          <w:ilvl w:val="0"/>
          <w:numId w:val="12"/>
        </w:numPr>
        <w:rPr>
          <w:sz w:val="21"/>
          <w:szCs w:val="21"/>
        </w:rPr>
      </w:pPr>
      <w:r w:rsidRPr="000151BA">
        <w:rPr>
          <w:sz w:val="21"/>
          <w:szCs w:val="21"/>
        </w:rPr>
        <w:t>How is IFG making appropriate use of DFAT’s time and resources to achieve planned objectives?</w:t>
      </w:r>
    </w:p>
    <w:p w14:paraId="1D65D56E" w14:textId="77777777" w:rsidR="009D026A" w:rsidRPr="000151BA" w:rsidRDefault="009D026A" w:rsidP="001A78AF">
      <w:pPr>
        <w:pStyle w:val="ListParagraph"/>
        <w:numPr>
          <w:ilvl w:val="0"/>
          <w:numId w:val="12"/>
        </w:numPr>
        <w:rPr>
          <w:sz w:val="21"/>
          <w:szCs w:val="21"/>
        </w:rPr>
      </w:pPr>
      <w:r w:rsidRPr="000151BA">
        <w:rPr>
          <w:sz w:val="21"/>
          <w:szCs w:val="21"/>
        </w:rPr>
        <w:t>Is funding being used efficiently and what have been the factors affecting the World Bank’s disbursement rates?</w:t>
      </w:r>
    </w:p>
    <w:p w14:paraId="66B98C3D" w14:textId="77777777" w:rsidR="00090F38" w:rsidRPr="000151BA" w:rsidRDefault="009D026A" w:rsidP="000151BA">
      <w:pPr>
        <w:pStyle w:val="ListParagraph"/>
        <w:numPr>
          <w:ilvl w:val="0"/>
          <w:numId w:val="12"/>
        </w:numPr>
        <w:rPr>
          <w:sz w:val="21"/>
          <w:szCs w:val="21"/>
        </w:rPr>
      </w:pPr>
      <w:r w:rsidRPr="000151BA">
        <w:rPr>
          <w:sz w:val="21"/>
          <w:szCs w:val="21"/>
        </w:rPr>
        <w:t>How could DFAT improve the efficiency of IFG?</w:t>
      </w:r>
    </w:p>
    <w:p w14:paraId="7745F199" w14:textId="77777777" w:rsidR="009D026A" w:rsidRPr="000151BA" w:rsidRDefault="009D026A" w:rsidP="004224DE">
      <w:pPr>
        <w:rPr>
          <w:sz w:val="21"/>
          <w:szCs w:val="21"/>
        </w:rPr>
      </w:pPr>
      <w:r w:rsidRPr="000151BA">
        <w:rPr>
          <w:sz w:val="21"/>
          <w:szCs w:val="21"/>
        </w:rPr>
        <w:t>Relevance</w:t>
      </w:r>
    </w:p>
    <w:p w14:paraId="51527AEF" w14:textId="77777777" w:rsidR="009D026A" w:rsidRPr="000151BA" w:rsidRDefault="009D026A" w:rsidP="004224DE">
      <w:pPr>
        <w:pStyle w:val="ListParagraph"/>
        <w:numPr>
          <w:ilvl w:val="0"/>
          <w:numId w:val="17"/>
        </w:numPr>
        <w:rPr>
          <w:sz w:val="21"/>
          <w:szCs w:val="21"/>
        </w:rPr>
      </w:pPr>
      <w:r w:rsidRPr="000151BA">
        <w:rPr>
          <w:sz w:val="21"/>
          <w:szCs w:val="21"/>
        </w:rPr>
        <w:t>Is IFG relevant and appropriate in the current context and environment?</w:t>
      </w:r>
    </w:p>
    <w:p w14:paraId="64430281" w14:textId="77777777" w:rsidR="009D026A" w:rsidRPr="000151BA" w:rsidRDefault="009D026A" w:rsidP="004224DE">
      <w:pPr>
        <w:rPr>
          <w:sz w:val="21"/>
          <w:szCs w:val="21"/>
        </w:rPr>
      </w:pPr>
      <w:r w:rsidRPr="000151BA">
        <w:rPr>
          <w:sz w:val="21"/>
          <w:szCs w:val="21"/>
        </w:rPr>
        <w:t>Gender equality</w:t>
      </w:r>
    </w:p>
    <w:p w14:paraId="79C40D57" w14:textId="77777777" w:rsidR="009D026A" w:rsidRPr="000151BA" w:rsidRDefault="009D026A" w:rsidP="004224DE">
      <w:pPr>
        <w:pStyle w:val="ListParagraph"/>
        <w:numPr>
          <w:ilvl w:val="0"/>
          <w:numId w:val="17"/>
        </w:numPr>
        <w:rPr>
          <w:sz w:val="21"/>
          <w:szCs w:val="21"/>
        </w:rPr>
      </w:pPr>
      <w:r w:rsidRPr="000151BA">
        <w:rPr>
          <w:sz w:val="21"/>
          <w:szCs w:val="21"/>
        </w:rPr>
        <w:t>How well does IFG reflect the aims and objectives of DFAT’s gender equality strategy and policy?</w:t>
      </w:r>
    </w:p>
    <w:p w14:paraId="7140B3D2" w14:textId="77777777" w:rsidR="009D026A" w:rsidRPr="000151BA" w:rsidRDefault="009D026A" w:rsidP="001A78AF">
      <w:pPr>
        <w:pStyle w:val="ListParagraph"/>
        <w:numPr>
          <w:ilvl w:val="0"/>
          <w:numId w:val="17"/>
        </w:numPr>
        <w:rPr>
          <w:sz w:val="21"/>
          <w:szCs w:val="21"/>
        </w:rPr>
      </w:pPr>
      <w:r w:rsidRPr="000151BA">
        <w:rPr>
          <w:sz w:val="21"/>
          <w:szCs w:val="21"/>
        </w:rPr>
        <w:lastRenderedPageBreak/>
        <w:t>Has IFG made progress as expected in implementing strategies to advance gender equality and women’s empowerment?</w:t>
      </w:r>
    </w:p>
    <w:p w14:paraId="5A3F6ACF" w14:textId="77777777" w:rsidR="000D5996" w:rsidRPr="000151BA" w:rsidRDefault="009D026A" w:rsidP="001A78AF">
      <w:pPr>
        <w:pStyle w:val="ListParagraph"/>
        <w:numPr>
          <w:ilvl w:val="0"/>
          <w:numId w:val="17"/>
        </w:numPr>
        <w:rPr>
          <w:sz w:val="21"/>
          <w:szCs w:val="21"/>
        </w:rPr>
      </w:pPr>
      <w:r w:rsidRPr="000151BA">
        <w:rPr>
          <w:sz w:val="21"/>
          <w:szCs w:val="21"/>
        </w:rPr>
        <w:t>How has the integration of gender equality into IFG been perceived by the World Bank and other key stakeholders?</w:t>
      </w:r>
    </w:p>
    <w:p w14:paraId="4DF17A37" w14:textId="77777777" w:rsidR="009D026A" w:rsidRPr="000151BA" w:rsidRDefault="009D026A" w:rsidP="004224DE">
      <w:pPr>
        <w:rPr>
          <w:sz w:val="21"/>
          <w:szCs w:val="21"/>
        </w:rPr>
      </w:pPr>
      <w:r w:rsidRPr="000151BA">
        <w:rPr>
          <w:sz w:val="21"/>
          <w:szCs w:val="21"/>
        </w:rPr>
        <w:t>Part 2: Review of SARTFP</w:t>
      </w:r>
    </w:p>
    <w:p w14:paraId="43EA62DA" w14:textId="77777777" w:rsidR="009D026A" w:rsidRPr="000151BA" w:rsidRDefault="009D026A" w:rsidP="001A78AF">
      <w:pPr>
        <w:rPr>
          <w:sz w:val="21"/>
          <w:szCs w:val="21"/>
        </w:rPr>
      </w:pPr>
      <w:r w:rsidRPr="000151BA">
        <w:rPr>
          <w:sz w:val="21"/>
          <w:szCs w:val="21"/>
        </w:rPr>
        <w:t>Effectiveness</w:t>
      </w:r>
    </w:p>
    <w:p w14:paraId="11DF1AFE" w14:textId="77777777" w:rsidR="009D026A" w:rsidRPr="000151BA" w:rsidRDefault="009D026A" w:rsidP="004224DE">
      <w:pPr>
        <w:pStyle w:val="ListParagraph"/>
        <w:numPr>
          <w:ilvl w:val="0"/>
          <w:numId w:val="11"/>
        </w:numPr>
        <w:rPr>
          <w:sz w:val="21"/>
          <w:szCs w:val="21"/>
        </w:rPr>
      </w:pPr>
      <w:r w:rsidRPr="000151BA">
        <w:rPr>
          <w:sz w:val="21"/>
          <w:szCs w:val="21"/>
        </w:rPr>
        <w:t>Has SARTFP made progress as expected at this point in time?</w:t>
      </w:r>
    </w:p>
    <w:p w14:paraId="371B34ED" w14:textId="77777777" w:rsidR="009D026A" w:rsidRPr="000151BA" w:rsidRDefault="009D026A" w:rsidP="001A78AF">
      <w:pPr>
        <w:pStyle w:val="ListParagraph"/>
        <w:numPr>
          <w:ilvl w:val="0"/>
          <w:numId w:val="11"/>
        </w:numPr>
        <w:rPr>
          <w:sz w:val="21"/>
          <w:szCs w:val="21"/>
        </w:rPr>
      </w:pPr>
      <w:r w:rsidRPr="000151BA">
        <w:rPr>
          <w:sz w:val="21"/>
          <w:szCs w:val="21"/>
        </w:rPr>
        <w:t>Are there indications of positive development outcomes (including contributions to regional connectivity, trade facilitation and gender) resulting from SARTFP?</w:t>
      </w:r>
    </w:p>
    <w:p w14:paraId="29CA39D9" w14:textId="77777777" w:rsidR="009D026A" w:rsidRPr="000151BA" w:rsidRDefault="009D026A" w:rsidP="001A78AF">
      <w:pPr>
        <w:pStyle w:val="ListParagraph"/>
        <w:numPr>
          <w:ilvl w:val="0"/>
          <w:numId w:val="11"/>
        </w:numPr>
        <w:rPr>
          <w:sz w:val="21"/>
          <w:szCs w:val="21"/>
        </w:rPr>
      </w:pPr>
      <w:r w:rsidRPr="000151BA">
        <w:rPr>
          <w:sz w:val="21"/>
          <w:szCs w:val="21"/>
        </w:rPr>
        <w:t>To what extent have DFAT and the TAF influenced World Bank programs and processes, including the integration of gender and monitoring evaluation, in regional connectivity programs?</w:t>
      </w:r>
    </w:p>
    <w:p w14:paraId="4E19F3D3" w14:textId="77777777" w:rsidR="009D026A" w:rsidRPr="000151BA" w:rsidRDefault="009D026A" w:rsidP="000B5B50">
      <w:pPr>
        <w:pStyle w:val="ListParagraph"/>
        <w:numPr>
          <w:ilvl w:val="0"/>
          <w:numId w:val="11"/>
        </w:numPr>
        <w:rPr>
          <w:sz w:val="21"/>
          <w:szCs w:val="21"/>
        </w:rPr>
      </w:pPr>
      <w:r w:rsidRPr="000151BA">
        <w:rPr>
          <w:sz w:val="21"/>
          <w:szCs w:val="21"/>
        </w:rPr>
        <w:t>What are the opportunities to improve the effectiveness and profile of SARTFP in South Asia?</w:t>
      </w:r>
    </w:p>
    <w:p w14:paraId="54ABD61E" w14:textId="77777777" w:rsidR="009D026A" w:rsidRPr="000151BA" w:rsidRDefault="009D026A" w:rsidP="000B5B50">
      <w:pPr>
        <w:pStyle w:val="ListParagraph"/>
        <w:numPr>
          <w:ilvl w:val="0"/>
          <w:numId w:val="11"/>
        </w:numPr>
        <w:rPr>
          <w:sz w:val="21"/>
          <w:szCs w:val="21"/>
        </w:rPr>
      </w:pPr>
      <w:r w:rsidRPr="000151BA">
        <w:rPr>
          <w:sz w:val="21"/>
          <w:szCs w:val="21"/>
        </w:rPr>
        <w:t>Have there been unintended consequences to SARTFP’s effectiveness in promoting regional connectivity resulting from SARTFP’s governance processes to guide activity selection?</w:t>
      </w:r>
    </w:p>
    <w:p w14:paraId="5F422F63" w14:textId="77777777" w:rsidR="009D026A" w:rsidRPr="000151BA" w:rsidRDefault="009D026A" w:rsidP="00404A8A">
      <w:pPr>
        <w:pStyle w:val="ListParagraph"/>
        <w:numPr>
          <w:ilvl w:val="0"/>
          <w:numId w:val="11"/>
        </w:numPr>
        <w:rPr>
          <w:sz w:val="21"/>
          <w:szCs w:val="21"/>
        </w:rPr>
      </w:pPr>
      <w:r w:rsidRPr="000151BA">
        <w:rPr>
          <w:sz w:val="21"/>
          <w:szCs w:val="21"/>
        </w:rPr>
        <w:t>Has the political and economic environment of South Asia impacted the effectiveness of SARTFP?</w:t>
      </w:r>
    </w:p>
    <w:p w14:paraId="0920D7CA" w14:textId="77777777" w:rsidR="009D026A" w:rsidRPr="000151BA" w:rsidRDefault="009D026A" w:rsidP="004224DE">
      <w:pPr>
        <w:rPr>
          <w:sz w:val="21"/>
          <w:szCs w:val="21"/>
        </w:rPr>
      </w:pPr>
      <w:r w:rsidRPr="000151BA">
        <w:rPr>
          <w:sz w:val="21"/>
          <w:szCs w:val="21"/>
        </w:rPr>
        <w:t>Efficiency</w:t>
      </w:r>
    </w:p>
    <w:p w14:paraId="4C03064C" w14:textId="77777777" w:rsidR="009D026A" w:rsidRPr="000151BA" w:rsidRDefault="009D026A" w:rsidP="004224DE">
      <w:pPr>
        <w:pStyle w:val="ListParagraph"/>
        <w:numPr>
          <w:ilvl w:val="0"/>
          <w:numId w:val="12"/>
        </w:numPr>
        <w:rPr>
          <w:sz w:val="21"/>
          <w:szCs w:val="21"/>
        </w:rPr>
      </w:pPr>
      <w:r w:rsidRPr="000151BA">
        <w:rPr>
          <w:sz w:val="21"/>
          <w:szCs w:val="21"/>
        </w:rPr>
        <w:t>How is SARTFP making appropriate use of DFAT’s time and resources to achieve planned objectives?</w:t>
      </w:r>
    </w:p>
    <w:p w14:paraId="2B156801" w14:textId="77777777" w:rsidR="009D026A" w:rsidRPr="000151BA" w:rsidRDefault="009D026A" w:rsidP="001A78AF">
      <w:pPr>
        <w:pStyle w:val="ListParagraph"/>
        <w:numPr>
          <w:ilvl w:val="0"/>
          <w:numId w:val="12"/>
        </w:numPr>
        <w:rPr>
          <w:sz w:val="21"/>
          <w:szCs w:val="21"/>
        </w:rPr>
      </w:pPr>
      <w:r w:rsidRPr="000151BA">
        <w:rPr>
          <w:sz w:val="21"/>
          <w:szCs w:val="21"/>
        </w:rPr>
        <w:t>Has DFAT’s investment in the TAF delivered the intended level of influence, including in gender equality and monitoring and evaluation within the World Bank?</w:t>
      </w:r>
    </w:p>
    <w:p w14:paraId="6F43B265" w14:textId="77777777" w:rsidR="009D026A" w:rsidRPr="000151BA" w:rsidRDefault="009D026A" w:rsidP="004224DE">
      <w:pPr>
        <w:pStyle w:val="ListParagraph"/>
        <w:numPr>
          <w:ilvl w:val="1"/>
          <w:numId w:val="3"/>
        </w:numPr>
        <w:rPr>
          <w:sz w:val="21"/>
          <w:szCs w:val="21"/>
        </w:rPr>
      </w:pPr>
      <w:r w:rsidRPr="000151BA">
        <w:rPr>
          <w:sz w:val="21"/>
          <w:szCs w:val="21"/>
        </w:rPr>
        <w:t>Are there other opportunities to utilise the TAF to increase results and how might DFAT realise these?</w:t>
      </w:r>
    </w:p>
    <w:p w14:paraId="131FCA33" w14:textId="77777777" w:rsidR="009D026A" w:rsidRPr="000151BA" w:rsidRDefault="009D026A" w:rsidP="004224DE">
      <w:pPr>
        <w:pStyle w:val="ListParagraph"/>
        <w:numPr>
          <w:ilvl w:val="0"/>
          <w:numId w:val="12"/>
        </w:numPr>
        <w:rPr>
          <w:sz w:val="21"/>
          <w:szCs w:val="21"/>
        </w:rPr>
      </w:pPr>
      <w:r w:rsidRPr="000151BA">
        <w:rPr>
          <w:sz w:val="21"/>
          <w:szCs w:val="21"/>
        </w:rPr>
        <w:t>How could DFAT improve the efficiency of SARTFP?</w:t>
      </w:r>
    </w:p>
    <w:p w14:paraId="459CC398" w14:textId="77777777" w:rsidR="009D026A" w:rsidRPr="000151BA" w:rsidRDefault="009D026A" w:rsidP="004224DE">
      <w:pPr>
        <w:rPr>
          <w:sz w:val="21"/>
          <w:szCs w:val="21"/>
        </w:rPr>
      </w:pPr>
      <w:r w:rsidRPr="000151BA">
        <w:rPr>
          <w:sz w:val="21"/>
          <w:szCs w:val="21"/>
        </w:rPr>
        <w:t>Relevance</w:t>
      </w:r>
    </w:p>
    <w:p w14:paraId="2A08797C" w14:textId="77777777" w:rsidR="009D026A" w:rsidRPr="000151BA" w:rsidRDefault="009D026A" w:rsidP="004224DE">
      <w:pPr>
        <w:pStyle w:val="ListParagraph"/>
        <w:numPr>
          <w:ilvl w:val="0"/>
          <w:numId w:val="17"/>
        </w:numPr>
        <w:rPr>
          <w:sz w:val="21"/>
          <w:szCs w:val="21"/>
        </w:rPr>
      </w:pPr>
      <w:r w:rsidRPr="000151BA">
        <w:rPr>
          <w:sz w:val="21"/>
          <w:szCs w:val="21"/>
        </w:rPr>
        <w:t>Is SARTFP, and each of the three pillars, relevant and appropriate in the current context and environment?</w:t>
      </w:r>
    </w:p>
    <w:p w14:paraId="222946AA" w14:textId="77777777" w:rsidR="009D026A" w:rsidRPr="000151BA" w:rsidRDefault="009D026A" w:rsidP="004224DE">
      <w:pPr>
        <w:rPr>
          <w:sz w:val="21"/>
          <w:szCs w:val="21"/>
        </w:rPr>
      </w:pPr>
      <w:r w:rsidRPr="000151BA">
        <w:rPr>
          <w:sz w:val="21"/>
          <w:szCs w:val="21"/>
        </w:rPr>
        <w:t>Gender equality</w:t>
      </w:r>
    </w:p>
    <w:p w14:paraId="2488BF93" w14:textId="77777777" w:rsidR="009D026A" w:rsidRPr="000151BA" w:rsidRDefault="009D026A" w:rsidP="004224DE">
      <w:pPr>
        <w:pStyle w:val="ListParagraph"/>
        <w:numPr>
          <w:ilvl w:val="0"/>
          <w:numId w:val="17"/>
        </w:numPr>
        <w:rPr>
          <w:sz w:val="21"/>
          <w:szCs w:val="21"/>
        </w:rPr>
      </w:pPr>
      <w:r w:rsidRPr="000151BA">
        <w:rPr>
          <w:sz w:val="21"/>
          <w:szCs w:val="21"/>
        </w:rPr>
        <w:t>How well does SARTFP reflect the aims and objectives of DFAT’s gender equality strategy and policy?</w:t>
      </w:r>
    </w:p>
    <w:p w14:paraId="2D2A3FBF" w14:textId="77777777" w:rsidR="009D026A" w:rsidRPr="000151BA" w:rsidRDefault="009D026A" w:rsidP="001A78AF">
      <w:pPr>
        <w:pStyle w:val="ListParagraph"/>
        <w:numPr>
          <w:ilvl w:val="0"/>
          <w:numId w:val="17"/>
        </w:numPr>
        <w:rPr>
          <w:sz w:val="21"/>
          <w:szCs w:val="21"/>
        </w:rPr>
      </w:pPr>
      <w:r w:rsidRPr="000151BA">
        <w:rPr>
          <w:sz w:val="21"/>
          <w:szCs w:val="21"/>
        </w:rPr>
        <w:t>Has SARTFP made progress as expected in effectively implementing strategies to advance gender equality and women’s empowerment?</w:t>
      </w:r>
    </w:p>
    <w:p w14:paraId="48DC57F4" w14:textId="77777777" w:rsidR="009D026A" w:rsidRPr="000151BA" w:rsidRDefault="009D026A" w:rsidP="004224DE">
      <w:pPr>
        <w:pStyle w:val="ListParagraph"/>
        <w:numPr>
          <w:ilvl w:val="0"/>
          <w:numId w:val="13"/>
        </w:numPr>
        <w:rPr>
          <w:sz w:val="21"/>
          <w:szCs w:val="21"/>
        </w:rPr>
      </w:pPr>
      <w:r w:rsidRPr="000151BA">
        <w:rPr>
          <w:sz w:val="21"/>
          <w:szCs w:val="21"/>
        </w:rPr>
        <w:t>As a result of SARTFP, to what extent has the World Bank treated gender equality as a higher priority in its own policies and processes?</w:t>
      </w:r>
    </w:p>
    <w:p w14:paraId="4827161D" w14:textId="77777777" w:rsidR="009D026A" w:rsidRPr="000151BA" w:rsidRDefault="009D026A" w:rsidP="004224DE">
      <w:pPr>
        <w:pStyle w:val="ListParagraph"/>
        <w:numPr>
          <w:ilvl w:val="1"/>
          <w:numId w:val="3"/>
        </w:numPr>
        <w:rPr>
          <w:sz w:val="21"/>
          <w:szCs w:val="21"/>
        </w:rPr>
      </w:pPr>
      <w:r w:rsidRPr="000151BA">
        <w:rPr>
          <w:sz w:val="21"/>
          <w:szCs w:val="21"/>
        </w:rPr>
        <w:t>What are key examples of influencing change?</w:t>
      </w:r>
    </w:p>
    <w:p w14:paraId="1E8834A6" w14:textId="77777777" w:rsidR="009D026A" w:rsidRPr="000151BA" w:rsidRDefault="009D026A" w:rsidP="001A78AF">
      <w:pPr>
        <w:pStyle w:val="ListParagraph"/>
        <w:numPr>
          <w:ilvl w:val="1"/>
          <w:numId w:val="3"/>
        </w:numPr>
        <w:rPr>
          <w:sz w:val="21"/>
          <w:szCs w:val="21"/>
        </w:rPr>
      </w:pPr>
      <w:r w:rsidRPr="000151BA">
        <w:rPr>
          <w:sz w:val="21"/>
          <w:szCs w:val="21"/>
        </w:rPr>
        <w:t>What have been the challenges in influencing the World Bank at this level?</w:t>
      </w:r>
    </w:p>
    <w:p w14:paraId="6A587D2C" w14:textId="77777777" w:rsidR="009D026A" w:rsidRPr="000151BA" w:rsidRDefault="009D026A" w:rsidP="004224DE">
      <w:pPr>
        <w:pStyle w:val="ListParagraph"/>
        <w:numPr>
          <w:ilvl w:val="0"/>
          <w:numId w:val="13"/>
        </w:numPr>
        <w:rPr>
          <w:sz w:val="21"/>
          <w:szCs w:val="21"/>
        </w:rPr>
      </w:pPr>
      <w:r w:rsidRPr="000151BA">
        <w:rPr>
          <w:sz w:val="21"/>
          <w:szCs w:val="21"/>
        </w:rPr>
        <w:t xml:space="preserve">What are the key challenges of promoting gender equality in regional connectivity programs?  </w:t>
      </w:r>
    </w:p>
    <w:p w14:paraId="5FC6FC04" w14:textId="77777777" w:rsidR="009D026A" w:rsidRPr="000151BA" w:rsidRDefault="009D026A" w:rsidP="004224DE">
      <w:pPr>
        <w:pStyle w:val="ListParagraph"/>
        <w:numPr>
          <w:ilvl w:val="0"/>
          <w:numId w:val="17"/>
        </w:numPr>
        <w:rPr>
          <w:sz w:val="21"/>
          <w:szCs w:val="21"/>
        </w:rPr>
      </w:pPr>
      <w:r w:rsidRPr="000151BA">
        <w:rPr>
          <w:sz w:val="21"/>
          <w:szCs w:val="21"/>
        </w:rPr>
        <w:t>How could future investments in regional connectivity effective achieve gender equality outcomes?</w:t>
      </w:r>
    </w:p>
    <w:p w14:paraId="6FBF0908" w14:textId="77777777" w:rsidR="000D5996" w:rsidRPr="000151BA" w:rsidRDefault="009D026A" w:rsidP="004224DE">
      <w:pPr>
        <w:pStyle w:val="ListParagraph"/>
        <w:rPr>
          <w:b/>
          <w:i/>
          <w:sz w:val="21"/>
          <w:szCs w:val="21"/>
        </w:rPr>
      </w:pPr>
      <w:r w:rsidRPr="000151BA">
        <w:rPr>
          <w:sz w:val="21"/>
          <w:szCs w:val="21"/>
        </w:rPr>
        <w:t>How has the integration of gender equality into SARTFP been perceived by the World Bank and other key stakeholders?</w:t>
      </w:r>
    </w:p>
    <w:p w14:paraId="0ECA611C" w14:textId="77777777" w:rsidR="009D026A" w:rsidRPr="000151BA" w:rsidRDefault="009D026A" w:rsidP="004224DE">
      <w:pPr>
        <w:rPr>
          <w:sz w:val="21"/>
          <w:szCs w:val="21"/>
        </w:rPr>
      </w:pPr>
      <w:r w:rsidRPr="000151BA">
        <w:rPr>
          <w:sz w:val="21"/>
          <w:szCs w:val="21"/>
        </w:rPr>
        <w:t>Part 3: Comparison of the programs’ management and implementation models (partner-led vs partnership) (with respect to efficiency, effectiveness, gender equality and governance/oversight)</w:t>
      </w:r>
    </w:p>
    <w:p w14:paraId="04FC238D" w14:textId="77777777" w:rsidR="009D026A" w:rsidRPr="000151BA" w:rsidRDefault="009D026A" w:rsidP="004224DE">
      <w:pPr>
        <w:pStyle w:val="ListParagraph"/>
        <w:numPr>
          <w:ilvl w:val="0"/>
          <w:numId w:val="12"/>
        </w:numPr>
        <w:rPr>
          <w:sz w:val="21"/>
          <w:szCs w:val="21"/>
        </w:rPr>
      </w:pPr>
      <w:r w:rsidRPr="000151BA">
        <w:rPr>
          <w:sz w:val="21"/>
          <w:szCs w:val="21"/>
        </w:rPr>
        <w:t xml:space="preserve">Compare and contrast the management and implementation models (partner-led vs partnership) of IFG and SARTFP with respect to efficiency, governance/oversight, delivering results/effectiveness and gender equality in line with DFAT objectives. </w:t>
      </w:r>
    </w:p>
    <w:p w14:paraId="57EC8A6C" w14:textId="77777777" w:rsidR="009D026A" w:rsidRPr="000151BA" w:rsidRDefault="009D026A" w:rsidP="004224DE">
      <w:pPr>
        <w:pStyle w:val="ListParagraph"/>
        <w:numPr>
          <w:ilvl w:val="1"/>
          <w:numId w:val="3"/>
        </w:numPr>
        <w:rPr>
          <w:sz w:val="21"/>
          <w:szCs w:val="21"/>
        </w:rPr>
      </w:pPr>
      <w:r w:rsidRPr="000151BA">
        <w:rPr>
          <w:sz w:val="21"/>
          <w:szCs w:val="21"/>
        </w:rPr>
        <w:lastRenderedPageBreak/>
        <w:t xml:space="preserve">In addition, are results from SARTFP commensurate with DFAT’s additional investment of resources (including the TAF) compared to IFG? </w:t>
      </w:r>
    </w:p>
    <w:p w14:paraId="288745E6" w14:textId="77777777" w:rsidR="009D026A" w:rsidRPr="000151BA" w:rsidRDefault="009D026A" w:rsidP="004224DE">
      <w:pPr>
        <w:rPr>
          <w:sz w:val="21"/>
          <w:szCs w:val="21"/>
        </w:rPr>
      </w:pPr>
      <w:r w:rsidRPr="000151BA">
        <w:rPr>
          <w:sz w:val="21"/>
          <w:szCs w:val="21"/>
        </w:rPr>
        <w:t>Part 4: Inform DFAT’s future investments and policy decisions</w:t>
      </w:r>
    </w:p>
    <w:p w14:paraId="68915B46" w14:textId="77777777" w:rsidR="000D5996" w:rsidRPr="000151BA" w:rsidRDefault="009D026A" w:rsidP="004224DE">
      <w:pPr>
        <w:pStyle w:val="ListParagraph"/>
        <w:numPr>
          <w:ilvl w:val="0"/>
          <w:numId w:val="12"/>
        </w:numPr>
        <w:rPr>
          <w:sz w:val="21"/>
          <w:szCs w:val="21"/>
        </w:rPr>
      </w:pPr>
      <w:r w:rsidRPr="000151BA">
        <w:rPr>
          <w:sz w:val="21"/>
          <w:szCs w:val="21"/>
        </w:rPr>
        <w:t xml:space="preserve">Based on findings and observations from parts 1, 2 and 3 on the evaluation, what are opportunities for future DFAT investment and engagement in regional connectivity in South Asia? </w:t>
      </w:r>
    </w:p>
    <w:p w14:paraId="2B677AA7" w14:textId="77777777" w:rsidR="009D026A" w:rsidRPr="000151BA" w:rsidRDefault="009D026A" w:rsidP="004224DE">
      <w:pPr>
        <w:pStyle w:val="ListParagraph"/>
        <w:numPr>
          <w:ilvl w:val="0"/>
          <w:numId w:val="2"/>
        </w:numPr>
        <w:rPr>
          <w:sz w:val="21"/>
          <w:szCs w:val="21"/>
        </w:rPr>
      </w:pPr>
      <w:r w:rsidRPr="000151BA">
        <w:rPr>
          <w:sz w:val="21"/>
          <w:szCs w:val="21"/>
        </w:rPr>
        <w:t>Evaluation Process</w:t>
      </w:r>
    </w:p>
    <w:p w14:paraId="3BD91390" w14:textId="77777777" w:rsidR="000D5996" w:rsidRPr="000151BA" w:rsidRDefault="009D026A" w:rsidP="004224DE">
      <w:pPr>
        <w:rPr>
          <w:sz w:val="21"/>
          <w:szCs w:val="21"/>
        </w:rPr>
      </w:pPr>
      <w:r w:rsidRPr="000151BA">
        <w:rPr>
          <w:sz w:val="21"/>
          <w:szCs w:val="21"/>
        </w:rPr>
        <w:t xml:space="preserve">The evaluation will be undertaken in four phases with associated deliverables for the evaluation team: </w:t>
      </w:r>
    </w:p>
    <w:p w14:paraId="11D04C50" w14:textId="77777777" w:rsidR="009D026A" w:rsidRPr="000151BA" w:rsidRDefault="009D026A" w:rsidP="001A78AF">
      <w:pPr>
        <w:rPr>
          <w:sz w:val="21"/>
          <w:szCs w:val="21"/>
        </w:rPr>
      </w:pPr>
      <w:r w:rsidRPr="000151BA">
        <w:rPr>
          <w:sz w:val="21"/>
          <w:szCs w:val="21"/>
        </w:rPr>
        <w:t>Phase 1 – Evaluation plan (4 December 2017 – 8 December 2017, 5 working days)</w:t>
      </w:r>
    </w:p>
    <w:p w14:paraId="7F0C5A19" w14:textId="77777777" w:rsidR="009D026A" w:rsidRPr="000151BA" w:rsidRDefault="009D026A" w:rsidP="004224DE">
      <w:pPr>
        <w:pStyle w:val="ListParagraph"/>
        <w:numPr>
          <w:ilvl w:val="0"/>
          <w:numId w:val="14"/>
        </w:numPr>
        <w:rPr>
          <w:sz w:val="21"/>
          <w:szCs w:val="21"/>
        </w:rPr>
      </w:pPr>
      <w:r w:rsidRPr="000151BA">
        <w:rPr>
          <w:sz w:val="21"/>
          <w:szCs w:val="21"/>
        </w:rPr>
        <w:t>Verbal briefing with DFAT on the commencement of the evaluation.</w:t>
      </w:r>
    </w:p>
    <w:p w14:paraId="17E96466" w14:textId="77777777" w:rsidR="009D026A" w:rsidRPr="000151BA" w:rsidRDefault="009D026A" w:rsidP="001A78AF">
      <w:pPr>
        <w:pStyle w:val="ListParagraph"/>
        <w:numPr>
          <w:ilvl w:val="0"/>
          <w:numId w:val="14"/>
        </w:numPr>
        <w:rPr>
          <w:sz w:val="21"/>
          <w:szCs w:val="21"/>
        </w:rPr>
      </w:pPr>
      <w:r w:rsidRPr="000151BA">
        <w:rPr>
          <w:sz w:val="21"/>
          <w:szCs w:val="21"/>
        </w:rPr>
        <w:t>Define the scope of work and deliverables.</w:t>
      </w:r>
    </w:p>
    <w:p w14:paraId="6FBD6582" w14:textId="77777777" w:rsidR="009D026A" w:rsidRPr="000151BA" w:rsidRDefault="009D026A" w:rsidP="001A78AF">
      <w:pPr>
        <w:pStyle w:val="ListParagraph"/>
        <w:numPr>
          <w:ilvl w:val="0"/>
          <w:numId w:val="14"/>
        </w:numPr>
        <w:rPr>
          <w:sz w:val="21"/>
          <w:szCs w:val="21"/>
        </w:rPr>
      </w:pPr>
      <w:r w:rsidRPr="000151BA">
        <w:rPr>
          <w:sz w:val="21"/>
          <w:szCs w:val="21"/>
        </w:rPr>
        <w:t>Develop and finalise the detailed design of the evaluation and submit a comprehensive Evaluation Plan, aligned with Standard 5 of DFAT’s Monitoring and Evaluation Standards</w:t>
      </w:r>
      <w:r w:rsidRPr="000151BA">
        <w:rPr>
          <w:rStyle w:val="FootnoteReference"/>
          <w:sz w:val="21"/>
          <w:szCs w:val="21"/>
        </w:rPr>
        <w:footnoteReference w:id="157"/>
      </w:r>
      <w:r w:rsidRPr="000151BA">
        <w:rPr>
          <w:sz w:val="21"/>
          <w:szCs w:val="21"/>
        </w:rPr>
        <w:t>.</w:t>
      </w:r>
    </w:p>
    <w:p w14:paraId="4FEC1EDE" w14:textId="77777777" w:rsidR="009D026A" w:rsidRPr="000151BA" w:rsidRDefault="009D026A" w:rsidP="004224DE">
      <w:pPr>
        <w:rPr>
          <w:sz w:val="21"/>
          <w:szCs w:val="21"/>
        </w:rPr>
      </w:pPr>
      <w:r w:rsidRPr="000151BA">
        <w:rPr>
          <w:sz w:val="21"/>
          <w:szCs w:val="21"/>
        </w:rPr>
        <w:t>Deliverable</w:t>
      </w:r>
    </w:p>
    <w:p w14:paraId="30690131" w14:textId="77777777" w:rsidR="000D5996" w:rsidRPr="000151BA" w:rsidRDefault="009D026A" w:rsidP="004224DE">
      <w:pPr>
        <w:pStyle w:val="ListParagraph"/>
        <w:numPr>
          <w:ilvl w:val="0"/>
          <w:numId w:val="10"/>
        </w:numPr>
        <w:rPr>
          <w:sz w:val="21"/>
          <w:szCs w:val="21"/>
        </w:rPr>
      </w:pPr>
      <w:r w:rsidRPr="000151BA">
        <w:rPr>
          <w:b/>
          <w:sz w:val="21"/>
          <w:szCs w:val="21"/>
        </w:rPr>
        <w:t>Comprehensive evaluation plan (due 8 December 2017)</w:t>
      </w:r>
      <w:r w:rsidRPr="000151BA">
        <w:rPr>
          <w:sz w:val="21"/>
          <w:szCs w:val="21"/>
        </w:rPr>
        <w:t xml:space="preserve"> – to be agreed with South Asia Regional Section and the World Bank.</w:t>
      </w:r>
    </w:p>
    <w:p w14:paraId="475F86C6" w14:textId="77777777" w:rsidR="009D026A" w:rsidRPr="000151BA" w:rsidRDefault="009D026A" w:rsidP="004224DE">
      <w:pPr>
        <w:rPr>
          <w:sz w:val="21"/>
          <w:szCs w:val="21"/>
        </w:rPr>
      </w:pPr>
      <w:r w:rsidRPr="000151BA">
        <w:rPr>
          <w:sz w:val="21"/>
          <w:szCs w:val="21"/>
        </w:rPr>
        <w:t>Phase 2 – Review of existing documentation and consultations with DFAT and the World Bank (11 December 2017 – 16 February 2018, 25 working days)</w:t>
      </w:r>
    </w:p>
    <w:p w14:paraId="36C228D4" w14:textId="77777777" w:rsidR="009D026A" w:rsidRPr="000151BA" w:rsidRDefault="009D026A" w:rsidP="004224DE">
      <w:pPr>
        <w:pStyle w:val="ListParagraph"/>
        <w:numPr>
          <w:ilvl w:val="0"/>
          <w:numId w:val="14"/>
        </w:numPr>
        <w:rPr>
          <w:sz w:val="21"/>
          <w:szCs w:val="21"/>
        </w:rPr>
      </w:pPr>
      <w:r w:rsidRPr="000151BA">
        <w:rPr>
          <w:sz w:val="21"/>
          <w:szCs w:val="21"/>
        </w:rPr>
        <w:t>Desk review and appraisal of relevant materials, to be provided by DFAT and the World Bank.</w:t>
      </w:r>
    </w:p>
    <w:p w14:paraId="51A5311E" w14:textId="77777777" w:rsidR="009D026A" w:rsidRPr="000151BA" w:rsidRDefault="009D026A" w:rsidP="001A78AF">
      <w:pPr>
        <w:pStyle w:val="ListParagraph"/>
        <w:numPr>
          <w:ilvl w:val="0"/>
          <w:numId w:val="14"/>
        </w:numPr>
        <w:rPr>
          <w:sz w:val="21"/>
          <w:szCs w:val="21"/>
        </w:rPr>
      </w:pPr>
      <w:r w:rsidRPr="000151BA">
        <w:rPr>
          <w:sz w:val="21"/>
          <w:szCs w:val="21"/>
        </w:rPr>
        <w:t>Consultations with DFAT desk, New Delhi, Dhaka and Kathmandu Posts and the TAF.</w:t>
      </w:r>
    </w:p>
    <w:p w14:paraId="495A3F83" w14:textId="77777777" w:rsidR="009D026A" w:rsidRPr="000151BA" w:rsidRDefault="009D026A" w:rsidP="001A78AF">
      <w:pPr>
        <w:pStyle w:val="ListParagraph"/>
        <w:numPr>
          <w:ilvl w:val="0"/>
          <w:numId w:val="14"/>
        </w:numPr>
        <w:rPr>
          <w:sz w:val="21"/>
          <w:szCs w:val="21"/>
        </w:rPr>
      </w:pPr>
      <w:r w:rsidRPr="000151BA">
        <w:rPr>
          <w:sz w:val="21"/>
          <w:szCs w:val="21"/>
        </w:rPr>
        <w:t xml:space="preserve">Consultations with the World Bank (including Washington DC and New Delhi). </w:t>
      </w:r>
    </w:p>
    <w:p w14:paraId="264368D9" w14:textId="77777777" w:rsidR="009D026A" w:rsidRPr="000151BA" w:rsidRDefault="009D026A" w:rsidP="000B5B50">
      <w:pPr>
        <w:pStyle w:val="ListParagraph"/>
        <w:numPr>
          <w:ilvl w:val="0"/>
          <w:numId w:val="14"/>
        </w:numPr>
        <w:rPr>
          <w:sz w:val="21"/>
          <w:szCs w:val="21"/>
        </w:rPr>
      </w:pPr>
      <w:r w:rsidRPr="000151BA">
        <w:rPr>
          <w:sz w:val="21"/>
          <w:szCs w:val="21"/>
        </w:rPr>
        <w:t>Verbal briefing with DFAT on the summary of findings.</w:t>
      </w:r>
    </w:p>
    <w:p w14:paraId="031A01A9" w14:textId="77777777" w:rsidR="000D5996" w:rsidRPr="000151BA" w:rsidRDefault="000D5996" w:rsidP="004224DE">
      <w:pPr>
        <w:rPr>
          <w:sz w:val="21"/>
          <w:szCs w:val="21"/>
        </w:rPr>
      </w:pPr>
    </w:p>
    <w:p w14:paraId="17BE660C" w14:textId="77777777" w:rsidR="009D026A" w:rsidRPr="000151BA" w:rsidRDefault="009D026A" w:rsidP="001A78AF">
      <w:pPr>
        <w:rPr>
          <w:sz w:val="21"/>
          <w:szCs w:val="21"/>
        </w:rPr>
      </w:pPr>
      <w:r w:rsidRPr="000151BA">
        <w:rPr>
          <w:sz w:val="21"/>
          <w:szCs w:val="21"/>
        </w:rPr>
        <w:t>Phase 3 – Draft Report (19 February - 9 March 2018, 15 working days)</w:t>
      </w:r>
    </w:p>
    <w:p w14:paraId="7E5D8FEF" w14:textId="77777777" w:rsidR="009D026A" w:rsidRPr="000151BA" w:rsidRDefault="009D026A" w:rsidP="004224DE">
      <w:pPr>
        <w:pStyle w:val="ListParagraph"/>
        <w:numPr>
          <w:ilvl w:val="0"/>
          <w:numId w:val="8"/>
        </w:numPr>
        <w:rPr>
          <w:sz w:val="21"/>
          <w:szCs w:val="21"/>
        </w:rPr>
      </w:pPr>
      <w:r w:rsidRPr="000151BA">
        <w:rPr>
          <w:sz w:val="21"/>
          <w:szCs w:val="21"/>
        </w:rPr>
        <w:t>Preparation of an Evaluation Report (maximum 30 pages (not including executive summary and annexes) and in line with Standard 6 of DFAT’s Monitoring and Evaluation Standards) outlining issues and recommendations to inform ongoing implementation of the programs and future investment design.</w:t>
      </w:r>
    </w:p>
    <w:p w14:paraId="6667AFCB" w14:textId="77777777" w:rsidR="009D026A" w:rsidRPr="000151BA" w:rsidRDefault="009D026A" w:rsidP="004224DE">
      <w:pPr>
        <w:rPr>
          <w:sz w:val="21"/>
          <w:szCs w:val="21"/>
        </w:rPr>
      </w:pPr>
      <w:r w:rsidRPr="000151BA">
        <w:rPr>
          <w:sz w:val="21"/>
          <w:szCs w:val="21"/>
        </w:rPr>
        <w:t>Deliverables:</w:t>
      </w:r>
    </w:p>
    <w:p w14:paraId="32CFF535" w14:textId="77777777" w:rsidR="009D026A" w:rsidRPr="000151BA" w:rsidRDefault="009D026A" w:rsidP="004224DE">
      <w:pPr>
        <w:pStyle w:val="ListParagraph"/>
        <w:numPr>
          <w:ilvl w:val="0"/>
          <w:numId w:val="15"/>
        </w:numPr>
        <w:rPr>
          <w:sz w:val="21"/>
          <w:szCs w:val="21"/>
        </w:rPr>
      </w:pPr>
      <w:r w:rsidRPr="000151BA">
        <w:rPr>
          <w:b/>
          <w:sz w:val="21"/>
          <w:szCs w:val="21"/>
        </w:rPr>
        <w:t>Draft report (due 9 March)</w:t>
      </w:r>
      <w:r w:rsidRPr="000151BA">
        <w:rPr>
          <w:sz w:val="21"/>
          <w:szCs w:val="21"/>
        </w:rPr>
        <w:t xml:space="preserve"> – to be submitted to DFAT</w:t>
      </w:r>
    </w:p>
    <w:p w14:paraId="6EFED2C2" w14:textId="77777777" w:rsidR="009D026A" w:rsidRPr="000151BA" w:rsidRDefault="009D026A" w:rsidP="004224DE">
      <w:pPr>
        <w:rPr>
          <w:sz w:val="21"/>
          <w:szCs w:val="21"/>
        </w:rPr>
      </w:pPr>
      <w:r w:rsidRPr="000151BA">
        <w:rPr>
          <w:sz w:val="21"/>
          <w:szCs w:val="21"/>
        </w:rPr>
        <w:t>Phase 4 – Final Reporting (12 March - 30 March 2018, 5 working days)</w:t>
      </w:r>
    </w:p>
    <w:p w14:paraId="40E85AE2" w14:textId="77777777" w:rsidR="009D026A" w:rsidRPr="000151BA" w:rsidRDefault="009D026A" w:rsidP="004224DE">
      <w:pPr>
        <w:pStyle w:val="ListParagraph"/>
        <w:numPr>
          <w:ilvl w:val="0"/>
          <w:numId w:val="8"/>
        </w:numPr>
        <w:rPr>
          <w:sz w:val="21"/>
          <w:szCs w:val="21"/>
        </w:rPr>
      </w:pPr>
      <w:r w:rsidRPr="000151BA">
        <w:rPr>
          <w:sz w:val="21"/>
          <w:szCs w:val="21"/>
        </w:rPr>
        <w:t>DFAT and World Bank feedback on draft report to be provided at least one week prior to the deliverable due date</w:t>
      </w:r>
    </w:p>
    <w:p w14:paraId="2CF35410" w14:textId="77777777" w:rsidR="009D026A" w:rsidRPr="000151BA" w:rsidRDefault="009D026A" w:rsidP="001A78AF">
      <w:pPr>
        <w:pStyle w:val="ListParagraph"/>
        <w:numPr>
          <w:ilvl w:val="0"/>
          <w:numId w:val="8"/>
        </w:numPr>
        <w:rPr>
          <w:sz w:val="21"/>
          <w:szCs w:val="21"/>
        </w:rPr>
      </w:pPr>
      <w:r w:rsidRPr="000151BA">
        <w:rPr>
          <w:sz w:val="21"/>
          <w:szCs w:val="21"/>
        </w:rPr>
        <w:t xml:space="preserve">Preparation of a final Evaluation Report accommodating the feedback from DFAT and the World Bank, a week after the receipt of feedback. </w:t>
      </w:r>
    </w:p>
    <w:p w14:paraId="0DECB9FD" w14:textId="77777777" w:rsidR="009D026A" w:rsidRPr="000151BA" w:rsidRDefault="009D026A" w:rsidP="004224DE">
      <w:pPr>
        <w:rPr>
          <w:sz w:val="21"/>
          <w:szCs w:val="21"/>
        </w:rPr>
      </w:pPr>
      <w:r w:rsidRPr="000151BA">
        <w:rPr>
          <w:sz w:val="21"/>
          <w:szCs w:val="21"/>
        </w:rPr>
        <w:t>Deliverables:</w:t>
      </w:r>
    </w:p>
    <w:p w14:paraId="4DA7E006" w14:textId="77777777" w:rsidR="000D5996" w:rsidRPr="000151BA" w:rsidRDefault="009D026A" w:rsidP="004224DE">
      <w:pPr>
        <w:pStyle w:val="ListParagraph"/>
        <w:numPr>
          <w:ilvl w:val="0"/>
          <w:numId w:val="16"/>
        </w:numPr>
        <w:rPr>
          <w:sz w:val="21"/>
          <w:szCs w:val="21"/>
        </w:rPr>
      </w:pPr>
      <w:r w:rsidRPr="000151BA">
        <w:rPr>
          <w:sz w:val="21"/>
          <w:szCs w:val="21"/>
        </w:rPr>
        <w:t xml:space="preserve">Final report (due 30 March 2018) – to be submitted to DFAT </w:t>
      </w:r>
    </w:p>
    <w:p w14:paraId="3C4A1A1A" w14:textId="77777777" w:rsidR="009D026A" w:rsidRPr="000151BA" w:rsidRDefault="009D026A" w:rsidP="004224DE">
      <w:pPr>
        <w:pStyle w:val="ListParagraph"/>
        <w:numPr>
          <w:ilvl w:val="0"/>
          <w:numId w:val="2"/>
        </w:numPr>
        <w:rPr>
          <w:sz w:val="21"/>
          <w:szCs w:val="21"/>
        </w:rPr>
      </w:pPr>
      <w:r w:rsidRPr="000151BA">
        <w:rPr>
          <w:sz w:val="21"/>
          <w:szCs w:val="21"/>
        </w:rPr>
        <w:t>Timeframe</w:t>
      </w:r>
    </w:p>
    <w:p w14:paraId="01D81BB6" w14:textId="77777777" w:rsidR="009D026A" w:rsidRPr="000151BA" w:rsidRDefault="009D026A" w:rsidP="004224DE">
      <w:pPr>
        <w:rPr>
          <w:sz w:val="21"/>
          <w:szCs w:val="21"/>
        </w:rPr>
      </w:pPr>
      <w:r w:rsidRPr="000151BA">
        <w:rPr>
          <w:sz w:val="21"/>
          <w:szCs w:val="21"/>
        </w:rPr>
        <w:t xml:space="preserve">The independent appraisal will start as soon as a suitable for the evaluation team (preferably by 1 December 2017), and will finish by 31 March 2018. Contractual arrangements with the evaluation team will be made flexible until end June 2018 to allow for variations. </w:t>
      </w:r>
    </w:p>
    <w:p w14:paraId="5AABB470" w14:textId="77777777" w:rsidR="000D5996" w:rsidRPr="000151BA" w:rsidRDefault="009D026A" w:rsidP="001A78AF">
      <w:pPr>
        <w:rPr>
          <w:sz w:val="21"/>
          <w:szCs w:val="21"/>
        </w:rPr>
      </w:pPr>
      <w:r w:rsidRPr="000151BA">
        <w:rPr>
          <w:sz w:val="21"/>
          <w:szCs w:val="21"/>
        </w:rPr>
        <w:lastRenderedPageBreak/>
        <w:t>The work will require no greater than 50 days of total input.</w:t>
      </w:r>
    </w:p>
    <w:p w14:paraId="083603AF" w14:textId="77777777" w:rsidR="009D026A" w:rsidRPr="000151BA" w:rsidRDefault="009D026A" w:rsidP="004224DE">
      <w:pPr>
        <w:pStyle w:val="ListParagraph"/>
        <w:numPr>
          <w:ilvl w:val="0"/>
          <w:numId w:val="2"/>
        </w:numPr>
        <w:rPr>
          <w:sz w:val="21"/>
          <w:szCs w:val="21"/>
        </w:rPr>
      </w:pPr>
      <w:r w:rsidRPr="000151BA">
        <w:rPr>
          <w:sz w:val="21"/>
          <w:szCs w:val="21"/>
        </w:rPr>
        <w:t>Location</w:t>
      </w:r>
    </w:p>
    <w:p w14:paraId="1B3816A2" w14:textId="77777777" w:rsidR="000D5996" w:rsidRPr="000151BA" w:rsidRDefault="009D026A" w:rsidP="004224DE">
      <w:pPr>
        <w:rPr>
          <w:sz w:val="21"/>
          <w:szCs w:val="21"/>
        </w:rPr>
      </w:pPr>
      <w:r w:rsidRPr="000151BA">
        <w:rPr>
          <w:sz w:val="21"/>
          <w:szCs w:val="21"/>
        </w:rPr>
        <w:t>The evaluation team must be willing to travel to Australia and participating-countries (Washington DC and New Delhi), as required.  Where possible, the evaluation team will endeavour to hold meetings with overseas-based stakeholders via telephone and videoconference.</w:t>
      </w:r>
    </w:p>
    <w:p w14:paraId="51C91852" w14:textId="77777777" w:rsidR="009D026A" w:rsidRPr="000151BA" w:rsidRDefault="009D026A" w:rsidP="004224DE">
      <w:pPr>
        <w:pStyle w:val="ListParagraph"/>
        <w:numPr>
          <w:ilvl w:val="0"/>
          <w:numId w:val="2"/>
        </w:numPr>
        <w:rPr>
          <w:sz w:val="21"/>
          <w:szCs w:val="21"/>
        </w:rPr>
      </w:pPr>
      <w:r w:rsidRPr="000151BA">
        <w:rPr>
          <w:sz w:val="21"/>
          <w:szCs w:val="21"/>
        </w:rPr>
        <w:t>Reporting</w:t>
      </w:r>
    </w:p>
    <w:p w14:paraId="2AB6E8F8" w14:textId="77777777" w:rsidR="009D026A" w:rsidRPr="000151BA" w:rsidRDefault="009D026A" w:rsidP="004224DE">
      <w:pPr>
        <w:rPr>
          <w:sz w:val="21"/>
          <w:szCs w:val="21"/>
        </w:rPr>
      </w:pPr>
      <w:r w:rsidRPr="000151BA">
        <w:rPr>
          <w:sz w:val="21"/>
          <w:szCs w:val="21"/>
        </w:rPr>
        <w:t>Directors, South Asia Regional Section, South and West Asia Division (SWD) have overall responsibility for the evaluation process.</w:t>
      </w:r>
    </w:p>
    <w:p w14:paraId="46142A24" w14:textId="77777777" w:rsidR="000D5996" w:rsidRPr="000151BA" w:rsidRDefault="009D026A" w:rsidP="001A78AF">
      <w:pPr>
        <w:rPr>
          <w:sz w:val="21"/>
          <w:szCs w:val="21"/>
        </w:rPr>
      </w:pPr>
      <w:r w:rsidRPr="000151BA">
        <w:rPr>
          <w:sz w:val="21"/>
          <w:szCs w:val="21"/>
        </w:rPr>
        <w:t>The evaluation team will work with the DFAT IFG and SARTFP Program Manager in the South Asia Regional Section. The evaluation team will also work with New Delhi Post and the World Bank in Washington DC and New Delhi.</w:t>
      </w:r>
    </w:p>
    <w:p w14:paraId="0EA17BD3" w14:textId="77777777" w:rsidR="009D026A" w:rsidRPr="000151BA" w:rsidRDefault="009D026A" w:rsidP="004224DE">
      <w:pPr>
        <w:pStyle w:val="ListParagraph"/>
        <w:numPr>
          <w:ilvl w:val="0"/>
          <w:numId w:val="2"/>
        </w:numPr>
        <w:rPr>
          <w:sz w:val="21"/>
          <w:szCs w:val="21"/>
        </w:rPr>
      </w:pPr>
      <w:r w:rsidRPr="000151BA">
        <w:rPr>
          <w:sz w:val="21"/>
          <w:szCs w:val="21"/>
        </w:rPr>
        <w:t>Required skill set</w:t>
      </w:r>
    </w:p>
    <w:p w14:paraId="641811D6" w14:textId="77777777" w:rsidR="009D026A" w:rsidRPr="000151BA" w:rsidRDefault="009D026A" w:rsidP="004224DE">
      <w:pPr>
        <w:rPr>
          <w:sz w:val="21"/>
          <w:szCs w:val="21"/>
        </w:rPr>
      </w:pPr>
      <w:r w:rsidRPr="000151BA">
        <w:rPr>
          <w:sz w:val="21"/>
          <w:szCs w:val="21"/>
        </w:rPr>
        <w:t xml:space="preserve">DFAT is seeking a </w:t>
      </w:r>
      <w:r w:rsidRPr="000151BA">
        <w:rPr>
          <w:b/>
          <w:sz w:val="21"/>
          <w:szCs w:val="21"/>
        </w:rPr>
        <w:t>team of two consultants</w:t>
      </w:r>
      <w:r w:rsidRPr="000151BA">
        <w:rPr>
          <w:sz w:val="21"/>
          <w:szCs w:val="21"/>
        </w:rPr>
        <w:t xml:space="preserve"> who collectively cover the essential skill and experience outlined below: </w:t>
      </w:r>
    </w:p>
    <w:p w14:paraId="0A7123D3" w14:textId="77777777" w:rsidR="009D026A" w:rsidRPr="000151BA" w:rsidRDefault="009D026A" w:rsidP="001A78AF">
      <w:pPr>
        <w:rPr>
          <w:sz w:val="21"/>
          <w:szCs w:val="21"/>
        </w:rPr>
      </w:pPr>
      <w:r w:rsidRPr="000151BA">
        <w:rPr>
          <w:sz w:val="21"/>
          <w:szCs w:val="21"/>
        </w:rPr>
        <w:t>Essential</w:t>
      </w:r>
    </w:p>
    <w:p w14:paraId="31780A67" w14:textId="77777777" w:rsidR="009D026A" w:rsidRPr="000151BA" w:rsidRDefault="009D026A" w:rsidP="004224DE">
      <w:pPr>
        <w:pStyle w:val="ListParagraph"/>
        <w:numPr>
          <w:ilvl w:val="0"/>
          <w:numId w:val="18"/>
        </w:numPr>
        <w:rPr>
          <w:sz w:val="21"/>
          <w:szCs w:val="21"/>
        </w:rPr>
      </w:pPr>
      <w:r w:rsidRPr="000151BA">
        <w:rPr>
          <w:sz w:val="21"/>
          <w:szCs w:val="21"/>
        </w:rPr>
        <w:t>Extensive experience in evaluation, review and design of development programs.</w:t>
      </w:r>
    </w:p>
    <w:p w14:paraId="6533E676" w14:textId="77777777" w:rsidR="009D026A" w:rsidRPr="000151BA" w:rsidRDefault="009D026A" w:rsidP="001A78AF">
      <w:pPr>
        <w:pStyle w:val="ListParagraph"/>
        <w:numPr>
          <w:ilvl w:val="0"/>
          <w:numId w:val="18"/>
        </w:numPr>
        <w:rPr>
          <w:sz w:val="21"/>
          <w:szCs w:val="21"/>
        </w:rPr>
      </w:pPr>
      <w:r w:rsidRPr="000151BA">
        <w:rPr>
          <w:sz w:val="21"/>
          <w:szCs w:val="21"/>
        </w:rPr>
        <w:t xml:space="preserve">Understanding of DFAT policies, including DFAT design, performance and quality principles, guidelines and business requirements. </w:t>
      </w:r>
    </w:p>
    <w:p w14:paraId="131D1CEE" w14:textId="77777777" w:rsidR="009D026A" w:rsidRPr="000151BA" w:rsidRDefault="009D026A" w:rsidP="001A78AF">
      <w:pPr>
        <w:pStyle w:val="ListParagraph"/>
        <w:numPr>
          <w:ilvl w:val="0"/>
          <w:numId w:val="18"/>
        </w:numPr>
        <w:rPr>
          <w:sz w:val="21"/>
          <w:szCs w:val="21"/>
        </w:rPr>
      </w:pPr>
      <w:r w:rsidRPr="000151BA">
        <w:rPr>
          <w:sz w:val="21"/>
          <w:szCs w:val="21"/>
        </w:rPr>
        <w:t>Expertise in the range of management and governance arrangements and business processes associated with the delivery of Australian development programs.</w:t>
      </w:r>
    </w:p>
    <w:p w14:paraId="5EEB84B1" w14:textId="77777777" w:rsidR="009D026A" w:rsidRPr="000151BA" w:rsidRDefault="009D026A" w:rsidP="000B5B50">
      <w:pPr>
        <w:pStyle w:val="ListParagraph"/>
        <w:numPr>
          <w:ilvl w:val="0"/>
          <w:numId w:val="18"/>
        </w:numPr>
        <w:rPr>
          <w:sz w:val="21"/>
          <w:szCs w:val="21"/>
        </w:rPr>
      </w:pPr>
      <w:r w:rsidRPr="000151BA">
        <w:rPr>
          <w:sz w:val="21"/>
          <w:szCs w:val="21"/>
        </w:rPr>
        <w:t>Expertise in the World Bank, including its processes and policies.</w:t>
      </w:r>
    </w:p>
    <w:p w14:paraId="0C4E56EA" w14:textId="77777777" w:rsidR="009D026A" w:rsidRPr="000151BA" w:rsidRDefault="009D026A" w:rsidP="000B5B50">
      <w:pPr>
        <w:pStyle w:val="ListParagraph"/>
        <w:numPr>
          <w:ilvl w:val="0"/>
          <w:numId w:val="18"/>
        </w:numPr>
        <w:rPr>
          <w:sz w:val="21"/>
          <w:szCs w:val="21"/>
        </w:rPr>
      </w:pPr>
      <w:r w:rsidRPr="000151BA">
        <w:rPr>
          <w:sz w:val="21"/>
          <w:szCs w:val="21"/>
        </w:rPr>
        <w:t>Background in economic/infrastructure/regional connectivity.</w:t>
      </w:r>
    </w:p>
    <w:p w14:paraId="346915F7" w14:textId="77777777" w:rsidR="009D026A" w:rsidRPr="000151BA" w:rsidRDefault="009D026A" w:rsidP="00404A8A">
      <w:pPr>
        <w:pStyle w:val="ListParagraph"/>
        <w:numPr>
          <w:ilvl w:val="0"/>
          <w:numId w:val="18"/>
        </w:numPr>
        <w:rPr>
          <w:sz w:val="21"/>
          <w:szCs w:val="21"/>
        </w:rPr>
      </w:pPr>
      <w:r w:rsidRPr="000151BA">
        <w:rPr>
          <w:sz w:val="21"/>
          <w:szCs w:val="21"/>
        </w:rPr>
        <w:t>Demonstrated ability to write high quality strategic policy documents, and to design and implement a consultative process of engagement with a wide range of stakeholders.</w:t>
      </w:r>
    </w:p>
    <w:p w14:paraId="3E7C7F18" w14:textId="77777777" w:rsidR="009D026A" w:rsidRPr="000151BA" w:rsidRDefault="009D026A" w:rsidP="00F311EB">
      <w:pPr>
        <w:pStyle w:val="ListParagraph"/>
        <w:numPr>
          <w:ilvl w:val="0"/>
          <w:numId w:val="18"/>
        </w:numPr>
        <w:rPr>
          <w:sz w:val="21"/>
          <w:szCs w:val="21"/>
        </w:rPr>
      </w:pPr>
      <w:r w:rsidRPr="000151BA">
        <w:rPr>
          <w:sz w:val="21"/>
          <w:szCs w:val="21"/>
        </w:rPr>
        <w:t>A strong understanding of gender and other cross cutting issues.</w:t>
      </w:r>
    </w:p>
    <w:p w14:paraId="492497CE" w14:textId="77777777" w:rsidR="009D026A" w:rsidRPr="000151BA" w:rsidRDefault="009D026A" w:rsidP="004224DE">
      <w:pPr>
        <w:pStyle w:val="ListParagraph"/>
        <w:rPr>
          <w:sz w:val="21"/>
          <w:szCs w:val="21"/>
        </w:rPr>
      </w:pPr>
    </w:p>
    <w:p w14:paraId="1BE09CBE" w14:textId="77777777" w:rsidR="009D026A" w:rsidRPr="000151BA" w:rsidRDefault="009D026A" w:rsidP="004224DE">
      <w:pPr>
        <w:rPr>
          <w:sz w:val="21"/>
          <w:szCs w:val="21"/>
        </w:rPr>
      </w:pPr>
      <w:r w:rsidRPr="000151BA">
        <w:rPr>
          <w:sz w:val="21"/>
          <w:szCs w:val="21"/>
        </w:rPr>
        <w:t>Desirable</w:t>
      </w:r>
    </w:p>
    <w:p w14:paraId="12E9F5E0" w14:textId="77777777" w:rsidR="009D026A" w:rsidRPr="000151BA" w:rsidRDefault="009D026A" w:rsidP="004224DE">
      <w:pPr>
        <w:pStyle w:val="ListParagraph"/>
        <w:numPr>
          <w:ilvl w:val="0"/>
          <w:numId w:val="9"/>
        </w:numPr>
        <w:rPr>
          <w:sz w:val="21"/>
          <w:szCs w:val="21"/>
        </w:rPr>
      </w:pPr>
      <w:r w:rsidRPr="000151BA">
        <w:rPr>
          <w:sz w:val="21"/>
          <w:szCs w:val="21"/>
        </w:rPr>
        <w:t>Background in South Asia issues (including regional connectivity).</w:t>
      </w:r>
    </w:p>
    <w:p w14:paraId="348A457A" w14:textId="77777777" w:rsidR="00790663" w:rsidRDefault="00790663" w:rsidP="000B5B50"/>
    <w:p w14:paraId="37982E84" w14:textId="77777777" w:rsidR="00090F38" w:rsidRDefault="00090F38">
      <w:pPr>
        <w:spacing w:before="0" w:after="0"/>
        <w:rPr>
          <w:rFonts w:eastAsiaTheme="majorEastAsia" w:cstheme="majorBidi"/>
          <w:b/>
          <w:color w:val="C00000"/>
          <w:sz w:val="22"/>
        </w:rPr>
      </w:pPr>
      <w:r>
        <w:br w:type="page"/>
      </w:r>
    </w:p>
    <w:p w14:paraId="643D4595" w14:textId="48E4C142" w:rsidR="00790663" w:rsidRDefault="00790663" w:rsidP="004224DE">
      <w:pPr>
        <w:pStyle w:val="Heading2"/>
      </w:pPr>
      <w:bookmarkStart w:id="66" w:name="_Toc517615255"/>
      <w:r w:rsidRPr="005D5021">
        <w:lastRenderedPageBreak/>
        <w:t xml:space="preserve">Annex </w:t>
      </w:r>
      <w:r w:rsidR="00C038F9">
        <w:t>2</w:t>
      </w:r>
      <w:r w:rsidRPr="005D5021">
        <w:t>: Detailed Disbursement Tables</w:t>
      </w:r>
      <w:bookmarkEnd w:id="66"/>
    </w:p>
    <w:p w14:paraId="1DA357D9" w14:textId="77777777" w:rsidR="00790663" w:rsidRPr="000151BA" w:rsidRDefault="00790663" w:rsidP="004224DE">
      <w:pPr>
        <w:pStyle w:val="Heading3"/>
        <w:rPr>
          <w:sz w:val="22"/>
        </w:rPr>
      </w:pPr>
      <w:r w:rsidRPr="000151BA">
        <w:rPr>
          <w:sz w:val="22"/>
        </w:rPr>
        <w:t>IFG</w:t>
      </w:r>
    </w:p>
    <w:tbl>
      <w:tblPr>
        <w:tblW w:w="10980" w:type="dxa"/>
        <w:tblLayout w:type="fixed"/>
        <w:tblCellMar>
          <w:top w:w="15" w:type="dxa"/>
        </w:tblCellMar>
        <w:tblLook w:val="04A0" w:firstRow="1" w:lastRow="0" w:firstColumn="1" w:lastColumn="0" w:noHBand="0" w:noVBand="1"/>
      </w:tblPr>
      <w:tblGrid>
        <w:gridCol w:w="8614"/>
        <w:gridCol w:w="2366"/>
      </w:tblGrid>
      <w:tr w:rsidR="00EF1B7B" w:rsidRPr="004A77F6" w14:paraId="0CD468F9" w14:textId="77777777">
        <w:trPr>
          <w:trHeight w:val="240"/>
        </w:trPr>
        <w:tc>
          <w:tcPr>
            <w:tcW w:w="8614" w:type="dxa"/>
            <w:tcBorders>
              <w:top w:val="nil"/>
              <w:left w:val="nil"/>
              <w:bottom w:val="nil"/>
              <w:right w:val="nil"/>
            </w:tcBorders>
            <w:shd w:val="clear" w:color="auto" w:fill="auto"/>
            <w:noWrap/>
            <w:vAlign w:val="bottom"/>
          </w:tcPr>
          <w:tbl>
            <w:tblPr>
              <w:tblStyle w:val="GridTable4-Accent11"/>
              <w:tblpPr w:leftFromText="180" w:rightFromText="180" w:vertAnchor="page" w:horzAnchor="page" w:tblpX="157" w:tblpY="1"/>
              <w:tblW w:w="8508" w:type="dxa"/>
              <w:tblLayout w:type="fixed"/>
              <w:tblLook w:val="04A0" w:firstRow="1" w:lastRow="0" w:firstColumn="1" w:lastColumn="0" w:noHBand="0" w:noVBand="1"/>
            </w:tblPr>
            <w:tblGrid>
              <w:gridCol w:w="1838"/>
              <w:gridCol w:w="3762"/>
              <w:gridCol w:w="1315"/>
              <w:gridCol w:w="1593"/>
            </w:tblGrid>
            <w:tr w:rsidR="00EF1B7B" w:rsidRPr="00090F38" w14:paraId="58EA2589" w14:textId="77777777" w:rsidTr="00A02664">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vMerge w:val="restart"/>
                  <w:tcBorders>
                    <w:bottom w:val="single" w:sz="4" w:space="0" w:color="FFFFFF" w:themeColor="background1"/>
                    <w:right w:val="single" w:sz="4" w:space="0" w:color="4472C4" w:themeColor="accent1"/>
                  </w:tcBorders>
                  <w:noWrap/>
                </w:tcPr>
                <w:p w14:paraId="1E6DD6D5" w14:textId="77777777" w:rsidR="00EF1B7B" w:rsidRPr="000151BA" w:rsidRDefault="00EF1B7B">
                  <w:pPr>
                    <w:rPr>
                      <w:sz w:val="22"/>
                    </w:rPr>
                  </w:pPr>
                  <w:r w:rsidRPr="000151BA">
                    <w:rPr>
                      <w:sz w:val="22"/>
                    </w:rPr>
                    <w:t xml:space="preserve">           Fund</w:t>
                  </w:r>
                </w:p>
              </w:tc>
              <w:tc>
                <w:tcPr>
                  <w:tcW w:w="3762" w:type="dxa"/>
                  <w:vMerge w:val="restart"/>
                  <w:tcBorders>
                    <w:left w:val="single" w:sz="4" w:space="0" w:color="4472C4" w:themeColor="accent1"/>
                    <w:bottom w:val="single" w:sz="4" w:space="0" w:color="FFFFFF" w:themeColor="background1"/>
                    <w:right w:val="single" w:sz="4" w:space="0" w:color="4472C4" w:themeColor="accent1"/>
                  </w:tcBorders>
                  <w:noWrap/>
                </w:tcPr>
                <w:p w14:paraId="76D7694A" w14:textId="77777777" w:rsidR="00EF1B7B" w:rsidRPr="000151BA" w:rsidRDefault="00EF1B7B">
                  <w:pPr>
                    <w:cnfStyle w:val="100000000000" w:firstRow="1" w:lastRow="0" w:firstColumn="0" w:lastColumn="0" w:oddVBand="0" w:evenVBand="0" w:oddHBand="0" w:evenHBand="0" w:firstRowFirstColumn="0" w:firstRowLastColumn="0" w:lastRowFirstColumn="0" w:lastRowLastColumn="0"/>
                    <w:rPr>
                      <w:sz w:val="22"/>
                    </w:rPr>
                  </w:pPr>
                </w:p>
                <w:p w14:paraId="40EF39C3" w14:textId="77777777" w:rsidR="00EF1B7B" w:rsidRPr="000151BA" w:rsidRDefault="00EF1B7B">
                  <w:pPr>
                    <w:cnfStyle w:val="100000000000" w:firstRow="1" w:lastRow="0" w:firstColumn="0" w:lastColumn="0" w:oddVBand="0" w:evenVBand="0" w:oddHBand="0" w:evenHBand="0" w:firstRowFirstColumn="0" w:firstRowLastColumn="0" w:lastRowFirstColumn="0" w:lastRowLastColumn="0"/>
                    <w:rPr>
                      <w:sz w:val="22"/>
                    </w:rPr>
                  </w:pPr>
                  <w:r w:rsidRPr="000151BA">
                    <w:rPr>
                      <w:sz w:val="22"/>
                    </w:rPr>
                    <w:t>IFG Fund Name</w:t>
                  </w:r>
                </w:p>
              </w:tc>
              <w:tc>
                <w:tcPr>
                  <w:tcW w:w="2908" w:type="dxa"/>
                  <w:gridSpan w:val="2"/>
                  <w:tcBorders>
                    <w:left w:val="single" w:sz="4" w:space="0" w:color="4472C4" w:themeColor="accent1"/>
                    <w:bottom w:val="single" w:sz="4" w:space="0" w:color="FFFFFF" w:themeColor="background1"/>
                  </w:tcBorders>
                  <w:noWrap/>
                </w:tcPr>
                <w:p w14:paraId="3487CDAD" w14:textId="4B6660A0" w:rsidR="00EF1B7B" w:rsidRPr="000151BA" w:rsidRDefault="00EF1B7B" w:rsidP="000151BA">
                  <w:pPr>
                    <w:jc w:val="right"/>
                    <w:cnfStyle w:val="100000000000" w:firstRow="1" w:lastRow="0" w:firstColumn="0" w:lastColumn="0" w:oddVBand="0" w:evenVBand="0" w:oddHBand="0" w:evenHBand="0" w:firstRowFirstColumn="0" w:firstRowLastColumn="0" w:lastRowFirstColumn="0" w:lastRowLastColumn="0"/>
                    <w:rPr>
                      <w:sz w:val="22"/>
                    </w:rPr>
                  </w:pPr>
                  <w:r w:rsidRPr="000151BA">
                    <w:rPr>
                      <w:sz w:val="22"/>
                    </w:rPr>
                    <w:t xml:space="preserve">Valid </w:t>
                  </w:r>
                  <w:r w:rsidR="005E1DB1">
                    <w:rPr>
                      <w:sz w:val="22"/>
                    </w:rPr>
                    <w:t xml:space="preserve">as of </w:t>
                  </w:r>
                  <w:r w:rsidRPr="000151BA">
                    <w:rPr>
                      <w:sz w:val="22"/>
                    </w:rPr>
                    <w:t>March 1</w:t>
                  </w:r>
                  <w:r w:rsidRPr="000151BA">
                    <w:rPr>
                      <w:sz w:val="22"/>
                      <w:vertAlign w:val="superscript"/>
                    </w:rPr>
                    <w:t>st</w:t>
                  </w:r>
                  <w:r w:rsidRPr="000151BA">
                    <w:rPr>
                      <w:sz w:val="22"/>
                    </w:rPr>
                    <w:t xml:space="preserve"> 2018</w:t>
                  </w:r>
                </w:p>
              </w:tc>
            </w:tr>
            <w:tr w:rsidR="00266CCC" w:rsidRPr="00090F38" w14:paraId="7B34F497"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vMerge/>
                  <w:tcBorders>
                    <w:top w:val="single" w:sz="4" w:space="0" w:color="FFFFFF" w:themeColor="background1"/>
                    <w:left w:val="single" w:sz="4" w:space="0" w:color="4472C4" w:themeColor="accent1"/>
                    <w:bottom w:val="single" w:sz="4" w:space="0" w:color="FFFFFF" w:themeColor="background1"/>
                    <w:right w:val="single" w:sz="4" w:space="0" w:color="4472C4" w:themeColor="accent1"/>
                  </w:tcBorders>
                  <w:noWrap/>
                </w:tcPr>
                <w:p w14:paraId="29AEE1BF" w14:textId="77777777" w:rsidR="00EF1B7B" w:rsidRPr="000151BA" w:rsidRDefault="00EF1B7B">
                  <w:pPr>
                    <w:rPr>
                      <w:sz w:val="22"/>
                    </w:rPr>
                  </w:pPr>
                </w:p>
              </w:tc>
              <w:tc>
                <w:tcPr>
                  <w:tcW w:w="3762" w:type="dxa"/>
                  <w:vMerge/>
                  <w:tcBorders>
                    <w:top w:val="single" w:sz="4" w:space="0" w:color="FFFFFF" w:themeColor="background1"/>
                    <w:left w:val="single" w:sz="4" w:space="0" w:color="4472C4" w:themeColor="accent1"/>
                    <w:bottom w:val="single" w:sz="4" w:space="0" w:color="FFFFFF" w:themeColor="background1"/>
                    <w:right w:val="single" w:sz="4" w:space="0" w:color="4472C4" w:themeColor="accent1"/>
                  </w:tcBorders>
                  <w:noWrap/>
                </w:tcPr>
                <w:p w14:paraId="35172239" w14:textId="77777777" w:rsidR="00EF1B7B" w:rsidRPr="000151BA" w:rsidRDefault="00EF1B7B">
                  <w:pPr>
                    <w:cnfStyle w:val="000000100000" w:firstRow="0" w:lastRow="0" w:firstColumn="0" w:lastColumn="0" w:oddVBand="0" w:evenVBand="0" w:oddHBand="1" w:evenHBand="0" w:firstRowFirstColumn="0" w:firstRowLastColumn="0" w:lastRowFirstColumn="0" w:lastRowLastColumn="0"/>
                    <w:rPr>
                      <w:sz w:val="22"/>
                    </w:rPr>
                  </w:pPr>
                </w:p>
              </w:tc>
              <w:tc>
                <w:tcPr>
                  <w:tcW w:w="1315" w:type="dxa"/>
                  <w:tcBorders>
                    <w:top w:val="single" w:sz="4" w:space="0" w:color="4472C4" w:themeColor="accent1"/>
                    <w:left w:val="single" w:sz="4" w:space="0" w:color="4472C4" w:themeColor="accent1"/>
                    <w:bottom w:val="single" w:sz="4" w:space="0" w:color="FFFFFF" w:themeColor="background1"/>
                    <w:right w:val="single" w:sz="4" w:space="0" w:color="4472C4" w:themeColor="accent1"/>
                  </w:tcBorders>
                  <w:shd w:val="clear" w:color="auto" w:fill="4472C4" w:themeFill="accent1"/>
                  <w:noWrap/>
                </w:tcPr>
                <w:p w14:paraId="5388A345" w14:textId="4BDBECA1" w:rsidR="00EF1B7B" w:rsidRPr="000151BA" w:rsidRDefault="00EF1B7B" w:rsidP="000151BA">
                  <w:pPr>
                    <w:jc w:val="center"/>
                    <w:cnfStyle w:val="000000100000" w:firstRow="0" w:lastRow="0" w:firstColumn="0" w:lastColumn="0" w:oddVBand="0" w:evenVBand="0" w:oddHBand="1" w:evenHBand="0" w:firstRowFirstColumn="0" w:firstRowLastColumn="0" w:lastRowFirstColumn="0" w:lastRowLastColumn="0"/>
                    <w:rPr>
                      <w:sz w:val="22"/>
                    </w:rPr>
                  </w:pPr>
                  <w:r w:rsidRPr="000151BA">
                    <w:rPr>
                      <w:sz w:val="22"/>
                    </w:rPr>
                    <w:t>Grant</w:t>
                  </w:r>
                  <w:r w:rsidR="005E1DB1">
                    <w:rPr>
                      <w:sz w:val="22"/>
                    </w:rPr>
                    <w:t xml:space="preserve"> Amount</w:t>
                  </w:r>
                </w:p>
              </w:tc>
              <w:tc>
                <w:tcPr>
                  <w:tcW w:w="1593" w:type="dxa"/>
                  <w:tcBorders>
                    <w:top w:val="single" w:sz="4" w:space="0" w:color="4472C4" w:themeColor="accent1"/>
                    <w:left w:val="single" w:sz="4" w:space="0" w:color="4472C4" w:themeColor="accent1"/>
                    <w:bottom w:val="single" w:sz="4" w:space="0" w:color="FFFFFF" w:themeColor="background1"/>
                    <w:right w:val="single" w:sz="4" w:space="0" w:color="4472C4" w:themeColor="accent1"/>
                  </w:tcBorders>
                  <w:shd w:val="clear" w:color="auto" w:fill="4472C4" w:themeFill="accent1"/>
                  <w:noWrap/>
                </w:tcPr>
                <w:p w14:paraId="3BEC819B" w14:textId="77777777" w:rsidR="00EF1B7B" w:rsidRPr="000151BA" w:rsidRDefault="00EF1B7B" w:rsidP="000151BA">
                  <w:pPr>
                    <w:jc w:val="center"/>
                    <w:cnfStyle w:val="000000100000" w:firstRow="0" w:lastRow="0" w:firstColumn="0" w:lastColumn="0" w:oddVBand="0" w:evenVBand="0" w:oddHBand="1" w:evenHBand="0" w:firstRowFirstColumn="0" w:firstRowLastColumn="0" w:lastRowFirstColumn="0" w:lastRowLastColumn="0"/>
                    <w:rPr>
                      <w:sz w:val="22"/>
                    </w:rPr>
                  </w:pPr>
                  <w:r w:rsidRPr="000151BA">
                    <w:rPr>
                      <w:sz w:val="22"/>
                    </w:rPr>
                    <w:t>Disbursement</w:t>
                  </w:r>
                </w:p>
              </w:tc>
            </w:tr>
            <w:tr w:rsidR="00EF1B7B" w:rsidRPr="00090F38" w14:paraId="5EAB22E1" w14:textId="77777777" w:rsidTr="00A02664">
              <w:trPr>
                <w:trHeight w:val="48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FFFFF" w:themeColor="background1"/>
                  </w:tcBorders>
                  <w:noWrap/>
                </w:tcPr>
                <w:p w14:paraId="39984A87" w14:textId="77777777" w:rsidR="00EF1B7B" w:rsidRPr="000151BA" w:rsidRDefault="00EF1B7B" w:rsidP="00F65774">
                  <w:pPr>
                    <w:rPr>
                      <w:sz w:val="20"/>
                      <w:szCs w:val="20"/>
                    </w:rPr>
                  </w:pPr>
                  <w:r w:rsidRPr="000151BA">
                    <w:rPr>
                      <w:sz w:val="20"/>
                      <w:szCs w:val="20"/>
                    </w:rPr>
                    <w:t>TF015530</w:t>
                  </w:r>
                </w:p>
              </w:tc>
              <w:tc>
                <w:tcPr>
                  <w:tcW w:w="3762" w:type="dxa"/>
                  <w:tcBorders>
                    <w:top w:val="single" w:sz="4" w:space="0" w:color="FFFFFF" w:themeColor="background1"/>
                    <w:right w:val="single" w:sz="4" w:space="0" w:color="4472C4" w:themeColor="accent1"/>
                  </w:tcBorders>
                </w:tcPr>
                <w:p w14:paraId="226FF8AF"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Afghanistan Green Urban Transport Strategy</w:t>
                  </w:r>
                </w:p>
              </w:tc>
              <w:tc>
                <w:tcPr>
                  <w:tcW w:w="1315" w:type="dxa"/>
                  <w:tcBorders>
                    <w:top w:val="single" w:sz="4" w:space="0" w:color="FFFFFF" w:themeColor="background1"/>
                    <w:left w:val="single" w:sz="4" w:space="0" w:color="4472C4" w:themeColor="accent1"/>
                  </w:tcBorders>
                  <w:noWrap/>
                </w:tcPr>
                <w:p w14:paraId="3CA40AAC"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394,976 </w:t>
                  </w:r>
                </w:p>
              </w:tc>
              <w:tc>
                <w:tcPr>
                  <w:tcW w:w="1593" w:type="dxa"/>
                  <w:tcBorders>
                    <w:top w:val="single" w:sz="4" w:space="0" w:color="FFFFFF" w:themeColor="background1"/>
                  </w:tcBorders>
                  <w:noWrap/>
                </w:tcPr>
                <w:p w14:paraId="7C3A2BB1"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394,976 </w:t>
                  </w:r>
                </w:p>
              </w:tc>
            </w:tr>
            <w:tr w:rsidR="00EF1B7B" w:rsidRPr="00090F38" w14:paraId="0A0E2394"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6665FC0F" w14:textId="77777777" w:rsidR="00EF1B7B" w:rsidRPr="000151BA" w:rsidRDefault="00EF1B7B" w:rsidP="00F65774">
                  <w:pPr>
                    <w:rPr>
                      <w:sz w:val="20"/>
                      <w:szCs w:val="20"/>
                    </w:rPr>
                  </w:pPr>
                  <w:r w:rsidRPr="000151BA">
                    <w:rPr>
                      <w:sz w:val="20"/>
                      <w:szCs w:val="20"/>
                    </w:rPr>
                    <w:t>TF015534</w:t>
                  </w:r>
                </w:p>
              </w:tc>
              <w:tc>
                <w:tcPr>
                  <w:tcW w:w="3762" w:type="dxa"/>
                  <w:tcBorders>
                    <w:right w:val="single" w:sz="4" w:space="0" w:color="4472C4" w:themeColor="accent1"/>
                  </w:tcBorders>
                </w:tcPr>
                <w:p w14:paraId="7183C1FC"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Chittagong Urban Resilience and City Development Strategy</w:t>
                  </w:r>
                </w:p>
              </w:tc>
              <w:tc>
                <w:tcPr>
                  <w:tcW w:w="1315" w:type="dxa"/>
                  <w:tcBorders>
                    <w:left w:val="single" w:sz="4" w:space="0" w:color="4472C4" w:themeColor="accent1"/>
                  </w:tcBorders>
                  <w:noWrap/>
                </w:tcPr>
                <w:p w14:paraId="66B5C805"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246,082 </w:t>
                  </w:r>
                </w:p>
              </w:tc>
              <w:tc>
                <w:tcPr>
                  <w:tcW w:w="1593" w:type="dxa"/>
                  <w:noWrap/>
                </w:tcPr>
                <w:p w14:paraId="66C7622C"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246,082 </w:t>
                  </w:r>
                </w:p>
              </w:tc>
            </w:tr>
            <w:tr w:rsidR="00EF1B7B" w:rsidRPr="00090F38" w14:paraId="4016B4B0" w14:textId="77777777" w:rsidTr="00A02664">
              <w:trPr>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5B77A654" w14:textId="77777777" w:rsidR="00EF1B7B" w:rsidRPr="000151BA" w:rsidRDefault="00EF1B7B" w:rsidP="00F65774">
                  <w:pPr>
                    <w:rPr>
                      <w:sz w:val="20"/>
                      <w:szCs w:val="20"/>
                    </w:rPr>
                  </w:pPr>
                  <w:r w:rsidRPr="000151BA">
                    <w:rPr>
                      <w:sz w:val="20"/>
                      <w:szCs w:val="20"/>
                    </w:rPr>
                    <w:t>TF016705</w:t>
                  </w:r>
                </w:p>
              </w:tc>
              <w:tc>
                <w:tcPr>
                  <w:tcW w:w="3762" w:type="dxa"/>
                </w:tcPr>
                <w:p w14:paraId="1834BBE3"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Bhutan EV initiative</w:t>
                  </w:r>
                </w:p>
              </w:tc>
              <w:tc>
                <w:tcPr>
                  <w:tcW w:w="1315" w:type="dxa"/>
                  <w:noWrap/>
                </w:tcPr>
                <w:p w14:paraId="3A189F00"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179,622 </w:t>
                  </w:r>
                </w:p>
              </w:tc>
              <w:tc>
                <w:tcPr>
                  <w:tcW w:w="1593" w:type="dxa"/>
                  <w:noWrap/>
                </w:tcPr>
                <w:p w14:paraId="5D988AEE"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179,622 </w:t>
                  </w:r>
                </w:p>
              </w:tc>
            </w:tr>
            <w:tr w:rsidR="00EF1B7B" w:rsidRPr="00090F38" w14:paraId="367CA467"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421E90D0" w14:textId="77777777" w:rsidR="00EF1B7B" w:rsidRPr="000151BA" w:rsidRDefault="00EF1B7B" w:rsidP="00F65774">
                  <w:pPr>
                    <w:rPr>
                      <w:sz w:val="20"/>
                      <w:szCs w:val="20"/>
                    </w:rPr>
                  </w:pPr>
                  <w:r w:rsidRPr="000151BA">
                    <w:rPr>
                      <w:sz w:val="20"/>
                      <w:szCs w:val="20"/>
                    </w:rPr>
                    <w:t>TF014388</w:t>
                  </w:r>
                </w:p>
              </w:tc>
              <w:tc>
                <w:tcPr>
                  <w:tcW w:w="3762" w:type="dxa"/>
                </w:tcPr>
                <w:p w14:paraId="29A66357"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India - Innovative financing structures to leverage private sector financing for Powergrid</w:t>
                  </w:r>
                </w:p>
              </w:tc>
              <w:tc>
                <w:tcPr>
                  <w:tcW w:w="1315" w:type="dxa"/>
                  <w:noWrap/>
                </w:tcPr>
                <w:p w14:paraId="6F3DCA08"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60,512 </w:t>
                  </w:r>
                </w:p>
              </w:tc>
              <w:tc>
                <w:tcPr>
                  <w:tcW w:w="1593" w:type="dxa"/>
                  <w:noWrap/>
                </w:tcPr>
                <w:p w14:paraId="307C9569"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60,512 </w:t>
                  </w:r>
                </w:p>
              </w:tc>
            </w:tr>
            <w:tr w:rsidR="00EF1B7B" w:rsidRPr="00090F38" w14:paraId="1D699B82" w14:textId="77777777" w:rsidTr="00A02664">
              <w:trPr>
                <w:trHeight w:val="480"/>
              </w:trPr>
              <w:tc>
                <w:tcPr>
                  <w:cnfStyle w:val="001000000000" w:firstRow="0" w:lastRow="0" w:firstColumn="1" w:lastColumn="0" w:oddVBand="0" w:evenVBand="0" w:oddHBand="0" w:evenHBand="0" w:firstRowFirstColumn="0" w:firstRowLastColumn="0" w:lastRowFirstColumn="0" w:lastRowLastColumn="0"/>
                  <w:tcW w:w="1838" w:type="dxa"/>
                  <w:noWrap/>
                </w:tcPr>
                <w:p w14:paraId="66BBD34A" w14:textId="77777777" w:rsidR="00EF1B7B" w:rsidRPr="000151BA" w:rsidRDefault="00EF1B7B" w:rsidP="00F65774">
                  <w:pPr>
                    <w:rPr>
                      <w:sz w:val="20"/>
                      <w:szCs w:val="20"/>
                    </w:rPr>
                  </w:pPr>
                  <w:r w:rsidRPr="000151BA">
                    <w:rPr>
                      <w:sz w:val="20"/>
                      <w:szCs w:val="20"/>
                    </w:rPr>
                    <w:t>TF015924</w:t>
                  </w:r>
                </w:p>
              </w:tc>
              <w:tc>
                <w:tcPr>
                  <w:tcW w:w="3762" w:type="dxa"/>
                </w:tcPr>
                <w:p w14:paraId="4EA5AFD9"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Accounting for Natural Assets to Support Inclusive Green Growth in Himachal Pradesh, India</w:t>
                  </w:r>
                </w:p>
              </w:tc>
              <w:tc>
                <w:tcPr>
                  <w:tcW w:w="1315" w:type="dxa"/>
                  <w:noWrap/>
                </w:tcPr>
                <w:p w14:paraId="4557FC3C"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146,673 </w:t>
                  </w:r>
                </w:p>
              </w:tc>
              <w:tc>
                <w:tcPr>
                  <w:tcW w:w="1593" w:type="dxa"/>
                  <w:noWrap/>
                </w:tcPr>
                <w:p w14:paraId="5B7472EB"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146,673 </w:t>
                  </w:r>
                </w:p>
              </w:tc>
            </w:tr>
            <w:tr w:rsidR="00EF1B7B" w:rsidRPr="00090F38" w14:paraId="6760329E" w14:textId="77777777" w:rsidTr="00A02664">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38" w:type="dxa"/>
                  <w:noWrap/>
                </w:tcPr>
                <w:p w14:paraId="777F808C" w14:textId="77777777" w:rsidR="00EF1B7B" w:rsidRPr="000151BA" w:rsidRDefault="00EF1B7B" w:rsidP="00F65774">
                  <w:pPr>
                    <w:rPr>
                      <w:sz w:val="20"/>
                      <w:szCs w:val="20"/>
                    </w:rPr>
                  </w:pPr>
                  <w:r w:rsidRPr="000151BA">
                    <w:rPr>
                      <w:sz w:val="20"/>
                      <w:szCs w:val="20"/>
                    </w:rPr>
                    <w:t>TF015023</w:t>
                  </w:r>
                </w:p>
              </w:tc>
              <w:tc>
                <w:tcPr>
                  <w:tcW w:w="3762" w:type="dxa"/>
                </w:tcPr>
                <w:p w14:paraId="71736F25"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India: Options Paper for Developments along the Eastern Dedicated Freight Corridor</w:t>
                  </w:r>
                </w:p>
              </w:tc>
              <w:tc>
                <w:tcPr>
                  <w:tcW w:w="1315" w:type="dxa"/>
                  <w:noWrap/>
                </w:tcPr>
                <w:p w14:paraId="747BDB0B"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394,270 </w:t>
                  </w:r>
                </w:p>
              </w:tc>
              <w:tc>
                <w:tcPr>
                  <w:tcW w:w="1593" w:type="dxa"/>
                  <w:noWrap/>
                </w:tcPr>
                <w:p w14:paraId="4E8F37E5"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394,270 </w:t>
                  </w:r>
                </w:p>
              </w:tc>
            </w:tr>
            <w:tr w:rsidR="00EF1B7B" w:rsidRPr="00090F38" w14:paraId="001F5C96" w14:textId="77777777" w:rsidTr="00A02664">
              <w:trPr>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7082BCD9" w14:textId="77777777" w:rsidR="00EF1B7B" w:rsidRPr="000151BA" w:rsidRDefault="00EF1B7B" w:rsidP="00F65774">
                  <w:pPr>
                    <w:rPr>
                      <w:sz w:val="20"/>
                      <w:szCs w:val="20"/>
                    </w:rPr>
                  </w:pPr>
                  <w:r w:rsidRPr="000151BA">
                    <w:rPr>
                      <w:sz w:val="20"/>
                      <w:szCs w:val="20"/>
                    </w:rPr>
                    <w:t>TF015024</w:t>
                  </w:r>
                </w:p>
              </w:tc>
              <w:tc>
                <w:tcPr>
                  <w:tcW w:w="3762" w:type="dxa"/>
                </w:tcPr>
                <w:p w14:paraId="6293CEC9"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Risk Mitigation and Credit Enhancement of PPP roads in Kerala</w:t>
                  </w:r>
                </w:p>
              </w:tc>
              <w:tc>
                <w:tcPr>
                  <w:tcW w:w="1315" w:type="dxa"/>
                  <w:noWrap/>
                </w:tcPr>
                <w:p w14:paraId="5B70DBE5"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184,800 </w:t>
                  </w:r>
                </w:p>
              </w:tc>
              <w:tc>
                <w:tcPr>
                  <w:tcW w:w="1593" w:type="dxa"/>
                  <w:noWrap/>
                </w:tcPr>
                <w:p w14:paraId="13B0C918"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184,800 </w:t>
                  </w:r>
                </w:p>
              </w:tc>
            </w:tr>
            <w:tr w:rsidR="00EF1B7B" w:rsidRPr="00090F38" w14:paraId="0D7DFD15"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4E2FA92E" w14:textId="77777777" w:rsidR="00EF1B7B" w:rsidRPr="000151BA" w:rsidRDefault="00EF1B7B" w:rsidP="00F65774">
                  <w:pPr>
                    <w:rPr>
                      <w:sz w:val="20"/>
                      <w:szCs w:val="20"/>
                    </w:rPr>
                  </w:pPr>
                  <w:r w:rsidRPr="000151BA">
                    <w:rPr>
                      <w:sz w:val="20"/>
                      <w:szCs w:val="20"/>
                    </w:rPr>
                    <w:t>TF016428</w:t>
                  </w:r>
                </w:p>
              </w:tc>
              <w:tc>
                <w:tcPr>
                  <w:tcW w:w="3762" w:type="dxa"/>
                </w:tcPr>
                <w:p w14:paraId="157A1684"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Capacity Augmentation of Inland water Transport System in India</w:t>
                  </w:r>
                </w:p>
              </w:tc>
              <w:tc>
                <w:tcPr>
                  <w:tcW w:w="1315" w:type="dxa"/>
                  <w:noWrap/>
                </w:tcPr>
                <w:p w14:paraId="07BE8ECA"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190,150 </w:t>
                  </w:r>
                </w:p>
              </w:tc>
              <w:tc>
                <w:tcPr>
                  <w:tcW w:w="1593" w:type="dxa"/>
                  <w:noWrap/>
                </w:tcPr>
                <w:p w14:paraId="34787DC7"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190,150 </w:t>
                  </w:r>
                </w:p>
              </w:tc>
            </w:tr>
            <w:tr w:rsidR="00EF1B7B" w:rsidRPr="00090F38" w14:paraId="297C98AA" w14:textId="77777777" w:rsidTr="00A02664">
              <w:trPr>
                <w:trHeight w:val="480"/>
              </w:trPr>
              <w:tc>
                <w:tcPr>
                  <w:cnfStyle w:val="001000000000" w:firstRow="0" w:lastRow="0" w:firstColumn="1" w:lastColumn="0" w:oddVBand="0" w:evenVBand="0" w:oddHBand="0" w:evenHBand="0" w:firstRowFirstColumn="0" w:firstRowLastColumn="0" w:lastRowFirstColumn="0" w:lastRowLastColumn="0"/>
                  <w:tcW w:w="1838" w:type="dxa"/>
                  <w:noWrap/>
                </w:tcPr>
                <w:p w14:paraId="3562D48A" w14:textId="77777777" w:rsidR="00EF1B7B" w:rsidRPr="000151BA" w:rsidRDefault="00EF1B7B" w:rsidP="00F65774">
                  <w:pPr>
                    <w:rPr>
                      <w:sz w:val="20"/>
                      <w:szCs w:val="20"/>
                    </w:rPr>
                  </w:pPr>
                  <w:r w:rsidRPr="000151BA">
                    <w:rPr>
                      <w:sz w:val="20"/>
                      <w:szCs w:val="20"/>
                    </w:rPr>
                    <w:t>TF018028</w:t>
                  </w:r>
                </w:p>
              </w:tc>
              <w:tc>
                <w:tcPr>
                  <w:tcW w:w="3762" w:type="dxa"/>
                </w:tcPr>
                <w:p w14:paraId="2B8077AB"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A Market Driven Approach to Accelerating the impact of Transport Infrastructure Investments in India</w:t>
                  </w:r>
                </w:p>
              </w:tc>
              <w:tc>
                <w:tcPr>
                  <w:tcW w:w="1315" w:type="dxa"/>
                  <w:noWrap/>
                </w:tcPr>
                <w:p w14:paraId="7A7BA42C"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248,105 </w:t>
                  </w:r>
                </w:p>
              </w:tc>
              <w:tc>
                <w:tcPr>
                  <w:tcW w:w="1593" w:type="dxa"/>
                  <w:noWrap/>
                </w:tcPr>
                <w:p w14:paraId="74563001"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248,105 </w:t>
                  </w:r>
                </w:p>
              </w:tc>
            </w:tr>
            <w:tr w:rsidR="00EF1B7B" w:rsidRPr="00090F38" w14:paraId="5DA3FDFE"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2BF986CE" w14:textId="77777777" w:rsidR="00EF1B7B" w:rsidRPr="000151BA" w:rsidRDefault="00EF1B7B" w:rsidP="00F65774">
                  <w:pPr>
                    <w:rPr>
                      <w:sz w:val="20"/>
                      <w:szCs w:val="20"/>
                    </w:rPr>
                  </w:pPr>
                  <w:r w:rsidRPr="000151BA">
                    <w:rPr>
                      <w:sz w:val="20"/>
                      <w:szCs w:val="20"/>
                    </w:rPr>
                    <w:t>TF0A0071</w:t>
                  </w:r>
                </w:p>
              </w:tc>
              <w:tc>
                <w:tcPr>
                  <w:tcW w:w="3762" w:type="dxa"/>
                </w:tcPr>
                <w:p w14:paraId="1EB54688"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India UP Solid Waste Management Project</w:t>
                  </w:r>
                </w:p>
              </w:tc>
              <w:tc>
                <w:tcPr>
                  <w:tcW w:w="1315" w:type="dxa"/>
                  <w:noWrap/>
                </w:tcPr>
                <w:p w14:paraId="2B5FA400"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289,572 </w:t>
                  </w:r>
                </w:p>
              </w:tc>
              <w:tc>
                <w:tcPr>
                  <w:tcW w:w="1593" w:type="dxa"/>
                  <w:noWrap/>
                </w:tcPr>
                <w:p w14:paraId="0F23709D"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289,572 </w:t>
                  </w:r>
                </w:p>
              </w:tc>
            </w:tr>
            <w:tr w:rsidR="00EF1B7B" w:rsidRPr="00090F38" w14:paraId="0C80A1DA" w14:textId="77777777" w:rsidTr="00A02664">
              <w:trPr>
                <w:trHeight w:val="362"/>
              </w:trPr>
              <w:tc>
                <w:tcPr>
                  <w:cnfStyle w:val="001000000000" w:firstRow="0" w:lastRow="0" w:firstColumn="1" w:lastColumn="0" w:oddVBand="0" w:evenVBand="0" w:oddHBand="0" w:evenHBand="0" w:firstRowFirstColumn="0" w:firstRowLastColumn="0" w:lastRowFirstColumn="0" w:lastRowLastColumn="0"/>
                  <w:tcW w:w="1838" w:type="dxa"/>
                  <w:noWrap/>
                </w:tcPr>
                <w:p w14:paraId="7753D3A2" w14:textId="77777777" w:rsidR="00EF1B7B" w:rsidRPr="000151BA" w:rsidRDefault="00EF1B7B" w:rsidP="00F65774">
                  <w:pPr>
                    <w:rPr>
                      <w:sz w:val="20"/>
                      <w:szCs w:val="20"/>
                    </w:rPr>
                  </w:pPr>
                  <w:r w:rsidRPr="000151BA">
                    <w:rPr>
                      <w:sz w:val="20"/>
                      <w:szCs w:val="20"/>
                    </w:rPr>
                    <w:t>TF015455</w:t>
                  </w:r>
                </w:p>
              </w:tc>
              <w:tc>
                <w:tcPr>
                  <w:tcW w:w="3762" w:type="dxa"/>
                </w:tcPr>
                <w:p w14:paraId="65EAF04D"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Collection and analysis of the baseline data towards the assessment of impact of bridges program in Nepal</w:t>
                  </w:r>
                </w:p>
              </w:tc>
              <w:tc>
                <w:tcPr>
                  <w:tcW w:w="1315" w:type="dxa"/>
                  <w:noWrap/>
                </w:tcPr>
                <w:p w14:paraId="01119CF5"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179,196 </w:t>
                  </w:r>
                </w:p>
              </w:tc>
              <w:tc>
                <w:tcPr>
                  <w:tcW w:w="1593" w:type="dxa"/>
                  <w:noWrap/>
                </w:tcPr>
                <w:p w14:paraId="1BBF1476"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179,196 </w:t>
                  </w:r>
                </w:p>
              </w:tc>
            </w:tr>
            <w:tr w:rsidR="00EF1B7B" w:rsidRPr="00090F38" w14:paraId="0B0B3E2D"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3DCDE2E7" w14:textId="77777777" w:rsidR="00EF1B7B" w:rsidRPr="000151BA" w:rsidRDefault="00EF1B7B" w:rsidP="00F65774">
                  <w:pPr>
                    <w:rPr>
                      <w:sz w:val="20"/>
                      <w:szCs w:val="20"/>
                    </w:rPr>
                  </w:pPr>
                  <w:r w:rsidRPr="000151BA">
                    <w:rPr>
                      <w:sz w:val="20"/>
                      <w:szCs w:val="20"/>
                    </w:rPr>
                    <w:t>TF017348</w:t>
                  </w:r>
                </w:p>
              </w:tc>
              <w:tc>
                <w:tcPr>
                  <w:tcW w:w="3762" w:type="dxa"/>
                </w:tcPr>
                <w:p w14:paraId="1E868AAE"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Nepal Fast Track – Preparing Next Steps for Implementation</w:t>
                  </w:r>
                </w:p>
              </w:tc>
              <w:tc>
                <w:tcPr>
                  <w:tcW w:w="1315" w:type="dxa"/>
                  <w:noWrap/>
                </w:tcPr>
                <w:p w14:paraId="2A82ED69"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270,508 </w:t>
                  </w:r>
                </w:p>
              </w:tc>
              <w:tc>
                <w:tcPr>
                  <w:tcW w:w="1593" w:type="dxa"/>
                  <w:noWrap/>
                </w:tcPr>
                <w:p w14:paraId="7BDA9175"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270,508 </w:t>
                  </w:r>
                </w:p>
              </w:tc>
            </w:tr>
            <w:tr w:rsidR="00EF1B7B" w:rsidRPr="00090F38" w14:paraId="3D572200" w14:textId="77777777" w:rsidTr="00A02664">
              <w:trPr>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495D03D0" w14:textId="77777777" w:rsidR="00EF1B7B" w:rsidRPr="000151BA" w:rsidRDefault="00EF1B7B" w:rsidP="00F65774">
                  <w:pPr>
                    <w:rPr>
                      <w:sz w:val="20"/>
                      <w:szCs w:val="20"/>
                    </w:rPr>
                  </w:pPr>
                  <w:r w:rsidRPr="000151BA">
                    <w:rPr>
                      <w:sz w:val="20"/>
                      <w:szCs w:val="20"/>
                    </w:rPr>
                    <w:t>TF017808</w:t>
                  </w:r>
                </w:p>
              </w:tc>
              <w:tc>
                <w:tcPr>
                  <w:tcW w:w="3762" w:type="dxa"/>
                </w:tcPr>
                <w:p w14:paraId="106816A3"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Pakistan - Support for Power Sector Reform Monitoring</w:t>
                  </w:r>
                </w:p>
              </w:tc>
              <w:tc>
                <w:tcPr>
                  <w:tcW w:w="1315" w:type="dxa"/>
                  <w:noWrap/>
                </w:tcPr>
                <w:p w14:paraId="0439170D"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203,148 </w:t>
                  </w:r>
                </w:p>
              </w:tc>
              <w:tc>
                <w:tcPr>
                  <w:tcW w:w="1593" w:type="dxa"/>
                  <w:noWrap/>
                </w:tcPr>
                <w:p w14:paraId="1D360B2B"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203,148 </w:t>
                  </w:r>
                </w:p>
              </w:tc>
            </w:tr>
            <w:tr w:rsidR="00EF1B7B" w:rsidRPr="00090F38" w14:paraId="1C596AC5"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52C02860" w14:textId="77777777" w:rsidR="00EF1B7B" w:rsidRPr="000151BA" w:rsidRDefault="00EF1B7B" w:rsidP="00F65774">
                  <w:pPr>
                    <w:rPr>
                      <w:sz w:val="20"/>
                      <w:szCs w:val="20"/>
                    </w:rPr>
                  </w:pPr>
                  <w:r w:rsidRPr="000151BA">
                    <w:rPr>
                      <w:sz w:val="20"/>
                      <w:szCs w:val="20"/>
                    </w:rPr>
                    <w:t>TF016091</w:t>
                  </w:r>
                </w:p>
              </w:tc>
              <w:tc>
                <w:tcPr>
                  <w:tcW w:w="3762" w:type="dxa"/>
                </w:tcPr>
                <w:p w14:paraId="30D9C491"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How to restore and rebuild livelihoods through CDD approaches in conflict settings</w:t>
                  </w:r>
                </w:p>
              </w:tc>
              <w:tc>
                <w:tcPr>
                  <w:tcW w:w="1315" w:type="dxa"/>
                  <w:noWrap/>
                </w:tcPr>
                <w:p w14:paraId="2D56B26A"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248,243 </w:t>
                  </w:r>
                </w:p>
              </w:tc>
              <w:tc>
                <w:tcPr>
                  <w:tcW w:w="1593" w:type="dxa"/>
                  <w:noWrap/>
                </w:tcPr>
                <w:p w14:paraId="720747C6"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248,243 </w:t>
                  </w:r>
                </w:p>
              </w:tc>
            </w:tr>
            <w:tr w:rsidR="00EF1B7B" w:rsidRPr="00090F38" w14:paraId="4E20C6A8" w14:textId="77777777" w:rsidTr="00A02664">
              <w:trPr>
                <w:trHeight w:val="261"/>
              </w:trPr>
              <w:tc>
                <w:tcPr>
                  <w:cnfStyle w:val="001000000000" w:firstRow="0" w:lastRow="0" w:firstColumn="1" w:lastColumn="0" w:oddVBand="0" w:evenVBand="0" w:oddHBand="0" w:evenHBand="0" w:firstRowFirstColumn="0" w:firstRowLastColumn="0" w:lastRowFirstColumn="0" w:lastRowLastColumn="0"/>
                  <w:tcW w:w="1838" w:type="dxa"/>
                  <w:noWrap/>
                </w:tcPr>
                <w:p w14:paraId="2D61DA83" w14:textId="77777777" w:rsidR="00EF1B7B" w:rsidRPr="000151BA" w:rsidRDefault="00EF1B7B" w:rsidP="00F65774">
                  <w:pPr>
                    <w:rPr>
                      <w:sz w:val="20"/>
                      <w:szCs w:val="20"/>
                    </w:rPr>
                  </w:pPr>
                  <w:r w:rsidRPr="000151BA">
                    <w:rPr>
                      <w:sz w:val="20"/>
                      <w:szCs w:val="20"/>
                    </w:rPr>
                    <w:t>TF015723</w:t>
                  </w:r>
                </w:p>
              </w:tc>
              <w:tc>
                <w:tcPr>
                  <w:tcW w:w="3762" w:type="dxa"/>
                </w:tcPr>
                <w:p w14:paraId="1E08B05A"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South Asia Energy Security and Trade</w:t>
                  </w:r>
                </w:p>
              </w:tc>
              <w:tc>
                <w:tcPr>
                  <w:tcW w:w="1315" w:type="dxa"/>
                  <w:noWrap/>
                </w:tcPr>
                <w:p w14:paraId="4E624197"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402,647 </w:t>
                  </w:r>
                </w:p>
              </w:tc>
              <w:tc>
                <w:tcPr>
                  <w:tcW w:w="1593" w:type="dxa"/>
                  <w:noWrap/>
                </w:tcPr>
                <w:p w14:paraId="2A7B0FFB"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402,647 </w:t>
                  </w:r>
                </w:p>
              </w:tc>
            </w:tr>
            <w:tr w:rsidR="00EF1B7B" w:rsidRPr="00090F38" w14:paraId="7739A8B7"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5A71F6E4" w14:textId="77777777" w:rsidR="00EF1B7B" w:rsidRPr="000151BA" w:rsidRDefault="00EF1B7B" w:rsidP="00F65774">
                  <w:pPr>
                    <w:rPr>
                      <w:sz w:val="20"/>
                      <w:szCs w:val="20"/>
                    </w:rPr>
                  </w:pPr>
                  <w:r w:rsidRPr="000151BA">
                    <w:rPr>
                      <w:sz w:val="20"/>
                      <w:szCs w:val="20"/>
                    </w:rPr>
                    <w:t>TF014572</w:t>
                  </w:r>
                </w:p>
              </w:tc>
              <w:tc>
                <w:tcPr>
                  <w:tcW w:w="3762" w:type="dxa"/>
                </w:tcPr>
                <w:p w14:paraId="61197D31"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GHG Accounting and Greening of SAR Infrastructure Projects</w:t>
                  </w:r>
                </w:p>
              </w:tc>
              <w:tc>
                <w:tcPr>
                  <w:tcW w:w="1315" w:type="dxa"/>
                  <w:noWrap/>
                </w:tcPr>
                <w:p w14:paraId="29E49E03"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49,759 </w:t>
                  </w:r>
                </w:p>
              </w:tc>
              <w:tc>
                <w:tcPr>
                  <w:tcW w:w="1593" w:type="dxa"/>
                  <w:noWrap/>
                </w:tcPr>
                <w:p w14:paraId="428EB16E"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49,759 </w:t>
                  </w:r>
                </w:p>
              </w:tc>
            </w:tr>
            <w:tr w:rsidR="00EF1B7B" w:rsidRPr="00090F38" w14:paraId="0EC0785E" w14:textId="77777777" w:rsidTr="00A02664">
              <w:trPr>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7A0A79ED" w14:textId="77777777" w:rsidR="00EF1B7B" w:rsidRPr="000151BA" w:rsidRDefault="00EF1B7B" w:rsidP="00F65774">
                  <w:pPr>
                    <w:rPr>
                      <w:sz w:val="20"/>
                      <w:szCs w:val="20"/>
                    </w:rPr>
                  </w:pPr>
                  <w:r w:rsidRPr="000151BA">
                    <w:rPr>
                      <w:sz w:val="20"/>
                      <w:szCs w:val="20"/>
                    </w:rPr>
                    <w:lastRenderedPageBreak/>
                    <w:t>TF015304</w:t>
                  </w:r>
                </w:p>
              </w:tc>
              <w:tc>
                <w:tcPr>
                  <w:tcW w:w="3762" w:type="dxa"/>
                </w:tcPr>
                <w:p w14:paraId="7EF46644"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Building Capacities on Environmental Assessment</w:t>
                  </w:r>
                </w:p>
              </w:tc>
              <w:tc>
                <w:tcPr>
                  <w:tcW w:w="1315" w:type="dxa"/>
                  <w:noWrap/>
                </w:tcPr>
                <w:p w14:paraId="01043193"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338,181 </w:t>
                  </w:r>
                </w:p>
              </w:tc>
              <w:tc>
                <w:tcPr>
                  <w:tcW w:w="1593" w:type="dxa"/>
                  <w:noWrap/>
                </w:tcPr>
                <w:p w14:paraId="18EE730D"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338,181 </w:t>
                  </w:r>
                </w:p>
              </w:tc>
            </w:tr>
            <w:tr w:rsidR="00EF1B7B" w:rsidRPr="00090F38" w14:paraId="1E529563" w14:textId="77777777" w:rsidTr="00A0266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38" w:type="dxa"/>
                  <w:noWrap/>
                </w:tcPr>
                <w:p w14:paraId="08D6676F" w14:textId="77777777" w:rsidR="00EF1B7B" w:rsidRPr="000151BA" w:rsidRDefault="00EF1B7B" w:rsidP="00F65774">
                  <w:pPr>
                    <w:rPr>
                      <w:sz w:val="20"/>
                      <w:szCs w:val="20"/>
                    </w:rPr>
                  </w:pPr>
                  <w:r w:rsidRPr="000151BA">
                    <w:rPr>
                      <w:sz w:val="20"/>
                      <w:szCs w:val="20"/>
                    </w:rPr>
                    <w:t>TF014419</w:t>
                  </w:r>
                </w:p>
              </w:tc>
              <w:tc>
                <w:tcPr>
                  <w:tcW w:w="3762" w:type="dxa"/>
                </w:tcPr>
                <w:p w14:paraId="244ACEC7"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Framing Responses to State Fragility: Strengthening Institutions and Service Delivery Systems-Lessons from South Asia Region</w:t>
                  </w:r>
                </w:p>
              </w:tc>
              <w:tc>
                <w:tcPr>
                  <w:tcW w:w="1315" w:type="dxa"/>
                  <w:noWrap/>
                </w:tcPr>
                <w:p w14:paraId="64EB6206"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496,835 </w:t>
                  </w:r>
                </w:p>
              </w:tc>
              <w:tc>
                <w:tcPr>
                  <w:tcW w:w="1593" w:type="dxa"/>
                  <w:noWrap/>
                </w:tcPr>
                <w:p w14:paraId="351C6B71"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496,835 </w:t>
                  </w:r>
                </w:p>
              </w:tc>
            </w:tr>
            <w:tr w:rsidR="00EF1B7B" w:rsidRPr="00090F38" w14:paraId="497D2510" w14:textId="77777777" w:rsidTr="00A02664">
              <w:trPr>
                <w:trHeight w:val="400"/>
              </w:trPr>
              <w:tc>
                <w:tcPr>
                  <w:cnfStyle w:val="001000000000" w:firstRow="0" w:lastRow="0" w:firstColumn="1" w:lastColumn="0" w:oddVBand="0" w:evenVBand="0" w:oddHBand="0" w:evenHBand="0" w:firstRowFirstColumn="0" w:firstRowLastColumn="0" w:lastRowFirstColumn="0" w:lastRowLastColumn="0"/>
                  <w:tcW w:w="1838" w:type="dxa"/>
                  <w:noWrap/>
                </w:tcPr>
                <w:p w14:paraId="6139A771" w14:textId="77777777" w:rsidR="00EF1B7B" w:rsidRPr="000151BA" w:rsidRDefault="00EF1B7B" w:rsidP="00F65774">
                  <w:pPr>
                    <w:rPr>
                      <w:sz w:val="20"/>
                      <w:szCs w:val="20"/>
                    </w:rPr>
                  </w:pPr>
                  <w:r w:rsidRPr="000151BA">
                    <w:rPr>
                      <w:sz w:val="20"/>
                      <w:szCs w:val="20"/>
                    </w:rPr>
                    <w:t>TF015724</w:t>
                  </w:r>
                </w:p>
              </w:tc>
              <w:tc>
                <w:tcPr>
                  <w:tcW w:w="3762" w:type="dxa"/>
                </w:tcPr>
                <w:p w14:paraId="7BD987E4"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GHG Accounting and Greening of SAR Infrastructure Projects: Energy Sector</w:t>
                  </w:r>
                </w:p>
              </w:tc>
              <w:tc>
                <w:tcPr>
                  <w:tcW w:w="1315" w:type="dxa"/>
                  <w:noWrap/>
                </w:tcPr>
                <w:p w14:paraId="633F40F8"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98,776 </w:t>
                  </w:r>
                </w:p>
              </w:tc>
              <w:tc>
                <w:tcPr>
                  <w:tcW w:w="1593" w:type="dxa"/>
                  <w:noWrap/>
                </w:tcPr>
                <w:p w14:paraId="0CAC4FC6"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98,776 </w:t>
                  </w:r>
                </w:p>
              </w:tc>
            </w:tr>
            <w:tr w:rsidR="00EF1B7B" w:rsidRPr="00090F38" w14:paraId="15D172FE" w14:textId="77777777" w:rsidTr="00A0266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38" w:type="dxa"/>
                  <w:noWrap/>
                </w:tcPr>
                <w:p w14:paraId="6103B140" w14:textId="77777777" w:rsidR="00EF1B7B" w:rsidRPr="000151BA" w:rsidRDefault="00EF1B7B" w:rsidP="00F65774">
                  <w:pPr>
                    <w:rPr>
                      <w:sz w:val="20"/>
                      <w:szCs w:val="20"/>
                    </w:rPr>
                  </w:pPr>
                  <w:r w:rsidRPr="000151BA">
                    <w:rPr>
                      <w:sz w:val="20"/>
                      <w:szCs w:val="20"/>
                    </w:rPr>
                    <w:t>TF016165</w:t>
                  </w:r>
                </w:p>
              </w:tc>
              <w:tc>
                <w:tcPr>
                  <w:tcW w:w="3762" w:type="dxa"/>
                </w:tcPr>
                <w:p w14:paraId="65B3C74E"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Building a Resilient South Asia</w:t>
                  </w:r>
                </w:p>
              </w:tc>
              <w:tc>
                <w:tcPr>
                  <w:tcW w:w="1315" w:type="dxa"/>
                  <w:noWrap/>
                </w:tcPr>
                <w:p w14:paraId="3CF1DA1F"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298,011 </w:t>
                  </w:r>
                </w:p>
              </w:tc>
              <w:tc>
                <w:tcPr>
                  <w:tcW w:w="1593" w:type="dxa"/>
                  <w:noWrap/>
                </w:tcPr>
                <w:p w14:paraId="2549A87C"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298,011 </w:t>
                  </w:r>
                </w:p>
              </w:tc>
            </w:tr>
            <w:tr w:rsidR="00EF1B7B" w:rsidRPr="00090F38" w14:paraId="201A2206" w14:textId="77777777" w:rsidTr="00A02664">
              <w:trPr>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1F353ADD" w14:textId="77777777" w:rsidR="00EF1B7B" w:rsidRPr="000151BA" w:rsidRDefault="00EF1B7B" w:rsidP="00F65774">
                  <w:pPr>
                    <w:rPr>
                      <w:sz w:val="20"/>
                      <w:szCs w:val="20"/>
                    </w:rPr>
                  </w:pPr>
                  <w:r w:rsidRPr="000151BA">
                    <w:rPr>
                      <w:sz w:val="20"/>
                      <w:szCs w:val="20"/>
                    </w:rPr>
                    <w:t>TF017158</w:t>
                  </w:r>
                </w:p>
              </w:tc>
              <w:tc>
                <w:tcPr>
                  <w:tcW w:w="3762" w:type="dxa"/>
                </w:tcPr>
                <w:p w14:paraId="581FF9CA"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Computer Assisted Personal Interviewing for the South Asia Region</w:t>
                  </w:r>
                </w:p>
              </w:tc>
              <w:tc>
                <w:tcPr>
                  <w:tcW w:w="1315" w:type="dxa"/>
                  <w:noWrap/>
                </w:tcPr>
                <w:p w14:paraId="5DBE9B7D"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296,700 </w:t>
                  </w:r>
                </w:p>
              </w:tc>
              <w:tc>
                <w:tcPr>
                  <w:tcW w:w="1593" w:type="dxa"/>
                  <w:noWrap/>
                </w:tcPr>
                <w:p w14:paraId="745FF3D5"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296,700 </w:t>
                  </w:r>
                </w:p>
              </w:tc>
            </w:tr>
            <w:tr w:rsidR="00EF1B7B" w:rsidRPr="00090F38" w14:paraId="1602215D"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25980C89" w14:textId="77777777" w:rsidR="00EF1B7B" w:rsidRPr="000151BA" w:rsidRDefault="00EF1B7B" w:rsidP="00F65774">
                  <w:pPr>
                    <w:rPr>
                      <w:sz w:val="20"/>
                      <w:szCs w:val="20"/>
                    </w:rPr>
                  </w:pPr>
                  <w:r w:rsidRPr="000151BA">
                    <w:rPr>
                      <w:sz w:val="20"/>
                      <w:szCs w:val="20"/>
                    </w:rPr>
                    <w:t>TF016426</w:t>
                  </w:r>
                </w:p>
              </w:tc>
              <w:tc>
                <w:tcPr>
                  <w:tcW w:w="3762" w:type="dxa"/>
                </w:tcPr>
                <w:p w14:paraId="55259AC4"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South Asia Regional Facility for Women’s Economic Empowerment and Integration</w:t>
                  </w:r>
                </w:p>
              </w:tc>
              <w:tc>
                <w:tcPr>
                  <w:tcW w:w="1315" w:type="dxa"/>
                  <w:noWrap/>
                </w:tcPr>
                <w:p w14:paraId="1EAF377C"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384,338 </w:t>
                  </w:r>
                </w:p>
              </w:tc>
              <w:tc>
                <w:tcPr>
                  <w:tcW w:w="1593" w:type="dxa"/>
                  <w:noWrap/>
                </w:tcPr>
                <w:p w14:paraId="42F04133"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384,338 </w:t>
                  </w:r>
                </w:p>
              </w:tc>
            </w:tr>
            <w:tr w:rsidR="00EF1B7B" w:rsidRPr="00090F38" w14:paraId="4F87A56F" w14:textId="77777777" w:rsidTr="00A02664">
              <w:trPr>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6AC6AC79" w14:textId="77777777" w:rsidR="00EF1B7B" w:rsidRPr="000151BA" w:rsidRDefault="00EF1B7B" w:rsidP="00F65774">
                  <w:pPr>
                    <w:rPr>
                      <w:sz w:val="20"/>
                      <w:szCs w:val="20"/>
                    </w:rPr>
                  </w:pPr>
                  <w:r w:rsidRPr="000151BA">
                    <w:rPr>
                      <w:sz w:val="20"/>
                      <w:szCs w:val="20"/>
                    </w:rPr>
                    <w:t>TF017707</w:t>
                  </w:r>
                </w:p>
              </w:tc>
              <w:tc>
                <w:tcPr>
                  <w:tcW w:w="3762" w:type="dxa"/>
                </w:tcPr>
                <w:p w14:paraId="62D386EE"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Creating GBV Community Networks</w:t>
                  </w:r>
                </w:p>
              </w:tc>
              <w:tc>
                <w:tcPr>
                  <w:tcW w:w="1315" w:type="dxa"/>
                  <w:noWrap/>
                </w:tcPr>
                <w:p w14:paraId="67EC44BB"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598,836 </w:t>
                  </w:r>
                </w:p>
              </w:tc>
              <w:tc>
                <w:tcPr>
                  <w:tcW w:w="1593" w:type="dxa"/>
                  <w:noWrap/>
                </w:tcPr>
                <w:p w14:paraId="6E15A5D4"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598,836 </w:t>
                  </w:r>
                </w:p>
              </w:tc>
            </w:tr>
            <w:tr w:rsidR="00EF1B7B" w:rsidRPr="00090F38" w14:paraId="6707132C"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21E27110" w14:textId="77777777" w:rsidR="00EF1B7B" w:rsidRPr="000151BA" w:rsidRDefault="00EF1B7B" w:rsidP="00F65774">
                  <w:pPr>
                    <w:rPr>
                      <w:sz w:val="20"/>
                      <w:szCs w:val="20"/>
                    </w:rPr>
                  </w:pPr>
                  <w:r w:rsidRPr="000151BA">
                    <w:rPr>
                      <w:sz w:val="20"/>
                      <w:szCs w:val="20"/>
                    </w:rPr>
                    <w:t>TF015303</w:t>
                  </w:r>
                </w:p>
              </w:tc>
              <w:tc>
                <w:tcPr>
                  <w:tcW w:w="3762" w:type="dxa"/>
                </w:tcPr>
                <w:p w14:paraId="07182F35"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Mitigation Options for Short-Lived Climate Pollutants in South Asia</w:t>
                  </w:r>
                </w:p>
              </w:tc>
              <w:tc>
                <w:tcPr>
                  <w:tcW w:w="1315" w:type="dxa"/>
                  <w:noWrap/>
                </w:tcPr>
                <w:p w14:paraId="45D7C72A"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399,871 </w:t>
                  </w:r>
                </w:p>
              </w:tc>
              <w:tc>
                <w:tcPr>
                  <w:tcW w:w="1593" w:type="dxa"/>
                  <w:noWrap/>
                </w:tcPr>
                <w:p w14:paraId="020077F8"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399,871 </w:t>
                  </w:r>
                </w:p>
              </w:tc>
            </w:tr>
            <w:tr w:rsidR="00EF1B7B" w:rsidRPr="00090F38" w14:paraId="51F64927" w14:textId="77777777" w:rsidTr="00A02664">
              <w:trPr>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15777407" w14:textId="77777777" w:rsidR="00EF1B7B" w:rsidRPr="000151BA" w:rsidRDefault="00EF1B7B" w:rsidP="00F65774">
                  <w:pPr>
                    <w:rPr>
                      <w:sz w:val="20"/>
                      <w:szCs w:val="20"/>
                    </w:rPr>
                  </w:pPr>
                  <w:r w:rsidRPr="000151BA">
                    <w:rPr>
                      <w:sz w:val="20"/>
                      <w:szCs w:val="20"/>
                    </w:rPr>
                    <w:t>TF015302</w:t>
                  </w:r>
                </w:p>
              </w:tc>
              <w:tc>
                <w:tcPr>
                  <w:tcW w:w="3762" w:type="dxa"/>
                </w:tcPr>
                <w:p w14:paraId="22AAF062"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SRI LANKA STRATEGIC LOW CARBON CITIES CONNECTION AND INTEGRATION PROJECT</w:t>
                  </w:r>
                </w:p>
              </w:tc>
              <w:tc>
                <w:tcPr>
                  <w:tcW w:w="1315" w:type="dxa"/>
                  <w:noWrap/>
                </w:tcPr>
                <w:p w14:paraId="12D4B027"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298,644 </w:t>
                  </w:r>
                </w:p>
              </w:tc>
              <w:tc>
                <w:tcPr>
                  <w:tcW w:w="1593" w:type="dxa"/>
                  <w:noWrap/>
                </w:tcPr>
                <w:p w14:paraId="047685C3"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298,644 </w:t>
                  </w:r>
                </w:p>
              </w:tc>
            </w:tr>
            <w:tr w:rsidR="00EF1B7B" w:rsidRPr="00090F38" w14:paraId="6ECBEA19"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706149A9" w14:textId="77777777" w:rsidR="00EF1B7B" w:rsidRPr="000151BA" w:rsidRDefault="00EF1B7B" w:rsidP="00F65774">
                  <w:pPr>
                    <w:rPr>
                      <w:sz w:val="20"/>
                      <w:szCs w:val="20"/>
                    </w:rPr>
                  </w:pPr>
                  <w:r w:rsidRPr="000151BA">
                    <w:rPr>
                      <w:sz w:val="20"/>
                      <w:szCs w:val="20"/>
                    </w:rPr>
                    <w:t>TF018828</w:t>
                  </w:r>
                </w:p>
              </w:tc>
              <w:tc>
                <w:tcPr>
                  <w:tcW w:w="3762" w:type="dxa"/>
                </w:tcPr>
                <w:p w14:paraId="5F53D932"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Energy Sector Program of AAA</w:t>
                  </w:r>
                </w:p>
              </w:tc>
              <w:tc>
                <w:tcPr>
                  <w:tcW w:w="1315" w:type="dxa"/>
                  <w:noWrap/>
                </w:tcPr>
                <w:p w14:paraId="2EC0364C"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199,987 </w:t>
                  </w:r>
                </w:p>
              </w:tc>
              <w:tc>
                <w:tcPr>
                  <w:tcW w:w="1593" w:type="dxa"/>
                  <w:noWrap/>
                </w:tcPr>
                <w:p w14:paraId="1EEFC100"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199,987 </w:t>
                  </w:r>
                </w:p>
              </w:tc>
            </w:tr>
            <w:tr w:rsidR="00EF1B7B" w:rsidRPr="00090F38" w14:paraId="02AEEFF5" w14:textId="77777777" w:rsidTr="00A02664">
              <w:trPr>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1FE0BDC4" w14:textId="77777777" w:rsidR="00EF1B7B" w:rsidRPr="000151BA" w:rsidRDefault="00EF1B7B" w:rsidP="00F65774">
                  <w:pPr>
                    <w:rPr>
                      <w:sz w:val="20"/>
                      <w:szCs w:val="20"/>
                    </w:rPr>
                  </w:pPr>
                  <w:r w:rsidRPr="000151BA">
                    <w:rPr>
                      <w:sz w:val="20"/>
                      <w:szCs w:val="20"/>
                    </w:rPr>
                    <w:t>TF019263</w:t>
                  </w:r>
                </w:p>
              </w:tc>
              <w:tc>
                <w:tcPr>
                  <w:tcW w:w="3762" w:type="dxa"/>
                </w:tcPr>
                <w:p w14:paraId="0BDCC546"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Bhutan Infrastructure Gaps Mapping for Inclusive Growth</w:t>
                  </w:r>
                </w:p>
              </w:tc>
              <w:tc>
                <w:tcPr>
                  <w:tcW w:w="1315" w:type="dxa"/>
                  <w:noWrap/>
                </w:tcPr>
                <w:p w14:paraId="2F88C355"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195,430 </w:t>
                  </w:r>
                </w:p>
              </w:tc>
              <w:tc>
                <w:tcPr>
                  <w:tcW w:w="1593" w:type="dxa"/>
                  <w:noWrap/>
                </w:tcPr>
                <w:p w14:paraId="2CBA507F"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195,430 </w:t>
                  </w:r>
                </w:p>
              </w:tc>
            </w:tr>
            <w:tr w:rsidR="00EF1B7B" w:rsidRPr="00090F38" w14:paraId="52CF9E39"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0C3838FD" w14:textId="77777777" w:rsidR="00EF1B7B" w:rsidRPr="000151BA" w:rsidRDefault="00EF1B7B" w:rsidP="00F65774">
                  <w:pPr>
                    <w:rPr>
                      <w:sz w:val="20"/>
                      <w:szCs w:val="20"/>
                    </w:rPr>
                  </w:pPr>
                  <w:r w:rsidRPr="000151BA">
                    <w:rPr>
                      <w:sz w:val="20"/>
                      <w:szCs w:val="20"/>
                    </w:rPr>
                    <w:t>TF0A0224</w:t>
                  </w:r>
                </w:p>
              </w:tc>
              <w:tc>
                <w:tcPr>
                  <w:tcW w:w="3762" w:type="dxa"/>
                </w:tcPr>
                <w:p w14:paraId="63EEF11E"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Support to National Rurban Mission</w:t>
                  </w:r>
                </w:p>
              </w:tc>
              <w:tc>
                <w:tcPr>
                  <w:tcW w:w="1315" w:type="dxa"/>
                  <w:noWrap/>
                </w:tcPr>
                <w:p w14:paraId="60A4E700"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546,672 </w:t>
                  </w:r>
                </w:p>
              </w:tc>
              <w:tc>
                <w:tcPr>
                  <w:tcW w:w="1593" w:type="dxa"/>
                  <w:noWrap/>
                </w:tcPr>
                <w:p w14:paraId="313ED71F"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546,672 </w:t>
                  </w:r>
                </w:p>
              </w:tc>
            </w:tr>
            <w:tr w:rsidR="00EF1B7B" w:rsidRPr="00090F38" w14:paraId="65CF8F39" w14:textId="77777777" w:rsidTr="00A02664">
              <w:trPr>
                <w:trHeight w:val="412"/>
              </w:trPr>
              <w:tc>
                <w:tcPr>
                  <w:cnfStyle w:val="001000000000" w:firstRow="0" w:lastRow="0" w:firstColumn="1" w:lastColumn="0" w:oddVBand="0" w:evenVBand="0" w:oddHBand="0" w:evenHBand="0" w:firstRowFirstColumn="0" w:firstRowLastColumn="0" w:lastRowFirstColumn="0" w:lastRowLastColumn="0"/>
                  <w:tcW w:w="1838" w:type="dxa"/>
                  <w:noWrap/>
                </w:tcPr>
                <w:p w14:paraId="01F5C202" w14:textId="77777777" w:rsidR="00EF1B7B" w:rsidRPr="000151BA" w:rsidRDefault="00EF1B7B" w:rsidP="00F65774">
                  <w:pPr>
                    <w:rPr>
                      <w:sz w:val="20"/>
                      <w:szCs w:val="20"/>
                    </w:rPr>
                  </w:pPr>
                  <w:r w:rsidRPr="000151BA">
                    <w:rPr>
                      <w:sz w:val="20"/>
                      <w:szCs w:val="20"/>
                    </w:rPr>
                    <w:t>TF013800</w:t>
                  </w:r>
                </w:p>
              </w:tc>
              <w:tc>
                <w:tcPr>
                  <w:tcW w:w="3762" w:type="dxa"/>
                </w:tcPr>
                <w:p w14:paraId="4C207D46"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Sustainable Development of Transmission and Distribution Sector in North Eastern Region of India</w:t>
                  </w:r>
                </w:p>
              </w:tc>
              <w:tc>
                <w:tcPr>
                  <w:tcW w:w="1315" w:type="dxa"/>
                  <w:noWrap/>
                </w:tcPr>
                <w:p w14:paraId="1572C944"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653,122 </w:t>
                  </w:r>
                </w:p>
              </w:tc>
              <w:tc>
                <w:tcPr>
                  <w:tcW w:w="1593" w:type="dxa"/>
                  <w:noWrap/>
                </w:tcPr>
                <w:p w14:paraId="6F9FF038"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653,122 </w:t>
                  </w:r>
                </w:p>
              </w:tc>
            </w:tr>
            <w:tr w:rsidR="00EF1B7B" w:rsidRPr="00090F38" w14:paraId="7E6AC7C1"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66B679B6" w14:textId="77777777" w:rsidR="00EF1B7B" w:rsidRPr="000151BA" w:rsidRDefault="00EF1B7B" w:rsidP="00F65774">
                  <w:pPr>
                    <w:rPr>
                      <w:sz w:val="20"/>
                      <w:szCs w:val="20"/>
                    </w:rPr>
                  </w:pPr>
                  <w:r w:rsidRPr="000151BA">
                    <w:rPr>
                      <w:sz w:val="20"/>
                      <w:szCs w:val="20"/>
                    </w:rPr>
                    <w:t>TF015456</w:t>
                  </w:r>
                </w:p>
              </w:tc>
              <w:tc>
                <w:tcPr>
                  <w:tcW w:w="3762" w:type="dxa"/>
                </w:tcPr>
                <w:p w14:paraId="01682C90"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Optimizing Resource Efficiency in Road Sector in India</w:t>
                  </w:r>
                </w:p>
              </w:tc>
              <w:tc>
                <w:tcPr>
                  <w:tcW w:w="1315" w:type="dxa"/>
                  <w:noWrap/>
                </w:tcPr>
                <w:p w14:paraId="148243F1"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349,249 </w:t>
                  </w:r>
                </w:p>
              </w:tc>
              <w:tc>
                <w:tcPr>
                  <w:tcW w:w="1593" w:type="dxa"/>
                  <w:noWrap/>
                </w:tcPr>
                <w:p w14:paraId="64752DCC"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349,249 </w:t>
                  </w:r>
                </w:p>
              </w:tc>
            </w:tr>
            <w:tr w:rsidR="00EF1B7B" w:rsidRPr="00090F38" w14:paraId="03E4970E" w14:textId="77777777" w:rsidTr="00A02664">
              <w:trPr>
                <w:trHeight w:val="383"/>
              </w:trPr>
              <w:tc>
                <w:tcPr>
                  <w:cnfStyle w:val="001000000000" w:firstRow="0" w:lastRow="0" w:firstColumn="1" w:lastColumn="0" w:oddVBand="0" w:evenVBand="0" w:oddHBand="0" w:evenHBand="0" w:firstRowFirstColumn="0" w:firstRowLastColumn="0" w:lastRowFirstColumn="0" w:lastRowLastColumn="0"/>
                  <w:tcW w:w="1838" w:type="dxa"/>
                  <w:noWrap/>
                </w:tcPr>
                <w:p w14:paraId="617E3B23" w14:textId="77777777" w:rsidR="00EF1B7B" w:rsidRPr="000151BA" w:rsidRDefault="00EF1B7B" w:rsidP="00F65774">
                  <w:pPr>
                    <w:rPr>
                      <w:sz w:val="20"/>
                      <w:szCs w:val="20"/>
                    </w:rPr>
                  </w:pPr>
                  <w:r w:rsidRPr="000151BA">
                    <w:rPr>
                      <w:sz w:val="20"/>
                      <w:szCs w:val="20"/>
                    </w:rPr>
                    <w:t>TF017890</w:t>
                  </w:r>
                </w:p>
              </w:tc>
              <w:tc>
                <w:tcPr>
                  <w:tcW w:w="3762" w:type="dxa"/>
                </w:tcPr>
                <w:p w14:paraId="42AF89A7"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Strengthening institutional development in World Bank-funded Transport Projects in India </w:t>
                  </w:r>
                </w:p>
              </w:tc>
              <w:tc>
                <w:tcPr>
                  <w:tcW w:w="1315" w:type="dxa"/>
                  <w:noWrap/>
                </w:tcPr>
                <w:p w14:paraId="6340A0A3"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182,524 </w:t>
                  </w:r>
                </w:p>
              </w:tc>
              <w:tc>
                <w:tcPr>
                  <w:tcW w:w="1593" w:type="dxa"/>
                  <w:noWrap/>
                </w:tcPr>
                <w:p w14:paraId="415F664E"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182,524 </w:t>
                  </w:r>
                </w:p>
              </w:tc>
            </w:tr>
            <w:tr w:rsidR="00EF1B7B" w:rsidRPr="00090F38" w14:paraId="51E2CAD9"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7383A9F5" w14:textId="77777777" w:rsidR="00EF1B7B" w:rsidRPr="000151BA" w:rsidRDefault="00EF1B7B" w:rsidP="00F65774">
                  <w:pPr>
                    <w:rPr>
                      <w:sz w:val="20"/>
                      <w:szCs w:val="20"/>
                    </w:rPr>
                  </w:pPr>
                  <w:r w:rsidRPr="000151BA">
                    <w:rPr>
                      <w:sz w:val="20"/>
                      <w:szCs w:val="20"/>
                    </w:rPr>
                    <w:t>TF0A0307</w:t>
                  </w:r>
                </w:p>
              </w:tc>
              <w:tc>
                <w:tcPr>
                  <w:tcW w:w="3762" w:type="dxa"/>
                </w:tcPr>
                <w:p w14:paraId="1D1C0CD9"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Technical Assistance on Modern Urban Bus Services in India</w:t>
                  </w:r>
                </w:p>
              </w:tc>
              <w:tc>
                <w:tcPr>
                  <w:tcW w:w="1315" w:type="dxa"/>
                  <w:noWrap/>
                </w:tcPr>
                <w:p w14:paraId="5825A996"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248,245 </w:t>
                  </w:r>
                </w:p>
              </w:tc>
              <w:tc>
                <w:tcPr>
                  <w:tcW w:w="1593" w:type="dxa"/>
                  <w:noWrap/>
                </w:tcPr>
                <w:p w14:paraId="37E7C7A5"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248,245 </w:t>
                  </w:r>
                </w:p>
              </w:tc>
            </w:tr>
            <w:tr w:rsidR="00EF1B7B" w:rsidRPr="00090F38" w14:paraId="41AD8F0C" w14:textId="77777777" w:rsidTr="00A02664">
              <w:trPr>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048CD2BC" w14:textId="77777777" w:rsidR="00EF1B7B" w:rsidRPr="000151BA" w:rsidRDefault="00EF1B7B" w:rsidP="00F65774">
                  <w:pPr>
                    <w:rPr>
                      <w:sz w:val="20"/>
                      <w:szCs w:val="20"/>
                    </w:rPr>
                  </w:pPr>
                  <w:r w:rsidRPr="000151BA">
                    <w:rPr>
                      <w:sz w:val="20"/>
                      <w:szCs w:val="20"/>
                    </w:rPr>
                    <w:t>TF0A0308</w:t>
                  </w:r>
                </w:p>
              </w:tc>
              <w:tc>
                <w:tcPr>
                  <w:tcW w:w="3762" w:type="dxa"/>
                </w:tcPr>
                <w:p w14:paraId="297D18FE"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Eastern Corridor Intermodal Transport and Logistics</w:t>
                  </w:r>
                </w:p>
              </w:tc>
              <w:tc>
                <w:tcPr>
                  <w:tcW w:w="1315" w:type="dxa"/>
                  <w:noWrap/>
                </w:tcPr>
                <w:p w14:paraId="3F347F92"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597,697 </w:t>
                  </w:r>
                </w:p>
              </w:tc>
              <w:tc>
                <w:tcPr>
                  <w:tcW w:w="1593" w:type="dxa"/>
                  <w:noWrap/>
                </w:tcPr>
                <w:p w14:paraId="5C0EDFD3"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597,697 </w:t>
                  </w:r>
                </w:p>
              </w:tc>
            </w:tr>
            <w:tr w:rsidR="00EF1B7B" w:rsidRPr="00090F38" w14:paraId="4F8E1E3D"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3A55A0B1" w14:textId="77777777" w:rsidR="00EF1B7B" w:rsidRPr="000151BA" w:rsidRDefault="00EF1B7B" w:rsidP="00F65774">
                  <w:pPr>
                    <w:rPr>
                      <w:sz w:val="20"/>
                      <w:szCs w:val="20"/>
                    </w:rPr>
                  </w:pPr>
                  <w:r w:rsidRPr="000151BA">
                    <w:rPr>
                      <w:sz w:val="20"/>
                      <w:szCs w:val="20"/>
                    </w:rPr>
                    <w:t>TF0A0777</w:t>
                  </w:r>
                </w:p>
              </w:tc>
              <w:tc>
                <w:tcPr>
                  <w:tcW w:w="3762" w:type="dxa"/>
                </w:tcPr>
                <w:p w14:paraId="02027E45"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Railways of India Development Fund</w:t>
                  </w:r>
                </w:p>
              </w:tc>
              <w:tc>
                <w:tcPr>
                  <w:tcW w:w="1315" w:type="dxa"/>
                  <w:noWrap/>
                </w:tcPr>
                <w:p w14:paraId="34B2D9FC"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695,878 </w:t>
                  </w:r>
                </w:p>
              </w:tc>
              <w:tc>
                <w:tcPr>
                  <w:tcW w:w="1593" w:type="dxa"/>
                  <w:noWrap/>
                </w:tcPr>
                <w:p w14:paraId="4C6165E0"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695,878 </w:t>
                  </w:r>
                </w:p>
              </w:tc>
            </w:tr>
            <w:tr w:rsidR="00EF1B7B" w:rsidRPr="00090F38" w14:paraId="27D26645" w14:textId="77777777" w:rsidTr="00A02664">
              <w:trPr>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1A2AD82A" w14:textId="77777777" w:rsidR="00EF1B7B" w:rsidRPr="000151BA" w:rsidRDefault="00EF1B7B" w:rsidP="00F65774">
                  <w:pPr>
                    <w:rPr>
                      <w:sz w:val="20"/>
                      <w:szCs w:val="20"/>
                    </w:rPr>
                  </w:pPr>
                  <w:r w:rsidRPr="000151BA">
                    <w:rPr>
                      <w:sz w:val="20"/>
                      <w:szCs w:val="20"/>
                    </w:rPr>
                    <w:t>TF017291</w:t>
                  </w:r>
                </w:p>
              </w:tc>
              <w:tc>
                <w:tcPr>
                  <w:tcW w:w="3762" w:type="dxa"/>
                </w:tcPr>
                <w:p w14:paraId="78B37A1A"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SUPPORT TO THE NATIONAL GANGA RIVER BASIN PROJECT</w:t>
                  </w:r>
                </w:p>
              </w:tc>
              <w:tc>
                <w:tcPr>
                  <w:tcW w:w="1315" w:type="dxa"/>
                  <w:noWrap/>
                </w:tcPr>
                <w:p w14:paraId="18603627"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371,870 </w:t>
                  </w:r>
                </w:p>
              </w:tc>
              <w:tc>
                <w:tcPr>
                  <w:tcW w:w="1593" w:type="dxa"/>
                  <w:noWrap/>
                </w:tcPr>
                <w:p w14:paraId="3E0A2FA3"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371,870 </w:t>
                  </w:r>
                </w:p>
              </w:tc>
            </w:tr>
            <w:tr w:rsidR="00EF1B7B" w:rsidRPr="00090F38" w14:paraId="11DC35DE"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4DAA27AD" w14:textId="77777777" w:rsidR="00EF1B7B" w:rsidRPr="000151BA" w:rsidRDefault="00EF1B7B" w:rsidP="00F65774">
                  <w:pPr>
                    <w:rPr>
                      <w:sz w:val="20"/>
                      <w:szCs w:val="20"/>
                    </w:rPr>
                  </w:pPr>
                  <w:r w:rsidRPr="000151BA">
                    <w:rPr>
                      <w:sz w:val="20"/>
                      <w:szCs w:val="20"/>
                    </w:rPr>
                    <w:t>TF0A1584</w:t>
                  </w:r>
                </w:p>
              </w:tc>
              <w:tc>
                <w:tcPr>
                  <w:tcW w:w="3762" w:type="dxa"/>
                </w:tcPr>
                <w:p w14:paraId="13C1040C"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Cost of Distortions in the Power Sector</w:t>
                  </w:r>
                </w:p>
              </w:tc>
              <w:tc>
                <w:tcPr>
                  <w:tcW w:w="1315" w:type="dxa"/>
                  <w:noWrap/>
                </w:tcPr>
                <w:p w14:paraId="6EC4FEEC"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300,000 </w:t>
                  </w:r>
                </w:p>
              </w:tc>
              <w:tc>
                <w:tcPr>
                  <w:tcW w:w="1593" w:type="dxa"/>
                  <w:noWrap/>
                </w:tcPr>
                <w:p w14:paraId="16749747"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296,549 </w:t>
                  </w:r>
                </w:p>
              </w:tc>
            </w:tr>
            <w:tr w:rsidR="00EF1B7B" w:rsidRPr="00090F38" w14:paraId="5E33B677" w14:textId="77777777" w:rsidTr="00A02664">
              <w:trPr>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480B4C88" w14:textId="77777777" w:rsidR="00EF1B7B" w:rsidRPr="000151BA" w:rsidRDefault="00EF1B7B" w:rsidP="00F65774">
                  <w:pPr>
                    <w:rPr>
                      <w:sz w:val="20"/>
                      <w:szCs w:val="20"/>
                    </w:rPr>
                  </w:pPr>
                  <w:r w:rsidRPr="000151BA">
                    <w:rPr>
                      <w:sz w:val="20"/>
                      <w:szCs w:val="20"/>
                    </w:rPr>
                    <w:lastRenderedPageBreak/>
                    <w:t>TF017642</w:t>
                  </w:r>
                </w:p>
              </w:tc>
              <w:tc>
                <w:tcPr>
                  <w:tcW w:w="3762" w:type="dxa"/>
                </w:tcPr>
                <w:p w14:paraId="7483D0CC"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Low Water – High Growth in South Asian Economies</w:t>
                  </w:r>
                </w:p>
              </w:tc>
              <w:tc>
                <w:tcPr>
                  <w:tcW w:w="1315" w:type="dxa"/>
                  <w:noWrap/>
                </w:tcPr>
                <w:p w14:paraId="7FEE28AD"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583,817 </w:t>
                  </w:r>
                </w:p>
              </w:tc>
              <w:tc>
                <w:tcPr>
                  <w:tcW w:w="1593" w:type="dxa"/>
                  <w:noWrap/>
                </w:tcPr>
                <w:p w14:paraId="6E9B7DBD"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583,817 </w:t>
                  </w:r>
                </w:p>
              </w:tc>
            </w:tr>
            <w:tr w:rsidR="00EF1B7B" w:rsidRPr="00090F38" w14:paraId="0A08BEAA"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00EBE859" w14:textId="77777777" w:rsidR="00EF1B7B" w:rsidRPr="000151BA" w:rsidRDefault="00EF1B7B" w:rsidP="00F65774">
                  <w:pPr>
                    <w:rPr>
                      <w:sz w:val="20"/>
                      <w:szCs w:val="20"/>
                    </w:rPr>
                  </w:pPr>
                  <w:r w:rsidRPr="000151BA">
                    <w:rPr>
                      <w:sz w:val="20"/>
                      <w:szCs w:val="20"/>
                    </w:rPr>
                    <w:t>TF0A0161</w:t>
                  </w:r>
                </w:p>
              </w:tc>
              <w:tc>
                <w:tcPr>
                  <w:tcW w:w="3762" w:type="dxa"/>
                </w:tcPr>
                <w:p w14:paraId="753D4E22"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Spatial Data for South Asia: setting up a spatial database for infrastructure development</w:t>
                  </w:r>
                </w:p>
              </w:tc>
              <w:tc>
                <w:tcPr>
                  <w:tcW w:w="1315" w:type="dxa"/>
                  <w:noWrap/>
                </w:tcPr>
                <w:p w14:paraId="4BEB6A35"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345,000 </w:t>
                  </w:r>
                </w:p>
              </w:tc>
              <w:tc>
                <w:tcPr>
                  <w:tcW w:w="1593" w:type="dxa"/>
                  <w:noWrap/>
                </w:tcPr>
                <w:p w14:paraId="21566260"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317,282 </w:t>
                  </w:r>
                </w:p>
              </w:tc>
            </w:tr>
            <w:tr w:rsidR="00EF1B7B" w:rsidRPr="00090F38" w14:paraId="44613B75" w14:textId="77777777" w:rsidTr="00A02664">
              <w:trPr>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0C8745AB" w14:textId="77777777" w:rsidR="00EF1B7B" w:rsidRPr="000151BA" w:rsidRDefault="00EF1B7B" w:rsidP="00F65774">
                  <w:pPr>
                    <w:rPr>
                      <w:sz w:val="20"/>
                      <w:szCs w:val="20"/>
                    </w:rPr>
                  </w:pPr>
                  <w:r w:rsidRPr="000151BA">
                    <w:rPr>
                      <w:sz w:val="20"/>
                      <w:szCs w:val="20"/>
                    </w:rPr>
                    <w:t>TF015545</w:t>
                  </w:r>
                </w:p>
              </w:tc>
              <w:tc>
                <w:tcPr>
                  <w:tcW w:w="3762" w:type="dxa"/>
                </w:tcPr>
                <w:p w14:paraId="3C8876A8"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Trade, Logistics and Competitiveness in the Port sector in South Asia</w:t>
                  </w:r>
                </w:p>
              </w:tc>
              <w:tc>
                <w:tcPr>
                  <w:tcW w:w="1315" w:type="dxa"/>
                  <w:noWrap/>
                </w:tcPr>
                <w:p w14:paraId="5A3CD416"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339,663 </w:t>
                  </w:r>
                </w:p>
              </w:tc>
              <w:tc>
                <w:tcPr>
                  <w:tcW w:w="1593" w:type="dxa"/>
                  <w:noWrap/>
                </w:tcPr>
                <w:p w14:paraId="6AA12DA6"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339,663 </w:t>
                  </w:r>
                </w:p>
              </w:tc>
            </w:tr>
            <w:tr w:rsidR="00EF1B7B" w:rsidRPr="00090F38" w14:paraId="045E35BE"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6132BE89" w14:textId="77777777" w:rsidR="00EF1B7B" w:rsidRPr="000151BA" w:rsidRDefault="00EF1B7B" w:rsidP="00F65774">
                  <w:pPr>
                    <w:rPr>
                      <w:sz w:val="20"/>
                      <w:szCs w:val="20"/>
                    </w:rPr>
                  </w:pPr>
                  <w:r w:rsidRPr="000151BA">
                    <w:rPr>
                      <w:sz w:val="20"/>
                      <w:szCs w:val="20"/>
                    </w:rPr>
                    <w:t>TF0A0123</w:t>
                  </w:r>
                </w:p>
              </w:tc>
              <w:tc>
                <w:tcPr>
                  <w:tcW w:w="3762" w:type="dxa"/>
                </w:tcPr>
                <w:p w14:paraId="72C46F19"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Chittagong Urban Transport Master Plan</w:t>
                  </w:r>
                </w:p>
              </w:tc>
              <w:tc>
                <w:tcPr>
                  <w:tcW w:w="1315" w:type="dxa"/>
                  <w:noWrap/>
                </w:tcPr>
                <w:p w14:paraId="74E71069"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300,000 </w:t>
                  </w:r>
                </w:p>
              </w:tc>
              <w:tc>
                <w:tcPr>
                  <w:tcW w:w="1593" w:type="dxa"/>
                  <w:noWrap/>
                </w:tcPr>
                <w:p w14:paraId="5F6D6F93"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129,677 </w:t>
                  </w:r>
                </w:p>
              </w:tc>
            </w:tr>
            <w:tr w:rsidR="00EF1B7B" w:rsidRPr="00090F38" w14:paraId="7F111487" w14:textId="77777777" w:rsidTr="00A02664">
              <w:trPr>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2D407D9C" w14:textId="77777777" w:rsidR="00EF1B7B" w:rsidRPr="000151BA" w:rsidRDefault="00EF1B7B" w:rsidP="00F65774">
                  <w:pPr>
                    <w:rPr>
                      <w:sz w:val="20"/>
                      <w:szCs w:val="20"/>
                    </w:rPr>
                  </w:pPr>
                  <w:r w:rsidRPr="000151BA">
                    <w:rPr>
                      <w:sz w:val="20"/>
                      <w:szCs w:val="20"/>
                    </w:rPr>
                    <w:t>TF0A0617</w:t>
                  </w:r>
                </w:p>
              </w:tc>
              <w:tc>
                <w:tcPr>
                  <w:tcW w:w="3762" w:type="dxa"/>
                </w:tcPr>
                <w:p w14:paraId="1E1F9D5F"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Bangladesh: Intermodal Freight Logistics</w:t>
                  </w:r>
                </w:p>
              </w:tc>
              <w:tc>
                <w:tcPr>
                  <w:tcW w:w="1315" w:type="dxa"/>
                  <w:noWrap/>
                </w:tcPr>
                <w:p w14:paraId="3DE4F4DE"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600,000 </w:t>
                  </w:r>
                </w:p>
              </w:tc>
              <w:tc>
                <w:tcPr>
                  <w:tcW w:w="1593" w:type="dxa"/>
                  <w:noWrap/>
                </w:tcPr>
                <w:p w14:paraId="1392BAB3"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194,528 </w:t>
                  </w:r>
                </w:p>
              </w:tc>
            </w:tr>
            <w:tr w:rsidR="00EF1B7B" w:rsidRPr="00090F38" w14:paraId="7CFCD697"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4D4D8564" w14:textId="77777777" w:rsidR="00EF1B7B" w:rsidRPr="000151BA" w:rsidRDefault="00EF1B7B" w:rsidP="00F65774">
                  <w:pPr>
                    <w:rPr>
                      <w:sz w:val="20"/>
                      <w:szCs w:val="20"/>
                    </w:rPr>
                  </w:pPr>
                  <w:r w:rsidRPr="000151BA">
                    <w:rPr>
                      <w:sz w:val="20"/>
                      <w:szCs w:val="20"/>
                    </w:rPr>
                    <w:t>TF0A3482</w:t>
                  </w:r>
                </w:p>
              </w:tc>
              <w:tc>
                <w:tcPr>
                  <w:tcW w:w="3762" w:type="dxa"/>
                </w:tcPr>
                <w:p w14:paraId="32031B08"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Bangladesh: Sanitation Improvement in Dhaka</w:t>
                  </w:r>
                </w:p>
              </w:tc>
              <w:tc>
                <w:tcPr>
                  <w:tcW w:w="1315" w:type="dxa"/>
                  <w:noWrap/>
                </w:tcPr>
                <w:p w14:paraId="3C30C33F"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100,000 </w:t>
                  </w:r>
                </w:p>
              </w:tc>
              <w:tc>
                <w:tcPr>
                  <w:tcW w:w="1593" w:type="dxa"/>
                  <w:noWrap/>
                </w:tcPr>
                <w:p w14:paraId="35BF0A59"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76,585 </w:t>
                  </w:r>
                </w:p>
              </w:tc>
            </w:tr>
            <w:tr w:rsidR="00EF1B7B" w:rsidRPr="00090F38" w14:paraId="7688936B" w14:textId="77777777" w:rsidTr="00A02664">
              <w:trPr>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0AC14C08" w14:textId="77777777" w:rsidR="00EF1B7B" w:rsidRPr="000151BA" w:rsidRDefault="00EF1B7B" w:rsidP="00F65774">
                  <w:pPr>
                    <w:rPr>
                      <w:sz w:val="20"/>
                      <w:szCs w:val="20"/>
                    </w:rPr>
                  </w:pPr>
                  <w:r w:rsidRPr="000151BA">
                    <w:rPr>
                      <w:sz w:val="20"/>
                      <w:szCs w:val="20"/>
                    </w:rPr>
                    <w:t>TF0A1681</w:t>
                  </w:r>
                </w:p>
              </w:tc>
              <w:tc>
                <w:tcPr>
                  <w:tcW w:w="3762" w:type="dxa"/>
                </w:tcPr>
                <w:p w14:paraId="348E750C"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Supporting Power Sector Reforms in Rajasthan under 24x7 Power for All Program</w:t>
                  </w:r>
                </w:p>
              </w:tc>
              <w:tc>
                <w:tcPr>
                  <w:tcW w:w="1315" w:type="dxa"/>
                  <w:noWrap/>
                </w:tcPr>
                <w:p w14:paraId="582D124B"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270,000 </w:t>
                  </w:r>
                </w:p>
              </w:tc>
              <w:tc>
                <w:tcPr>
                  <w:tcW w:w="1593" w:type="dxa"/>
                  <w:noWrap/>
                </w:tcPr>
                <w:p w14:paraId="5423A548"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246,237 </w:t>
                  </w:r>
                </w:p>
              </w:tc>
            </w:tr>
            <w:tr w:rsidR="00EF1B7B" w:rsidRPr="00090F38" w14:paraId="6CBA6622"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708C6F06" w14:textId="77777777" w:rsidR="00EF1B7B" w:rsidRPr="000151BA" w:rsidRDefault="00EF1B7B" w:rsidP="00F65774">
                  <w:pPr>
                    <w:rPr>
                      <w:sz w:val="20"/>
                      <w:szCs w:val="20"/>
                    </w:rPr>
                  </w:pPr>
                  <w:r w:rsidRPr="000151BA">
                    <w:rPr>
                      <w:sz w:val="20"/>
                      <w:szCs w:val="20"/>
                    </w:rPr>
                    <w:t>TF0A1339</w:t>
                  </w:r>
                </w:p>
              </w:tc>
              <w:tc>
                <w:tcPr>
                  <w:tcW w:w="3762" w:type="dxa"/>
                </w:tcPr>
                <w:p w14:paraId="568C1C75"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Urban Revitalization in India - Support to Heritage Cities Scheme</w:t>
                  </w:r>
                </w:p>
              </w:tc>
              <w:tc>
                <w:tcPr>
                  <w:tcW w:w="1315" w:type="dxa"/>
                  <w:noWrap/>
                </w:tcPr>
                <w:p w14:paraId="582CA844"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350,000 </w:t>
                  </w:r>
                </w:p>
              </w:tc>
              <w:tc>
                <w:tcPr>
                  <w:tcW w:w="1593" w:type="dxa"/>
                  <w:noWrap/>
                </w:tcPr>
                <w:p w14:paraId="44402AE5"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273,136 </w:t>
                  </w:r>
                </w:p>
              </w:tc>
            </w:tr>
            <w:tr w:rsidR="00EF1B7B" w:rsidRPr="00090F38" w14:paraId="134D5A6D" w14:textId="77777777" w:rsidTr="00A02664">
              <w:trPr>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45ED297A" w14:textId="77777777" w:rsidR="00EF1B7B" w:rsidRPr="000151BA" w:rsidRDefault="00EF1B7B" w:rsidP="00F65774">
                  <w:pPr>
                    <w:rPr>
                      <w:sz w:val="20"/>
                      <w:szCs w:val="20"/>
                    </w:rPr>
                  </w:pPr>
                  <w:r w:rsidRPr="000151BA">
                    <w:rPr>
                      <w:sz w:val="20"/>
                      <w:szCs w:val="20"/>
                    </w:rPr>
                    <w:t>TF0A1447</w:t>
                  </w:r>
                </w:p>
              </w:tc>
              <w:tc>
                <w:tcPr>
                  <w:tcW w:w="3762" w:type="dxa"/>
                </w:tcPr>
                <w:p w14:paraId="365D025D"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Impact Evaluation of PMGSY</w:t>
                  </w:r>
                </w:p>
              </w:tc>
              <w:tc>
                <w:tcPr>
                  <w:tcW w:w="1315" w:type="dxa"/>
                  <w:noWrap/>
                </w:tcPr>
                <w:p w14:paraId="293089D8"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350,000 </w:t>
                  </w:r>
                </w:p>
              </w:tc>
              <w:tc>
                <w:tcPr>
                  <w:tcW w:w="1593" w:type="dxa"/>
                  <w:noWrap/>
                </w:tcPr>
                <w:p w14:paraId="4624F810"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177,207 </w:t>
                  </w:r>
                </w:p>
              </w:tc>
            </w:tr>
            <w:tr w:rsidR="00EF1B7B" w:rsidRPr="00090F38" w14:paraId="799E6A25"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1992CE8F" w14:textId="77777777" w:rsidR="00EF1B7B" w:rsidRPr="000151BA" w:rsidRDefault="00EF1B7B" w:rsidP="00F65774">
                  <w:pPr>
                    <w:rPr>
                      <w:sz w:val="20"/>
                      <w:szCs w:val="20"/>
                    </w:rPr>
                  </w:pPr>
                  <w:r w:rsidRPr="000151BA">
                    <w:rPr>
                      <w:sz w:val="20"/>
                      <w:szCs w:val="20"/>
                    </w:rPr>
                    <w:t>TF0A2879</w:t>
                  </w:r>
                </w:p>
              </w:tc>
              <w:tc>
                <w:tcPr>
                  <w:tcW w:w="3762" w:type="dxa"/>
                </w:tcPr>
                <w:p w14:paraId="300AF7F3"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Support to Andhra Pradesh Sustainable Capital City Development Project</w:t>
                  </w:r>
                </w:p>
              </w:tc>
              <w:tc>
                <w:tcPr>
                  <w:tcW w:w="1315" w:type="dxa"/>
                  <w:noWrap/>
                </w:tcPr>
                <w:p w14:paraId="2FD7015E"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170,000 </w:t>
                  </w:r>
                </w:p>
              </w:tc>
              <w:tc>
                <w:tcPr>
                  <w:tcW w:w="1593" w:type="dxa"/>
                  <w:noWrap/>
                </w:tcPr>
                <w:p w14:paraId="665C2FB0"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164,004 </w:t>
                  </w:r>
                </w:p>
              </w:tc>
            </w:tr>
            <w:tr w:rsidR="00EF1B7B" w:rsidRPr="00090F38" w14:paraId="4EBC40F7" w14:textId="77777777" w:rsidTr="00A02664">
              <w:trPr>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4D5B0D45" w14:textId="77777777" w:rsidR="00EF1B7B" w:rsidRPr="000151BA" w:rsidRDefault="00EF1B7B" w:rsidP="00F65774">
                  <w:pPr>
                    <w:rPr>
                      <w:sz w:val="20"/>
                      <w:szCs w:val="20"/>
                    </w:rPr>
                  </w:pPr>
                  <w:r w:rsidRPr="000151BA">
                    <w:rPr>
                      <w:sz w:val="20"/>
                      <w:szCs w:val="20"/>
                    </w:rPr>
                    <w:t>TF0A1097</w:t>
                  </w:r>
                </w:p>
              </w:tc>
              <w:tc>
                <w:tcPr>
                  <w:tcW w:w="3762" w:type="dxa"/>
                </w:tcPr>
                <w:p w14:paraId="3918E569"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Nepal SNRTP - Market Infrastructure TA</w:t>
                  </w:r>
                </w:p>
              </w:tc>
              <w:tc>
                <w:tcPr>
                  <w:tcW w:w="1315" w:type="dxa"/>
                  <w:noWrap/>
                </w:tcPr>
                <w:p w14:paraId="0B25C2B7"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2,984 </w:t>
                  </w:r>
                </w:p>
              </w:tc>
              <w:tc>
                <w:tcPr>
                  <w:tcW w:w="1593" w:type="dxa"/>
                  <w:noWrap/>
                </w:tcPr>
                <w:p w14:paraId="42ABAA97"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2,984 </w:t>
                  </w:r>
                </w:p>
              </w:tc>
            </w:tr>
            <w:tr w:rsidR="00EF1B7B" w:rsidRPr="00090F38" w14:paraId="0FF6A356"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271522F7" w14:textId="77777777" w:rsidR="00EF1B7B" w:rsidRPr="000151BA" w:rsidRDefault="00EF1B7B" w:rsidP="00F65774">
                  <w:pPr>
                    <w:rPr>
                      <w:sz w:val="20"/>
                      <w:szCs w:val="20"/>
                    </w:rPr>
                  </w:pPr>
                  <w:r w:rsidRPr="000151BA">
                    <w:rPr>
                      <w:sz w:val="20"/>
                      <w:szCs w:val="20"/>
                    </w:rPr>
                    <w:t>TF0A0618</w:t>
                  </w:r>
                </w:p>
              </w:tc>
              <w:tc>
                <w:tcPr>
                  <w:tcW w:w="3762" w:type="dxa"/>
                </w:tcPr>
                <w:p w14:paraId="70EB3266"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Gross National Happiness operations tool</w:t>
                  </w:r>
                </w:p>
              </w:tc>
              <w:tc>
                <w:tcPr>
                  <w:tcW w:w="1315" w:type="dxa"/>
                  <w:noWrap/>
                </w:tcPr>
                <w:p w14:paraId="09F956A3"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130,000 </w:t>
                  </w:r>
                </w:p>
              </w:tc>
              <w:tc>
                <w:tcPr>
                  <w:tcW w:w="1593" w:type="dxa"/>
                  <w:noWrap/>
                </w:tcPr>
                <w:p w14:paraId="3D7D6E20"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100,000 </w:t>
                  </w:r>
                </w:p>
              </w:tc>
            </w:tr>
            <w:tr w:rsidR="00EF1B7B" w:rsidRPr="00090F38" w14:paraId="52AB9738" w14:textId="77777777" w:rsidTr="00A02664">
              <w:trPr>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03E4C854" w14:textId="77777777" w:rsidR="00EF1B7B" w:rsidRPr="000151BA" w:rsidRDefault="00EF1B7B" w:rsidP="00F65774">
                  <w:pPr>
                    <w:rPr>
                      <w:sz w:val="20"/>
                      <w:szCs w:val="20"/>
                    </w:rPr>
                  </w:pPr>
                  <w:r w:rsidRPr="000151BA">
                    <w:rPr>
                      <w:sz w:val="20"/>
                      <w:szCs w:val="20"/>
                    </w:rPr>
                    <w:t>TF0A2612</w:t>
                  </w:r>
                </w:p>
              </w:tc>
              <w:tc>
                <w:tcPr>
                  <w:tcW w:w="3762" w:type="dxa"/>
                </w:tcPr>
                <w:p w14:paraId="7AE5E6D3"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Evaluating Gender Gaps in Infrastructure</w:t>
                  </w:r>
                </w:p>
              </w:tc>
              <w:tc>
                <w:tcPr>
                  <w:tcW w:w="1315" w:type="dxa"/>
                  <w:noWrap/>
                </w:tcPr>
                <w:p w14:paraId="60D52237"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250,000 </w:t>
                  </w:r>
                </w:p>
              </w:tc>
              <w:tc>
                <w:tcPr>
                  <w:tcW w:w="1593" w:type="dxa"/>
                  <w:noWrap/>
                </w:tcPr>
                <w:p w14:paraId="6B8E71AB"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206,020 </w:t>
                  </w:r>
                </w:p>
              </w:tc>
            </w:tr>
            <w:tr w:rsidR="00EF1B7B" w:rsidRPr="00090F38" w14:paraId="6D274571"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1BD520FA" w14:textId="77777777" w:rsidR="00EF1B7B" w:rsidRPr="000151BA" w:rsidRDefault="00EF1B7B" w:rsidP="00F65774">
                  <w:pPr>
                    <w:rPr>
                      <w:sz w:val="20"/>
                      <w:szCs w:val="20"/>
                    </w:rPr>
                  </w:pPr>
                  <w:r w:rsidRPr="000151BA">
                    <w:rPr>
                      <w:sz w:val="20"/>
                      <w:szCs w:val="20"/>
                    </w:rPr>
                    <w:t>TF015457</w:t>
                  </w:r>
                </w:p>
              </w:tc>
              <w:tc>
                <w:tcPr>
                  <w:tcW w:w="3762" w:type="dxa"/>
                </w:tcPr>
                <w:p w14:paraId="5A5EE44B"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Assessment of PMGSY to improve its design and implementation</w:t>
                  </w:r>
                </w:p>
              </w:tc>
              <w:tc>
                <w:tcPr>
                  <w:tcW w:w="1315" w:type="dxa"/>
                  <w:noWrap/>
                </w:tcPr>
                <w:p w14:paraId="05690A69"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327,866 </w:t>
                  </w:r>
                </w:p>
              </w:tc>
              <w:tc>
                <w:tcPr>
                  <w:tcW w:w="1593" w:type="dxa"/>
                  <w:noWrap/>
                </w:tcPr>
                <w:p w14:paraId="29C1069C"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327,866 </w:t>
                  </w:r>
                </w:p>
              </w:tc>
            </w:tr>
            <w:tr w:rsidR="00EF1B7B" w:rsidRPr="00090F38" w14:paraId="53483A7A" w14:textId="77777777" w:rsidTr="00A02664">
              <w:trPr>
                <w:trHeight w:val="480"/>
              </w:trPr>
              <w:tc>
                <w:tcPr>
                  <w:cnfStyle w:val="001000000000" w:firstRow="0" w:lastRow="0" w:firstColumn="1" w:lastColumn="0" w:oddVBand="0" w:evenVBand="0" w:oddHBand="0" w:evenHBand="0" w:firstRowFirstColumn="0" w:firstRowLastColumn="0" w:lastRowFirstColumn="0" w:lastRowLastColumn="0"/>
                  <w:tcW w:w="1838" w:type="dxa"/>
                  <w:noWrap/>
                </w:tcPr>
                <w:p w14:paraId="169FF7CA" w14:textId="77777777" w:rsidR="00EF1B7B" w:rsidRPr="000151BA" w:rsidRDefault="00EF1B7B" w:rsidP="00F65774">
                  <w:pPr>
                    <w:rPr>
                      <w:sz w:val="20"/>
                      <w:szCs w:val="20"/>
                    </w:rPr>
                  </w:pPr>
                  <w:r w:rsidRPr="000151BA">
                    <w:rPr>
                      <w:sz w:val="20"/>
                      <w:szCs w:val="20"/>
                    </w:rPr>
                    <w:t>TF0A0727</w:t>
                  </w:r>
                </w:p>
              </w:tc>
              <w:tc>
                <w:tcPr>
                  <w:tcW w:w="3762" w:type="dxa"/>
                </w:tcPr>
                <w:p w14:paraId="11F1BE0D"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India: international experiences with urban rail funding, institutional frameworks, and private sector participation</w:t>
                  </w:r>
                </w:p>
              </w:tc>
              <w:tc>
                <w:tcPr>
                  <w:tcW w:w="1315" w:type="dxa"/>
                  <w:noWrap/>
                </w:tcPr>
                <w:p w14:paraId="0214BF02"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422,534 </w:t>
                  </w:r>
                </w:p>
              </w:tc>
              <w:tc>
                <w:tcPr>
                  <w:tcW w:w="1593" w:type="dxa"/>
                  <w:noWrap/>
                </w:tcPr>
                <w:p w14:paraId="70F071BC"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422,534 </w:t>
                  </w:r>
                </w:p>
              </w:tc>
            </w:tr>
            <w:tr w:rsidR="00EF1B7B" w:rsidRPr="00090F38" w14:paraId="3D27B3F1"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14F82A92" w14:textId="77777777" w:rsidR="00EF1B7B" w:rsidRPr="000151BA" w:rsidRDefault="00EF1B7B" w:rsidP="00F65774">
                  <w:pPr>
                    <w:rPr>
                      <w:sz w:val="20"/>
                      <w:szCs w:val="20"/>
                    </w:rPr>
                  </w:pPr>
                  <w:r w:rsidRPr="000151BA">
                    <w:rPr>
                      <w:sz w:val="20"/>
                      <w:szCs w:val="20"/>
                    </w:rPr>
                    <w:t>TF0A1628</w:t>
                  </w:r>
                </w:p>
              </w:tc>
              <w:tc>
                <w:tcPr>
                  <w:tcW w:w="3762" w:type="dxa"/>
                </w:tcPr>
                <w:p w14:paraId="0F85EB20" w14:textId="77777777" w:rsidR="00EF1B7B" w:rsidRPr="000151BA" w:rsidRDefault="00EF1B7B" w:rsidP="007D1047">
                  <w:pPr>
                    <w:cnfStyle w:val="000000100000" w:firstRow="0" w:lastRow="0" w:firstColumn="0" w:lastColumn="0" w:oddVBand="0" w:evenVBand="0" w:oddHBand="1" w:evenHBand="0" w:firstRowFirstColumn="0" w:firstRowLastColumn="0" w:lastRowFirstColumn="0" w:lastRowLastColumn="0"/>
                    <w:rPr>
                      <w:sz w:val="22"/>
                    </w:rPr>
                  </w:pPr>
                  <w:r w:rsidRPr="000151BA">
                    <w:rPr>
                      <w:sz w:val="22"/>
                    </w:rPr>
                    <w:t>Kolkata urban transport integration strategy</w:t>
                  </w:r>
                </w:p>
              </w:tc>
              <w:tc>
                <w:tcPr>
                  <w:tcW w:w="1315" w:type="dxa"/>
                  <w:noWrap/>
                </w:tcPr>
                <w:p w14:paraId="1F99D410"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293,931 </w:t>
                  </w:r>
                </w:p>
              </w:tc>
              <w:tc>
                <w:tcPr>
                  <w:tcW w:w="1593" w:type="dxa"/>
                  <w:noWrap/>
                </w:tcPr>
                <w:p w14:paraId="6B692E72"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293,931 </w:t>
                  </w:r>
                </w:p>
              </w:tc>
            </w:tr>
            <w:tr w:rsidR="00EF1B7B" w:rsidRPr="00090F38" w14:paraId="6085BF36" w14:textId="77777777" w:rsidTr="00A02664">
              <w:trPr>
                <w:trHeight w:val="240"/>
              </w:trPr>
              <w:tc>
                <w:tcPr>
                  <w:cnfStyle w:val="001000000000" w:firstRow="0" w:lastRow="0" w:firstColumn="1" w:lastColumn="0" w:oddVBand="0" w:evenVBand="0" w:oddHBand="0" w:evenHBand="0" w:firstRowFirstColumn="0" w:firstRowLastColumn="0" w:lastRowFirstColumn="0" w:lastRowLastColumn="0"/>
                  <w:tcW w:w="1838" w:type="dxa"/>
                  <w:noWrap/>
                </w:tcPr>
                <w:p w14:paraId="372EE703" w14:textId="77777777" w:rsidR="00EF1B7B" w:rsidRPr="000151BA" w:rsidRDefault="00EF1B7B" w:rsidP="00F65774">
                  <w:pPr>
                    <w:rPr>
                      <w:sz w:val="20"/>
                      <w:szCs w:val="20"/>
                    </w:rPr>
                  </w:pPr>
                  <w:r w:rsidRPr="000151BA">
                    <w:rPr>
                      <w:sz w:val="20"/>
                      <w:szCs w:val="20"/>
                    </w:rPr>
                    <w:t>TF0A2690</w:t>
                  </w:r>
                </w:p>
              </w:tc>
              <w:tc>
                <w:tcPr>
                  <w:tcW w:w="3762" w:type="dxa"/>
                </w:tcPr>
                <w:p w14:paraId="1D613C5A" w14:textId="77777777" w:rsidR="00EF1B7B" w:rsidRPr="000151BA" w:rsidRDefault="00EF1B7B" w:rsidP="007D1047">
                  <w:pPr>
                    <w:cnfStyle w:val="000000000000" w:firstRow="0" w:lastRow="0" w:firstColumn="0" w:lastColumn="0" w:oddVBand="0" w:evenVBand="0" w:oddHBand="0" w:evenHBand="0" w:firstRowFirstColumn="0" w:firstRowLastColumn="0" w:lastRowFirstColumn="0" w:lastRowLastColumn="0"/>
                    <w:rPr>
                      <w:sz w:val="22"/>
                    </w:rPr>
                  </w:pPr>
                  <w:r w:rsidRPr="000151BA">
                    <w:rPr>
                      <w:sz w:val="22"/>
                    </w:rPr>
                    <w:t>The Glaciers of the Himalayas</w:t>
                  </w:r>
                </w:p>
              </w:tc>
              <w:tc>
                <w:tcPr>
                  <w:tcW w:w="1315" w:type="dxa"/>
                  <w:noWrap/>
                </w:tcPr>
                <w:p w14:paraId="36550F81"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240,000 </w:t>
                  </w:r>
                </w:p>
              </w:tc>
              <w:tc>
                <w:tcPr>
                  <w:tcW w:w="1593" w:type="dxa"/>
                  <w:noWrap/>
                </w:tcPr>
                <w:p w14:paraId="78409449" w14:textId="77777777" w:rsidR="00EF1B7B" w:rsidRPr="000151BA" w:rsidRDefault="00EF1B7B" w:rsidP="000151BA">
                  <w:pPr>
                    <w:jc w:val="right"/>
                    <w:cnfStyle w:val="000000000000" w:firstRow="0" w:lastRow="0" w:firstColumn="0" w:lastColumn="0" w:oddVBand="0" w:evenVBand="0" w:oddHBand="0" w:evenHBand="0" w:firstRowFirstColumn="0" w:firstRowLastColumn="0" w:lastRowFirstColumn="0" w:lastRowLastColumn="0"/>
                    <w:rPr>
                      <w:sz w:val="22"/>
                    </w:rPr>
                  </w:pPr>
                  <w:r w:rsidRPr="000151BA">
                    <w:rPr>
                      <w:sz w:val="22"/>
                    </w:rPr>
                    <w:t xml:space="preserve"> 202,406 </w:t>
                  </w:r>
                </w:p>
              </w:tc>
            </w:tr>
            <w:tr w:rsidR="00EF1B7B" w:rsidRPr="00090F38" w14:paraId="28156099" w14:textId="77777777" w:rsidTr="00A026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600" w:type="dxa"/>
                  <w:gridSpan w:val="2"/>
                  <w:noWrap/>
                </w:tcPr>
                <w:p w14:paraId="06055CDA" w14:textId="77777777" w:rsidR="00EF1B7B" w:rsidRPr="000151BA" w:rsidRDefault="00EF1B7B" w:rsidP="004224DE">
                  <w:pPr>
                    <w:rPr>
                      <w:sz w:val="22"/>
                    </w:rPr>
                  </w:pPr>
                  <w:r w:rsidRPr="000151BA">
                    <w:rPr>
                      <w:sz w:val="22"/>
                    </w:rPr>
                    <w:t>Total</w:t>
                  </w:r>
                </w:p>
              </w:tc>
              <w:tc>
                <w:tcPr>
                  <w:tcW w:w="1315" w:type="dxa"/>
                  <w:noWrap/>
                </w:tcPr>
                <w:p w14:paraId="16C7CFB2"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16,314,922 </w:t>
                  </w:r>
                </w:p>
              </w:tc>
              <w:tc>
                <w:tcPr>
                  <w:tcW w:w="1593" w:type="dxa"/>
                  <w:noWrap/>
                </w:tcPr>
                <w:p w14:paraId="0A77917F" w14:textId="77777777" w:rsidR="00EF1B7B" w:rsidRPr="000151BA" w:rsidRDefault="00EF1B7B" w:rsidP="000151BA">
                  <w:pPr>
                    <w:jc w:val="right"/>
                    <w:cnfStyle w:val="000000100000" w:firstRow="0" w:lastRow="0" w:firstColumn="0" w:lastColumn="0" w:oddVBand="0" w:evenVBand="0" w:oddHBand="1" w:evenHBand="0" w:firstRowFirstColumn="0" w:firstRowLastColumn="0" w:lastRowFirstColumn="0" w:lastRowLastColumn="0"/>
                    <w:rPr>
                      <w:sz w:val="22"/>
                    </w:rPr>
                  </w:pPr>
                  <w:r w:rsidRPr="000151BA">
                    <w:rPr>
                      <w:sz w:val="22"/>
                    </w:rPr>
                    <w:t xml:space="preserve"> 15,293,555 </w:t>
                  </w:r>
                </w:p>
              </w:tc>
            </w:tr>
          </w:tbl>
          <w:p w14:paraId="57278E8B" w14:textId="77777777" w:rsidR="00EF1B7B" w:rsidRPr="000151BA" w:rsidRDefault="00EF1B7B" w:rsidP="004224DE">
            <w:pPr>
              <w:rPr>
                <w:sz w:val="22"/>
              </w:rPr>
            </w:pPr>
          </w:p>
        </w:tc>
        <w:tc>
          <w:tcPr>
            <w:tcW w:w="2366" w:type="dxa"/>
            <w:vAlign w:val="bottom"/>
          </w:tcPr>
          <w:p w14:paraId="239456D8" w14:textId="77777777" w:rsidR="00EF1B7B" w:rsidRDefault="00EF1B7B" w:rsidP="001A78AF"/>
        </w:tc>
      </w:tr>
    </w:tbl>
    <w:p w14:paraId="4BCBDD64" w14:textId="77777777" w:rsidR="00090F38" w:rsidRDefault="00090F38"/>
    <w:p w14:paraId="66F9235C" w14:textId="77777777" w:rsidR="00090F38" w:rsidRDefault="00090F38">
      <w:pPr>
        <w:spacing w:before="0" w:after="0"/>
      </w:pPr>
      <w:r>
        <w:br w:type="page"/>
      </w:r>
    </w:p>
    <w:p w14:paraId="7ECE7F0C" w14:textId="77777777" w:rsidR="00596A62" w:rsidRDefault="00596A62"/>
    <w:p w14:paraId="52ECEE83" w14:textId="77777777" w:rsidR="00596A62" w:rsidRPr="00596A62" w:rsidRDefault="00596A62" w:rsidP="001B449B">
      <w:pPr>
        <w:pStyle w:val="Heading3"/>
      </w:pPr>
      <w:r w:rsidRPr="00596A62">
        <w:t>Disbursement of IFG funds by country (8</w:t>
      </w:r>
      <w:r w:rsidRPr="00596A62">
        <w:rPr>
          <w:vertAlign w:val="superscript"/>
        </w:rPr>
        <w:t>th</w:t>
      </w:r>
      <w:r w:rsidRPr="00596A62">
        <w:t xml:space="preserve"> Feb 2018 data)</w:t>
      </w:r>
    </w:p>
    <w:tbl>
      <w:tblPr>
        <w:tblW w:w="5200" w:type="dxa"/>
        <w:tblLook w:val="04A0" w:firstRow="1" w:lastRow="0" w:firstColumn="1" w:lastColumn="0" w:noHBand="0" w:noVBand="1"/>
      </w:tblPr>
      <w:tblGrid>
        <w:gridCol w:w="1300"/>
        <w:gridCol w:w="1300"/>
        <w:gridCol w:w="1300"/>
        <w:gridCol w:w="1300"/>
      </w:tblGrid>
      <w:tr w:rsidR="00C91F73" w:rsidRPr="00E63F69" w14:paraId="178CAC00" w14:textId="77777777" w:rsidTr="00CA4916">
        <w:trPr>
          <w:trHeight w:val="836"/>
        </w:trPr>
        <w:tc>
          <w:tcPr>
            <w:tcW w:w="1300" w:type="dxa"/>
            <w:tcBorders>
              <w:top w:val="single" w:sz="4" w:space="0" w:color="auto"/>
              <w:left w:val="single" w:sz="4" w:space="0" w:color="auto"/>
              <w:right w:val="single" w:sz="4" w:space="0" w:color="auto"/>
            </w:tcBorders>
            <w:shd w:val="clear" w:color="auto" w:fill="auto"/>
            <w:noWrap/>
          </w:tcPr>
          <w:p w14:paraId="7665EB43" w14:textId="77777777" w:rsidR="00C91F73" w:rsidRPr="00E63F69" w:rsidRDefault="00C91F73" w:rsidP="001B449B">
            <w:r w:rsidRPr="00E63F69">
              <w:t> </w:t>
            </w:r>
          </w:p>
          <w:p w14:paraId="6686FADE" w14:textId="3EFF6C17" w:rsidR="00C91F73" w:rsidRPr="00E63F69" w:rsidRDefault="00C91F73" w:rsidP="001A78AF">
            <w:r w:rsidRPr="00E63F69">
              <w:t xml:space="preserve">Country </w:t>
            </w:r>
          </w:p>
        </w:tc>
        <w:tc>
          <w:tcPr>
            <w:tcW w:w="1300" w:type="dxa"/>
            <w:tcBorders>
              <w:top w:val="single" w:sz="4" w:space="0" w:color="auto"/>
              <w:left w:val="single" w:sz="4" w:space="0" w:color="auto"/>
              <w:right w:val="single" w:sz="4" w:space="0" w:color="auto"/>
            </w:tcBorders>
            <w:shd w:val="clear" w:color="auto" w:fill="auto"/>
            <w:noWrap/>
          </w:tcPr>
          <w:p w14:paraId="25658635" w14:textId="77777777" w:rsidR="00C91F73" w:rsidRPr="00E63F69" w:rsidRDefault="00C91F73">
            <w:r w:rsidRPr="00E63F69">
              <w:t> </w:t>
            </w:r>
          </w:p>
          <w:p w14:paraId="63530A56" w14:textId="42DA6D08" w:rsidR="00C91F73" w:rsidRPr="00E63F69" w:rsidRDefault="00C91F73" w:rsidP="001A78AF">
            <w:r w:rsidRPr="00E63F69">
              <w:t>Grant</w:t>
            </w:r>
          </w:p>
        </w:tc>
        <w:tc>
          <w:tcPr>
            <w:tcW w:w="1300" w:type="dxa"/>
            <w:tcBorders>
              <w:top w:val="single" w:sz="4" w:space="0" w:color="auto"/>
              <w:left w:val="single" w:sz="4" w:space="0" w:color="auto"/>
              <w:right w:val="single" w:sz="4" w:space="0" w:color="auto"/>
            </w:tcBorders>
            <w:shd w:val="clear" w:color="auto" w:fill="auto"/>
            <w:noWrap/>
          </w:tcPr>
          <w:p w14:paraId="7E88A710" w14:textId="77777777" w:rsidR="00C91F73" w:rsidRPr="00E63F69" w:rsidRDefault="00C91F73">
            <w:r w:rsidRPr="00E63F69">
              <w:t> </w:t>
            </w:r>
          </w:p>
          <w:p w14:paraId="03C07078" w14:textId="5B7E1D01" w:rsidR="00C91F73" w:rsidRPr="00E63F69" w:rsidRDefault="00C91F73" w:rsidP="000B5B50">
            <w:r w:rsidRPr="00E63F69">
              <w:t>disbursed</w:t>
            </w:r>
          </w:p>
        </w:tc>
        <w:tc>
          <w:tcPr>
            <w:tcW w:w="1300" w:type="dxa"/>
            <w:tcBorders>
              <w:top w:val="single" w:sz="4" w:space="0" w:color="auto"/>
              <w:left w:val="single" w:sz="4" w:space="0" w:color="auto"/>
              <w:right w:val="single" w:sz="4" w:space="0" w:color="auto"/>
            </w:tcBorders>
            <w:shd w:val="clear" w:color="auto" w:fill="auto"/>
            <w:noWrap/>
            <w:vAlign w:val="center"/>
          </w:tcPr>
          <w:p w14:paraId="48D30763" w14:textId="77777777" w:rsidR="00C91F73" w:rsidRPr="00E63F69" w:rsidRDefault="00C91F73">
            <w:r w:rsidRPr="00E63F69">
              <w:t>% grant</w:t>
            </w:r>
          </w:p>
          <w:p w14:paraId="08A75C4D" w14:textId="62CF3495" w:rsidR="00C91F73" w:rsidRPr="00E63F69" w:rsidRDefault="00C91F73" w:rsidP="000B5B50">
            <w:r w:rsidRPr="00E63F69">
              <w:t>by country</w:t>
            </w:r>
          </w:p>
        </w:tc>
      </w:tr>
      <w:tr w:rsidR="00E63F69" w:rsidRPr="00090F38" w14:paraId="09BC96BB" w14:textId="77777777" w:rsidTr="00A02664">
        <w:trPr>
          <w:trHeight w:val="340"/>
        </w:trPr>
        <w:tc>
          <w:tcPr>
            <w:tcW w:w="1300" w:type="dxa"/>
            <w:tcBorders>
              <w:top w:val="single" w:sz="4" w:space="0" w:color="auto"/>
              <w:left w:val="single" w:sz="8" w:space="0" w:color="666666"/>
              <w:bottom w:val="single" w:sz="8" w:space="0" w:color="666666"/>
              <w:right w:val="single" w:sz="8" w:space="0" w:color="666666"/>
            </w:tcBorders>
            <w:shd w:val="clear" w:color="auto" w:fill="auto"/>
            <w:noWrap/>
            <w:vAlign w:val="center"/>
          </w:tcPr>
          <w:p w14:paraId="244A5D83" w14:textId="77777777" w:rsidR="00E63F69" w:rsidRPr="000151BA" w:rsidRDefault="00E63F69" w:rsidP="001A78AF">
            <w:pPr>
              <w:rPr>
                <w:sz w:val="20"/>
                <w:szCs w:val="20"/>
              </w:rPr>
            </w:pPr>
            <w:r w:rsidRPr="000151BA">
              <w:rPr>
                <w:sz w:val="20"/>
                <w:szCs w:val="20"/>
              </w:rPr>
              <w:t>Afghanistan</w:t>
            </w:r>
          </w:p>
        </w:tc>
        <w:tc>
          <w:tcPr>
            <w:tcW w:w="1300" w:type="dxa"/>
            <w:tcBorders>
              <w:top w:val="single" w:sz="4" w:space="0" w:color="auto"/>
              <w:left w:val="nil"/>
              <w:bottom w:val="single" w:sz="8" w:space="0" w:color="666666"/>
              <w:right w:val="single" w:sz="8" w:space="0" w:color="666666"/>
            </w:tcBorders>
            <w:shd w:val="clear" w:color="auto" w:fill="auto"/>
            <w:noWrap/>
            <w:vAlign w:val="center"/>
          </w:tcPr>
          <w:p w14:paraId="53F228B4" w14:textId="77777777" w:rsidR="00E63F69" w:rsidRPr="000151BA" w:rsidRDefault="00E63F69" w:rsidP="001A78AF">
            <w:pPr>
              <w:rPr>
                <w:sz w:val="20"/>
                <w:szCs w:val="20"/>
              </w:rPr>
            </w:pPr>
            <w:r w:rsidRPr="000151BA">
              <w:rPr>
                <w:sz w:val="20"/>
                <w:szCs w:val="20"/>
              </w:rPr>
              <w:t>394,976</w:t>
            </w:r>
          </w:p>
        </w:tc>
        <w:tc>
          <w:tcPr>
            <w:tcW w:w="1300" w:type="dxa"/>
            <w:tcBorders>
              <w:top w:val="single" w:sz="4" w:space="0" w:color="auto"/>
              <w:left w:val="nil"/>
              <w:bottom w:val="single" w:sz="8" w:space="0" w:color="666666"/>
              <w:right w:val="single" w:sz="8" w:space="0" w:color="666666"/>
            </w:tcBorders>
            <w:shd w:val="clear" w:color="auto" w:fill="auto"/>
            <w:noWrap/>
            <w:vAlign w:val="center"/>
          </w:tcPr>
          <w:p w14:paraId="0C10717D" w14:textId="77777777" w:rsidR="00E63F69" w:rsidRPr="000151BA" w:rsidRDefault="00E63F69" w:rsidP="000B5B50">
            <w:pPr>
              <w:rPr>
                <w:sz w:val="20"/>
                <w:szCs w:val="20"/>
              </w:rPr>
            </w:pPr>
            <w:r w:rsidRPr="000151BA">
              <w:rPr>
                <w:sz w:val="20"/>
                <w:szCs w:val="20"/>
              </w:rPr>
              <w:t>394,976</w:t>
            </w:r>
          </w:p>
        </w:tc>
        <w:tc>
          <w:tcPr>
            <w:tcW w:w="1300" w:type="dxa"/>
            <w:tcBorders>
              <w:top w:val="single" w:sz="4" w:space="0" w:color="auto"/>
              <w:left w:val="nil"/>
              <w:bottom w:val="single" w:sz="8" w:space="0" w:color="666666"/>
              <w:right w:val="single" w:sz="8" w:space="0" w:color="666666"/>
            </w:tcBorders>
            <w:shd w:val="clear" w:color="auto" w:fill="auto"/>
            <w:noWrap/>
            <w:vAlign w:val="center"/>
          </w:tcPr>
          <w:p w14:paraId="6DDE71B1" w14:textId="77777777" w:rsidR="00E63F69" w:rsidRPr="000151BA" w:rsidRDefault="00E63F69" w:rsidP="000B5B50">
            <w:pPr>
              <w:rPr>
                <w:sz w:val="20"/>
                <w:szCs w:val="20"/>
              </w:rPr>
            </w:pPr>
            <w:r w:rsidRPr="000151BA">
              <w:rPr>
                <w:sz w:val="20"/>
                <w:szCs w:val="20"/>
              </w:rPr>
              <w:t>2%</w:t>
            </w:r>
          </w:p>
        </w:tc>
      </w:tr>
      <w:tr w:rsidR="00E63F69" w:rsidRPr="00090F38" w14:paraId="16602B26" w14:textId="77777777">
        <w:trPr>
          <w:trHeight w:val="340"/>
        </w:trPr>
        <w:tc>
          <w:tcPr>
            <w:tcW w:w="1300" w:type="dxa"/>
            <w:tcBorders>
              <w:top w:val="nil"/>
              <w:left w:val="single" w:sz="8" w:space="0" w:color="666666"/>
              <w:bottom w:val="single" w:sz="8" w:space="0" w:color="666666"/>
              <w:right w:val="single" w:sz="8" w:space="0" w:color="666666"/>
            </w:tcBorders>
            <w:shd w:val="clear" w:color="000000" w:fill="CCCCCC"/>
            <w:noWrap/>
            <w:vAlign w:val="center"/>
          </w:tcPr>
          <w:p w14:paraId="22EF2820" w14:textId="77777777" w:rsidR="00E63F69" w:rsidRPr="000151BA" w:rsidRDefault="00E63F69" w:rsidP="001A78AF">
            <w:pPr>
              <w:rPr>
                <w:sz w:val="20"/>
                <w:szCs w:val="20"/>
              </w:rPr>
            </w:pPr>
            <w:r w:rsidRPr="000151BA">
              <w:rPr>
                <w:sz w:val="20"/>
                <w:szCs w:val="20"/>
              </w:rPr>
              <w:t>Bangladesh</w:t>
            </w:r>
          </w:p>
        </w:tc>
        <w:tc>
          <w:tcPr>
            <w:tcW w:w="1300" w:type="dxa"/>
            <w:tcBorders>
              <w:top w:val="nil"/>
              <w:left w:val="nil"/>
              <w:bottom w:val="single" w:sz="8" w:space="0" w:color="666666"/>
              <w:right w:val="single" w:sz="8" w:space="0" w:color="666666"/>
            </w:tcBorders>
            <w:shd w:val="clear" w:color="000000" w:fill="CCCCCC"/>
            <w:noWrap/>
            <w:vAlign w:val="center"/>
          </w:tcPr>
          <w:p w14:paraId="4BE32333" w14:textId="77777777" w:rsidR="00E63F69" w:rsidRPr="000151BA" w:rsidRDefault="00E63F69" w:rsidP="001A78AF">
            <w:pPr>
              <w:rPr>
                <w:sz w:val="20"/>
                <w:szCs w:val="20"/>
              </w:rPr>
            </w:pPr>
            <w:r w:rsidRPr="000151BA">
              <w:rPr>
                <w:sz w:val="20"/>
                <w:szCs w:val="20"/>
              </w:rPr>
              <w:t>1,446,069</w:t>
            </w:r>
          </w:p>
        </w:tc>
        <w:tc>
          <w:tcPr>
            <w:tcW w:w="1300" w:type="dxa"/>
            <w:tcBorders>
              <w:top w:val="nil"/>
              <w:left w:val="nil"/>
              <w:bottom w:val="single" w:sz="8" w:space="0" w:color="666666"/>
              <w:right w:val="single" w:sz="8" w:space="0" w:color="666666"/>
            </w:tcBorders>
            <w:shd w:val="clear" w:color="000000" w:fill="CCCCCC"/>
            <w:noWrap/>
            <w:vAlign w:val="center"/>
          </w:tcPr>
          <w:p w14:paraId="63CA319E" w14:textId="77777777" w:rsidR="00E63F69" w:rsidRPr="000151BA" w:rsidRDefault="00E63F69" w:rsidP="000B5B50">
            <w:pPr>
              <w:rPr>
                <w:sz w:val="20"/>
                <w:szCs w:val="20"/>
              </w:rPr>
            </w:pPr>
            <w:r w:rsidRPr="000151BA">
              <w:rPr>
                <w:sz w:val="20"/>
                <w:szCs w:val="20"/>
              </w:rPr>
              <w:t>846,860</w:t>
            </w:r>
          </w:p>
        </w:tc>
        <w:tc>
          <w:tcPr>
            <w:tcW w:w="1300" w:type="dxa"/>
            <w:tcBorders>
              <w:top w:val="nil"/>
              <w:left w:val="nil"/>
              <w:bottom w:val="single" w:sz="8" w:space="0" w:color="666666"/>
              <w:right w:val="single" w:sz="8" w:space="0" w:color="666666"/>
            </w:tcBorders>
            <w:shd w:val="clear" w:color="000000" w:fill="CCCCCC"/>
            <w:noWrap/>
            <w:vAlign w:val="center"/>
          </w:tcPr>
          <w:p w14:paraId="5EDE6F49" w14:textId="77777777" w:rsidR="00E63F69" w:rsidRPr="000151BA" w:rsidRDefault="00E63F69" w:rsidP="000B5B50">
            <w:pPr>
              <w:rPr>
                <w:sz w:val="20"/>
                <w:szCs w:val="20"/>
              </w:rPr>
            </w:pPr>
            <w:r w:rsidRPr="000151BA">
              <w:rPr>
                <w:sz w:val="20"/>
                <w:szCs w:val="20"/>
              </w:rPr>
              <w:t>9%</w:t>
            </w:r>
          </w:p>
        </w:tc>
      </w:tr>
      <w:tr w:rsidR="00E63F69" w:rsidRPr="00090F38" w14:paraId="07614243" w14:textId="77777777">
        <w:trPr>
          <w:trHeight w:val="340"/>
        </w:trPr>
        <w:tc>
          <w:tcPr>
            <w:tcW w:w="1300" w:type="dxa"/>
            <w:tcBorders>
              <w:top w:val="nil"/>
              <w:left w:val="single" w:sz="8" w:space="0" w:color="666666"/>
              <w:bottom w:val="single" w:sz="8" w:space="0" w:color="666666"/>
              <w:right w:val="single" w:sz="8" w:space="0" w:color="666666"/>
            </w:tcBorders>
            <w:shd w:val="clear" w:color="auto" w:fill="auto"/>
            <w:noWrap/>
            <w:vAlign w:val="center"/>
          </w:tcPr>
          <w:p w14:paraId="02640C4D" w14:textId="77777777" w:rsidR="00E63F69" w:rsidRPr="000151BA" w:rsidRDefault="00E63F69" w:rsidP="001A78AF">
            <w:pPr>
              <w:rPr>
                <w:sz w:val="20"/>
                <w:szCs w:val="20"/>
              </w:rPr>
            </w:pPr>
            <w:r w:rsidRPr="000151BA">
              <w:rPr>
                <w:sz w:val="20"/>
                <w:szCs w:val="20"/>
              </w:rPr>
              <w:t>Bhutan</w:t>
            </w:r>
          </w:p>
        </w:tc>
        <w:tc>
          <w:tcPr>
            <w:tcW w:w="1300" w:type="dxa"/>
            <w:tcBorders>
              <w:top w:val="nil"/>
              <w:left w:val="nil"/>
              <w:bottom w:val="single" w:sz="8" w:space="0" w:color="666666"/>
              <w:right w:val="single" w:sz="8" w:space="0" w:color="666666"/>
            </w:tcBorders>
            <w:shd w:val="clear" w:color="auto" w:fill="auto"/>
            <w:noWrap/>
            <w:vAlign w:val="center"/>
          </w:tcPr>
          <w:p w14:paraId="5338A1FD" w14:textId="77777777" w:rsidR="00E63F69" w:rsidRPr="000151BA" w:rsidRDefault="00E63F69" w:rsidP="001A78AF">
            <w:pPr>
              <w:rPr>
                <w:sz w:val="20"/>
                <w:szCs w:val="20"/>
              </w:rPr>
            </w:pPr>
            <w:r w:rsidRPr="000151BA">
              <w:rPr>
                <w:sz w:val="20"/>
                <w:szCs w:val="20"/>
              </w:rPr>
              <w:t>375,052</w:t>
            </w:r>
          </w:p>
        </w:tc>
        <w:tc>
          <w:tcPr>
            <w:tcW w:w="1300" w:type="dxa"/>
            <w:tcBorders>
              <w:top w:val="nil"/>
              <w:left w:val="nil"/>
              <w:bottom w:val="single" w:sz="8" w:space="0" w:color="666666"/>
              <w:right w:val="single" w:sz="8" w:space="0" w:color="666666"/>
            </w:tcBorders>
            <w:shd w:val="clear" w:color="auto" w:fill="auto"/>
            <w:noWrap/>
            <w:vAlign w:val="center"/>
          </w:tcPr>
          <w:p w14:paraId="3EAB53B5" w14:textId="77777777" w:rsidR="00E63F69" w:rsidRPr="000151BA" w:rsidRDefault="00E63F69" w:rsidP="000B5B50">
            <w:pPr>
              <w:rPr>
                <w:sz w:val="20"/>
                <w:szCs w:val="20"/>
              </w:rPr>
            </w:pPr>
            <w:r w:rsidRPr="000151BA">
              <w:rPr>
                <w:sz w:val="20"/>
                <w:szCs w:val="20"/>
              </w:rPr>
              <w:t>375,052</w:t>
            </w:r>
          </w:p>
        </w:tc>
        <w:tc>
          <w:tcPr>
            <w:tcW w:w="1300" w:type="dxa"/>
            <w:tcBorders>
              <w:top w:val="nil"/>
              <w:left w:val="nil"/>
              <w:bottom w:val="single" w:sz="8" w:space="0" w:color="666666"/>
              <w:right w:val="single" w:sz="8" w:space="0" w:color="666666"/>
            </w:tcBorders>
            <w:shd w:val="clear" w:color="auto" w:fill="auto"/>
            <w:noWrap/>
            <w:vAlign w:val="center"/>
          </w:tcPr>
          <w:p w14:paraId="4DB72DB4" w14:textId="77777777" w:rsidR="00E63F69" w:rsidRPr="000151BA" w:rsidRDefault="00E63F69" w:rsidP="000B5B50">
            <w:pPr>
              <w:rPr>
                <w:sz w:val="20"/>
                <w:szCs w:val="20"/>
              </w:rPr>
            </w:pPr>
            <w:r w:rsidRPr="000151BA">
              <w:rPr>
                <w:sz w:val="20"/>
                <w:szCs w:val="20"/>
              </w:rPr>
              <w:t>2%</w:t>
            </w:r>
          </w:p>
        </w:tc>
      </w:tr>
      <w:tr w:rsidR="00E63F69" w:rsidRPr="00090F38" w14:paraId="3F58121F" w14:textId="77777777">
        <w:trPr>
          <w:trHeight w:val="340"/>
        </w:trPr>
        <w:tc>
          <w:tcPr>
            <w:tcW w:w="1300" w:type="dxa"/>
            <w:tcBorders>
              <w:top w:val="nil"/>
              <w:left w:val="single" w:sz="8" w:space="0" w:color="666666"/>
              <w:bottom w:val="single" w:sz="8" w:space="0" w:color="666666"/>
              <w:right w:val="single" w:sz="8" w:space="0" w:color="666666"/>
            </w:tcBorders>
            <w:shd w:val="clear" w:color="000000" w:fill="CCCCCC"/>
            <w:noWrap/>
            <w:vAlign w:val="center"/>
          </w:tcPr>
          <w:p w14:paraId="3937BF16" w14:textId="77777777" w:rsidR="00E63F69" w:rsidRPr="000151BA" w:rsidRDefault="00E63F69" w:rsidP="001A78AF">
            <w:pPr>
              <w:rPr>
                <w:sz w:val="20"/>
                <w:szCs w:val="20"/>
              </w:rPr>
            </w:pPr>
            <w:r w:rsidRPr="000151BA">
              <w:rPr>
                <w:sz w:val="20"/>
                <w:szCs w:val="20"/>
              </w:rPr>
              <w:t>India</w:t>
            </w:r>
          </w:p>
        </w:tc>
        <w:tc>
          <w:tcPr>
            <w:tcW w:w="1300" w:type="dxa"/>
            <w:tcBorders>
              <w:top w:val="nil"/>
              <w:left w:val="nil"/>
              <w:bottom w:val="single" w:sz="8" w:space="0" w:color="666666"/>
              <w:right w:val="single" w:sz="8" w:space="0" w:color="666666"/>
            </w:tcBorders>
            <w:shd w:val="clear" w:color="000000" w:fill="CCCCCC"/>
            <w:noWrap/>
            <w:vAlign w:val="center"/>
          </w:tcPr>
          <w:p w14:paraId="2AAA720E" w14:textId="77777777" w:rsidR="00E63F69" w:rsidRPr="000151BA" w:rsidRDefault="00E63F69" w:rsidP="001A78AF">
            <w:pPr>
              <w:rPr>
                <w:sz w:val="20"/>
                <w:szCs w:val="20"/>
              </w:rPr>
            </w:pPr>
            <w:r w:rsidRPr="000151BA">
              <w:rPr>
                <w:sz w:val="20"/>
                <w:szCs w:val="20"/>
              </w:rPr>
              <w:t>7,388,672</w:t>
            </w:r>
          </w:p>
        </w:tc>
        <w:tc>
          <w:tcPr>
            <w:tcW w:w="1300" w:type="dxa"/>
            <w:tcBorders>
              <w:top w:val="nil"/>
              <w:left w:val="nil"/>
              <w:bottom w:val="single" w:sz="8" w:space="0" w:color="666666"/>
              <w:right w:val="single" w:sz="8" w:space="0" w:color="666666"/>
            </w:tcBorders>
            <w:shd w:val="clear" w:color="000000" w:fill="CCCCCC"/>
            <w:noWrap/>
            <w:vAlign w:val="center"/>
          </w:tcPr>
          <w:p w14:paraId="67E64C5D" w14:textId="77777777" w:rsidR="00E63F69" w:rsidRPr="000151BA" w:rsidRDefault="00E63F69" w:rsidP="000B5B50">
            <w:pPr>
              <w:rPr>
                <w:sz w:val="20"/>
                <w:szCs w:val="20"/>
              </w:rPr>
            </w:pPr>
            <w:r w:rsidRPr="000151BA">
              <w:rPr>
                <w:sz w:val="20"/>
                <w:szCs w:val="20"/>
              </w:rPr>
              <w:t>7,064,256</w:t>
            </w:r>
          </w:p>
        </w:tc>
        <w:tc>
          <w:tcPr>
            <w:tcW w:w="1300" w:type="dxa"/>
            <w:tcBorders>
              <w:top w:val="nil"/>
              <w:left w:val="nil"/>
              <w:bottom w:val="single" w:sz="8" w:space="0" w:color="666666"/>
              <w:right w:val="single" w:sz="8" w:space="0" w:color="666666"/>
            </w:tcBorders>
            <w:shd w:val="clear" w:color="000000" w:fill="CCCCCC"/>
            <w:noWrap/>
            <w:vAlign w:val="center"/>
          </w:tcPr>
          <w:p w14:paraId="090C7E5B" w14:textId="77777777" w:rsidR="00E63F69" w:rsidRPr="000151BA" w:rsidRDefault="00E63F69" w:rsidP="000B5B50">
            <w:pPr>
              <w:rPr>
                <w:sz w:val="20"/>
                <w:szCs w:val="20"/>
              </w:rPr>
            </w:pPr>
            <w:r w:rsidRPr="000151BA">
              <w:rPr>
                <w:sz w:val="20"/>
                <w:szCs w:val="20"/>
              </w:rPr>
              <w:t>44%</w:t>
            </w:r>
          </w:p>
        </w:tc>
      </w:tr>
      <w:tr w:rsidR="00E63F69" w:rsidRPr="00090F38" w14:paraId="157AA7D8" w14:textId="77777777">
        <w:trPr>
          <w:trHeight w:val="340"/>
        </w:trPr>
        <w:tc>
          <w:tcPr>
            <w:tcW w:w="1300" w:type="dxa"/>
            <w:tcBorders>
              <w:top w:val="nil"/>
              <w:left w:val="single" w:sz="8" w:space="0" w:color="666666"/>
              <w:bottom w:val="single" w:sz="8" w:space="0" w:color="666666"/>
              <w:right w:val="single" w:sz="8" w:space="0" w:color="666666"/>
            </w:tcBorders>
            <w:shd w:val="clear" w:color="auto" w:fill="auto"/>
            <w:noWrap/>
            <w:vAlign w:val="center"/>
          </w:tcPr>
          <w:p w14:paraId="30BBF76B" w14:textId="77777777" w:rsidR="00E63F69" w:rsidRPr="000151BA" w:rsidRDefault="00E63F69" w:rsidP="001A78AF">
            <w:pPr>
              <w:rPr>
                <w:sz w:val="20"/>
                <w:szCs w:val="20"/>
              </w:rPr>
            </w:pPr>
            <w:r w:rsidRPr="000151BA">
              <w:rPr>
                <w:sz w:val="20"/>
                <w:szCs w:val="20"/>
              </w:rPr>
              <w:t>Nepal</w:t>
            </w:r>
          </w:p>
        </w:tc>
        <w:tc>
          <w:tcPr>
            <w:tcW w:w="1300" w:type="dxa"/>
            <w:tcBorders>
              <w:top w:val="nil"/>
              <w:left w:val="nil"/>
              <w:bottom w:val="single" w:sz="8" w:space="0" w:color="666666"/>
              <w:right w:val="single" w:sz="8" w:space="0" w:color="666666"/>
            </w:tcBorders>
            <w:shd w:val="clear" w:color="auto" w:fill="auto"/>
            <w:noWrap/>
            <w:vAlign w:val="center"/>
          </w:tcPr>
          <w:p w14:paraId="360F9AA4" w14:textId="77777777" w:rsidR="00E63F69" w:rsidRPr="000151BA" w:rsidRDefault="00E63F69" w:rsidP="001A78AF">
            <w:pPr>
              <w:rPr>
                <w:sz w:val="20"/>
                <w:szCs w:val="20"/>
              </w:rPr>
            </w:pPr>
            <w:r w:rsidRPr="000151BA">
              <w:rPr>
                <w:sz w:val="20"/>
                <w:szCs w:val="20"/>
              </w:rPr>
              <w:t>452,688</w:t>
            </w:r>
          </w:p>
        </w:tc>
        <w:tc>
          <w:tcPr>
            <w:tcW w:w="1300" w:type="dxa"/>
            <w:tcBorders>
              <w:top w:val="nil"/>
              <w:left w:val="nil"/>
              <w:bottom w:val="single" w:sz="8" w:space="0" w:color="666666"/>
              <w:right w:val="single" w:sz="8" w:space="0" w:color="666666"/>
            </w:tcBorders>
            <w:shd w:val="clear" w:color="auto" w:fill="auto"/>
            <w:noWrap/>
            <w:vAlign w:val="center"/>
          </w:tcPr>
          <w:p w14:paraId="0FAC4618" w14:textId="77777777" w:rsidR="00E63F69" w:rsidRPr="000151BA" w:rsidRDefault="00E63F69" w:rsidP="000B5B50">
            <w:pPr>
              <w:rPr>
                <w:sz w:val="20"/>
                <w:szCs w:val="20"/>
              </w:rPr>
            </w:pPr>
            <w:r w:rsidRPr="000151BA">
              <w:rPr>
                <w:sz w:val="20"/>
                <w:szCs w:val="20"/>
              </w:rPr>
              <w:t>452,688</w:t>
            </w:r>
          </w:p>
        </w:tc>
        <w:tc>
          <w:tcPr>
            <w:tcW w:w="1300" w:type="dxa"/>
            <w:tcBorders>
              <w:top w:val="nil"/>
              <w:left w:val="nil"/>
              <w:bottom w:val="single" w:sz="8" w:space="0" w:color="666666"/>
              <w:right w:val="single" w:sz="8" w:space="0" w:color="666666"/>
            </w:tcBorders>
            <w:shd w:val="clear" w:color="auto" w:fill="auto"/>
            <w:noWrap/>
            <w:vAlign w:val="center"/>
          </w:tcPr>
          <w:p w14:paraId="5F09C941" w14:textId="77777777" w:rsidR="00E63F69" w:rsidRPr="000151BA" w:rsidRDefault="00E63F69" w:rsidP="000B5B50">
            <w:pPr>
              <w:rPr>
                <w:sz w:val="20"/>
                <w:szCs w:val="20"/>
              </w:rPr>
            </w:pPr>
            <w:r w:rsidRPr="000151BA">
              <w:rPr>
                <w:sz w:val="20"/>
                <w:szCs w:val="20"/>
              </w:rPr>
              <w:t>3%</w:t>
            </w:r>
          </w:p>
        </w:tc>
      </w:tr>
      <w:tr w:rsidR="00E63F69" w:rsidRPr="00090F38" w14:paraId="1253B62D" w14:textId="77777777">
        <w:trPr>
          <w:trHeight w:val="340"/>
        </w:trPr>
        <w:tc>
          <w:tcPr>
            <w:tcW w:w="1300" w:type="dxa"/>
            <w:tcBorders>
              <w:top w:val="nil"/>
              <w:left w:val="single" w:sz="8" w:space="0" w:color="666666"/>
              <w:bottom w:val="single" w:sz="8" w:space="0" w:color="666666"/>
              <w:right w:val="single" w:sz="8" w:space="0" w:color="666666"/>
            </w:tcBorders>
            <w:shd w:val="clear" w:color="000000" w:fill="CCCCCC"/>
            <w:noWrap/>
          </w:tcPr>
          <w:p w14:paraId="1D85CC28" w14:textId="77777777" w:rsidR="00E63F69" w:rsidRPr="000151BA" w:rsidRDefault="00E63F69" w:rsidP="001A78AF">
            <w:pPr>
              <w:rPr>
                <w:sz w:val="20"/>
                <w:szCs w:val="20"/>
              </w:rPr>
            </w:pPr>
            <w:r w:rsidRPr="000151BA">
              <w:rPr>
                <w:sz w:val="20"/>
                <w:szCs w:val="20"/>
              </w:rPr>
              <w:t> </w:t>
            </w:r>
          </w:p>
        </w:tc>
        <w:tc>
          <w:tcPr>
            <w:tcW w:w="1300" w:type="dxa"/>
            <w:tcBorders>
              <w:top w:val="nil"/>
              <w:left w:val="nil"/>
              <w:bottom w:val="single" w:sz="8" w:space="0" w:color="666666"/>
              <w:right w:val="single" w:sz="8" w:space="0" w:color="666666"/>
            </w:tcBorders>
            <w:shd w:val="clear" w:color="000000" w:fill="CCCCCC"/>
            <w:noWrap/>
            <w:vAlign w:val="center"/>
          </w:tcPr>
          <w:p w14:paraId="30F5E756" w14:textId="77777777" w:rsidR="00E63F69" w:rsidRPr="000151BA" w:rsidRDefault="00E63F69" w:rsidP="001A78AF">
            <w:pPr>
              <w:rPr>
                <w:sz w:val="20"/>
                <w:szCs w:val="20"/>
              </w:rPr>
            </w:pPr>
            <w:r w:rsidRPr="000151BA">
              <w:rPr>
                <w:sz w:val="20"/>
                <w:szCs w:val="20"/>
              </w:rPr>
              <w:t>203,148</w:t>
            </w:r>
          </w:p>
        </w:tc>
        <w:tc>
          <w:tcPr>
            <w:tcW w:w="1300" w:type="dxa"/>
            <w:tcBorders>
              <w:top w:val="nil"/>
              <w:left w:val="nil"/>
              <w:bottom w:val="single" w:sz="8" w:space="0" w:color="666666"/>
              <w:right w:val="single" w:sz="8" w:space="0" w:color="666666"/>
            </w:tcBorders>
            <w:shd w:val="clear" w:color="000000" w:fill="CCCCCC"/>
            <w:noWrap/>
            <w:vAlign w:val="center"/>
          </w:tcPr>
          <w:p w14:paraId="64B888AF" w14:textId="77777777" w:rsidR="00E63F69" w:rsidRPr="000151BA" w:rsidRDefault="00E63F69" w:rsidP="000B5B50">
            <w:pPr>
              <w:rPr>
                <w:sz w:val="20"/>
                <w:szCs w:val="20"/>
              </w:rPr>
            </w:pPr>
            <w:r w:rsidRPr="000151BA">
              <w:rPr>
                <w:sz w:val="20"/>
                <w:szCs w:val="20"/>
              </w:rPr>
              <w:t>203,148</w:t>
            </w:r>
          </w:p>
        </w:tc>
        <w:tc>
          <w:tcPr>
            <w:tcW w:w="1300" w:type="dxa"/>
            <w:tcBorders>
              <w:top w:val="nil"/>
              <w:left w:val="nil"/>
              <w:bottom w:val="single" w:sz="8" w:space="0" w:color="666666"/>
              <w:right w:val="single" w:sz="8" w:space="0" w:color="666666"/>
            </w:tcBorders>
            <w:shd w:val="clear" w:color="000000" w:fill="CCCCCC"/>
            <w:noWrap/>
            <w:vAlign w:val="center"/>
          </w:tcPr>
          <w:p w14:paraId="1660957E" w14:textId="77777777" w:rsidR="00E63F69" w:rsidRPr="000151BA" w:rsidRDefault="00E63F69" w:rsidP="000B5B50">
            <w:pPr>
              <w:rPr>
                <w:sz w:val="20"/>
                <w:szCs w:val="20"/>
              </w:rPr>
            </w:pPr>
            <w:r w:rsidRPr="000151BA">
              <w:rPr>
                <w:sz w:val="20"/>
                <w:szCs w:val="20"/>
              </w:rPr>
              <w:t>1%</w:t>
            </w:r>
          </w:p>
        </w:tc>
      </w:tr>
      <w:tr w:rsidR="00E63F69" w:rsidRPr="00090F38" w14:paraId="25CC6B5A" w14:textId="77777777">
        <w:trPr>
          <w:trHeight w:val="340"/>
        </w:trPr>
        <w:tc>
          <w:tcPr>
            <w:tcW w:w="1300" w:type="dxa"/>
            <w:tcBorders>
              <w:top w:val="nil"/>
              <w:left w:val="single" w:sz="8" w:space="0" w:color="666666"/>
              <w:bottom w:val="single" w:sz="8" w:space="0" w:color="666666"/>
              <w:right w:val="single" w:sz="8" w:space="0" w:color="666666"/>
            </w:tcBorders>
            <w:shd w:val="clear" w:color="auto" w:fill="auto"/>
            <w:noWrap/>
            <w:vAlign w:val="center"/>
          </w:tcPr>
          <w:p w14:paraId="3080A70D" w14:textId="77777777" w:rsidR="00E63F69" w:rsidRPr="000151BA" w:rsidRDefault="00E63F69" w:rsidP="001A78AF">
            <w:pPr>
              <w:rPr>
                <w:sz w:val="20"/>
                <w:szCs w:val="20"/>
              </w:rPr>
            </w:pPr>
            <w:r w:rsidRPr="000151BA">
              <w:rPr>
                <w:sz w:val="20"/>
                <w:szCs w:val="20"/>
              </w:rPr>
              <w:t>South Asia</w:t>
            </w:r>
          </w:p>
        </w:tc>
        <w:tc>
          <w:tcPr>
            <w:tcW w:w="1300" w:type="dxa"/>
            <w:tcBorders>
              <w:top w:val="nil"/>
              <w:left w:val="nil"/>
              <w:bottom w:val="single" w:sz="8" w:space="0" w:color="666666"/>
              <w:right w:val="single" w:sz="8" w:space="0" w:color="666666"/>
            </w:tcBorders>
            <w:shd w:val="clear" w:color="auto" w:fill="auto"/>
            <w:noWrap/>
            <w:vAlign w:val="center"/>
          </w:tcPr>
          <w:p w14:paraId="52957B3B" w14:textId="77777777" w:rsidR="00E63F69" w:rsidRPr="000151BA" w:rsidRDefault="00E63F69" w:rsidP="001A78AF">
            <w:pPr>
              <w:rPr>
                <w:sz w:val="20"/>
                <w:szCs w:val="20"/>
              </w:rPr>
            </w:pPr>
            <w:r w:rsidRPr="000151BA">
              <w:rPr>
                <w:sz w:val="20"/>
                <w:szCs w:val="20"/>
              </w:rPr>
              <w:t>6,095,673</w:t>
            </w:r>
          </w:p>
        </w:tc>
        <w:tc>
          <w:tcPr>
            <w:tcW w:w="1300" w:type="dxa"/>
            <w:tcBorders>
              <w:top w:val="nil"/>
              <w:left w:val="nil"/>
              <w:bottom w:val="single" w:sz="8" w:space="0" w:color="666666"/>
              <w:right w:val="single" w:sz="8" w:space="0" w:color="666666"/>
            </w:tcBorders>
            <w:shd w:val="clear" w:color="auto" w:fill="auto"/>
            <w:noWrap/>
            <w:vAlign w:val="center"/>
          </w:tcPr>
          <w:p w14:paraId="4BA57AA6" w14:textId="77777777" w:rsidR="00E63F69" w:rsidRPr="000151BA" w:rsidRDefault="00E63F69" w:rsidP="000B5B50">
            <w:pPr>
              <w:rPr>
                <w:sz w:val="20"/>
                <w:szCs w:val="20"/>
              </w:rPr>
            </w:pPr>
            <w:r w:rsidRPr="000151BA">
              <w:rPr>
                <w:sz w:val="20"/>
                <w:szCs w:val="20"/>
              </w:rPr>
              <w:t>5,749,322</w:t>
            </w:r>
          </w:p>
        </w:tc>
        <w:tc>
          <w:tcPr>
            <w:tcW w:w="1300" w:type="dxa"/>
            <w:tcBorders>
              <w:top w:val="nil"/>
              <w:left w:val="nil"/>
              <w:bottom w:val="single" w:sz="8" w:space="0" w:color="666666"/>
              <w:right w:val="single" w:sz="8" w:space="0" w:color="666666"/>
            </w:tcBorders>
            <w:shd w:val="clear" w:color="auto" w:fill="auto"/>
            <w:noWrap/>
            <w:vAlign w:val="center"/>
          </w:tcPr>
          <w:p w14:paraId="265F0195" w14:textId="77777777" w:rsidR="00E63F69" w:rsidRPr="000151BA" w:rsidRDefault="00E63F69" w:rsidP="000B5B50">
            <w:pPr>
              <w:rPr>
                <w:sz w:val="20"/>
                <w:szCs w:val="20"/>
              </w:rPr>
            </w:pPr>
            <w:r w:rsidRPr="000151BA">
              <w:rPr>
                <w:sz w:val="20"/>
                <w:szCs w:val="20"/>
              </w:rPr>
              <w:t>36%</w:t>
            </w:r>
          </w:p>
        </w:tc>
      </w:tr>
      <w:tr w:rsidR="00E63F69" w:rsidRPr="00090F38" w14:paraId="25C47215" w14:textId="77777777">
        <w:trPr>
          <w:trHeight w:val="340"/>
        </w:trPr>
        <w:tc>
          <w:tcPr>
            <w:tcW w:w="1300" w:type="dxa"/>
            <w:tcBorders>
              <w:top w:val="nil"/>
              <w:left w:val="single" w:sz="8" w:space="0" w:color="666666"/>
              <w:bottom w:val="single" w:sz="8" w:space="0" w:color="666666"/>
              <w:right w:val="single" w:sz="8" w:space="0" w:color="666666"/>
            </w:tcBorders>
            <w:shd w:val="clear" w:color="000000" w:fill="CCCCCC"/>
            <w:noWrap/>
            <w:vAlign w:val="center"/>
          </w:tcPr>
          <w:p w14:paraId="2E3F1458" w14:textId="77777777" w:rsidR="00E63F69" w:rsidRPr="000151BA" w:rsidRDefault="00E63F69" w:rsidP="001A78AF">
            <w:pPr>
              <w:rPr>
                <w:sz w:val="20"/>
                <w:szCs w:val="20"/>
              </w:rPr>
            </w:pPr>
            <w:r w:rsidRPr="000151BA">
              <w:rPr>
                <w:sz w:val="20"/>
                <w:szCs w:val="20"/>
              </w:rPr>
              <w:t>Sri Lanka</w:t>
            </w:r>
          </w:p>
        </w:tc>
        <w:tc>
          <w:tcPr>
            <w:tcW w:w="1300" w:type="dxa"/>
            <w:tcBorders>
              <w:top w:val="nil"/>
              <w:left w:val="nil"/>
              <w:bottom w:val="single" w:sz="8" w:space="0" w:color="666666"/>
              <w:right w:val="single" w:sz="8" w:space="0" w:color="666666"/>
            </w:tcBorders>
            <w:shd w:val="clear" w:color="000000" w:fill="CCCCCC"/>
            <w:noWrap/>
            <w:vAlign w:val="center"/>
          </w:tcPr>
          <w:p w14:paraId="44FC33BC" w14:textId="77777777" w:rsidR="00E63F69" w:rsidRPr="000151BA" w:rsidRDefault="00E63F69" w:rsidP="001A78AF">
            <w:pPr>
              <w:rPr>
                <w:sz w:val="20"/>
                <w:szCs w:val="20"/>
              </w:rPr>
            </w:pPr>
            <w:r w:rsidRPr="000151BA">
              <w:rPr>
                <w:sz w:val="20"/>
                <w:szCs w:val="20"/>
              </w:rPr>
              <w:t>473,644</w:t>
            </w:r>
          </w:p>
        </w:tc>
        <w:tc>
          <w:tcPr>
            <w:tcW w:w="1300" w:type="dxa"/>
            <w:tcBorders>
              <w:top w:val="nil"/>
              <w:left w:val="nil"/>
              <w:bottom w:val="single" w:sz="8" w:space="0" w:color="666666"/>
              <w:right w:val="single" w:sz="8" w:space="0" w:color="666666"/>
            </w:tcBorders>
            <w:shd w:val="clear" w:color="000000" w:fill="CCCCCC"/>
            <w:noWrap/>
            <w:vAlign w:val="center"/>
          </w:tcPr>
          <w:p w14:paraId="1A597CE1" w14:textId="77777777" w:rsidR="00E63F69" w:rsidRPr="000151BA" w:rsidRDefault="00E63F69" w:rsidP="000B5B50">
            <w:pPr>
              <w:rPr>
                <w:sz w:val="20"/>
                <w:szCs w:val="20"/>
              </w:rPr>
            </w:pPr>
            <w:r w:rsidRPr="000151BA">
              <w:rPr>
                <w:sz w:val="20"/>
                <w:szCs w:val="20"/>
              </w:rPr>
              <w:t>320,835</w:t>
            </w:r>
          </w:p>
        </w:tc>
        <w:tc>
          <w:tcPr>
            <w:tcW w:w="1300" w:type="dxa"/>
            <w:tcBorders>
              <w:top w:val="nil"/>
              <w:left w:val="nil"/>
              <w:bottom w:val="single" w:sz="8" w:space="0" w:color="666666"/>
              <w:right w:val="single" w:sz="8" w:space="0" w:color="666666"/>
            </w:tcBorders>
            <w:shd w:val="clear" w:color="000000" w:fill="CCCCCC"/>
            <w:noWrap/>
            <w:vAlign w:val="center"/>
          </w:tcPr>
          <w:p w14:paraId="76188573" w14:textId="77777777" w:rsidR="00E63F69" w:rsidRPr="000151BA" w:rsidRDefault="00E63F69" w:rsidP="000B5B50">
            <w:pPr>
              <w:rPr>
                <w:sz w:val="20"/>
                <w:szCs w:val="20"/>
              </w:rPr>
            </w:pPr>
            <w:r w:rsidRPr="000151BA">
              <w:rPr>
                <w:sz w:val="20"/>
                <w:szCs w:val="20"/>
              </w:rPr>
              <w:t>3%</w:t>
            </w:r>
          </w:p>
        </w:tc>
      </w:tr>
      <w:tr w:rsidR="00E63F69" w:rsidRPr="00090F38" w14:paraId="0E99CDE6" w14:textId="77777777">
        <w:trPr>
          <w:trHeight w:val="340"/>
        </w:trPr>
        <w:tc>
          <w:tcPr>
            <w:tcW w:w="1300" w:type="dxa"/>
            <w:tcBorders>
              <w:top w:val="nil"/>
              <w:left w:val="single" w:sz="8" w:space="0" w:color="666666"/>
              <w:bottom w:val="single" w:sz="8" w:space="0" w:color="666666"/>
              <w:right w:val="single" w:sz="8" w:space="0" w:color="666666"/>
            </w:tcBorders>
            <w:shd w:val="clear" w:color="auto" w:fill="auto"/>
            <w:noWrap/>
            <w:vAlign w:val="center"/>
          </w:tcPr>
          <w:p w14:paraId="7C595948" w14:textId="77777777" w:rsidR="00E63F69" w:rsidRPr="000151BA" w:rsidRDefault="00E63F69" w:rsidP="001A78AF">
            <w:pPr>
              <w:rPr>
                <w:sz w:val="20"/>
                <w:szCs w:val="20"/>
              </w:rPr>
            </w:pPr>
            <w:r w:rsidRPr="000151BA">
              <w:rPr>
                <w:sz w:val="20"/>
                <w:szCs w:val="20"/>
              </w:rPr>
              <w:t>Total</w:t>
            </w:r>
          </w:p>
        </w:tc>
        <w:tc>
          <w:tcPr>
            <w:tcW w:w="1300" w:type="dxa"/>
            <w:tcBorders>
              <w:top w:val="nil"/>
              <w:left w:val="nil"/>
              <w:bottom w:val="single" w:sz="8" w:space="0" w:color="666666"/>
              <w:right w:val="single" w:sz="8" w:space="0" w:color="666666"/>
            </w:tcBorders>
            <w:shd w:val="clear" w:color="auto" w:fill="auto"/>
            <w:noWrap/>
            <w:vAlign w:val="center"/>
          </w:tcPr>
          <w:p w14:paraId="0AC30E34" w14:textId="77777777" w:rsidR="00E63F69" w:rsidRPr="000151BA" w:rsidRDefault="00E63F69" w:rsidP="001A78AF">
            <w:pPr>
              <w:rPr>
                <w:sz w:val="20"/>
                <w:szCs w:val="20"/>
              </w:rPr>
            </w:pPr>
            <w:r w:rsidRPr="000151BA">
              <w:rPr>
                <w:sz w:val="20"/>
                <w:szCs w:val="20"/>
              </w:rPr>
              <w:t>16,829,922</w:t>
            </w:r>
          </w:p>
        </w:tc>
        <w:tc>
          <w:tcPr>
            <w:tcW w:w="1300" w:type="dxa"/>
            <w:tcBorders>
              <w:top w:val="nil"/>
              <w:left w:val="nil"/>
              <w:bottom w:val="single" w:sz="8" w:space="0" w:color="666666"/>
              <w:right w:val="single" w:sz="8" w:space="0" w:color="666666"/>
            </w:tcBorders>
            <w:shd w:val="clear" w:color="auto" w:fill="auto"/>
            <w:noWrap/>
            <w:vAlign w:val="center"/>
          </w:tcPr>
          <w:p w14:paraId="78049BDB" w14:textId="77777777" w:rsidR="00E63F69" w:rsidRPr="000151BA" w:rsidRDefault="00E63F69" w:rsidP="000B5B50">
            <w:pPr>
              <w:rPr>
                <w:sz w:val="20"/>
                <w:szCs w:val="20"/>
              </w:rPr>
            </w:pPr>
            <w:r w:rsidRPr="000151BA">
              <w:rPr>
                <w:sz w:val="20"/>
                <w:szCs w:val="20"/>
              </w:rPr>
              <w:t>15,407,137</w:t>
            </w:r>
          </w:p>
        </w:tc>
        <w:tc>
          <w:tcPr>
            <w:tcW w:w="1300" w:type="dxa"/>
            <w:tcBorders>
              <w:top w:val="nil"/>
              <w:left w:val="nil"/>
              <w:bottom w:val="single" w:sz="8" w:space="0" w:color="666666"/>
              <w:right w:val="single" w:sz="8" w:space="0" w:color="666666"/>
            </w:tcBorders>
            <w:shd w:val="clear" w:color="auto" w:fill="auto"/>
            <w:noWrap/>
          </w:tcPr>
          <w:p w14:paraId="63DC1EE3" w14:textId="77777777" w:rsidR="00E63F69" w:rsidRPr="000151BA" w:rsidRDefault="00E63F69" w:rsidP="000B5B50">
            <w:pPr>
              <w:rPr>
                <w:sz w:val="20"/>
                <w:szCs w:val="20"/>
              </w:rPr>
            </w:pPr>
            <w:r w:rsidRPr="000151BA">
              <w:rPr>
                <w:sz w:val="20"/>
                <w:szCs w:val="20"/>
              </w:rPr>
              <w:t> </w:t>
            </w:r>
          </w:p>
        </w:tc>
      </w:tr>
    </w:tbl>
    <w:p w14:paraId="3D7CA574" w14:textId="77777777" w:rsidR="00596A62" w:rsidRPr="000151BA" w:rsidRDefault="00596A62" w:rsidP="00F65774">
      <w:pPr>
        <w:rPr>
          <w:sz w:val="20"/>
          <w:szCs w:val="20"/>
        </w:rPr>
      </w:pPr>
    </w:p>
    <w:p w14:paraId="71E4361E" w14:textId="77777777" w:rsidR="00596A62" w:rsidRPr="00715BAB" w:rsidRDefault="00596A62" w:rsidP="001B449B">
      <w:pPr>
        <w:pStyle w:val="Heading3"/>
        <w:rPr>
          <w:szCs w:val="20"/>
        </w:rPr>
      </w:pPr>
      <w:r w:rsidRPr="00715BAB">
        <w:rPr>
          <w:szCs w:val="20"/>
        </w:rPr>
        <w:t>Disbursement of IFG funds by sector (Data set provided in Dec 2017)</w:t>
      </w:r>
    </w:p>
    <w:tbl>
      <w:tblPr>
        <w:tblW w:w="5200" w:type="dxa"/>
        <w:tblLook w:val="04A0" w:firstRow="1" w:lastRow="0" w:firstColumn="1" w:lastColumn="0" w:noHBand="0" w:noVBand="1"/>
      </w:tblPr>
      <w:tblGrid>
        <w:gridCol w:w="1300"/>
        <w:gridCol w:w="1300"/>
        <w:gridCol w:w="1300"/>
        <w:gridCol w:w="1300"/>
      </w:tblGrid>
      <w:tr w:rsidR="00E63F69" w:rsidRPr="00090F38" w14:paraId="2CF7CFF7" w14:textId="77777777" w:rsidTr="00A02664">
        <w:trPr>
          <w:trHeight w:val="320"/>
        </w:trPr>
        <w:tc>
          <w:tcPr>
            <w:tcW w:w="1300" w:type="dxa"/>
            <w:vMerge w:val="restart"/>
            <w:tcBorders>
              <w:top w:val="single" w:sz="8" w:space="0" w:color="000000"/>
              <w:left w:val="single" w:sz="8" w:space="0" w:color="000000"/>
              <w:bottom w:val="single" w:sz="8" w:space="0" w:color="000000"/>
              <w:right w:val="single" w:sz="4" w:space="0" w:color="auto"/>
            </w:tcBorders>
            <w:shd w:val="clear" w:color="auto" w:fill="auto"/>
            <w:noWrap/>
            <w:vAlign w:val="center"/>
          </w:tcPr>
          <w:p w14:paraId="5AFD1B14" w14:textId="77777777" w:rsidR="00E63F69" w:rsidRPr="000151BA" w:rsidRDefault="00E63F69" w:rsidP="001B449B">
            <w:pPr>
              <w:rPr>
                <w:sz w:val="20"/>
                <w:szCs w:val="20"/>
              </w:rPr>
            </w:pPr>
            <w:r w:rsidRPr="000151BA">
              <w:rPr>
                <w:sz w:val="20"/>
                <w:szCs w:val="20"/>
              </w:rPr>
              <w:t>Sector</w:t>
            </w:r>
          </w:p>
        </w:tc>
        <w:tc>
          <w:tcPr>
            <w:tcW w:w="1300" w:type="dxa"/>
            <w:vMerge w:val="restart"/>
            <w:tcBorders>
              <w:top w:val="single" w:sz="8" w:space="0" w:color="000000"/>
              <w:left w:val="single" w:sz="4" w:space="0" w:color="auto"/>
              <w:bottom w:val="single" w:sz="8" w:space="0" w:color="000000"/>
              <w:right w:val="single" w:sz="4" w:space="0" w:color="auto"/>
            </w:tcBorders>
            <w:shd w:val="clear" w:color="auto" w:fill="auto"/>
            <w:noWrap/>
            <w:vAlign w:val="center"/>
          </w:tcPr>
          <w:p w14:paraId="3B04A39C" w14:textId="77777777" w:rsidR="00E63F69" w:rsidRPr="000151BA" w:rsidRDefault="00E63F69">
            <w:pPr>
              <w:rPr>
                <w:sz w:val="20"/>
                <w:szCs w:val="20"/>
              </w:rPr>
            </w:pPr>
            <w:r w:rsidRPr="000151BA">
              <w:rPr>
                <w:sz w:val="20"/>
                <w:szCs w:val="20"/>
              </w:rPr>
              <w:t>Grant</w:t>
            </w:r>
          </w:p>
        </w:tc>
        <w:tc>
          <w:tcPr>
            <w:tcW w:w="1300" w:type="dxa"/>
            <w:vMerge w:val="restart"/>
            <w:tcBorders>
              <w:top w:val="single" w:sz="8" w:space="0" w:color="000000"/>
              <w:left w:val="single" w:sz="4" w:space="0" w:color="auto"/>
              <w:bottom w:val="single" w:sz="8" w:space="0" w:color="000000"/>
              <w:right w:val="single" w:sz="4" w:space="0" w:color="auto"/>
            </w:tcBorders>
            <w:shd w:val="clear" w:color="auto" w:fill="auto"/>
            <w:noWrap/>
            <w:vAlign w:val="center"/>
          </w:tcPr>
          <w:p w14:paraId="3C056D3E" w14:textId="77777777" w:rsidR="00E63F69" w:rsidRPr="000151BA" w:rsidRDefault="00E63F69">
            <w:pPr>
              <w:rPr>
                <w:sz w:val="20"/>
                <w:szCs w:val="20"/>
              </w:rPr>
            </w:pPr>
            <w:r w:rsidRPr="000151BA">
              <w:rPr>
                <w:sz w:val="20"/>
                <w:szCs w:val="20"/>
              </w:rPr>
              <w:t>disbursed</w:t>
            </w:r>
          </w:p>
        </w:tc>
        <w:tc>
          <w:tcPr>
            <w:tcW w:w="1300" w:type="dxa"/>
            <w:tcBorders>
              <w:top w:val="single" w:sz="8" w:space="0" w:color="000000"/>
              <w:left w:val="single" w:sz="4" w:space="0" w:color="auto"/>
              <w:bottom w:val="nil"/>
              <w:right w:val="single" w:sz="8" w:space="0" w:color="000000"/>
            </w:tcBorders>
            <w:shd w:val="clear" w:color="auto" w:fill="auto"/>
            <w:noWrap/>
            <w:vAlign w:val="center"/>
          </w:tcPr>
          <w:p w14:paraId="373CA7A2" w14:textId="77777777" w:rsidR="00E63F69" w:rsidRPr="000151BA" w:rsidRDefault="00E63F69">
            <w:pPr>
              <w:rPr>
                <w:sz w:val="20"/>
                <w:szCs w:val="20"/>
              </w:rPr>
            </w:pPr>
            <w:r w:rsidRPr="000151BA">
              <w:rPr>
                <w:sz w:val="20"/>
                <w:szCs w:val="20"/>
              </w:rPr>
              <w:t>% grant</w:t>
            </w:r>
          </w:p>
        </w:tc>
      </w:tr>
      <w:tr w:rsidR="00E63F69" w:rsidRPr="00090F38" w14:paraId="7A6C6988" w14:textId="77777777" w:rsidTr="00A02664">
        <w:trPr>
          <w:trHeight w:val="340"/>
        </w:trPr>
        <w:tc>
          <w:tcPr>
            <w:tcW w:w="1300" w:type="dxa"/>
            <w:vMerge/>
            <w:tcBorders>
              <w:top w:val="single" w:sz="8" w:space="0" w:color="000000"/>
              <w:left w:val="single" w:sz="8" w:space="0" w:color="000000"/>
              <w:bottom w:val="single" w:sz="8" w:space="0" w:color="000000"/>
              <w:right w:val="single" w:sz="4" w:space="0" w:color="auto"/>
            </w:tcBorders>
            <w:shd w:val="clear" w:color="auto" w:fill="auto"/>
            <w:vAlign w:val="center"/>
          </w:tcPr>
          <w:p w14:paraId="39F1EF9A" w14:textId="77777777" w:rsidR="00E63F69" w:rsidRPr="000151BA" w:rsidRDefault="00E63F69">
            <w:pPr>
              <w:rPr>
                <w:sz w:val="20"/>
                <w:szCs w:val="20"/>
              </w:rPr>
            </w:pPr>
          </w:p>
        </w:tc>
        <w:tc>
          <w:tcPr>
            <w:tcW w:w="1300" w:type="dxa"/>
            <w:vMerge/>
            <w:tcBorders>
              <w:top w:val="single" w:sz="8" w:space="0" w:color="000000"/>
              <w:left w:val="single" w:sz="4" w:space="0" w:color="auto"/>
              <w:bottom w:val="single" w:sz="8" w:space="0" w:color="000000"/>
              <w:right w:val="single" w:sz="4" w:space="0" w:color="auto"/>
            </w:tcBorders>
            <w:shd w:val="clear" w:color="auto" w:fill="auto"/>
            <w:vAlign w:val="center"/>
          </w:tcPr>
          <w:p w14:paraId="1181BB9E" w14:textId="77777777" w:rsidR="00E63F69" w:rsidRPr="000151BA" w:rsidRDefault="00E63F69">
            <w:pPr>
              <w:rPr>
                <w:sz w:val="20"/>
                <w:szCs w:val="20"/>
              </w:rPr>
            </w:pPr>
          </w:p>
        </w:tc>
        <w:tc>
          <w:tcPr>
            <w:tcW w:w="1300" w:type="dxa"/>
            <w:vMerge/>
            <w:tcBorders>
              <w:top w:val="single" w:sz="8" w:space="0" w:color="000000"/>
              <w:left w:val="single" w:sz="4" w:space="0" w:color="auto"/>
              <w:bottom w:val="single" w:sz="8" w:space="0" w:color="000000"/>
              <w:right w:val="single" w:sz="4" w:space="0" w:color="auto"/>
            </w:tcBorders>
            <w:shd w:val="clear" w:color="auto" w:fill="auto"/>
            <w:vAlign w:val="center"/>
          </w:tcPr>
          <w:p w14:paraId="3907599E" w14:textId="77777777" w:rsidR="00E63F69" w:rsidRPr="000151BA" w:rsidRDefault="00E63F69">
            <w:pPr>
              <w:rPr>
                <w:sz w:val="20"/>
                <w:szCs w:val="20"/>
              </w:rPr>
            </w:pPr>
          </w:p>
        </w:tc>
        <w:tc>
          <w:tcPr>
            <w:tcW w:w="1300" w:type="dxa"/>
            <w:tcBorders>
              <w:top w:val="nil"/>
              <w:left w:val="single" w:sz="4" w:space="0" w:color="auto"/>
              <w:bottom w:val="single" w:sz="8" w:space="0" w:color="000000"/>
              <w:right w:val="single" w:sz="8" w:space="0" w:color="000000"/>
            </w:tcBorders>
            <w:shd w:val="clear" w:color="auto" w:fill="auto"/>
            <w:noWrap/>
            <w:vAlign w:val="center"/>
          </w:tcPr>
          <w:p w14:paraId="6A05C53B" w14:textId="77777777" w:rsidR="00E63F69" w:rsidRPr="000151BA" w:rsidRDefault="00E63F69">
            <w:pPr>
              <w:rPr>
                <w:sz w:val="20"/>
                <w:szCs w:val="20"/>
              </w:rPr>
            </w:pPr>
            <w:r w:rsidRPr="000151BA">
              <w:rPr>
                <w:sz w:val="20"/>
                <w:szCs w:val="20"/>
              </w:rPr>
              <w:t>by sector</w:t>
            </w:r>
          </w:p>
        </w:tc>
      </w:tr>
      <w:tr w:rsidR="00E63F69" w:rsidRPr="00090F38" w14:paraId="3DBE4B44" w14:textId="77777777">
        <w:trPr>
          <w:trHeight w:val="340"/>
        </w:trPr>
        <w:tc>
          <w:tcPr>
            <w:tcW w:w="1300" w:type="dxa"/>
            <w:tcBorders>
              <w:top w:val="nil"/>
              <w:left w:val="single" w:sz="8" w:space="0" w:color="666666"/>
              <w:bottom w:val="single" w:sz="8" w:space="0" w:color="666666"/>
              <w:right w:val="single" w:sz="8" w:space="0" w:color="666666"/>
            </w:tcBorders>
            <w:shd w:val="clear" w:color="000000" w:fill="CCCCCC"/>
            <w:noWrap/>
            <w:vAlign w:val="center"/>
          </w:tcPr>
          <w:p w14:paraId="2C198556" w14:textId="77777777" w:rsidR="00E63F69" w:rsidRPr="000151BA" w:rsidRDefault="00E63F69" w:rsidP="001A78AF">
            <w:pPr>
              <w:rPr>
                <w:sz w:val="20"/>
                <w:szCs w:val="20"/>
              </w:rPr>
            </w:pPr>
            <w:r w:rsidRPr="000151BA">
              <w:rPr>
                <w:sz w:val="20"/>
                <w:szCs w:val="20"/>
              </w:rPr>
              <w:t>Transport</w:t>
            </w:r>
          </w:p>
        </w:tc>
        <w:tc>
          <w:tcPr>
            <w:tcW w:w="1300" w:type="dxa"/>
            <w:tcBorders>
              <w:top w:val="nil"/>
              <w:left w:val="nil"/>
              <w:bottom w:val="single" w:sz="8" w:space="0" w:color="666666"/>
              <w:right w:val="single" w:sz="8" w:space="0" w:color="666666"/>
            </w:tcBorders>
            <w:shd w:val="clear" w:color="000000" w:fill="CCCCCC"/>
            <w:noWrap/>
            <w:vAlign w:val="center"/>
          </w:tcPr>
          <w:p w14:paraId="6A1D02B1" w14:textId="77777777" w:rsidR="00E63F69" w:rsidRPr="000151BA" w:rsidRDefault="00E63F69" w:rsidP="001A78AF">
            <w:pPr>
              <w:rPr>
                <w:sz w:val="20"/>
                <w:szCs w:val="20"/>
              </w:rPr>
            </w:pPr>
            <w:r w:rsidRPr="000151BA">
              <w:rPr>
                <w:sz w:val="20"/>
                <w:szCs w:val="20"/>
              </w:rPr>
              <w:t>6,906,628</w:t>
            </w:r>
          </w:p>
        </w:tc>
        <w:tc>
          <w:tcPr>
            <w:tcW w:w="1300" w:type="dxa"/>
            <w:tcBorders>
              <w:top w:val="nil"/>
              <w:left w:val="nil"/>
              <w:bottom w:val="single" w:sz="8" w:space="0" w:color="666666"/>
              <w:right w:val="single" w:sz="8" w:space="0" w:color="666666"/>
            </w:tcBorders>
            <w:shd w:val="clear" w:color="000000" w:fill="CCCCCC"/>
            <w:noWrap/>
            <w:vAlign w:val="center"/>
          </w:tcPr>
          <w:p w14:paraId="75FD20F5" w14:textId="77777777" w:rsidR="00E63F69" w:rsidRPr="000151BA" w:rsidRDefault="00E63F69" w:rsidP="000B5B50">
            <w:pPr>
              <w:rPr>
                <w:sz w:val="20"/>
                <w:szCs w:val="20"/>
              </w:rPr>
            </w:pPr>
            <w:r w:rsidRPr="000151BA">
              <w:rPr>
                <w:sz w:val="20"/>
                <w:szCs w:val="20"/>
              </w:rPr>
              <w:t>4,872,643</w:t>
            </w:r>
          </w:p>
        </w:tc>
        <w:tc>
          <w:tcPr>
            <w:tcW w:w="1300" w:type="dxa"/>
            <w:tcBorders>
              <w:top w:val="nil"/>
              <w:left w:val="nil"/>
              <w:bottom w:val="single" w:sz="8" w:space="0" w:color="666666"/>
              <w:right w:val="single" w:sz="8" w:space="0" w:color="666666"/>
            </w:tcBorders>
            <w:shd w:val="clear" w:color="000000" w:fill="CCCCCC"/>
            <w:noWrap/>
            <w:vAlign w:val="center"/>
          </w:tcPr>
          <w:p w14:paraId="0AE63CFC" w14:textId="77777777" w:rsidR="00E63F69" w:rsidRPr="000151BA" w:rsidRDefault="00E63F69" w:rsidP="000B5B50">
            <w:pPr>
              <w:rPr>
                <w:sz w:val="20"/>
                <w:szCs w:val="20"/>
              </w:rPr>
            </w:pPr>
            <w:r w:rsidRPr="000151BA">
              <w:rPr>
                <w:sz w:val="20"/>
                <w:szCs w:val="20"/>
              </w:rPr>
              <w:t>42%</w:t>
            </w:r>
          </w:p>
        </w:tc>
      </w:tr>
      <w:tr w:rsidR="00E63F69" w:rsidRPr="00090F38" w14:paraId="6FBD2944" w14:textId="77777777">
        <w:trPr>
          <w:trHeight w:val="340"/>
        </w:trPr>
        <w:tc>
          <w:tcPr>
            <w:tcW w:w="1300" w:type="dxa"/>
            <w:tcBorders>
              <w:top w:val="nil"/>
              <w:left w:val="single" w:sz="8" w:space="0" w:color="666666"/>
              <w:bottom w:val="single" w:sz="8" w:space="0" w:color="666666"/>
              <w:right w:val="single" w:sz="8" w:space="0" w:color="666666"/>
            </w:tcBorders>
            <w:shd w:val="clear" w:color="auto" w:fill="auto"/>
            <w:noWrap/>
            <w:vAlign w:val="center"/>
          </w:tcPr>
          <w:p w14:paraId="485A40A0" w14:textId="77777777" w:rsidR="00E63F69" w:rsidRPr="000151BA" w:rsidRDefault="00E63F69" w:rsidP="001A78AF">
            <w:pPr>
              <w:rPr>
                <w:sz w:val="20"/>
                <w:szCs w:val="20"/>
              </w:rPr>
            </w:pPr>
            <w:r w:rsidRPr="000151BA">
              <w:rPr>
                <w:sz w:val="20"/>
                <w:szCs w:val="20"/>
              </w:rPr>
              <w:t>Water</w:t>
            </w:r>
          </w:p>
        </w:tc>
        <w:tc>
          <w:tcPr>
            <w:tcW w:w="1300" w:type="dxa"/>
            <w:tcBorders>
              <w:top w:val="nil"/>
              <w:left w:val="nil"/>
              <w:bottom w:val="single" w:sz="8" w:space="0" w:color="666666"/>
              <w:right w:val="single" w:sz="8" w:space="0" w:color="666666"/>
            </w:tcBorders>
            <w:shd w:val="clear" w:color="auto" w:fill="auto"/>
            <w:noWrap/>
            <w:vAlign w:val="center"/>
          </w:tcPr>
          <w:p w14:paraId="496E1A8F" w14:textId="77777777" w:rsidR="00E63F69" w:rsidRPr="000151BA" w:rsidRDefault="00E63F69" w:rsidP="001A78AF">
            <w:pPr>
              <w:rPr>
                <w:sz w:val="20"/>
                <w:szCs w:val="20"/>
              </w:rPr>
            </w:pPr>
            <w:r w:rsidRPr="000151BA">
              <w:rPr>
                <w:sz w:val="20"/>
                <w:szCs w:val="20"/>
              </w:rPr>
              <w:t>485,000</w:t>
            </w:r>
          </w:p>
        </w:tc>
        <w:tc>
          <w:tcPr>
            <w:tcW w:w="1300" w:type="dxa"/>
            <w:tcBorders>
              <w:top w:val="nil"/>
              <w:left w:val="nil"/>
              <w:bottom w:val="single" w:sz="8" w:space="0" w:color="666666"/>
              <w:right w:val="single" w:sz="8" w:space="0" w:color="666666"/>
            </w:tcBorders>
            <w:shd w:val="clear" w:color="auto" w:fill="auto"/>
            <w:noWrap/>
            <w:vAlign w:val="center"/>
          </w:tcPr>
          <w:p w14:paraId="1FFDB106" w14:textId="77777777" w:rsidR="00E63F69" w:rsidRPr="000151BA" w:rsidRDefault="00E63F69" w:rsidP="000B5B50">
            <w:pPr>
              <w:rPr>
                <w:sz w:val="20"/>
                <w:szCs w:val="20"/>
              </w:rPr>
            </w:pPr>
            <w:r w:rsidRPr="000151BA">
              <w:rPr>
                <w:sz w:val="20"/>
                <w:szCs w:val="20"/>
              </w:rPr>
              <w:t>370,085</w:t>
            </w:r>
          </w:p>
        </w:tc>
        <w:tc>
          <w:tcPr>
            <w:tcW w:w="1300" w:type="dxa"/>
            <w:tcBorders>
              <w:top w:val="nil"/>
              <w:left w:val="nil"/>
              <w:bottom w:val="single" w:sz="8" w:space="0" w:color="666666"/>
              <w:right w:val="single" w:sz="8" w:space="0" w:color="666666"/>
            </w:tcBorders>
            <w:shd w:val="clear" w:color="auto" w:fill="auto"/>
            <w:noWrap/>
            <w:vAlign w:val="center"/>
          </w:tcPr>
          <w:p w14:paraId="627CFB2F" w14:textId="77777777" w:rsidR="00E63F69" w:rsidRPr="000151BA" w:rsidRDefault="00E63F69" w:rsidP="000B5B50">
            <w:pPr>
              <w:rPr>
                <w:sz w:val="20"/>
                <w:szCs w:val="20"/>
              </w:rPr>
            </w:pPr>
            <w:r w:rsidRPr="000151BA">
              <w:rPr>
                <w:sz w:val="20"/>
                <w:szCs w:val="20"/>
              </w:rPr>
              <w:t>3%</w:t>
            </w:r>
          </w:p>
        </w:tc>
      </w:tr>
      <w:tr w:rsidR="00E63F69" w:rsidRPr="00090F38" w14:paraId="3A38092D" w14:textId="77777777">
        <w:trPr>
          <w:trHeight w:val="340"/>
        </w:trPr>
        <w:tc>
          <w:tcPr>
            <w:tcW w:w="1300" w:type="dxa"/>
            <w:tcBorders>
              <w:top w:val="nil"/>
              <w:left w:val="single" w:sz="8" w:space="0" w:color="666666"/>
              <w:bottom w:val="single" w:sz="8" w:space="0" w:color="666666"/>
              <w:right w:val="single" w:sz="8" w:space="0" w:color="666666"/>
            </w:tcBorders>
            <w:shd w:val="clear" w:color="000000" w:fill="CCCCCC"/>
            <w:noWrap/>
            <w:vAlign w:val="center"/>
          </w:tcPr>
          <w:p w14:paraId="46E504D2" w14:textId="77777777" w:rsidR="00E63F69" w:rsidRPr="000151BA" w:rsidRDefault="00E63F69" w:rsidP="001A78AF">
            <w:pPr>
              <w:rPr>
                <w:sz w:val="20"/>
                <w:szCs w:val="20"/>
              </w:rPr>
            </w:pPr>
            <w:r w:rsidRPr="000151BA">
              <w:rPr>
                <w:sz w:val="20"/>
                <w:szCs w:val="20"/>
              </w:rPr>
              <w:t>Energy</w:t>
            </w:r>
          </w:p>
        </w:tc>
        <w:tc>
          <w:tcPr>
            <w:tcW w:w="1300" w:type="dxa"/>
            <w:tcBorders>
              <w:top w:val="nil"/>
              <w:left w:val="nil"/>
              <w:bottom w:val="single" w:sz="8" w:space="0" w:color="666666"/>
              <w:right w:val="single" w:sz="8" w:space="0" w:color="666666"/>
            </w:tcBorders>
            <w:shd w:val="clear" w:color="000000" w:fill="CCCCCC"/>
            <w:noWrap/>
            <w:vAlign w:val="center"/>
          </w:tcPr>
          <w:p w14:paraId="5AF6D483" w14:textId="77777777" w:rsidR="00E63F69" w:rsidRPr="000151BA" w:rsidRDefault="00E63F69" w:rsidP="001A78AF">
            <w:pPr>
              <w:rPr>
                <w:sz w:val="20"/>
                <w:szCs w:val="20"/>
              </w:rPr>
            </w:pPr>
            <w:r w:rsidRPr="000151BA">
              <w:rPr>
                <w:sz w:val="20"/>
                <w:szCs w:val="20"/>
              </w:rPr>
              <w:t>2,106,307</w:t>
            </w:r>
          </w:p>
        </w:tc>
        <w:tc>
          <w:tcPr>
            <w:tcW w:w="1300" w:type="dxa"/>
            <w:tcBorders>
              <w:top w:val="nil"/>
              <w:left w:val="nil"/>
              <w:bottom w:val="single" w:sz="8" w:space="0" w:color="666666"/>
              <w:right w:val="single" w:sz="8" w:space="0" w:color="666666"/>
            </w:tcBorders>
            <w:shd w:val="clear" w:color="000000" w:fill="CCCCCC"/>
            <w:noWrap/>
            <w:vAlign w:val="center"/>
          </w:tcPr>
          <w:p w14:paraId="4A4398D4" w14:textId="77777777" w:rsidR="00E63F69" w:rsidRPr="000151BA" w:rsidRDefault="00E63F69" w:rsidP="000B5B50">
            <w:pPr>
              <w:rPr>
                <w:sz w:val="20"/>
                <w:szCs w:val="20"/>
              </w:rPr>
            </w:pPr>
            <w:r w:rsidRPr="000151BA">
              <w:rPr>
                <w:sz w:val="20"/>
                <w:szCs w:val="20"/>
              </w:rPr>
              <w:t>1,716,881</w:t>
            </w:r>
          </w:p>
        </w:tc>
        <w:tc>
          <w:tcPr>
            <w:tcW w:w="1300" w:type="dxa"/>
            <w:tcBorders>
              <w:top w:val="nil"/>
              <w:left w:val="nil"/>
              <w:bottom w:val="single" w:sz="8" w:space="0" w:color="666666"/>
              <w:right w:val="single" w:sz="8" w:space="0" w:color="666666"/>
            </w:tcBorders>
            <w:shd w:val="clear" w:color="000000" w:fill="CCCCCC"/>
            <w:noWrap/>
            <w:vAlign w:val="center"/>
          </w:tcPr>
          <w:p w14:paraId="1E4AE4CB" w14:textId="77777777" w:rsidR="00E63F69" w:rsidRPr="000151BA" w:rsidRDefault="00E63F69" w:rsidP="000B5B50">
            <w:pPr>
              <w:rPr>
                <w:sz w:val="20"/>
                <w:szCs w:val="20"/>
              </w:rPr>
            </w:pPr>
            <w:r w:rsidRPr="000151BA">
              <w:rPr>
                <w:sz w:val="20"/>
                <w:szCs w:val="20"/>
              </w:rPr>
              <w:t>13%</w:t>
            </w:r>
          </w:p>
        </w:tc>
      </w:tr>
      <w:tr w:rsidR="00E63F69" w:rsidRPr="00090F38" w14:paraId="008E905E" w14:textId="77777777">
        <w:trPr>
          <w:trHeight w:val="340"/>
        </w:trPr>
        <w:tc>
          <w:tcPr>
            <w:tcW w:w="1300" w:type="dxa"/>
            <w:tcBorders>
              <w:top w:val="nil"/>
              <w:left w:val="single" w:sz="8" w:space="0" w:color="666666"/>
              <w:bottom w:val="single" w:sz="8" w:space="0" w:color="666666"/>
              <w:right w:val="single" w:sz="8" w:space="0" w:color="666666"/>
            </w:tcBorders>
            <w:shd w:val="clear" w:color="auto" w:fill="auto"/>
            <w:noWrap/>
            <w:vAlign w:val="center"/>
          </w:tcPr>
          <w:p w14:paraId="12C4DD7D" w14:textId="77777777" w:rsidR="00E63F69" w:rsidRPr="000151BA" w:rsidRDefault="00E63F69" w:rsidP="001A78AF">
            <w:pPr>
              <w:rPr>
                <w:sz w:val="20"/>
                <w:szCs w:val="20"/>
              </w:rPr>
            </w:pPr>
            <w:r w:rsidRPr="000151BA">
              <w:rPr>
                <w:sz w:val="20"/>
                <w:szCs w:val="20"/>
              </w:rPr>
              <w:t>Environment</w:t>
            </w:r>
          </w:p>
        </w:tc>
        <w:tc>
          <w:tcPr>
            <w:tcW w:w="1300" w:type="dxa"/>
            <w:tcBorders>
              <w:top w:val="nil"/>
              <w:left w:val="nil"/>
              <w:bottom w:val="single" w:sz="8" w:space="0" w:color="666666"/>
              <w:right w:val="single" w:sz="8" w:space="0" w:color="666666"/>
            </w:tcBorders>
            <w:shd w:val="clear" w:color="auto" w:fill="auto"/>
            <w:noWrap/>
            <w:vAlign w:val="center"/>
          </w:tcPr>
          <w:p w14:paraId="2571CB98" w14:textId="77777777" w:rsidR="00E63F69" w:rsidRPr="000151BA" w:rsidRDefault="00E63F69" w:rsidP="001A78AF">
            <w:pPr>
              <w:rPr>
                <w:sz w:val="20"/>
                <w:szCs w:val="20"/>
              </w:rPr>
            </w:pPr>
            <w:r w:rsidRPr="000151BA">
              <w:rPr>
                <w:sz w:val="20"/>
                <w:szCs w:val="20"/>
              </w:rPr>
              <w:t>1,119,613</w:t>
            </w:r>
          </w:p>
        </w:tc>
        <w:tc>
          <w:tcPr>
            <w:tcW w:w="1300" w:type="dxa"/>
            <w:tcBorders>
              <w:top w:val="nil"/>
              <w:left w:val="nil"/>
              <w:bottom w:val="single" w:sz="8" w:space="0" w:color="666666"/>
              <w:right w:val="single" w:sz="8" w:space="0" w:color="666666"/>
            </w:tcBorders>
            <w:shd w:val="clear" w:color="auto" w:fill="auto"/>
            <w:noWrap/>
            <w:vAlign w:val="center"/>
          </w:tcPr>
          <w:p w14:paraId="199C4F20" w14:textId="77777777" w:rsidR="00E63F69" w:rsidRPr="000151BA" w:rsidRDefault="00E63F69" w:rsidP="000B5B50">
            <w:pPr>
              <w:rPr>
                <w:sz w:val="20"/>
                <w:szCs w:val="20"/>
              </w:rPr>
            </w:pPr>
            <w:r w:rsidRPr="000151BA">
              <w:rPr>
                <w:sz w:val="20"/>
                <w:szCs w:val="20"/>
              </w:rPr>
              <w:t>1,114,007</w:t>
            </w:r>
          </w:p>
        </w:tc>
        <w:tc>
          <w:tcPr>
            <w:tcW w:w="1300" w:type="dxa"/>
            <w:tcBorders>
              <w:top w:val="nil"/>
              <w:left w:val="nil"/>
              <w:bottom w:val="single" w:sz="8" w:space="0" w:color="666666"/>
              <w:right w:val="single" w:sz="8" w:space="0" w:color="666666"/>
            </w:tcBorders>
            <w:shd w:val="clear" w:color="auto" w:fill="auto"/>
            <w:noWrap/>
            <w:vAlign w:val="center"/>
          </w:tcPr>
          <w:p w14:paraId="1C944E5A" w14:textId="77777777" w:rsidR="00E63F69" w:rsidRPr="000151BA" w:rsidRDefault="00E63F69" w:rsidP="000B5B50">
            <w:pPr>
              <w:rPr>
                <w:sz w:val="20"/>
                <w:szCs w:val="20"/>
              </w:rPr>
            </w:pPr>
            <w:r w:rsidRPr="000151BA">
              <w:rPr>
                <w:sz w:val="20"/>
                <w:szCs w:val="20"/>
              </w:rPr>
              <w:t>7%</w:t>
            </w:r>
          </w:p>
        </w:tc>
      </w:tr>
      <w:tr w:rsidR="00E63F69" w:rsidRPr="00090F38" w14:paraId="24B42412" w14:textId="77777777">
        <w:trPr>
          <w:trHeight w:val="340"/>
        </w:trPr>
        <w:tc>
          <w:tcPr>
            <w:tcW w:w="1300" w:type="dxa"/>
            <w:tcBorders>
              <w:top w:val="nil"/>
              <w:left w:val="single" w:sz="8" w:space="0" w:color="666666"/>
              <w:bottom w:val="single" w:sz="8" w:space="0" w:color="666666"/>
              <w:right w:val="single" w:sz="8" w:space="0" w:color="666666"/>
            </w:tcBorders>
            <w:shd w:val="clear" w:color="000000" w:fill="CCCCCC"/>
            <w:noWrap/>
            <w:vAlign w:val="center"/>
          </w:tcPr>
          <w:p w14:paraId="78450611" w14:textId="77777777" w:rsidR="00E63F69" w:rsidRPr="000151BA" w:rsidRDefault="00E63F69" w:rsidP="001A78AF">
            <w:pPr>
              <w:rPr>
                <w:sz w:val="20"/>
                <w:szCs w:val="20"/>
              </w:rPr>
            </w:pPr>
            <w:r w:rsidRPr="000151BA">
              <w:rPr>
                <w:sz w:val="20"/>
                <w:szCs w:val="20"/>
              </w:rPr>
              <w:t>Trade</w:t>
            </w:r>
          </w:p>
        </w:tc>
        <w:tc>
          <w:tcPr>
            <w:tcW w:w="1300" w:type="dxa"/>
            <w:tcBorders>
              <w:top w:val="nil"/>
              <w:left w:val="nil"/>
              <w:bottom w:val="single" w:sz="8" w:space="0" w:color="666666"/>
              <w:right w:val="single" w:sz="8" w:space="0" w:color="666666"/>
            </w:tcBorders>
            <w:shd w:val="clear" w:color="000000" w:fill="CCCCCC"/>
            <w:noWrap/>
            <w:vAlign w:val="center"/>
          </w:tcPr>
          <w:p w14:paraId="0B06A28E" w14:textId="77777777" w:rsidR="00E63F69" w:rsidRPr="000151BA" w:rsidRDefault="00E63F69" w:rsidP="001A78AF">
            <w:pPr>
              <w:rPr>
                <w:sz w:val="20"/>
                <w:szCs w:val="20"/>
              </w:rPr>
            </w:pPr>
            <w:r w:rsidRPr="000151BA">
              <w:rPr>
                <w:sz w:val="20"/>
                <w:szCs w:val="20"/>
              </w:rPr>
              <w:t xml:space="preserve"> -   </w:t>
            </w:r>
          </w:p>
        </w:tc>
        <w:tc>
          <w:tcPr>
            <w:tcW w:w="1300" w:type="dxa"/>
            <w:tcBorders>
              <w:top w:val="nil"/>
              <w:left w:val="nil"/>
              <w:bottom w:val="single" w:sz="8" w:space="0" w:color="666666"/>
              <w:right w:val="single" w:sz="8" w:space="0" w:color="666666"/>
            </w:tcBorders>
            <w:shd w:val="clear" w:color="000000" w:fill="CCCCCC"/>
            <w:noWrap/>
            <w:vAlign w:val="center"/>
          </w:tcPr>
          <w:p w14:paraId="1896E1A7" w14:textId="77777777" w:rsidR="00E63F69" w:rsidRPr="000151BA" w:rsidRDefault="00E63F69" w:rsidP="000B5B50">
            <w:pPr>
              <w:rPr>
                <w:sz w:val="20"/>
                <w:szCs w:val="20"/>
              </w:rPr>
            </w:pPr>
            <w:r w:rsidRPr="000151BA">
              <w:rPr>
                <w:sz w:val="20"/>
                <w:szCs w:val="20"/>
              </w:rPr>
              <w:t xml:space="preserve"> -   </w:t>
            </w:r>
          </w:p>
        </w:tc>
        <w:tc>
          <w:tcPr>
            <w:tcW w:w="1300" w:type="dxa"/>
            <w:tcBorders>
              <w:top w:val="nil"/>
              <w:left w:val="nil"/>
              <w:bottom w:val="single" w:sz="8" w:space="0" w:color="666666"/>
              <w:right w:val="single" w:sz="8" w:space="0" w:color="666666"/>
            </w:tcBorders>
            <w:shd w:val="clear" w:color="000000" w:fill="CCCCCC"/>
            <w:noWrap/>
            <w:vAlign w:val="center"/>
          </w:tcPr>
          <w:p w14:paraId="6F5B82C1" w14:textId="77777777" w:rsidR="00E63F69" w:rsidRPr="000151BA" w:rsidRDefault="00E63F69" w:rsidP="000B5B50">
            <w:pPr>
              <w:rPr>
                <w:sz w:val="20"/>
                <w:szCs w:val="20"/>
              </w:rPr>
            </w:pPr>
            <w:r w:rsidRPr="000151BA">
              <w:rPr>
                <w:sz w:val="20"/>
                <w:szCs w:val="20"/>
              </w:rPr>
              <w:t>0%</w:t>
            </w:r>
          </w:p>
        </w:tc>
      </w:tr>
      <w:tr w:rsidR="00E63F69" w:rsidRPr="00090F38" w14:paraId="4AF9EA2B" w14:textId="77777777">
        <w:trPr>
          <w:trHeight w:val="340"/>
        </w:trPr>
        <w:tc>
          <w:tcPr>
            <w:tcW w:w="1300" w:type="dxa"/>
            <w:tcBorders>
              <w:top w:val="nil"/>
              <w:left w:val="single" w:sz="8" w:space="0" w:color="666666"/>
              <w:bottom w:val="single" w:sz="8" w:space="0" w:color="666666"/>
              <w:right w:val="single" w:sz="8" w:space="0" w:color="666666"/>
            </w:tcBorders>
            <w:shd w:val="clear" w:color="auto" w:fill="auto"/>
            <w:noWrap/>
            <w:vAlign w:val="center"/>
          </w:tcPr>
          <w:p w14:paraId="2DD8870E" w14:textId="77777777" w:rsidR="00E63F69" w:rsidRPr="000151BA" w:rsidRDefault="00E63F69" w:rsidP="001A78AF">
            <w:pPr>
              <w:rPr>
                <w:sz w:val="20"/>
                <w:szCs w:val="20"/>
              </w:rPr>
            </w:pPr>
            <w:r w:rsidRPr="000151BA">
              <w:rPr>
                <w:sz w:val="20"/>
                <w:szCs w:val="20"/>
              </w:rPr>
              <w:t>Urban</w:t>
            </w:r>
          </w:p>
        </w:tc>
        <w:tc>
          <w:tcPr>
            <w:tcW w:w="1300" w:type="dxa"/>
            <w:tcBorders>
              <w:top w:val="nil"/>
              <w:left w:val="nil"/>
              <w:bottom w:val="single" w:sz="8" w:space="0" w:color="666666"/>
              <w:right w:val="single" w:sz="8" w:space="0" w:color="666666"/>
            </w:tcBorders>
            <w:shd w:val="clear" w:color="auto" w:fill="auto"/>
            <w:noWrap/>
            <w:vAlign w:val="center"/>
          </w:tcPr>
          <w:p w14:paraId="66C1E69F" w14:textId="77777777" w:rsidR="00E63F69" w:rsidRPr="000151BA" w:rsidRDefault="00E63F69" w:rsidP="001A78AF">
            <w:pPr>
              <w:rPr>
                <w:sz w:val="20"/>
                <w:szCs w:val="20"/>
              </w:rPr>
            </w:pPr>
            <w:r w:rsidRPr="000151BA">
              <w:rPr>
                <w:sz w:val="20"/>
                <w:szCs w:val="20"/>
              </w:rPr>
              <w:t>1,404,169</w:t>
            </w:r>
          </w:p>
        </w:tc>
        <w:tc>
          <w:tcPr>
            <w:tcW w:w="1300" w:type="dxa"/>
            <w:tcBorders>
              <w:top w:val="nil"/>
              <w:left w:val="nil"/>
              <w:bottom w:val="single" w:sz="8" w:space="0" w:color="666666"/>
              <w:right w:val="single" w:sz="8" w:space="0" w:color="666666"/>
            </w:tcBorders>
            <w:shd w:val="clear" w:color="auto" w:fill="auto"/>
            <w:noWrap/>
            <w:vAlign w:val="center"/>
          </w:tcPr>
          <w:p w14:paraId="37B946FE" w14:textId="77777777" w:rsidR="00E63F69" w:rsidRPr="000151BA" w:rsidRDefault="00E63F69" w:rsidP="000B5B50">
            <w:pPr>
              <w:rPr>
                <w:sz w:val="20"/>
                <w:szCs w:val="20"/>
              </w:rPr>
            </w:pPr>
            <w:r w:rsidRPr="000151BA">
              <w:rPr>
                <w:sz w:val="20"/>
                <w:szCs w:val="20"/>
              </w:rPr>
              <w:t>1,259,861</w:t>
            </w:r>
          </w:p>
        </w:tc>
        <w:tc>
          <w:tcPr>
            <w:tcW w:w="1300" w:type="dxa"/>
            <w:tcBorders>
              <w:top w:val="nil"/>
              <w:left w:val="nil"/>
              <w:bottom w:val="single" w:sz="8" w:space="0" w:color="666666"/>
              <w:right w:val="single" w:sz="8" w:space="0" w:color="666666"/>
            </w:tcBorders>
            <w:shd w:val="clear" w:color="auto" w:fill="auto"/>
            <w:noWrap/>
            <w:vAlign w:val="center"/>
          </w:tcPr>
          <w:p w14:paraId="59E540F5" w14:textId="77777777" w:rsidR="00E63F69" w:rsidRPr="000151BA" w:rsidRDefault="00E63F69" w:rsidP="000B5B50">
            <w:pPr>
              <w:rPr>
                <w:sz w:val="20"/>
                <w:szCs w:val="20"/>
              </w:rPr>
            </w:pPr>
            <w:r w:rsidRPr="000151BA">
              <w:rPr>
                <w:sz w:val="20"/>
                <w:szCs w:val="20"/>
              </w:rPr>
              <w:t>9%</w:t>
            </w:r>
          </w:p>
        </w:tc>
      </w:tr>
      <w:tr w:rsidR="00E63F69" w:rsidRPr="00090F38" w14:paraId="0C1BAD3F" w14:textId="77777777">
        <w:trPr>
          <w:trHeight w:val="340"/>
        </w:trPr>
        <w:tc>
          <w:tcPr>
            <w:tcW w:w="1300" w:type="dxa"/>
            <w:tcBorders>
              <w:top w:val="nil"/>
              <w:left w:val="single" w:sz="8" w:space="0" w:color="666666"/>
              <w:bottom w:val="single" w:sz="8" w:space="0" w:color="666666"/>
              <w:right w:val="single" w:sz="8" w:space="0" w:color="666666"/>
            </w:tcBorders>
            <w:shd w:val="clear" w:color="000000" w:fill="CCCCCC"/>
            <w:noWrap/>
            <w:vAlign w:val="center"/>
          </w:tcPr>
          <w:p w14:paraId="7099546D" w14:textId="77777777" w:rsidR="00E63F69" w:rsidRPr="000151BA" w:rsidRDefault="00E63F69" w:rsidP="001A78AF">
            <w:pPr>
              <w:rPr>
                <w:sz w:val="20"/>
                <w:szCs w:val="20"/>
              </w:rPr>
            </w:pPr>
            <w:r w:rsidRPr="000151BA">
              <w:rPr>
                <w:sz w:val="20"/>
                <w:szCs w:val="20"/>
              </w:rPr>
              <w:t>Social</w:t>
            </w:r>
          </w:p>
        </w:tc>
        <w:tc>
          <w:tcPr>
            <w:tcW w:w="1300" w:type="dxa"/>
            <w:tcBorders>
              <w:top w:val="nil"/>
              <w:left w:val="nil"/>
              <w:bottom w:val="single" w:sz="8" w:space="0" w:color="666666"/>
              <w:right w:val="single" w:sz="8" w:space="0" w:color="666666"/>
            </w:tcBorders>
            <w:shd w:val="clear" w:color="000000" w:fill="CCCCCC"/>
            <w:noWrap/>
            <w:vAlign w:val="center"/>
          </w:tcPr>
          <w:p w14:paraId="4548CD83" w14:textId="77777777" w:rsidR="00E63F69" w:rsidRPr="000151BA" w:rsidRDefault="00E63F69" w:rsidP="001A78AF">
            <w:pPr>
              <w:rPr>
                <w:sz w:val="20"/>
                <w:szCs w:val="20"/>
              </w:rPr>
            </w:pPr>
            <w:r w:rsidRPr="000151BA">
              <w:rPr>
                <w:sz w:val="20"/>
                <w:szCs w:val="20"/>
              </w:rPr>
              <w:t>1,783,174</w:t>
            </w:r>
          </w:p>
        </w:tc>
        <w:tc>
          <w:tcPr>
            <w:tcW w:w="1300" w:type="dxa"/>
            <w:tcBorders>
              <w:top w:val="nil"/>
              <w:left w:val="nil"/>
              <w:bottom w:val="single" w:sz="8" w:space="0" w:color="666666"/>
              <w:right w:val="single" w:sz="8" w:space="0" w:color="666666"/>
            </w:tcBorders>
            <w:shd w:val="clear" w:color="000000" w:fill="CCCCCC"/>
            <w:noWrap/>
            <w:vAlign w:val="center"/>
          </w:tcPr>
          <w:p w14:paraId="1500F46F" w14:textId="77777777" w:rsidR="00E63F69" w:rsidRPr="000151BA" w:rsidRDefault="00E63F69" w:rsidP="000B5B50">
            <w:pPr>
              <w:rPr>
                <w:sz w:val="20"/>
                <w:szCs w:val="20"/>
              </w:rPr>
            </w:pPr>
            <w:r w:rsidRPr="000151BA">
              <w:rPr>
                <w:sz w:val="20"/>
                <w:szCs w:val="20"/>
              </w:rPr>
              <w:t>1,252,640</w:t>
            </w:r>
          </w:p>
        </w:tc>
        <w:tc>
          <w:tcPr>
            <w:tcW w:w="1300" w:type="dxa"/>
            <w:tcBorders>
              <w:top w:val="nil"/>
              <w:left w:val="nil"/>
              <w:bottom w:val="single" w:sz="8" w:space="0" w:color="666666"/>
              <w:right w:val="single" w:sz="8" w:space="0" w:color="666666"/>
            </w:tcBorders>
            <w:shd w:val="clear" w:color="000000" w:fill="CCCCCC"/>
            <w:noWrap/>
            <w:vAlign w:val="center"/>
          </w:tcPr>
          <w:p w14:paraId="60ADF1A2" w14:textId="77777777" w:rsidR="00E63F69" w:rsidRPr="000151BA" w:rsidRDefault="00E63F69" w:rsidP="000B5B50">
            <w:pPr>
              <w:rPr>
                <w:sz w:val="20"/>
                <w:szCs w:val="20"/>
              </w:rPr>
            </w:pPr>
            <w:r w:rsidRPr="000151BA">
              <w:rPr>
                <w:sz w:val="20"/>
                <w:szCs w:val="20"/>
              </w:rPr>
              <w:t>11%</w:t>
            </w:r>
          </w:p>
        </w:tc>
      </w:tr>
      <w:tr w:rsidR="00E63F69" w:rsidRPr="00090F38" w14:paraId="33722C6E" w14:textId="77777777">
        <w:trPr>
          <w:trHeight w:val="340"/>
        </w:trPr>
        <w:tc>
          <w:tcPr>
            <w:tcW w:w="1300" w:type="dxa"/>
            <w:tcBorders>
              <w:top w:val="nil"/>
              <w:left w:val="single" w:sz="8" w:space="0" w:color="666666"/>
              <w:bottom w:val="single" w:sz="8" w:space="0" w:color="666666"/>
              <w:right w:val="single" w:sz="8" w:space="0" w:color="666666"/>
            </w:tcBorders>
            <w:shd w:val="clear" w:color="auto" w:fill="auto"/>
            <w:noWrap/>
            <w:vAlign w:val="center"/>
          </w:tcPr>
          <w:p w14:paraId="1CD1F1C0" w14:textId="77777777" w:rsidR="00E63F69" w:rsidRPr="000151BA" w:rsidRDefault="00E63F69" w:rsidP="001A78AF">
            <w:pPr>
              <w:rPr>
                <w:sz w:val="20"/>
                <w:szCs w:val="20"/>
              </w:rPr>
            </w:pPr>
            <w:r w:rsidRPr="000151BA">
              <w:rPr>
                <w:sz w:val="20"/>
                <w:szCs w:val="20"/>
              </w:rPr>
              <w:t>Agriculture</w:t>
            </w:r>
          </w:p>
        </w:tc>
        <w:tc>
          <w:tcPr>
            <w:tcW w:w="1300" w:type="dxa"/>
            <w:tcBorders>
              <w:top w:val="nil"/>
              <w:left w:val="nil"/>
              <w:bottom w:val="single" w:sz="8" w:space="0" w:color="666666"/>
              <w:right w:val="single" w:sz="8" w:space="0" w:color="666666"/>
            </w:tcBorders>
            <w:shd w:val="clear" w:color="auto" w:fill="auto"/>
            <w:noWrap/>
            <w:vAlign w:val="center"/>
          </w:tcPr>
          <w:p w14:paraId="3D341E81" w14:textId="77777777" w:rsidR="00E63F69" w:rsidRPr="000151BA" w:rsidRDefault="00E63F69" w:rsidP="001A78AF">
            <w:pPr>
              <w:rPr>
                <w:sz w:val="20"/>
                <w:szCs w:val="20"/>
              </w:rPr>
            </w:pPr>
            <w:r w:rsidRPr="000151BA">
              <w:rPr>
                <w:sz w:val="20"/>
                <w:szCs w:val="20"/>
              </w:rPr>
              <w:t>798,243</w:t>
            </w:r>
          </w:p>
        </w:tc>
        <w:tc>
          <w:tcPr>
            <w:tcW w:w="1300" w:type="dxa"/>
            <w:tcBorders>
              <w:top w:val="nil"/>
              <w:left w:val="nil"/>
              <w:bottom w:val="single" w:sz="8" w:space="0" w:color="666666"/>
              <w:right w:val="single" w:sz="8" w:space="0" w:color="666666"/>
            </w:tcBorders>
            <w:shd w:val="clear" w:color="auto" w:fill="auto"/>
            <w:noWrap/>
            <w:vAlign w:val="center"/>
          </w:tcPr>
          <w:p w14:paraId="138306D8" w14:textId="77777777" w:rsidR="00E63F69" w:rsidRPr="000151BA" w:rsidRDefault="00E63F69" w:rsidP="000B5B50">
            <w:pPr>
              <w:rPr>
                <w:sz w:val="20"/>
                <w:szCs w:val="20"/>
              </w:rPr>
            </w:pPr>
            <w:r w:rsidRPr="000151BA">
              <w:rPr>
                <w:sz w:val="20"/>
                <w:szCs w:val="20"/>
              </w:rPr>
              <w:t>787,652</w:t>
            </w:r>
          </w:p>
        </w:tc>
        <w:tc>
          <w:tcPr>
            <w:tcW w:w="1300" w:type="dxa"/>
            <w:tcBorders>
              <w:top w:val="nil"/>
              <w:left w:val="nil"/>
              <w:bottom w:val="single" w:sz="8" w:space="0" w:color="666666"/>
              <w:right w:val="single" w:sz="8" w:space="0" w:color="666666"/>
            </w:tcBorders>
            <w:shd w:val="clear" w:color="auto" w:fill="auto"/>
            <w:noWrap/>
            <w:vAlign w:val="center"/>
          </w:tcPr>
          <w:p w14:paraId="24AA46FD" w14:textId="77777777" w:rsidR="00E63F69" w:rsidRPr="000151BA" w:rsidRDefault="00E63F69" w:rsidP="000B5B50">
            <w:pPr>
              <w:rPr>
                <w:sz w:val="20"/>
                <w:szCs w:val="20"/>
              </w:rPr>
            </w:pPr>
            <w:r w:rsidRPr="000151BA">
              <w:rPr>
                <w:sz w:val="20"/>
                <w:szCs w:val="20"/>
              </w:rPr>
              <w:t>5%</w:t>
            </w:r>
          </w:p>
        </w:tc>
      </w:tr>
      <w:tr w:rsidR="00E63F69" w:rsidRPr="00090F38" w14:paraId="56C07565" w14:textId="77777777">
        <w:trPr>
          <w:trHeight w:val="340"/>
        </w:trPr>
        <w:tc>
          <w:tcPr>
            <w:tcW w:w="1300" w:type="dxa"/>
            <w:tcBorders>
              <w:top w:val="nil"/>
              <w:left w:val="single" w:sz="8" w:space="0" w:color="666666"/>
              <w:bottom w:val="single" w:sz="8" w:space="0" w:color="666666"/>
              <w:right w:val="single" w:sz="8" w:space="0" w:color="666666"/>
            </w:tcBorders>
            <w:shd w:val="clear" w:color="000000" w:fill="CCCCCC"/>
            <w:noWrap/>
            <w:vAlign w:val="center"/>
          </w:tcPr>
          <w:p w14:paraId="3E1F4D9B" w14:textId="77777777" w:rsidR="00E63F69" w:rsidRPr="000151BA" w:rsidRDefault="00E63F69" w:rsidP="001A78AF">
            <w:pPr>
              <w:rPr>
                <w:sz w:val="20"/>
                <w:szCs w:val="20"/>
              </w:rPr>
            </w:pPr>
            <w:r w:rsidRPr="000151BA">
              <w:rPr>
                <w:sz w:val="20"/>
                <w:szCs w:val="20"/>
              </w:rPr>
              <w:t>Other</w:t>
            </w:r>
          </w:p>
        </w:tc>
        <w:tc>
          <w:tcPr>
            <w:tcW w:w="1300" w:type="dxa"/>
            <w:tcBorders>
              <w:top w:val="nil"/>
              <w:left w:val="nil"/>
              <w:bottom w:val="single" w:sz="8" w:space="0" w:color="666666"/>
              <w:right w:val="single" w:sz="8" w:space="0" w:color="666666"/>
            </w:tcBorders>
            <w:shd w:val="clear" w:color="000000" w:fill="CCCCCC"/>
            <w:noWrap/>
            <w:vAlign w:val="center"/>
          </w:tcPr>
          <w:p w14:paraId="51F0FE63" w14:textId="77777777" w:rsidR="00E63F69" w:rsidRPr="000151BA" w:rsidRDefault="00E63F69" w:rsidP="001A78AF">
            <w:pPr>
              <w:rPr>
                <w:sz w:val="20"/>
                <w:szCs w:val="20"/>
              </w:rPr>
            </w:pPr>
            <w:r w:rsidRPr="000151BA">
              <w:rPr>
                <w:sz w:val="20"/>
                <w:szCs w:val="20"/>
              </w:rPr>
              <w:t>1,790,320</w:t>
            </w:r>
          </w:p>
        </w:tc>
        <w:tc>
          <w:tcPr>
            <w:tcW w:w="1300" w:type="dxa"/>
            <w:tcBorders>
              <w:top w:val="nil"/>
              <w:left w:val="nil"/>
              <w:bottom w:val="single" w:sz="8" w:space="0" w:color="666666"/>
              <w:right w:val="single" w:sz="8" w:space="0" w:color="666666"/>
            </w:tcBorders>
            <w:shd w:val="clear" w:color="000000" w:fill="CCCCCC"/>
            <w:noWrap/>
            <w:vAlign w:val="center"/>
          </w:tcPr>
          <w:p w14:paraId="255BF5F5" w14:textId="77777777" w:rsidR="00E63F69" w:rsidRPr="000151BA" w:rsidRDefault="00E63F69" w:rsidP="000B5B50">
            <w:pPr>
              <w:rPr>
                <w:sz w:val="20"/>
                <w:szCs w:val="20"/>
              </w:rPr>
            </w:pPr>
            <w:r w:rsidRPr="000151BA">
              <w:rPr>
                <w:sz w:val="20"/>
                <w:szCs w:val="20"/>
              </w:rPr>
              <w:t>1,494,267</w:t>
            </w:r>
          </w:p>
        </w:tc>
        <w:tc>
          <w:tcPr>
            <w:tcW w:w="1300" w:type="dxa"/>
            <w:tcBorders>
              <w:top w:val="nil"/>
              <w:left w:val="nil"/>
              <w:bottom w:val="single" w:sz="8" w:space="0" w:color="666666"/>
              <w:right w:val="single" w:sz="8" w:space="0" w:color="666666"/>
            </w:tcBorders>
            <w:shd w:val="clear" w:color="000000" w:fill="CCCCCC"/>
            <w:noWrap/>
            <w:vAlign w:val="center"/>
          </w:tcPr>
          <w:p w14:paraId="53F77140" w14:textId="77777777" w:rsidR="00E63F69" w:rsidRPr="000151BA" w:rsidRDefault="00E63F69" w:rsidP="000B5B50">
            <w:pPr>
              <w:rPr>
                <w:sz w:val="20"/>
                <w:szCs w:val="20"/>
              </w:rPr>
            </w:pPr>
            <w:r w:rsidRPr="000151BA">
              <w:rPr>
                <w:sz w:val="20"/>
                <w:szCs w:val="20"/>
              </w:rPr>
              <w:t>11%</w:t>
            </w:r>
          </w:p>
        </w:tc>
      </w:tr>
      <w:tr w:rsidR="00E63F69" w:rsidRPr="00090F38" w14:paraId="4675433A" w14:textId="77777777">
        <w:trPr>
          <w:trHeight w:val="340"/>
        </w:trPr>
        <w:tc>
          <w:tcPr>
            <w:tcW w:w="1300" w:type="dxa"/>
            <w:tcBorders>
              <w:top w:val="nil"/>
              <w:left w:val="single" w:sz="8" w:space="0" w:color="666666"/>
              <w:bottom w:val="single" w:sz="8" w:space="0" w:color="666666"/>
              <w:right w:val="single" w:sz="8" w:space="0" w:color="666666"/>
            </w:tcBorders>
            <w:shd w:val="clear" w:color="auto" w:fill="auto"/>
            <w:noWrap/>
            <w:vAlign w:val="center"/>
          </w:tcPr>
          <w:p w14:paraId="30649908" w14:textId="77777777" w:rsidR="00E63F69" w:rsidRPr="000151BA" w:rsidRDefault="00E63F69" w:rsidP="001A78AF">
            <w:pPr>
              <w:rPr>
                <w:sz w:val="20"/>
                <w:szCs w:val="20"/>
              </w:rPr>
            </w:pPr>
            <w:r w:rsidRPr="000151BA">
              <w:rPr>
                <w:sz w:val="20"/>
                <w:szCs w:val="20"/>
              </w:rPr>
              <w:t>Total</w:t>
            </w:r>
          </w:p>
        </w:tc>
        <w:tc>
          <w:tcPr>
            <w:tcW w:w="1300" w:type="dxa"/>
            <w:tcBorders>
              <w:top w:val="nil"/>
              <w:left w:val="nil"/>
              <w:bottom w:val="single" w:sz="8" w:space="0" w:color="666666"/>
              <w:right w:val="single" w:sz="8" w:space="0" w:color="666666"/>
            </w:tcBorders>
            <w:shd w:val="clear" w:color="auto" w:fill="auto"/>
            <w:noWrap/>
            <w:vAlign w:val="center"/>
          </w:tcPr>
          <w:p w14:paraId="1E4F8C9E" w14:textId="77777777" w:rsidR="00E63F69" w:rsidRPr="000151BA" w:rsidRDefault="00E63F69" w:rsidP="001A78AF">
            <w:pPr>
              <w:rPr>
                <w:sz w:val="20"/>
                <w:szCs w:val="20"/>
              </w:rPr>
            </w:pPr>
            <w:r w:rsidRPr="000151BA">
              <w:rPr>
                <w:sz w:val="20"/>
                <w:szCs w:val="20"/>
              </w:rPr>
              <w:t>16,393,452</w:t>
            </w:r>
          </w:p>
        </w:tc>
        <w:tc>
          <w:tcPr>
            <w:tcW w:w="1300" w:type="dxa"/>
            <w:tcBorders>
              <w:top w:val="nil"/>
              <w:left w:val="nil"/>
              <w:bottom w:val="single" w:sz="8" w:space="0" w:color="666666"/>
              <w:right w:val="single" w:sz="8" w:space="0" w:color="666666"/>
            </w:tcBorders>
            <w:shd w:val="clear" w:color="auto" w:fill="auto"/>
            <w:noWrap/>
            <w:vAlign w:val="center"/>
          </w:tcPr>
          <w:p w14:paraId="6CD25287" w14:textId="77777777" w:rsidR="00E63F69" w:rsidRPr="000151BA" w:rsidRDefault="00E63F69" w:rsidP="000B5B50">
            <w:pPr>
              <w:rPr>
                <w:sz w:val="20"/>
                <w:szCs w:val="20"/>
              </w:rPr>
            </w:pPr>
            <w:r w:rsidRPr="000151BA">
              <w:rPr>
                <w:sz w:val="20"/>
                <w:szCs w:val="20"/>
              </w:rPr>
              <w:t>12,868,035</w:t>
            </w:r>
          </w:p>
        </w:tc>
        <w:tc>
          <w:tcPr>
            <w:tcW w:w="1300" w:type="dxa"/>
            <w:tcBorders>
              <w:top w:val="nil"/>
              <w:left w:val="nil"/>
              <w:bottom w:val="single" w:sz="8" w:space="0" w:color="666666"/>
              <w:right w:val="single" w:sz="8" w:space="0" w:color="666666"/>
            </w:tcBorders>
            <w:shd w:val="clear" w:color="auto" w:fill="auto"/>
            <w:noWrap/>
            <w:vAlign w:val="center"/>
          </w:tcPr>
          <w:p w14:paraId="5BB4E9AC" w14:textId="77777777" w:rsidR="00E63F69" w:rsidRPr="000151BA" w:rsidRDefault="00E63F69" w:rsidP="000B5B50">
            <w:pPr>
              <w:rPr>
                <w:sz w:val="20"/>
                <w:szCs w:val="20"/>
              </w:rPr>
            </w:pPr>
            <w:r w:rsidRPr="000151BA">
              <w:rPr>
                <w:sz w:val="20"/>
                <w:szCs w:val="20"/>
              </w:rPr>
              <w:t> </w:t>
            </w:r>
          </w:p>
        </w:tc>
      </w:tr>
    </w:tbl>
    <w:p w14:paraId="1BA0D673" w14:textId="77777777" w:rsidR="00E63F69" w:rsidRDefault="00E63F69" w:rsidP="00F21795"/>
    <w:p w14:paraId="044FAD1B" w14:textId="77777777" w:rsidR="00090F38" w:rsidRDefault="00090F38">
      <w:pPr>
        <w:spacing w:before="0" w:after="0"/>
      </w:pPr>
      <w:r>
        <w:br w:type="page"/>
      </w:r>
    </w:p>
    <w:tbl>
      <w:tblPr>
        <w:tblStyle w:val="GridTable4-Accent11"/>
        <w:tblpPr w:leftFromText="180" w:rightFromText="180" w:vertAnchor="text" w:horzAnchor="margin" w:tblpY="-161"/>
        <w:tblOverlap w:val="never"/>
        <w:tblW w:w="8784" w:type="dxa"/>
        <w:tblLayout w:type="fixed"/>
        <w:tblLook w:val="04A0" w:firstRow="1" w:lastRow="0" w:firstColumn="1" w:lastColumn="0" w:noHBand="0" w:noVBand="1"/>
      </w:tblPr>
      <w:tblGrid>
        <w:gridCol w:w="1413"/>
        <w:gridCol w:w="1134"/>
        <w:gridCol w:w="1134"/>
        <w:gridCol w:w="1701"/>
        <w:gridCol w:w="1655"/>
        <w:gridCol w:w="1747"/>
      </w:tblGrid>
      <w:tr w:rsidR="00E63F69" w:rsidRPr="00EF1B7B" w14:paraId="2C6C2EA1" w14:textId="77777777" w:rsidTr="00A02664">
        <w:trPr>
          <w:cnfStyle w:val="100000000000" w:firstRow="1" w:lastRow="0" w:firstColumn="0" w:lastColumn="0" w:oddVBand="0" w:evenVBand="0" w:oddHBand="0"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D10C589" w14:textId="58260773" w:rsidR="00E63F69" w:rsidRPr="000151BA" w:rsidRDefault="00C91F73" w:rsidP="00A02664">
            <w:pPr>
              <w:pStyle w:val="Heading3"/>
              <w:outlineLvl w:val="2"/>
              <w:rPr>
                <w:szCs w:val="20"/>
              </w:rPr>
            </w:pPr>
            <w:r w:rsidRPr="00C91F73">
              <w:lastRenderedPageBreak/>
              <w:t>SARTFP</w:t>
            </w:r>
          </w:p>
          <w:p w14:paraId="077718E7" w14:textId="77777777" w:rsidR="00E63F69" w:rsidRPr="000151BA" w:rsidRDefault="00E63F69" w:rsidP="000151BA">
            <w:pPr>
              <w:jc w:val="center"/>
              <w:rPr>
                <w:sz w:val="20"/>
                <w:szCs w:val="20"/>
              </w:rPr>
            </w:pPr>
            <w:r w:rsidRPr="000151BA">
              <w:rPr>
                <w:sz w:val="20"/>
                <w:szCs w:val="20"/>
              </w:rPr>
              <w:t>SARTFP Project</w:t>
            </w:r>
          </w:p>
        </w:tc>
        <w:tc>
          <w:tcPr>
            <w:tcW w:w="1134" w:type="dxa"/>
            <w:noWrap/>
            <w:vAlign w:val="bottom"/>
          </w:tcPr>
          <w:p w14:paraId="7F02FA68" w14:textId="77777777" w:rsidR="00E63F69" w:rsidRPr="000151BA" w:rsidRDefault="00E63F69" w:rsidP="000151BA">
            <w:pPr>
              <w:jc w:val="center"/>
              <w:cnfStyle w:val="100000000000" w:firstRow="1" w:lastRow="0" w:firstColumn="0" w:lastColumn="0" w:oddVBand="0" w:evenVBand="0" w:oddHBand="0" w:evenHBand="0" w:firstRowFirstColumn="0" w:firstRowLastColumn="0" w:lastRowFirstColumn="0" w:lastRowLastColumn="0"/>
              <w:rPr>
                <w:sz w:val="20"/>
                <w:szCs w:val="20"/>
              </w:rPr>
            </w:pPr>
            <w:r w:rsidRPr="000151BA">
              <w:rPr>
                <w:sz w:val="20"/>
                <w:szCs w:val="20"/>
              </w:rPr>
              <w:t>Country</w:t>
            </w:r>
          </w:p>
        </w:tc>
        <w:tc>
          <w:tcPr>
            <w:tcW w:w="1134" w:type="dxa"/>
            <w:vAlign w:val="bottom"/>
          </w:tcPr>
          <w:p w14:paraId="304D533B" w14:textId="77777777" w:rsidR="00E63F69" w:rsidRPr="000151BA" w:rsidRDefault="00E63F69" w:rsidP="000151BA">
            <w:pPr>
              <w:jc w:val="center"/>
              <w:cnfStyle w:val="100000000000" w:firstRow="1" w:lastRow="0" w:firstColumn="0" w:lastColumn="0" w:oddVBand="0" w:evenVBand="0" w:oddHBand="0" w:evenHBand="0" w:firstRowFirstColumn="0" w:firstRowLastColumn="0" w:lastRowFirstColumn="0" w:lastRowLastColumn="0"/>
              <w:rPr>
                <w:sz w:val="20"/>
                <w:szCs w:val="20"/>
              </w:rPr>
            </w:pPr>
            <w:r w:rsidRPr="000151BA">
              <w:rPr>
                <w:sz w:val="20"/>
                <w:szCs w:val="20"/>
              </w:rPr>
              <w:t>Global Practice</w:t>
            </w:r>
          </w:p>
        </w:tc>
        <w:tc>
          <w:tcPr>
            <w:tcW w:w="1701" w:type="dxa"/>
            <w:vAlign w:val="bottom"/>
          </w:tcPr>
          <w:p w14:paraId="217EC432" w14:textId="77777777" w:rsidR="00E63F69" w:rsidRPr="000151BA" w:rsidRDefault="00E63F69" w:rsidP="000151BA">
            <w:pPr>
              <w:jc w:val="center"/>
              <w:cnfStyle w:val="100000000000" w:firstRow="1" w:lastRow="0" w:firstColumn="0" w:lastColumn="0" w:oddVBand="0" w:evenVBand="0" w:oddHBand="0" w:evenHBand="0" w:firstRowFirstColumn="0" w:firstRowLastColumn="0" w:lastRowFirstColumn="0" w:lastRowLastColumn="0"/>
              <w:rPr>
                <w:sz w:val="20"/>
                <w:szCs w:val="20"/>
              </w:rPr>
            </w:pPr>
            <w:r w:rsidRPr="000151BA">
              <w:rPr>
                <w:sz w:val="20"/>
                <w:szCs w:val="20"/>
              </w:rPr>
              <w:t>Grant Amount USD</w:t>
            </w:r>
          </w:p>
        </w:tc>
        <w:tc>
          <w:tcPr>
            <w:tcW w:w="1655" w:type="dxa"/>
            <w:vAlign w:val="bottom"/>
          </w:tcPr>
          <w:p w14:paraId="173969C4" w14:textId="77777777" w:rsidR="00E63F69" w:rsidRPr="000151BA" w:rsidRDefault="00E63F69" w:rsidP="000151BA">
            <w:pPr>
              <w:jc w:val="center"/>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Cumulative disbursed &amp; Committed</w:t>
            </w:r>
          </w:p>
        </w:tc>
        <w:tc>
          <w:tcPr>
            <w:tcW w:w="1747" w:type="dxa"/>
            <w:vAlign w:val="bottom"/>
          </w:tcPr>
          <w:p w14:paraId="109B2F24" w14:textId="77777777" w:rsidR="00E63F69" w:rsidRPr="000151BA" w:rsidRDefault="00E63F69" w:rsidP="000151BA">
            <w:pPr>
              <w:jc w:val="center"/>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Disbursement</w:t>
            </w:r>
            <w:r w:rsidR="001E25A5" w:rsidRPr="000151BA">
              <w:rPr>
                <w:sz w:val="16"/>
                <w:szCs w:val="16"/>
              </w:rPr>
              <w:t xml:space="preserve"> </w:t>
            </w:r>
            <w:r w:rsidRPr="000151BA">
              <w:rPr>
                <w:sz w:val="16"/>
                <w:szCs w:val="16"/>
              </w:rPr>
              <w:t>ratio</w:t>
            </w:r>
          </w:p>
        </w:tc>
      </w:tr>
      <w:tr w:rsidR="00E63F69" w:rsidRPr="00EF1B7B" w14:paraId="52D8A42D" w14:textId="77777777" w:rsidTr="00A0266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413" w:type="dxa"/>
            <w:noWrap/>
          </w:tcPr>
          <w:p w14:paraId="4D4592F4" w14:textId="77777777" w:rsidR="00E63F69" w:rsidRPr="000151BA" w:rsidRDefault="00E63F69" w:rsidP="007D1047">
            <w:pPr>
              <w:rPr>
                <w:sz w:val="20"/>
                <w:szCs w:val="20"/>
              </w:rPr>
            </w:pPr>
            <w:r w:rsidRPr="000151BA">
              <w:rPr>
                <w:sz w:val="20"/>
                <w:szCs w:val="20"/>
              </w:rPr>
              <w:t>Bangladesh Social Inclusion &amp; Gender</w:t>
            </w:r>
          </w:p>
        </w:tc>
        <w:tc>
          <w:tcPr>
            <w:tcW w:w="1134" w:type="dxa"/>
            <w:noWrap/>
          </w:tcPr>
          <w:p w14:paraId="01238AE3" w14:textId="77777777" w:rsidR="00E63F69" w:rsidRPr="000151BA" w:rsidRDefault="00E63F69" w:rsidP="007D1047">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Bangladesh</w:t>
            </w:r>
          </w:p>
        </w:tc>
        <w:tc>
          <w:tcPr>
            <w:tcW w:w="1134" w:type="dxa"/>
            <w:noWrap/>
          </w:tcPr>
          <w:p w14:paraId="4B93DDB0" w14:textId="77777777" w:rsidR="00E63F69" w:rsidRPr="000151BA" w:rsidRDefault="00E63F69" w:rsidP="007D1047">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Social</w:t>
            </w:r>
          </w:p>
        </w:tc>
        <w:tc>
          <w:tcPr>
            <w:tcW w:w="1701" w:type="dxa"/>
            <w:noWrap/>
          </w:tcPr>
          <w:p w14:paraId="02AC7DC3"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49,953.86</w:t>
            </w:r>
          </w:p>
        </w:tc>
        <w:tc>
          <w:tcPr>
            <w:tcW w:w="1655" w:type="dxa"/>
            <w:noWrap/>
          </w:tcPr>
          <w:p w14:paraId="2E615218"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49,953.86</w:t>
            </w:r>
          </w:p>
        </w:tc>
        <w:tc>
          <w:tcPr>
            <w:tcW w:w="1747" w:type="dxa"/>
            <w:noWrap/>
          </w:tcPr>
          <w:p w14:paraId="66973BA9"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100%</w:t>
            </w:r>
          </w:p>
        </w:tc>
      </w:tr>
      <w:tr w:rsidR="00E63F69" w:rsidRPr="00EF1B7B" w14:paraId="4C691C2D" w14:textId="77777777" w:rsidTr="00A02664">
        <w:trPr>
          <w:trHeight w:val="399"/>
        </w:trPr>
        <w:tc>
          <w:tcPr>
            <w:cnfStyle w:val="001000000000" w:firstRow="0" w:lastRow="0" w:firstColumn="1" w:lastColumn="0" w:oddVBand="0" w:evenVBand="0" w:oddHBand="0" w:evenHBand="0" w:firstRowFirstColumn="0" w:firstRowLastColumn="0" w:lastRowFirstColumn="0" w:lastRowLastColumn="0"/>
            <w:tcW w:w="1413" w:type="dxa"/>
          </w:tcPr>
          <w:p w14:paraId="5C1F2DC2" w14:textId="77777777" w:rsidR="00E63F69" w:rsidRPr="000151BA" w:rsidRDefault="00E63F69" w:rsidP="007D1047">
            <w:pPr>
              <w:rPr>
                <w:sz w:val="20"/>
                <w:szCs w:val="20"/>
              </w:rPr>
            </w:pPr>
            <w:r w:rsidRPr="000151BA">
              <w:rPr>
                <w:sz w:val="20"/>
                <w:szCs w:val="20"/>
              </w:rPr>
              <w:t>Buddhist Circuit Development</w:t>
            </w:r>
          </w:p>
        </w:tc>
        <w:tc>
          <w:tcPr>
            <w:tcW w:w="1134" w:type="dxa"/>
            <w:noWrap/>
          </w:tcPr>
          <w:p w14:paraId="332B5C65" w14:textId="77777777" w:rsidR="00E63F69" w:rsidRPr="000151BA" w:rsidRDefault="00E63F69" w:rsidP="007D1047">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South Asia</w:t>
            </w:r>
          </w:p>
        </w:tc>
        <w:tc>
          <w:tcPr>
            <w:tcW w:w="1134" w:type="dxa"/>
            <w:noWrap/>
          </w:tcPr>
          <w:p w14:paraId="21845E44" w14:textId="77777777" w:rsidR="00E63F69" w:rsidRPr="000151BA" w:rsidRDefault="00E63F69" w:rsidP="007D1047">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Social</w:t>
            </w:r>
          </w:p>
        </w:tc>
        <w:tc>
          <w:tcPr>
            <w:tcW w:w="1701" w:type="dxa"/>
            <w:noWrap/>
          </w:tcPr>
          <w:p w14:paraId="6E212CCB" w14:textId="77777777" w:rsidR="00E63F69" w:rsidRPr="000151BA" w:rsidRDefault="00E63F69" w:rsidP="000151BA">
            <w:pPr>
              <w:jc w:val="right"/>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1,500,000.00</w:t>
            </w:r>
          </w:p>
        </w:tc>
        <w:tc>
          <w:tcPr>
            <w:tcW w:w="1655" w:type="dxa"/>
            <w:noWrap/>
          </w:tcPr>
          <w:p w14:paraId="09C05CA3" w14:textId="77777777" w:rsidR="00E63F69" w:rsidRPr="000151BA" w:rsidRDefault="00E63F69" w:rsidP="000151BA">
            <w:pPr>
              <w:jc w:val="right"/>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1,110,690.54</w:t>
            </w:r>
          </w:p>
        </w:tc>
        <w:tc>
          <w:tcPr>
            <w:tcW w:w="1747" w:type="dxa"/>
            <w:noWrap/>
          </w:tcPr>
          <w:p w14:paraId="33AE9A7A" w14:textId="77777777" w:rsidR="00E63F69" w:rsidRPr="000151BA" w:rsidRDefault="00E63F69" w:rsidP="000151BA">
            <w:pPr>
              <w:jc w:val="right"/>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74%</w:t>
            </w:r>
          </w:p>
        </w:tc>
      </w:tr>
      <w:tr w:rsidR="00E63F69" w:rsidRPr="00EF1B7B" w14:paraId="10D4D02E" w14:textId="77777777" w:rsidTr="00A0266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413" w:type="dxa"/>
          </w:tcPr>
          <w:p w14:paraId="776ACCBA" w14:textId="77777777" w:rsidR="00E63F69" w:rsidRPr="000151BA" w:rsidRDefault="00E63F69" w:rsidP="007D1047">
            <w:pPr>
              <w:rPr>
                <w:sz w:val="20"/>
                <w:szCs w:val="20"/>
              </w:rPr>
            </w:pPr>
            <w:r w:rsidRPr="000151BA">
              <w:rPr>
                <w:sz w:val="20"/>
                <w:szCs w:val="20"/>
              </w:rPr>
              <w:t>SARTFP Knowledge Production and Sharing</w:t>
            </w:r>
          </w:p>
        </w:tc>
        <w:tc>
          <w:tcPr>
            <w:tcW w:w="1134" w:type="dxa"/>
            <w:noWrap/>
          </w:tcPr>
          <w:p w14:paraId="573CE85D" w14:textId="77777777" w:rsidR="00E63F69" w:rsidRPr="000151BA" w:rsidRDefault="00E63F69" w:rsidP="007D1047">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South Asia</w:t>
            </w:r>
          </w:p>
        </w:tc>
        <w:tc>
          <w:tcPr>
            <w:tcW w:w="1134" w:type="dxa"/>
            <w:noWrap/>
          </w:tcPr>
          <w:p w14:paraId="56AB2E19" w14:textId="77777777" w:rsidR="00E63F69" w:rsidRPr="000151BA" w:rsidRDefault="00E63F69" w:rsidP="007D1047">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Social</w:t>
            </w:r>
          </w:p>
        </w:tc>
        <w:tc>
          <w:tcPr>
            <w:tcW w:w="1701" w:type="dxa"/>
            <w:noWrap/>
          </w:tcPr>
          <w:p w14:paraId="001447A8"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400,000.00</w:t>
            </w:r>
          </w:p>
        </w:tc>
        <w:tc>
          <w:tcPr>
            <w:tcW w:w="1655" w:type="dxa"/>
            <w:noWrap/>
          </w:tcPr>
          <w:p w14:paraId="250DB1F4"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382,517.84</w:t>
            </w:r>
          </w:p>
        </w:tc>
        <w:tc>
          <w:tcPr>
            <w:tcW w:w="1747" w:type="dxa"/>
            <w:noWrap/>
          </w:tcPr>
          <w:p w14:paraId="1970A0C8"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96%</w:t>
            </w:r>
          </w:p>
        </w:tc>
      </w:tr>
      <w:tr w:rsidR="00E63F69" w:rsidRPr="00EF1B7B" w14:paraId="2CF84DEF" w14:textId="77777777" w:rsidTr="00A02664">
        <w:trPr>
          <w:trHeight w:val="399"/>
        </w:trPr>
        <w:tc>
          <w:tcPr>
            <w:cnfStyle w:val="001000000000" w:firstRow="0" w:lastRow="0" w:firstColumn="1" w:lastColumn="0" w:oddVBand="0" w:evenVBand="0" w:oddHBand="0" w:evenHBand="0" w:firstRowFirstColumn="0" w:firstRowLastColumn="0" w:lastRowFirstColumn="0" w:lastRowLastColumn="0"/>
            <w:tcW w:w="1413" w:type="dxa"/>
          </w:tcPr>
          <w:p w14:paraId="4F433F0A" w14:textId="77777777" w:rsidR="00E63F69" w:rsidRPr="000151BA" w:rsidRDefault="00E63F69" w:rsidP="007D1047">
            <w:pPr>
              <w:rPr>
                <w:sz w:val="20"/>
                <w:szCs w:val="20"/>
              </w:rPr>
            </w:pPr>
            <w:r w:rsidRPr="000151BA">
              <w:rPr>
                <w:sz w:val="20"/>
                <w:szCs w:val="20"/>
              </w:rPr>
              <w:t>Economic Corridors of South Asia</w:t>
            </w:r>
          </w:p>
        </w:tc>
        <w:tc>
          <w:tcPr>
            <w:tcW w:w="1134" w:type="dxa"/>
            <w:noWrap/>
          </w:tcPr>
          <w:p w14:paraId="61D643AA" w14:textId="77777777" w:rsidR="00E63F69" w:rsidRPr="000151BA" w:rsidRDefault="00E63F69" w:rsidP="007D1047">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South Asia</w:t>
            </w:r>
          </w:p>
        </w:tc>
        <w:tc>
          <w:tcPr>
            <w:tcW w:w="1134" w:type="dxa"/>
            <w:noWrap/>
          </w:tcPr>
          <w:p w14:paraId="73EEB336" w14:textId="77777777" w:rsidR="00E63F69" w:rsidRPr="000151BA" w:rsidRDefault="00E63F69" w:rsidP="007D1047">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Other</w:t>
            </w:r>
          </w:p>
        </w:tc>
        <w:tc>
          <w:tcPr>
            <w:tcW w:w="1701" w:type="dxa"/>
            <w:noWrap/>
          </w:tcPr>
          <w:p w14:paraId="275E1262" w14:textId="77777777" w:rsidR="00E63F69" w:rsidRPr="000151BA" w:rsidRDefault="00E63F69" w:rsidP="000151BA">
            <w:pPr>
              <w:jc w:val="right"/>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850,000.00</w:t>
            </w:r>
          </w:p>
        </w:tc>
        <w:tc>
          <w:tcPr>
            <w:tcW w:w="1655" w:type="dxa"/>
            <w:noWrap/>
          </w:tcPr>
          <w:p w14:paraId="5EF40581" w14:textId="77777777" w:rsidR="00E63F69" w:rsidRPr="000151BA" w:rsidRDefault="00E63F69" w:rsidP="000151BA">
            <w:pPr>
              <w:jc w:val="right"/>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643,024.24</w:t>
            </w:r>
          </w:p>
        </w:tc>
        <w:tc>
          <w:tcPr>
            <w:tcW w:w="1747" w:type="dxa"/>
            <w:noWrap/>
          </w:tcPr>
          <w:p w14:paraId="5283FFC7" w14:textId="77777777" w:rsidR="00E63F69" w:rsidRPr="000151BA" w:rsidRDefault="00E63F69" w:rsidP="000151BA">
            <w:pPr>
              <w:jc w:val="right"/>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76%</w:t>
            </w:r>
          </w:p>
        </w:tc>
      </w:tr>
      <w:tr w:rsidR="00E63F69" w:rsidRPr="00EF1B7B" w14:paraId="7CC51A2A" w14:textId="77777777" w:rsidTr="00A02664">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1413" w:type="dxa"/>
          </w:tcPr>
          <w:p w14:paraId="4CD29F18" w14:textId="77777777" w:rsidR="00E63F69" w:rsidRPr="000151BA" w:rsidRDefault="00E63F69" w:rsidP="007D1047">
            <w:pPr>
              <w:rPr>
                <w:sz w:val="20"/>
                <w:szCs w:val="20"/>
              </w:rPr>
            </w:pPr>
            <w:r w:rsidRPr="000151BA">
              <w:rPr>
                <w:sz w:val="20"/>
                <w:szCs w:val="20"/>
              </w:rPr>
              <w:t>Strengthening Cross-Border Value Chains and Leveraging Local Development Linkages in the Eastern Region of South Asia</w:t>
            </w:r>
          </w:p>
        </w:tc>
        <w:tc>
          <w:tcPr>
            <w:tcW w:w="1134" w:type="dxa"/>
            <w:noWrap/>
          </w:tcPr>
          <w:p w14:paraId="472E2A52" w14:textId="77777777" w:rsidR="00E63F69" w:rsidRPr="000151BA" w:rsidRDefault="00E63F69" w:rsidP="007D1047">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India</w:t>
            </w:r>
          </w:p>
        </w:tc>
        <w:tc>
          <w:tcPr>
            <w:tcW w:w="1134" w:type="dxa"/>
            <w:noWrap/>
          </w:tcPr>
          <w:p w14:paraId="511A5405" w14:textId="77777777" w:rsidR="00E63F69" w:rsidRPr="000151BA" w:rsidRDefault="00E63F69" w:rsidP="007D1047">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Trade</w:t>
            </w:r>
          </w:p>
        </w:tc>
        <w:tc>
          <w:tcPr>
            <w:tcW w:w="1701" w:type="dxa"/>
            <w:noWrap/>
          </w:tcPr>
          <w:p w14:paraId="7A16218C"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1,000,000.00</w:t>
            </w:r>
          </w:p>
        </w:tc>
        <w:tc>
          <w:tcPr>
            <w:tcW w:w="1655" w:type="dxa"/>
            <w:noWrap/>
          </w:tcPr>
          <w:p w14:paraId="3E1200FB"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936,620.41</w:t>
            </w:r>
          </w:p>
        </w:tc>
        <w:tc>
          <w:tcPr>
            <w:tcW w:w="1747" w:type="dxa"/>
            <w:noWrap/>
          </w:tcPr>
          <w:p w14:paraId="53BC603E"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94%</w:t>
            </w:r>
          </w:p>
        </w:tc>
      </w:tr>
      <w:tr w:rsidR="00E63F69" w:rsidRPr="00EF1B7B" w14:paraId="112A0FA4" w14:textId="77777777" w:rsidTr="00A02664">
        <w:trPr>
          <w:trHeight w:val="592"/>
        </w:trPr>
        <w:tc>
          <w:tcPr>
            <w:cnfStyle w:val="001000000000" w:firstRow="0" w:lastRow="0" w:firstColumn="1" w:lastColumn="0" w:oddVBand="0" w:evenVBand="0" w:oddHBand="0" w:evenHBand="0" w:firstRowFirstColumn="0" w:firstRowLastColumn="0" w:lastRowFirstColumn="0" w:lastRowLastColumn="0"/>
            <w:tcW w:w="1413" w:type="dxa"/>
          </w:tcPr>
          <w:p w14:paraId="3089AFD3" w14:textId="77777777" w:rsidR="00E63F69" w:rsidRPr="000151BA" w:rsidRDefault="00E63F69" w:rsidP="007D1047">
            <w:pPr>
              <w:rPr>
                <w:sz w:val="20"/>
                <w:szCs w:val="20"/>
              </w:rPr>
            </w:pPr>
            <w:r w:rsidRPr="000151BA">
              <w:rPr>
                <w:sz w:val="20"/>
                <w:szCs w:val="20"/>
              </w:rPr>
              <w:t>Advancing Women’s Enterprises for Economic Impact in the farm/nonfarm value chain and regional trade</w:t>
            </w:r>
          </w:p>
        </w:tc>
        <w:tc>
          <w:tcPr>
            <w:tcW w:w="1134" w:type="dxa"/>
            <w:noWrap/>
          </w:tcPr>
          <w:p w14:paraId="2D2B0127" w14:textId="77777777" w:rsidR="00E63F69" w:rsidRPr="000151BA" w:rsidRDefault="00E63F69" w:rsidP="007D1047">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South Asia</w:t>
            </w:r>
          </w:p>
        </w:tc>
        <w:tc>
          <w:tcPr>
            <w:tcW w:w="1134" w:type="dxa"/>
            <w:noWrap/>
          </w:tcPr>
          <w:p w14:paraId="65D8044A" w14:textId="77777777" w:rsidR="00E63F69" w:rsidRPr="000151BA" w:rsidRDefault="00E63F69" w:rsidP="007D1047">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Agriculture</w:t>
            </w:r>
          </w:p>
        </w:tc>
        <w:tc>
          <w:tcPr>
            <w:tcW w:w="1701" w:type="dxa"/>
            <w:noWrap/>
          </w:tcPr>
          <w:p w14:paraId="2B2983E5" w14:textId="77777777" w:rsidR="00E63F69" w:rsidRPr="000151BA" w:rsidRDefault="00E63F69" w:rsidP="000151BA">
            <w:pPr>
              <w:jc w:val="right"/>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700,000.00</w:t>
            </w:r>
          </w:p>
        </w:tc>
        <w:tc>
          <w:tcPr>
            <w:tcW w:w="1655" w:type="dxa"/>
            <w:noWrap/>
          </w:tcPr>
          <w:p w14:paraId="72B5A914" w14:textId="77777777" w:rsidR="00E63F69" w:rsidRPr="000151BA" w:rsidRDefault="00E63F69" w:rsidP="000151BA">
            <w:pPr>
              <w:jc w:val="right"/>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453,832.67</w:t>
            </w:r>
          </w:p>
        </w:tc>
        <w:tc>
          <w:tcPr>
            <w:tcW w:w="1747" w:type="dxa"/>
            <w:noWrap/>
          </w:tcPr>
          <w:p w14:paraId="3E2449A5" w14:textId="77777777" w:rsidR="00E63F69" w:rsidRPr="000151BA" w:rsidRDefault="00E63F69" w:rsidP="000151BA">
            <w:pPr>
              <w:jc w:val="right"/>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65%</w:t>
            </w:r>
          </w:p>
        </w:tc>
      </w:tr>
      <w:tr w:rsidR="00E63F69" w:rsidRPr="00EF1B7B" w14:paraId="66918531" w14:textId="77777777" w:rsidTr="00A0266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413" w:type="dxa"/>
          </w:tcPr>
          <w:p w14:paraId="15A6D21C" w14:textId="77777777" w:rsidR="00E63F69" w:rsidRPr="000151BA" w:rsidRDefault="00E63F69" w:rsidP="007D1047">
            <w:pPr>
              <w:rPr>
                <w:sz w:val="20"/>
                <w:szCs w:val="20"/>
              </w:rPr>
            </w:pPr>
            <w:r w:rsidRPr="000151BA">
              <w:rPr>
                <w:sz w:val="20"/>
                <w:szCs w:val="20"/>
              </w:rPr>
              <w:t>9th South Asia Economic Summit</w:t>
            </w:r>
          </w:p>
        </w:tc>
        <w:tc>
          <w:tcPr>
            <w:tcW w:w="1134" w:type="dxa"/>
            <w:noWrap/>
          </w:tcPr>
          <w:p w14:paraId="3BD7333F" w14:textId="77777777" w:rsidR="00E63F69" w:rsidRPr="000151BA" w:rsidRDefault="00E63F69" w:rsidP="007D1047">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Bangladesh</w:t>
            </w:r>
          </w:p>
        </w:tc>
        <w:tc>
          <w:tcPr>
            <w:tcW w:w="1134" w:type="dxa"/>
            <w:noWrap/>
          </w:tcPr>
          <w:p w14:paraId="49D5BEC5" w14:textId="77777777" w:rsidR="00E63F69" w:rsidRPr="000151BA" w:rsidRDefault="00E63F69" w:rsidP="007D1047">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Other</w:t>
            </w:r>
          </w:p>
        </w:tc>
        <w:tc>
          <w:tcPr>
            <w:tcW w:w="1701" w:type="dxa"/>
            <w:noWrap/>
          </w:tcPr>
          <w:p w14:paraId="28045EF7"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49,605.02</w:t>
            </w:r>
          </w:p>
        </w:tc>
        <w:tc>
          <w:tcPr>
            <w:tcW w:w="1655" w:type="dxa"/>
            <w:noWrap/>
          </w:tcPr>
          <w:p w14:paraId="4ABBE393"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49,605.02</w:t>
            </w:r>
          </w:p>
        </w:tc>
        <w:tc>
          <w:tcPr>
            <w:tcW w:w="1747" w:type="dxa"/>
            <w:noWrap/>
          </w:tcPr>
          <w:p w14:paraId="251660EF"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100%</w:t>
            </w:r>
          </w:p>
        </w:tc>
      </w:tr>
      <w:tr w:rsidR="00E63F69" w:rsidRPr="00EF1B7B" w14:paraId="5532B3F7" w14:textId="77777777" w:rsidTr="00A02664">
        <w:trPr>
          <w:trHeight w:val="399"/>
        </w:trPr>
        <w:tc>
          <w:tcPr>
            <w:cnfStyle w:val="001000000000" w:firstRow="0" w:lastRow="0" w:firstColumn="1" w:lastColumn="0" w:oddVBand="0" w:evenVBand="0" w:oddHBand="0" w:evenHBand="0" w:firstRowFirstColumn="0" w:firstRowLastColumn="0" w:lastRowFirstColumn="0" w:lastRowLastColumn="0"/>
            <w:tcW w:w="1413" w:type="dxa"/>
          </w:tcPr>
          <w:p w14:paraId="77AF96DE" w14:textId="77777777" w:rsidR="00E63F69" w:rsidRPr="000151BA" w:rsidRDefault="00E63F69" w:rsidP="007D1047">
            <w:pPr>
              <w:rPr>
                <w:sz w:val="20"/>
                <w:szCs w:val="20"/>
              </w:rPr>
            </w:pPr>
            <w:r w:rsidRPr="000151BA">
              <w:rPr>
                <w:sz w:val="20"/>
                <w:szCs w:val="20"/>
              </w:rPr>
              <w:t>Planning for regional trade and gender inclusive Inland Water Transport in Assam</w:t>
            </w:r>
          </w:p>
        </w:tc>
        <w:tc>
          <w:tcPr>
            <w:tcW w:w="1134" w:type="dxa"/>
            <w:noWrap/>
          </w:tcPr>
          <w:p w14:paraId="263BBC55" w14:textId="77777777" w:rsidR="00E63F69" w:rsidRPr="000151BA" w:rsidRDefault="00E63F69" w:rsidP="007D1047">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India</w:t>
            </w:r>
          </w:p>
        </w:tc>
        <w:tc>
          <w:tcPr>
            <w:tcW w:w="1134" w:type="dxa"/>
            <w:noWrap/>
          </w:tcPr>
          <w:p w14:paraId="5CB4E21E" w14:textId="77777777" w:rsidR="00E63F69" w:rsidRPr="000151BA" w:rsidRDefault="00E63F69" w:rsidP="007D1047">
            <w:pPr>
              <w:cnfStyle w:val="000000000000" w:firstRow="0" w:lastRow="0" w:firstColumn="0" w:lastColumn="0" w:oddVBand="0" w:evenVBand="0" w:oddHBand="0" w:evenHBand="0" w:firstRowFirstColumn="0" w:firstRowLastColumn="0" w:lastRowFirstColumn="0" w:lastRowLastColumn="0"/>
              <w:rPr>
                <w:sz w:val="18"/>
                <w:szCs w:val="18"/>
              </w:rPr>
            </w:pPr>
            <w:r w:rsidRPr="000151BA">
              <w:rPr>
                <w:sz w:val="18"/>
                <w:szCs w:val="18"/>
              </w:rPr>
              <w:t>Transport</w:t>
            </w:r>
          </w:p>
        </w:tc>
        <w:tc>
          <w:tcPr>
            <w:tcW w:w="1701" w:type="dxa"/>
            <w:noWrap/>
          </w:tcPr>
          <w:p w14:paraId="22537F8D" w14:textId="77777777" w:rsidR="00E63F69" w:rsidRPr="000151BA" w:rsidRDefault="00E63F69" w:rsidP="000151BA">
            <w:pPr>
              <w:jc w:val="right"/>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350,000.00</w:t>
            </w:r>
          </w:p>
        </w:tc>
        <w:tc>
          <w:tcPr>
            <w:tcW w:w="1655" w:type="dxa"/>
            <w:noWrap/>
          </w:tcPr>
          <w:p w14:paraId="78511837" w14:textId="77777777" w:rsidR="00E63F69" w:rsidRPr="000151BA" w:rsidRDefault="00E63F69" w:rsidP="000151BA">
            <w:pPr>
              <w:jc w:val="right"/>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212,390.22</w:t>
            </w:r>
          </w:p>
        </w:tc>
        <w:tc>
          <w:tcPr>
            <w:tcW w:w="1747" w:type="dxa"/>
            <w:noWrap/>
          </w:tcPr>
          <w:p w14:paraId="5A1AE792" w14:textId="77777777" w:rsidR="00E63F69" w:rsidRPr="000151BA" w:rsidRDefault="00E63F69" w:rsidP="000151BA">
            <w:pPr>
              <w:jc w:val="right"/>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61%</w:t>
            </w:r>
          </w:p>
        </w:tc>
      </w:tr>
      <w:tr w:rsidR="00E63F69" w:rsidRPr="00EF1B7B" w14:paraId="114B357C" w14:textId="77777777" w:rsidTr="00A0266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413" w:type="dxa"/>
          </w:tcPr>
          <w:p w14:paraId="152EE21A" w14:textId="77777777" w:rsidR="00E63F69" w:rsidRPr="000151BA" w:rsidRDefault="00E63F69" w:rsidP="007D1047">
            <w:pPr>
              <w:rPr>
                <w:sz w:val="20"/>
                <w:szCs w:val="20"/>
              </w:rPr>
            </w:pPr>
            <w:r w:rsidRPr="000151BA">
              <w:rPr>
                <w:sz w:val="20"/>
                <w:szCs w:val="20"/>
              </w:rPr>
              <w:t>Women in Trade in Bangladesh</w:t>
            </w:r>
          </w:p>
        </w:tc>
        <w:tc>
          <w:tcPr>
            <w:tcW w:w="1134" w:type="dxa"/>
            <w:noWrap/>
          </w:tcPr>
          <w:p w14:paraId="42A4AAFB" w14:textId="77777777" w:rsidR="00E63F69" w:rsidRPr="000151BA" w:rsidRDefault="00E63F69" w:rsidP="007D1047">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Bangladesh</w:t>
            </w:r>
          </w:p>
        </w:tc>
        <w:tc>
          <w:tcPr>
            <w:tcW w:w="1134" w:type="dxa"/>
            <w:noWrap/>
          </w:tcPr>
          <w:p w14:paraId="4240271D" w14:textId="77777777" w:rsidR="00E63F69" w:rsidRPr="000151BA" w:rsidRDefault="00E63F69" w:rsidP="007D1047">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Social</w:t>
            </w:r>
          </w:p>
        </w:tc>
        <w:tc>
          <w:tcPr>
            <w:tcW w:w="1701" w:type="dxa"/>
            <w:noWrap/>
          </w:tcPr>
          <w:p w14:paraId="32296BC3"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150,000.00</w:t>
            </w:r>
          </w:p>
        </w:tc>
        <w:tc>
          <w:tcPr>
            <w:tcW w:w="1655" w:type="dxa"/>
            <w:noWrap/>
          </w:tcPr>
          <w:p w14:paraId="7A17E4B7"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139,400.42</w:t>
            </w:r>
          </w:p>
        </w:tc>
        <w:tc>
          <w:tcPr>
            <w:tcW w:w="1747" w:type="dxa"/>
            <w:noWrap/>
          </w:tcPr>
          <w:p w14:paraId="01AE2843"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93%</w:t>
            </w:r>
          </w:p>
        </w:tc>
      </w:tr>
      <w:tr w:rsidR="00E63F69" w:rsidRPr="00EF1B7B" w14:paraId="487161BE" w14:textId="77777777" w:rsidTr="00A02664">
        <w:trPr>
          <w:trHeight w:val="399"/>
        </w:trPr>
        <w:tc>
          <w:tcPr>
            <w:cnfStyle w:val="001000000000" w:firstRow="0" w:lastRow="0" w:firstColumn="1" w:lastColumn="0" w:oddVBand="0" w:evenVBand="0" w:oddHBand="0" w:evenHBand="0" w:firstRowFirstColumn="0" w:firstRowLastColumn="0" w:lastRowFirstColumn="0" w:lastRowLastColumn="0"/>
            <w:tcW w:w="1413" w:type="dxa"/>
          </w:tcPr>
          <w:p w14:paraId="0D4F90CC" w14:textId="77777777" w:rsidR="00E63F69" w:rsidRPr="000151BA" w:rsidRDefault="00E63F69" w:rsidP="007D1047">
            <w:pPr>
              <w:rPr>
                <w:sz w:val="20"/>
                <w:szCs w:val="20"/>
              </w:rPr>
            </w:pPr>
            <w:r w:rsidRPr="000151BA">
              <w:rPr>
                <w:sz w:val="20"/>
                <w:szCs w:val="20"/>
              </w:rPr>
              <w:lastRenderedPageBreak/>
              <w:t>360°Logistics for SMEs</w:t>
            </w:r>
          </w:p>
        </w:tc>
        <w:tc>
          <w:tcPr>
            <w:tcW w:w="1134" w:type="dxa"/>
            <w:noWrap/>
          </w:tcPr>
          <w:p w14:paraId="407295CF" w14:textId="77777777" w:rsidR="00E63F69" w:rsidRPr="000151BA" w:rsidRDefault="00E63F69" w:rsidP="007D1047">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India</w:t>
            </w:r>
          </w:p>
        </w:tc>
        <w:tc>
          <w:tcPr>
            <w:tcW w:w="1134" w:type="dxa"/>
            <w:noWrap/>
          </w:tcPr>
          <w:p w14:paraId="06EA0CC8" w14:textId="77777777" w:rsidR="00E63F69" w:rsidRPr="000151BA" w:rsidRDefault="00E63F69" w:rsidP="007D1047">
            <w:pPr>
              <w:cnfStyle w:val="000000000000" w:firstRow="0" w:lastRow="0" w:firstColumn="0" w:lastColumn="0" w:oddVBand="0" w:evenVBand="0" w:oddHBand="0" w:evenHBand="0" w:firstRowFirstColumn="0" w:firstRowLastColumn="0" w:lastRowFirstColumn="0" w:lastRowLastColumn="0"/>
              <w:rPr>
                <w:sz w:val="18"/>
                <w:szCs w:val="18"/>
              </w:rPr>
            </w:pPr>
            <w:r w:rsidRPr="000151BA">
              <w:rPr>
                <w:sz w:val="18"/>
                <w:szCs w:val="18"/>
              </w:rPr>
              <w:t>Transport</w:t>
            </w:r>
          </w:p>
        </w:tc>
        <w:tc>
          <w:tcPr>
            <w:tcW w:w="1701" w:type="dxa"/>
            <w:noWrap/>
          </w:tcPr>
          <w:p w14:paraId="5BF8FB51" w14:textId="77777777" w:rsidR="00E63F69" w:rsidRPr="000151BA" w:rsidRDefault="00E63F69" w:rsidP="000151BA">
            <w:pPr>
              <w:jc w:val="right"/>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600,000.00</w:t>
            </w:r>
          </w:p>
        </w:tc>
        <w:tc>
          <w:tcPr>
            <w:tcW w:w="1655" w:type="dxa"/>
            <w:noWrap/>
          </w:tcPr>
          <w:p w14:paraId="79CE4823" w14:textId="77777777" w:rsidR="00E63F69" w:rsidRPr="000151BA" w:rsidRDefault="00E63F69" w:rsidP="000151BA">
            <w:pPr>
              <w:jc w:val="right"/>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379,630.85</w:t>
            </w:r>
          </w:p>
        </w:tc>
        <w:tc>
          <w:tcPr>
            <w:tcW w:w="1747" w:type="dxa"/>
            <w:noWrap/>
          </w:tcPr>
          <w:p w14:paraId="79B24E43" w14:textId="77777777" w:rsidR="00E63F69" w:rsidRPr="000151BA" w:rsidRDefault="00E63F69" w:rsidP="000151BA">
            <w:pPr>
              <w:jc w:val="right"/>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63%</w:t>
            </w:r>
          </w:p>
        </w:tc>
      </w:tr>
      <w:tr w:rsidR="00E63F69" w:rsidRPr="00EF1B7B" w14:paraId="7C978CBB" w14:textId="77777777" w:rsidTr="00A02664">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1413" w:type="dxa"/>
          </w:tcPr>
          <w:p w14:paraId="40BF842D" w14:textId="77777777" w:rsidR="00E63F69" w:rsidRPr="000151BA" w:rsidRDefault="00E63F69" w:rsidP="007D1047">
            <w:pPr>
              <w:rPr>
                <w:sz w:val="20"/>
                <w:szCs w:val="20"/>
              </w:rPr>
            </w:pPr>
            <w:r w:rsidRPr="000151BA">
              <w:rPr>
                <w:sz w:val="20"/>
                <w:szCs w:val="20"/>
              </w:rPr>
              <w:t>Economic Empowerment of Women Through Resilient Agricultural Supply Chain Development in South Asia</w:t>
            </w:r>
          </w:p>
        </w:tc>
        <w:tc>
          <w:tcPr>
            <w:tcW w:w="1134" w:type="dxa"/>
            <w:noWrap/>
          </w:tcPr>
          <w:p w14:paraId="0E3E7723" w14:textId="77777777" w:rsidR="00E63F69" w:rsidRPr="000151BA" w:rsidRDefault="00E63F69" w:rsidP="007D1047">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South Asia</w:t>
            </w:r>
          </w:p>
        </w:tc>
        <w:tc>
          <w:tcPr>
            <w:tcW w:w="1134" w:type="dxa"/>
            <w:noWrap/>
          </w:tcPr>
          <w:p w14:paraId="0D6D2374" w14:textId="77777777" w:rsidR="00E63F69" w:rsidRPr="000151BA" w:rsidRDefault="00E63F69" w:rsidP="007D1047">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Agriculture</w:t>
            </w:r>
          </w:p>
        </w:tc>
        <w:tc>
          <w:tcPr>
            <w:tcW w:w="1701" w:type="dxa"/>
            <w:noWrap/>
          </w:tcPr>
          <w:p w14:paraId="2EF5D349"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120,000.00</w:t>
            </w:r>
          </w:p>
        </w:tc>
        <w:tc>
          <w:tcPr>
            <w:tcW w:w="1655" w:type="dxa"/>
            <w:noWrap/>
          </w:tcPr>
          <w:p w14:paraId="27B76F90"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104,843.76</w:t>
            </w:r>
          </w:p>
        </w:tc>
        <w:tc>
          <w:tcPr>
            <w:tcW w:w="1747" w:type="dxa"/>
            <w:noWrap/>
          </w:tcPr>
          <w:p w14:paraId="433FAB33"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87%</w:t>
            </w:r>
          </w:p>
        </w:tc>
      </w:tr>
      <w:tr w:rsidR="00E63F69" w:rsidRPr="00EF1B7B" w14:paraId="6F9E8D13" w14:textId="77777777" w:rsidTr="00A02664">
        <w:trPr>
          <w:trHeight w:val="592"/>
        </w:trPr>
        <w:tc>
          <w:tcPr>
            <w:cnfStyle w:val="001000000000" w:firstRow="0" w:lastRow="0" w:firstColumn="1" w:lastColumn="0" w:oddVBand="0" w:evenVBand="0" w:oddHBand="0" w:evenHBand="0" w:firstRowFirstColumn="0" w:firstRowLastColumn="0" w:lastRowFirstColumn="0" w:lastRowLastColumn="0"/>
            <w:tcW w:w="1413" w:type="dxa"/>
          </w:tcPr>
          <w:p w14:paraId="5CFECD87" w14:textId="77777777" w:rsidR="00E63F69" w:rsidRPr="000151BA" w:rsidRDefault="00E63F69" w:rsidP="007D1047">
            <w:pPr>
              <w:rPr>
                <w:sz w:val="20"/>
                <w:szCs w:val="20"/>
              </w:rPr>
            </w:pPr>
            <w:r w:rsidRPr="000151BA">
              <w:rPr>
                <w:sz w:val="20"/>
                <w:szCs w:val="20"/>
              </w:rPr>
              <w:t>A spatial database for improved connectivity of women and a general equilibrium model on trade liberalization and female employment</w:t>
            </w:r>
          </w:p>
        </w:tc>
        <w:tc>
          <w:tcPr>
            <w:tcW w:w="1134" w:type="dxa"/>
            <w:noWrap/>
          </w:tcPr>
          <w:p w14:paraId="361FADF4" w14:textId="77777777" w:rsidR="00E63F69" w:rsidRPr="000151BA" w:rsidRDefault="00E63F69" w:rsidP="007D1047">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South Asia</w:t>
            </w:r>
          </w:p>
        </w:tc>
        <w:tc>
          <w:tcPr>
            <w:tcW w:w="1134" w:type="dxa"/>
            <w:noWrap/>
          </w:tcPr>
          <w:p w14:paraId="7861316B" w14:textId="77777777" w:rsidR="00E63F69" w:rsidRPr="000151BA" w:rsidRDefault="00E63F69" w:rsidP="007D1047">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Trade</w:t>
            </w:r>
          </w:p>
        </w:tc>
        <w:tc>
          <w:tcPr>
            <w:tcW w:w="1701" w:type="dxa"/>
            <w:noWrap/>
          </w:tcPr>
          <w:p w14:paraId="43B1D686" w14:textId="77777777" w:rsidR="00E63F69" w:rsidRPr="000151BA" w:rsidRDefault="00E63F69" w:rsidP="000151BA">
            <w:pPr>
              <w:jc w:val="right"/>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300,000.00</w:t>
            </w:r>
          </w:p>
        </w:tc>
        <w:tc>
          <w:tcPr>
            <w:tcW w:w="1655" w:type="dxa"/>
            <w:noWrap/>
          </w:tcPr>
          <w:p w14:paraId="187FA7E0" w14:textId="77777777" w:rsidR="00E63F69" w:rsidRPr="000151BA" w:rsidRDefault="00E63F69" w:rsidP="000151BA">
            <w:pPr>
              <w:jc w:val="right"/>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219,276.98</w:t>
            </w:r>
          </w:p>
        </w:tc>
        <w:tc>
          <w:tcPr>
            <w:tcW w:w="1747" w:type="dxa"/>
            <w:noWrap/>
          </w:tcPr>
          <w:p w14:paraId="74580401" w14:textId="77777777" w:rsidR="00E63F69" w:rsidRPr="000151BA" w:rsidRDefault="00E63F69" w:rsidP="000151BA">
            <w:pPr>
              <w:jc w:val="right"/>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73%</w:t>
            </w:r>
          </w:p>
        </w:tc>
      </w:tr>
      <w:tr w:rsidR="00E63F69" w:rsidRPr="00EF1B7B" w14:paraId="719B0733" w14:textId="77777777" w:rsidTr="00A0266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413" w:type="dxa"/>
          </w:tcPr>
          <w:p w14:paraId="309715B4" w14:textId="77777777" w:rsidR="00E63F69" w:rsidRPr="000151BA" w:rsidRDefault="00E63F69" w:rsidP="007D1047">
            <w:pPr>
              <w:rPr>
                <w:sz w:val="20"/>
                <w:szCs w:val="20"/>
              </w:rPr>
            </w:pPr>
            <w:r w:rsidRPr="000151BA">
              <w:rPr>
                <w:sz w:val="20"/>
                <w:szCs w:val="20"/>
              </w:rPr>
              <w:t>Addressing Women’s and Children’s Risks from Enhanced connectivity</w:t>
            </w:r>
          </w:p>
        </w:tc>
        <w:tc>
          <w:tcPr>
            <w:tcW w:w="1134" w:type="dxa"/>
            <w:noWrap/>
          </w:tcPr>
          <w:p w14:paraId="2F286159" w14:textId="77777777" w:rsidR="00E63F69" w:rsidRPr="000151BA" w:rsidRDefault="00E63F69" w:rsidP="007D1047">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India</w:t>
            </w:r>
          </w:p>
        </w:tc>
        <w:tc>
          <w:tcPr>
            <w:tcW w:w="1134" w:type="dxa"/>
            <w:noWrap/>
          </w:tcPr>
          <w:p w14:paraId="3B2B6DB2" w14:textId="77777777" w:rsidR="00E63F69" w:rsidRPr="000151BA" w:rsidRDefault="00E63F69" w:rsidP="007D1047">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Social</w:t>
            </w:r>
          </w:p>
        </w:tc>
        <w:tc>
          <w:tcPr>
            <w:tcW w:w="1701" w:type="dxa"/>
            <w:noWrap/>
          </w:tcPr>
          <w:p w14:paraId="0C1C21C1"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400,000.00</w:t>
            </w:r>
          </w:p>
        </w:tc>
        <w:tc>
          <w:tcPr>
            <w:tcW w:w="1655" w:type="dxa"/>
            <w:noWrap/>
          </w:tcPr>
          <w:p w14:paraId="2E47A5A8"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90,650.01</w:t>
            </w:r>
          </w:p>
        </w:tc>
        <w:tc>
          <w:tcPr>
            <w:tcW w:w="1747" w:type="dxa"/>
            <w:noWrap/>
          </w:tcPr>
          <w:p w14:paraId="0DAAEEE2"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23%</w:t>
            </w:r>
          </w:p>
        </w:tc>
      </w:tr>
      <w:tr w:rsidR="00E63F69" w:rsidRPr="00EF1B7B" w14:paraId="52165AD6" w14:textId="77777777" w:rsidTr="00A02664">
        <w:trPr>
          <w:trHeight w:val="399"/>
        </w:trPr>
        <w:tc>
          <w:tcPr>
            <w:cnfStyle w:val="001000000000" w:firstRow="0" w:lastRow="0" w:firstColumn="1" w:lastColumn="0" w:oddVBand="0" w:evenVBand="0" w:oddHBand="0" w:evenHBand="0" w:firstRowFirstColumn="0" w:firstRowLastColumn="0" w:lastRowFirstColumn="0" w:lastRowLastColumn="0"/>
            <w:tcW w:w="1413" w:type="dxa"/>
          </w:tcPr>
          <w:p w14:paraId="63702B15" w14:textId="77777777" w:rsidR="00E63F69" w:rsidRPr="000151BA" w:rsidRDefault="00E63F69" w:rsidP="007D1047">
            <w:pPr>
              <w:rPr>
                <w:sz w:val="20"/>
                <w:szCs w:val="20"/>
              </w:rPr>
            </w:pPr>
            <w:r w:rsidRPr="000151BA">
              <w:rPr>
                <w:sz w:val="20"/>
                <w:szCs w:val="20"/>
              </w:rPr>
              <w:t>Local to regional logistics connectivity</w:t>
            </w:r>
          </w:p>
        </w:tc>
        <w:tc>
          <w:tcPr>
            <w:tcW w:w="1134" w:type="dxa"/>
            <w:noWrap/>
          </w:tcPr>
          <w:p w14:paraId="6131B2B2" w14:textId="77777777" w:rsidR="00E63F69" w:rsidRPr="000151BA" w:rsidRDefault="00E63F69" w:rsidP="007D1047">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South Asia</w:t>
            </w:r>
          </w:p>
        </w:tc>
        <w:tc>
          <w:tcPr>
            <w:tcW w:w="1134" w:type="dxa"/>
            <w:noWrap/>
          </w:tcPr>
          <w:p w14:paraId="4AA15059" w14:textId="77777777" w:rsidR="00E63F69" w:rsidRPr="000151BA" w:rsidRDefault="00E63F69" w:rsidP="007D1047">
            <w:pPr>
              <w:cnfStyle w:val="000000000000" w:firstRow="0" w:lastRow="0" w:firstColumn="0" w:lastColumn="0" w:oddVBand="0" w:evenVBand="0" w:oddHBand="0" w:evenHBand="0" w:firstRowFirstColumn="0" w:firstRowLastColumn="0" w:lastRowFirstColumn="0" w:lastRowLastColumn="0"/>
              <w:rPr>
                <w:sz w:val="18"/>
                <w:szCs w:val="18"/>
              </w:rPr>
            </w:pPr>
            <w:r w:rsidRPr="000151BA">
              <w:rPr>
                <w:sz w:val="18"/>
                <w:szCs w:val="18"/>
              </w:rPr>
              <w:t>Transport</w:t>
            </w:r>
          </w:p>
        </w:tc>
        <w:tc>
          <w:tcPr>
            <w:tcW w:w="1701" w:type="dxa"/>
            <w:noWrap/>
          </w:tcPr>
          <w:p w14:paraId="29943F93" w14:textId="77777777" w:rsidR="00E63F69" w:rsidRPr="000151BA" w:rsidRDefault="00E63F69" w:rsidP="000151BA">
            <w:pPr>
              <w:jc w:val="right"/>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700,000.00</w:t>
            </w:r>
          </w:p>
        </w:tc>
        <w:tc>
          <w:tcPr>
            <w:tcW w:w="1655" w:type="dxa"/>
            <w:noWrap/>
          </w:tcPr>
          <w:p w14:paraId="3757AAB1" w14:textId="77777777" w:rsidR="00E63F69" w:rsidRPr="000151BA" w:rsidRDefault="00E63F69" w:rsidP="000151BA">
            <w:pPr>
              <w:jc w:val="right"/>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56,458.80</w:t>
            </w:r>
          </w:p>
        </w:tc>
        <w:tc>
          <w:tcPr>
            <w:tcW w:w="1747" w:type="dxa"/>
            <w:noWrap/>
          </w:tcPr>
          <w:p w14:paraId="393C1C4C" w14:textId="77777777" w:rsidR="00E63F69" w:rsidRPr="000151BA" w:rsidRDefault="00E63F69" w:rsidP="000151BA">
            <w:pPr>
              <w:jc w:val="right"/>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8%</w:t>
            </w:r>
          </w:p>
        </w:tc>
      </w:tr>
      <w:tr w:rsidR="00E63F69" w:rsidRPr="00EF1B7B" w14:paraId="0AD111B8" w14:textId="77777777" w:rsidTr="00A02664">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681" w:type="dxa"/>
            <w:gridSpan w:val="3"/>
          </w:tcPr>
          <w:p w14:paraId="3EA7ABAB" w14:textId="77777777" w:rsidR="00E63F69" w:rsidRPr="000151BA" w:rsidRDefault="00E63F69" w:rsidP="001B449B">
            <w:pPr>
              <w:rPr>
                <w:sz w:val="20"/>
                <w:szCs w:val="20"/>
              </w:rPr>
            </w:pPr>
            <w:r w:rsidRPr="000151BA">
              <w:rPr>
                <w:sz w:val="20"/>
                <w:szCs w:val="20"/>
              </w:rPr>
              <w:t>Total</w:t>
            </w:r>
          </w:p>
        </w:tc>
        <w:tc>
          <w:tcPr>
            <w:tcW w:w="1701" w:type="dxa"/>
            <w:noWrap/>
          </w:tcPr>
          <w:p w14:paraId="4171967D"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7,169,558.88</w:t>
            </w:r>
          </w:p>
        </w:tc>
        <w:tc>
          <w:tcPr>
            <w:tcW w:w="1655" w:type="dxa"/>
            <w:noWrap/>
          </w:tcPr>
          <w:p w14:paraId="3DA70B4F"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4,828,895.62</w:t>
            </w:r>
          </w:p>
        </w:tc>
        <w:tc>
          <w:tcPr>
            <w:tcW w:w="1747" w:type="dxa"/>
            <w:noWrap/>
          </w:tcPr>
          <w:p w14:paraId="4C699DA1" w14:textId="77777777" w:rsidR="00E63F69" w:rsidRPr="000151BA" w:rsidRDefault="00E63F69" w:rsidP="000151BA">
            <w:pPr>
              <w:jc w:val="right"/>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67%</w:t>
            </w:r>
          </w:p>
        </w:tc>
      </w:tr>
    </w:tbl>
    <w:p w14:paraId="11A1665C" w14:textId="77777777" w:rsidR="00E63F69" w:rsidRDefault="00E63F69">
      <w:pPr>
        <w:pStyle w:val="Heading3"/>
      </w:pPr>
      <w:r>
        <w:t>Disbursement of SARTFP funds by country</w:t>
      </w:r>
    </w:p>
    <w:tbl>
      <w:tblPr>
        <w:tblW w:w="6005" w:type="dxa"/>
        <w:tbl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insideH w:val="single" w:sz="8" w:space="0" w:color="767171" w:themeColor="background2" w:themeShade="80"/>
          <w:insideV w:val="single" w:sz="8" w:space="0" w:color="767171" w:themeColor="background2" w:themeShade="80"/>
        </w:tblBorders>
        <w:tblLook w:val="04A0" w:firstRow="1" w:lastRow="0" w:firstColumn="1" w:lastColumn="0" w:noHBand="0" w:noVBand="1"/>
      </w:tblPr>
      <w:tblGrid>
        <w:gridCol w:w="1337"/>
        <w:gridCol w:w="1300"/>
        <w:gridCol w:w="1653"/>
        <w:gridCol w:w="1752"/>
      </w:tblGrid>
      <w:tr w:rsidR="00E63F69" w:rsidRPr="00E63F69" w14:paraId="5689578A" w14:textId="77777777" w:rsidTr="00A02664">
        <w:trPr>
          <w:trHeight w:val="992"/>
        </w:trPr>
        <w:tc>
          <w:tcPr>
            <w:tcW w:w="1300" w:type="dxa"/>
            <w:shd w:val="clear" w:color="auto" w:fill="auto"/>
            <w:noWrap/>
            <w:vAlign w:val="center"/>
          </w:tcPr>
          <w:p w14:paraId="77E098D5" w14:textId="77777777" w:rsidR="00E63F69" w:rsidRPr="00E63F69" w:rsidRDefault="00E63F69" w:rsidP="001B449B">
            <w:r w:rsidRPr="00E63F69">
              <w:rPr>
                <w:lang w:val="en-US"/>
              </w:rPr>
              <w:t> </w:t>
            </w:r>
          </w:p>
          <w:p w14:paraId="7E54132B" w14:textId="77777777" w:rsidR="00E63F69" w:rsidRPr="00E63F69" w:rsidRDefault="00E63F69">
            <w:r w:rsidRPr="00E63F69">
              <w:rPr>
                <w:lang w:val="en-US"/>
              </w:rPr>
              <w:t>Country</w:t>
            </w:r>
          </w:p>
        </w:tc>
        <w:tc>
          <w:tcPr>
            <w:tcW w:w="1300" w:type="dxa"/>
            <w:shd w:val="clear" w:color="auto" w:fill="auto"/>
            <w:noWrap/>
            <w:vAlign w:val="center"/>
          </w:tcPr>
          <w:p w14:paraId="7A70591F" w14:textId="77777777" w:rsidR="00E63F69" w:rsidRPr="00E63F69" w:rsidRDefault="00E63F69">
            <w:r w:rsidRPr="00E63F69">
              <w:rPr>
                <w:lang w:val="en-US"/>
              </w:rPr>
              <w:t> </w:t>
            </w:r>
          </w:p>
          <w:p w14:paraId="4317E7E2" w14:textId="77777777" w:rsidR="00E63F69" w:rsidRPr="00E63F69" w:rsidRDefault="00E63F69">
            <w:r w:rsidRPr="00E63F69">
              <w:rPr>
                <w:lang w:val="en-US"/>
              </w:rPr>
              <w:t>Grant</w:t>
            </w:r>
          </w:p>
        </w:tc>
        <w:tc>
          <w:tcPr>
            <w:tcW w:w="1653" w:type="dxa"/>
            <w:shd w:val="clear" w:color="auto" w:fill="auto"/>
            <w:noWrap/>
            <w:vAlign w:val="center"/>
          </w:tcPr>
          <w:p w14:paraId="0727990E" w14:textId="77777777" w:rsidR="00E63F69" w:rsidRPr="00E63F69" w:rsidRDefault="00E63F69">
            <w:r w:rsidRPr="00E63F69">
              <w:rPr>
                <w:lang w:val="en-US"/>
              </w:rPr>
              <w:t> </w:t>
            </w:r>
          </w:p>
          <w:p w14:paraId="15275A4C" w14:textId="77777777" w:rsidR="00E63F69" w:rsidRPr="00E63F69" w:rsidRDefault="00E63F69">
            <w:r w:rsidRPr="00E63F69">
              <w:rPr>
                <w:lang w:val="en-US"/>
              </w:rPr>
              <w:t>Committed &amp; disbursed</w:t>
            </w:r>
          </w:p>
        </w:tc>
        <w:tc>
          <w:tcPr>
            <w:tcW w:w="1752" w:type="dxa"/>
            <w:shd w:val="clear" w:color="auto" w:fill="auto"/>
            <w:noWrap/>
            <w:vAlign w:val="center"/>
          </w:tcPr>
          <w:p w14:paraId="21BFCF88" w14:textId="77777777" w:rsidR="00E63F69" w:rsidRPr="00E63F69" w:rsidRDefault="00E63F69">
            <w:r w:rsidRPr="00E63F69">
              <w:rPr>
                <w:lang w:val="en-US"/>
              </w:rPr>
              <w:t>% committed &amp; disbursed by Country</w:t>
            </w:r>
          </w:p>
        </w:tc>
      </w:tr>
      <w:tr w:rsidR="00E63F69" w:rsidRPr="00E63F69" w14:paraId="00E2EC76" w14:textId="77777777">
        <w:trPr>
          <w:trHeight w:val="340"/>
        </w:trPr>
        <w:tc>
          <w:tcPr>
            <w:tcW w:w="1300" w:type="dxa"/>
            <w:shd w:val="clear" w:color="000000" w:fill="CCCCCC"/>
            <w:noWrap/>
            <w:vAlign w:val="center"/>
          </w:tcPr>
          <w:p w14:paraId="6DF03FBE" w14:textId="77777777" w:rsidR="00E63F69" w:rsidRPr="00E63F69" w:rsidRDefault="00E63F69" w:rsidP="001A78AF">
            <w:r w:rsidRPr="00E63F69">
              <w:rPr>
                <w:lang w:val="en-US"/>
              </w:rPr>
              <w:t>Bangladesh</w:t>
            </w:r>
          </w:p>
        </w:tc>
        <w:tc>
          <w:tcPr>
            <w:tcW w:w="1300" w:type="dxa"/>
            <w:shd w:val="clear" w:color="000000" w:fill="CCCCCC"/>
            <w:noWrap/>
            <w:vAlign w:val="center"/>
          </w:tcPr>
          <w:p w14:paraId="34CA4A78" w14:textId="77777777" w:rsidR="00E63F69" w:rsidRPr="00E63F69" w:rsidRDefault="00E63F69" w:rsidP="001A78AF">
            <w:r w:rsidRPr="00E63F69">
              <w:rPr>
                <w:lang w:val="en-US"/>
              </w:rPr>
              <w:t>249,559</w:t>
            </w:r>
          </w:p>
        </w:tc>
        <w:tc>
          <w:tcPr>
            <w:tcW w:w="1653" w:type="dxa"/>
            <w:shd w:val="clear" w:color="000000" w:fill="CCCCCC"/>
            <w:noWrap/>
            <w:vAlign w:val="center"/>
          </w:tcPr>
          <w:p w14:paraId="4F97AD8B" w14:textId="77777777" w:rsidR="00E63F69" w:rsidRPr="00E63F69" w:rsidRDefault="00E63F69" w:rsidP="000B5B50">
            <w:r w:rsidRPr="00E63F69">
              <w:rPr>
                <w:lang w:val="en-US"/>
              </w:rPr>
              <w:t>238,959</w:t>
            </w:r>
          </w:p>
        </w:tc>
        <w:tc>
          <w:tcPr>
            <w:tcW w:w="1752" w:type="dxa"/>
            <w:shd w:val="clear" w:color="000000" w:fill="CCCCCC"/>
            <w:noWrap/>
            <w:vAlign w:val="center"/>
          </w:tcPr>
          <w:p w14:paraId="08E98012" w14:textId="77777777" w:rsidR="00E63F69" w:rsidRPr="00E63F69" w:rsidRDefault="00E63F69" w:rsidP="000B5B50">
            <w:r w:rsidRPr="00E63F69">
              <w:rPr>
                <w:lang w:val="en-US"/>
              </w:rPr>
              <w:t>95%</w:t>
            </w:r>
          </w:p>
        </w:tc>
      </w:tr>
      <w:tr w:rsidR="00E63F69" w:rsidRPr="00E63F69" w14:paraId="1C9F5EF2" w14:textId="77777777">
        <w:trPr>
          <w:trHeight w:val="340"/>
        </w:trPr>
        <w:tc>
          <w:tcPr>
            <w:tcW w:w="1300" w:type="dxa"/>
            <w:shd w:val="clear" w:color="auto" w:fill="auto"/>
            <w:noWrap/>
            <w:vAlign w:val="center"/>
          </w:tcPr>
          <w:p w14:paraId="1C962E01" w14:textId="77777777" w:rsidR="00E63F69" w:rsidRPr="00E63F69" w:rsidRDefault="00E63F69" w:rsidP="001A78AF">
            <w:r w:rsidRPr="00E63F69">
              <w:rPr>
                <w:lang w:val="en-US"/>
              </w:rPr>
              <w:t>Bhutan</w:t>
            </w:r>
          </w:p>
        </w:tc>
        <w:tc>
          <w:tcPr>
            <w:tcW w:w="1300" w:type="dxa"/>
            <w:shd w:val="clear" w:color="auto" w:fill="auto"/>
            <w:noWrap/>
            <w:vAlign w:val="center"/>
          </w:tcPr>
          <w:p w14:paraId="486FAC9D" w14:textId="77777777" w:rsidR="00E63F69" w:rsidRPr="00E63F69" w:rsidRDefault="00E63F69" w:rsidP="001A78AF">
            <w:r w:rsidRPr="00E63F69">
              <w:rPr>
                <w:lang w:val="en-US"/>
              </w:rPr>
              <w:t xml:space="preserve"> -   </w:t>
            </w:r>
          </w:p>
        </w:tc>
        <w:tc>
          <w:tcPr>
            <w:tcW w:w="1653" w:type="dxa"/>
            <w:shd w:val="clear" w:color="auto" w:fill="auto"/>
            <w:noWrap/>
            <w:vAlign w:val="center"/>
          </w:tcPr>
          <w:p w14:paraId="7F3DD69D" w14:textId="77777777" w:rsidR="00E63F69" w:rsidRPr="00E63F69" w:rsidRDefault="00E63F69" w:rsidP="000B5B50">
            <w:r w:rsidRPr="00E63F69">
              <w:rPr>
                <w:lang w:val="en-US"/>
              </w:rPr>
              <w:t xml:space="preserve"> -   </w:t>
            </w:r>
          </w:p>
        </w:tc>
        <w:tc>
          <w:tcPr>
            <w:tcW w:w="1752" w:type="dxa"/>
            <w:shd w:val="clear" w:color="auto" w:fill="auto"/>
            <w:noWrap/>
            <w:vAlign w:val="center"/>
          </w:tcPr>
          <w:p w14:paraId="025F49D0" w14:textId="77777777" w:rsidR="00E63F69" w:rsidRPr="00E63F69" w:rsidRDefault="00E63F69" w:rsidP="000B5B50">
            <w:r w:rsidRPr="00E63F69">
              <w:rPr>
                <w:lang w:val="en-US"/>
              </w:rPr>
              <w:t>0%</w:t>
            </w:r>
          </w:p>
        </w:tc>
      </w:tr>
      <w:tr w:rsidR="00E63F69" w:rsidRPr="00E63F69" w14:paraId="2C895306" w14:textId="77777777">
        <w:trPr>
          <w:trHeight w:val="340"/>
        </w:trPr>
        <w:tc>
          <w:tcPr>
            <w:tcW w:w="1300" w:type="dxa"/>
            <w:shd w:val="clear" w:color="000000" w:fill="CCCCCC"/>
            <w:noWrap/>
            <w:vAlign w:val="center"/>
          </w:tcPr>
          <w:p w14:paraId="290A2E1A" w14:textId="77777777" w:rsidR="00E63F69" w:rsidRPr="00E63F69" w:rsidRDefault="00E63F69" w:rsidP="001A78AF">
            <w:r w:rsidRPr="00E63F69">
              <w:rPr>
                <w:lang w:val="en-US"/>
              </w:rPr>
              <w:t>India</w:t>
            </w:r>
          </w:p>
        </w:tc>
        <w:tc>
          <w:tcPr>
            <w:tcW w:w="1300" w:type="dxa"/>
            <w:shd w:val="clear" w:color="000000" w:fill="CCCCCC"/>
            <w:noWrap/>
            <w:vAlign w:val="center"/>
          </w:tcPr>
          <w:p w14:paraId="0697712B" w14:textId="77777777" w:rsidR="00E63F69" w:rsidRPr="00E63F69" w:rsidRDefault="00E63F69" w:rsidP="001A78AF">
            <w:r w:rsidRPr="00E63F69">
              <w:rPr>
                <w:lang w:val="en-US"/>
              </w:rPr>
              <w:t>2,350,000</w:t>
            </w:r>
          </w:p>
        </w:tc>
        <w:tc>
          <w:tcPr>
            <w:tcW w:w="1653" w:type="dxa"/>
            <w:shd w:val="clear" w:color="000000" w:fill="CCCCCC"/>
            <w:noWrap/>
            <w:vAlign w:val="center"/>
          </w:tcPr>
          <w:p w14:paraId="7ADD2A4D" w14:textId="77777777" w:rsidR="00E63F69" w:rsidRPr="00E63F69" w:rsidRDefault="00E63F69" w:rsidP="000B5B50">
            <w:r w:rsidRPr="00E63F69">
              <w:rPr>
                <w:lang w:val="en-US"/>
              </w:rPr>
              <w:t>1,619,291</w:t>
            </w:r>
          </w:p>
        </w:tc>
        <w:tc>
          <w:tcPr>
            <w:tcW w:w="1752" w:type="dxa"/>
            <w:shd w:val="clear" w:color="000000" w:fill="CCCCCC"/>
            <w:noWrap/>
            <w:vAlign w:val="center"/>
          </w:tcPr>
          <w:p w14:paraId="11ACC835" w14:textId="77777777" w:rsidR="00E63F69" w:rsidRPr="00E63F69" w:rsidRDefault="00E63F69" w:rsidP="000B5B50">
            <w:r w:rsidRPr="00E63F69">
              <w:rPr>
                <w:lang w:val="en-US"/>
              </w:rPr>
              <w:t>69%</w:t>
            </w:r>
          </w:p>
        </w:tc>
      </w:tr>
      <w:tr w:rsidR="00E63F69" w:rsidRPr="00E63F69" w14:paraId="50794644" w14:textId="77777777">
        <w:trPr>
          <w:trHeight w:val="340"/>
        </w:trPr>
        <w:tc>
          <w:tcPr>
            <w:tcW w:w="1300" w:type="dxa"/>
            <w:shd w:val="clear" w:color="auto" w:fill="auto"/>
            <w:noWrap/>
            <w:vAlign w:val="center"/>
          </w:tcPr>
          <w:p w14:paraId="2B42E8BE" w14:textId="77777777" w:rsidR="00E63F69" w:rsidRPr="00E63F69" w:rsidRDefault="00E63F69" w:rsidP="001A78AF">
            <w:r w:rsidRPr="00E63F69">
              <w:rPr>
                <w:lang w:val="en-US"/>
              </w:rPr>
              <w:t>Nepal</w:t>
            </w:r>
          </w:p>
        </w:tc>
        <w:tc>
          <w:tcPr>
            <w:tcW w:w="1300" w:type="dxa"/>
            <w:shd w:val="clear" w:color="auto" w:fill="auto"/>
            <w:noWrap/>
            <w:vAlign w:val="center"/>
          </w:tcPr>
          <w:p w14:paraId="40E79984" w14:textId="77777777" w:rsidR="00E63F69" w:rsidRPr="00E63F69" w:rsidRDefault="00E63F69" w:rsidP="001A78AF">
            <w:r w:rsidRPr="00E63F69">
              <w:rPr>
                <w:lang w:val="en-US"/>
              </w:rPr>
              <w:t xml:space="preserve"> -   </w:t>
            </w:r>
          </w:p>
        </w:tc>
        <w:tc>
          <w:tcPr>
            <w:tcW w:w="1653" w:type="dxa"/>
            <w:shd w:val="clear" w:color="auto" w:fill="auto"/>
            <w:noWrap/>
            <w:vAlign w:val="center"/>
          </w:tcPr>
          <w:p w14:paraId="0FF9244A" w14:textId="77777777" w:rsidR="00E63F69" w:rsidRPr="00E63F69" w:rsidRDefault="00E63F69" w:rsidP="000B5B50">
            <w:r w:rsidRPr="00E63F69">
              <w:rPr>
                <w:lang w:val="en-US"/>
              </w:rPr>
              <w:t xml:space="preserve"> -   </w:t>
            </w:r>
          </w:p>
        </w:tc>
        <w:tc>
          <w:tcPr>
            <w:tcW w:w="1752" w:type="dxa"/>
            <w:shd w:val="clear" w:color="auto" w:fill="auto"/>
            <w:noWrap/>
            <w:vAlign w:val="center"/>
          </w:tcPr>
          <w:p w14:paraId="63F1DB5C" w14:textId="77777777" w:rsidR="00E63F69" w:rsidRPr="00E63F69" w:rsidRDefault="00E63F69" w:rsidP="000B5B50">
            <w:r w:rsidRPr="00E63F69">
              <w:rPr>
                <w:lang w:val="en-US"/>
              </w:rPr>
              <w:t>0%</w:t>
            </w:r>
          </w:p>
        </w:tc>
      </w:tr>
      <w:tr w:rsidR="00E63F69" w:rsidRPr="00E63F69" w14:paraId="0DAA790E" w14:textId="77777777">
        <w:trPr>
          <w:trHeight w:val="340"/>
        </w:trPr>
        <w:tc>
          <w:tcPr>
            <w:tcW w:w="1300" w:type="dxa"/>
            <w:shd w:val="clear" w:color="000000" w:fill="CCCCCC"/>
            <w:noWrap/>
            <w:vAlign w:val="center"/>
          </w:tcPr>
          <w:p w14:paraId="5789837B" w14:textId="77777777" w:rsidR="00E63F69" w:rsidRPr="00E63F69" w:rsidRDefault="00E63F69" w:rsidP="001A78AF">
            <w:r w:rsidRPr="00E63F69">
              <w:rPr>
                <w:lang w:val="en-US"/>
              </w:rPr>
              <w:t>South Asia</w:t>
            </w:r>
          </w:p>
        </w:tc>
        <w:tc>
          <w:tcPr>
            <w:tcW w:w="1300" w:type="dxa"/>
            <w:shd w:val="clear" w:color="000000" w:fill="CCCCCC"/>
            <w:noWrap/>
            <w:vAlign w:val="center"/>
          </w:tcPr>
          <w:p w14:paraId="5185EB49" w14:textId="77777777" w:rsidR="00E63F69" w:rsidRPr="00E63F69" w:rsidRDefault="00E63F69" w:rsidP="001A78AF">
            <w:r w:rsidRPr="00E63F69">
              <w:rPr>
                <w:lang w:val="en-US"/>
              </w:rPr>
              <w:t>4,570,000</w:t>
            </w:r>
          </w:p>
        </w:tc>
        <w:tc>
          <w:tcPr>
            <w:tcW w:w="1653" w:type="dxa"/>
            <w:shd w:val="clear" w:color="000000" w:fill="CCCCCC"/>
            <w:noWrap/>
            <w:vAlign w:val="center"/>
          </w:tcPr>
          <w:p w14:paraId="19A0350D" w14:textId="77777777" w:rsidR="00E63F69" w:rsidRPr="00E63F69" w:rsidRDefault="00E63F69" w:rsidP="000B5B50">
            <w:r w:rsidRPr="00E63F69">
              <w:rPr>
                <w:lang w:val="en-US"/>
              </w:rPr>
              <w:t>2,970,645</w:t>
            </w:r>
          </w:p>
        </w:tc>
        <w:tc>
          <w:tcPr>
            <w:tcW w:w="1752" w:type="dxa"/>
            <w:shd w:val="clear" w:color="000000" w:fill="CCCCCC"/>
            <w:noWrap/>
            <w:vAlign w:val="center"/>
          </w:tcPr>
          <w:p w14:paraId="321FEBEC" w14:textId="77777777" w:rsidR="00E63F69" w:rsidRPr="00E63F69" w:rsidRDefault="00E63F69" w:rsidP="000B5B50">
            <w:r w:rsidRPr="00E63F69">
              <w:rPr>
                <w:lang w:val="en-US"/>
              </w:rPr>
              <w:t>65%</w:t>
            </w:r>
          </w:p>
        </w:tc>
      </w:tr>
      <w:tr w:rsidR="00E63F69" w:rsidRPr="00E63F69" w14:paraId="08646459" w14:textId="77777777">
        <w:trPr>
          <w:trHeight w:val="340"/>
        </w:trPr>
        <w:tc>
          <w:tcPr>
            <w:tcW w:w="1300" w:type="dxa"/>
            <w:shd w:val="clear" w:color="auto" w:fill="auto"/>
            <w:noWrap/>
            <w:vAlign w:val="center"/>
          </w:tcPr>
          <w:p w14:paraId="5FF2CA07" w14:textId="77777777" w:rsidR="00E63F69" w:rsidRPr="00E63F69" w:rsidRDefault="00E63F69" w:rsidP="001A78AF">
            <w:r w:rsidRPr="00E63F69">
              <w:rPr>
                <w:lang w:val="en-US"/>
              </w:rPr>
              <w:t>Total</w:t>
            </w:r>
          </w:p>
        </w:tc>
        <w:tc>
          <w:tcPr>
            <w:tcW w:w="1300" w:type="dxa"/>
            <w:shd w:val="clear" w:color="auto" w:fill="auto"/>
            <w:noWrap/>
            <w:vAlign w:val="center"/>
          </w:tcPr>
          <w:p w14:paraId="003D5460" w14:textId="77777777" w:rsidR="00E63F69" w:rsidRPr="00E63F69" w:rsidRDefault="00E63F69" w:rsidP="001A78AF">
            <w:r w:rsidRPr="00E63F69">
              <w:rPr>
                <w:lang w:val="en-US"/>
              </w:rPr>
              <w:t>7,669,559</w:t>
            </w:r>
          </w:p>
        </w:tc>
        <w:tc>
          <w:tcPr>
            <w:tcW w:w="1653" w:type="dxa"/>
            <w:shd w:val="clear" w:color="auto" w:fill="auto"/>
            <w:noWrap/>
            <w:vAlign w:val="center"/>
          </w:tcPr>
          <w:p w14:paraId="4BDA9495" w14:textId="77777777" w:rsidR="00E63F69" w:rsidRPr="00E63F69" w:rsidRDefault="00E63F69" w:rsidP="000B5B50">
            <w:r w:rsidRPr="00E63F69">
              <w:rPr>
                <w:lang w:val="en-US"/>
              </w:rPr>
              <w:t>4,191,684</w:t>
            </w:r>
          </w:p>
        </w:tc>
        <w:tc>
          <w:tcPr>
            <w:tcW w:w="1752" w:type="dxa"/>
            <w:shd w:val="clear" w:color="auto" w:fill="auto"/>
            <w:noWrap/>
          </w:tcPr>
          <w:p w14:paraId="1B82EA54" w14:textId="77777777" w:rsidR="00E63F69" w:rsidRPr="00E63F69" w:rsidRDefault="00E63F69" w:rsidP="000B5B50">
            <w:r w:rsidRPr="00E63F69">
              <w:t> </w:t>
            </w:r>
          </w:p>
        </w:tc>
      </w:tr>
    </w:tbl>
    <w:p w14:paraId="0E6A56EB" w14:textId="77777777" w:rsidR="00E63F69" w:rsidRDefault="00E63F69" w:rsidP="00F65774"/>
    <w:p w14:paraId="20952BC5" w14:textId="77777777" w:rsidR="00E63F69" w:rsidRDefault="00E63F69" w:rsidP="001B449B">
      <w:pPr>
        <w:pStyle w:val="Heading3"/>
      </w:pPr>
      <w:r>
        <w:lastRenderedPageBreak/>
        <w:t>Disbursement of SARTFP funds by Global Practice</w:t>
      </w:r>
      <w:r>
        <w:rPr>
          <w:rStyle w:val="FootnoteReference"/>
        </w:rPr>
        <w:footnoteReference w:id="158"/>
      </w:r>
    </w:p>
    <w:tbl>
      <w:tblPr>
        <w:tblW w:w="6086" w:type="dxa"/>
        <w:tblLook w:val="04A0" w:firstRow="1" w:lastRow="0" w:firstColumn="1" w:lastColumn="0" w:noHBand="0" w:noVBand="1"/>
      </w:tblPr>
      <w:tblGrid>
        <w:gridCol w:w="1300"/>
        <w:gridCol w:w="1300"/>
        <w:gridCol w:w="1501"/>
        <w:gridCol w:w="1985"/>
      </w:tblGrid>
      <w:tr w:rsidR="00E63F69" w:rsidRPr="00E63F69" w14:paraId="7584533F" w14:textId="77777777" w:rsidTr="00A02664">
        <w:trPr>
          <w:trHeight w:val="340"/>
        </w:trPr>
        <w:tc>
          <w:tcPr>
            <w:tcW w:w="1300" w:type="dxa"/>
            <w:tcBorders>
              <w:top w:val="single" w:sz="8" w:space="0" w:color="000000"/>
              <w:left w:val="single" w:sz="8" w:space="0" w:color="000000"/>
              <w:bottom w:val="single" w:sz="8" w:space="0" w:color="000000"/>
              <w:right w:val="single" w:sz="4" w:space="0" w:color="auto"/>
            </w:tcBorders>
            <w:shd w:val="clear" w:color="auto" w:fill="auto"/>
            <w:noWrap/>
            <w:vAlign w:val="center"/>
          </w:tcPr>
          <w:p w14:paraId="15BCF977" w14:textId="77777777" w:rsidR="00E63F69" w:rsidRPr="00E63F69" w:rsidRDefault="00E63F69" w:rsidP="001B449B">
            <w:r w:rsidRPr="00E63F69">
              <w:t>Global Practice</w:t>
            </w:r>
          </w:p>
        </w:tc>
        <w:tc>
          <w:tcPr>
            <w:tcW w:w="1300" w:type="dxa"/>
            <w:tcBorders>
              <w:top w:val="single" w:sz="8" w:space="0" w:color="000000"/>
              <w:left w:val="single" w:sz="4" w:space="0" w:color="auto"/>
              <w:bottom w:val="single" w:sz="8" w:space="0" w:color="000000"/>
              <w:right w:val="single" w:sz="4" w:space="0" w:color="auto"/>
            </w:tcBorders>
            <w:shd w:val="clear" w:color="auto" w:fill="auto"/>
            <w:noWrap/>
            <w:vAlign w:val="center"/>
          </w:tcPr>
          <w:p w14:paraId="0DBAF5FE" w14:textId="77777777" w:rsidR="00E63F69" w:rsidRPr="00E63F69" w:rsidRDefault="00E63F69">
            <w:r w:rsidRPr="00E63F69">
              <w:t>Grant</w:t>
            </w:r>
          </w:p>
        </w:tc>
        <w:tc>
          <w:tcPr>
            <w:tcW w:w="1501" w:type="dxa"/>
            <w:tcBorders>
              <w:top w:val="single" w:sz="8" w:space="0" w:color="000000"/>
              <w:left w:val="single" w:sz="4" w:space="0" w:color="auto"/>
              <w:bottom w:val="single" w:sz="8" w:space="0" w:color="000000"/>
              <w:right w:val="single" w:sz="4" w:space="0" w:color="auto"/>
            </w:tcBorders>
            <w:shd w:val="clear" w:color="auto" w:fill="auto"/>
            <w:noWrap/>
            <w:vAlign w:val="center"/>
          </w:tcPr>
          <w:p w14:paraId="587BC7BF" w14:textId="77777777" w:rsidR="00E63F69" w:rsidRPr="00E63F69" w:rsidRDefault="00E63F69">
            <w:r w:rsidRPr="00E63F69">
              <w:t>Committed &amp; disbursed</w:t>
            </w:r>
          </w:p>
        </w:tc>
        <w:tc>
          <w:tcPr>
            <w:tcW w:w="1985" w:type="dxa"/>
            <w:tcBorders>
              <w:top w:val="single" w:sz="8" w:space="0" w:color="000000"/>
              <w:left w:val="single" w:sz="4" w:space="0" w:color="auto"/>
              <w:bottom w:val="single" w:sz="8" w:space="0" w:color="000000"/>
              <w:right w:val="single" w:sz="8" w:space="0" w:color="000000"/>
            </w:tcBorders>
            <w:shd w:val="clear" w:color="auto" w:fill="auto"/>
            <w:noWrap/>
            <w:vAlign w:val="center"/>
          </w:tcPr>
          <w:p w14:paraId="1FAAC640" w14:textId="77777777" w:rsidR="00E63F69" w:rsidRPr="00E63F69" w:rsidRDefault="00E63F69">
            <w:r w:rsidRPr="00E63F69">
              <w:t>% committed &amp; disbursed by Global Practice</w:t>
            </w:r>
          </w:p>
        </w:tc>
      </w:tr>
      <w:tr w:rsidR="00E63F69" w:rsidRPr="00E63F69" w14:paraId="16880020" w14:textId="77777777">
        <w:trPr>
          <w:trHeight w:val="340"/>
        </w:trPr>
        <w:tc>
          <w:tcPr>
            <w:tcW w:w="1300" w:type="dxa"/>
            <w:tcBorders>
              <w:top w:val="nil"/>
              <w:left w:val="single" w:sz="8" w:space="0" w:color="666666"/>
              <w:bottom w:val="single" w:sz="8" w:space="0" w:color="666666"/>
              <w:right w:val="single" w:sz="8" w:space="0" w:color="666666"/>
            </w:tcBorders>
            <w:shd w:val="clear" w:color="000000" w:fill="CCCCCC"/>
            <w:noWrap/>
            <w:vAlign w:val="center"/>
          </w:tcPr>
          <w:p w14:paraId="707A9B75" w14:textId="77777777" w:rsidR="00E63F69" w:rsidRPr="00E63F69" w:rsidRDefault="00E63F69" w:rsidP="001A78AF">
            <w:r w:rsidRPr="00E63F69">
              <w:t>Transport</w:t>
            </w:r>
          </w:p>
        </w:tc>
        <w:tc>
          <w:tcPr>
            <w:tcW w:w="1300" w:type="dxa"/>
            <w:tcBorders>
              <w:top w:val="nil"/>
              <w:left w:val="nil"/>
              <w:bottom w:val="single" w:sz="8" w:space="0" w:color="666666"/>
              <w:right w:val="single" w:sz="8" w:space="0" w:color="666666"/>
            </w:tcBorders>
            <w:shd w:val="clear" w:color="000000" w:fill="CCCCCC"/>
            <w:noWrap/>
            <w:vAlign w:val="center"/>
          </w:tcPr>
          <w:p w14:paraId="2AAAD636" w14:textId="77777777" w:rsidR="00E63F69" w:rsidRPr="00E63F69" w:rsidRDefault="00E63F69" w:rsidP="001A78AF">
            <w:r w:rsidRPr="00E63F69">
              <w:t>1,650,000</w:t>
            </w:r>
          </w:p>
        </w:tc>
        <w:tc>
          <w:tcPr>
            <w:tcW w:w="1501" w:type="dxa"/>
            <w:tcBorders>
              <w:top w:val="nil"/>
              <w:left w:val="nil"/>
              <w:bottom w:val="single" w:sz="8" w:space="0" w:color="666666"/>
              <w:right w:val="single" w:sz="8" w:space="0" w:color="666666"/>
            </w:tcBorders>
            <w:shd w:val="clear" w:color="000000" w:fill="CCCCCC"/>
            <w:noWrap/>
            <w:vAlign w:val="center"/>
          </w:tcPr>
          <w:p w14:paraId="76E88F16" w14:textId="77777777" w:rsidR="00E63F69" w:rsidRPr="00E63F69" w:rsidRDefault="00E63F69" w:rsidP="000B5B50">
            <w:r w:rsidRPr="00E63F69">
              <w:t>648,480</w:t>
            </w:r>
          </w:p>
        </w:tc>
        <w:tc>
          <w:tcPr>
            <w:tcW w:w="1985" w:type="dxa"/>
            <w:tcBorders>
              <w:top w:val="nil"/>
              <w:left w:val="nil"/>
              <w:bottom w:val="single" w:sz="8" w:space="0" w:color="666666"/>
              <w:right w:val="single" w:sz="8" w:space="0" w:color="666666"/>
            </w:tcBorders>
            <w:shd w:val="clear" w:color="000000" w:fill="CCCCCC"/>
            <w:noWrap/>
            <w:vAlign w:val="center"/>
          </w:tcPr>
          <w:p w14:paraId="52C6250B" w14:textId="77777777" w:rsidR="00E63F69" w:rsidRPr="00E63F69" w:rsidRDefault="00E63F69" w:rsidP="000B5B50">
            <w:r w:rsidRPr="00E63F69">
              <w:t>39%</w:t>
            </w:r>
          </w:p>
        </w:tc>
      </w:tr>
      <w:tr w:rsidR="00E63F69" w:rsidRPr="00E63F69" w14:paraId="354ACDED" w14:textId="77777777">
        <w:trPr>
          <w:trHeight w:val="340"/>
        </w:trPr>
        <w:tc>
          <w:tcPr>
            <w:tcW w:w="1300" w:type="dxa"/>
            <w:tcBorders>
              <w:top w:val="nil"/>
              <w:left w:val="single" w:sz="8" w:space="0" w:color="666666"/>
              <w:bottom w:val="single" w:sz="8" w:space="0" w:color="666666"/>
              <w:right w:val="single" w:sz="8" w:space="0" w:color="666666"/>
            </w:tcBorders>
            <w:shd w:val="clear" w:color="auto" w:fill="auto"/>
            <w:noWrap/>
            <w:vAlign w:val="center"/>
          </w:tcPr>
          <w:p w14:paraId="7A797907" w14:textId="77777777" w:rsidR="00E63F69" w:rsidRPr="00E63F69" w:rsidRDefault="00E63F69" w:rsidP="001A78AF">
            <w:r w:rsidRPr="00E63F69">
              <w:t>Trade</w:t>
            </w:r>
          </w:p>
        </w:tc>
        <w:tc>
          <w:tcPr>
            <w:tcW w:w="1300" w:type="dxa"/>
            <w:tcBorders>
              <w:top w:val="nil"/>
              <w:left w:val="nil"/>
              <w:bottom w:val="single" w:sz="8" w:space="0" w:color="666666"/>
              <w:right w:val="single" w:sz="8" w:space="0" w:color="666666"/>
            </w:tcBorders>
            <w:shd w:val="clear" w:color="auto" w:fill="auto"/>
            <w:noWrap/>
            <w:vAlign w:val="center"/>
          </w:tcPr>
          <w:p w14:paraId="21250498" w14:textId="77777777" w:rsidR="00E63F69" w:rsidRPr="00E63F69" w:rsidRDefault="00E63F69" w:rsidP="001A78AF">
            <w:r w:rsidRPr="00E63F69">
              <w:t>1,300,000</w:t>
            </w:r>
          </w:p>
        </w:tc>
        <w:tc>
          <w:tcPr>
            <w:tcW w:w="1501" w:type="dxa"/>
            <w:tcBorders>
              <w:top w:val="nil"/>
              <w:left w:val="nil"/>
              <w:bottom w:val="single" w:sz="8" w:space="0" w:color="666666"/>
              <w:right w:val="single" w:sz="8" w:space="0" w:color="666666"/>
            </w:tcBorders>
            <w:shd w:val="clear" w:color="auto" w:fill="auto"/>
            <w:noWrap/>
            <w:vAlign w:val="center"/>
          </w:tcPr>
          <w:p w14:paraId="242E0939" w14:textId="77777777" w:rsidR="00E63F69" w:rsidRPr="00E63F69" w:rsidRDefault="00E63F69" w:rsidP="000B5B50">
            <w:r w:rsidRPr="00E63F69">
              <w:t>1,155,987</w:t>
            </w:r>
          </w:p>
        </w:tc>
        <w:tc>
          <w:tcPr>
            <w:tcW w:w="1985" w:type="dxa"/>
            <w:tcBorders>
              <w:top w:val="nil"/>
              <w:left w:val="nil"/>
              <w:bottom w:val="single" w:sz="8" w:space="0" w:color="666666"/>
              <w:right w:val="single" w:sz="8" w:space="0" w:color="666666"/>
            </w:tcBorders>
            <w:shd w:val="clear" w:color="auto" w:fill="auto"/>
            <w:noWrap/>
            <w:vAlign w:val="center"/>
          </w:tcPr>
          <w:p w14:paraId="1524868F" w14:textId="77777777" w:rsidR="00E63F69" w:rsidRPr="00E63F69" w:rsidRDefault="00E63F69" w:rsidP="000B5B50">
            <w:r w:rsidRPr="00E63F69">
              <w:t>89%</w:t>
            </w:r>
          </w:p>
        </w:tc>
      </w:tr>
      <w:tr w:rsidR="00E63F69" w:rsidRPr="00E63F69" w14:paraId="250ACECA" w14:textId="77777777">
        <w:trPr>
          <w:trHeight w:val="340"/>
        </w:trPr>
        <w:tc>
          <w:tcPr>
            <w:tcW w:w="1300" w:type="dxa"/>
            <w:tcBorders>
              <w:top w:val="nil"/>
              <w:left w:val="single" w:sz="8" w:space="0" w:color="666666"/>
              <w:bottom w:val="single" w:sz="8" w:space="0" w:color="666666"/>
              <w:right w:val="single" w:sz="8" w:space="0" w:color="666666"/>
            </w:tcBorders>
            <w:shd w:val="clear" w:color="000000" w:fill="CCCCCC"/>
            <w:noWrap/>
            <w:vAlign w:val="center"/>
          </w:tcPr>
          <w:p w14:paraId="11CADCDC" w14:textId="77777777" w:rsidR="00E63F69" w:rsidRPr="00E63F69" w:rsidRDefault="00E63F69" w:rsidP="001A78AF">
            <w:r w:rsidRPr="00E63F69">
              <w:t>Social</w:t>
            </w:r>
          </w:p>
        </w:tc>
        <w:tc>
          <w:tcPr>
            <w:tcW w:w="1300" w:type="dxa"/>
            <w:tcBorders>
              <w:top w:val="nil"/>
              <w:left w:val="nil"/>
              <w:bottom w:val="single" w:sz="8" w:space="0" w:color="666666"/>
              <w:right w:val="single" w:sz="8" w:space="0" w:color="666666"/>
            </w:tcBorders>
            <w:shd w:val="clear" w:color="000000" w:fill="CCCCCC"/>
            <w:noWrap/>
            <w:vAlign w:val="center"/>
          </w:tcPr>
          <w:p w14:paraId="2E879CA5" w14:textId="77777777" w:rsidR="00E63F69" w:rsidRPr="00E63F69" w:rsidRDefault="00E63F69" w:rsidP="001A78AF">
            <w:r w:rsidRPr="00E63F69">
              <w:t>2,499,954</w:t>
            </w:r>
          </w:p>
        </w:tc>
        <w:tc>
          <w:tcPr>
            <w:tcW w:w="1501" w:type="dxa"/>
            <w:tcBorders>
              <w:top w:val="nil"/>
              <w:left w:val="nil"/>
              <w:bottom w:val="single" w:sz="8" w:space="0" w:color="666666"/>
              <w:right w:val="single" w:sz="8" w:space="0" w:color="666666"/>
            </w:tcBorders>
            <w:shd w:val="clear" w:color="000000" w:fill="CCCCCC"/>
            <w:noWrap/>
            <w:vAlign w:val="center"/>
          </w:tcPr>
          <w:p w14:paraId="23912CAD" w14:textId="77777777" w:rsidR="00E63F69" w:rsidRPr="00E63F69" w:rsidRDefault="00E63F69" w:rsidP="000B5B50">
            <w:r w:rsidRPr="00E63F69">
              <w:t>1,773,213</w:t>
            </w:r>
          </w:p>
        </w:tc>
        <w:tc>
          <w:tcPr>
            <w:tcW w:w="1985" w:type="dxa"/>
            <w:tcBorders>
              <w:top w:val="nil"/>
              <w:left w:val="nil"/>
              <w:bottom w:val="single" w:sz="8" w:space="0" w:color="666666"/>
              <w:right w:val="single" w:sz="8" w:space="0" w:color="666666"/>
            </w:tcBorders>
            <w:shd w:val="clear" w:color="000000" w:fill="CCCCCC"/>
            <w:noWrap/>
            <w:vAlign w:val="center"/>
          </w:tcPr>
          <w:p w14:paraId="136BAE4F" w14:textId="77777777" w:rsidR="00E63F69" w:rsidRPr="00E63F69" w:rsidRDefault="00E63F69" w:rsidP="000B5B50">
            <w:r w:rsidRPr="00E63F69">
              <w:t>71%</w:t>
            </w:r>
          </w:p>
        </w:tc>
      </w:tr>
      <w:tr w:rsidR="00E63F69" w:rsidRPr="00E63F69" w14:paraId="3EEBE192" w14:textId="77777777">
        <w:trPr>
          <w:trHeight w:val="340"/>
        </w:trPr>
        <w:tc>
          <w:tcPr>
            <w:tcW w:w="1300" w:type="dxa"/>
            <w:tcBorders>
              <w:top w:val="nil"/>
              <w:left w:val="single" w:sz="8" w:space="0" w:color="666666"/>
              <w:bottom w:val="single" w:sz="8" w:space="0" w:color="666666"/>
              <w:right w:val="single" w:sz="8" w:space="0" w:color="666666"/>
            </w:tcBorders>
            <w:shd w:val="clear" w:color="auto" w:fill="auto"/>
            <w:noWrap/>
            <w:vAlign w:val="center"/>
          </w:tcPr>
          <w:p w14:paraId="2AABD6CD" w14:textId="77777777" w:rsidR="00E63F69" w:rsidRPr="00E63F69" w:rsidRDefault="00E63F69" w:rsidP="001A78AF">
            <w:r w:rsidRPr="00E63F69">
              <w:t>Agriculture</w:t>
            </w:r>
          </w:p>
        </w:tc>
        <w:tc>
          <w:tcPr>
            <w:tcW w:w="1300" w:type="dxa"/>
            <w:tcBorders>
              <w:top w:val="nil"/>
              <w:left w:val="nil"/>
              <w:bottom w:val="single" w:sz="8" w:space="0" w:color="666666"/>
              <w:right w:val="single" w:sz="8" w:space="0" w:color="666666"/>
            </w:tcBorders>
            <w:shd w:val="clear" w:color="auto" w:fill="auto"/>
            <w:noWrap/>
            <w:vAlign w:val="center"/>
          </w:tcPr>
          <w:p w14:paraId="1D5C51E3" w14:textId="77777777" w:rsidR="00E63F69" w:rsidRPr="00E63F69" w:rsidRDefault="00E63F69" w:rsidP="001A78AF">
            <w:r w:rsidRPr="00E63F69">
              <w:t>820,000</w:t>
            </w:r>
          </w:p>
        </w:tc>
        <w:tc>
          <w:tcPr>
            <w:tcW w:w="1501" w:type="dxa"/>
            <w:tcBorders>
              <w:top w:val="nil"/>
              <w:left w:val="nil"/>
              <w:bottom w:val="single" w:sz="8" w:space="0" w:color="666666"/>
              <w:right w:val="single" w:sz="8" w:space="0" w:color="666666"/>
            </w:tcBorders>
            <w:shd w:val="clear" w:color="auto" w:fill="auto"/>
            <w:noWrap/>
            <w:vAlign w:val="center"/>
          </w:tcPr>
          <w:p w14:paraId="79BE3C04" w14:textId="77777777" w:rsidR="00E63F69" w:rsidRPr="00E63F69" w:rsidRDefault="00E63F69" w:rsidP="000B5B50">
            <w:r w:rsidRPr="00E63F69">
              <w:t>558,676</w:t>
            </w:r>
          </w:p>
        </w:tc>
        <w:tc>
          <w:tcPr>
            <w:tcW w:w="1985" w:type="dxa"/>
            <w:tcBorders>
              <w:top w:val="nil"/>
              <w:left w:val="nil"/>
              <w:bottom w:val="single" w:sz="8" w:space="0" w:color="666666"/>
              <w:right w:val="single" w:sz="8" w:space="0" w:color="666666"/>
            </w:tcBorders>
            <w:shd w:val="clear" w:color="auto" w:fill="auto"/>
            <w:noWrap/>
            <w:vAlign w:val="center"/>
          </w:tcPr>
          <w:p w14:paraId="12115B65" w14:textId="77777777" w:rsidR="00E63F69" w:rsidRPr="00E63F69" w:rsidRDefault="00E63F69" w:rsidP="000B5B50">
            <w:r w:rsidRPr="00E63F69">
              <w:t>68%</w:t>
            </w:r>
          </w:p>
        </w:tc>
      </w:tr>
      <w:tr w:rsidR="00E63F69" w:rsidRPr="00E63F69" w14:paraId="635E9031" w14:textId="77777777">
        <w:trPr>
          <w:trHeight w:val="340"/>
        </w:trPr>
        <w:tc>
          <w:tcPr>
            <w:tcW w:w="1300" w:type="dxa"/>
            <w:tcBorders>
              <w:top w:val="nil"/>
              <w:left w:val="single" w:sz="8" w:space="0" w:color="666666"/>
              <w:bottom w:val="single" w:sz="8" w:space="0" w:color="666666"/>
              <w:right w:val="single" w:sz="8" w:space="0" w:color="666666"/>
            </w:tcBorders>
            <w:shd w:val="clear" w:color="000000" w:fill="CCCCCC"/>
            <w:noWrap/>
            <w:vAlign w:val="center"/>
          </w:tcPr>
          <w:p w14:paraId="7A397A7F" w14:textId="77777777" w:rsidR="00E63F69" w:rsidRPr="00E63F69" w:rsidRDefault="00E63F69" w:rsidP="001A78AF">
            <w:r w:rsidRPr="00E63F69">
              <w:t>Other</w:t>
            </w:r>
          </w:p>
        </w:tc>
        <w:tc>
          <w:tcPr>
            <w:tcW w:w="1300" w:type="dxa"/>
            <w:tcBorders>
              <w:top w:val="nil"/>
              <w:left w:val="nil"/>
              <w:bottom w:val="single" w:sz="8" w:space="0" w:color="666666"/>
              <w:right w:val="single" w:sz="8" w:space="0" w:color="666666"/>
            </w:tcBorders>
            <w:shd w:val="clear" w:color="000000" w:fill="CCCCCC"/>
            <w:noWrap/>
            <w:vAlign w:val="center"/>
          </w:tcPr>
          <w:p w14:paraId="0A1D5FE3" w14:textId="77777777" w:rsidR="00E63F69" w:rsidRPr="00E63F69" w:rsidRDefault="00E63F69" w:rsidP="001A78AF">
            <w:r w:rsidRPr="00E63F69">
              <w:t>899,605</w:t>
            </w:r>
          </w:p>
        </w:tc>
        <w:tc>
          <w:tcPr>
            <w:tcW w:w="1501" w:type="dxa"/>
            <w:tcBorders>
              <w:top w:val="nil"/>
              <w:left w:val="nil"/>
              <w:bottom w:val="single" w:sz="8" w:space="0" w:color="666666"/>
              <w:right w:val="single" w:sz="8" w:space="0" w:color="666666"/>
            </w:tcBorders>
            <w:shd w:val="clear" w:color="000000" w:fill="CCCCCC"/>
            <w:noWrap/>
            <w:vAlign w:val="center"/>
          </w:tcPr>
          <w:p w14:paraId="23F443C9" w14:textId="77777777" w:rsidR="00E63F69" w:rsidRPr="00E63F69" w:rsidRDefault="00E63F69" w:rsidP="000B5B50">
            <w:r w:rsidRPr="00E63F69">
              <w:t>692,629</w:t>
            </w:r>
          </w:p>
        </w:tc>
        <w:tc>
          <w:tcPr>
            <w:tcW w:w="1985" w:type="dxa"/>
            <w:tcBorders>
              <w:top w:val="nil"/>
              <w:left w:val="nil"/>
              <w:bottom w:val="single" w:sz="8" w:space="0" w:color="666666"/>
              <w:right w:val="single" w:sz="8" w:space="0" w:color="666666"/>
            </w:tcBorders>
            <w:shd w:val="clear" w:color="000000" w:fill="CCCCCC"/>
            <w:noWrap/>
            <w:vAlign w:val="center"/>
          </w:tcPr>
          <w:p w14:paraId="6CD931F6" w14:textId="77777777" w:rsidR="00E63F69" w:rsidRPr="00E63F69" w:rsidRDefault="00E63F69" w:rsidP="000B5B50">
            <w:r w:rsidRPr="00E63F69">
              <w:t>77%</w:t>
            </w:r>
          </w:p>
        </w:tc>
      </w:tr>
      <w:tr w:rsidR="00E63F69" w:rsidRPr="00E63F69" w14:paraId="5C83EE78" w14:textId="77777777">
        <w:trPr>
          <w:trHeight w:val="340"/>
        </w:trPr>
        <w:tc>
          <w:tcPr>
            <w:tcW w:w="1300" w:type="dxa"/>
            <w:tcBorders>
              <w:top w:val="nil"/>
              <w:left w:val="single" w:sz="8" w:space="0" w:color="666666"/>
              <w:bottom w:val="single" w:sz="8" w:space="0" w:color="666666"/>
              <w:right w:val="single" w:sz="8" w:space="0" w:color="666666"/>
            </w:tcBorders>
            <w:shd w:val="clear" w:color="auto" w:fill="auto"/>
            <w:noWrap/>
            <w:vAlign w:val="center"/>
          </w:tcPr>
          <w:p w14:paraId="3DCEA24F" w14:textId="77777777" w:rsidR="00E63F69" w:rsidRPr="00E63F69" w:rsidRDefault="00E63F69" w:rsidP="001A78AF">
            <w:r w:rsidRPr="00E63F69">
              <w:t>Total</w:t>
            </w:r>
          </w:p>
        </w:tc>
        <w:tc>
          <w:tcPr>
            <w:tcW w:w="1300" w:type="dxa"/>
            <w:tcBorders>
              <w:top w:val="nil"/>
              <w:left w:val="nil"/>
              <w:bottom w:val="single" w:sz="8" w:space="0" w:color="666666"/>
              <w:right w:val="single" w:sz="8" w:space="0" w:color="666666"/>
            </w:tcBorders>
            <w:shd w:val="clear" w:color="auto" w:fill="auto"/>
            <w:noWrap/>
            <w:vAlign w:val="center"/>
          </w:tcPr>
          <w:p w14:paraId="3B3589DD" w14:textId="77777777" w:rsidR="00E63F69" w:rsidRPr="00E63F69" w:rsidRDefault="00E63F69" w:rsidP="001A78AF">
            <w:r w:rsidRPr="00E63F69">
              <w:t>7,169,559</w:t>
            </w:r>
          </w:p>
        </w:tc>
        <w:tc>
          <w:tcPr>
            <w:tcW w:w="1501" w:type="dxa"/>
            <w:tcBorders>
              <w:top w:val="nil"/>
              <w:left w:val="nil"/>
              <w:bottom w:val="single" w:sz="8" w:space="0" w:color="666666"/>
              <w:right w:val="single" w:sz="8" w:space="0" w:color="666666"/>
            </w:tcBorders>
            <w:shd w:val="clear" w:color="auto" w:fill="auto"/>
            <w:noWrap/>
            <w:vAlign w:val="center"/>
          </w:tcPr>
          <w:p w14:paraId="0FF6C2F9" w14:textId="77777777" w:rsidR="00E63F69" w:rsidRPr="00E63F69" w:rsidRDefault="00E63F69" w:rsidP="000B5B50">
            <w:r w:rsidRPr="00E63F69">
              <w:t>562,974</w:t>
            </w:r>
          </w:p>
        </w:tc>
        <w:tc>
          <w:tcPr>
            <w:tcW w:w="1985" w:type="dxa"/>
            <w:tcBorders>
              <w:top w:val="nil"/>
              <w:left w:val="nil"/>
              <w:bottom w:val="single" w:sz="8" w:space="0" w:color="666666"/>
              <w:right w:val="single" w:sz="8" w:space="0" w:color="666666"/>
            </w:tcBorders>
            <w:shd w:val="clear" w:color="auto" w:fill="auto"/>
            <w:noWrap/>
          </w:tcPr>
          <w:p w14:paraId="08A27C37" w14:textId="77777777" w:rsidR="00E63F69" w:rsidRPr="00E63F69" w:rsidRDefault="00E63F69" w:rsidP="000B5B50">
            <w:r w:rsidRPr="00E63F69">
              <w:t> </w:t>
            </w:r>
          </w:p>
        </w:tc>
      </w:tr>
    </w:tbl>
    <w:p w14:paraId="4C605D0A" w14:textId="77777777" w:rsidR="00E63F69" w:rsidRDefault="00E63F69" w:rsidP="00F65774"/>
    <w:p w14:paraId="27DE349B" w14:textId="77777777" w:rsidR="00E63F69" w:rsidRDefault="00E63F69" w:rsidP="007D1047"/>
    <w:p w14:paraId="1294EE56" w14:textId="77777777" w:rsidR="00E63F69" w:rsidRDefault="00E63F69" w:rsidP="007D1047"/>
    <w:p w14:paraId="76880C6A" w14:textId="77777777" w:rsidR="00596A62" w:rsidRDefault="00596A62" w:rsidP="007D1047"/>
    <w:p w14:paraId="5C514108" w14:textId="77777777" w:rsidR="00E63F69" w:rsidRDefault="00E63F69">
      <w:r>
        <w:br w:type="page"/>
      </w:r>
    </w:p>
    <w:p w14:paraId="3438B9EE" w14:textId="77777777" w:rsidR="00332CC9" w:rsidRDefault="00332CC9" w:rsidP="001B449B">
      <w:pPr>
        <w:pStyle w:val="Heading2"/>
        <w:sectPr w:rsidR="00332CC9">
          <w:pgSz w:w="11900" w:h="16840"/>
          <w:pgMar w:top="1440" w:right="1440" w:bottom="1440" w:left="1440" w:header="720" w:footer="720" w:gutter="0"/>
          <w:cols w:space="720"/>
          <w:docGrid w:linePitch="360"/>
        </w:sectPr>
      </w:pPr>
    </w:p>
    <w:p w14:paraId="7F41BA1F" w14:textId="45F8AA0F" w:rsidR="00E63F69" w:rsidRDefault="00E63F69" w:rsidP="001B449B">
      <w:pPr>
        <w:pStyle w:val="Heading2"/>
      </w:pPr>
      <w:bookmarkStart w:id="67" w:name="_Toc517615256"/>
      <w:r>
        <w:lastRenderedPageBreak/>
        <w:t xml:space="preserve">Annex </w:t>
      </w:r>
      <w:r w:rsidR="00C038F9">
        <w:t>3</w:t>
      </w:r>
      <w:r>
        <w:t>: IFG Theory of Change and Results Framework</w:t>
      </w:r>
      <w:bookmarkEnd w:id="67"/>
    </w:p>
    <w:p w14:paraId="178E2F3A" w14:textId="77777777" w:rsidR="00E63F69" w:rsidRDefault="00E63F69">
      <w:r>
        <w:rPr>
          <w:noProof/>
          <w:lang w:val="en-AU" w:eastAsia="en-AU"/>
        </w:rPr>
        <w:drawing>
          <wp:inline distT="0" distB="0" distL="0" distR="0" wp14:anchorId="46DD724A" wp14:editId="38765CAC">
            <wp:extent cx="6300000" cy="5259600"/>
            <wp:effectExtent l="0" t="0" r="5715"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6300000" cy="5259600"/>
                    </a:xfrm>
                    <a:prstGeom prst="rect">
                      <a:avLst/>
                    </a:prstGeom>
                    <a:ln/>
                  </pic:spPr>
                </pic:pic>
              </a:graphicData>
            </a:graphic>
          </wp:inline>
        </w:drawing>
      </w:r>
    </w:p>
    <w:p w14:paraId="44B67034" w14:textId="77777777" w:rsidR="00332CC9" w:rsidRDefault="00332CC9">
      <w:pPr>
        <w:sectPr w:rsidR="00332CC9">
          <w:pgSz w:w="16840" w:h="11900" w:orient="landscape"/>
          <w:pgMar w:top="1440" w:right="1440" w:bottom="1440" w:left="1440" w:header="720" w:footer="720" w:gutter="0"/>
          <w:cols w:space="720"/>
          <w:docGrid w:linePitch="360"/>
        </w:sectPr>
      </w:pPr>
    </w:p>
    <w:p w14:paraId="25FB5435" w14:textId="77777777" w:rsidR="00E63F69" w:rsidRDefault="00E63F69"/>
    <w:tbl>
      <w:tblPr>
        <w:tblpPr w:leftFromText="180" w:rightFromText="180" w:tblpY="420"/>
        <w:tblW w:w="9338" w:type="dxa"/>
        <w:tbl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insideH w:val="single" w:sz="8" w:space="0" w:color="767171" w:themeColor="background2" w:themeShade="80"/>
          <w:insideV w:val="single" w:sz="8" w:space="0" w:color="767171" w:themeColor="background2" w:themeShade="80"/>
        </w:tblBorders>
        <w:tblLayout w:type="fixed"/>
        <w:tblLook w:val="0400" w:firstRow="0" w:lastRow="0" w:firstColumn="0" w:lastColumn="0" w:noHBand="0" w:noVBand="1"/>
      </w:tblPr>
      <w:tblGrid>
        <w:gridCol w:w="4300"/>
        <w:gridCol w:w="5038"/>
      </w:tblGrid>
      <w:tr w:rsidR="00E63F69" w14:paraId="7152C9D5" w14:textId="77777777">
        <w:trPr>
          <w:trHeight w:val="115"/>
        </w:trPr>
        <w:tc>
          <w:tcPr>
            <w:tcW w:w="4300" w:type="dxa"/>
            <w:tcMar>
              <w:top w:w="100" w:type="dxa"/>
              <w:left w:w="100" w:type="dxa"/>
              <w:bottom w:w="100" w:type="dxa"/>
              <w:right w:w="100" w:type="dxa"/>
            </w:tcMar>
          </w:tcPr>
          <w:p w14:paraId="35DA3C83" w14:textId="77777777" w:rsidR="00E63F69" w:rsidRPr="000151BA" w:rsidRDefault="00E63F69" w:rsidP="000151BA">
            <w:pPr>
              <w:jc w:val="center"/>
              <w:rPr>
                <w:b/>
                <w:sz w:val="20"/>
                <w:szCs w:val="20"/>
              </w:rPr>
            </w:pPr>
            <w:r w:rsidRPr="000151BA">
              <w:rPr>
                <w:rFonts w:eastAsia="Calibri"/>
                <w:b/>
                <w:sz w:val="20"/>
                <w:szCs w:val="20"/>
              </w:rPr>
              <w:t>Results</w:t>
            </w:r>
          </w:p>
        </w:tc>
        <w:tc>
          <w:tcPr>
            <w:tcW w:w="5038" w:type="dxa"/>
            <w:tcMar>
              <w:top w:w="100" w:type="dxa"/>
              <w:left w:w="100" w:type="dxa"/>
              <w:bottom w:w="100" w:type="dxa"/>
              <w:right w:w="100" w:type="dxa"/>
            </w:tcMar>
          </w:tcPr>
          <w:p w14:paraId="10503D77" w14:textId="77777777" w:rsidR="00E63F69" w:rsidRPr="000151BA" w:rsidRDefault="00E63F69" w:rsidP="000151BA">
            <w:pPr>
              <w:jc w:val="center"/>
              <w:rPr>
                <w:b/>
                <w:sz w:val="20"/>
                <w:szCs w:val="20"/>
              </w:rPr>
            </w:pPr>
            <w:r w:rsidRPr="000151BA">
              <w:rPr>
                <w:rFonts w:eastAsia="Calibri"/>
                <w:b/>
                <w:sz w:val="20"/>
                <w:szCs w:val="20"/>
              </w:rPr>
              <w:t>Indicators</w:t>
            </w:r>
          </w:p>
        </w:tc>
      </w:tr>
      <w:tr w:rsidR="00E63F69" w14:paraId="41CBFD6D" w14:textId="77777777">
        <w:trPr>
          <w:trHeight w:val="115"/>
        </w:trPr>
        <w:tc>
          <w:tcPr>
            <w:tcW w:w="4300" w:type="dxa"/>
            <w:vMerge w:val="restart"/>
            <w:tcMar>
              <w:top w:w="100" w:type="dxa"/>
              <w:left w:w="100" w:type="dxa"/>
              <w:bottom w:w="100" w:type="dxa"/>
              <w:right w:w="100" w:type="dxa"/>
            </w:tcMar>
          </w:tcPr>
          <w:p w14:paraId="1015D4C9" w14:textId="77777777" w:rsidR="00E63F69" w:rsidRPr="000151BA" w:rsidRDefault="00E63F69" w:rsidP="001A78AF">
            <w:pPr>
              <w:rPr>
                <w:sz w:val="20"/>
                <w:szCs w:val="20"/>
              </w:rPr>
            </w:pPr>
            <w:r w:rsidRPr="000151BA">
              <w:rPr>
                <w:rFonts w:eastAsia="Calibri"/>
                <w:b/>
                <w:sz w:val="20"/>
                <w:szCs w:val="20"/>
              </w:rPr>
              <w:t>MTO A:</w:t>
            </w:r>
            <w:r w:rsidRPr="000151BA">
              <w:rPr>
                <w:rFonts w:eastAsia="Calibri"/>
                <w:sz w:val="20"/>
                <w:szCs w:val="20"/>
              </w:rPr>
              <w:t xml:space="preserve"> IFG activities support critical policy and reform measures in priority sectors (transport, energy)</w:t>
            </w:r>
          </w:p>
        </w:tc>
        <w:tc>
          <w:tcPr>
            <w:tcW w:w="5038" w:type="dxa"/>
            <w:tcMar>
              <w:top w:w="100" w:type="dxa"/>
              <w:left w:w="100" w:type="dxa"/>
              <w:bottom w:w="100" w:type="dxa"/>
              <w:right w:w="100" w:type="dxa"/>
            </w:tcMar>
          </w:tcPr>
          <w:p w14:paraId="3090E5C8" w14:textId="77777777" w:rsidR="00E63F69" w:rsidRPr="000151BA" w:rsidRDefault="00E63F69" w:rsidP="001A78AF">
            <w:pPr>
              <w:rPr>
                <w:sz w:val="20"/>
                <w:szCs w:val="20"/>
              </w:rPr>
            </w:pPr>
            <w:r w:rsidRPr="000151BA">
              <w:rPr>
                <w:rFonts w:eastAsia="Calibri"/>
                <w:sz w:val="20"/>
                <w:szCs w:val="20"/>
              </w:rPr>
              <w:t>Number of IFG activities are informing new or amended actions by governments (systems, policy, programs etc) – demonstrating its influence on uptake by partners to improve sector performance.</w:t>
            </w:r>
          </w:p>
        </w:tc>
      </w:tr>
      <w:tr w:rsidR="00E63F69" w14:paraId="4C6C24A8" w14:textId="77777777">
        <w:trPr>
          <w:trHeight w:val="115"/>
        </w:trPr>
        <w:tc>
          <w:tcPr>
            <w:tcW w:w="4300" w:type="dxa"/>
            <w:vMerge/>
            <w:tcMar>
              <w:top w:w="100" w:type="dxa"/>
              <w:left w:w="100" w:type="dxa"/>
              <w:bottom w:w="100" w:type="dxa"/>
              <w:right w:w="100" w:type="dxa"/>
            </w:tcMar>
          </w:tcPr>
          <w:p w14:paraId="49C61B49" w14:textId="77777777" w:rsidR="00E63F69" w:rsidRPr="000151BA" w:rsidRDefault="00E63F69" w:rsidP="00EE5425">
            <w:pPr>
              <w:rPr>
                <w:sz w:val="20"/>
                <w:szCs w:val="20"/>
              </w:rPr>
            </w:pPr>
          </w:p>
        </w:tc>
        <w:tc>
          <w:tcPr>
            <w:tcW w:w="5038" w:type="dxa"/>
            <w:tcMar>
              <w:top w:w="100" w:type="dxa"/>
              <w:left w:w="100" w:type="dxa"/>
              <w:bottom w:w="100" w:type="dxa"/>
              <w:right w:w="100" w:type="dxa"/>
            </w:tcMar>
          </w:tcPr>
          <w:p w14:paraId="50118D72" w14:textId="77777777" w:rsidR="00E63F69" w:rsidRPr="000151BA" w:rsidRDefault="00E63F69" w:rsidP="00EE5425">
            <w:pPr>
              <w:rPr>
                <w:sz w:val="20"/>
                <w:szCs w:val="20"/>
              </w:rPr>
            </w:pPr>
            <w:r w:rsidRPr="000151BA">
              <w:rPr>
                <w:rFonts w:eastAsia="Calibri"/>
                <w:sz w:val="20"/>
                <w:szCs w:val="20"/>
              </w:rPr>
              <w:t>Number of IFG activities have helped to build / strengthen knowledge and capacity of partners which is helping to shift mindsets, fast-track and improve the quality of implementation of partner and World Bank projects</w:t>
            </w:r>
          </w:p>
        </w:tc>
      </w:tr>
      <w:tr w:rsidR="00E63F69" w14:paraId="6F00C336" w14:textId="77777777">
        <w:trPr>
          <w:trHeight w:val="115"/>
        </w:trPr>
        <w:tc>
          <w:tcPr>
            <w:tcW w:w="4300" w:type="dxa"/>
            <w:vMerge/>
            <w:tcMar>
              <w:top w:w="100" w:type="dxa"/>
              <w:left w:w="100" w:type="dxa"/>
              <w:bottom w:w="100" w:type="dxa"/>
              <w:right w:w="100" w:type="dxa"/>
            </w:tcMar>
          </w:tcPr>
          <w:p w14:paraId="6BC71D7E" w14:textId="77777777" w:rsidR="00E63F69" w:rsidRPr="000151BA" w:rsidRDefault="00E63F69" w:rsidP="00EE5425">
            <w:pPr>
              <w:rPr>
                <w:sz w:val="20"/>
                <w:szCs w:val="20"/>
              </w:rPr>
            </w:pPr>
          </w:p>
        </w:tc>
        <w:tc>
          <w:tcPr>
            <w:tcW w:w="5038" w:type="dxa"/>
            <w:tcMar>
              <w:top w:w="100" w:type="dxa"/>
              <w:left w:w="100" w:type="dxa"/>
              <w:bottom w:w="100" w:type="dxa"/>
              <w:right w:w="100" w:type="dxa"/>
            </w:tcMar>
          </w:tcPr>
          <w:p w14:paraId="50C34A28" w14:textId="77777777" w:rsidR="00E63F69" w:rsidRPr="000151BA" w:rsidRDefault="00E63F69" w:rsidP="00EE5425">
            <w:pPr>
              <w:rPr>
                <w:sz w:val="20"/>
                <w:szCs w:val="20"/>
              </w:rPr>
            </w:pPr>
            <w:r w:rsidRPr="000151BA">
              <w:rPr>
                <w:rFonts w:eastAsia="Calibri"/>
                <w:sz w:val="20"/>
                <w:szCs w:val="20"/>
              </w:rPr>
              <w:t xml:space="preserve">Number of IFG activities that are </w:t>
            </w:r>
            <w:r w:rsidRPr="000151BA">
              <w:rPr>
                <w:rFonts w:eastAsia="Calibri"/>
                <w:sz w:val="20"/>
                <w:szCs w:val="20"/>
                <w:u w:val="single"/>
              </w:rPr>
              <w:t>directly</w:t>
            </w:r>
            <w:r w:rsidRPr="000151BA">
              <w:rPr>
                <w:rFonts w:eastAsia="Calibri"/>
                <w:sz w:val="20"/>
                <w:szCs w:val="20"/>
              </w:rPr>
              <w:t xml:space="preserve"> strengthening the quality of government investments in South Asia, demonstrating the impact and influence of IFG at scale.</w:t>
            </w:r>
          </w:p>
        </w:tc>
      </w:tr>
      <w:tr w:rsidR="00E63F69" w14:paraId="28450F62" w14:textId="77777777">
        <w:trPr>
          <w:trHeight w:val="115"/>
        </w:trPr>
        <w:tc>
          <w:tcPr>
            <w:tcW w:w="4300" w:type="dxa"/>
            <w:vMerge w:val="restart"/>
            <w:tcMar>
              <w:top w:w="100" w:type="dxa"/>
              <w:left w:w="100" w:type="dxa"/>
              <w:bottom w:w="100" w:type="dxa"/>
              <w:right w:w="100" w:type="dxa"/>
            </w:tcMar>
          </w:tcPr>
          <w:p w14:paraId="0B4DD0ED" w14:textId="77777777" w:rsidR="00E63F69" w:rsidRPr="000151BA" w:rsidRDefault="00E63F69" w:rsidP="001A78AF">
            <w:pPr>
              <w:rPr>
                <w:sz w:val="20"/>
                <w:szCs w:val="20"/>
              </w:rPr>
            </w:pPr>
            <w:r w:rsidRPr="000151BA">
              <w:rPr>
                <w:rFonts w:eastAsia="Calibri"/>
                <w:b/>
                <w:sz w:val="20"/>
                <w:szCs w:val="20"/>
              </w:rPr>
              <w:t>MTO B:</w:t>
            </w:r>
            <w:r w:rsidRPr="000151BA">
              <w:rPr>
                <w:rFonts w:eastAsia="Calibri"/>
                <w:sz w:val="20"/>
                <w:szCs w:val="20"/>
              </w:rPr>
              <w:t xml:space="preserve"> Increased quality and volume of Sector investments (transport, energy) unlocked or leveraged from WBG and from external resources (donors, PPPs), as a result of IFG work</w:t>
            </w:r>
          </w:p>
        </w:tc>
        <w:tc>
          <w:tcPr>
            <w:tcW w:w="5038" w:type="dxa"/>
            <w:tcMar>
              <w:top w:w="100" w:type="dxa"/>
              <w:left w:w="100" w:type="dxa"/>
              <w:bottom w:w="100" w:type="dxa"/>
              <w:right w:w="100" w:type="dxa"/>
            </w:tcMar>
          </w:tcPr>
          <w:p w14:paraId="4354D390" w14:textId="77777777" w:rsidR="00E63F69" w:rsidRPr="000151BA" w:rsidRDefault="00E63F69" w:rsidP="001A78AF">
            <w:pPr>
              <w:rPr>
                <w:sz w:val="20"/>
                <w:szCs w:val="20"/>
              </w:rPr>
            </w:pPr>
            <w:r w:rsidRPr="000151BA">
              <w:rPr>
                <w:rFonts w:eastAsia="Calibri"/>
                <w:sz w:val="20"/>
                <w:szCs w:val="20"/>
              </w:rPr>
              <w:t>The amount IFG projects have leveraged in WB lending.</w:t>
            </w:r>
          </w:p>
        </w:tc>
      </w:tr>
      <w:tr w:rsidR="00E63F69" w14:paraId="5D3DFDBF" w14:textId="77777777">
        <w:trPr>
          <w:trHeight w:val="115"/>
        </w:trPr>
        <w:tc>
          <w:tcPr>
            <w:tcW w:w="4300" w:type="dxa"/>
            <w:vMerge/>
            <w:tcMar>
              <w:top w:w="100" w:type="dxa"/>
              <w:left w:w="100" w:type="dxa"/>
              <w:bottom w:w="100" w:type="dxa"/>
              <w:right w:w="100" w:type="dxa"/>
            </w:tcMar>
          </w:tcPr>
          <w:p w14:paraId="7C6BF4CB" w14:textId="77777777" w:rsidR="00E63F69" w:rsidRPr="000151BA" w:rsidRDefault="00E63F69" w:rsidP="00EE5425">
            <w:pPr>
              <w:rPr>
                <w:sz w:val="20"/>
                <w:szCs w:val="20"/>
              </w:rPr>
            </w:pPr>
          </w:p>
        </w:tc>
        <w:tc>
          <w:tcPr>
            <w:tcW w:w="5038" w:type="dxa"/>
            <w:tcMar>
              <w:top w:w="100" w:type="dxa"/>
              <w:left w:w="100" w:type="dxa"/>
              <w:bottom w:w="100" w:type="dxa"/>
              <w:right w:w="100" w:type="dxa"/>
            </w:tcMar>
          </w:tcPr>
          <w:p w14:paraId="549B19EA" w14:textId="77777777" w:rsidR="00E63F69" w:rsidRPr="000151BA" w:rsidRDefault="00E63F69" w:rsidP="00EE5425">
            <w:pPr>
              <w:rPr>
                <w:sz w:val="20"/>
                <w:szCs w:val="20"/>
              </w:rPr>
            </w:pPr>
            <w:r w:rsidRPr="000151BA">
              <w:rPr>
                <w:rFonts w:eastAsia="Calibri"/>
                <w:sz w:val="20"/>
                <w:szCs w:val="20"/>
              </w:rPr>
              <w:t>The value of the investment pipeline IFG activities have developed</w:t>
            </w:r>
          </w:p>
        </w:tc>
      </w:tr>
      <w:tr w:rsidR="00E63F69" w14:paraId="47C6FD29" w14:textId="77777777">
        <w:trPr>
          <w:trHeight w:val="115"/>
        </w:trPr>
        <w:tc>
          <w:tcPr>
            <w:tcW w:w="4300" w:type="dxa"/>
            <w:vMerge/>
            <w:tcMar>
              <w:top w:w="100" w:type="dxa"/>
              <w:left w:w="100" w:type="dxa"/>
              <w:bottom w:w="100" w:type="dxa"/>
              <w:right w:w="100" w:type="dxa"/>
            </w:tcMar>
          </w:tcPr>
          <w:p w14:paraId="2E3C7D20" w14:textId="77777777" w:rsidR="00E63F69" w:rsidRPr="000151BA" w:rsidRDefault="00E63F69" w:rsidP="00EE5425">
            <w:pPr>
              <w:rPr>
                <w:sz w:val="20"/>
                <w:szCs w:val="20"/>
              </w:rPr>
            </w:pPr>
          </w:p>
        </w:tc>
        <w:tc>
          <w:tcPr>
            <w:tcW w:w="5038" w:type="dxa"/>
            <w:tcMar>
              <w:top w:w="100" w:type="dxa"/>
              <w:left w:w="100" w:type="dxa"/>
              <w:bottom w:w="100" w:type="dxa"/>
              <w:right w:w="100" w:type="dxa"/>
            </w:tcMar>
          </w:tcPr>
          <w:p w14:paraId="61990E50" w14:textId="77777777" w:rsidR="00E63F69" w:rsidRPr="000151BA" w:rsidRDefault="00E63F69" w:rsidP="00EE5425">
            <w:pPr>
              <w:rPr>
                <w:sz w:val="20"/>
                <w:szCs w:val="20"/>
              </w:rPr>
            </w:pPr>
            <w:r w:rsidRPr="000151BA">
              <w:rPr>
                <w:rFonts w:eastAsia="Calibri"/>
                <w:sz w:val="20"/>
                <w:szCs w:val="20"/>
              </w:rPr>
              <w:t>The value of external donor funding that IFG activities have attracted</w:t>
            </w:r>
          </w:p>
        </w:tc>
      </w:tr>
      <w:tr w:rsidR="00E63F69" w14:paraId="0839501E" w14:textId="77777777">
        <w:trPr>
          <w:trHeight w:val="115"/>
        </w:trPr>
        <w:tc>
          <w:tcPr>
            <w:tcW w:w="4300" w:type="dxa"/>
            <w:vMerge/>
            <w:tcMar>
              <w:top w:w="100" w:type="dxa"/>
              <w:left w:w="100" w:type="dxa"/>
              <w:bottom w:w="100" w:type="dxa"/>
              <w:right w:w="100" w:type="dxa"/>
            </w:tcMar>
          </w:tcPr>
          <w:p w14:paraId="37EAEF87" w14:textId="77777777" w:rsidR="00E63F69" w:rsidRPr="000151BA" w:rsidRDefault="00E63F69" w:rsidP="00EE5425">
            <w:pPr>
              <w:rPr>
                <w:sz w:val="20"/>
                <w:szCs w:val="20"/>
              </w:rPr>
            </w:pPr>
          </w:p>
        </w:tc>
        <w:tc>
          <w:tcPr>
            <w:tcW w:w="5038" w:type="dxa"/>
            <w:tcMar>
              <w:top w:w="100" w:type="dxa"/>
              <w:left w:w="100" w:type="dxa"/>
              <w:bottom w:w="100" w:type="dxa"/>
              <w:right w:w="100" w:type="dxa"/>
            </w:tcMar>
          </w:tcPr>
          <w:p w14:paraId="4AF3DB85" w14:textId="77777777" w:rsidR="00E63F69" w:rsidRPr="000151BA" w:rsidRDefault="00E63F69" w:rsidP="00EE5425">
            <w:pPr>
              <w:rPr>
                <w:sz w:val="20"/>
                <w:szCs w:val="20"/>
              </w:rPr>
            </w:pPr>
            <w:r w:rsidRPr="000151BA">
              <w:rPr>
                <w:rFonts w:eastAsia="Calibri"/>
                <w:sz w:val="20"/>
                <w:szCs w:val="20"/>
              </w:rPr>
              <w:t>The number of IFG activities that are facilitating models of collaborative and innovative partnerships with the private sector</w:t>
            </w:r>
          </w:p>
        </w:tc>
      </w:tr>
      <w:tr w:rsidR="00E63F69" w14:paraId="4B55BC52" w14:textId="77777777">
        <w:trPr>
          <w:trHeight w:val="496"/>
        </w:trPr>
        <w:tc>
          <w:tcPr>
            <w:tcW w:w="4300" w:type="dxa"/>
            <w:tcMar>
              <w:top w:w="100" w:type="dxa"/>
              <w:left w:w="100" w:type="dxa"/>
              <w:bottom w:w="100" w:type="dxa"/>
              <w:right w:w="100" w:type="dxa"/>
            </w:tcMar>
          </w:tcPr>
          <w:p w14:paraId="19C3375D" w14:textId="77777777" w:rsidR="00E63F69" w:rsidRPr="000151BA" w:rsidRDefault="00E63F69" w:rsidP="001A78AF">
            <w:pPr>
              <w:rPr>
                <w:sz w:val="20"/>
                <w:szCs w:val="20"/>
              </w:rPr>
            </w:pPr>
            <w:r w:rsidRPr="000151BA">
              <w:rPr>
                <w:rFonts w:eastAsia="Calibri"/>
                <w:b/>
                <w:sz w:val="20"/>
                <w:szCs w:val="20"/>
              </w:rPr>
              <w:t>MTO C</w:t>
            </w:r>
            <w:r w:rsidRPr="000151BA">
              <w:rPr>
                <w:rFonts w:eastAsia="Calibri"/>
                <w:sz w:val="20"/>
                <w:szCs w:val="20"/>
              </w:rPr>
              <w:t>: IFG strengthens Social Inclusion and Gender equality and empowerment in transport and energy sector investments</w:t>
            </w:r>
          </w:p>
        </w:tc>
        <w:tc>
          <w:tcPr>
            <w:tcW w:w="5038" w:type="dxa"/>
            <w:tcMar>
              <w:top w:w="100" w:type="dxa"/>
              <w:left w:w="100" w:type="dxa"/>
              <w:bottom w:w="100" w:type="dxa"/>
              <w:right w:w="100" w:type="dxa"/>
            </w:tcMar>
          </w:tcPr>
          <w:p w14:paraId="712FA18E" w14:textId="77777777" w:rsidR="00E63F69" w:rsidRPr="000151BA" w:rsidRDefault="00E63F69" w:rsidP="001A78AF">
            <w:pPr>
              <w:rPr>
                <w:sz w:val="20"/>
                <w:szCs w:val="20"/>
              </w:rPr>
            </w:pPr>
            <w:r w:rsidRPr="000151BA">
              <w:rPr>
                <w:rFonts w:eastAsia="Calibri"/>
                <w:sz w:val="20"/>
                <w:szCs w:val="20"/>
              </w:rPr>
              <w:t>The number of IFG activities that have a 100% gender focus that are identifying and promoting innovative approaches in policy and investments.</w:t>
            </w:r>
          </w:p>
        </w:tc>
      </w:tr>
      <w:tr w:rsidR="00E63F69" w:rsidRPr="000E2858" w14:paraId="62F3506A" w14:textId="77777777">
        <w:trPr>
          <w:trHeight w:val="115"/>
        </w:trPr>
        <w:tc>
          <w:tcPr>
            <w:tcW w:w="4300" w:type="dxa"/>
            <w:vMerge w:val="restart"/>
            <w:tcMar>
              <w:top w:w="100" w:type="dxa"/>
              <w:left w:w="100" w:type="dxa"/>
              <w:bottom w:w="100" w:type="dxa"/>
              <w:right w:w="100" w:type="dxa"/>
            </w:tcMar>
          </w:tcPr>
          <w:p w14:paraId="332679D2" w14:textId="77777777" w:rsidR="00E63F69" w:rsidRPr="000151BA" w:rsidRDefault="00E63F69" w:rsidP="001A78AF">
            <w:pPr>
              <w:rPr>
                <w:sz w:val="20"/>
                <w:szCs w:val="20"/>
              </w:rPr>
            </w:pPr>
            <w:r w:rsidRPr="000151BA">
              <w:rPr>
                <w:rFonts w:eastAsia="Calibri"/>
                <w:b/>
                <w:sz w:val="20"/>
                <w:szCs w:val="20"/>
              </w:rPr>
              <w:t>MTO D:</w:t>
            </w:r>
            <w:r w:rsidRPr="000151BA">
              <w:rPr>
                <w:rFonts w:eastAsia="Calibri"/>
                <w:sz w:val="20"/>
                <w:szCs w:val="20"/>
              </w:rPr>
              <w:t xml:space="preserve"> IFG contributes to improved effectiveness of World Bank Operations in transport and energy in South Asia</w:t>
            </w:r>
          </w:p>
        </w:tc>
        <w:tc>
          <w:tcPr>
            <w:tcW w:w="5038" w:type="dxa"/>
            <w:tcMar>
              <w:top w:w="100" w:type="dxa"/>
              <w:left w:w="100" w:type="dxa"/>
              <w:bottom w:w="100" w:type="dxa"/>
              <w:right w:w="100" w:type="dxa"/>
            </w:tcMar>
          </w:tcPr>
          <w:p w14:paraId="661C3392" w14:textId="77777777" w:rsidR="00E63F69" w:rsidRPr="000151BA" w:rsidRDefault="00E63F69" w:rsidP="001A78AF">
            <w:pPr>
              <w:rPr>
                <w:sz w:val="20"/>
                <w:szCs w:val="20"/>
              </w:rPr>
            </w:pPr>
            <w:r w:rsidRPr="000151BA">
              <w:rPr>
                <w:rFonts w:eastAsia="Calibri"/>
                <w:sz w:val="20"/>
                <w:szCs w:val="20"/>
              </w:rPr>
              <w:t>The number of times IFG has enabled WB lending operations to undertake gender / social inclusion analysis (beyond standard requirements); and has influenced WB operations to undergo rigorous evaluations with a gender focus</w:t>
            </w:r>
          </w:p>
        </w:tc>
      </w:tr>
      <w:tr w:rsidR="00E63F69" w:rsidRPr="000E2858" w14:paraId="28AD1455" w14:textId="77777777">
        <w:trPr>
          <w:trHeight w:val="115"/>
        </w:trPr>
        <w:tc>
          <w:tcPr>
            <w:tcW w:w="4300" w:type="dxa"/>
            <w:vMerge/>
            <w:tcMar>
              <w:top w:w="100" w:type="dxa"/>
              <w:left w:w="100" w:type="dxa"/>
              <w:bottom w:w="100" w:type="dxa"/>
              <w:right w:w="100" w:type="dxa"/>
            </w:tcMar>
          </w:tcPr>
          <w:p w14:paraId="2B60CD53" w14:textId="77777777" w:rsidR="00E63F69" w:rsidRPr="000151BA" w:rsidRDefault="00E63F69" w:rsidP="00EE5425">
            <w:pPr>
              <w:rPr>
                <w:sz w:val="20"/>
                <w:szCs w:val="20"/>
              </w:rPr>
            </w:pPr>
          </w:p>
        </w:tc>
        <w:tc>
          <w:tcPr>
            <w:tcW w:w="5038" w:type="dxa"/>
            <w:tcMar>
              <w:top w:w="100" w:type="dxa"/>
              <w:left w:w="100" w:type="dxa"/>
              <w:bottom w:w="100" w:type="dxa"/>
              <w:right w:w="100" w:type="dxa"/>
            </w:tcMar>
          </w:tcPr>
          <w:p w14:paraId="3BB1A253" w14:textId="77777777" w:rsidR="00E63F69" w:rsidRPr="000151BA" w:rsidRDefault="00E63F69" w:rsidP="00EE5425">
            <w:pPr>
              <w:rPr>
                <w:sz w:val="20"/>
                <w:szCs w:val="20"/>
              </w:rPr>
            </w:pPr>
            <w:r w:rsidRPr="000151BA">
              <w:rPr>
                <w:rFonts w:eastAsia="Calibri"/>
                <w:sz w:val="20"/>
                <w:szCs w:val="20"/>
              </w:rPr>
              <w:t>Increase in activities within the IFG portfolio that are strengthening the quality of WB operations (particularly expansion to conflict-affected areas, poor communities, new themes), thereby contributing to better prosperity and stability in South Asia</w:t>
            </w:r>
          </w:p>
        </w:tc>
      </w:tr>
    </w:tbl>
    <w:p w14:paraId="12F1D3FA" w14:textId="77777777" w:rsidR="00E63F69" w:rsidRPr="000151BA" w:rsidRDefault="00E63F69" w:rsidP="001B449B">
      <w:pPr>
        <w:pStyle w:val="Heading3"/>
        <w:rPr>
          <w:sz w:val="22"/>
        </w:rPr>
      </w:pPr>
      <w:r w:rsidRPr="000151BA">
        <w:rPr>
          <w:sz w:val="22"/>
        </w:rPr>
        <w:t>IFG Results Framework</w:t>
      </w:r>
    </w:p>
    <w:p w14:paraId="625DE227" w14:textId="77777777" w:rsidR="00E63F69" w:rsidRDefault="00E63F69" w:rsidP="001B449B">
      <w:r>
        <w:br w:type="page"/>
      </w:r>
    </w:p>
    <w:p w14:paraId="46B9E52F" w14:textId="77777777" w:rsidR="00332CC9" w:rsidRDefault="00332CC9" w:rsidP="001B449B">
      <w:pPr>
        <w:pStyle w:val="Heading2"/>
        <w:sectPr w:rsidR="00332CC9">
          <w:pgSz w:w="11900" w:h="16840"/>
          <w:pgMar w:top="1440" w:right="1440" w:bottom="1440" w:left="1440" w:header="720" w:footer="720" w:gutter="0"/>
          <w:cols w:space="720"/>
          <w:docGrid w:linePitch="360"/>
        </w:sectPr>
      </w:pPr>
    </w:p>
    <w:p w14:paraId="649A0EF1" w14:textId="28818AFA" w:rsidR="00E63F69" w:rsidRDefault="00E63F69" w:rsidP="001B449B">
      <w:pPr>
        <w:pStyle w:val="Heading2"/>
      </w:pPr>
      <w:bookmarkStart w:id="68" w:name="_Toc517615257"/>
      <w:r>
        <w:lastRenderedPageBreak/>
        <w:t xml:space="preserve">Annex </w:t>
      </w:r>
      <w:r w:rsidR="00C038F9">
        <w:t>4</w:t>
      </w:r>
      <w:r>
        <w:t>: SARTFP Theory of Change and Results Framework</w:t>
      </w:r>
      <w:bookmarkEnd w:id="68"/>
    </w:p>
    <w:p w14:paraId="053C2FB6" w14:textId="77777777" w:rsidR="00E63F69" w:rsidRDefault="00E63F69" w:rsidP="001B449B">
      <w:r>
        <w:rPr>
          <w:noProof/>
          <w:lang w:val="en-AU" w:eastAsia="en-AU"/>
        </w:rPr>
        <w:drawing>
          <wp:inline distT="0" distB="0" distL="0" distR="0" wp14:anchorId="2FCDF985" wp14:editId="0BEA1E4A">
            <wp:extent cx="6300000" cy="4737600"/>
            <wp:effectExtent l="0" t="0" r="5715" b="635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6300000" cy="4737600"/>
                    </a:xfrm>
                    <a:prstGeom prst="rect">
                      <a:avLst/>
                    </a:prstGeom>
                    <a:ln/>
                  </pic:spPr>
                </pic:pic>
              </a:graphicData>
            </a:graphic>
          </wp:inline>
        </w:drawing>
      </w:r>
    </w:p>
    <w:p w14:paraId="70FF0BC4" w14:textId="77777777" w:rsidR="00E63F69" w:rsidRDefault="00E63F69"/>
    <w:p w14:paraId="03735651" w14:textId="77777777" w:rsidR="00E63F69" w:rsidRDefault="00E63F69" w:rsidP="001B449B">
      <w:pPr>
        <w:pStyle w:val="Heading3"/>
      </w:pPr>
    </w:p>
    <w:p w14:paraId="7AC31B7E" w14:textId="77777777" w:rsidR="00715BAB" w:rsidRDefault="00715BAB">
      <w:pPr>
        <w:spacing w:before="0" w:after="0"/>
      </w:pPr>
      <w:r>
        <w:br w:type="page"/>
      </w:r>
    </w:p>
    <w:p w14:paraId="2A02A836" w14:textId="77777777" w:rsidR="00332CC9" w:rsidRDefault="00332CC9" w:rsidP="001B449B">
      <w:pPr>
        <w:pStyle w:val="Heading3"/>
        <w:sectPr w:rsidR="00332CC9">
          <w:pgSz w:w="16840" w:h="11900" w:orient="landscape"/>
          <w:pgMar w:top="1440" w:right="1440" w:bottom="1440" w:left="1440" w:header="720" w:footer="720" w:gutter="0"/>
          <w:cols w:space="720"/>
          <w:docGrid w:linePitch="360"/>
        </w:sectPr>
      </w:pPr>
    </w:p>
    <w:p w14:paraId="42FBE7C6" w14:textId="77777777" w:rsidR="00AC5059" w:rsidRPr="000151BA" w:rsidRDefault="00AC5059" w:rsidP="001B449B">
      <w:pPr>
        <w:pStyle w:val="Heading3"/>
        <w:rPr>
          <w:sz w:val="22"/>
        </w:rPr>
      </w:pPr>
      <w:r w:rsidRPr="000151BA">
        <w:rPr>
          <w:sz w:val="22"/>
        </w:rPr>
        <w:lastRenderedPageBreak/>
        <w:t>SARTFP Results Framework</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2"/>
        <w:gridCol w:w="893"/>
        <w:gridCol w:w="709"/>
        <w:gridCol w:w="567"/>
        <w:gridCol w:w="2835"/>
      </w:tblGrid>
      <w:tr w:rsidR="00AC5059" w:rsidRPr="00F42157" w14:paraId="70142466" w14:textId="77777777">
        <w:trPr>
          <w:trHeight w:val="160"/>
        </w:trPr>
        <w:tc>
          <w:tcPr>
            <w:tcW w:w="3922" w:type="dxa"/>
            <w:vMerge w:val="restart"/>
            <w:tcBorders>
              <w:top w:val="single" w:sz="4" w:space="0" w:color="000000"/>
              <w:left w:val="single" w:sz="4" w:space="0" w:color="000000"/>
              <w:right w:val="single" w:sz="4" w:space="0" w:color="000000"/>
            </w:tcBorders>
            <w:shd w:val="clear" w:color="auto" w:fill="FFFFFF"/>
          </w:tcPr>
          <w:p w14:paraId="54F76DB2" w14:textId="77777777" w:rsidR="00AC5059" w:rsidRPr="000151BA" w:rsidRDefault="00AC5059" w:rsidP="001B449B">
            <w:pPr>
              <w:rPr>
                <w:sz w:val="22"/>
              </w:rPr>
            </w:pPr>
            <w:r w:rsidRPr="000151BA">
              <w:rPr>
                <w:sz w:val="22"/>
              </w:rPr>
              <w:t>SARTFP Medium Term Outcome indicators</w:t>
            </w:r>
            <w:r w:rsidRPr="000151BA">
              <w:rPr>
                <w:sz w:val="22"/>
                <w:vertAlign w:val="superscript"/>
              </w:rPr>
              <w:footnoteReference w:id="159"/>
            </w:r>
          </w:p>
        </w:tc>
        <w:tc>
          <w:tcPr>
            <w:tcW w:w="893" w:type="dxa"/>
            <w:tcBorders>
              <w:top w:val="single" w:sz="4" w:space="0" w:color="000000"/>
              <w:left w:val="single" w:sz="4" w:space="0" w:color="000000"/>
              <w:right w:val="single" w:sz="4" w:space="0" w:color="000000"/>
            </w:tcBorders>
            <w:shd w:val="clear" w:color="auto" w:fill="FFFFFF"/>
          </w:tcPr>
          <w:p w14:paraId="33382C8B" w14:textId="77777777" w:rsidR="00AC5059" w:rsidRPr="000151BA" w:rsidRDefault="00AC5059">
            <w:pPr>
              <w:rPr>
                <w:sz w:val="22"/>
              </w:rPr>
            </w:pPr>
            <w:r w:rsidRPr="000151BA">
              <w:rPr>
                <w:sz w:val="22"/>
              </w:rPr>
              <w:t>Baseline</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D119309" w14:textId="77777777" w:rsidR="00AC5059" w:rsidRPr="000151BA" w:rsidRDefault="00AC5059">
            <w:pPr>
              <w:rPr>
                <w:sz w:val="22"/>
              </w:rPr>
            </w:pPr>
            <w:r w:rsidRPr="000151BA">
              <w:rPr>
                <w:sz w:val="22"/>
              </w:rPr>
              <w:t>Target Values</w:t>
            </w:r>
          </w:p>
        </w:tc>
        <w:tc>
          <w:tcPr>
            <w:tcW w:w="2835" w:type="dxa"/>
            <w:vMerge w:val="restart"/>
            <w:tcBorders>
              <w:top w:val="single" w:sz="4" w:space="0" w:color="000000"/>
              <w:left w:val="single" w:sz="4" w:space="0" w:color="000000"/>
              <w:right w:val="single" w:sz="4" w:space="0" w:color="000000"/>
            </w:tcBorders>
            <w:shd w:val="clear" w:color="auto" w:fill="FFFFFF"/>
          </w:tcPr>
          <w:p w14:paraId="76427F22" w14:textId="77777777" w:rsidR="00AC5059" w:rsidRPr="000151BA" w:rsidRDefault="00AC5059">
            <w:pPr>
              <w:rPr>
                <w:sz w:val="22"/>
              </w:rPr>
            </w:pPr>
            <w:r w:rsidRPr="000151BA">
              <w:rPr>
                <w:sz w:val="22"/>
              </w:rPr>
              <w:t>Data Collection and Reporting</w:t>
            </w:r>
          </w:p>
        </w:tc>
      </w:tr>
      <w:tr w:rsidR="00AC5059" w:rsidRPr="00F42157" w14:paraId="61E455EB" w14:textId="77777777">
        <w:trPr>
          <w:trHeight w:val="208"/>
        </w:trPr>
        <w:tc>
          <w:tcPr>
            <w:tcW w:w="3922" w:type="dxa"/>
            <w:vMerge/>
            <w:tcBorders>
              <w:top w:val="single" w:sz="4" w:space="0" w:color="000000"/>
              <w:left w:val="single" w:sz="4" w:space="0" w:color="000000"/>
              <w:right w:val="single" w:sz="4" w:space="0" w:color="000000"/>
            </w:tcBorders>
            <w:shd w:val="clear" w:color="auto" w:fill="FFFFFF"/>
          </w:tcPr>
          <w:p w14:paraId="4FC5505E" w14:textId="77777777" w:rsidR="00AC5059" w:rsidRPr="000151BA" w:rsidRDefault="00AC5059">
            <w:pPr>
              <w:rPr>
                <w:sz w:val="22"/>
              </w:rPr>
            </w:pPr>
          </w:p>
        </w:tc>
        <w:tc>
          <w:tcPr>
            <w:tcW w:w="893" w:type="dxa"/>
            <w:tcBorders>
              <w:top w:val="single" w:sz="4" w:space="0" w:color="000000"/>
              <w:left w:val="single" w:sz="4" w:space="0" w:color="000000"/>
              <w:right w:val="single" w:sz="4" w:space="0" w:color="000000"/>
            </w:tcBorders>
            <w:shd w:val="clear" w:color="auto" w:fill="FFFFFF"/>
          </w:tcPr>
          <w:p w14:paraId="5FA914F7" w14:textId="77777777" w:rsidR="00AC5059" w:rsidRPr="000151BA" w:rsidRDefault="00AC5059">
            <w:pPr>
              <w:rPr>
                <w:sz w:val="22"/>
              </w:rPr>
            </w:pPr>
          </w:p>
          <w:p w14:paraId="74963A5E" w14:textId="77777777" w:rsidR="00AC5059" w:rsidRPr="000151BA" w:rsidRDefault="00AC5059">
            <w:pPr>
              <w:rPr>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14:paraId="424A24E7" w14:textId="77777777" w:rsidR="00AC5059" w:rsidRPr="000151BA" w:rsidRDefault="00AC5059">
            <w:pPr>
              <w:rPr>
                <w:sz w:val="22"/>
              </w:rPr>
            </w:pPr>
            <w:r w:rsidRPr="000151BA">
              <w:rPr>
                <w:sz w:val="22"/>
              </w:rPr>
              <w:t>Mid-term</w:t>
            </w:r>
          </w:p>
        </w:tc>
        <w:tc>
          <w:tcPr>
            <w:tcW w:w="567" w:type="dxa"/>
            <w:tcBorders>
              <w:top w:val="single" w:sz="4" w:space="0" w:color="000000"/>
              <w:left w:val="single" w:sz="4" w:space="0" w:color="000000"/>
              <w:bottom w:val="single" w:sz="4" w:space="0" w:color="000000"/>
              <w:right w:val="single" w:sz="4" w:space="0" w:color="000000"/>
            </w:tcBorders>
            <w:shd w:val="clear" w:color="auto" w:fill="BFBFBF"/>
          </w:tcPr>
          <w:p w14:paraId="31769C64" w14:textId="77777777" w:rsidR="00AC5059" w:rsidRPr="000151BA" w:rsidRDefault="00AC5059">
            <w:pPr>
              <w:rPr>
                <w:sz w:val="22"/>
              </w:rPr>
            </w:pPr>
            <w:r w:rsidRPr="000151BA">
              <w:rPr>
                <w:sz w:val="22"/>
              </w:rPr>
              <w:t>Final</w:t>
            </w:r>
          </w:p>
        </w:tc>
        <w:tc>
          <w:tcPr>
            <w:tcW w:w="2835" w:type="dxa"/>
            <w:vMerge/>
            <w:tcBorders>
              <w:top w:val="single" w:sz="4" w:space="0" w:color="000000"/>
              <w:left w:val="single" w:sz="4" w:space="0" w:color="000000"/>
              <w:right w:val="single" w:sz="4" w:space="0" w:color="000000"/>
            </w:tcBorders>
            <w:shd w:val="clear" w:color="auto" w:fill="FFFFFF"/>
          </w:tcPr>
          <w:p w14:paraId="2E5A8671" w14:textId="77777777" w:rsidR="00AC5059" w:rsidRPr="000151BA" w:rsidRDefault="00AC5059">
            <w:pPr>
              <w:rPr>
                <w:sz w:val="22"/>
              </w:rPr>
            </w:pPr>
          </w:p>
        </w:tc>
      </w:tr>
      <w:tr w:rsidR="00AC5059" w:rsidRPr="00F42157" w14:paraId="7D1239FF" w14:textId="77777777">
        <w:trPr>
          <w:trHeight w:val="416"/>
        </w:trPr>
        <w:tc>
          <w:tcPr>
            <w:tcW w:w="8926" w:type="dxa"/>
            <w:gridSpan w:val="5"/>
            <w:tcBorders>
              <w:top w:val="single" w:sz="4" w:space="0" w:color="000000"/>
              <w:left w:val="single" w:sz="4" w:space="0" w:color="000000"/>
              <w:bottom w:val="single" w:sz="4" w:space="0" w:color="000000"/>
              <w:right w:val="single" w:sz="4" w:space="0" w:color="000000"/>
            </w:tcBorders>
            <w:shd w:val="clear" w:color="auto" w:fill="B4C6E7"/>
            <w:vAlign w:val="center"/>
          </w:tcPr>
          <w:p w14:paraId="0FC11368" w14:textId="77777777" w:rsidR="00AC5059" w:rsidRPr="000151BA" w:rsidRDefault="00AC5059" w:rsidP="001A78AF">
            <w:pPr>
              <w:rPr>
                <w:sz w:val="22"/>
              </w:rPr>
            </w:pPr>
            <w:r w:rsidRPr="000151BA">
              <w:rPr>
                <w:sz w:val="22"/>
              </w:rPr>
              <w:t xml:space="preserve">MTO A: Projects in trade facilitation, cross-border transport connectivity, and local economic opportunity in BBIN countries financed by World Bank, DFAT and others, increasingly </w:t>
            </w:r>
            <w:r w:rsidRPr="000151BA">
              <w:rPr>
                <w:i/>
                <w:sz w:val="22"/>
              </w:rPr>
              <w:t>benefit women</w:t>
            </w:r>
            <w:r w:rsidRPr="000151BA">
              <w:rPr>
                <w:sz w:val="22"/>
              </w:rPr>
              <w:t>*.</w:t>
            </w:r>
          </w:p>
        </w:tc>
      </w:tr>
      <w:tr w:rsidR="00AC5059" w:rsidRPr="00F42157" w14:paraId="54A2F2C5" w14:textId="77777777">
        <w:trPr>
          <w:trHeight w:val="544"/>
        </w:trPr>
        <w:tc>
          <w:tcPr>
            <w:tcW w:w="3922" w:type="dxa"/>
            <w:tcBorders>
              <w:top w:val="single" w:sz="4" w:space="0" w:color="000000"/>
              <w:left w:val="single" w:sz="4" w:space="0" w:color="000000"/>
              <w:bottom w:val="single" w:sz="4" w:space="0" w:color="000000"/>
              <w:right w:val="single" w:sz="4" w:space="0" w:color="000000"/>
            </w:tcBorders>
            <w:vAlign w:val="center"/>
          </w:tcPr>
          <w:p w14:paraId="3F47D4D6" w14:textId="77777777" w:rsidR="00AC5059" w:rsidRPr="000151BA" w:rsidRDefault="00AC5059" w:rsidP="001A78AF">
            <w:pPr>
              <w:rPr>
                <w:sz w:val="22"/>
              </w:rPr>
            </w:pPr>
            <w:r w:rsidRPr="000151BA">
              <w:rPr>
                <w:b/>
                <w:sz w:val="22"/>
              </w:rPr>
              <w:t>Indicator 1:</w:t>
            </w:r>
            <w:r w:rsidRPr="000151BA">
              <w:rPr>
                <w:sz w:val="22"/>
              </w:rPr>
              <w:t xml:space="preserve"> Increase in the percentage of projects under Global Practices</w:t>
            </w:r>
            <w:r w:rsidRPr="000151BA">
              <w:rPr>
                <w:sz w:val="22"/>
                <w:vertAlign w:val="superscript"/>
              </w:rPr>
              <w:footnoteReference w:id="160"/>
            </w:r>
            <w:r w:rsidRPr="000151BA">
              <w:rPr>
                <w:sz w:val="22"/>
              </w:rPr>
              <w:t xml:space="preserve"> relevant to SARTFP that are </w:t>
            </w:r>
            <w:r w:rsidRPr="000151BA">
              <w:rPr>
                <w:i/>
                <w:sz w:val="22"/>
              </w:rPr>
              <w:t>gender informed (across the three gender dimensions)*</w:t>
            </w:r>
          </w:p>
        </w:tc>
        <w:tc>
          <w:tcPr>
            <w:tcW w:w="893" w:type="dxa"/>
            <w:tcBorders>
              <w:top w:val="single" w:sz="4" w:space="0" w:color="000000"/>
              <w:left w:val="single" w:sz="4" w:space="0" w:color="000000"/>
              <w:bottom w:val="single" w:sz="4" w:space="0" w:color="000000"/>
              <w:right w:val="single" w:sz="4" w:space="0" w:color="000000"/>
            </w:tcBorders>
            <w:vAlign w:val="center"/>
          </w:tcPr>
          <w:p w14:paraId="41BCF07B" w14:textId="77777777" w:rsidR="00AC5059" w:rsidRPr="000151BA" w:rsidRDefault="00AC5059" w:rsidP="001A78AF">
            <w:pPr>
              <w:rPr>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8627741" w14:textId="77777777" w:rsidR="00AC5059" w:rsidRPr="000151BA" w:rsidRDefault="00AC5059" w:rsidP="000B5B50">
            <w:pPr>
              <w:rPr>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485A08D" w14:textId="77777777" w:rsidR="00AC5059" w:rsidRPr="000151BA" w:rsidRDefault="00AC5059" w:rsidP="000B5B50">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56D13F1" w14:textId="77777777" w:rsidR="00AC5059" w:rsidRPr="000151BA" w:rsidRDefault="00AC5059" w:rsidP="00404A8A">
            <w:pPr>
              <w:rPr>
                <w:sz w:val="22"/>
              </w:rPr>
            </w:pPr>
            <w:r w:rsidRPr="000151BA">
              <w:rPr>
                <w:sz w:val="22"/>
              </w:rPr>
              <w:t>World Bank (and other development partners’) project documents and reports</w:t>
            </w:r>
          </w:p>
        </w:tc>
      </w:tr>
      <w:tr w:rsidR="00AC5059" w:rsidRPr="00F42157" w14:paraId="446C2A06" w14:textId="77777777">
        <w:trPr>
          <w:trHeight w:val="384"/>
        </w:trPr>
        <w:tc>
          <w:tcPr>
            <w:tcW w:w="3922" w:type="dxa"/>
            <w:tcBorders>
              <w:top w:val="single" w:sz="4" w:space="0" w:color="000000"/>
              <w:left w:val="single" w:sz="4" w:space="0" w:color="000000"/>
              <w:bottom w:val="single" w:sz="4" w:space="0" w:color="000000"/>
              <w:right w:val="single" w:sz="4" w:space="0" w:color="000000"/>
            </w:tcBorders>
            <w:vAlign w:val="center"/>
          </w:tcPr>
          <w:p w14:paraId="0A4850D4" w14:textId="77777777" w:rsidR="00AC5059" w:rsidRPr="000151BA" w:rsidRDefault="00AC5059" w:rsidP="001A78AF">
            <w:pPr>
              <w:rPr>
                <w:sz w:val="22"/>
              </w:rPr>
            </w:pPr>
            <w:r w:rsidRPr="000151BA">
              <w:rPr>
                <w:sz w:val="22"/>
              </w:rPr>
              <w:t>Under Pillar 1: Transport Connectivity - Road, Rail, Inland Waterways</w:t>
            </w:r>
          </w:p>
        </w:tc>
        <w:tc>
          <w:tcPr>
            <w:tcW w:w="893" w:type="dxa"/>
            <w:tcBorders>
              <w:top w:val="single" w:sz="4" w:space="0" w:color="000000"/>
              <w:left w:val="single" w:sz="4" w:space="0" w:color="000000"/>
              <w:bottom w:val="single" w:sz="4" w:space="0" w:color="000000"/>
              <w:right w:val="single" w:sz="4" w:space="0" w:color="000000"/>
            </w:tcBorders>
            <w:vAlign w:val="center"/>
          </w:tcPr>
          <w:p w14:paraId="13517FA7" w14:textId="77777777" w:rsidR="00AC5059" w:rsidRPr="000151BA" w:rsidRDefault="00AC5059" w:rsidP="001A78AF">
            <w:pPr>
              <w:rPr>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9AEAB5" w14:textId="77777777" w:rsidR="00AC5059" w:rsidRPr="000151BA" w:rsidRDefault="00AC5059" w:rsidP="000B5B50">
            <w:pPr>
              <w:rPr>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A2AEEB5" w14:textId="77777777" w:rsidR="00AC5059" w:rsidRPr="000151BA" w:rsidRDefault="00AC5059" w:rsidP="000B5B50">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C145E22" w14:textId="77777777" w:rsidR="00AC5059" w:rsidRPr="000151BA" w:rsidRDefault="00AC5059" w:rsidP="00404A8A">
            <w:pPr>
              <w:rPr>
                <w:sz w:val="22"/>
              </w:rPr>
            </w:pPr>
          </w:p>
        </w:tc>
      </w:tr>
      <w:tr w:rsidR="00AC5059" w:rsidRPr="00F42157" w14:paraId="38CBB9AA" w14:textId="77777777">
        <w:trPr>
          <w:trHeight w:val="384"/>
        </w:trPr>
        <w:tc>
          <w:tcPr>
            <w:tcW w:w="3922" w:type="dxa"/>
            <w:tcBorders>
              <w:top w:val="single" w:sz="4" w:space="0" w:color="000000"/>
              <w:left w:val="single" w:sz="4" w:space="0" w:color="000000"/>
              <w:bottom w:val="single" w:sz="4" w:space="0" w:color="000000"/>
              <w:right w:val="single" w:sz="4" w:space="0" w:color="000000"/>
            </w:tcBorders>
            <w:vAlign w:val="center"/>
          </w:tcPr>
          <w:p w14:paraId="049502B2" w14:textId="77777777" w:rsidR="00AC5059" w:rsidRPr="000151BA" w:rsidRDefault="00AC5059" w:rsidP="001A78AF">
            <w:pPr>
              <w:rPr>
                <w:sz w:val="22"/>
              </w:rPr>
            </w:pPr>
            <w:r w:rsidRPr="000151BA">
              <w:rPr>
                <w:sz w:val="22"/>
              </w:rPr>
              <w:t>Under Pillar 2: Trade Facilitation and Trade Policy</w:t>
            </w:r>
          </w:p>
        </w:tc>
        <w:tc>
          <w:tcPr>
            <w:tcW w:w="893" w:type="dxa"/>
            <w:tcBorders>
              <w:top w:val="single" w:sz="4" w:space="0" w:color="000000"/>
              <w:left w:val="single" w:sz="4" w:space="0" w:color="000000"/>
              <w:bottom w:val="single" w:sz="4" w:space="0" w:color="000000"/>
              <w:right w:val="single" w:sz="4" w:space="0" w:color="000000"/>
            </w:tcBorders>
            <w:vAlign w:val="center"/>
          </w:tcPr>
          <w:p w14:paraId="63952A53" w14:textId="77777777" w:rsidR="00AC5059" w:rsidRPr="000151BA" w:rsidRDefault="00AC5059" w:rsidP="001A78AF">
            <w:pPr>
              <w:rPr>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858CD0" w14:textId="77777777" w:rsidR="00AC5059" w:rsidRPr="000151BA" w:rsidRDefault="00AC5059" w:rsidP="000B5B50">
            <w:pPr>
              <w:rPr>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A77FF85" w14:textId="77777777" w:rsidR="00AC5059" w:rsidRPr="000151BA" w:rsidRDefault="00AC5059" w:rsidP="000B5B50">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8928A2D" w14:textId="77777777" w:rsidR="00AC5059" w:rsidRPr="000151BA" w:rsidRDefault="00AC5059" w:rsidP="00404A8A">
            <w:pPr>
              <w:rPr>
                <w:sz w:val="22"/>
              </w:rPr>
            </w:pPr>
          </w:p>
        </w:tc>
      </w:tr>
      <w:tr w:rsidR="00AC5059" w:rsidRPr="00F42157" w14:paraId="62F69641" w14:textId="77777777">
        <w:trPr>
          <w:trHeight w:val="384"/>
        </w:trPr>
        <w:tc>
          <w:tcPr>
            <w:tcW w:w="3922" w:type="dxa"/>
            <w:tcBorders>
              <w:top w:val="single" w:sz="4" w:space="0" w:color="000000"/>
              <w:left w:val="single" w:sz="4" w:space="0" w:color="000000"/>
              <w:bottom w:val="single" w:sz="4" w:space="0" w:color="000000"/>
              <w:right w:val="single" w:sz="4" w:space="0" w:color="000000"/>
            </w:tcBorders>
            <w:vAlign w:val="center"/>
          </w:tcPr>
          <w:p w14:paraId="7A9E7603" w14:textId="77777777" w:rsidR="00AC5059" w:rsidRPr="000151BA" w:rsidRDefault="00AC5059" w:rsidP="001A78AF">
            <w:pPr>
              <w:rPr>
                <w:sz w:val="22"/>
              </w:rPr>
            </w:pPr>
            <w:r w:rsidRPr="000151BA">
              <w:rPr>
                <w:sz w:val="22"/>
              </w:rPr>
              <w:t>Under Pillar 3: Local Enterprise Development and Economic Opportunity</w:t>
            </w:r>
          </w:p>
        </w:tc>
        <w:tc>
          <w:tcPr>
            <w:tcW w:w="893" w:type="dxa"/>
            <w:tcBorders>
              <w:top w:val="single" w:sz="4" w:space="0" w:color="000000"/>
              <w:left w:val="single" w:sz="4" w:space="0" w:color="000000"/>
              <w:bottom w:val="single" w:sz="4" w:space="0" w:color="000000"/>
              <w:right w:val="single" w:sz="4" w:space="0" w:color="000000"/>
            </w:tcBorders>
            <w:vAlign w:val="center"/>
          </w:tcPr>
          <w:p w14:paraId="2C224754" w14:textId="77777777" w:rsidR="00AC5059" w:rsidRPr="000151BA" w:rsidRDefault="00AC5059" w:rsidP="001A78AF">
            <w:pPr>
              <w:rPr>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A172D45" w14:textId="77777777" w:rsidR="00AC5059" w:rsidRPr="000151BA" w:rsidRDefault="00AC5059" w:rsidP="000B5B50">
            <w:pPr>
              <w:rPr>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6307C0C" w14:textId="77777777" w:rsidR="00AC5059" w:rsidRPr="000151BA" w:rsidRDefault="00AC5059" w:rsidP="000B5B50">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D1392E1" w14:textId="77777777" w:rsidR="00AC5059" w:rsidRPr="000151BA" w:rsidRDefault="00AC5059" w:rsidP="00404A8A">
            <w:pPr>
              <w:rPr>
                <w:sz w:val="22"/>
              </w:rPr>
            </w:pPr>
          </w:p>
        </w:tc>
      </w:tr>
      <w:tr w:rsidR="00AC5059" w:rsidRPr="00F42157" w14:paraId="43B9989F" w14:textId="77777777">
        <w:trPr>
          <w:trHeight w:val="384"/>
        </w:trPr>
        <w:tc>
          <w:tcPr>
            <w:tcW w:w="3922" w:type="dxa"/>
            <w:tcBorders>
              <w:top w:val="single" w:sz="4" w:space="0" w:color="000000"/>
              <w:left w:val="single" w:sz="4" w:space="0" w:color="000000"/>
              <w:bottom w:val="single" w:sz="4" w:space="0" w:color="000000"/>
              <w:right w:val="single" w:sz="4" w:space="0" w:color="000000"/>
            </w:tcBorders>
            <w:vAlign w:val="center"/>
          </w:tcPr>
          <w:p w14:paraId="28EF379F" w14:textId="77777777" w:rsidR="00AC5059" w:rsidRPr="000151BA" w:rsidRDefault="00AC5059" w:rsidP="001A78AF">
            <w:pPr>
              <w:rPr>
                <w:sz w:val="22"/>
              </w:rPr>
            </w:pPr>
            <w:r w:rsidRPr="000151BA">
              <w:rPr>
                <w:b/>
                <w:sz w:val="22"/>
              </w:rPr>
              <w:t>Indicator 2:</w:t>
            </w:r>
            <w:r w:rsidRPr="000151BA">
              <w:rPr>
                <w:sz w:val="22"/>
              </w:rPr>
              <w:t xml:space="preserve"> Value of financing</w:t>
            </w:r>
            <w:r w:rsidRPr="000151BA">
              <w:rPr>
                <w:sz w:val="22"/>
                <w:vertAlign w:val="superscript"/>
              </w:rPr>
              <w:footnoteReference w:id="161"/>
            </w:r>
            <w:r w:rsidRPr="000151BA">
              <w:rPr>
                <w:sz w:val="22"/>
              </w:rPr>
              <w:t xml:space="preserve"> to projects or pilots outside SARTFP benefitting women in trade facilitation, cross-border transport connectivity, or local economic opportunity </w:t>
            </w:r>
          </w:p>
        </w:tc>
        <w:tc>
          <w:tcPr>
            <w:tcW w:w="893" w:type="dxa"/>
            <w:tcBorders>
              <w:top w:val="single" w:sz="4" w:space="0" w:color="000000"/>
              <w:left w:val="single" w:sz="4" w:space="0" w:color="000000"/>
              <w:bottom w:val="single" w:sz="4" w:space="0" w:color="000000"/>
              <w:right w:val="single" w:sz="4" w:space="0" w:color="000000"/>
            </w:tcBorders>
            <w:vAlign w:val="center"/>
          </w:tcPr>
          <w:p w14:paraId="7C3599D6" w14:textId="77777777" w:rsidR="00AC5059" w:rsidRPr="000151BA" w:rsidRDefault="00AC5059" w:rsidP="001A78AF">
            <w:pPr>
              <w:rPr>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F5BA718" w14:textId="77777777" w:rsidR="00AC5059" w:rsidRPr="000151BA" w:rsidRDefault="00AC5059" w:rsidP="000B5B50">
            <w:pPr>
              <w:rPr>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A262366" w14:textId="77777777" w:rsidR="00AC5059" w:rsidRPr="000151BA" w:rsidRDefault="00AC5059" w:rsidP="000B5B50">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428FE88" w14:textId="77777777" w:rsidR="00AC5059" w:rsidRPr="000151BA" w:rsidRDefault="00AC5059" w:rsidP="00404A8A">
            <w:pPr>
              <w:rPr>
                <w:sz w:val="22"/>
              </w:rPr>
            </w:pPr>
            <w:r w:rsidRPr="000151BA">
              <w:rPr>
                <w:sz w:val="22"/>
              </w:rPr>
              <w:t>World Bank (and other development partners’) project documents and reports</w:t>
            </w:r>
          </w:p>
        </w:tc>
      </w:tr>
      <w:tr w:rsidR="00AC5059" w:rsidRPr="00F42157" w14:paraId="5CF90796" w14:textId="77777777">
        <w:trPr>
          <w:trHeight w:val="384"/>
        </w:trPr>
        <w:tc>
          <w:tcPr>
            <w:tcW w:w="3922" w:type="dxa"/>
            <w:tcBorders>
              <w:top w:val="single" w:sz="4" w:space="0" w:color="000000"/>
              <w:left w:val="single" w:sz="4" w:space="0" w:color="000000"/>
              <w:bottom w:val="single" w:sz="4" w:space="0" w:color="000000"/>
              <w:right w:val="single" w:sz="4" w:space="0" w:color="000000"/>
            </w:tcBorders>
            <w:vAlign w:val="center"/>
          </w:tcPr>
          <w:p w14:paraId="4220F736" w14:textId="77777777" w:rsidR="00AC5059" w:rsidRPr="000151BA" w:rsidRDefault="00AC5059" w:rsidP="001A78AF">
            <w:pPr>
              <w:rPr>
                <w:sz w:val="22"/>
              </w:rPr>
            </w:pPr>
            <w:r w:rsidRPr="000151BA">
              <w:rPr>
                <w:sz w:val="22"/>
              </w:rPr>
              <w:t>Under Pillar 1: Transport Connectivity - Road, Rail, Inland Waterways</w:t>
            </w:r>
          </w:p>
        </w:tc>
        <w:tc>
          <w:tcPr>
            <w:tcW w:w="893" w:type="dxa"/>
            <w:tcBorders>
              <w:top w:val="single" w:sz="4" w:space="0" w:color="000000"/>
              <w:left w:val="single" w:sz="4" w:space="0" w:color="000000"/>
              <w:bottom w:val="single" w:sz="4" w:space="0" w:color="000000"/>
              <w:right w:val="single" w:sz="4" w:space="0" w:color="000000"/>
            </w:tcBorders>
            <w:vAlign w:val="center"/>
          </w:tcPr>
          <w:p w14:paraId="05B8983B" w14:textId="77777777" w:rsidR="00AC5059" w:rsidRPr="000151BA" w:rsidRDefault="00AC5059" w:rsidP="001A78AF">
            <w:pPr>
              <w:rPr>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5B4B919" w14:textId="77777777" w:rsidR="00AC5059" w:rsidRPr="000151BA" w:rsidRDefault="00AC5059" w:rsidP="000B5B50">
            <w:pPr>
              <w:rPr>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12DA742" w14:textId="77777777" w:rsidR="00AC5059" w:rsidRPr="000151BA" w:rsidRDefault="00AC5059" w:rsidP="000B5B50">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F766B23" w14:textId="77777777" w:rsidR="00AC5059" w:rsidRPr="000151BA" w:rsidRDefault="00AC5059" w:rsidP="00404A8A">
            <w:pPr>
              <w:rPr>
                <w:sz w:val="22"/>
              </w:rPr>
            </w:pPr>
          </w:p>
        </w:tc>
      </w:tr>
      <w:tr w:rsidR="00AC5059" w:rsidRPr="00F42157" w14:paraId="3165362B" w14:textId="77777777">
        <w:trPr>
          <w:trHeight w:val="384"/>
        </w:trPr>
        <w:tc>
          <w:tcPr>
            <w:tcW w:w="3922" w:type="dxa"/>
            <w:tcBorders>
              <w:top w:val="single" w:sz="4" w:space="0" w:color="000000"/>
              <w:left w:val="single" w:sz="4" w:space="0" w:color="000000"/>
              <w:bottom w:val="single" w:sz="4" w:space="0" w:color="000000"/>
              <w:right w:val="single" w:sz="4" w:space="0" w:color="000000"/>
            </w:tcBorders>
            <w:vAlign w:val="center"/>
          </w:tcPr>
          <w:p w14:paraId="58A4F895" w14:textId="77777777" w:rsidR="00AC5059" w:rsidRPr="000151BA" w:rsidRDefault="00AC5059" w:rsidP="001A78AF">
            <w:pPr>
              <w:rPr>
                <w:sz w:val="22"/>
              </w:rPr>
            </w:pPr>
            <w:r w:rsidRPr="000151BA">
              <w:rPr>
                <w:sz w:val="22"/>
              </w:rPr>
              <w:t>Under Pillar 2: Trade Facilitation and Trade Policy</w:t>
            </w:r>
          </w:p>
        </w:tc>
        <w:tc>
          <w:tcPr>
            <w:tcW w:w="893" w:type="dxa"/>
            <w:tcBorders>
              <w:top w:val="single" w:sz="4" w:space="0" w:color="000000"/>
              <w:left w:val="single" w:sz="4" w:space="0" w:color="000000"/>
              <w:bottom w:val="single" w:sz="4" w:space="0" w:color="000000"/>
              <w:right w:val="single" w:sz="4" w:space="0" w:color="000000"/>
            </w:tcBorders>
            <w:vAlign w:val="center"/>
          </w:tcPr>
          <w:p w14:paraId="4BE145F8" w14:textId="77777777" w:rsidR="00AC5059" w:rsidRPr="000151BA" w:rsidRDefault="00AC5059" w:rsidP="001A78AF">
            <w:pPr>
              <w:rPr>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460CC5" w14:textId="77777777" w:rsidR="00AC5059" w:rsidRPr="000151BA" w:rsidRDefault="00AC5059" w:rsidP="000B5B50">
            <w:pPr>
              <w:rPr>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6649498" w14:textId="77777777" w:rsidR="00AC5059" w:rsidRPr="000151BA" w:rsidRDefault="00AC5059" w:rsidP="000B5B50">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BA55972" w14:textId="77777777" w:rsidR="00AC5059" w:rsidRPr="000151BA" w:rsidRDefault="00AC5059" w:rsidP="00404A8A">
            <w:pPr>
              <w:rPr>
                <w:sz w:val="22"/>
              </w:rPr>
            </w:pPr>
          </w:p>
        </w:tc>
      </w:tr>
      <w:tr w:rsidR="00AC5059" w:rsidRPr="00F42157" w14:paraId="24B3658F" w14:textId="77777777">
        <w:trPr>
          <w:trHeight w:val="384"/>
        </w:trPr>
        <w:tc>
          <w:tcPr>
            <w:tcW w:w="3922" w:type="dxa"/>
            <w:tcBorders>
              <w:top w:val="single" w:sz="4" w:space="0" w:color="000000"/>
              <w:left w:val="single" w:sz="4" w:space="0" w:color="000000"/>
              <w:bottom w:val="single" w:sz="4" w:space="0" w:color="000000"/>
              <w:right w:val="single" w:sz="4" w:space="0" w:color="000000"/>
            </w:tcBorders>
            <w:vAlign w:val="center"/>
          </w:tcPr>
          <w:p w14:paraId="12DBDB9A" w14:textId="77777777" w:rsidR="00AC5059" w:rsidRPr="000151BA" w:rsidRDefault="00AC5059" w:rsidP="001A78AF">
            <w:pPr>
              <w:rPr>
                <w:sz w:val="22"/>
              </w:rPr>
            </w:pPr>
            <w:r w:rsidRPr="000151BA">
              <w:rPr>
                <w:sz w:val="22"/>
              </w:rPr>
              <w:t>Under Pillar 3: Local Enterprise Development and Economic Opportunity</w:t>
            </w:r>
          </w:p>
        </w:tc>
        <w:tc>
          <w:tcPr>
            <w:tcW w:w="893" w:type="dxa"/>
            <w:tcBorders>
              <w:top w:val="single" w:sz="4" w:space="0" w:color="000000"/>
              <w:left w:val="single" w:sz="4" w:space="0" w:color="000000"/>
              <w:bottom w:val="single" w:sz="4" w:space="0" w:color="000000"/>
              <w:right w:val="single" w:sz="4" w:space="0" w:color="000000"/>
            </w:tcBorders>
            <w:vAlign w:val="center"/>
          </w:tcPr>
          <w:p w14:paraId="17845D78" w14:textId="77777777" w:rsidR="00AC5059" w:rsidRPr="000151BA" w:rsidRDefault="00AC5059" w:rsidP="001A78AF">
            <w:pPr>
              <w:rPr>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0272C0" w14:textId="77777777" w:rsidR="00AC5059" w:rsidRPr="000151BA" w:rsidRDefault="00AC5059" w:rsidP="000B5B50">
            <w:pPr>
              <w:rPr>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4F90565" w14:textId="77777777" w:rsidR="00AC5059" w:rsidRPr="000151BA" w:rsidRDefault="00AC5059" w:rsidP="000B5B50">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050BEC5" w14:textId="77777777" w:rsidR="00AC5059" w:rsidRPr="000151BA" w:rsidRDefault="00AC5059" w:rsidP="00404A8A">
            <w:pPr>
              <w:rPr>
                <w:sz w:val="22"/>
              </w:rPr>
            </w:pPr>
          </w:p>
        </w:tc>
      </w:tr>
      <w:tr w:rsidR="00AC5059" w:rsidRPr="00F42157" w14:paraId="08EDEFB7" w14:textId="77777777">
        <w:trPr>
          <w:trHeight w:val="384"/>
        </w:trPr>
        <w:tc>
          <w:tcPr>
            <w:tcW w:w="3922" w:type="dxa"/>
            <w:tcBorders>
              <w:top w:val="single" w:sz="4" w:space="0" w:color="000000"/>
              <w:left w:val="single" w:sz="4" w:space="0" w:color="000000"/>
              <w:bottom w:val="single" w:sz="4" w:space="0" w:color="000000"/>
              <w:right w:val="single" w:sz="4" w:space="0" w:color="000000"/>
            </w:tcBorders>
            <w:vAlign w:val="center"/>
          </w:tcPr>
          <w:p w14:paraId="114BD833" w14:textId="77777777" w:rsidR="00AC5059" w:rsidRPr="000151BA" w:rsidRDefault="00AC5059" w:rsidP="001A78AF">
            <w:pPr>
              <w:rPr>
                <w:sz w:val="22"/>
              </w:rPr>
            </w:pPr>
            <w:r w:rsidRPr="000151BA">
              <w:rPr>
                <w:sz w:val="22"/>
              </w:rPr>
              <w:t>Qualitative question:</w:t>
            </w:r>
          </w:p>
          <w:p w14:paraId="25B1C750" w14:textId="77777777" w:rsidR="00AC5059" w:rsidRPr="000151BA" w:rsidRDefault="00AC5059" w:rsidP="001A78AF">
            <w:pPr>
              <w:rPr>
                <w:sz w:val="22"/>
              </w:rPr>
            </w:pPr>
            <w:r w:rsidRPr="000151BA">
              <w:rPr>
                <w:sz w:val="22"/>
              </w:rPr>
              <w:t>To what extent has the World Bank and its partners embedded comprehensive gender- sensitive programming in SARTFP design, implementation, and monitoring and reporting.</w:t>
            </w:r>
          </w:p>
          <w:p w14:paraId="3038170A" w14:textId="77777777" w:rsidR="00AC5059" w:rsidRPr="000151BA" w:rsidRDefault="00AC5059" w:rsidP="000B5B50">
            <w:pPr>
              <w:rPr>
                <w:sz w:val="22"/>
              </w:rPr>
            </w:pPr>
            <w:r w:rsidRPr="000151BA">
              <w:rPr>
                <w:sz w:val="22"/>
              </w:rPr>
              <w:t>How has SARTFP contributed to extending gender good practice to projects not receiving funds from SARTFP?</w:t>
            </w:r>
          </w:p>
        </w:tc>
        <w:tc>
          <w:tcPr>
            <w:tcW w:w="2169" w:type="dxa"/>
            <w:gridSpan w:val="3"/>
            <w:tcBorders>
              <w:top w:val="single" w:sz="4" w:space="0" w:color="000000"/>
              <w:left w:val="single" w:sz="4" w:space="0" w:color="000000"/>
              <w:bottom w:val="single" w:sz="4" w:space="0" w:color="000000"/>
              <w:right w:val="single" w:sz="4" w:space="0" w:color="000000"/>
            </w:tcBorders>
            <w:vAlign w:val="center"/>
          </w:tcPr>
          <w:p w14:paraId="72D89F57" w14:textId="77777777" w:rsidR="00AC5059" w:rsidRPr="000151BA" w:rsidRDefault="00AC5059" w:rsidP="000B5B50">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B65BC18" w14:textId="77777777" w:rsidR="00AC5059" w:rsidRPr="000151BA" w:rsidRDefault="00AC5059" w:rsidP="00404A8A">
            <w:pPr>
              <w:rPr>
                <w:sz w:val="22"/>
              </w:rPr>
            </w:pPr>
          </w:p>
        </w:tc>
      </w:tr>
      <w:tr w:rsidR="00AC5059" w:rsidRPr="00F42157" w14:paraId="6A51F64B" w14:textId="77777777">
        <w:trPr>
          <w:trHeight w:val="256"/>
        </w:trPr>
        <w:tc>
          <w:tcPr>
            <w:tcW w:w="8926" w:type="dxa"/>
            <w:gridSpan w:val="5"/>
            <w:tcBorders>
              <w:top w:val="single" w:sz="4" w:space="0" w:color="000000"/>
              <w:left w:val="single" w:sz="4" w:space="0" w:color="000000"/>
              <w:bottom w:val="single" w:sz="4" w:space="0" w:color="000000"/>
              <w:right w:val="single" w:sz="4" w:space="0" w:color="000000"/>
            </w:tcBorders>
            <w:shd w:val="clear" w:color="auto" w:fill="B4C6E7"/>
            <w:vAlign w:val="center"/>
          </w:tcPr>
          <w:p w14:paraId="2B11F0DC" w14:textId="77777777" w:rsidR="00AC5059" w:rsidRPr="000151BA" w:rsidRDefault="00AC5059" w:rsidP="001A78AF">
            <w:pPr>
              <w:rPr>
                <w:sz w:val="22"/>
              </w:rPr>
            </w:pPr>
            <w:r w:rsidRPr="000151BA">
              <w:rPr>
                <w:sz w:val="22"/>
              </w:rPr>
              <w:lastRenderedPageBreak/>
              <w:t>MTO B: Governments in BBIN countries make complementary investments in trade facilitation, cross-border transport connectivity, and local economic opportunity that benefit women.</w:t>
            </w:r>
          </w:p>
        </w:tc>
      </w:tr>
      <w:tr w:rsidR="00AC5059" w:rsidRPr="00F42157" w14:paraId="27601112" w14:textId="77777777">
        <w:trPr>
          <w:trHeight w:val="657"/>
        </w:trPr>
        <w:tc>
          <w:tcPr>
            <w:tcW w:w="3922" w:type="dxa"/>
            <w:tcBorders>
              <w:top w:val="single" w:sz="4" w:space="0" w:color="000000"/>
              <w:left w:val="single" w:sz="4" w:space="0" w:color="000000"/>
              <w:bottom w:val="single" w:sz="4" w:space="0" w:color="000000"/>
              <w:right w:val="single" w:sz="4" w:space="0" w:color="000000"/>
            </w:tcBorders>
            <w:vAlign w:val="center"/>
          </w:tcPr>
          <w:p w14:paraId="65629B4C" w14:textId="77777777" w:rsidR="00AC5059" w:rsidRPr="000151BA" w:rsidRDefault="00AC5059" w:rsidP="001A78AF">
            <w:pPr>
              <w:rPr>
                <w:sz w:val="22"/>
              </w:rPr>
            </w:pPr>
            <w:r w:rsidRPr="000151BA">
              <w:rPr>
                <w:b/>
                <w:sz w:val="22"/>
              </w:rPr>
              <w:t>Indicator 3:</w:t>
            </w:r>
            <w:r w:rsidRPr="000151BA">
              <w:rPr>
                <w:sz w:val="22"/>
              </w:rPr>
              <w:t xml:space="preserve"> Number of complementary investments made by BBIN governments that benefit, or are expected to benefit, women</w:t>
            </w:r>
          </w:p>
        </w:tc>
        <w:tc>
          <w:tcPr>
            <w:tcW w:w="893" w:type="dxa"/>
            <w:tcBorders>
              <w:top w:val="single" w:sz="4" w:space="0" w:color="000000"/>
              <w:left w:val="single" w:sz="4" w:space="0" w:color="000000"/>
              <w:bottom w:val="single" w:sz="4" w:space="0" w:color="000000"/>
              <w:right w:val="single" w:sz="4" w:space="0" w:color="000000"/>
            </w:tcBorders>
            <w:vAlign w:val="center"/>
          </w:tcPr>
          <w:p w14:paraId="12EC9CB6" w14:textId="77777777" w:rsidR="00AC5059" w:rsidRPr="000151BA" w:rsidRDefault="00AC5059" w:rsidP="001A78AF">
            <w:pPr>
              <w:rPr>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44AD63" w14:textId="77777777" w:rsidR="00AC5059" w:rsidRPr="000151BA" w:rsidRDefault="00AC5059" w:rsidP="000B5B50">
            <w:pPr>
              <w:rPr>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7BC7C71" w14:textId="77777777" w:rsidR="00AC5059" w:rsidRPr="000151BA" w:rsidRDefault="00AC5059" w:rsidP="000B5B50">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4FECDD8" w14:textId="77777777" w:rsidR="00AC5059" w:rsidRPr="000151BA" w:rsidRDefault="00AC5059" w:rsidP="00404A8A">
            <w:pPr>
              <w:rPr>
                <w:sz w:val="22"/>
              </w:rPr>
            </w:pPr>
            <w:r w:rsidRPr="000151BA">
              <w:rPr>
                <w:sz w:val="22"/>
              </w:rPr>
              <w:t>Government budget and investment documents</w:t>
            </w:r>
          </w:p>
          <w:p w14:paraId="6E2BCCA7" w14:textId="77777777" w:rsidR="00AC5059" w:rsidRPr="000151BA" w:rsidRDefault="00AC5059" w:rsidP="00F311EB">
            <w:pPr>
              <w:rPr>
                <w:sz w:val="22"/>
              </w:rPr>
            </w:pPr>
            <w:r w:rsidRPr="000151BA">
              <w:rPr>
                <w:sz w:val="22"/>
              </w:rPr>
              <w:t>SARTFP project monitoring and documents</w:t>
            </w:r>
          </w:p>
          <w:p w14:paraId="2157262B" w14:textId="77777777" w:rsidR="00AC5059" w:rsidRPr="000151BA" w:rsidRDefault="00AC5059" w:rsidP="00894DA7">
            <w:pPr>
              <w:rPr>
                <w:sz w:val="22"/>
              </w:rPr>
            </w:pPr>
            <w:r w:rsidRPr="000151BA">
              <w:rPr>
                <w:sz w:val="22"/>
              </w:rPr>
              <w:t>Media reports</w:t>
            </w:r>
          </w:p>
        </w:tc>
      </w:tr>
      <w:tr w:rsidR="00AC5059" w:rsidRPr="00F42157" w14:paraId="425AAE27" w14:textId="77777777">
        <w:trPr>
          <w:trHeight w:val="272"/>
        </w:trPr>
        <w:tc>
          <w:tcPr>
            <w:tcW w:w="3922" w:type="dxa"/>
            <w:tcBorders>
              <w:top w:val="single" w:sz="4" w:space="0" w:color="000000"/>
              <w:left w:val="single" w:sz="4" w:space="0" w:color="000000"/>
              <w:bottom w:val="single" w:sz="4" w:space="0" w:color="000000"/>
              <w:right w:val="single" w:sz="4" w:space="0" w:color="000000"/>
            </w:tcBorders>
            <w:vAlign w:val="center"/>
          </w:tcPr>
          <w:p w14:paraId="2B7BA406" w14:textId="77777777" w:rsidR="00AC5059" w:rsidRPr="000151BA" w:rsidRDefault="00AC5059" w:rsidP="001A78AF">
            <w:pPr>
              <w:rPr>
                <w:sz w:val="22"/>
              </w:rPr>
            </w:pPr>
            <w:r w:rsidRPr="000151BA">
              <w:rPr>
                <w:b/>
                <w:sz w:val="22"/>
              </w:rPr>
              <w:t>Indicator 4</w:t>
            </w:r>
            <w:r w:rsidRPr="000151BA">
              <w:rPr>
                <w:sz w:val="22"/>
              </w:rPr>
              <w:t>: Value of complementary investments made by BBIN governments that benefit, or are expected to benefit, women</w:t>
            </w:r>
          </w:p>
        </w:tc>
        <w:tc>
          <w:tcPr>
            <w:tcW w:w="893" w:type="dxa"/>
            <w:tcBorders>
              <w:top w:val="single" w:sz="4" w:space="0" w:color="000000"/>
              <w:left w:val="single" w:sz="4" w:space="0" w:color="000000"/>
              <w:bottom w:val="single" w:sz="4" w:space="0" w:color="000000"/>
              <w:right w:val="single" w:sz="4" w:space="0" w:color="000000"/>
            </w:tcBorders>
            <w:vAlign w:val="center"/>
          </w:tcPr>
          <w:p w14:paraId="415054C5" w14:textId="77777777" w:rsidR="00AC5059" w:rsidRPr="000151BA" w:rsidRDefault="00AC5059" w:rsidP="001A78AF">
            <w:pPr>
              <w:rPr>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D0D432" w14:textId="77777777" w:rsidR="00AC5059" w:rsidRPr="000151BA" w:rsidRDefault="00AC5059" w:rsidP="000B5B50">
            <w:pPr>
              <w:rPr>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36958B6" w14:textId="77777777" w:rsidR="00AC5059" w:rsidRPr="000151BA" w:rsidRDefault="00AC5059" w:rsidP="000B5B50">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B7CE9B9" w14:textId="77777777" w:rsidR="00AC5059" w:rsidRPr="000151BA" w:rsidRDefault="00AC5059" w:rsidP="00404A8A">
            <w:pPr>
              <w:rPr>
                <w:sz w:val="22"/>
              </w:rPr>
            </w:pPr>
            <w:r w:rsidRPr="000151BA">
              <w:rPr>
                <w:sz w:val="22"/>
              </w:rPr>
              <w:t>Government budget and investment documents</w:t>
            </w:r>
          </w:p>
          <w:p w14:paraId="021F5379" w14:textId="77777777" w:rsidR="00AC5059" w:rsidRPr="000151BA" w:rsidRDefault="00AC5059" w:rsidP="00F311EB">
            <w:pPr>
              <w:rPr>
                <w:sz w:val="22"/>
              </w:rPr>
            </w:pPr>
            <w:r w:rsidRPr="000151BA">
              <w:rPr>
                <w:sz w:val="22"/>
              </w:rPr>
              <w:t xml:space="preserve"> SARTFP project monitoring and documents</w:t>
            </w:r>
          </w:p>
          <w:p w14:paraId="06D206C7" w14:textId="77777777" w:rsidR="00AC5059" w:rsidRPr="000151BA" w:rsidRDefault="00AC5059" w:rsidP="00894DA7">
            <w:pPr>
              <w:rPr>
                <w:sz w:val="22"/>
              </w:rPr>
            </w:pPr>
            <w:r w:rsidRPr="000151BA">
              <w:rPr>
                <w:sz w:val="22"/>
              </w:rPr>
              <w:t>Media reports</w:t>
            </w:r>
          </w:p>
        </w:tc>
      </w:tr>
      <w:tr w:rsidR="00AC5059" w:rsidRPr="00F42157" w14:paraId="0A1C8CA5" w14:textId="77777777">
        <w:trPr>
          <w:trHeight w:val="272"/>
        </w:trPr>
        <w:tc>
          <w:tcPr>
            <w:tcW w:w="3922" w:type="dxa"/>
            <w:tcBorders>
              <w:top w:val="single" w:sz="4" w:space="0" w:color="000000"/>
              <w:left w:val="single" w:sz="4" w:space="0" w:color="000000"/>
              <w:bottom w:val="single" w:sz="4" w:space="0" w:color="000000"/>
              <w:right w:val="single" w:sz="4" w:space="0" w:color="000000"/>
            </w:tcBorders>
            <w:vAlign w:val="center"/>
          </w:tcPr>
          <w:p w14:paraId="2BD7DEEF" w14:textId="77777777" w:rsidR="00AC5059" w:rsidRPr="000151BA" w:rsidRDefault="00AC5059" w:rsidP="001A78AF">
            <w:pPr>
              <w:rPr>
                <w:sz w:val="22"/>
              </w:rPr>
            </w:pPr>
            <w:r w:rsidRPr="000151BA">
              <w:rPr>
                <w:sz w:val="22"/>
              </w:rPr>
              <w:t>Qualitative questions:</w:t>
            </w:r>
          </w:p>
          <w:p w14:paraId="13903A0A" w14:textId="77777777" w:rsidR="00AC5059" w:rsidRPr="000151BA" w:rsidRDefault="00AC5059" w:rsidP="001A78AF">
            <w:pPr>
              <w:rPr>
                <w:sz w:val="22"/>
              </w:rPr>
            </w:pPr>
            <w:r w:rsidRPr="000151BA">
              <w:rPr>
                <w:sz w:val="22"/>
              </w:rPr>
              <w:t>Describe each investment and the ways in which they benefit women.</w:t>
            </w:r>
          </w:p>
          <w:p w14:paraId="1F0F427D" w14:textId="77777777" w:rsidR="00AC5059" w:rsidRPr="000151BA" w:rsidRDefault="00AC5059" w:rsidP="000B5B50">
            <w:pPr>
              <w:rPr>
                <w:sz w:val="22"/>
              </w:rPr>
            </w:pPr>
            <w:r w:rsidRPr="000151BA">
              <w:rPr>
                <w:sz w:val="22"/>
              </w:rPr>
              <w:t>Describe any quantitative or qualitative evidence to date, if any, which demonstrates benefit to women.</w:t>
            </w:r>
          </w:p>
          <w:p w14:paraId="2776795F" w14:textId="77777777" w:rsidR="00AC5059" w:rsidRPr="000151BA" w:rsidRDefault="00AC5059" w:rsidP="000B5B50">
            <w:pPr>
              <w:rPr>
                <w:sz w:val="22"/>
              </w:rPr>
            </w:pPr>
            <w:r w:rsidRPr="000151BA">
              <w:rPr>
                <w:sz w:val="22"/>
              </w:rPr>
              <w:t>How have SARTFP activities contributed to these investments?</w:t>
            </w:r>
          </w:p>
        </w:tc>
        <w:tc>
          <w:tcPr>
            <w:tcW w:w="2169" w:type="dxa"/>
            <w:gridSpan w:val="3"/>
            <w:tcBorders>
              <w:top w:val="single" w:sz="4" w:space="0" w:color="000000"/>
              <w:left w:val="single" w:sz="4" w:space="0" w:color="000000"/>
              <w:bottom w:val="single" w:sz="4" w:space="0" w:color="000000"/>
              <w:right w:val="single" w:sz="4" w:space="0" w:color="000000"/>
            </w:tcBorders>
            <w:vAlign w:val="center"/>
          </w:tcPr>
          <w:p w14:paraId="071B01B0" w14:textId="77777777" w:rsidR="00AC5059" w:rsidRPr="000151BA" w:rsidRDefault="00AC5059" w:rsidP="00404A8A">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1C7E0D" w14:textId="77777777" w:rsidR="00AC5059" w:rsidRPr="000151BA" w:rsidRDefault="00AC5059" w:rsidP="00F311EB">
            <w:pPr>
              <w:rPr>
                <w:sz w:val="22"/>
              </w:rPr>
            </w:pPr>
            <w:r w:rsidRPr="000151BA">
              <w:rPr>
                <w:sz w:val="22"/>
              </w:rPr>
              <w:t>Case studies, evaluations, project research, government documents, and SARTFP qualitative analysis</w:t>
            </w:r>
          </w:p>
        </w:tc>
      </w:tr>
      <w:tr w:rsidR="00AC5059" w:rsidRPr="00F42157" w14:paraId="002D4294" w14:textId="77777777">
        <w:trPr>
          <w:trHeight w:val="649"/>
        </w:trPr>
        <w:tc>
          <w:tcPr>
            <w:tcW w:w="8926" w:type="dxa"/>
            <w:gridSpan w:val="5"/>
            <w:tcBorders>
              <w:top w:val="single" w:sz="4" w:space="0" w:color="000000"/>
              <w:left w:val="single" w:sz="4" w:space="0" w:color="000000"/>
              <w:bottom w:val="single" w:sz="4" w:space="0" w:color="000000"/>
              <w:right w:val="single" w:sz="4" w:space="0" w:color="000000"/>
            </w:tcBorders>
            <w:shd w:val="clear" w:color="auto" w:fill="B4C6E7"/>
            <w:vAlign w:val="center"/>
          </w:tcPr>
          <w:p w14:paraId="044C5A34" w14:textId="77777777" w:rsidR="00AC5059" w:rsidRPr="000151BA" w:rsidRDefault="00AC5059" w:rsidP="001A78AF">
            <w:pPr>
              <w:rPr>
                <w:sz w:val="22"/>
              </w:rPr>
            </w:pPr>
            <w:r w:rsidRPr="000151BA">
              <w:rPr>
                <w:sz w:val="22"/>
              </w:rPr>
              <w:t>MTO C: Governments in BBIN countries take regulatory and operational measures in trade facilitation, cross-border transport connectivity, and local economic opportunity that benefit women.</w:t>
            </w:r>
          </w:p>
        </w:tc>
      </w:tr>
      <w:tr w:rsidR="00AC5059" w:rsidRPr="00F42157" w14:paraId="5174A5D2" w14:textId="77777777">
        <w:trPr>
          <w:trHeight w:val="753"/>
        </w:trPr>
        <w:tc>
          <w:tcPr>
            <w:tcW w:w="3922" w:type="dxa"/>
            <w:tcBorders>
              <w:top w:val="single" w:sz="4" w:space="0" w:color="000000"/>
              <w:left w:val="single" w:sz="4" w:space="0" w:color="000000"/>
              <w:bottom w:val="single" w:sz="4" w:space="0" w:color="000000"/>
              <w:right w:val="single" w:sz="4" w:space="0" w:color="000000"/>
            </w:tcBorders>
            <w:vAlign w:val="center"/>
          </w:tcPr>
          <w:p w14:paraId="635FD864" w14:textId="77777777" w:rsidR="00AC5059" w:rsidRPr="000151BA" w:rsidRDefault="00AC5059" w:rsidP="001A78AF">
            <w:pPr>
              <w:rPr>
                <w:sz w:val="22"/>
              </w:rPr>
            </w:pPr>
            <w:r w:rsidRPr="000151BA">
              <w:rPr>
                <w:b/>
                <w:sz w:val="22"/>
              </w:rPr>
              <w:t>Indicator 5:</w:t>
            </w:r>
            <w:r w:rsidRPr="000151BA">
              <w:rPr>
                <w:sz w:val="22"/>
              </w:rPr>
              <w:t xml:space="preserve"> Number of new or amended regulatory actions</w:t>
            </w:r>
            <w:r w:rsidRPr="000151BA">
              <w:rPr>
                <w:sz w:val="22"/>
                <w:vertAlign w:val="superscript"/>
              </w:rPr>
              <w:footnoteReference w:id="162"/>
            </w:r>
            <w:r w:rsidRPr="000151BA">
              <w:rPr>
                <w:sz w:val="22"/>
              </w:rPr>
              <w:t xml:space="preserve"> taken by BBIN governments that benefit, or are expected to benefit, women</w:t>
            </w:r>
          </w:p>
        </w:tc>
        <w:tc>
          <w:tcPr>
            <w:tcW w:w="893" w:type="dxa"/>
            <w:tcBorders>
              <w:top w:val="single" w:sz="4" w:space="0" w:color="000000"/>
              <w:left w:val="single" w:sz="4" w:space="0" w:color="000000"/>
              <w:bottom w:val="single" w:sz="4" w:space="0" w:color="000000"/>
              <w:right w:val="single" w:sz="4" w:space="0" w:color="000000"/>
            </w:tcBorders>
            <w:vAlign w:val="center"/>
          </w:tcPr>
          <w:p w14:paraId="6EFD701C" w14:textId="77777777" w:rsidR="00AC5059" w:rsidRPr="000151BA" w:rsidRDefault="00AC5059" w:rsidP="001A78AF">
            <w:pPr>
              <w:rPr>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BC2CD19" w14:textId="77777777" w:rsidR="00AC5059" w:rsidRPr="000151BA" w:rsidRDefault="00AC5059" w:rsidP="000B5B50">
            <w:pPr>
              <w:rPr>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B42F35A" w14:textId="77777777" w:rsidR="00AC5059" w:rsidRPr="000151BA" w:rsidRDefault="00AC5059" w:rsidP="000B5B50">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27E912B" w14:textId="77777777" w:rsidR="00AC5059" w:rsidRPr="000151BA" w:rsidRDefault="00AC5059" w:rsidP="00404A8A">
            <w:pPr>
              <w:rPr>
                <w:sz w:val="22"/>
              </w:rPr>
            </w:pPr>
            <w:r w:rsidRPr="000151BA">
              <w:rPr>
                <w:sz w:val="22"/>
              </w:rPr>
              <w:t>Government policy documents</w:t>
            </w:r>
          </w:p>
          <w:p w14:paraId="2C9417C8" w14:textId="77777777" w:rsidR="00AC5059" w:rsidRPr="000151BA" w:rsidRDefault="00AC5059" w:rsidP="00F311EB">
            <w:pPr>
              <w:rPr>
                <w:sz w:val="22"/>
              </w:rPr>
            </w:pPr>
            <w:r w:rsidRPr="000151BA">
              <w:rPr>
                <w:sz w:val="22"/>
              </w:rPr>
              <w:t>SARTFP project monitoring and documents</w:t>
            </w:r>
          </w:p>
          <w:p w14:paraId="4861227B" w14:textId="77777777" w:rsidR="00AC5059" w:rsidRPr="000151BA" w:rsidRDefault="00AC5059" w:rsidP="00894DA7">
            <w:pPr>
              <w:rPr>
                <w:sz w:val="22"/>
              </w:rPr>
            </w:pPr>
            <w:r w:rsidRPr="000151BA">
              <w:rPr>
                <w:sz w:val="22"/>
              </w:rPr>
              <w:t>Media reports</w:t>
            </w:r>
          </w:p>
        </w:tc>
      </w:tr>
      <w:tr w:rsidR="00AC5059" w:rsidRPr="00F42157" w14:paraId="673CB84D" w14:textId="77777777">
        <w:trPr>
          <w:trHeight w:val="336"/>
        </w:trPr>
        <w:tc>
          <w:tcPr>
            <w:tcW w:w="3922" w:type="dxa"/>
            <w:tcBorders>
              <w:top w:val="single" w:sz="4" w:space="0" w:color="000000"/>
              <w:left w:val="single" w:sz="4" w:space="0" w:color="000000"/>
              <w:bottom w:val="single" w:sz="4" w:space="0" w:color="000000"/>
              <w:right w:val="single" w:sz="4" w:space="0" w:color="000000"/>
            </w:tcBorders>
            <w:vAlign w:val="center"/>
          </w:tcPr>
          <w:p w14:paraId="030A3AAA" w14:textId="77777777" w:rsidR="00AC5059" w:rsidRPr="000151BA" w:rsidRDefault="00AC5059" w:rsidP="001A78AF">
            <w:pPr>
              <w:rPr>
                <w:b/>
                <w:sz w:val="22"/>
              </w:rPr>
            </w:pPr>
            <w:r w:rsidRPr="000151BA">
              <w:rPr>
                <w:b/>
                <w:sz w:val="22"/>
              </w:rPr>
              <w:t>Indicator 6:</w:t>
            </w:r>
            <w:r w:rsidRPr="000151BA">
              <w:rPr>
                <w:sz w:val="22"/>
              </w:rPr>
              <w:t xml:space="preserve"> Number of new or amended operational measures</w:t>
            </w:r>
            <w:r w:rsidRPr="000151BA">
              <w:rPr>
                <w:sz w:val="22"/>
                <w:vertAlign w:val="superscript"/>
              </w:rPr>
              <w:footnoteReference w:id="163"/>
            </w:r>
            <w:r w:rsidRPr="000151BA">
              <w:rPr>
                <w:sz w:val="22"/>
              </w:rPr>
              <w:t xml:space="preserve"> taken by BBIN governments that benefit, or are expected to benefit, women</w:t>
            </w:r>
          </w:p>
        </w:tc>
        <w:tc>
          <w:tcPr>
            <w:tcW w:w="893" w:type="dxa"/>
            <w:tcBorders>
              <w:top w:val="single" w:sz="4" w:space="0" w:color="000000"/>
              <w:left w:val="single" w:sz="4" w:space="0" w:color="000000"/>
              <w:bottom w:val="single" w:sz="4" w:space="0" w:color="000000"/>
              <w:right w:val="single" w:sz="4" w:space="0" w:color="000000"/>
            </w:tcBorders>
            <w:vAlign w:val="center"/>
          </w:tcPr>
          <w:p w14:paraId="3A794946" w14:textId="77777777" w:rsidR="00AC5059" w:rsidRPr="000151BA" w:rsidRDefault="00AC5059" w:rsidP="001A78AF">
            <w:pPr>
              <w:rPr>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FCE124" w14:textId="77777777" w:rsidR="00AC5059" w:rsidRPr="000151BA" w:rsidRDefault="00AC5059" w:rsidP="000B5B50">
            <w:pPr>
              <w:rPr>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5560356" w14:textId="77777777" w:rsidR="00AC5059" w:rsidRPr="000151BA" w:rsidRDefault="00AC5059" w:rsidP="000B5B50">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FCACB3D" w14:textId="77777777" w:rsidR="00AC5059" w:rsidRPr="000151BA" w:rsidRDefault="00AC5059" w:rsidP="00404A8A">
            <w:pPr>
              <w:rPr>
                <w:sz w:val="22"/>
              </w:rPr>
            </w:pPr>
            <w:r w:rsidRPr="000151BA">
              <w:rPr>
                <w:sz w:val="22"/>
              </w:rPr>
              <w:t>Government policy documents</w:t>
            </w:r>
          </w:p>
          <w:p w14:paraId="01E3CA91" w14:textId="77777777" w:rsidR="00AC5059" w:rsidRPr="000151BA" w:rsidRDefault="00AC5059" w:rsidP="00F311EB">
            <w:pPr>
              <w:rPr>
                <w:sz w:val="22"/>
              </w:rPr>
            </w:pPr>
            <w:r w:rsidRPr="000151BA">
              <w:rPr>
                <w:sz w:val="22"/>
              </w:rPr>
              <w:t>SARTFP project monitoring and documents</w:t>
            </w:r>
          </w:p>
          <w:p w14:paraId="1ADEC344" w14:textId="77777777" w:rsidR="00AC5059" w:rsidRPr="000151BA" w:rsidRDefault="00AC5059" w:rsidP="00894DA7">
            <w:pPr>
              <w:rPr>
                <w:sz w:val="22"/>
              </w:rPr>
            </w:pPr>
            <w:r w:rsidRPr="000151BA">
              <w:rPr>
                <w:sz w:val="22"/>
              </w:rPr>
              <w:t>Media reports</w:t>
            </w:r>
          </w:p>
          <w:p w14:paraId="6EF5D015" w14:textId="77777777" w:rsidR="00AC5059" w:rsidRPr="000151BA" w:rsidRDefault="00AC5059" w:rsidP="00296968">
            <w:pPr>
              <w:rPr>
                <w:sz w:val="22"/>
              </w:rPr>
            </w:pPr>
          </w:p>
        </w:tc>
      </w:tr>
      <w:tr w:rsidR="00AC5059" w:rsidRPr="00F42157" w14:paraId="428D1D57" w14:textId="77777777">
        <w:trPr>
          <w:trHeight w:val="336"/>
        </w:trPr>
        <w:tc>
          <w:tcPr>
            <w:tcW w:w="3922" w:type="dxa"/>
            <w:tcBorders>
              <w:top w:val="single" w:sz="4" w:space="0" w:color="000000"/>
              <w:left w:val="single" w:sz="4" w:space="0" w:color="000000"/>
              <w:bottom w:val="single" w:sz="4" w:space="0" w:color="000000"/>
              <w:right w:val="single" w:sz="4" w:space="0" w:color="000000"/>
            </w:tcBorders>
            <w:vAlign w:val="center"/>
          </w:tcPr>
          <w:p w14:paraId="1F7759C9" w14:textId="77777777" w:rsidR="00AC5059" w:rsidRPr="000151BA" w:rsidRDefault="00AC5059" w:rsidP="001A78AF">
            <w:pPr>
              <w:rPr>
                <w:sz w:val="22"/>
              </w:rPr>
            </w:pPr>
            <w:r w:rsidRPr="000151BA">
              <w:rPr>
                <w:sz w:val="22"/>
              </w:rPr>
              <w:t>Qualitative questions:</w:t>
            </w:r>
          </w:p>
          <w:p w14:paraId="40BC3881" w14:textId="77777777" w:rsidR="00AC5059" w:rsidRPr="000151BA" w:rsidRDefault="00AC5059" w:rsidP="001A78AF">
            <w:pPr>
              <w:rPr>
                <w:sz w:val="22"/>
              </w:rPr>
            </w:pPr>
            <w:r w:rsidRPr="000151BA">
              <w:rPr>
                <w:sz w:val="22"/>
              </w:rPr>
              <w:t>What are the measures and how do they benefit women?</w:t>
            </w:r>
          </w:p>
          <w:p w14:paraId="0FD08774" w14:textId="77777777" w:rsidR="00AC5059" w:rsidRPr="000151BA" w:rsidRDefault="00AC5059" w:rsidP="000B5B50">
            <w:pPr>
              <w:rPr>
                <w:sz w:val="22"/>
              </w:rPr>
            </w:pPr>
            <w:r w:rsidRPr="000151BA">
              <w:rPr>
                <w:sz w:val="22"/>
              </w:rPr>
              <w:t>Describe any quantitative or qualitative evidence to date, if any, which demonstrates benefit to women?</w:t>
            </w:r>
          </w:p>
          <w:p w14:paraId="4DE937C5" w14:textId="77777777" w:rsidR="00AC5059" w:rsidRPr="000151BA" w:rsidRDefault="00AC5059" w:rsidP="000B5B50">
            <w:pPr>
              <w:rPr>
                <w:sz w:val="22"/>
              </w:rPr>
            </w:pPr>
            <w:r w:rsidRPr="000151BA">
              <w:rPr>
                <w:sz w:val="22"/>
              </w:rPr>
              <w:lastRenderedPageBreak/>
              <w:t>How have SARTFP activities contributed to these measures?</w:t>
            </w:r>
          </w:p>
        </w:tc>
        <w:tc>
          <w:tcPr>
            <w:tcW w:w="2169" w:type="dxa"/>
            <w:gridSpan w:val="3"/>
            <w:tcBorders>
              <w:top w:val="single" w:sz="4" w:space="0" w:color="000000"/>
              <w:left w:val="single" w:sz="4" w:space="0" w:color="000000"/>
              <w:bottom w:val="single" w:sz="4" w:space="0" w:color="000000"/>
              <w:right w:val="single" w:sz="4" w:space="0" w:color="000000"/>
            </w:tcBorders>
            <w:vAlign w:val="center"/>
          </w:tcPr>
          <w:p w14:paraId="070D571D" w14:textId="77777777" w:rsidR="00AC5059" w:rsidRPr="000151BA" w:rsidRDefault="00AC5059" w:rsidP="00404A8A">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5D39F25" w14:textId="77777777" w:rsidR="00AC5059" w:rsidRPr="000151BA" w:rsidRDefault="00AC5059" w:rsidP="00F311EB">
            <w:pPr>
              <w:rPr>
                <w:sz w:val="22"/>
              </w:rPr>
            </w:pPr>
            <w:r w:rsidRPr="000151BA">
              <w:rPr>
                <w:sz w:val="22"/>
              </w:rPr>
              <w:t>Case studies, evaluations, project research, government documents, and SARTFP qualitative analysis</w:t>
            </w:r>
          </w:p>
        </w:tc>
      </w:tr>
      <w:tr w:rsidR="00AC5059" w:rsidRPr="00F42157" w14:paraId="5EF5F15E" w14:textId="77777777">
        <w:trPr>
          <w:trHeight w:val="336"/>
        </w:trPr>
        <w:tc>
          <w:tcPr>
            <w:tcW w:w="8926" w:type="dxa"/>
            <w:gridSpan w:val="5"/>
            <w:tcBorders>
              <w:top w:val="single" w:sz="4" w:space="0" w:color="000000"/>
              <w:left w:val="single" w:sz="4" w:space="0" w:color="000000"/>
              <w:bottom w:val="single" w:sz="4" w:space="0" w:color="000000"/>
              <w:right w:val="single" w:sz="4" w:space="0" w:color="000000"/>
            </w:tcBorders>
            <w:shd w:val="clear" w:color="auto" w:fill="B4C6E7"/>
            <w:vAlign w:val="center"/>
          </w:tcPr>
          <w:p w14:paraId="3AAB76B6" w14:textId="77777777" w:rsidR="00AC5059" w:rsidRPr="000151BA" w:rsidRDefault="00AC5059" w:rsidP="001A78AF">
            <w:pPr>
              <w:rPr>
                <w:sz w:val="22"/>
              </w:rPr>
            </w:pPr>
            <w:r w:rsidRPr="000151BA">
              <w:rPr>
                <w:sz w:val="22"/>
              </w:rPr>
              <w:t>MTO D: SARTFP contributes to producing and sharing knowledge on how trade facilitation, cross-border transport connectivity, and local economic opportunity can benefit women.</w:t>
            </w:r>
          </w:p>
        </w:tc>
      </w:tr>
      <w:tr w:rsidR="00AC5059" w:rsidRPr="00F42157" w14:paraId="36DAE24D" w14:textId="77777777">
        <w:trPr>
          <w:trHeight w:val="336"/>
        </w:trPr>
        <w:tc>
          <w:tcPr>
            <w:tcW w:w="3922" w:type="dxa"/>
            <w:tcBorders>
              <w:top w:val="single" w:sz="4" w:space="0" w:color="000000"/>
              <w:left w:val="single" w:sz="4" w:space="0" w:color="000000"/>
              <w:bottom w:val="single" w:sz="4" w:space="0" w:color="000000"/>
              <w:right w:val="single" w:sz="4" w:space="0" w:color="000000"/>
            </w:tcBorders>
            <w:vAlign w:val="center"/>
          </w:tcPr>
          <w:p w14:paraId="1C398768" w14:textId="77777777" w:rsidR="00AC5059" w:rsidRPr="000151BA" w:rsidRDefault="00AC5059" w:rsidP="001A78AF">
            <w:pPr>
              <w:rPr>
                <w:sz w:val="22"/>
              </w:rPr>
            </w:pPr>
            <w:r w:rsidRPr="000151BA">
              <w:rPr>
                <w:b/>
                <w:sz w:val="22"/>
              </w:rPr>
              <w:t>Indicator 7</w:t>
            </w:r>
            <w:r w:rsidRPr="000151BA">
              <w:rPr>
                <w:sz w:val="22"/>
              </w:rPr>
              <w:t>: Number of impact evaluations supported by SARTFP</w:t>
            </w:r>
          </w:p>
        </w:tc>
        <w:tc>
          <w:tcPr>
            <w:tcW w:w="893" w:type="dxa"/>
            <w:tcBorders>
              <w:top w:val="single" w:sz="4" w:space="0" w:color="000000"/>
              <w:left w:val="single" w:sz="4" w:space="0" w:color="000000"/>
              <w:bottom w:val="single" w:sz="4" w:space="0" w:color="000000"/>
              <w:right w:val="single" w:sz="4" w:space="0" w:color="000000"/>
            </w:tcBorders>
            <w:vAlign w:val="center"/>
          </w:tcPr>
          <w:p w14:paraId="660C559B" w14:textId="77777777" w:rsidR="00AC5059" w:rsidRPr="000151BA" w:rsidRDefault="00AC5059" w:rsidP="001A78AF">
            <w:pPr>
              <w:rPr>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3CF753" w14:textId="77777777" w:rsidR="00AC5059" w:rsidRPr="000151BA" w:rsidRDefault="00AC5059" w:rsidP="000B5B50">
            <w:pPr>
              <w:rPr>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7E8E0B9" w14:textId="77777777" w:rsidR="00AC5059" w:rsidRPr="000151BA" w:rsidRDefault="00AC5059" w:rsidP="000B5B50">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C02148B" w14:textId="77777777" w:rsidR="00AC5059" w:rsidRPr="000151BA" w:rsidRDefault="00AC5059" w:rsidP="00404A8A">
            <w:pPr>
              <w:rPr>
                <w:sz w:val="22"/>
              </w:rPr>
            </w:pPr>
            <w:r w:rsidRPr="000151BA">
              <w:rPr>
                <w:sz w:val="22"/>
              </w:rPr>
              <w:t>SARTFP project monitoring and documents</w:t>
            </w:r>
          </w:p>
        </w:tc>
      </w:tr>
      <w:tr w:rsidR="00AC5059" w:rsidRPr="00F42157" w14:paraId="7772D188" w14:textId="77777777">
        <w:trPr>
          <w:trHeight w:val="336"/>
        </w:trPr>
        <w:tc>
          <w:tcPr>
            <w:tcW w:w="3922" w:type="dxa"/>
            <w:tcBorders>
              <w:top w:val="single" w:sz="4" w:space="0" w:color="000000"/>
              <w:left w:val="single" w:sz="4" w:space="0" w:color="000000"/>
              <w:bottom w:val="single" w:sz="4" w:space="0" w:color="000000"/>
              <w:right w:val="single" w:sz="4" w:space="0" w:color="000000"/>
            </w:tcBorders>
            <w:vAlign w:val="center"/>
          </w:tcPr>
          <w:p w14:paraId="06287A98" w14:textId="77777777" w:rsidR="00AC5059" w:rsidRPr="000151BA" w:rsidRDefault="00AC5059" w:rsidP="001A78AF">
            <w:pPr>
              <w:rPr>
                <w:b/>
                <w:sz w:val="22"/>
              </w:rPr>
            </w:pPr>
            <w:r w:rsidRPr="000151BA">
              <w:rPr>
                <w:b/>
                <w:sz w:val="22"/>
              </w:rPr>
              <w:t>Indicator 8</w:t>
            </w:r>
            <w:r w:rsidRPr="000151BA">
              <w:rPr>
                <w:sz w:val="22"/>
              </w:rPr>
              <w:t>: Number of papers or studies produced and data sets made available under SARTFP</w:t>
            </w:r>
          </w:p>
        </w:tc>
        <w:tc>
          <w:tcPr>
            <w:tcW w:w="893" w:type="dxa"/>
            <w:tcBorders>
              <w:top w:val="single" w:sz="4" w:space="0" w:color="000000"/>
              <w:left w:val="single" w:sz="4" w:space="0" w:color="000000"/>
              <w:bottom w:val="single" w:sz="4" w:space="0" w:color="000000"/>
              <w:right w:val="single" w:sz="4" w:space="0" w:color="000000"/>
            </w:tcBorders>
            <w:vAlign w:val="center"/>
          </w:tcPr>
          <w:p w14:paraId="59F3CBCB" w14:textId="77777777" w:rsidR="00AC5059" w:rsidRPr="000151BA" w:rsidRDefault="00AC5059" w:rsidP="001A78AF">
            <w:pPr>
              <w:rPr>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DE1BE2" w14:textId="77777777" w:rsidR="00AC5059" w:rsidRPr="000151BA" w:rsidRDefault="00AC5059" w:rsidP="000B5B50">
            <w:pPr>
              <w:rPr>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BE0B7F1" w14:textId="77777777" w:rsidR="00AC5059" w:rsidRPr="000151BA" w:rsidRDefault="00AC5059" w:rsidP="000B5B50">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6FD88B7" w14:textId="77777777" w:rsidR="00AC5059" w:rsidRPr="000151BA" w:rsidRDefault="00AC5059" w:rsidP="00404A8A">
            <w:pPr>
              <w:rPr>
                <w:sz w:val="22"/>
              </w:rPr>
            </w:pPr>
          </w:p>
        </w:tc>
      </w:tr>
      <w:tr w:rsidR="00AC5059" w:rsidRPr="00F42157" w14:paraId="5976C7EC" w14:textId="77777777">
        <w:trPr>
          <w:trHeight w:val="336"/>
        </w:trPr>
        <w:tc>
          <w:tcPr>
            <w:tcW w:w="3922" w:type="dxa"/>
            <w:tcBorders>
              <w:top w:val="single" w:sz="4" w:space="0" w:color="000000"/>
              <w:left w:val="single" w:sz="4" w:space="0" w:color="000000"/>
              <w:bottom w:val="single" w:sz="4" w:space="0" w:color="000000"/>
              <w:right w:val="single" w:sz="4" w:space="0" w:color="000000"/>
            </w:tcBorders>
            <w:vAlign w:val="center"/>
          </w:tcPr>
          <w:p w14:paraId="0ADD54C2" w14:textId="77777777" w:rsidR="00AC5059" w:rsidRPr="000151BA" w:rsidRDefault="00AC5059" w:rsidP="001A78AF">
            <w:pPr>
              <w:rPr>
                <w:sz w:val="22"/>
              </w:rPr>
            </w:pPr>
            <w:r w:rsidRPr="000151BA">
              <w:rPr>
                <w:b/>
                <w:sz w:val="22"/>
              </w:rPr>
              <w:t xml:space="preserve">Indicator 8: </w:t>
            </w:r>
            <w:r w:rsidRPr="000151BA">
              <w:rPr>
                <w:sz w:val="22"/>
              </w:rPr>
              <w:t>Number of web downloads and news article citations for formally published and disseminated reports; and SARTFP website hits</w:t>
            </w:r>
          </w:p>
        </w:tc>
        <w:tc>
          <w:tcPr>
            <w:tcW w:w="893" w:type="dxa"/>
            <w:tcBorders>
              <w:top w:val="single" w:sz="4" w:space="0" w:color="000000"/>
              <w:left w:val="single" w:sz="4" w:space="0" w:color="000000"/>
              <w:bottom w:val="single" w:sz="4" w:space="0" w:color="000000"/>
              <w:right w:val="single" w:sz="4" w:space="0" w:color="000000"/>
            </w:tcBorders>
            <w:vAlign w:val="center"/>
          </w:tcPr>
          <w:p w14:paraId="68093DD0" w14:textId="77777777" w:rsidR="00AC5059" w:rsidRPr="000151BA" w:rsidRDefault="00AC5059" w:rsidP="001A78AF">
            <w:pPr>
              <w:rPr>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5953C43" w14:textId="77777777" w:rsidR="00AC5059" w:rsidRPr="000151BA" w:rsidRDefault="00AC5059" w:rsidP="000B5B50">
            <w:pPr>
              <w:rPr>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935BF2B" w14:textId="77777777" w:rsidR="00AC5059" w:rsidRPr="000151BA" w:rsidRDefault="00AC5059" w:rsidP="000B5B50">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DF38C84" w14:textId="77777777" w:rsidR="00AC5059" w:rsidRPr="000151BA" w:rsidRDefault="00AC5059" w:rsidP="00404A8A">
            <w:pPr>
              <w:rPr>
                <w:sz w:val="22"/>
              </w:rPr>
            </w:pPr>
            <w:r w:rsidRPr="000151BA">
              <w:rPr>
                <w:sz w:val="22"/>
              </w:rPr>
              <w:t>SARTFP project monitoring and documents</w:t>
            </w:r>
          </w:p>
          <w:p w14:paraId="33629120" w14:textId="77777777" w:rsidR="00AC5059" w:rsidRPr="000151BA" w:rsidRDefault="00AC5059" w:rsidP="00F311EB">
            <w:pPr>
              <w:rPr>
                <w:sz w:val="22"/>
              </w:rPr>
            </w:pPr>
            <w:r w:rsidRPr="000151BA">
              <w:rPr>
                <w:sz w:val="22"/>
              </w:rPr>
              <w:t xml:space="preserve">Media monitoring </w:t>
            </w:r>
          </w:p>
          <w:p w14:paraId="67664520" w14:textId="77777777" w:rsidR="00AC5059" w:rsidRPr="000151BA" w:rsidRDefault="00AC5059" w:rsidP="00894DA7">
            <w:pPr>
              <w:rPr>
                <w:sz w:val="22"/>
              </w:rPr>
            </w:pPr>
            <w:r w:rsidRPr="000151BA">
              <w:rPr>
                <w:sz w:val="22"/>
              </w:rPr>
              <w:t>Web analytics</w:t>
            </w:r>
          </w:p>
        </w:tc>
      </w:tr>
      <w:tr w:rsidR="00AC5059" w:rsidRPr="00F42157" w14:paraId="6EC04166" w14:textId="77777777">
        <w:trPr>
          <w:trHeight w:val="336"/>
        </w:trPr>
        <w:tc>
          <w:tcPr>
            <w:tcW w:w="3922" w:type="dxa"/>
            <w:tcBorders>
              <w:top w:val="single" w:sz="4" w:space="0" w:color="000000"/>
              <w:left w:val="single" w:sz="4" w:space="0" w:color="000000"/>
              <w:bottom w:val="single" w:sz="4" w:space="0" w:color="000000"/>
              <w:right w:val="single" w:sz="4" w:space="0" w:color="000000"/>
            </w:tcBorders>
            <w:vAlign w:val="center"/>
          </w:tcPr>
          <w:p w14:paraId="3CE086C5" w14:textId="77777777" w:rsidR="00AC5059" w:rsidRPr="000151BA" w:rsidRDefault="00AC5059" w:rsidP="001A78AF">
            <w:pPr>
              <w:rPr>
                <w:sz w:val="22"/>
              </w:rPr>
            </w:pPr>
            <w:r w:rsidRPr="000151BA">
              <w:rPr>
                <w:b/>
                <w:sz w:val="22"/>
              </w:rPr>
              <w:t>Indicator 9</w:t>
            </w:r>
            <w:r w:rsidRPr="000151BA">
              <w:rPr>
                <w:sz w:val="22"/>
              </w:rPr>
              <w:t>: Number of SARTFP activities (seminars, other knowledge sharing events, provision of guidelines, capacity building, etc.) to influence governments’ investment, regulatory, and operational measures to benefit women</w:t>
            </w:r>
            <w:r w:rsidRPr="000151BA">
              <w:rPr>
                <w:sz w:val="22"/>
                <w:vertAlign w:val="superscript"/>
              </w:rPr>
              <w:footnoteReference w:id="164"/>
            </w:r>
            <w:r w:rsidRPr="000151BA">
              <w:rPr>
                <w:sz w:val="22"/>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14:paraId="0C9F0BD6" w14:textId="77777777" w:rsidR="00AC5059" w:rsidRPr="000151BA" w:rsidRDefault="00AC5059" w:rsidP="001A78AF">
            <w:pPr>
              <w:rPr>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95C32B" w14:textId="77777777" w:rsidR="00AC5059" w:rsidRPr="000151BA" w:rsidRDefault="00AC5059" w:rsidP="000B5B50">
            <w:pPr>
              <w:rPr>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86D2BD4" w14:textId="77777777" w:rsidR="00AC5059" w:rsidRPr="000151BA" w:rsidRDefault="00AC5059" w:rsidP="000B5B50">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F372A5F" w14:textId="77777777" w:rsidR="00AC5059" w:rsidRPr="000151BA" w:rsidRDefault="00AC5059" w:rsidP="00404A8A">
            <w:pPr>
              <w:rPr>
                <w:sz w:val="22"/>
              </w:rPr>
            </w:pPr>
            <w:r w:rsidRPr="000151BA">
              <w:rPr>
                <w:sz w:val="22"/>
              </w:rPr>
              <w:t>SARTFP project monitoring and documents</w:t>
            </w:r>
          </w:p>
          <w:p w14:paraId="02616DDC" w14:textId="77777777" w:rsidR="00AC5059" w:rsidRPr="000151BA" w:rsidRDefault="00AC5059" w:rsidP="00F311EB">
            <w:pPr>
              <w:rPr>
                <w:sz w:val="22"/>
              </w:rPr>
            </w:pPr>
            <w:r w:rsidRPr="000151BA">
              <w:rPr>
                <w:sz w:val="22"/>
              </w:rPr>
              <w:t>Records from events</w:t>
            </w:r>
          </w:p>
        </w:tc>
      </w:tr>
      <w:tr w:rsidR="00AC5059" w:rsidRPr="00F42157" w14:paraId="120263C8" w14:textId="77777777">
        <w:trPr>
          <w:trHeight w:val="416"/>
        </w:trPr>
        <w:tc>
          <w:tcPr>
            <w:tcW w:w="3922" w:type="dxa"/>
            <w:tcBorders>
              <w:top w:val="single" w:sz="4" w:space="0" w:color="000000"/>
              <w:left w:val="single" w:sz="4" w:space="0" w:color="000000"/>
              <w:bottom w:val="single" w:sz="4" w:space="0" w:color="000000"/>
              <w:right w:val="single" w:sz="4" w:space="0" w:color="000000"/>
            </w:tcBorders>
            <w:vAlign w:val="center"/>
          </w:tcPr>
          <w:p w14:paraId="6099D3E6" w14:textId="77777777" w:rsidR="00AC5059" w:rsidRPr="000151BA" w:rsidRDefault="00AC5059" w:rsidP="001A78AF">
            <w:pPr>
              <w:rPr>
                <w:sz w:val="22"/>
              </w:rPr>
            </w:pPr>
            <w:r w:rsidRPr="000151BA">
              <w:rPr>
                <w:sz w:val="22"/>
              </w:rPr>
              <w:t>Qualitative questions:</w:t>
            </w:r>
          </w:p>
          <w:p w14:paraId="08631A6A" w14:textId="77777777" w:rsidR="00AC5059" w:rsidRPr="000151BA" w:rsidRDefault="00AC5059" w:rsidP="001A78AF">
            <w:pPr>
              <w:rPr>
                <w:sz w:val="22"/>
              </w:rPr>
            </w:pPr>
            <w:r w:rsidRPr="000151BA">
              <w:rPr>
                <w:sz w:val="22"/>
              </w:rPr>
              <w:t>How has SARTFP contributed to knowledge and understanding about how to integrate gender into trade activities?</w:t>
            </w:r>
          </w:p>
          <w:p w14:paraId="5CF911A6" w14:textId="77777777" w:rsidR="00AC5059" w:rsidRPr="000151BA" w:rsidRDefault="00AC5059" w:rsidP="000B5B50">
            <w:pPr>
              <w:rPr>
                <w:sz w:val="22"/>
              </w:rPr>
            </w:pPr>
            <w:r w:rsidRPr="000151BA">
              <w:rPr>
                <w:sz w:val="22"/>
              </w:rPr>
              <w:t>What evidence exists regarding the use and application of this knowledge?</w:t>
            </w:r>
          </w:p>
          <w:p w14:paraId="5A26EF89" w14:textId="77777777" w:rsidR="00AC5059" w:rsidRPr="000151BA" w:rsidRDefault="00AC5059" w:rsidP="000B5B50">
            <w:pPr>
              <w:rPr>
                <w:sz w:val="22"/>
              </w:rPr>
            </w:pPr>
            <w:r w:rsidRPr="000151BA">
              <w:rPr>
                <w:sz w:val="22"/>
              </w:rPr>
              <w:t>Who are the key constituents who have benefitted from this knowledge?</w:t>
            </w:r>
          </w:p>
        </w:tc>
        <w:tc>
          <w:tcPr>
            <w:tcW w:w="893" w:type="dxa"/>
            <w:tcBorders>
              <w:top w:val="single" w:sz="4" w:space="0" w:color="000000"/>
              <w:left w:val="single" w:sz="4" w:space="0" w:color="000000"/>
              <w:bottom w:val="single" w:sz="4" w:space="0" w:color="000000"/>
              <w:right w:val="single" w:sz="4" w:space="0" w:color="000000"/>
            </w:tcBorders>
            <w:vAlign w:val="center"/>
          </w:tcPr>
          <w:p w14:paraId="22C039A1" w14:textId="77777777" w:rsidR="00AC5059" w:rsidRPr="000151BA" w:rsidRDefault="00AC5059" w:rsidP="00404A8A">
            <w:pPr>
              <w:rPr>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36FADAE" w14:textId="77777777" w:rsidR="00AC5059" w:rsidRPr="000151BA" w:rsidRDefault="00AC5059" w:rsidP="00F311EB">
            <w:pPr>
              <w:rPr>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E66BE09" w14:textId="77777777" w:rsidR="00AC5059" w:rsidRPr="000151BA" w:rsidRDefault="00AC5059" w:rsidP="00894DA7">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695203C" w14:textId="77777777" w:rsidR="00AC5059" w:rsidRPr="000151BA" w:rsidRDefault="00AC5059" w:rsidP="00296968">
            <w:pPr>
              <w:rPr>
                <w:sz w:val="22"/>
              </w:rPr>
            </w:pPr>
            <w:r w:rsidRPr="000151BA">
              <w:rPr>
                <w:sz w:val="22"/>
              </w:rPr>
              <w:t>Case studies, evaluations, project research, government documents, and SARTFP qualitative analysis</w:t>
            </w:r>
          </w:p>
        </w:tc>
      </w:tr>
      <w:tr w:rsidR="00AC5059" w:rsidRPr="00F42157" w14:paraId="16D135D5" w14:textId="77777777">
        <w:trPr>
          <w:trHeight w:val="416"/>
        </w:trPr>
        <w:tc>
          <w:tcPr>
            <w:tcW w:w="8926" w:type="dxa"/>
            <w:gridSpan w:val="5"/>
            <w:tcBorders>
              <w:top w:val="single" w:sz="4" w:space="0" w:color="000000"/>
              <w:left w:val="single" w:sz="4" w:space="0" w:color="000000"/>
              <w:bottom w:val="single" w:sz="4" w:space="0" w:color="000000"/>
              <w:right w:val="single" w:sz="4" w:space="0" w:color="000000"/>
            </w:tcBorders>
            <w:shd w:val="clear" w:color="auto" w:fill="B4C6E7"/>
            <w:vAlign w:val="center"/>
          </w:tcPr>
          <w:p w14:paraId="00BABC2A" w14:textId="77777777" w:rsidR="00AC5059" w:rsidRPr="000151BA" w:rsidRDefault="00AC5059" w:rsidP="001A78AF">
            <w:pPr>
              <w:rPr>
                <w:sz w:val="22"/>
              </w:rPr>
            </w:pPr>
            <w:r w:rsidRPr="000151BA">
              <w:rPr>
                <w:sz w:val="22"/>
              </w:rPr>
              <w:t xml:space="preserve">MTO E: There is </w:t>
            </w:r>
            <w:r w:rsidRPr="000151BA">
              <w:rPr>
                <w:i/>
                <w:sz w:val="22"/>
              </w:rPr>
              <w:t>improved economic opportunity*</w:t>
            </w:r>
            <w:r w:rsidRPr="000151BA">
              <w:rPr>
                <w:sz w:val="22"/>
              </w:rPr>
              <w:t xml:space="preserve"> and livelihood for the poor, especially women, in targeted value chains and corridors.</w:t>
            </w:r>
            <w:r w:rsidRPr="000151BA">
              <w:rPr>
                <w:b/>
                <w:sz w:val="22"/>
                <w:vertAlign w:val="superscript"/>
              </w:rPr>
              <w:footnoteReference w:id="165"/>
            </w:r>
          </w:p>
        </w:tc>
      </w:tr>
      <w:tr w:rsidR="00AC5059" w:rsidRPr="00F42157" w14:paraId="2E21F4C1" w14:textId="77777777">
        <w:trPr>
          <w:trHeight w:val="416"/>
        </w:trPr>
        <w:tc>
          <w:tcPr>
            <w:tcW w:w="3922" w:type="dxa"/>
            <w:tcBorders>
              <w:top w:val="single" w:sz="4" w:space="0" w:color="000000"/>
              <w:left w:val="single" w:sz="4" w:space="0" w:color="000000"/>
              <w:bottom w:val="single" w:sz="4" w:space="0" w:color="000000"/>
              <w:right w:val="single" w:sz="4" w:space="0" w:color="000000"/>
            </w:tcBorders>
          </w:tcPr>
          <w:p w14:paraId="730AE40D" w14:textId="77777777" w:rsidR="00AC5059" w:rsidRPr="000151BA" w:rsidRDefault="00AC5059" w:rsidP="001A78AF">
            <w:pPr>
              <w:rPr>
                <w:sz w:val="22"/>
              </w:rPr>
            </w:pPr>
            <w:r w:rsidRPr="000151BA">
              <w:rPr>
                <w:b/>
                <w:sz w:val="22"/>
              </w:rPr>
              <w:t xml:space="preserve">Indicator 10: </w:t>
            </w:r>
            <w:r w:rsidRPr="000151BA">
              <w:rPr>
                <w:sz w:val="22"/>
              </w:rPr>
              <w:t>Number of poor women and men with improved transport connectivity</w:t>
            </w:r>
            <w:r w:rsidRPr="000151BA">
              <w:rPr>
                <w:sz w:val="22"/>
                <w:vertAlign w:val="superscript"/>
              </w:rPr>
              <w:footnoteReference w:id="166"/>
            </w:r>
            <w:r w:rsidRPr="000151BA">
              <w:rPr>
                <w:sz w:val="22"/>
              </w:rPr>
              <w:t xml:space="preserve"> related to SARTFP (Pillar I)</w:t>
            </w:r>
          </w:p>
        </w:tc>
        <w:tc>
          <w:tcPr>
            <w:tcW w:w="893" w:type="dxa"/>
            <w:tcBorders>
              <w:top w:val="single" w:sz="4" w:space="0" w:color="000000"/>
              <w:left w:val="single" w:sz="4" w:space="0" w:color="000000"/>
              <w:bottom w:val="single" w:sz="4" w:space="0" w:color="000000"/>
              <w:right w:val="single" w:sz="4" w:space="0" w:color="000000"/>
            </w:tcBorders>
            <w:vAlign w:val="center"/>
          </w:tcPr>
          <w:p w14:paraId="03DBAA7E" w14:textId="77777777" w:rsidR="00AC5059" w:rsidRPr="000151BA" w:rsidRDefault="00AC5059" w:rsidP="001A78AF">
            <w:pPr>
              <w:rPr>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2864E3" w14:textId="77777777" w:rsidR="00AC5059" w:rsidRPr="000151BA" w:rsidRDefault="00AC5059" w:rsidP="000B5B50">
            <w:pPr>
              <w:rPr>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1B32C63" w14:textId="77777777" w:rsidR="00AC5059" w:rsidRPr="000151BA" w:rsidRDefault="00AC5059" w:rsidP="000B5B50">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1BA963A" w14:textId="77777777" w:rsidR="00AC5059" w:rsidRPr="000151BA" w:rsidRDefault="00AC5059" w:rsidP="00404A8A">
            <w:pPr>
              <w:rPr>
                <w:sz w:val="22"/>
              </w:rPr>
            </w:pPr>
            <w:r w:rsidRPr="000151BA">
              <w:rPr>
                <w:sz w:val="22"/>
              </w:rPr>
              <w:t>Project reports and evaluations</w:t>
            </w:r>
          </w:p>
        </w:tc>
      </w:tr>
      <w:tr w:rsidR="00AC5059" w:rsidRPr="00F42157" w14:paraId="5014C5BF" w14:textId="77777777">
        <w:trPr>
          <w:trHeight w:val="416"/>
        </w:trPr>
        <w:tc>
          <w:tcPr>
            <w:tcW w:w="3922" w:type="dxa"/>
            <w:tcBorders>
              <w:top w:val="single" w:sz="4" w:space="0" w:color="000000"/>
              <w:left w:val="single" w:sz="4" w:space="0" w:color="000000"/>
              <w:bottom w:val="single" w:sz="4" w:space="0" w:color="000000"/>
              <w:right w:val="single" w:sz="4" w:space="0" w:color="000000"/>
            </w:tcBorders>
          </w:tcPr>
          <w:p w14:paraId="67B7671A" w14:textId="77777777" w:rsidR="00AC5059" w:rsidRPr="000151BA" w:rsidRDefault="00AC5059" w:rsidP="001A78AF">
            <w:pPr>
              <w:rPr>
                <w:sz w:val="22"/>
              </w:rPr>
            </w:pPr>
            <w:r w:rsidRPr="000151BA">
              <w:rPr>
                <w:b/>
                <w:sz w:val="22"/>
              </w:rPr>
              <w:t xml:space="preserve">Indicator 11: </w:t>
            </w:r>
            <w:r w:rsidRPr="000151BA">
              <w:rPr>
                <w:sz w:val="22"/>
              </w:rPr>
              <w:t>Number of poor women and men benefiting from improved trade policies and trade logistics related</w:t>
            </w:r>
            <w:r w:rsidRPr="000151BA">
              <w:rPr>
                <w:sz w:val="22"/>
                <w:vertAlign w:val="superscript"/>
              </w:rPr>
              <w:footnoteReference w:id="167"/>
            </w:r>
            <w:r w:rsidRPr="000151BA">
              <w:rPr>
                <w:sz w:val="22"/>
              </w:rPr>
              <w:t>,</w:t>
            </w:r>
            <w:r w:rsidRPr="000151BA">
              <w:rPr>
                <w:sz w:val="22"/>
                <w:vertAlign w:val="superscript"/>
              </w:rPr>
              <w:footnoteReference w:id="168"/>
            </w:r>
            <w:r w:rsidRPr="000151BA">
              <w:rPr>
                <w:sz w:val="22"/>
              </w:rPr>
              <w:t xml:space="preserve"> to SARTFP (Pillar II)</w:t>
            </w:r>
          </w:p>
        </w:tc>
        <w:tc>
          <w:tcPr>
            <w:tcW w:w="893" w:type="dxa"/>
            <w:tcBorders>
              <w:top w:val="single" w:sz="4" w:space="0" w:color="000000"/>
              <w:left w:val="single" w:sz="4" w:space="0" w:color="000000"/>
              <w:bottom w:val="single" w:sz="4" w:space="0" w:color="000000"/>
              <w:right w:val="single" w:sz="4" w:space="0" w:color="000000"/>
            </w:tcBorders>
            <w:vAlign w:val="center"/>
          </w:tcPr>
          <w:p w14:paraId="01FB4C3B" w14:textId="77777777" w:rsidR="00AC5059" w:rsidRPr="000151BA" w:rsidRDefault="00AC5059" w:rsidP="001A78AF">
            <w:pPr>
              <w:rPr>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A8299C" w14:textId="77777777" w:rsidR="00AC5059" w:rsidRPr="000151BA" w:rsidRDefault="00AC5059" w:rsidP="000B5B50">
            <w:pPr>
              <w:rPr>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E5105A9" w14:textId="77777777" w:rsidR="00AC5059" w:rsidRPr="000151BA" w:rsidRDefault="00AC5059" w:rsidP="000B5B50">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55319E2" w14:textId="77777777" w:rsidR="00AC5059" w:rsidRPr="000151BA" w:rsidRDefault="00AC5059" w:rsidP="00404A8A">
            <w:pPr>
              <w:rPr>
                <w:sz w:val="22"/>
              </w:rPr>
            </w:pPr>
            <w:r w:rsidRPr="000151BA">
              <w:rPr>
                <w:sz w:val="22"/>
              </w:rPr>
              <w:t>Project reports and evaluations</w:t>
            </w:r>
          </w:p>
        </w:tc>
      </w:tr>
      <w:tr w:rsidR="00AC5059" w:rsidRPr="00F42157" w14:paraId="41CBCCF4" w14:textId="77777777">
        <w:trPr>
          <w:trHeight w:val="416"/>
        </w:trPr>
        <w:tc>
          <w:tcPr>
            <w:tcW w:w="3922" w:type="dxa"/>
            <w:tcBorders>
              <w:top w:val="single" w:sz="4" w:space="0" w:color="000000"/>
              <w:left w:val="single" w:sz="4" w:space="0" w:color="000000"/>
              <w:bottom w:val="single" w:sz="4" w:space="0" w:color="000000"/>
              <w:right w:val="single" w:sz="4" w:space="0" w:color="000000"/>
            </w:tcBorders>
          </w:tcPr>
          <w:p w14:paraId="47F317A3" w14:textId="77777777" w:rsidR="00AC5059" w:rsidRPr="000151BA" w:rsidRDefault="00AC5059" w:rsidP="001A78AF">
            <w:pPr>
              <w:rPr>
                <w:sz w:val="22"/>
              </w:rPr>
            </w:pPr>
            <w:r w:rsidRPr="000151BA">
              <w:rPr>
                <w:b/>
                <w:sz w:val="22"/>
              </w:rPr>
              <w:lastRenderedPageBreak/>
              <w:t xml:space="preserve">Indicator 12: </w:t>
            </w:r>
            <w:r w:rsidRPr="000151BA">
              <w:rPr>
                <w:sz w:val="22"/>
              </w:rPr>
              <w:t>Number of poor women and men with improved  livelihoods</w:t>
            </w:r>
            <w:r w:rsidRPr="000151BA">
              <w:rPr>
                <w:sz w:val="22"/>
                <w:vertAlign w:val="superscript"/>
              </w:rPr>
              <w:footnoteReference w:id="169"/>
            </w:r>
            <w:r w:rsidRPr="000151BA">
              <w:rPr>
                <w:sz w:val="22"/>
              </w:rPr>
              <w:t>,</w:t>
            </w:r>
            <w:r w:rsidRPr="000151BA">
              <w:rPr>
                <w:sz w:val="22"/>
                <w:vertAlign w:val="superscript"/>
              </w:rPr>
              <w:footnoteReference w:id="170"/>
            </w:r>
            <w:r w:rsidRPr="000151BA">
              <w:rPr>
                <w:sz w:val="22"/>
              </w:rPr>
              <w:t xml:space="preserve"> related to SARTFP (Pillar III) </w:t>
            </w:r>
          </w:p>
        </w:tc>
        <w:tc>
          <w:tcPr>
            <w:tcW w:w="893" w:type="dxa"/>
            <w:tcBorders>
              <w:top w:val="single" w:sz="4" w:space="0" w:color="000000"/>
              <w:left w:val="single" w:sz="4" w:space="0" w:color="000000"/>
              <w:bottom w:val="single" w:sz="4" w:space="0" w:color="000000"/>
              <w:right w:val="single" w:sz="4" w:space="0" w:color="000000"/>
            </w:tcBorders>
            <w:vAlign w:val="center"/>
          </w:tcPr>
          <w:p w14:paraId="53DEAD98" w14:textId="77777777" w:rsidR="00AC5059" w:rsidRPr="000151BA" w:rsidRDefault="00AC5059" w:rsidP="001A78AF">
            <w:pPr>
              <w:rPr>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B670D8" w14:textId="77777777" w:rsidR="00AC5059" w:rsidRPr="000151BA" w:rsidRDefault="00AC5059" w:rsidP="000B5B50">
            <w:pPr>
              <w:rPr>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213D308" w14:textId="77777777" w:rsidR="00AC5059" w:rsidRPr="000151BA" w:rsidRDefault="00AC5059" w:rsidP="000B5B50">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D93951A" w14:textId="77777777" w:rsidR="00AC5059" w:rsidRPr="000151BA" w:rsidRDefault="00AC5059" w:rsidP="00404A8A">
            <w:pPr>
              <w:rPr>
                <w:sz w:val="22"/>
              </w:rPr>
            </w:pPr>
            <w:r w:rsidRPr="000151BA">
              <w:rPr>
                <w:sz w:val="22"/>
              </w:rPr>
              <w:t>Project reports and evaluations</w:t>
            </w:r>
          </w:p>
        </w:tc>
      </w:tr>
      <w:tr w:rsidR="00AC5059" w:rsidRPr="00F42157" w14:paraId="5993D43B" w14:textId="77777777">
        <w:trPr>
          <w:trHeight w:val="416"/>
        </w:trPr>
        <w:tc>
          <w:tcPr>
            <w:tcW w:w="3922" w:type="dxa"/>
            <w:tcBorders>
              <w:top w:val="single" w:sz="4" w:space="0" w:color="000000"/>
              <w:left w:val="single" w:sz="4" w:space="0" w:color="000000"/>
              <w:bottom w:val="single" w:sz="4" w:space="0" w:color="000000"/>
              <w:right w:val="single" w:sz="4" w:space="0" w:color="000000"/>
            </w:tcBorders>
          </w:tcPr>
          <w:p w14:paraId="4282838F" w14:textId="77777777" w:rsidR="00AC5059" w:rsidRPr="000151BA" w:rsidRDefault="00AC5059" w:rsidP="001A78AF">
            <w:pPr>
              <w:rPr>
                <w:sz w:val="22"/>
              </w:rPr>
            </w:pPr>
            <w:r w:rsidRPr="000151BA">
              <w:rPr>
                <w:sz w:val="22"/>
              </w:rPr>
              <w:t>Qualitative question:</w:t>
            </w:r>
          </w:p>
          <w:p w14:paraId="23FDD367" w14:textId="77777777" w:rsidR="00AC5059" w:rsidRPr="000151BA" w:rsidRDefault="00AC5059" w:rsidP="001A78AF">
            <w:pPr>
              <w:rPr>
                <w:sz w:val="22"/>
              </w:rPr>
            </w:pPr>
            <w:r w:rsidRPr="000151BA">
              <w:rPr>
                <w:sz w:val="22"/>
              </w:rPr>
              <w:t>In what ways has women’s economic opportunity or livelihood improved?  (See definition of “improved economic opportunity”)</w:t>
            </w:r>
          </w:p>
          <w:p w14:paraId="5BA3D0B6" w14:textId="77777777" w:rsidR="00AC5059" w:rsidRPr="000151BA" w:rsidRDefault="00AC5059" w:rsidP="000B5B50">
            <w:pPr>
              <w:rPr>
                <w:sz w:val="22"/>
              </w:rPr>
            </w:pPr>
            <w:r w:rsidRPr="000151BA">
              <w:rPr>
                <w:sz w:val="22"/>
              </w:rPr>
              <w:t xml:space="preserve">What evidence is there that women have been involved in the design, development and ongoing ownership of new economic livelihoods in the targeted areas?  </w:t>
            </w:r>
          </w:p>
        </w:tc>
        <w:tc>
          <w:tcPr>
            <w:tcW w:w="2169" w:type="dxa"/>
            <w:gridSpan w:val="3"/>
            <w:tcBorders>
              <w:top w:val="single" w:sz="4" w:space="0" w:color="000000"/>
              <w:left w:val="single" w:sz="4" w:space="0" w:color="000000"/>
              <w:bottom w:val="single" w:sz="4" w:space="0" w:color="000000"/>
              <w:right w:val="single" w:sz="4" w:space="0" w:color="000000"/>
            </w:tcBorders>
            <w:vAlign w:val="center"/>
          </w:tcPr>
          <w:p w14:paraId="368ABC18" w14:textId="77777777" w:rsidR="00AC5059" w:rsidRPr="000151BA" w:rsidRDefault="00AC5059" w:rsidP="000B5B50">
            <w:pPr>
              <w:rPr>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35EC6BB" w14:textId="77777777" w:rsidR="00AC5059" w:rsidRPr="000151BA" w:rsidRDefault="00AC5059" w:rsidP="00404A8A">
            <w:pPr>
              <w:rPr>
                <w:sz w:val="22"/>
              </w:rPr>
            </w:pPr>
            <w:r w:rsidRPr="000151BA">
              <w:rPr>
                <w:sz w:val="22"/>
              </w:rPr>
              <w:t xml:space="preserve">Case studies, evaluations, project research, government documents, and SARTFP qualitative analysis </w:t>
            </w:r>
          </w:p>
          <w:p w14:paraId="65FA9786" w14:textId="77777777" w:rsidR="00AC5059" w:rsidRPr="000151BA" w:rsidRDefault="00AC5059" w:rsidP="00F311EB">
            <w:pPr>
              <w:rPr>
                <w:sz w:val="22"/>
              </w:rPr>
            </w:pPr>
            <w:r w:rsidRPr="000151BA">
              <w:rPr>
                <w:sz w:val="22"/>
              </w:rPr>
              <w:t>Results stories</w:t>
            </w:r>
          </w:p>
        </w:tc>
      </w:tr>
    </w:tbl>
    <w:p w14:paraId="1741D27F" w14:textId="77777777" w:rsidR="004B1DC7" w:rsidRDefault="004B1DC7" w:rsidP="001A78AF"/>
    <w:p w14:paraId="53351DAA" w14:textId="77777777" w:rsidR="004B1DC7" w:rsidRDefault="004B1DC7">
      <w:r>
        <w:br w:type="page"/>
      </w:r>
    </w:p>
    <w:p w14:paraId="37BFE032" w14:textId="114F3336" w:rsidR="004B1DC7" w:rsidRDefault="004B1DC7" w:rsidP="001B449B">
      <w:pPr>
        <w:pStyle w:val="Heading2"/>
      </w:pPr>
      <w:bookmarkStart w:id="69" w:name="_Toc517615258"/>
      <w:r>
        <w:lastRenderedPageBreak/>
        <w:t xml:space="preserve">Annex </w:t>
      </w:r>
      <w:r w:rsidR="00C038F9">
        <w:t>5</w:t>
      </w:r>
      <w:r>
        <w:t>: Documents Reviewed</w:t>
      </w:r>
      <w:bookmarkEnd w:id="69"/>
    </w:p>
    <w:tbl>
      <w:tblPr>
        <w:tblStyle w:val="PlainTable41"/>
        <w:tblW w:w="9062" w:type="dxa"/>
        <w:tbl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insideH w:val="single" w:sz="8" w:space="0" w:color="767171" w:themeColor="background2" w:themeShade="80"/>
          <w:insideV w:val="single" w:sz="8" w:space="0" w:color="767171" w:themeColor="background2" w:themeShade="80"/>
        </w:tblBorders>
        <w:tblLayout w:type="fixed"/>
        <w:tblLook w:val="04A0" w:firstRow="1" w:lastRow="0" w:firstColumn="1" w:lastColumn="0" w:noHBand="0" w:noVBand="1"/>
      </w:tblPr>
      <w:tblGrid>
        <w:gridCol w:w="874"/>
        <w:gridCol w:w="8188"/>
      </w:tblGrid>
      <w:tr w:rsidR="004B1DC7" w:rsidRPr="00BE6321" w14:paraId="6DAE1C52" w14:textId="77777777">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5708A50C" w14:textId="77777777" w:rsidR="004B1DC7" w:rsidRPr="000151BA" w:rsidRDefault="004B1DC7" w:rsidP="001B449B">
            <w:pPr>
              <w:rPr>
                <w:sz w:val="20"/>
                <w:szCs w:val="20"/>
              </w:rPr>
            </w:pPr>
            <w:r w:rsidRPr="000151BA">
              <w:rPr>
                <w:sz w:val="20"/>
                <w:szCs w:val="20"/>
              </w:rPr>
              <w:t>1</w:t>
            </w:r>
          </w:p>
        </w:tc>
        <w:tc>
          <w:tcPr>
            <w:tcW w:w="8188" w:type="dxa"/>
            <w:noWrap/>
          </w:tcPr>
          <w:p w14:paraId="01B090C2" w14:textId="32DF3981" w:rsidR="004B1DC7" w:rsidRPr="00416B54" w:rsidRDefault="00404256" w:rsidP="00F65774">
            <w:pPr>
              <w:cnfStyle w:val="100000000000" w:firstRow="1" w:lastRow="0" w:firstColumn="0" w:lastColumn="0" w:oddVBand="0" w:evenVBand="0" w:oddHBand="0" w:evenHBand="0" w:firstRowFirstColumn="0" w:firstRowLastColumn="0" w:lastRowFirstColumn="0" w:lastRowLastColumn="0"/>
              <w:rPr>
                <w:b w:val="0"/>
                <w:sz w:val="20"/>
                <w:szCs w:val="20"/>
              </w:rPr>
            </w:pPr>
            <w:r w:rsidRPr="00404256">
              <w:rPr>
                <w:b w:val="0"/>
                <w:bCs w:val="0"/>
                <w:sz w:val="20"/>
                <w:szCs w:val="20"/>
              </w:rPr>
              <w:t xml:space="preserve">Partnership Framework </w:t>
            </w:r>
            <w:r w:rsidRPr="00416B54">
              <w:rPr>
                <w:b w:val="0"/>
                <w:bCs w:val="0"/>
                <w:sz w:val="20"/>
                <w:szCs w:val="20"/>
              </w:rPr>
              <w:t xml:space="preserve">between Australian Agency for International Development and World Bank Group, September 23, 2011 </w:t>
            </w:r>
          </w:p>
        </w:tc>
      </w:tr>
      <w:tr w:rsidR="004B1DC7" w:rsidRPr="00E83F90" w14:paraId="1F9F62E6"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4B815852" w14:textId="77777777" w:rsidR="004B1DC7" w:rsidRPr="000151BA" w:rsidRDefault="004B1DC7" w:rsidP="001B449B">
            <w:pPr>
              <w:rPr>
                <w:sz w:val="20"/>
                <w:szCs w:val="20"/>
              </w:rPr>
            </w:pPr>
            <w:r w:rsidRPr="000151BA">
              <w:rPr>
                <w:sz w:val="20"/>
                <w:szCs w:val="20"/>
              </w:rPr>
              <w:t>2</w:t>
            </w:r>
          </w:p>
        </w:tc>
        <w:tc>
          <w:tcPr>
            <w:tcW w:w="8188" w:type="dxa"/>
            <w:noWrap/>
          </w:tcPr>
          <w:p w14:paraId="3C262D29" w14:textId="77777777" w:rsidR="004B1DC7" w:rsidRPr="000151BA" w:rsidRDefault="004B1DC7" w:rsidP="00F65774">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Annex7.1 SARTFP Brochure Option 2</w:t>
            </w:r>
          </w:p>
        </w:tc>
      </w:tr>
      <w:tr w:rsidR="004B1DC7" w:rsidRPr="00E83F90" w14:paraId="7C33807B"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40A1E5B3" w14:textId="77777777" w:rsidR="004B1DC7" w:rsidRPr="000151BA" w:rsidRDefault="004B1DC7" w:rsidP="001B449B">
            <w:pPr>
              <w:rPr>
                <w:sz w:val="20"/>
                <w:szCs w:val="20"/>
              </w:rPr>
            </w:pPr>
            <w:r w:rsidRPr="000151BA">
              <w:rPr>
                <w:sz w:val="20"/>
                <w:szCs w:val="20"/>
              </w:rPr>
              <w:t>3</w:t>
            </w:r>
          </w:p>
        </w:tc>
        <w:tc>
          <w:tcPr>
            <w:tcW w:w="8188" w:type="dxa"/>
            <w:noWrap/>
          </w:tcPr>
          <w:p w14:paraId="1DF5DD32" w14:textId="02C8B946" w:rsidR="004B1DC7" w:rsidRPr="000151BA" w:rsidRDefault="004B1DC7" w:rsidP="00F65774">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P</w:t>
            </w:r>
            <w:r w:rsidR="00DA3A8C">
              <w:rPr>
                <w:sz w:val="20"/>
                <w:szCs w:val="20"/>
              </w:rPr>
              <w:t xml:space="preserve">artnership </w:t>
            </w:r>
            <w:r w:rsidRPr="000151BA">
              <w:rPr>
                <w:sz w:val="20"/>
                <w:szCs w:val="20"/>
              </w:rPr>
              <w:t>F</w:t>
            </w:r>
            <w:r w:rsidR="00DA3A8C">
              <w:rPr>
                <w:sz w:val="20"/>
                <w:szCs w:val="20"/>
              </w:rPr>
              <w:t xml:space="preserve">or South </w:t>
            </w:r>
            <w:r w:rsidRPr="000151BA">
              <w:rPr>
                <w:sz w:val="20"/>
                <w:szCs w:val="20"/>
              </w:rPr>
              <w:t>A</w:t>
            </w:r>
            <w:r w:rsidR="00DA3A8C">
              <w:rPr>
                <w:sz w:val="20"/>
                <w:szCs w:val="20"/>
              </w:rPr>
              <w:t>sia (PFSA)</w:t>
            </w:r>
            <w:r w:rsidRPr="000151BA">
              <w:rPr>
                <w:sz w:val="20"/>
                <w:szCs w:val="20"/>
              </w:rPr>
              <w:t xml:space="preserve"> Annual Report</w:t>
            </w:r>
            <w:r w:rsidR="00DA3A8C">
              <w:rPr>
                <w:sz w:val="20"/>
                <w:szCs w:val="20"/>
              </w:rPr>
              <w:t xml:space="preserve">s: </w:t>
            </w:r>
            <w:r w:rsidRPr="000151BA">
              <w:rPr>
                <w:sz w:val="20"/>
                <w:szCs w:val="20"/>
              </w:rPr>
              <w:t xml:space="preserve"> 201</w:t>
            </w:r>
            <w:r w:rsidR="00DA3A8C">
              <w:rPr>
                <w:sz w:val="20"/>
                <w:szCs w:val="20"/>
              </w:rPr>
              <w:t>4, 2015</w:t>
            </w:r>
            <w:r w:rsidR="00AF5607">
              <w:rPr>
                <w:sz w:val="20"/>
                <w:szCs w:val="20"/>
              </w:rPr>
              <w:t>, 2016</w:t>
            </w:r>
          </w:p>
        </w:tc>
      </w:tr>
      <w:tr w:rsidR="004B1DC7" w:rsidRPr="00E83F90" w14:paraId="416B309F"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5ED4ED29" w14:textId="77777777" w:rsidR="004B1DC7" w:rsidRPr="000151BA" w:rsidRDefault="004B1DC7" w:rsidP="001B449B">
            <w:pPr>
              <w:rPr>
                <w:sz w:val="20"/>
                <w:szCs w:val="20"/>
              </w:rPr>
            </w:pPr>
            <w:r w:rsidRPr="000151BA">
              <w:rPr>
                <w:sz w:val="20"/>
                <w:szCs w:val="20"/>
              </w:rPr>
              <w:t>4</w:t>
            </w:r>
          </w:p>
        </w:tc>
        <w:tc>
          <w:tcPr>
            <w:tcW w:w="8188" w:type="dxa"/>
            <w:noWrap/>
          </w:tcPr>
          <w:p w14:paraId="299B2F1D" w14:textId="77777777" w:rsidR="004B1DC7" w:rsidRPr="000151BA" w:rsidRDefault="004B1DC7" w:rsidP="00F65774">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Minutes from World Bank SARTFP Internal Review Committee - 3 February 2017</w:t>
            </w:r>
          </w:p>
        </w:tc>
      </w:tr>
      <w:tr w:rsidR="004B1DC7" w:rsidRPr="00E83F90" w14:paraId="0805CE50"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4835095F" w14:textId="77777777" w:rsidR="004B1DC7" w:rsidRPr="000151BA" w:rsidRDefault="004B1DC7" w:rsidP="001B449B">
            <w:pPr>
              <w:rPr>
                <w:sz w:val="20"/>
                <w:szCs w:val="20"/>
              </w:rPr>
            </w:pPr>
            <w:r w:rsidRPr="000151BA">
              <w:rPr>
                <w:sz w:val="20"/>
                <w:szCs w:val="20"/>
              </w:rPr>
              <w:t>5</w:t>
            </w:r>
          </w:p>
        </w:tc>
        <w:tc>
          <w:tcPr>
            <w:tcW w:w="8188" w:type="dxa"/>
            <w:noWrap/>
          </w:tcPr>
          <w:p w14:paraId="35B55189" w14:textId="77777777" w:rsidR="004B1DC7" w:rsidRPr="000151BA" w:rsidRDefault="004B1DC7" w:rsidP="00F65774">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Briefing for World Bank Annual Meetings 2016 DFAT-WBG collaboration in South Asia - AS Cleared Final</w:t>
            </w:r>
          </w:p>
        </w:tc>
      </w:tr>
      <w:tr w:rsidR="004B1DC7" w:rsidRPr="00E83F90" w14:paraId="1516E3D7"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61C888DC" w14:textId="77777777" w:rsidR="004B1DC7" w:rsidRPr="000151BA" w:rsidRDefault="004B1DC7" w:rsidP="001B449B">
            <w:pPr>
              <w:rPr>
                <w:sz w:val="20"/>
                <w:szCs w:val="20"/>
              </w:rPr>
            </w:pPr>
            <w:r w:rsidRPr="000151BA">
              <w:rPr>
                <w:sz w:val="20"/>
                <w:szCs w:val="20"/>
              </w:rPr>
              <w:t>6</w:t>
            </w:r>
          </w:p>
        </w:tc>
        <w:tc>
          <w:tcPr>
            <w:tcW w:w="8188" w:type="dxa"/>
            <w:noWrap/>
          </w:tcPr>
          <w:p w14:paraId="653749CB" w14:textId="77777777" w:rsidR="004B1DC7" w:rsidRPr="000151BA" w:rsidRDefault="004B1DC7" w:rsidP="00F65774">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Brief - PFSA and SARTFP Donor Steering Committee Meeting</w:t>
            </w:r>
          </w:p>
        </w:tc>
      </w:tr>
      <w:tr w:rsidR="004B1DC7" w:rsidRPr="00E83F90" w14:paraId="66FBF4DC"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2A2F6295" w14:textId="77777777" w:rsidR="004B1DC7" w:rsidRPr="000151BA" w:rsidRDefault="004B1DC7" w:rsidP="001B449B">
            <w:pPr>
              <w:rPr>
                <w:sz w:val="20"/>
                <w:szCs w:val="20"/>
              </w:rPr>
            </w:pPr>
            <w:r w:rsidRPr="000151BA">
              <w:rPr>
                <w:sz w:val="20"/>
                <w:szCs w:val="20"/>
              </w:rPr>
              <w:t>7</w:t>
            </w:r>
          </w:p>
        </w:tc>
        <w:tc>
          <w:tcPr>
            <w:tcW w:w="8188" w:type="dxa"/>
            <w:noWrap/>
          </w:tcPr>
          <w:p w14:paraId="76E5BFCC" w14:textId="697859C4" w:rsidR="004B1DC7" w:rsidRPr="000151BA" w:rsidRDefault="004B1DC7" w:rsidP="00F65774">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 xml:space="preserve">SARTFP </w:t>
            </w:r>
            <w:r w:rsidR="000B081E" w:rsidRPr="000B081E">
              <w:rPr>
                <w:sz w:val="20"/>
                <w:szCs w:val="20"/>
              </w:rPr>
              <w:t xml:space="preserve">Donor Steering Committee Meeting Activity Updates </w:t>
            </w:r>
            <w:r w:rsidR="000B081E" w:rsidRPr="000151BA">
              <w:rPr>
                <w:sz w:val="20"/>
                <w:szCs w:val="20"/>
              </w:rPr>
              <w:t>Dec 6 2017</w:t>
            </w:r>
          </w:p>
        </w:tc>
      </w:tr>
      <w:tr w:rsidR="004B1DC7" w:rsidRPr="00E83F90" w14:paraId="7C2C0ED5"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6AED9095" w14:textId="77777777" w:rsidR="004B1DC7" w:rsidRPr="000151BA" w:rsidRDefault="004B1DC7" w:rsidP="001B449B">
            <w:pPr>
              <w:rPr>
                <w:sz w:val="20"/>
                <w:szCs w:val="20"/>
              </w:rPr>
            </w:pPr>
            <w:r w:rsidRPr="000151BA">
              <w:rPr>
                <w:sz w:val="20"/>
                <w:szCs w:val="20"/>
              </w:rPr>
              <w:t>8</w:t>
            </w:r>
          </w:p>
        </w:tc>
        <w:tc>
          <w:tcPr>
            <w:tcW w:w="8188" w:type="dxa"/>
            <w:noWrap/>
          </w:tcPr>
          <w:p w14:paraId="36D09D37" w14:textId="49189BE8" w:rsidR="004B1DC7" w:rsidRPr="000151BA" w:rsidRDefault="00655CD5" w:rsidP="00F6577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SARTFP </w:t>
            </w:r>
            <w:r w:rsidR="004B1DC7" w:rsidRPr="000151BA">
              <w:rPr>
                <w:sz w:val="20"/>
                <w:szCs w:val="20"/>
              </w:rPr>
              <w:t xml:space="preserve">DSC Meeting </w:t>
            </w:r>
            <w:r>
              <w:rPr>
                <w:sz w:val="20"/>
                <w:szCs w:val="20"/>
              </w:rPr>
              <w:t xml:space="preserve">notes, </w:t>
            </w:r>
            <w:r w:rsidR="004B1DC7" w:rsidRPr="000151BA">
              <w:rPr>
                <w:sz w:val="20"/>
                <w:szCs w:val="20"/>
              </w:rPr>
              <w:t>December</w:t>
            </w:r>
            <w:r>
              <w:rPr>
                <w:sz w:val="20"/>
                <w:szCs w:val="20"/>
              </w:rPr>
              <w:t xml:space="preserve"> 7th</w:t>
            </w:r>
            <w:r w:rsidR="004B1DC7" w:rsidRPr="000151BA">
              <w:rPr>
                <w:sz w:val="20"/>
                <w:szCs w:val="20"/>
              </w:rPr>
              <w:t xml:space="preserve"> - EE notes</w:t>
            </w:r>
          </w:p>
        </w:tc>
      </w:tr>
      <w:tr w:rsidR="004B1DC7" w:rsidRPr="00E83F90" w14:paraId="0A3E7EC8"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41420900" w14:textId="77777777" w:rsidR="004B1DC7" w:rsidRPr="000151BA" w:rsidRDefault="004B1DC7" w:rsidP="001B449B">
            <w:pPr>
              <w:rPr>
                <w:sz w:val="20"/>
                <w:szCs w:val="20"/>
              </w:rPr>
            </w:pPr>
            <w:r w:rsidRPr="000151BA">
              <w:rPr>
                <w:sz w:val="20"/>
                <w:szCs w:val="20"/>
              </w:rPr>
              <w:t>9</w:t>
            </w:r>
          </w:p>
        </w:tc>
        <w:tc>
          <w:tcPr>
            <w:tcW w:w="8188" w:type="dxa"/>
            <w:noWrap/>
          </w:tcPr>
          <w:p w14:paraId="1D601626" w14:textId="77777777" w:rsidR="004B1DC7" w:rsidRPr="000151BA" w:rsidRDefault="004B1DC7" w:rsidP="00F65774">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Regional Connectivity in South Asia stocktake - outline</w:t>
            </w:r>
          </w:p>
        </w:tc>
      </w:tr>
      <w:tr w:rsidR="004B1DC7" w:rsidRPr="00E83F90" w14:paraId="35B4666C"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1A92835E" w14:textId="77777777" w:rsidR="004B1DC7" w:rsidRPr="000151BA" w:rsidRDefault="004B1DC7" w:rsidP="001B449B">
            <w:pPr>
              <w:rPr>
                <w:sz w:val="20"/>
                <w:szCs w:val="20"/>
              </w:rPr>
            </w:pPr>
            <w:r w:rsidRPr="000151BA">
              <w:rPr>
                <w:sz w:val="20"/>
                <w:szCs w:val="20"/>
              </w:rPr>
              <w:t>10</w:t>
            </w:r>
          </w:p>
        </w:tc>
        <w:tc>
          <w:tcPr>
            <w:tcW w:w="8188" w:type="dxa"/>
            <w:noWrap/>
          </w:tcPr>
          <w:p w14:paraId="01C67648" w14:textId="5021ECBF" w:rsidR="004B1DC7" w:rsidRPr="00416B54" w:rsidRDefault="00655CD5" w:rsidP="00F65774">
            <w:pPr>
              <w:cnfStyle w:val="000000100000" w:firstRow="0" w:lastRow="0" w:firstColumn="0" w:lastColumn="0" w:oddVBand="0" w:evenVBand="0" w:oddHBand="1" w:evenHBand="0" w:firstRowFirstColumn="0" w:firstRowLastColumn="0" w:lastRowFirstColumn="0" w:lastRowLastColumn="0"/>
              <w:rPr>
                <w:sz w:val="20"/>
                <w:szCs w:val="20"/>
                <w:lang w:val="en-AU"/>
              </w:rPr>
            </w:pPr>
            <w:r w:rsidRPr="00416B54">
              <w:rPr>
                <w:sz w:val="20"/>
                <w:szCs w:val="20"/>
                <w:lang w:val="en-AU"/>
              </w:rPr>
              <w:t>Minutes, Working Level Meetings with World Bank and PFSA Secretariat 6</w:t>
            </w:r>
            <w:r w:rsidRPr="00416B54">
              <w:rPr>
                <w:sz w:val="20"/>
                <w:szCs w:val="20"/>
                <w:vertAlign w:val="superscript"/>
                <w:lang w:val="en-AU"/>
              </w:rPr>
              <w:t>th</w:t>
            </w:r>
            <w:r w:rsidRPr="00416B54">
              <w:rPr>
                <w:sz w:val="20"/>
                <w:szCs w:val="20"/>
                <w:lang w:val="en-AU"/>
              </w:rPr>
              <w:t xml:space="preserve"> December 2017</w:t>
            </w:r>
          </w:p>
        </w:tc>
      </w:tr>
      <w:tr w:rsidR="004B1DC7" w:rsidRPr="00E83F90" w14:paraId="472F2B42"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64CA14E7" w14:textId="77777777" w:rsidR="004B1DC7" w:rsidRPr="000151BA" w:rsidRDefault="004B1DC7" w:rsidP="001B449B">
            <w:pPr>
              <w:rPr>
                <w:sz w:val="20"/>
                <w:szCs w:val="20"/>
              </w:rPr>
            </w:pPr>
            <w:r w:rsidRPr="000151BA">
              <w:rPr>
                <w:sz w:val="20"/>
                <w:szCs w:val="20"/>
              </w:rPr>
              <w:t>11</w:t>
            </w:r>
          </w:p>
        </w:tc>
        <w:tc>
          <w:tcPr>
            <w:tcW w:w="8188" w:type="dxa"/>
            <w:noWrap/>
          </w:tcPr>
          <w:p w14:paraId="3790C054" w14:textId="40843095" w:rsidR="004B1DC7" w:rsidRPr="000151BA" w:rsidRDefault="004B1DC7" w:rsidP="00F65774">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 xml:space="preserve">Assam Inland Waterways case study (SARTFP) </w:t>
            </w:r>
            <w:r w:rsidR="00655CD5">
              <w:rPr>
                <w:sz w:val="20"/>
                <w:szCs w:val="20"/>
              </w:rPr>
              <w:t>–</w:t>
            </w:r>
            <w:r w:rsidRPr="000151BA">
              <w:rPr>
                <w:sz w:val="20"/>
                <w:szCs w:val="20"/>
              </w:rPr>
              <w:t xml:space="preserve"> draft</w:t>
            </w:r>
            <w:r w:rsidR="00655CD5">
              <w:rPr>
                <w:sz w:val="20"/>
                <w:szCs w:val="20"/>
              </w:rPr>
              <w:t>, 2016</w:t>
            </w:r>
          </w:p>
        </w:tc>
      </w:tr>
      <w:tr w:rsidR="004B1DC7" w:rsidRPr="00E83F90" w14:paraId="569BF7AA"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779B6D86" w14:textId="77777777" w:rsidR="004B1DC7" w:rsidRPr="000151BA" w:rsidRDefault="004B1DC7" w:rsidP="001B449B">
            <w:pPr>
              <w:rPr>
                <w:sz w:val="20"/>
                <w:szCs w:val="20"/>
              </w:rPr>
            </w:pPr>
            <w:r w:rsidRPr="000151BA">
              <w:rPr>
                <w:sz w:val="20"/>
                <w:szCs w:val="20"/>
              </w:rPr>
              <w:t>12</w:t>
            </w:r>
          </w:p>
        </w:tc>
        <w:tc>
          <w:tcPr>
            <w:tcW w:w="8188" w:type="dxa"/>
            <w:noWrap/>
          </w:tcPr>
          <w:p w14:paraId="20C592C3" w14:textId="2A488BC3" w:rsidR="004B1DC7" w:rsidRPr="000151BA" w:rsidRDefault="004B1DC7" w:rsidP="00F65774">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World Bank T</w:t>
            </w:r>
            <w:r w:rsidR="00BF7795">
              <w:rPr>
                <w:sz w:val="20"/>
                <w:szCs w:val="20"/>
              </w:rPr>
              <w:t xml:space="preserve">ask </w:t>
            </w:r>
            <w:r w:rsidRPr="000151BA">
              <w:rPr>
                <w:sz w:val="20"/>
                <w:szCs w:val="20"/>
              </w:rPr>
              <w:t>T</w:t>
            </w:r>
            <w:r w:rsidR="00BF7795">
              <w:rPr>
                <w:sz w:val="20"/>
                <w:szCs w:val="20"/>
              </w:rPr>
              <w:t xml:space="preserve">eam </w:t>
            </w:r>
            <w:r w:rsidRPr="000151BA">
              <w:rPr>
                <w:sz w:val="20"/>
                <w:szCs w:val="20"/>
              </w:rPr>
              <w:t>L</w:t>
            </w:r>
            <w:r w:rsidR="00BF7795">
              <w:rPr>
                <w:sz w:val="20"/>
                <w:szCs w:val="20"/>
              </w:rPr>
              <w:t>eaders</w:t>
            </w:r>
            <w:r w:rsidRPr="000151BA">
              <w:rPr>
                <w:sz w:val="20"/>
                <w:szCs w:val="20"/>
              </w:rPr>
              <w:t xml:space="preserve"> &amp; </w:t>
            </w:r>
            <w:r w:rsidR="00BF7795">
              <w:rPr>
                <w:sz w:val="20"/>
                <w:szCs w:val="20"/>
              </w:rPr>
              <w:t>contacts</w:t>
            </w:r>
          </w:p>
        </w:tc>
      </w:tr>
      <w:tr w:rsidR="004B1DC7" w:rsidRPr="00E83F90" w14:paraId="6BC8F6D4"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387910C5" w14:textId="77777777" w:rsidR="004B1DC7" w:rsidRPr="000151BA" w:rsidRDefault="004B1DC7" w:rsidP="001B449B">
            <w:pPr>
              <w:rPr>
                <w:sz w:val="20"/>
                <w:szCs w:val="20"/>
              </w:rPr>
            </w:pPr>
            <w:r w:rsidRPr="000151BA">
              <w:rPr>
                <w:sz w:val="20"/>
                <w:szCs w:val="20"/>
              </w:rPr>
              <w:t>13</w:t>
            </w:r>
          </w:p>
        </w:tc>
        <w:tc>
          <w:tcPr>
            <w:tcW w:w="8188" w:type="dxa"/>
            <w:noWrap/>
          </w:tcPr>
          <w:p w14:paraId="17853182" w14:textId="77777777" w:rsidR="004B1DC7" w:rsidRPr="000151BA" w:rsidRDefault="004B1DC7" w:rsidP="00F65774">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Two IFG case studies (drafts) - on energy; and on transport &amp; logistics</w:t>
            </w:r>
          </w:p>
        </w:tc>
      </w:tr>
      <w:tr w:rsidR="004B1DC7" w:rsidRPr="00E83F90" w14:paraId="04BD48D0"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17B22279" w14:textId="77777777" w:rsidR="004B1DC7" w:rsidRPr="000151BA" w:rsidRDefault="004B1DC7" w:rsidP="001B449B">
            <w:pPr>
              <w:rPr>
                <w:sz w:val="20"/>
                <w:szCs w:val="20"/>
              </w:rPr>
            </w:pPr>
            <w:r w:rsidRPr="000151BA">
              <w:rPr>
                <w:sz w:val="20"/>
                <w:szCs w:val="20"/>
              </w:rPr>
              <w:t>14</w:t>
            </w:r>
          </w:p>
        </w:tc>
        <w:tc>
          <w:tcPr>
            <w:tcW w:w="8188" w:type="dxa"/>
            <w:noWrap/>
          </w:tcPr>
          <w:p w14:paraId="27E12E63" w14:textId="77777777" w:rsidR="004B1DC7" w:rsidRPr="000151BA" w:rsidRDefault="004B1DC7" w:rsidP="00F65774">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Second batch of theory of change documents</w:t>
            </w:r>
          </w:p>
        </w:tc>
      </w:tr>
      <w:tr w:rsidR="004B1DC7" w:rsidRPr="00E83F90" w14:paraId="79D5EA4D"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6C9EF38E" w14:textId="77777777" w:rsidR="004B1DC7" w:rsidRPr="000151BA" w:rsidRDefault="004B1DC7" w:rsidP="001B449B">
            <w:pPr>
              <w:rPr>
                <w:sz w:val="20"/>
                <w:szCs w:val="20"/>
              </w:rPr>
            </w:pPr>
            <w:r w:rsidRPr="000151BA">
              <w:rPr>
                <w:sz w:val="20"/>
                <w:szCs w:val="20"/>
              </w:rPr>
              <w:t>15</w:t>
            </w:r>
          </w:p>
        </w:tc>
        <w:tc>
          <w:tcPr>
            <w:tcW w:w="8188" w:type="dxa"/>
            <w:noWrap/>
          </w:tcPr>
          <w:p w14:paraId="28F27DEE" w14:textId="77777777" w:rsidR="004B1DC7" w:rsidRPr="000151BA" w:rsidRDefault="004B1DC7" w:rsidP="00F65774">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First batch of theory of change documents</w:t>
            </w:r>
          </w:p>
        </w:tc>
      </w:tr>
      <w:tr w:rsidR="004B1DC7" w:rsidRPr="00E83F90" w14:paraId="074F3DBD"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1E8A79D2" w14:textId="77777777" w:rsidR="004B1DC7" w:rsidRPr="000151BA" w:rsidRDefault="004B1DC7" w:rsidP="001B449B">
            <w:pPr>
              <w:rPr>
                <w:sz w:val="20"/>
                <w:szCs w:val="20"/>
              </w:rPr>
            </w:pPr>
            <w:r w:rsidRPr="000151BA">
              <w:rPr>
                <w:sz w:val="20"/>
                <w:szCs w:val="20"/>
              </w:rPr>
              <w:t>16</w:t>
            </w:r>
          </w:p>
        </w:tc>
        <w:tc>
          <w:tcPr>
            <w:tcW w:w="8188" w:type="dxa"/>
            <w:noWrap/>
          </w:tcPr>
          <w:p w14:paraId="41702BDB" w14:textId="77777777" w:rsidR="004B1DC7" w:rsidRPr="000151BA" w:rsidRDefault="004B1DC7" w:rsidP="00F65774">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 xml:space="preserve">SARTFP results framework final </w:t>
            </w:r>
          </w:p>
        </w:tc>
      </w:tr>
      <w:tr w:rsidR="004B1DC7" w:rsidRPr="00E83F90" w14:paraId="598A6D53"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06003296" w14:textId="77777777" w:rsidR="004B1DC7" w:rsidRPr="000151BA" w:rsidRDefault="004B1DC7" w:rsidP="001B449B">
            <w:pPr>
              <w:rPr>
                <w:sz w:val="20"/>
                <w:szCs w:val="20"/>
              </w:rPr>
            </w:pPr>
            <w:r w:rsidRPr="000151BA">
              <w:rPr>
                <w:sz w:val="20"/>
                <w:szCs w:val="20"/>
              </w:rPr>
              <w:t>17</w:t>
            </w:r>
          </w:p>
        </w:tc>
        <w:tc>
          <w:tcPr>
            <w:tcW w:w="8188" w:type="dxa"/>
            <w:noWrap/>
          </w:tcPr>
          <w:p w14:paraId="50A15D70" w14:textId="78ED4292" w:rsidR="004B1DC7" w:rsidRPr="000151BA" w:rsidRDefault="004B1DC7" w:rsidP="00F65774">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IFG results framework (draft</w:t>
            </w:r>
            <w:r w:rsidR="000B29F7">
              <w:rPr>
                <w:sz w:val="20"/>
                <w:szCs w:val="20"/>
              </w:rPr>
              <w:t xml:space="preserve"> &amp; final</w:t>
            </w:r>
            <w:r w:rsidRPr="000151BA">
              <w:rPr>
                <w:sz w:val="20"/>
                <w:szCs w:val="20"/>
              </w:rPr>
              <w:t>)</w:t>
            </w:r>
          </w:p>
        </w:tc>
      </w:tr>
      <w:tr w:rsidR="004B1DC7" w:rsidRPr="00E83F90" w14:paraId="7D4F521A"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2E90E89D" w14:textId="77777777" w:rsidR="004B1DC7" w:rsidRPr="000151BA" w:rsidRDefault="004B1DC7" w:rsidP="001B449B">
            <w:pPr>
              <w:rPr>
                <w:sz w:val="20"/>
                <w:szCs w:val="20"/>
              </w:rPr>
            </w:pPr>
            <w:r w:rsidRPr="000151BA">
              <w:rPr>
                <w:sz w:val="20"/>
                <w:szCs w:val="20"/>
              </w:rPr>
              <w:t>18</w:t>
            </w:r>
          </w:p>
        </w:tc>
        <w:tc>
          <w:tcPr>
            <w:tcW w:w="8188" w:type="dxa"/>
            <w:noWrap/>
          </w:tcPr>
          <w:p w14:paraId="08389240" w14:textId="3C268431" w:rsidR="004B1DC7" w:rsidRPr="000151BA" w:rsidRDefault="004B1DC7" w:rsidP="00F65774">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SARTFP annual report</w:t>
            </w:r>
            <w:r w:rsidR="00BF7795">
              <w:rPr>
                <w:sz w:val="20"/>
                <w:szCs w:val="20"/>
              </w:rPr>
              <w:t>, 2016</w:t>
            </w:r>
            <w:r w:rsidRPr="000151BA">
              <w:rPr>
                <w:sz w:val="20"/>
                <w:szCs w:val="20"/>
              </w:rPr>
              <w:t xml:space="preserve"> </w:t>
            </w:r>
            <w:r w:rsidR="00655CD5">
              <w:rPr>
                <w:sz w:val="20"/>
                <w:szCs w:val="20"/>
              </w:rPr>
              <w:t>(dated March 2017)</w:t>
            </w:r>
          </w:p>
        </w:tc>
      </w:tr>
      <w:tr w:rsidR="004B1DC7" w:rsidRPr="00E83F90" w14:paraId="5CCD1C01"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670D99C4" w14:textId="77777777" w:rsidR="004B1DC7" w:rsidRPr="000151BA" w:rsidRDefault="004B1DC7" w:rsidP="001B449B">
            <w:pPr>
              <w:rPr>
                <w:sz w:val="20"/>
                <w:szCs w:val="20"/>
              </w:rPr>
            </w:pPr>
            <w:r w:rsidRPr="000151BA">
              <w:rPr>
                <w:sz w:val="20"/>
                <w:szCs w:val="20"/>
              </w:rPr>
              <w:t>19</w:t>
            </w:r>
          </w:p>
        </w:tc>
        <w:tc>
          <w:tcPr>
            <w:tcW w:w="8188" w:type="dxa"/>
            <w:noWrap/>
          </w:tcPr>
          <w:p w14:paraId="0FD0EAD1" w14:textId="7416D155" w:rsidR="004B1DC7" w:rsidRPr="000151BA" w:rsidRDefault="000B29F7" w:rsidP="00F6577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DFAT </w:t>
            </w:r>
            <w:r w:rsidR="004B1DC7" w:rsidRPr="000151BA">
              <w:rPr>
                <w:sz w:val="20"/>
                <w:szCs w:val="20"/>
              </w:rPr>
              <w:t xml:space="preserve">South Asia </w:t>
            </w:r>
            <w:r>
              <w:rPr>
                <w:sz w:val="20"/>
                <w:szCs w:val="20"/>
              </w:rPr>
              <w:t>R</w:t>
            </w:r>
            <w:r w:rsidR="004B1DC7" w:rsidRPr="000151BA">
              <w:rPr>
                <w:sz w:val="20"/>
                <w:szCs w:val="20"/>
              </w:rPr>
              <w:t xml:space="preserve">egional </w:t>
            </w:r>
            <w:r>
              <w:rPr>
                <w:sz w:val="20"/>
                <w:szCs w:val="20"/>
              </w:rPr>
              <w:t>A</w:t>
            </w:r>
            <w:r w:rsidR="004B1DC7" w:rsidRPr="000151BA">
              <w:rPr>
                <w:sz w:val="20"/>
                <w:szCs w:val="20"/>
              </w:rPr>
              <w:t xml:space="preserve">id </w:t>
            </w:r>
            <w:r>
              <w:rPr>
                <w:sz w:val="20"/>
                <w:szCs w:val="20"/>
              </w:rPr>
              <w:t>I</w:t>
            </w:r>
            <w:r w:rsidR="004B1DC7" w:rsidRPr="000151BA">
              <w:rPr>
                <w:sz w:val="20"/>
                <w:szCs w:val="20"/>
              </w:rPr>
              <w:t xml:space="preserve">nvestment </w:t>
            </w:r>
            <w:r>
              <w:rPr>
                <w:sz w:val="20"/>
                <w:szCs w:val="20"/>
              </w:rPr>
              <w:t>P</w:t>
            </w:r>
            <w:r w:rsidR="004B1DC7" w:rsidRPr="000151BA">
              <w:rPr>
                <w:sz w:val="20"/>
                <w:szCs w:val="20"/>
              </w:rPr>
              <w:t>lan 2015-19</w:t>
            </w:r>
          </w:p>
        </w:tc>
      </w:tr>
      <w:tr w:rsidR="004B1DC7" w:rsidRPr="00E83F90" w14:paraId="4CD6005F"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43B84886" w14:textId="77777777" w:rsidR="004B1DC7" w:rsidRPr="000151BA" w:rsidRDefault="004B1DC7" w:rsidP="001B449B">
            <w:pPr>
              <w:rPr>
                <w:sz w:val="20"/>
                <w:szCs w:val="20"/>
              </w:rPr>
            </w:pPr>
            <w:r w:rsidRPr="000151BA">
              <w:rPr>
                <w:sz w:val="20"/>
                <w:szCs w:val="20"/>
              </w:rPr>
              <w:t>20</w:t>
            </w:r>
          </w:p>
        </w:tc>
        <w:tc>
          <w:tcPr>
            <w:tcW w:w="8188" w:type="dxa"/>
            <w:noWrap/>
          </w:tcPr>
          <w:p w14:paraId="0FC327AE" w14:textId="2868F4A9" w:rsidR="004B1DC7" w:rsidRPr="000151BA" w:rsidRDefault="00733F2B" w:rsidP="00F6577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DFAT </w:t>
            </w:r>
            <w:r w:rsidR="004B1DC7" w:rsidRPr="000151BA">
              <w:rPr>
                <w:sz w:val="20"/>
                <w:szCs w:val="20"/>
              </w:rPr>
              <w:t>Monitoring and evaluation standards</w:t>
            </w:r>
          </w:p>
        </w:tc>
      </w:tr>
      <w:tr w:rsidR="004B1DC7" w:rsidRPr="00E83F90" w14:paraId="75A9DBC7"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48D92543" w14:textId="77777777" w:rsidR="004B1DC7" w:rsidRPr="000151BA" w:rsidRDefault="004B1DC7" w:rsidP="001B449B">
            <w:pPr>
              <w:rPr>
                <w:sz w:val="20"/>
                <w:szCs w:val="20"/>
              </w:rPr>
            </w:pPr>
            <w:r w:rsidRPr="000151BA">
              <w:rPr>
                <w:sz w:val="20"/>
                <w:szCs w:val="20"/>
              </w:rPr>
              <w:t>21</w:t>
            </w:r>
          </w:p>
        </w:tc>
        <w:tc>
          <w:tcPr>
            <w:tcW w:w="8188" w:type="dxa"/>
            <w:noWrap/>
          </w:tcPr>
          <w:p w14:paraId="4D7752A1" w14:textId="2EC38696" w:rsidR="004B1DC7" w:rsidRPr="000151BA" w:rsidRDefault="00AF5607" w:rsidP="00F6577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DFAT: </w:t>
            </w:r>
            <w:r w:rsidR="004B1DC7" w:rsidRPr="000151BA">
              <w:rPr>
                <w:sz w:val="20"/>
                <w:szCs w:val="20"/>
              </w:rPr>
              <w:t>INL09</w:t>
            </w:r>
            <w:r w:rsidR="00733F2B">
              <w:rPr>
                <w:sz w:val="20"/>
                <w:szCs w:val="20"/>
              </w:rPr>
              <w:t>3</w:t>
            </w:r>
            <w:r w:rsidR="004B1DC7" w:rsidRPr="000151BA">
              <w:rPr>
                <w:sz w:val="20"/>
                <w:szCs w:val="20"/>
              </w:rPr>
              <w:t xml:space="preserve"> A</w:t>
            </w:r>
            <w:r>
              <w:rPr>
                <w:sz w:val="20"/>
                <w:szCs w:val="20"/>
              </w:rPr>
              <w:t xml:space="preserve">id </w:t>
            </w:r>
            <w:r w:rsidR="004B1DC7" w:rsidRPr="000151BA">
              <w:rPr>
                <w:sz w:val="20"/>
                <w:szCs w:val="20"/>
              </w:rPr>
              <w:t>Q</w:t>
            </w:r>
            <w:r>
              <w:rPr>
                <w:sz w:val="20"/>
                <w:szCs w:val="20"/>
              </w:rPr>
              <w:t xml:space="preserve">uality </w:t>
            </w:r>
            <w:r w:rsidR="004B1DC7" w:rsidRPr="000151BA">
              <w:rPr>
                <w:sz w:val="20"/>
                <w:szCs w:val="20"/>
              </w:rPr>
              <w:t>C</w:t>
            </w:r>
            <w:r>
              <w:rPr>
                <w:sz w:val="20"/>
                <w:szCs w:val="20"/>
              </w:rPr>
              <w:t>hecks- 2016, 2017</w:t>
            </w:r>
          </w:p>
        </w:tc>
      </w:tr>
      <w:tr w:rsidR="004B1DC7" w:rsidRPr="00E83F90" w14:paraId="0D6CA095"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106153B6" w14:textId="77777777" w:rsidR="004B1DC7" w:rsidRPr="000151BA" w:rsidRDefault="004B1DC7" w:rsidP="001B449B">
            <w:pPr>
              <w:rPr>
                <w:sz w:val="20"/>
                <w:szCs w:val="20"/>
              </w:rPr>
            </w:pPr>
            <w:r w:rsidRPr="000151BA">
              <w:rPr>
                <w:sz w:val="20"/>
                <w:szCs w:val="20"/>
              </w:rPr>
              <w:t>22</w:t>
            </w:r>
          </w:p>
        </w:tc>
        <w:tc>
          <w:tcPr>
            <w:tcW w:w="8188" w:type="dxa"/>
            <w:noWrap/>
          </w:tcPr>
          <w:p w14:paraId="00D52EAF" w14:textId="3C68B85D" w:rsidR="004B1DC7" w:rsidRPr="000151BA" w:rsidRDefault="004B1DC7" w:rsidP="00F65774">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 xml:space="preserve">PFSA Administration Manual </w:t>
            </w:r>
            <w:r w:rsidR="00AF5607">
              <w:rPr>
                <w:sz w:val="20"/>
                <w:szCs w:val="20"/>
              </w:rPr>
              <w:t>(version 2.0 April 2016)</w:t>
            </w:r>
          </w:p>
        </w:tc>
      </w:tr>
      <w:tr w:rsidR="004B1DC7" w:rsidRPr="00E83F90" w14:paraId="0D487851"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1B591FAA" w14:textId="77777777" w:rsidR="004B1DC7" w:rsidRPr="000151BA" w:rsidRDefault="004B1DC7" w:rsidP="001B449B">
            <w:pPr>
              <w:rPr>
                <w:sz w:val="20"/>
                <w:szCs w:val="20"/>
              </w:rPr>
            </w:pPr>
            <w:r w:rsidRPr="000151BA">
              <w:rPr>
                <w:sz w:val="20"/>
                <w:szCs w:val="20"/>
              </w:rPr>
              <w:t>23</w:t>
            </w:r>
          </w:p>
        </w:tc>
        <w:tc>
          <w:tcPr>
            <w:tcW w:w="8188" w:type="dxa"/>
            <w:noWrap/>
          </w:tcPr>
          <w:p w14:paraId="45209031" w14:textId="4ED6DE85" w:rsidR="004B1DC7" w:rsidRPr="000151BA" w:rsidRDefault="00404256" w:rsidP="00F65774">
            <w:pPr>
              <w:cnfStyle w:val="000000000000" w:firstRow="0" w:lastRow="0" w:firstColumn="0" w:lastColumn="0" w:oddVBand="0" w:evenVBand="0" w:oddHBand="0" w:evenHBand="0" w:firstRowFirstColumn="0" w:firstRowLastColumn="0" w:lastRowFirstColumn="0" w:lastRowLastColumn="0"/>
              <w:rPr>
                <w:sz w:val="20"/>
                <w:szCs w:val="20"/>
              </w:rPr>
            </w:pPr>
            <w:r w:rsidRPr="00713419">
              <w:rPr>
                <w:bCs/>
                <w:sz w:val="20"/>
                <w:szCs w:val="20"/>
              </w:rPr>
              <w:t>Mallon, R. and Ernst, S., (2012) South Asia Regional Program Evaluation (ING 236), AusAid, May 2012</w:t>
            </w:r>
          </w:p>
        </w:tc>
      </w:tr>
      <w:tr w:rsidR="004B1DC7" w:rsidRPr="00E83F90" w14:paraId="24921782"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303C6264" w14:textId="77777777" w:rsidR="004B1DC7" w:rsidRPr="000151BA" w:rsidRDefault="004B1DC7" w:rsidP="001B449B">
            <w:pPr>
              <w:rPr>
                <w:sz w:val="20"/>
                <w:szCs w:val="20"/>
              </w:rPr>
            </w:pPr>
            <w:r w:rsidRPr="000151BA">
              <w:rPr>
                <w:sz w:val="20"/>
                <w:szCs w:val="20"/>
              </w:rPr>
              <w:t>24</w:t>
            </w:r>
          </w:p>
        </w:tc>
        <w:tc>
          <w:tcPr>
            <w:tcW w:w="8188" w:type="dxa"/>
            <w:noWrap/>
          </w:tcPr>
          <w:p w14:paraId="17975B31" w14:textId="77777777" w:rsidR="004B1DC7" w:rsidRPr="000151BA" w:rsidRDefault="004B1DC7" w:rsidP="00F65774">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SARTFP theory of change</w:t>
            </w:r>
          </w:p>
        </w:tc>
      </w:tr>
      <w:tr w:rsidR="004B1DC7" w:rsidRPr="00E83F90" w14:paraId="340C9F7C"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139C8C41" w14:textId="77777777" w:rsidR="004B1DC7" w:rsidRPr="000151BA" w:rsidRDefault="004B1DC7" w:rsidP="001B449B">
            <w:pPr>
              <w:rPr>
                <w:sz w:val="20"/>
                <w:szCs w:val="20"/>
              </w:rPr>
            </w:pPr>
            <w:r w:rsidRPr="000151BA">
              <w:rPr>
                <w:sz w:val="20"/>
                <w:szCs w:val="20"/>
              </w:rPr>
              <w:t>25</w:t>
            </w:r>
          </w:p>
        </w:tc>
        <w:tc>
          <w:tcPr>
            <w:tcW w:w="8188" w:type="dxa"/>
            <w:noWrap/>
          </w:tcPr>
          <w:p w14:paraId="77BD4BAA" w14:textId="1E0EFC44" w:rsidR="004B1DC7" w:rsidRPr="00416B54" w:rsidRDefault="00DA3A8C" w:rsidP="00F65774">
            <w:pPr>
              <w:cnfStyle w:val="000000000000" w:firstRow="0" w:lastRow="0" w:firstColumn="0" w:lastColumn="0" w:oddVBand="0" w:evenVBand="0" w:oddHBand="0" w:evenHBand="0" w:firstRowFirstColumn="0" w:firstRowLastColumn="0" w:lastRowFirstColumn="0" w:lastRowLastColumn="0"/>
              <w:rPr>
                <w:szCs w:val="20"/>
              </w:rPr>
            </w:pPr>
            <w:r>
              <w:rPr>
                <w:sz w:val="20"/>
                <w:szCs w:val="20"/>
              </w:rPr>
              <w:t xml:space="preserve">DFAT: </w:t>
            </w:r>
            <w:r w:rsidR="004B1DC7" w:rsidRPr="000151BA">
              <w:rPr>
                <w:sz w:val="20"/>
                <w:szCs w:val="20"/>
              </w:rPr>
              <w:t xml:space="preserve">South Asia </w:t>
            </w:r>
            <w:r w:rsidRPr="00416B54">
              <w:rPr>
                <w:sz w:val="20"/>
                <w:szCs w:val="20"/>
              </w:rPr>
              <w:t>Aid Program Performance Reports (APPR), 2012-2013, 2013-2014, 2014-2015, 2015-2016, 2016-2017</w:t>
            </w:r>
          </w:p>
        </w:tc>
      </w:tr>
      <w:tr w:rsidR="004B1DC7" w:rsidRPr="00E83F90" w14:paraId="529AED5B"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634F3315" w14:textId="77777777" w:rsidR="004B1DC7" w:rsidRPr="000151BA" w:rsidRDefault="004B1DC7" w:rsidP="001B449B">
            <w:pPr>
              <w:rPr>
                <w:sz w:val="20"/>
                <w:szCs w:val="20"/>
              </w:rPr>
            </w:pPr>
            <w:r w:rsidRPr="000151BA">
              <w:rPr>
                <w:sz w:val="20"/>
                <w:szCs w:val="20"/>
              </w:rPr>
              <w:t>26</w:t>
            </w:r>
          </w:p>
        </w:tc>
        <w:tc>
          <w:tcPr>
            <w:tcW w:w="8188" w:type="dxa"/>
            <w:noWrap/>
          </w:tcPr>
          <w:p w14:paraId="7067A111" w14:textId="77777777" w:rsidR="004B1DC7" w:rsidRPr="000151BA" w:rsidRDefault="004B1DC7" w:rsidP="00F65774">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Signed Services Order</w:t>
            </w:r>
          </w:p>
        </w:tc>
      </w:tr>
      <w:tr w:rsidR="004B1DC7" w:rsidRPr="00E83F90" w14:paraId="7644708C"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1C90905B" w14:textId="77777777" w:rsidR="004B1DC7" w:rsidRPr="000151BA" w:rsidRDefault="004B1DC7" w:rsidP="001B449B">
            <w:pPr>
              <w:rPr>
                <w:sz w:val="20"/>
                <w:szCs w:val="20"/>
              </w:rPr>
            </w:pPr>
            <w:r w:rsidRPr="000151BA">
              <w:rPr>
                <w:sz w:val="20"/>
                <w:szCs w:val="20"/>
              </w:rPr>
              <w:t>27</w:t>
            </w:r>
          </w:p>
        </w:tc>
        <w:tc>
          <w:tcPr>
            <w:tcW w:w="8188" w:type="dxa"/>
            <w:noWrap/>
          </w:tcPr>
          <w:p w14:paraId="70FEB3CB" w14:textId="3FF07307" w:rsidR="004B1DC7" w:rsidRPr="000151BA" w:rsidRDefault="00655CD5" w:rsidP="00F6577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PFSA &amp; SARTFP </w:t>
            </w:r>
            <w:r w:rsidR="004B1DC7" w:rsidRPr="000151BA">
              <w:rPr>
                <w:sz w:val="20"/>
                <w:szCs w:val="20"/>
              </w:rPr>
              <w:t>D</w:t>
            </w:r>
            <w:r>
              <w:rPr>
                <w:sz w:val="20"/>
                <w:szCs w:val="20"/>
              </w:rPr>
              <w:t xml:space="preserve">onor </w:t>
            </w:r>
            <w:r w:rsidR="004B1DC7" w:rsidRPr="000151BA">
              <w:rPr>
                <w:sz w:val="20"/>
                <w:szCs w:val="20"/>
              </w:rPr>
              <w:t>S</w:t>
            </w:r>
            <w:r>
              <w:rPr>
                <w:sz w:val="20"/>
                <w:szCs w:val="20"/>
              </w:rPr>
              <w:t xml:space="preserve">teering </w:t>
            </w:r>
            <w:r w:rsidR="004B1DC7" w:rsidRPr="000151BA">
              <w:rPr>
                <w:sz w:val="20"/>
                <w:szCs w:val="20"/>
              </w:rPr>
              <w:t>C</w:t>
            </w:r>
            <w:r>
              <w:rPr>
                <w:sz w:val="20"/>
                <w:szCs w:val="20"/>
              </w:rPr>
              <w:t>ommittee</w:t>
            </w:r>
            <w:r w:rsidR="004B1DC7" w:rsidRPr="000151BA">
              <w:rPr>
                <w:sz w:val="20"/>
                <w:szCs w:val="20"/>
              </w:rPr>
              <w:t xml:space="preserve"> Minutes 12 September 2016 DRAFT</w:t>
            </w:r>
            <w:r>
              <w:rPr>
                <w:sz w:val="20"/>
                <w:szCs w:val="20"/>
              </w:rPr>
              <w:t xml:space="preserve"> with </w:t>
            </w:r>
            <w:r w:rsidR="004B1DC7" w:rsidRPr="000151BA">
              <w:rPr>
                <w:sz w:val="20"/>
                <w:szCs w:val="20"/>
              </w:rPr>
              <w:t>WB and DFAT edits</w:t>
            </w:r>
            <w:r>
              <w:rPr>
                <w:sz w:val="20"/>
                <w:szCs w:val="20"/>
              </w:rPr>
              <w:t xml:space="preserve"> and final </w:t>
            </w:r>
          </w:p>
        </w:tc>
      </w:tr>
      <w:tr w:rsidR="004B1DC7" w:rsidRPr="00E83F90" w14:paraId="4659959E"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3A9EAA2A" w14:textId="77777777" w:rsidR="004B1DC7" w:rsidRPr="000151BA" w:rsidRDefault="004B1DC7" w:rsidP="001B449B">
            <w:pPr>
              <w:rPr>
                <w:sz w:val="20"/>
                <w:szCs w:val="20"/>
              </w:rPr>
            </w:pPr>
            <w:r w:rsidRPr="000151BA">
              <w:rPr>
                <w:sz w:val="20"/>
                <w:szCs w:val="20"/>
              </w:rPr>
              <w:t>28</w:t>
            </w:r>
          </w:p>
        </w:tc>
        <w:tc>
          <w:tcPr>
            <w:tcW w:w="8188" w:type="dxa"/>
            <w:noWrap/>
          </w:tcPr>
          <w:p w14:paraId="73F2D81C" w14:textId="0679A179" w:rsidR="004B1DC7" w:rsidRPr="00416B54" w:rsidRDefault="004B1DC7" w:rsidP="00F65774">
            <w:pPr>
              <w:cnfStyle w:val="000000100000" w:firstRow="0" w:lastRow="0" w:firstColumn="0" w:lastColumn="0" w:oddVBand="0" w:evenVBand="0" w:oddHBand="1" w:evenHBand="0" w:firstRowFirstColumn="0" w:firstRowLastColumn="0" w:lastRowFirstColumn="0" w:lastRowLastColumn="0"/>
              <w:rPr>
                <w:szCs w:val="20"/>
              </w:rPr>
            </w:pPr>
            <w:r w:rsidRPr="000151BA">
              <w:rPr>
                <w:sz w:val="20"/>
                <w:szCs w:val="20"/>
              </w:rPr>
              <w:t>SARTFP Annex</w:t>
            </w:r>
            <w:r w:rsidR="00AF5607">
              <w:rPr>
                <w:sz w:val="20"/>
                <w:szCs w:val="20"/>
              </w:rPr>
              <w:t xml:space="preserve"> 2 </w:t>
            </w:r>
            <w:r w:rsidR="00AF5607" w:rsidRPr="00416B54">
              <w:rPr>
                <w:sz w:val="20"/>
                <w:szCs w:val="20"/>
              </w:rPr>
              <w:t>Specific Program Management Arrangements for SARTFP</w:t>
            </w:r>
            <w:r w:rsidR="00AF5607">
              <w:rPr>
                <w:szCs w:val="20"/>
              </w:rPr>
              <w:t xml:space="preserve"> </w:t>
            </w:r>
            <w:r w:rsidR="00AF5607" w:rsidRPr="00416B54">
              <w:rPr>
                <w:sz w:val="20"/>
                <w:szCs w:val="20"/>
              </w:rPr>
              <w:t>(undated)</w:t>
            </w:r>
          </w:p>
        </w:tc>
      </w:tr>
      <w:tr w:rsidR="004B1DC7" w:rsidRPr="00E83F90" w14:paraId="7B229B3D"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75CDBA84" w14:textId="77777777" w:rsidR="004B1DC7" w:rsidRPr="000151BA" w:rsidRDefault="004B1DC7" w:rsidP="001B449B">
            <w:pPr>
              <w:rPr>
                <w:sz w:val="20"/>
                <w:szCs w:val="20"/>
              </w:rPr>
            </w:pPr>
            <w:r w:rsidRPr="000151BA">
              <w:rPr>
                <w:sz w:val="20"/>
                <w:szCs w:val="20"/>
              </w:rPr>
              <w:t>29</w:t>
            </w:r>
          </w:p>
        </w:tc>
        <w:tc>
          <w:tcPr>
            <w:tcW w:w="8188" w:type="dxa"/>
            <w:noWrap/>
          </w:tcPr>
          <w:p w14:paraId="70795E46" w14:textId="77777777" w:rsidR="004B1DC7" w:rsidRPr="000151BA" w:rsidRDefault="004B1DC7" w:rsidP="00F65774">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DFAT - World Bank SARTFP Framing Paper Feb 2015</w:t>
            </w:r>
          </w:p>
        </w:tc>
      </w:tr>
      <w:tr w:rsidR="004B1DC7" w:rsidRPr="00E83F90" w14:paraId="411D30E4"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79AA5E14" w14:textId="77777777" w:rsidR="004B1DC7" w:rsidRPr="000151BA" w:rsidRDefault="004B1DC7" w:rsidP="001B449B">
            <w:pPr>
              <w:rPr>
                <w:sz w:val="20"/>
                <w:szCs w:val="20"/>
              </w:rPr>
            </w:pPr>
            <w:r w:rsidRPr="000151BA">
              <w:rPr>
                <w:sz w:val="20"/>
                <w:szCs w:val="20"/>
              </w:rPr>
              <w:t>30</w:t>
            </w:r>
          </w:p>
        </w:tc>
        <w:tc>
          <w:tcPr>
            <w:tcW w:w="8188" w:type="dxa"/>
            <w:noWrap/>
          </w:tcPr>
          <w:p w14:paraId="17E82D43" w14:textId="03344ED7" w:rsidR="004B1DC7" w:rsidRPr="000151BA" w:rsidRDefault="00404256" w:rsidP="00F65774">
            <w:pPr>
              <w:cnfStyle w:val="000000100000" w:firstRow="0" w:lastRow="0" w:firstColumn="0" w:lastColumn="0" w:oddVBand="0" w:evenVBand="0" w:oddHBand="1" w:evenHBand="0" w:firstRowFirstColumn="0" w:firstRowLastColumn="0" w:lastRowFirstColumn="0" w:lastRowLastColumn="0"/>
              <w:rPr>
                <w:sz w:val="20"/>
                <w:szCs w:val="20"/>
              </w:rPr>
            </w:pPr>
            <w:r w:rsidRPr="000B29F7">
              <w:rPr>
                <w:bCs/>
                <w:sz w:val="20"/>
                <w:szCs w:val="20"/>
                <w:lang w:val="en-US"/>
              </w:rPr>
              <w:t>DFAT Infrastructure Aid fact sheet, updated October 2017</w:t>
            </w:r>
          </w:p>
        </w:tc>
      </w:tr>
      <w:tr w:rsidR="004B1DC7" w:rsidRPr="00E83F90" w14:paraId="6B91FC3E"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17E97498" w14:textId="77777777" w:rsidR="004B1DC7" w:rsidRPr="000151BA" w:rsidRDefault="004B1DC7" w:rsidP="001B449B">
            <w:pPr>
              <w:rPr>
                <w:sz w:val="20"/>
                <w:szCs w:val="20"/>
              </w:rPr>
            </w:pPr>
            <w:r w:rsidRPr="000151BA">
              <w:rPr>
                <w:sz w:val="20"/>
                <w:szCs w:val="20"/>
              </w:rPr>
              <w:t>31</w:t>
            </w:r>
          </w:p>
        </w:tc>
        <w:tc>
          <w:tcPr>
            <w:tcW w:w="8188" w:type="dxa"/>
            <w:noWrap/>
          </w:tcPr>
          <w:p w14:paraId="722AB5EB" w14:textId="4DC79D07" w:rsidR="004B1DC7" w:rsidRPr="000151BA" w:rsidRDefault="004B1DC7" w:rsidP="00F65774">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IFG Annual Review Report</w:t>
            </w:r>
            <w:r w:rsidR="00BF7795">
              <w:rPr>
                <w:sz w:val="20"/>
                <w:szCs w:val="20"/>
              </w:rPr>
              <w:t>: 2015, 2016</w:t>
            </w:r>
          </w:p>
        </w:tc>
      </w:tr>
      <w:tr w:rsidR="004B1DC7" w:rsidRPr="00E83F90" w14:paraId="61012847"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5A86CABC" w14:textId="77777777" w:rsidR="004B1DC7" w:rsidRPr="000151BA" w:rsidRDefault="004B1DC7" w:rsidP="001B449B">
            <w:pPr>
              <w:rPr>
                <w:sz w:val="20"/>
                <w:szCs w:val="20"/>
              </w:rPr>
            </w:pPr>
            <w:r w:rsidRPr="000151BA">
              <w:rPr>
                <w:sz w:val="20"/>
                <w:szCs w:val="20"/>
              </w:rPr>
              <w:t>32</w:t>
            </w:r>
          </w:p>
        </w:tc>
        <w:tc>
          <w:tcPr>
            <w:tcW w:w="8188" w:type="dxa"/>
            <w:noWrap/>
          </w:tcPr>
          <w:p w14:paraId="001C8403" w14:textId="77777777" w:rsidR="004B1DC7" w:rsidRPr="000151BA" w:rsidRDefault="004B1DC7" w:rsidP="00F65774">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2016 DRAFT IFG Annex March 24 2017</w:t>
            </w:r>
          </w:p>
        </w:tc>
      </w:tr>
      <w:tr w:rsidR="004B1DC7" w:rsidRPr="00E83F90" w14:paraId="272C44B6"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047306B0" w14:textId="77777777" w:rsidR="004B1DC7" w:rsidRPr="000151BA" w:rsidRDefault="004B1DC7" w:rsidP="001B449B">
            <w:pPr>
              <w:rPr>
                <w:sz w:val="20"/>
                <w:szCs w:val="20"/>
              </w:rPr>
            </w:pPr>
            <w:r w:rsidRPr="000151BA">
              <w:rPr>
                <w:sz w:val="20"/>
                <w:szCs w:val="20"/>
              </w:rPr>
              <w:lastRenderedPageBreak/>
              <w:t>33</w:t>
            </w:r>
          </w:p>
        </w:tc>
        <w:tc>
          <w:tcPr>
            <w:tcW w:w="8188" w:type="dxa"/>
            <w:noWrap/>
          </w:tcPr>
          <w:p w14:paraId="4BD43619" w14:textId="77777777" w:rsidR="004B1DC7" w:rsidRPr="000151BA" w:rsidRDefault="004B1DC7" w:rsidP="00F65774">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Annex A IFG Theory of Change</w:t>
            </w:r>
          </w:p>
        </w:tc>
      </w:tr>
      <w:tr w:rsidR="004B1DC7" w:rsidRPr="00E83F90" w14:paraId="58505384" w14:textId="7777777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874" w:type="dxa"/>
            <w:noWrap/>
          </w:tcPr>
          <w:p w14:paraId="6854B59C" w14:textId="77777777" w:rsidR="004B1DC7" w:rsidRPr="000151BA" w:rsidRDefault="004B1DC7" w:rsidP="001B449B">
            <w:pPr>
              <w:rPr>
                <w:sz w:val="20"/>
                <w:szCs w:val="20"/>
              </w:rPr>
            </w:pPr>
            <w:r w:rsidRPr="000151BA">
              <w:rPr>
                <w:sz w:val="20"/>
                <w:szCs w:val="20"/>
              </w:rPr>
              <w:t>34</w:t>
            </w:r>
          </w:p>
        </w:tc>
        <w:tc>
          <w:tcPr>
            <w:tcW w:w="8188" w:type="dxa"/>
            <w:noWrap/>
          </w:tcPr>
          <w:p w14:paraId="14C8040E" w14:textId="77777777" w:rsidR="004B1DC7" w:rsidRPr="000151BA" w:rsidRDefault="004B1DC7" w:rsidP="00F65774">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Annex B IFG Results Framework</w:t>
            </w:r>
          </w:p>
        </w:tc>
      </w:tr>
      <w:tr w:rsidR="004B1DC7" w:rsidRPr="00E83F90" w14:paraId="7B4A41B6"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1CA0E544" w14:textId="77777777" w:rsidR="004B1DC7" w:rsidRPr="000151BA" w:rsidRDefault="004B1DC7" w:rsidP="001B449B">
            <w:pPr>
              <w:rPr>
                <w:sz w:val="20"/>
                <w:szCs w:val="20"/>
              </w:rPr>
            </w:pPr>
            <w:r w:rsidRPr="000151BA">
              <w:rPr>
                <w:sz w:val="20"/>
                <w:szCs w:val="20"/>
              </w:rPr>
              <w:t>35</w:t>
            </w:r>
          </w:p>
        </w:tc>
        <w:tc>
          <w:tcPr>
            <w:tcW w:w="8188" w:type="dxa"/>
            <w:noWrap/>
          </w:tcPr>
          <w:p w14:paraId="63883446" w14:textId="7DDFFEF7" w:rsidR="004B1DC7" w:rsidRPr="000151BA" w:rsidRDefault="00404256" w:rsidP="00F65774">
            <w:pPr>
              <w:cnfStyle w:val="000000000000" w:firstRow="0" w:lastRow="0" w:firstColumn="0" w:lastColumn="0" w:oddVBand="0" w:evenVBand="0" w:oddHBand="0" w:evenHBand="0" w:firstRowFirstColumn="0" w:firstRowLastColumn="0" w:lastRowFirstColumn="0" w:lastRowLastColumn="0"/>
              <w:rPr>
                <w:sz w:val="20"/>
                <w:szCs w:val="20"/>
              </w:rPr>
            </w:pPr>
            <w:r w:rsidRPr="000B29F7">
              <w:rPr>
                <w:bCs/>
                <w:sz w:val="20"/>
                <w:szCs w:val="20"/>
                <w:lang w:val="en-US"/>
              </w:rPr>
              <w:t>DFAT, Strategy for Australia’s Aid Investments in Infrastructure, July 2015</w:t>
            </w:r>
          </w:p>
        </w:tc>
      </w:tr>
      <w:tr w:rsidR="004B1DC7" w:rsidRPr="00E83F90" w14:paraId="6E703D75"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6AC7CC9D" w14:textId="77777777" w:rsidR="004B1DC7" w:rsidRPr="000151BA" w:rsidRDefault="004B1DC7" w:rsidP="001B449B">
            <w:pPr>
              <w:rPr>
                <w:sz w:val="20"/>
                <w:szCs w:val="20"/>
              </w:rPr>
            </w:pPr>
            <w:r w:rsidRPr="000151BA">
              <w:rPr>
                <w:sz w:val="20"/>
                <w:szCs w:val="20"/>
              </w:rPr>
              <w:t>36</w:t>
            </w:r>
          </w:p>
        </w:tc>
        <w:tc>
          <w:tcPr>
            <w:tcW w:w="8188" w:type="dxa"/>
            <w:noWrap/>
          </w:tcPr>
          <w:p w14:paraId="0E0199A6" w14:textId="78AAC334" w:rsidR="004B1DC7" w:rsidRPr="000151BA" w:rsidRDefault="00BF7795" w:rsidP="00F6577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SARTFP </w:t>
            </w:r>
            <w:r w:rsidR="004B1DC7" w:rsidRPr="000151BA">
              <w:rPr>
                <w:sz w:val="20"/>
                <w:szCs w:val="20"/>
              </w:rPr>
              <w:t>Investment Design Summary Final 19 May 2015</w:t>
            </w:r>
          </w:p>
        </w:tc>
      </w:tr>
      <w:tr w:rsidR="004B1DC7" w:rsidRPr="00E83F90" w14:paraId="295E7F37"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62F2AEA2" w14:textId="77777777" w:rsidR="004B1DC7" w:rsidRPr="000151BA" w:rsidRDefault="004B1DC7" w:rsidP="001B449B">
            <w:pPr>
              <w:rPr>
                <w:sz w:val="20"/>
                <w:szCs w:val="20"/>
              </w:rPr>
            </w:pPr>
            <w:r w:rsidRPr="000151BA">
              <w:rPr>
                <w:sz w:val="20"/>
                <w:szCs w:val="20"/>
              </w:rPr>
              <w:t>37</w:t>
            </w:r>
          </w:p>
        </w:tc>
        <w:tc>
          <w:tcPr>
            <w:tcW w:w="8188" w:type="dxa"/>
            <w:noWrap/>
          </w:tcPr>
          <w:p w14:paraId="132263E2" w14:textId="77777777" w:rsidR="004B1DC7" w:rsidRPr="000151BA" w:rsidRDefault="004B1DC7" w:rsidP="00F65774">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Att 1 SARTFP WB Concept Note</w:t>
            </w:r>
          </w:p>
        </w:tc>
      </w:tr>
      <w:tr w:rsidR="004B1DC7" w:rsidRPr="00E83F90" w14:paraId="65725D25"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2943179B" w14:textId="77777777" w:rsidR="004B1DC7" w:rsidRPr="000151BA" w:rsidRDefault="004B1DC7" w:rsidP="001B449B">
            <w:pPr>
              <w:rPr>
                <w:sz w:val="20"/>
                <w:szCs w:val="20"/>
              </w:rPr>
            </w:pPr>
            <w:r w:rsidRPr="000151BA">
              <w:rPr>
                <w:sz w:val="20"/>
                <w:szCs w:val="20"/>
              </w:rPr>
              <w:t>38</w:t>
            </w:r>
          </w:p>
        </w:tc>
        <w:tc>
          <w:tcPr>
            <w:tcW w:w="8188" w:type="dxa"/>
            <w:noWrap/>
          </w:tcPr>
          <w:p w14:paraId="0DED58BF" w14:textId="77777777" w:rsidR="004B1DC7" w:rsidRPr="000151BA" w:rsidRDefault="004B1DC7" w:rsidP="00F65774">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Att 2 Program logic (SARTFP)</w:t>
            </w:r>
          </w:p>
        </w:tc>
      </w:tr>
      <w:tr w:rsidR="004B1DC7" w:rsidRPr="00E83F90" w14:paraId="50C8CB77"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6F6C3266" w14:textId="77777777" w:rsidR="004B1DC7" w:rsidRPr="000151BA" w:rsidRDefault="004B1DC7" w:rsidP="001B449B">
            <w:pPr>
              <w:rPr>
                <w:sz w:val="20"/>
                <w:szCs w:val="20"/>
              </w:rPr>
            </w:pPr>
            <w:r w:rsidRPr="000151BA">
              <w:rPr>
                <w:sz w:val="20"/>
                <w:szCs w:val="20"/>
              </w:rPr>
              <w:t>39</w:t>
            </w:r>
          </w:p>
        </w:tc>
        <w:tc>
          <w:tcPr>
            <w:tcW w:w="8188" w:type="dxa"/>
            <w:noWrap/>
          </w:tcPr>
          <w:p w14:paraId="24D66AB8" w14:textId="15453960" w:rsidR="004B1DC7" w:rsidRPr="000151BA" w:rsidRDefault="004B1DC7" w:rsidP="00F65774">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Att 3 SARTFP T</w:t>
            </w:r>
            <w:r w:rsidR="00BF7795">
              <w:rPr>
                <w:sz w:val="20"/>
                <w:szCs w:val="20"/>
              </w:rPr>
              <w:t xml:space="preserve">echnical </w:t>
            </w:r>
            <w:r w:rsidRPr="000151BA">
              <w:rPr>
                <w:sz w:val="20"/>
                <w:szCs w:val="20"/>
              </w:rPr>
              <w:t>A</w:t>
            </w:r>
            <w:r w:rsidR="00BF7795">
              <w:rPr>
                <w:sz w:val="20"/>
                <w:szCs w:val="20"/>
              </w:rPr>
              <w:t xml:space="preserve">dvisory </w:t>
            </w:r>
            <w:r w:rsidRPr="000151BA">
              <w:rPr>
                <w:sz w:val="20"/>
                <w:szCs w:val="20"/>
              </w:rPr>
              <w:t>F</w:t>
            </w:r>
            <w:r w:rsidR="00BF7795">
              <w:rPr>
                <w:sz w:val="20"/>
                <w:szCs w:val="20"/>
              </w:rPr>
              <w:t>acilty</w:t>
            </w:r>
            <w:r w:rsidRPr="000151BA">
              <w:rPr>
                <w:sz w:val="20"/>
                <w:szCs w:val="20"/>
              </w:rPr>
              <w:t xml:space="preserve"> </w:t>
            </w:r>
            <w:r w:rsidR="00BF7795">
              <w:rPr>
                <w:sz w:val="20"/>
                <w:szCs w:val="20"/>
              </w:rPr>
              <w:t>Terms of Reference</w:t>
            </w:r>
          </w:p>
        </w:tc>
      </w:tr>
      <w:tr w:rsidR="004B1DC7" w:rsidRPr="00E83F90" w14:paraId="44B45DB8"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42327E08" w14:textId="77777777" w:rsidR="004B1DC7" w:rsidRPr="000151BA" w:rsidRDefault="004B1DC7" w:rsidP="001B449B">
            <w:pPr>
              <w:rPr>
                <w:sz w:val="20"/>
                <w:szCs w:val="20"/>
              </w:rPr>
            </w:pPr>
            <w:r w:rsidRPr="000151BA">
              <w:rPr>
                <w:sz w:val="20"/>
                <w:szCs w:val="20"/>
              </w:rPr>
              <w:t>40</w:t>
            </w:r>
          </w:p>
        </w:tc>
        <w:tc>
          <w:tcPr>
            <w:tcW w:w="8188" w:type="dxa"/>
            <w:noWrap/>
          </w:tcPr>
          <w:p w14:paraId="2619BEAB" w14:textId="525E626E" w:rsidR="004B1DC7" w:rsidRPr="000151BA" w:rsidRDefault="00314C5E" w:rsidP="00314C5E">
            <w:pPr>
              <w:cnfStyle w:val="000000100000" w:firstRow="0" w:lastRow="0" w:firstColumn="0" w:lastColumn="0" w:oddVBand="0" w:evenVBand="0" w:oddHBand="1" w:evenHBand="0" w:firstRowFirstColumn="0" w:firstRowLastColumn="0" w:lastRowFirstColumn="0" w:lastRowLastColumn="0"/>
              <w:rPr>
                <w:sz w:val="20"/>
                <w:szCs w:val="20"/>
              </w:rPr>
            </w:pPr>
            <w:r w:rsidRPr="00314C5E">
              <w:rPr>
                <w:sz w:val="20"/>
                <w:szCs w:val="20"/>
              </w:rPr>
              <w:t xml:space="preserve">Bamber, Penny, and Cornelia Staritz. 2016. The Gender Dimensions of Global Value Chains. Geneva: International Centre for Trade and Sustainable Development (ICTSD). </w:t>
            </w:r>
          </w:p>
        </w:tc>
      </w:tr>
      <w:tr w:rsidR="004B1DC7" w:rsidRPr="00E83F90" w14:paraId="4E32BEBD"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567C2D24" w14:textId="77777777" w:rsidR="004B1DC7" w:rsidRPr="000151BA" w:rsidRDefault="004B1DC7" w:rsidP="001B449B">
            <w:pPr>
              <w:rPr>
                <w:sz w:val="20"/>
                <w:szCs w:val="20"/>
              </w:rPr>
            </w:pPr>
            <w:r w:rsidRPr="000151BA">
              <w:rPr>
                <w:sz w:val="20"/>
                <w:szCs w:val="20"/>
              </w:rPr>
              <w:t>41</w:t>
            </w:r>
          </w:p>
        </w:tc>
        <w:tc>
          <w:tcPr>
            <w:tcW w:w="8188" w:type="dxa"/>
            <w:noWrap/>
          </w:tcPr>
          <w:p w14:paraId="74DC9AFC" w14:textId="680C23A9" w:rsidR="004B1DC7" w:rsidRPr="00416B54" w:rsidRDefault="004B1DC7" w:rsidP="00F65774">
            <w:pP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151BA">
              <w:rPr>
                <w:sz w:val="20"/>
                <w:szCs w:val="20"/>
              </w:rPr>
              <w:t>Working with the World Bank on Gender Equality 2 clean</w:t>
            </w:r>
            <w:r w:rsidR="00BF7795" w:rsidRPr="00416B54">
              <w:rPr>
                <w:sz w:val="20"/>
                <w:szCs w:val="20"/>
              </w:rPr>
              <w:t xml:space="preserve"> </w:t>
            </w:r>
            <w:bookmarkStart w:id="70" w:name="_Toc370578061"/>
            <w:r w:rsidR="00BF7795" w:rsidRPr="00416B54">
              <w:rPr>
                <w:sz w:val="20"/>
                <w:szCs w:val="20"/>
              </w:rPr>
              <w:t>(</w:t>
            </w:r>
            <w:r w:rsidR="00BF7795" w:rsidRPr="00416B54">
              <w:rPr>
                <w:bCs/>
                <w:sz w:val="20"/>
                <w:szCs w:val="20"/>
                <w:lang w:val="en-US"/>
              </w:rPr>
              <w:t>A note prepared for DFAT team working on Pakistan</w:t>
            </w:r>
            <w:bookmarkStart w:id="71" w:name="_Toc370578062"/>
            <w:bookmarkEnd w:id="70"/>
            <w:r w:rsidR="00BF7795" w:rsidRPr="00416B54">
              <w:rPr>
                <w:bCs/>
                <w:sz w:val="20"/>
                <w:szCs w:val="20"/>
                <w:lang w:val="en-US"/>
              </w:rPr>
              <w:t>) October 2017</w:t>
            </w:r>
            <w:bookmarkEnd w:id="71"/>
          </w:p>
        </w:tc>
      </w:tr>
      <w:tr w:rsidR="004B1DC7" w:rsidRPr="00E83F90" w14:paraId="158C34EF"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0BCC48FB" w14:textId="77777777" w:rsidR="004B1DC7" w:rsidRPr="000151BA" w:rsidRDefault="004B1DC7" w:rsidP="001B449B">
            <w:pPr>
              <w:rPr>
                <w:sz w:val="20"/>
                <w:szCs w:val="20"/>
              </w:rPr>
            </w:pPr>
            <w:r w:rsidRPr="000151BA">
              <w:rPr>
                <w:sz w:val="20"/>
                <w:szCs w:val="20"/>
              </w:rPr>
              <w:t>42</w:t>
            </w:r>
          </w:p>
        </w:tc>
        <w:tc>
          <w:tcPr>
            <w:tcW w:w="8188" w:type="dxa"/>
            <w:noWrap/>
          </w:tcPr>
          <w:p w14:paraId="4274CA93" w14:textId="24236FBB" w:rsidR="004B1DC7" w:rsidRPr="000151BA" w:rsidRDefault="004B1DC7" w:rsidP="007D1047">
            <w:pPr>
              <w:cnfStyle w:val="000000100000" w:firstRow="0" w:lastRow="0" w:firstColumn="0" w:lastColumn="0" w:oddVBand="0" w:evenVBand="0" w:oddHBand="1" w:evenHBand="0" w:firstRowFirstColumn="0" w:firstRowLastColumn="0" w:lastRowFirstColumn="0" w:lastRowLastColumn="0"/>
              <w:rPr>
                <w:sz w:val="20"/>
                <w:szCs w:val="20"/>
              </w:rPr>
            </w:pPr>
            <w:r w:rsidRPr="000151BA">
              <w:rPr>
                <w:sz w:val="20"/>
                <w:szCs w:val="20"/>
              </w:rPr>
              <w:t>WTO_UNCTAD Public Forum Event Report</w:t>
            </w:r>
          </w:p>
        </w:tc>
      </w:tr>
      <w:tr w:rsidR="00F3230E" w:rsidRPr="00E83F90" w14:paraId="51CFA872"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33935550" w14:textId="5BC4FF5E" w:rsidR="00F3230E" w:rsidRPr="000151BA" w:rsidRDefault="00F3230E" w:rsidP="001B449B">
            <w:pPr>
              <w:rPr>
                <w:sz w:val="20"/>
                <w:szCs w:val="20"/>
              </w:rPr>
            </w:pPr>
            <w:r>
              <w:rPr>
                <w:sz w:val="20"/>
                <w:szCs w:val="20"/>
              </w:rPr>
              <w:t>43</w:t>
            </w:r>
          </w:p>
        </w:tc>
        <w:tc>
          <w:tcPr>
            <w:tcW w:w="8188" w:type="dxa"/>
            <w:noWrap/>
          </w:tcPr>
          <w:p w14:paraId="4605E644" w14:textId="77777777" w:rsidR="00F3230E" w:rsidRPr="00F3230E" w:rsidRDefault="00F3230E" w:rsidP="00F3230E">
            <w:pPr>
              <w:cnfStyle w:val="000000000000" w:firstRow="0" w:lastRow="0" w:firstColumn="0" w:lastColumn="0" w:oddVBand="0" w:evenVBand="0" w:oddHBand="0" w:evenHBand="0" w:firstRowFirstColumn="0" w:firstRowLastColumn="0" w:lastRowFirstColumn="0" w:lastRowLastColumn="0"/>
              <w:rPr>
                <w:sz w:val="20"/>
                <w:szCs w:val="20"/>
              </w:rPr>
            </w:pPr>
            <w:r w:rsidRPr="00F3230E">
              <w:rPr>
                <w:sz w:val="20"/>
                <w:szCs w:val="20"/>
              </w:rPr>
              <w:t>DFAT, ‘2017 Foreign Policy White Paper’, Canberra</w:t>
            </w:r>
          </w:p>
          <w:p w14:paraId="363CB3EF" w14:textId="09F2FC3E" w:rsidR="00F3230E" w:rsidRPr="000151BA" w:rsidRDefault="00416477" w:rsidP="007D1047">
            <w:pPr>
              <w:cnfStyle w:val="000000000000" w:firstRow="0" w:lastRow="0" w:firstColumn="0" w:lastColumn="0" w:oddVBand="0" w:evenVBand="0" w:oddHBand="0" w:evenHBand="0" w:firstRowFirstColumn="0" w:firstRowLastColumn="0" w:lastRowFirstColumn="0" w:lastRowLastColumn="0"/>
              <w:rPr>
                <w:sz w:val="20"/>
                <w:szCs w:val="20"/>
              </w:rPr>
            </w:pPr>
            <w:hyperlink r:id="rId16" w:history="1">
              <w:r w:rsidR="00C34FE2" w:rsidRPr="00C34FE2">
                <w:rPr>
                  <w:rStyle w:val="Hyperlink"/>
                  <w:sz w:val="20"/>
                  <w:szCs w:val="20"/>
                </w:rPr>
                <w:t>https://www.fpwhitepaper.gov.au/</w:t>
              </w:r>
            </w:hyperlink>
          </w:p>
        </w:tc>
      </w:tr>
      <w:tr w:rsidR="001939DA" w:rsidRPr="00E83F90" w14:paraId="687C1CD7"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4DB8D0AE" w14:textId="39515AB3" w:rsidR="001939DA" w:rsidRDefault="001939DA" w:rsidP="001B449B">
            <w:pPr>
              <w:rPr>
                <w:sz w:val="20"/>
                <w:szCs w:val="20"/>
              </w:rPr>
            </w:pPr>
            <w:r>
              <w:rPr>
                <w:sz w:val="20"/>
                <w:szCs w:val="20"/>
              </w:rPr>
              <w:t>44</w:t>
            </w:r>
          </w:p>
        </w:tc>
        <w:tc>
          <w:tcPr>
            <w:tcW w:w="8188" w:type="dxa"/>
            <w:noWrap/>
          </w:tcPr>
          <w:p w14:paraId="462A86A4" w14:textId="0D9B1BB5" w:rsidR="001939DA" w:rsidRPr="00F3230E" w:rsidRDefault="001939DA" w:rsidP="00F3230E">
            <w:pPr>
              <w:cnfStyle w:val="000000100000" w:firstRow="0" w:lastRow="0" w:firstColumn="0" w:lastColumn="0" w:oddVBand="0" w:evenVBand="0" w:oddHBand="1" w:evenHBand="0" w:firstRowFirstColumn="0" w:firstRowLastColumn="0" w:lastRowFirstColumn="0" w:lastRowLastColumn="0"/>
              <w:rPr>
                <w:sz w:val="20"/>
                <w:szCs w:val="20"/>
              </w:rPr>
            </w:pPr>
            <w:r w:rsidRPr="00F3230E">
              <w:rPr>
                <w:sz w:val="20"/>
                <w:szCs w:val="20"/>
              </w:rPr>
              <w:t>Freeman, P. 2015. Independent Mid-term Review of the Australian Foreign Affairs and Trade – World Bank Partnership for South Asia. Australian Government and World Bank.</w:t>
            </w:r>
          </w:p>
        </w:tc>
      </w:tr>
      <w:tr w:rsidR="00F3230E" w:rsidRPr="00E83F90" w14:paraId="438621E5"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037BFAFC" w14:textId="49C387AD" w:rsidR="00F3230E" w:rsidRPr="000151BA" w:rsidRDefault="001939DA" w:rsidP="001B449B">
            <w:pPr>
              <w:rPr>
                <w:sz w:val="20"/>
                <w:szCs w:val="20"/>
              </w:rPr>
            </w:pPr>
            <w:r>
              <w:rPr>
                <w:sz w:val="20"/>
                <w:szCs w:val="20"/>
              </w:rPr>
              <w:t>45</w:t>
            </w:r>
          </w:p>
        </w:tc>
        <w:tc>
          <w:tcPr>
            <w:tcW w:w="8188" w:type="dxa"/>
            <w:noWrap/>
          </w:tcPr>
          <w:p w14:paraId="4658461A" w14:textId="4B64B647" w:rsidR="00F3230E" w:rsidRPr="000151BA" w:rsidRDefault="00F3230E" w:rsidP="007D1047">
            <w:pPr>
              <w:cnfStyle w:val="000000000000" w:firstRow="0" w:lastRow="0" w:firstColumn="0" w:lastColumn="0" w:oddVBand="0" w:evenVBand="0" w:oddHBand="0" w:evenHBand="0" w:firstRowFirstColumn="0" w:firstRowLastColumn="0" w:lastRowFirstColumn="0" w:lastRowLastColumn="0"/>
              <w:rPr>
                <w:sz w:val="20"/>
                <w:szCs w:val="20"/>
              </w:rPr>
            </w:pPr>
            <w:r w:rsidRPr="00F3230E">
              <w:rPr>
                <w:sz w:val="20"/>
                <w:szCs w:val="20"/>
              </w:rPr>
              <w:t>Gender Analysis of Access to Power, North Eastern Region Power System Improvement Project, The World Bank, September 2015</w:t>
            </w:r>
          </w:p>
        </w:tc>
      </w:tr>
      <w:tr w:rsidR="00F3230E" w:rsidRPr="00E83F90" w14:paraId="3DBBC3CF"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45088735" w14:textId="6D38D7AE" w:rsidR="00F3230E" w:rsidRPr="000151BA" w:rsidRDefault="001939DA" w:rsidP="001B449B">
            <w:pPr>
              <w:rPr>
                <w:sz w:val="20"/>
                <w:szCs w:val="20"/>
              </w:rPr>
            </w:pPr>
            <w:r>
              <w:rPr>
                <w:sz w:val="20"/>
                <w:szCs w:val="20"/>
              </w:rPr>
              <w:t>46</w:t>
            </w:r>
          </w:p>
        </w:tc>
        <w:tc>
          <w:tcPr>
            <w:tcW w:w="8188" w:type="dxa"/>
            <w:noWrap/>
          </w:tcPr>
          <w:p w14:paraId="7337C635" w14:textId="472D9632" w:rsidR="00F3230E" w:rsidRPr="000151BA" w:rsidRDefault="00F3230E" w:rsidP="007D1047">
            <w:pPr>
              <w:cnfStyle w:val="000000100000" w:firstRow="0" w:lastRow="0" w:firstColumn="0" w:lastColumn="0" w:oddVBand="0" w:evenVBand="0" w:oddHBand="1" w:evenHBand="0" w:firstRowFirstColumn="0" w:firstRowLastColumn="0" w:lastRowFirstColumn="0" w:lastRowLastColumn="0"/>
              <w:rPr>
                <w:sz w:val="20"/>
                <w:szCs w:val="20"/>
              </w:rPr>
            </w:pPr>
            <w:r w:rsidRPr="00F3230E">
              <w:rPr>
                <w:sz w:val="20"/>
                <w:szCs w:val="20"/>
              </w:rPr>
              <w:t>Lighting the way in Manipur, Case Study on Institutional Strengthening and Capacity Building Reforms for Manipur State Power Distribution Company Limited, The World Bank, February 2016</w:t>
            </w:r>
          </w:p>
        </w:tc>
      </w:tr>
      <w:tr w:rsidR="00F3230E" w:rsidRPr="00E83F90" w14:paraId="44C4FE95"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166839D9" w14:textId="38B71444" w:rsidR="00F3230E" w:rsidRPr="000151BA" w:rsidRDefault="00F3230E" w:rsidP="001B449B">
            <w:pPr>
              <w:rPr>
                <w:sz w:val="20"/>
                <w:szCs w:val="20"/>
              </w:rPr>
            </w:pPr>
            <w:r>
              <w:rPr>
                <w:sz w:val="20"/>
                <w:szCs w:val="20"/>
              </w:rPr>
              <w:t>4</w:t>
            </w:r>
            <w:r w:rsidR="001939DA">
              <w:rPr>
                <w:sz w:val="20"/>
                <w:szCs w:val="20"/>
              </w:rPr>
              <w:t>7</w:t>
            </w:r>
          </w:p>
        </w:tc>
        <w:tc>
          <w:tcPr>
            <w:tcW w:w="8188" w:type="dxa"/>
            <w:noWrap/>
          </w:tcPr>
          <w:p w14:paraId="37800177" w14:textId="68B3D0EF" w:rsidR="00F3230E" w:rsidRPr="000151BA" w:rsidRDefault="00416477" w:rsidP="007D1047">
            <w:pPr>
              <w:cnfStyle w:val="000000000000" w:firstRow="0" w:lastRow="0" w:firstColumn="0" w:lastColumn="0" w:oddVBand="0" w:evenVBand="0" w:oddHBand="0" w:evenHBand="0" w:firstRowFirstColumn="0" w:firstRowLastColumn="0" w:lastRowFirstColumn="0" w:lastRowLastColumn="0"/>
              <w:rPr>
                <w:sz w:val="20"/>
                <w:szCs w:val="20"/>
              </w:rPr>
            </w:pPr>
            <w:hyperlink r:id="rId17" w:history="1">
              <w:r w:rsidR="00F3230E" w:rsidRPr="00F3230E">
                <w:rPr>
                  <w:rStyle w:val="Hyperlink"/>
                  <w:sz w:val="20"/>
                  <w:szCs w:val="20"/>
                </w:rPr>
                <w:t>https://www.railway-technology.com/projects/eastern-dedicated-freight-corridor-edfc/</w:t>
              </w:r>
            </w:hyperlink>
          </w:p>
        </w:tc>
      </w:tr>
      <w:tr w:rsidR="00F3230E" w:rsidRPr="00E83F90" w14:paraId="1AFA4E83"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18A22375" w14:textId="62913776" w:rsidR="00F3230E" w:rsidRPr="000151BA" w:rsidRDefault="00F3230E" w:rsidP="001B449B">
            <w:pPr>
              <w:rPr>
                <w:sz w:val="20"/>
                <w:szCs w:val="20"/>
              </w:rPr>
            </w:pPr>
            <w:r>
              <w:rPr>
                <w:sz w:val="20"/>
                <w:szCs w:val="20"/>
              </w:rPr>
              <w:t>4</w:t>
            </w:r>
            <w:r w:rsidR="001939DA">
              <w:rPr>
                <w:sz w:val="20"/>
                <w:szCs w:val="20"/>
              </w:rPr>
              <w:t>8</w:t>
            </w:r>
          </w:p>
        </w:tc>
        <w:tc>
          <w:tcPr>
            <w:tcW w:w="8188" w:type="dxa"/>
            <w:noWrap/>
          </w:tcPr>
          <w:p w14:paraId="1F36F8FA" w14:textId="5CB70771" w:rsidR="00F3230E" w:rsidRPr="000151BA" w:rsidRDefault="00F3230E" w:rsidP="007D1047">
            <w:pPr>
              <w:cnfStyle w:val="000000100000" w:firstRow="0" w:lastRow="0" w:firstColumn="0" w:lastColumn="0" w:oddVBand="0" w:evenVBand="0" w:oddHBand="1" w:evenHBand="0" w:firstRowFirstColumn="0" w:firstRowLastColumn="0" w:lastRowFirstColumn="0" w:lastRowLastColumn="0"/>
              <w:rPr>
                <w:sz w:val="20"/>
                <w:szCs w:val="20"/>
              </w:rPr>
            </w:pPr>
            <w:r w:rsidRPr="00F3230E">
              <w:rPr>
                <w:b/>
                <w:bCs/>
                <w:sz w:val="20"/>
                <w:szCs w:val="20"/>
              </w:rPr>
              <w:t xml:space="preserve">The Operator’s Story, </w:t>
            </w:r>
            <w:r w:rsidRPr="00F3230E">
              <w:rPr>
                <w:sz w:val="20"/>
                <w:szCs w:val="20"/>
              </w:rPr>
              <w:t>Emerging Findings, Railway and Transport Strategy Centre, OECD ITF 2017, Leipzig May 2017</w:t>
            </w:r>
          </w:p>
        </w:tc>
      </w:tr>
      <w:tr w:rsidR="00F3230E" w:rsidRPr="00E83F90" w14:paraId="14829EFD"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2F16F823" w14:textId="7809A3FF" w:rsidR="00F3230E" w:rsidRPr="000151BA" w:rsidRDefault="00F3230E" w:rsidP="001B449B">
            <w:pPr>
              <w:rPr>
                <w:sz w:val="20"/>
                <w:szCs w:val="20"/>
              </w:rPr>
            </w:pPr>
            <w:r>
              <w:rPr>
                <w:sz w:val="20"/>
                <w:szCs w:val="20"/>
              </w:rPr>
              <w:t>4</w:t>
            </w:r>
            <w:r w:rsidR="001939DA">
              <w:rPr>
                <w:sz w:val="20"/>
                <w:szCs w:val="20"/>
              </w:rPr>
              <w:t>9</w:t>
            </w:r>
          </w:p>
        </w:tc>
        <w:tc>
          <w:tcPr>
            <w:tcW w:w="8188" w:type="dxa"/>
            <w:noWrap/>
          </w:tcPr>
          <w:p w14:paraId="1F3A23F8" w14:textId="09BD7365" w:rsidR="00F3230E" w:rsidRPr="000151BA" w:rsidRDefault="00F3230E" w:rsidP="007D1047">
            <w:pPr>
              <w:cnfStyle w:val="000000000000" w:firstRow="0" w:lastRow="0" w:firstColumn="0" w:lastColumn="0" w:oddVBand="0" w:evenVBand="0" w:oddHBand="0" w:evenHBand="0" w:firstRowFirstColumn="0" w:firstRowLastColumn="0" w:lastRowFirstColumn="0" w:lastRowLastColumn="0"/>
              <w:rPr>
                <w:sz w:val="20"/>
                <w:szCs w:val="20"/>
              </w:rPr>
            </w:pPr>
            <w:r w:rsidRPr="00F3230E">
              <w:rPr>
                <w:sz w:val="20"/>
                <w:szCs w:val="20"/>
              </w:rPr>
              <w:t>ITF (2008), The Wider Economic Benefits of Transport: Macro-, Meso- and Micro-Economic Transport Planning and Investment Tools, ITF Round Tables, No. 140, OECD Publishing, Paris</w:t>
            </w:r>
          </w:p>
        </w:tc>
      </w:tr>
      <w:tr w:rsidR="00F3230E" w:rsidRPr="00E83F90" w14:paraId="1C1FEC0A"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5791BEA3" w14:textId="24E570B0" w:rsidR="00F3230E" w:rsidRPr="000151BA" w:rsidRDefault="001939DA" w:rsidP="001B449B">
            <w:pPr>
              <w:rPr>
                <w:sz w:val="20"/>
                <w:szCs w:val="20"/>
              </w:rPr>
            </w:pPr>
            <w:r>
              <w:rPr>
                <w:sz w:val="20"/>
                <w:szCs w:val="20"/>
              </w:rPr>
              <w:t>50</w:t>
            </w:r>
          </w:p>
        </w:tc>
        <w:tc>
          <w:tcPr>
            <w:tcW w:w="8188" w:type="dxa"/>
            <w:noWrap/>
          </w:tcPr>
          <w:p w14:paraId="0D4B4843" w14:textId="66C84A39" w:rsidR="00F3230E" w:rsidRPr="000151BA" w:rsidRDefault="00416477" w:rsidP="007D1047">
            <w:pPr>
              <w:cnfStyle w:val="000000100000" w:firstRow="0" w:lastRow="0" w:firstColumn="0" w:lastColumn="0" w:oddVBand="0" w:evenVBand="0" w:oddHBand="1" w:evenHBand="0" w:firstRowFirstColumn="0" w:firstRowLastColumn="0" w:lastRowFirstColumn="0" w:lastRowLastColumn="0"/>
              <w:rPr>
                <w:sz w:val="20"/>
                <w:szCs w:val="20"/>
              </w:rPr>
            </w:pPr>
            <w:hyperlink r:id="rId18" w:history="1">
              <w:r w:rsidR="00F3230E" w:rsidRPr="00F3230E">
                <w:rPr>
                  <w:rStyle w:val="Hyperlink"/>
                  <w:sz w:val="20"/>
                  <w:szCs w:val="20"/>
                </w:rPr>
                <w:t>http://www.imperial.ac.uk/transport-studies/railway-and-transport-strategy</w:t>
              </w:r>
            </w:hyperlink>
          </w:p>
        </w:tc>
      </w:tr>
      <w:tr w:rsidR="00F3230E" w:rsidRPr="00E83F90" w14:paraId="11DEE4BB"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17590184" w14:textId="1120DDF1" w:rsidR="00F3230E" w:rsidRPr="000151BA" w:rsidRDefault="00F3230E" w:rsidP="001B449B">
            <w:pPr>
              <w:rPr>
                <w:sz w:val="20"/>
                <w:szCs w:val="20"/>
              </w:rPr>
            </w:pPr>
            <w:r>
              <w:rPr>
                <w:sz w:val="20"/>
                <w:szCs w:val="20"/>
              </w:rPr>
              <w:t>5</w:t>
            </w:r>
            <w:r w:rsidR="001939DA">
              <w:rPr>
                <w:sz w:val="20"/>
                <w:szCs w:val="20"/>
              </w:rPr>
              <w:t>1</w:t>
            </w:r>
          </w:p>
        </w:tc>
        <w:tc>
          <w:tcPr>
            <w:tcW w:w="8188" w:type="dxa"/>
            <w:noWrap/>
          </w:tcPr>
          <w:p w14:paraId="4C9BD8F4" w14:textId="682FE8AF" w:rsidR="00F3230E" w:rsidRPr="000151BA" w:rsidRDefault="00F3230E" w:rsidP="007D1047">
            <w:pPr>
              <w:cnfStyle w:val="000000000000" w:firstRow="0" w:lastRow="0" w:firstColumn="0" w:lastColumn="0" w:oddVBand="0" w:evenVBand="0" w:oddHBand="0" w:evenHBand="0" w:firstRowFirstColumn="0" w:firstRowLastColumn="0" w:lastRowFirstColumn="0" w:lastRowLastColumn="0"/>
              <w:rPr>
                <w:sz w:val="20"/>
                <w:szCs w:val="20"/>
              </w:rPr>
            </w:pPr>
            <w:r w:rsidRPr="00F3230E">
              <w:rPr>
                <w:sz w:val="20"/>
                <w:szCs w:val="20"/>
              </w:rPr>
              <w:t>Mani, Muthukumara; Bandyopadhyay, Sushenjit; Chonabayashi, Shun; Markandya, Anil; Mosier, Thomas. 2018. South Asia's Hotspots : Impacts of Temperature and Precipitation Changes on Living Standards. South Asia Development Matters, Washington, DC: World Bank. </w:t>
            </w:r>
            <w:hyperlink r:id="rId19" w:history="1">
              <w:r w:rsidRPr="00F3230E">
                <w:rPr>
                  <w:rStyle w:val="Hyperlink"/>
                  <w:i/>
                  <w:iCs/>
                  <w:sz w:val="20"/>
                  <w:szCs w:val="20"/>
                </w:rPr>
                <w:t>https://openknowledge.worldbank.org/handle/10986/28723</w:t>
              </w:r>
            </w:hyperlink>
            <w:r w:rsidRPr="00F3230E">
              <w:rPr>
                <w:sz w:val="20"/>
                <w:szCs w:val="20"/>
              </w:rPr>
              <w:t> </w:t>
            </w:r>
          </w:p>
        </w:tc>
      </w:tr>
      <w:tr w:rsidR="00F3230E" w:rsidRPr="00E83F90" w14:paraId="3D9BCC12"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22CA2616" w14:textId="34EF1D66" w:rsidR="00F3230E" w:rsidRPr="000151BA" w:rsidRDefault="00F3230E" w:rsidP="001B449B">
            <w:pPr>
              <w:rPr>
                <w:sz w:val="20"/>
                <w:szCs w:val="20"/>
              </w:rPr>
            </w:pPr>
            <w:r>
              <w:rPr>
                <w:sz w:val="20"/>
                <w:szCs w:val="20"/>
              </w:rPr>
              <w:t>5</w:t>
            </w:r>
            <w:r w:rsidR="001939DA">
              <w:rPr>
                <w:sz w:val="20"/>
                <w:szCs w:val="20"/>
              </w:rPr>
              <w:t>2</w:t>
            </w:r>
          </w:p>
        </w:tc>
        <w:tc>
          <w:tcPr>
            <w:tcW w:w="8188" w:type="dxa"/>
            <w:noWrap/>
          </w:tcPr>
          <w:p w14:paraId="4023EF30" w14:textId="09F73852" w:rsidR="00F3230E" w:rsidRPr="000151BA" w:rsidRDefault="00416477" w:rsidP="007D1047">
            <w:pPr>
              <w:cnfStyle w:val="000000100000" w:firstRow="0" w:lastRow="0" w:firstColumn="0" w:lastColumn="0" w:oddVBand="0" w:evenVBand="0" w:oddHBand="1" w:evenHBand="0" w:firstRowFirstColumn="0" w:firstRowLastColumn="0" w:lastRowFirstColumn="0" w:lastRowLastColumn="0"/>
              <w:rPr>
                <w:sz w:val="20"/>
                <w:szCs w:val="20"/>
              </w:rPr>
            </w:pPr>
            <w:hyperlink r:id="rId20" w:history="1">
              <w:r w:rsidR="00F3230E" w:rsidRPr="00F3230E">
                <w:rPr>
                  <w:rStyle w:val="Hyperlink"/>
                  <w:sz w:val="20"/>
                  <w:szCs w:val="20"/>
                </w:rPr>
                <w:t>http://iresearch.worldbank.org/PovcalNet/povDuplicateWB.aspx;</w:t>
              </w:r>
            </w:hyperlink>
            <w:r w:rsidR="00F3230E" w:rsidRPr="00F3230E">
              <w:rPr>
                <w:sz w:val="20"/>
                <w:szCs w:val="20"/>
              </w:rPr>
              <w:t xml:space="preserve"> note that Afghanistan not included in information at the link as no data available.</w:t>
            </w:r>
          </w:p>
        </w:tc>
      </w:tr>
      <w:tr w:rsidR="00F3230E" w:rsidRPr="00E83F90" w14:paraId="40155E78"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36F4E9B7" w14:textId="5447AA65" w:rsidR="00F3230E" w:rsidRPr="000151BA" w:rsidRDefault="00F3230E" w:rsidP="001B449B">
            <w:pPr>
              <w:rPr>
                <w:sz w:val="20"/>
                <w:szCs w:val="20"/>
              </w:rPr>
            </w:pPr>
            <w:r>
              <w:rPr>
                <w:sz w:val="20"/>
                <w:szCs w:val="20"/>
              </w:rPr>
              <w:t>5</w:t>
            </w:r>
            <w:r w:rsidR="001939DA">
              <w:rPr>
                <w:sz w:val="20"/>
                <w:szCs w:val="20"/>
              </w:rPr>
              <w:t>3</w:t>
            </w:r>
          </w:p>
        </w:tc>
        <w:tc>
          <w:tcPr>
            <w:tcW w:w="8188" w:type="dxa"/>
            <w:noWrap/>
          </w:tcPr>
          <w:p w14:paraId="6CB6E8FF" w14:textId="47F825B4" w:rsidR="00F3230E" w:rsidRPr="000151BA" w:rsidRDefault="00F3230E" w:rsidP="007D1047">
            <w:pPr>
              <w:cnfStyle w:val="000000000000" w:firstRow="0" w:lastRow="0" w:firstColumn="0" w:lastColumn="0" w:oddVBand="0" w:evenVBand="0" w:oddHBand="0" w:evenHBand="0" w:firstRowFirstColumn="0" w:firstRowLastColumn="0" w:lastRowFirstColumn="0" w:lastRowLastColumn="0"/>
              <w:rPr>
                <w:sz w:val="20"/>
                <w:szCs w:val="20"/>
              </w:rPr>
            </w:pPr>
            <w:r w:rsidRPr="00F3230E">
              <w:rPr>
                <w:sz w:val="20"/>
                <w:szCs w:val="20"/>
              </w:rPr>
              <w:t>Barro, Robert J.; Lee, Jong-Wha. 2011. </w:t>
            </w:r>
            <w:r w:rsidRPr="00F3230E">
              <w:rPr>
                <w:i/>
                <w:iCs/>
                <w:sz w:val="20"/>
                <w:szCs w:val="20"/>
              </w:rPr>
              <w:t>Costs and Benefits of Economic Integration in Asia</w:t>
            </w:r>
            <w:r w:rsidRPr="00F3230E">
              <w:rPr>
                <w:sz w:val="20"/>
                <w:szCs w:val="20"/>
              </w:rPr>
              <w:t>. Asian Development Bank. </w:t>
            </w:r>
          </w:p>
        </w:tc>
      </w:tr>
      <w:tr w:rsidR="00F3230E" w:rsidRPr="00E83F90" w14:paraId="219A35D6"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5E64C018" w14:textId="5C60C473" w:rsidR="00F3230E" w:rsidRPr="000151BA" w:rsidRDefault="00F3230E" w:rsidP="001B449B">
            <w:pPr>
              <w:rPr>
                <w:sz w:val="20"/>
                <w:szCs w:val="20"/>
              </w:rPr>
            </w:pPr>
            <w:r>
              <w:rPr>
                <w:sz w:val="20"/>
                <w:szCs w:val="20"/>
              </w:rPr>
              <w:t>5</w:t>
            </w:r>
            <w:r w:rsidR="001939DA">
              <w:rPr>
                <w:sz w:val="20"/>
                <w:szCs w:val="20"/>
              </w:rPr>
              <w:t>4</w:t>
            </w:r>
          </w:p>
        </w:tc>
        <w:tc>
          <w:tcPr>
            <w:tcW w:w="8188" w:type="dxa"/>
            <w:noWrap/>
          </w:tcPr>
          <w:p w14:paraId="5A2A3E05" w14:textId="31926248" w:rsidR="00F3230E" w:rsidRPr="000151BA" w:rsidRDefault="00F3230E" w:rsidP="007D1047">
            <w:pPr>
              <w:cnfStyle w:val="000000100000" w:firstRow="0" w:lastRow="0" w:firstColumn="0" w:lastColumn="0" w:oddVBand="0" w:evenVBand="0" w:oddHBand="1" w:evenHBand="0" w:firstRowFirstColumn="0" w:firstRowLastColumn="0" w:lastRowFirstColumn="0" w:lastRowLastColumn="0"/>
              <w:rPr>
                <w:sz w:val="20"/>
                <w:szCs w:val="20"/>
              </w:rPr>
            </w:pPr>
            <w:r w:rsidRPr="00F3230E">
              <w:rPr>
                <w:sz w:val="20"/>
                <w:szCs w:val="20"/>
              </w:rPr>
              <w:t>Pompa, C, (2013), ‘Understanding Challenge Funds’ ODI, London, UK</w:t>
            </w:r>
          </w:p>
        </w:tc>
      </w:tr>
      <w:tr w:rsidR="00F3230E" w:rsidRPr="00E83F90" w14:paraId="0AB7FFD9"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2E9FD5E7" w14:textId="075D4EDD" w:rsidR="00F3230E" w:rsidRPr="000151BA" w:rsidRDefault="00F3230E" w:rsidP="001B449B">
            <w:pPr>
              <w:rPr>
                <w:sz w:val="20"/>
                <w:szCs w:val="20"/>
              </w:rPr>
            </w:pPr>
            <w:r>
              <w:rPr>
                <w:sz w:val="20"/>
                <w:szCs w:val="20"/>
              </w:rPr>
              <w:t>5</w:t>
            </w:r>
            <w:r w:rsidR="001939DA">
              <w:rPr>
                <w:sz w:val="20"/>
                <w:szCs w:val="20"/>
              </w:rPr>
              <w:t>5</w:t>
            </w:r>
          </w:p>
        </w:tc>
        <w:tc>
          <w:tcPr>
            <w:tcW w:w="8188" w:type="dxa"/>
            <w:noWrap/>
          </w:tcPr>
          <w:p w14:paraId="44DDC414" w14:textId="0D2820A5" w:rsidR="00F3230E" w:rsidRPr="000151BA" w:rsidRDefault="00F3230E" w:rsidP="007D1047">
            <w:pPr>
              <w:cnfStyle w:val="000000000000" w:firstRow="0" w:lastRow="0" w:firstColumn="0" w:lastColumn="0" w:oddVBand="0" w:evenVBand="0" w:oddHBand="0" w:evenHBand="0" w:firstRowFirstColumn="0" w:firstRowLastColumn="0" w:lastRowFirstColumn="0" w:lastRowLastColumn="0"/>
              <w:rPr>
                <w:sz w:val="20"/>
                <w:szCs w:val="20"/>
              </w:rPr>
            </w:pPr>
            <w:r w:rsidRPr="00F3230E">
              <w:rPr>
                <w:sz w:val="20"/>
                <w:szCs w:val="20"/>
              </w:rPr>
              <w:t>Korten, D. (1992) ‘Rural development programming: The learning process approach’, in Lynton, R. and Pareek, U. (eds) Facilitating Development: Readings for Trainers, Consultants and Policy-makers, London/New Delhi/Newbury Park (CA), Sage, pp. 338–344.</w:t>
            </w:r>
          </w:p>
        </w:tc>
      </w:tr>
      <w:tr w:rsidR="00F3230E" w:rsidRPr="00E83F90" w14:paraId="2805A890"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1F80213D" w14:textId="50866379" w:rsidR="00F3230E" w:rsidRPr="000151BA" w:rsidRDefault="00F85C6D" w:rsidP="001B449B">
            <w:pPr>
              <w:rPr>
                <w:sz w:val="20"/>
                <w:szCs w:val="20"/>
              </w:rPr>
            </w:pPr>
            <w:r>
              <w:rPr>
                <w:sz w:val="20"/>
                <w:szCs w:val="20"/>
              </w:rPr>
              <w:t>56</w:t>
            </w:r>
          </w:p>
        </w:tc>
        <w:tc>
          <w:tcPr>
            <w:tcW w:w="8188" w:type="dxa"/>
            <w:noWrap/>
          </w:tcPr>
          <w:p w14:paraId="1187F66F" w14:textId="14F1DA90" w:rsidR="00F3230E" w:rsidRPr="00F85C6D" w:rsidRDefault="001939DA" w:rsidP="007D1047">
            <w:pPr>
              <w:cnfStyle w:val="000000100000" w:firstRow="0" w:lastRow="0" w:firstColumn="0" w:lastColumn="0" w:oddVBand="0" w:evenVBand="0" w:oddHBand="1" w:evenHBand="0" w:firstRowFirstColumn="0" w:firstRowLastColumn="0" w:lastRowFirstColumn="0" w:lastRowLastColumn="0"/>
              <w:rPr>
                <w:b/>
                <w:bCs/>
                <w:szCs w:val="20"/>
              </w:rPr>
            </w:pPr>
            <w:r>
              <w:rPr>
                <w:sz w:val="20"/>
                <w:szCs w:val="20"/>
              </w:rPr>
              <w:t xml:space="preserve">International Trade Centre (2015), </w:t>
            </w:r>
            <w:r w:rsidRPr="001939DA">
              <w:rPr>
                <w:sz w:val="20"/>
                <w:szCs w:val="20"/>
              </w:rPr>
              <w:t xml:space="preserve"> </w:t>
            </w:r>
            <w:r w:rsidRPr="001939DA">
              <w:rPr>
                <w:b/>
                <w:bCs/>
                <w:sz w:val="20"/>
                <w:szCs w:val="20"/>
              </w:rPr>
              <w:t>Unlocking Markets for Women to Trade</w:t>
            </w:r>
            <w:r>
              <w:rPr>
                <w:b/>
                <w:bCs/>
                <w:sz w:val="20"/>
                <w:szCs w:val="20"/>
              </w:rPr>
              <w:t xml:space="preserve">, </w:t>
            </w:r>
            <w:r w:rsidRPr="00F85C6D">
              <w:rPr>
                <w:bCs/>
                <w:sz w:val="20"/>
                <w:szCs w:val="20"/>
              </w:rPr>
              <w:t>www.intracen.org</w:t>
            </w:r>
            <w:r w:rsidRPr="001939DA">
              <w:rPr>
                <w:b/>
                <w:bCs/>
                <w:szCs w:val="20"/>
              </w:rPr>
              <w:t xml:space="preserve"> </w:t>
            </w:r>
          </w:p>
        </w:tc>
      </w:tr>
      <w:tr w:rsidR="00F3230E" w:rsidRPr="00E83F90" w14:paraId="5F5F42CA"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7201E843" w14:textId="5A694361" w:rsidR="00F3230E" w:rsidRPr="000151BA" w:rsidRDefault="00F85C6D" w:rsidP="001B449B">
            <w:pPr>
              <w:rPr>
                <w:sz w:val="20"/>
                <w:szCs w:val="20"/>
              </w:rPr>
            </w:pPr>
            <w:r>
              <w:rPr>
                <w:sz w:val="20"/>
                <w:szCs w:val="20"/>
              </w:rPr>
              <w:t>57</w:t>
            </w:r>
          </w:p>
        </w:tc>
        <w:tc>
          <w:tcPr>
            <w:tcW w:w="8188" w:type="dxa"/>
            <w:noWrap/>
          </w:tcPr>
          <w:p w14:paraId="4E384296" w14:textId="0060A282" w:rsidR="00F3230E" w:rsidRPr="000151BA" w:rsidRDefault="001939DA" w:rsidP="007D104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TAF Workshop Report- </w:t>
            </w:r>
            <w:r w:rsidRPr="001939DA">
              <w:rPr>
                <w:b/>
                <w:bCs/>
                <w:sz w:val="20"/>
                <w:szCs w:val="20"/>
                <w:lang w:val="en-US"/>
              </w:rPr>
              <w:t>Gender &amp; Trade Facilitation Workshop –</w:t>
            </w:r>
            <w:r w:rsidRPr="00F85C6D">
              <w:rPr>
                <w:bCs/>
                <w:sz w:val="20"/>
                <w:szCs w:val="20"/>
                <w:lang w:val="en-US"/>
              </w:rPr>
              <w:t>Proceedings Report (Internal)</w:t>
            </w:r>
          </w:p>
        </w:tc>
      </w:tr>
      <w:tr w:rsidR="001E3D16" w:rsidRPr="00E83F90" w14:paraId="75E25363"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566C46CD" w14:textId="346707B9" w:rsidR="001E3D16" w:rsidRPr="000151BA" w:rsidRDefault="00F85C6D" w:rsidP="001B449B">
            <w:pPr>
              <w:rPr>
                <w:sz w:val="20"/>
                <w:szCs w:val="20"/>
              </w:rPr>
            </w:pPr>
            <w:r>
              <w:rPr>
                <w:sz w:val="20"/>
                <w:szCs w:val="20"/>
              </w:rPr>
              <w:lastRenderedPageBreak/>
              <w:t>58</w:t>
            </w:r>
          </w:p>
        </w:tc>
        <w:tc>
          <w:tcPr>
            <w:tcW w:w="8188" w:type="dxa"/>
            <w:noWrap/>
          </w:tcPr>
          <w:p w14:paraId="12E4FD9E" w14:textId="57C17DF1" w:rsidR="001E3D16" w:rsidRPr="00247EB0" w:rsidRDefault="001E3D16" w:rsidP="007D1047">
            <w:pPr>
              <w:cnfStyle w:val="000000100000" w:firstRow="0" w:lastRow="0" w:firstColumn="0" w:lastColumn="0" w:oddVBand="0" w:evenVBand="0" w:oddHBand="1" w:evenHBand="0" w:firstRowFirstColumn="0" w:firstRowLastColumn="0" w:lastRowFirstColumn="0" w:lastRowLastColumn="0"/>
              <w:rPr>
                <w:sz w:val="20"/>
                <w:szCs w:val="20"/>
              </w:rPr>
            </w:pPr>
            <w:r w:rsidRPr="00416B54">
              <w:rPr>
                <w:sz w:val="20"/>
                <w:szCs w:val="20"/>
              </w:rPr>
              <w:t xml:space="preserve">ICRIER, (October 2017), </w:t>
            </w:r>
            <w:r w:rsidRPr="00247EB0">
              <w:rPr>
                <w:b/>
                <w:sz w:val="20"/>
                <w:szCs w:val="20"/>
              </w:rPr>
              <w:t>Trade Facilitation Measures to Enhance Women’s P</w:t>
            </w:r>
            <w:r w:rsidRPr="00DA3A8C">
              <w:rPr>
                <w:b/>
                <w:sz w:val="20"/>
                <w:szCs w:val="20"/>
              </w:rPr>
              <w:t>articipation in Cross-border Trade in BBIN</w:t>
            </w:r>
          </w:p>
        </w:tc>
      </w:tr>
      <w:tr w:rsidR="00C34FE2" w:rsidRPr="00E83F90" w14:paraId="3ABBCC58"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5E46464E" w14:textId="6C76E67C" w:rsidR="00C34FE2" w:rsidRPr="000151BA" w:rsidRDefault="00F85C6D" w:rsidP="001B449B">
            <w:pPr>
              <w:rPr>
                <w:sz w:val="20"/>
                <w:szCs w:val="20"/>
              </w:rPr>
            </w:pPr>
            <w:r>
              <w:rPr>
                <w:sz w:val="20"/>
                <w:szCs w:val="20"/>
              </w:rPr>
              <w:t>59</w:t>
            </w:r>
          </w:p>
        </w:tc>
        <w:tc>
          <w:tcPr>
            <w:tcW w:w="8188" w:type="dxa"/>
            <w:noWrap/>
          </w:tcPr>
          <w:p w14:paraId="49040836" w14:textId="01CE7B10" w:rsidR="00C34FE2" w:rsidRPr="00F85C6D" w:rsidRDefault="00C34FE2" w:rsidP="00C34FE2">
            <w:pPr>
              <w:cnfStyle w:val="000000000000" w:firstRow="0" w:lastRow="0" w:firstColumn="0" w:lastColumn="0" w:oddVBand="0" w:evenVBand="0" w:oddHBand="0" w:evenHBand="0" w:firstRowFirstColumn="0" w:firstRowLastColumn="0" w:lastRowFirstColumn="0" w:lastRowLastColumn="0"/>
              <w:rPr>
                <w:b/>
                <w:bCs/>
                <w:sz w:val="20"/>
                <w:szCs w:val="20"/>
                <w:lang w:val="en-US"/>
              </w:rPr>
            </w:pPr>
            <w:r>
              <w:rPr>
                <w:b/>
                <w:bCs/>
                <w:sz w:val="20"/>
                <w:szCs w:val="20"/>
                <w:lang w:val="en-US"/>
              </w:rPr>
              <w:t xml:space="preserve">UNDP (June 2016), </w:t>
            </w:r>
            <w:r w:rsidRPr="00F85C6D">
              <w:rPr>
                <w:bCs/>
                <w:sz w:val="20"/>
                <w:szCs w:val="20"/>
                <w:lang w:val="en-US"/>
              </w:rPr>
              <w:t xml:space="preserve">TRADE WINDS OF CHANGE: WOMEN ENTREPRENEURS ON THE RISE IN SOUTH ASIA </w:t>
            </w:r>
            <w:hyperlink r:id="rId21" w:history="1">
              <w:r w:rsidRPr="00C34FE2">
                <w:rPr>
                  <w:rStyle w:val="Hyperlink"/>
                  <w:b/>
                  <w:bCs/>
                  <w:sz w:val="20"/>
                  <w:szCs w:val="20"/>
                  <w:lang w:val="en-US"/>
                </w:rPr>
                <w:t>http://www.asia-pacific.undp.org/content/rbap/en/home/library/sustainable-development/trade-winds-of-change.html</w:t>
              </w:r>
            </w:hyperlink>
          </w:p>
        </w:tc>
      </w:tr>
      <w:tr w:rsidR="00340688" w:rsidRPr="00E83F90" w14:paraId="75192FF2"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77350427" w14:textId="31041DEE" w:rsidR="00340688" w:rsidRPr="000151BA" w:rsidRDefault="00F85C6D" w:rsidP="001B449B">
            <w:pPr>
              <w:rPr>
                <w:sz w:val="20"/>
                <w:szCs w:val="20"/>
              </w:rPr>
            </w:pPr>
            <w:r>
              <w:rPr>
                <w:sz w:val="20"/>
                <w:szCs w:val="20"/>
              </w:rPr>
              <w:t>60</w:t>
            </w:r>
          </w:p>
        </w:tc>
        <w:tc>
          <w:tcPr>
            <w:tcW w:w="8188" w:type="dxa"/>
            <w:noWrap/>
          </w:tcPr>
          <w:p w14:paraId="47ED4913" w14:textId="05C2D8C7" w:rsidR="00340688" w:rsidRPr="00416B54" w:rsidRDefault="00340688" w:rsidP="00C34FE2">
            <w:pPr>
              <w:cnfStyle w:val="000000100000" w:firstRow="0" w:lastRow="0" w:firstColumn="0" w:lastColumn="0" w:oddVBand="0" w:evenVBand="0" w:oddHBand="1" w:evenHBand="0" w:firstRowFirstColumn="0" w:firstRowLastColumn="0" w:lastRowFirstColumn="0" w:lastRowLastColumn="0"/>
              <w:rPr>
                <w:b/>
                <w:bCs/>
                <w:sz w:val="20"/>
                <w:szCs w:val="20"/>
              </w:rPr>
            </w:pPr>
            <w:r w:rsidRPr="00416B54">
              <w:rPr>
                <w:bCs/>
                <w:sz w:val="20"/>
                <w:szCs w:val="20"/>
              </w:rPr>
              <w:t>Prasai, S. and Diya Nag (2017),</w:t>
            </w:r>
            <w:r w:rsidRPr="00340688">
              <w:rPr>
                <w:b/>
                <w:bCs/>
                <w:sz w:val="20"/>
                <w:szCs w:val="20"/>
              </w:rPr>
              <w:t xml:space="preserve"> ‘Expanding the Benefits of Trade to Women in the BBIN Region: A Program Design Primer’, </w:t>
            </w:r>
            <w:r w:rsidRPr="00416B54">
              <w:rPr>
                <w:bCs/>
                <w:sz w:val="20"/>
                <w:szCs w:val="20"/>
              </w:rPr>
              <w:t>The Asia Foundation, New Delhi</w:t>
            </w:r>
          </w:p>
        </w:tc>
      </w:tr>
      <w:tr w:rsidR="00340688" w:rsidRPr="00E83F90" w14:paraId="08D58A0B"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55D6ECF7" w14:textId="54CC58FC" w:rsidR="00340688" w:rsidRPr="000151BA" w:rsidRDefault="00F85C6D" w:rsidP="001B449B">
            <w:pPr>
              <w:rPr>
                <w:sz w:val="20"/>
                <w:szCs w:val="20"/>
              </w:rPr>
            </w:pPr>
            <w:r>
              <w:rPr>
                <w:sz w:val="20"/>
                <w:szCs w:val="20"/>
              </w:rPr>
              <w:t>61</w:t>
            </w:r>
          </w:p>
        </w:tc>
        <w:tc>
          <w:tcPr>
            <w:tcW w:w="8188" w:type="dxa"/>
            <w:noWrap/>
          </w:tcPr>
          <w:p w14:paraId="314D9839" w14:textId="712FDBE2" w:rsidR="00340688" w:rsidRPr="00416B54" w:rsidRDefault="00340688" w:rsidP="00C34FE2">
            <w:pPr>
              <w:cnfStyle w:val="000000000000" w:firstRow="0" w:lastRow="0" w:firstColumn="0" w:lastColumn="0" w:oddVBand="0" w:evenVBand="0" w:oddHBand="0" w:evenHBand="0" w:firstRowFirstColumn="0" w:firstRowLastColumn="0" w:lastRowFirstColumn="0" w:lastRowLastColumn="0"/>
              <w:rPr>
                <w:bCs/>
                <w:sz w:val="20"/>
                <w:szCs w:val="20"/>
              </w:rPr>
            </w:pPr>
            <w:r w:rsidRPr="00416B54">
              <w:rPr>
                <w:bCs/>
                <w:sz w:val="20"/>
                <w:szCs w:val="20"/>
              </w:rPr>
              <w:t>DFAT Office of Development Effectiveness (2014) ‘Smart economics: evaluation of Australian aid support for women’s economic empowerment’; see also foreword to DFAT ‘Gender Equality and Empowerment Strategy, February 2016, by Julie Bishop, Minister of Foreign Affairs ‘Promoting gender equality is smart economics, and the right thing to do’</w:t>
            </w:r>
          </w:p>
        </w:tc>
      </w:tr>
      <w:tr w:rsidR="00340688" w:rsidRPr="00E83F90" w14:paraId="06049D06"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4D694841" w14:textId="1A359D21" w:rsidR="00340688" w:rsidRPr="000151BA" w:rsidRDefault="00F85C6D" w:rsidP="001B449B">
            <w:pPr>
              <w:rPr>
                <w:sz w:val="20"/>
                <w:szCs w:val="20"/>
              </w:rPr>
            </w:pPr>
            <w:r>
              <w:rPr>
                <w:sz w:val="20"/>
                <w:szCs w:val="20"/>
              </w:rPr>
              <w:t>62</w:t>
            </w:r>
          </w:p>
        </w:tc>
        <w:tc>
          <w:tcPr>
            <w:tcW w:w="8188" w:type="dxa"/>
            <w:noWrap/>
          </w:tcPr>
          <w:p w14:paraId="5B05BBDB" w14:textId="6986383D" w:rsidR="00340688" w:rsidRPr="00416B54" w:rsidRDefault="00416477" w:rsidP="00C34FE2">
            <w:pPr>
              <w:cnfStyle w:val="000000100000" w:firstRow="0" w:lastRow="0" w:firstColumn="0" w:lastColumn="0" w:oddVBand="0" w:evenVBand="0" w:oddHBand="1" w:evenHBand="0" w:firstRowFirstColumn="0" w:firstRowLastColumn="0" w:lastRowFirstColumn="0" w:lastRowLastColumn="0"/>
              <w:rPr>
                <w:b/>
                <w:bCs/>
                <w:sz w:val="20"/>
                <w:szCs w:val="20"/>
              </w:rPr>
            </w:pPr>
            <w:hyperlink r:id="rId22" w:history="1">
              <w:r w:rsidR="00340688" w:rsidRPr="00340688">
                <w:rPr>
                  <w:rStyle w:val="Hyperlink"/>
                  <w:b/>
                  <w:bCs/>
                  <w:sz w:val="20"/>
                  <w:szCs w:val="20"/>
                </w:rPr>
                <w:t>https://www.weforum.org/agenda/2017/08/the-growth-paradox-can-tourism-ever-be-sustainable/</w:t>
              </w:r>
            </w:hyperlink>
          </w:p>
        </w:tc>
      </w:tr>
      <w:tr w:rsidR="00340688" w:rsidRPr="00E83F90" w14:paraId="0E50F32A"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0A64E6B1" w14:textId="5D7C6094" w:rsidR="00340688" w:rsidRPr="000151BA" w:rsidRDefault="00F85C6D" w:rsidP="001B449B">
            <w:pPr>
              <w:rPr>
                <w:sz w:val="20"/>
                <w:szCs w:val="20"/>
              </w:rPr>
            </w:pPr>
            <w:r>
              <w:rPr>
                <w:sz w:val="20"/>
                <w:szCs w:val="20"/>
              </w:rPr>
              <w:t>63</w:t>
            </w:r>
          </w:p>
        </w:tc>
        <w:tc>
          <w:tcPr>
            <w:tcW w:w="8188" w:type="dxa"/>
            <w:noWrap/>
          </w:tcPr>
          <w:p w14:paraId="5BF2D7E2" w14:textId="232BED36" w:rsidR="00340688" w:rsidRPr="00416B54" w:rsidRDefault="00340688" w:rsidP="00C34FE2">
            <w:pPr>
              <w:cnfStyle w:val="000000000000" w:firstRow="0" w:lastRow="0" w:firstColumn="0" w:lastColumn="0" w:oddVBand="0" w:evenVBand="0" w:oddHBand="0" w:evenHBand="0" w:firstRowFirstColumn="0" w:firstRowLastColumn="0" w:lastRowFirstColumn="0" w:lastRowLastColumn="0"/>
              <w:rPr>
                <w:bCs/>
                <w:sz w:val="20"/>
                <w:szCs w:val="20"/>
              </w:rPr>
            </w:pPr>
            <w:r w:rsidRPr="00416B54">
              <w:rPr>
                <w:bCs/>
                <w:sz w:val="20"/>
                <w:szCs w:val="20"/>
              </w:rPr>
              <w:t>World Bank blog: Government and World Bank Sign New Agreement to Unlock Tourism Potential of Uttar Pradesh. December 28</w:t>
            </w:r>
            <w:r w:rsidRPr="00416B54">
              <w:rPr>
                <w:bCs/>
                <w:sz w:val="20"/>
                <w:szCs w:val="20"/>
                <w:vertAlign w:val="superscript"/>
              </w:rPr>
              <w:t>th</w:t>
            </w:r>
            <w:r w:rsidRPr="00416B54">
              <w:rPr>
                <w:bCs/>
                <w:sz w:val="20"/>
                <w:szCs w:val="20"/>
              </w:rPr>
              <w:t xml:space="preserve"> 2017</w:t>
            </w:r>
          </w:p>
        </w:tc>
      </w:tr>
      <w:tr w:rsidR="00340688" w:rsidRPr="00E83F90" w14:paraId="25AA9BF7"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755F597E" w14:textId="06183856" w:rsidR="00340688" w:rsidRPr="000151BA" w:rsidRDefault="00F85C6D" w:rsidP="001B449B">
            <w:pPr>
              <w:rPr>
                <w:sz w:val="20"/>
                <w:szCs w:val="20"/>
              </w:rPr>
            </w:pPr>
            <w:r>
              <w:rPr>
                <w:sz w:val="20"/>
                <w:szCs w:val="20"/>
              </w:rPr>
              <w:t>64</w:t>
            </w:r>
          </w:p>
        </w:tc>
        <w:tc>
          <w:tcPr>
            <w:tcW w:w="8188" w:type="dxa"/>
            <w:noWrap/>
          </w:tcPr>
          <w:p w14:paraId="65F93D1E" w14:textId="55BB8E03" w:rsidR="00340688" w:rsidRPr="00416B54" w:rsidRDefault="00340688" w:rsidP="00C34FE2">
            <w:pPr>
              <w:cnfStyle w:val="000000100000" w:firstRow="0" w:lastRow="0" w:firstColumn="0" w:lastColumn="0" w:oddVBand="0" w:evenVBand="0" w:oddHBand="1" w:evenHBand="0" w:firstRowFirstColumn="0" w:firstRowLastColumn="0" w:lastRowFirstColumn="0" w:lastRowLastColumn="0"/>
              <w:rPr>
                <w:bCs/>
                <w:i/>
                <w:iCs/>
                <w:sz w:val="20"/>
                <w:szCs w:val="20"/>
              </w:rPr>
            </w:pPr>
            <w:r w:rsidRPr="00416B54">
              <w:rPr>
                <w:bCs/>
                <w:i/>
                <w:iCs/>
                <w:sz w:val="20"/>
                <w:szCs w:val="20"/>
              </w:rPr>
              <w:t xml:space="preserve">World Bank. 2016. South Asia Regional Gender Action Plan, FY16-FY21. </w:t>
            </w:r>
            <w:r w:rsidRPr="00416B54">
              <w:rPr>
                <w:bCs/>
                <w:iCs/>
                <w:sz w:val="20"/>
                <w:szCs w:val="20"/>
              </w:rPr>
              <w:t>World Bank</w:t>
            </w:r>
            <w:r w:rsidRPr="00416B54">
              <w:rPr>
                <w:bCs/>
                <w:i/>
                <w:iCs/>
                <w:sz w:val="20"/>
                <w:szCs w:val="20"/>
              </w:rPr>
              <w:t xml:space="preserve">, </w:t>
            </w:r>
            <w:r w:rsidRPr="00416B54">
              <w:rPr>
                <w:bCs/>
                <w:iCs/>
                <w:sz w:val="20"/>
                <w:szCs w:val="20"/>
              </w:rPr>
              <w:t>Washington, DC</w:t>
            </w:r>
            <w:r w:rsidRPr="00416B54">
              <w:rPr>
                <w:bCs/>
                <w:i/>
                <w:iCs/>
                <w:sz w:val="20"/>
                <w:szCs w:val="20"/>
              </w:rPr>
              <w:t>.</w:t>
            </w:r>
          </w:p>
        </w:tc>
      </w:tr>
      <w:tr w:rsidR="00340688" w:rsidRPr="00E83F90" w14:paraId="1AC2563C"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14FA1343" w14:textId="2F5F19AF" w:rsidR="00340688" w:rsidRPr="000151BA" w:rsidRDefault="00F85C6D" w:rsidP="001B449B">
            <w:pPr>
              <w:rPr>
                <w:sz w:val="20"/>
                <w:szCs w:val="20"/>
              </w:rPr>
            </w:pPr>
            <w:r>
              <w:rPr>
                <w:sz w:val="20"/>
                <w:szCs w:val="20"/>
              </w:rPr>
              <w:t>65</w:t>
            </w:r>
          </w:p>
        </w:tc>
        <w:tc>
          <w:tcPr>
            <w:tcW w:w="8188" w:type="dxa"/>
            <w:noWrap/>
          </w:tcPr>
          <w:p w14:paraId="58C1B825" w14:textId="6FBBA410" w:rsidR="00340688" w:rsidRPr="00416B54" w:rsidRDefault="00340688" w:rsidP="00C34FE2">
            <w:pPr>
              <w:cnfStyle w:val="000000000000" w:firstRow="0" w:lastRow="0" w:firstColumn="0" w:lastColumn="0" w:oddVBand="0" w:evenVBand="0" w:oddHBand="0" w:evenHBand="0" w:firstRowFirstColumn="0" w:firstRowLastColumn="0" w:lastRowFirstColumn="0" w:lastRowLastColumn="0"/>
              <w:rPr>
                <w:bCs/>
                <w:sz w:val="20"/>
                <w:szCs w:val="20"/>
              </w:rPr>
            </w:pPr>
            <w:r w:rsidRPr="00416B54">
              <w:rPr>
                <w:bCs/>
                <w:sz w:val="20"/>
                <w:szCs w:val="20"/>
              </w:rPr>
              <w:t>Commonwealth of Australia, DFAT, Gender equality and women’s empowerment strategy, February 2016.</w:t>
            </w:r>
          </w:p>
        </w:tc>
      </w:tr>
      <w:tr w:rsidR="00340688" w:rsidRPr="00E83F90" w14:paraId="64249881"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48750187" w14:textId="528B2454" w:rsidR="00340688" w:rsidRPr="000151BA" w:rsidRDefault="00F85C6D" w:rsidP="001B449B">
            <w:pPr>
              <w:rPr>
                <w:sz w:val="20"/>
                <w:szCs w:val="20"/>
              </w:rPr>
            </w:pPr>
            <w:r>
              <w:rPr>
                <w:sz w:val="20"/>
                <w:szCs w:val="20"/>
              </w:rPr>
              <w:t>66</w:t>
            </w:r>
          </w:p>
        </w:tc>
        <w:tc>
          <w:tcPr>
            <w:tcW w:w="8188" w:type="dxa"/>
            <w:noWrap/>
          </w:tcPr>
          <w:p w14:paraId="4BC8745B" w14:textId="1B4DF2B5" w:rsidR="00340688" w:rsidRPr="00416B54" w:rsidRDefault="00F85C6D" w:rsidP="00C34FE2">
            <w:pPr>
              <w:cnfStyle w:val="000000100000" w:firstRow="0" w:lastRow="0" w:firstColumn="0" w:lastColumn="0" w:oddVBand="0" w:evenVBand="0" w:oddHBand="1" w:evenHBand="0" w:firstRowFirstColumn="0" w:firstRowLastColumn="0" w:lastRowFirstColumn="0" w:lastRowLastColumn="0"/>
              <w:rPr>
                <w:bCs/>
                <w:sz w:val="20"/>
                <w:szCs w:val="20"/>
              </w:rPr>
            </w:pPr>
            <w:r w:rsidRPr="00416B54">
              <w:rPr>
                <w:bCs/>
                <w:sz w:val="20"/>
                <w:szCs w:val="20"/>
              </w:rPr>
              <w:t>World Bank Group Gender Strategy (FY16-23) Gender Equality, Poverty Reduction, and Inclusive Growth, p.23</w:t>
            </w:r>
          </w:p>
        </w:tc>
      </w:tr>
      <w:tr w:rsidR="00340688" w:rsidRPr="00E83F90" w14:paraId="7D4AF64D"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5CC6F975" w14:textId="1D66F8C5" w:rsidR="00340688" w:rsidRPr="000151BA" w:rsidRDefault="00F85C6D" w:rsidP="001B449B">
            <w:pPr>
              <w:rPr>
                <w:sz w:val="20"/>
                <w:szCs w:val="20"/>
              </w:rPr>
            </w:pPr>
            <w:r>
              <w:rPr>
                <w:sz w:val="20"/>
                <w:szCs w:val="20"/>
              </w:rPr>
              <w:t>67</w:t>
            </w:r>
          </w:p>
        </w:tc>
        <w:tc>
          <w:tcPr>
            <w:tcW w:w="8188" w:type="dxa"/>
            <w:noWrap/>
          </w:tcPr>
          <w:p w14:paraId="585CDB03" w14:textId="127FF037" w:rsidR="00340688" w:rsidRPr="00416B54" w:rsidRDefault="00F85C6D" w:rsidP="00416B54">
            <w:pPr>
              <w:tabs>
                <w:tab w:val="left" w:pos="1188"/>
              </w:tabs>
              <w:cnfStyle w:val="000000000000" w:firstRow="0" w:lastRow="0" w:firstColumn="0" w:lastColumn="0" w:oddVBand="0" w:evenVBand="0" w:oddHBand="0" w:evenHBand="0" w:firstRowFirstColumn="0" w:firstRowLastColumn="0" w:lastRowFirstColumn="0" w:lastRowLastColumn="0"/>
              <w:rPr>
                <w:bCs/>
                <w:sz w:val="20"/>
                <w:szCs w:val="20"/>
              </w:rPr>
            </w:pPr>
            <w:r w:rsidRPr="00416B54">
              <w:rPr>
                <w:bCs/>
                <w:sz w:val="20"/>
                <w:szCs w:val="20"/>
              </w:rPr>
              <w:t>Independent Evaluation Group (2015) ‘</w:t>
            </w:r>
            <w:hyperlink r:id="rId23" w:history="1">
              <w:r w:rsidRPr="00416B54">
                <w:rPr>
                  <w:rStyle w:val="Hyperlink"/>
                  <w:bCs/>
                  <w:iCs/>
                  <w:sz w:val="20"/>
                  <w:szCs w:val="20"/>
                </w:rPr>
                <w:t>Results and performance of the World Bank Group</w:t>
              </w:r>
            </w:hyperlink>
            <w:r w:rsidRPr="00416B54">
              <w:rPr>
                <w:bCs/>
                <w:sz w:val="20"/>
                <w:szCs w:val="20"/>
              </w:rPr>
              <w:t>’, concluded that the ‘Bank’s tick-box approach to gender integration did not lead to meaningful and substantial integration’</w:t>
            </w:r>
          </w:p>
        </w:tc>
      </w:tr>
      <w:tr w:rsidR="00340688" w:rsidRPr="00E83F90" w14:paraId="5224F7D0"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3A937E5D" w14:textId="6292103C" w:rsidR="00340688" w:rsidRPr="000151BA" w:rsidRDefault="00F85C6D" w:rsidP="001B449B">
            <w:pPr>
              <w:rPr>
                <w:sz w:val="20"/>
                <w:szCs w:val="20"/>
              </w:rPr>
            </w:pPr>
            <w:r>
              <w:rPr>
                <w:sz w:val="20"/>
                <w:szCs w:val="20"/>
              </w:rPr>
              <w:t>68</w:t>
            </w:r>
          </w:p>
        </w:tc>
        <w:tc>
          <w:tcPr>
            <w:tcW w:w="8188" w:type="dxa"/>
            <w:noWrap/>
          </w:tcPr>
          <w:p w14:paraId="476393AC" w14:textId="3F41B67B" w:rsidR="00340688" w:rsidRPr="00416B54" w:rsidRDefault="00F85C6D" w:rsidP="00C34FE2">
            <w:pPr>
              <w:cnfStyle w:val="000000100000" w:firstRow="0" w:lastRow="0" w:firstColumn="0" w:lastColumn="0" w:oddVBand="0" w:evenVBand="0" w:oddHBand="1" w:evenHBand="0" w:firstRowFirstColumn="0" w:firstRowLastColumn="0" w:lastRowFirstColumn="0" w:lastRowLastColumn="0"/>
              <w:rPr>
                <w:bCs/>
                <w:sz w:val="20"/>
                <w:szCs w:val="20"/>
              </w:rPr>
            </w:pPr>
            <w:r w:rsidRPr="00416B54">
              <w:rPr>
                <w:bCs/>
                <w:sz w:val="20"/>
                <w:szCs w:val="20"/>
              </w:rPr>
              <w:t>International Finance Corporation (2007), ‘Stakeholder Engagement: A Good Practice Handbook for Companies Doing Business in Emerging Markets’, World Bank Group.</w:t>
            </w:r>
          </w:p>
        </w:tc>
      </w:tr>
      <w:tr w:rsidR="00340688" w:rsidRPr="00E83F90" w14:paraId="7A4B6AFD"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21535E67" w14:textId="5A93E8DA" w:rsidR="00340688" w:rsidRPr="000151BA" w:rsidRDefault="00F85C6D" w:rsidP="001B449B">
            <w:pPr>
              <w:rPr>
                <w:sz w:val="20"/>
                <w:szCs w:val="20"/>
              </w:rPr>
            </w:pPr>
            <w:r>
              <w:rPr>
                <w:sz w:val="20"/>
                <w:szCs w:val="20"/>
              </w:rPr>
              <w:t>69</w:t>
            </w:r>
          </w:p>
        </w:tc>
        <w:tc>
          <w:tcPr>
            <w:tcW w:w="8188" w:type="dxa"/>
            <w:noWrap/>
          </w:tcPr>
          <w:p w14:paraId="165948D2" w14:textId="4DA2C8B4" w:rsidR="00340688" w:rsidRPr="00416B54" w:rsidRDefault="00F85C6D" w:rsidP="00C34FE2">
            <w:pPr>
              <w:cnfStyle w:val="000000000000" w:firstRow="0" w:lastRow="0" w:firstColumn="0" w:lastColumn="0" w:oddVBand="0" w:evenVBand="0" w:oddHBand="0" w:evenHBand="0" w:firstRowFirstColumn="0" w:firstRowLastColumn="0" w:lastRowFirstColumn="0" w:lastRowLastColumn="0"/>
              <w:rPr>
                <w:bCs/>
                <w:sz w:val="20"/>
                <w:szCs w:val="20"/>
              </w:rPr>
            </w:pPr>
            <w:r w:rsidRPr="00416B54">
              <w:rPr>
                <w:bCs/>
                <w:sz w:val="20"/>
                <w:szCs w:val="20"/>
              </w:rPr>
              <w:t>Pillar, F.T., and Antons, D. (2015),'Opening the Black Box of “Not Invented Here”: Attitudes, Decision Biases, and Behavioral Consequences', Academy of Management Executive, DOI 10.5465/amp.2013.0091</w:t>
            </w:r>
          </w:p>
        </w:tc>
      </w:tr>
      <w:tr w:rsidR="00340688" w:rsidRPr="00E83F90" w14:paraId="45A97674"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4C0C1D49" w14:textId="257C5B68" w:rsidR="00340688" w:rsidRPr="000151BA" w:rsidRDefault="00F85C6D" w:rsidP="001B449B">
            <w:pPr>
              <w:rPr>
                <w:sz w:val="20"/>
                <w:szCs w:val="20"/>
              </w:rPr>
            </w:pPr>
            <w:r>
              <w:rPr>
                <w:sz w:val="20"/>
                <w:szCs w:val="20"/>
              </w:rPr>
              <w:t>70</w:t>
            </w:r>
          </w:p>
        </w:tc>
        <w:tc>
          <w:tcPr>
            <w:tcW w:w="8188" w:type="dxa"/>
            <w:noWrap/>
          </w:tcPr>
          <w:p w14:paraId="07CC5A1B" w14:textId="6CFE8B7A" w:rsidR="00340688" w:rsidRPr="00416B54" w:rsidRDefault="00F85C6D" w:rsidP="00C34FE2">
            <w:pPr>
              <w:cnfStyle w:val="000000100000" w:firstRow="0" w:lastRow="0" w:firstColumn="0" w:lastColumn="0" w:oddVBand="0" w:evenVBand="0" w:oddHBand="1" w:evenHBand="0" w:firstRowFirstColumn="0" w:firstRowLastColumn="0" w:lastRowFirstColumn="0" w:lastRowLastColumn="0"/>
              <w:rPr>
                <w:bCs/>
                <w:sz w:val="20"/>
                <w:szCs w:val="20"/>
              </w:rPr>
            </w:pPr>
            <w:r w:rsidRPr="00416B54">
              <w:rPr>
                <w:bCs/>
                <w:sz w:val="20"/>
                <w:szCs w:val="20"/>
              </w:rPr>
              <w:t>Huq C.W.,(2010), ‘Analysis of Recipient Executed Trust Funds’,CFP Working Paper Series, Washington DC, World Bank; Winters, J. and Sridhar, D., ‘Earmarking for global health: benefits and perils of the World Bank’s trust fund model’. BMJ 2017;</w:t>
            </w:r>
          </w:p>
        </w:tc>
      </w:tr>
      <w:tr w:rsidR="00340688" w:rsidRPr="00E83F90" w14:paraId="56997A21"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41BA1804" w14:textId="4F2FF228" w:rsidR="00340688" w:rsidRPr="000151BA" w:rsidRDefault="00F85C6D" w:rsidP="001B449B">
            <w:pPr>
              <w:rPr>
                <w:sz w:val="20"/>
                <w:szCs w:val="20"/>
              </w:rPr>
            </w:pPr>
            <w:r>
              <w:rPr>
                <w:sz w:val="20"/>
                <w:szCs w:val="20"/>
              </w:rPr>
              <w:t>71</w:t>
            </w:r>
          </w:p>
        </w:tc>
        <w:tc>
          <w:tcPr>
            <w:tcW w:w="8188" w:type="dxa"/>
            <w:noWrap/>
          </w:tcPr>
          <w:p w14:paraId="1B3836C2" w14:textId="0831DD42" w:rsidR="00340688" w:rsidRPr="00416B54" w:rsidRDefault="00F85C6D" w:rsidP="00C34FE2">
            <w:pPr>
              <w:cnfStyle w:val="000000000000" w:firstRow="0" w:lastRow="0" w:firstColumn="0" w:lastColumn="0" w:oddVBand="0" w:evenVBand="0" w:oddHBand="0" w:evenHBand="0" w:firstRowFirstColumn="0" w:firstRowLastColumn="0" w:lastRowFirstColumn="0" w:lastRowLastColumn="0"/>
              <w:rPr>
                <w:bCs/>
                <w:sz w:val="20"/>
                <w:szCs w:val="20"/>
              </w:rPr>
            </w:pPr>
            <w:r w:rsidRPr="00416B54">
              <w:rPr>
                <w:bCs/>
                <w:sz w:val="20"/>
                <w:szCs w:val="20"/>
              </w:rPr>
              <w:t>Barakat, S.; Rzeszut, K.; Martin, N. What is the track record of multi donor trust funds in improving aid effectiveness? An assessment of the available evidence. EPPI-Centre, Social Science Research Unit, Institute of Education, University of London, London, UK (2012) xii + 129 pp. ISBN 978-1-907345-29-6</w:t>
            </w:r>
          </w:p>
        </w:tc>
      </w:tr>
      <w:tr w:rsidR="00340688" w:rsidRPr="00E83F90" w14:paraId="48DA0A47"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7F9B8B62" w14:textId="609FA229" w:rsidR="00340688" w:rsidRPr="000151BA" w:rsidRDefault="00F85C6D" w:rsidP="001B449B">
            <w:pPr>
              <w:rPr>
                <w:sz w:val="20"/>
                <w:szCs w:val="20"/>
              </w:rPr>
            </w:pPr>
            <w:r>
              <w:rPr>
                <w:sz w:val="20"/>
                <w:szCs w:val="20"/>
              </w:rPr>
              <w:t>72</w:t>
            </w:r>
          </w:p>
        </w:tc>
        <w:tc>
          <w:tcPr>
            <w:tcW w:w="8188" w:type="dxa"/>
            <w:noWrap/>
          </w:tcPr>
          <w:p w14:paraId="0D3F1A21" w14:textId="3A2AF0EA" w:rsidR="00340688" w:rsidRPr="00416B54" w:rsidRDefault="00F85C6D" w:rsidP="00C34FE2">
            <w:pPr>
              <w:cnfStyle w:val="000000100000" w:firstRow="0" w:lastRow="0" w:firstColumn="0" w:lastColumn="0" w:oddVBand="0" w:evenVBand="0" w:oddHBand="1" w:evenHBand="0" w:firstRowFirstColumn="0" w:firstRowLastColumn="0" w:lastRowFirstColumn="0" w:lastRowLastColumn="0"/>
              <w:rPr>
                <w:bCs/>
                <w:sz w:val="20"/>
                <w:szCs w:val="20"/>
                <w:u w:val="single"/>
              </w:rPr>
            </w:pPr>
            <w:r w:rsidRPr="00416B54">
              <w:rPr>
                <w:bCs/>
                <w:sz w:val="20"/>
                <w:szCs w:val="20"/>
              </w:rPr>
              <w:t xml:space="preserve">World Bank trust funds fact sheet </w:t>
            </w:r>
            <w:hyperlink r:id="rId24" w:history="1">
              <w:r w:rsidRPr="00416B54">
                <w:rPr>
                  <w:rStyle w:val="Hyperlink"/>
                  <w:bCs/>
                  <w:sz w:val="20"/>
                  <w:szCs w:val="20"/>
                </w:rPr>
                <w:t>http://siteresources.worldbank.org/CFPEXT/Resources/TFfactsheetapril2017.pdf</w:t>
              </w:r>
            </w:hyperlink>
          </w:p>
        </w:tc>
      </w:tr>
      <w:tr w:rsidR="00F85C6D" w:rsidRPr="00E83F90" w14:paraId="1AB7E499"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2B808238" w14:textId="5B095B11" w:rsidR="00F85C6D" w:rsidRPr="000151BA" w:rsidRDefault="00F85C6D" w:rsidP="001B449B">
            <w:pPr>
              <w:rPr>
                <w:sz w:val="20"/>
                <w:szCs w:val="20"/>
              </w:rPr>
            </w:pPr>
            <w:r>
              <w:rPr>
                <w:sz w:val="20"/>
                <w:szCs w:val="20"/>
              </w:rPr>
              <w:t>73</w:t>
            </w:r>
          </w:p>
        </w:tc>
        <w:tc>
          <w:tcPr>
            <w:tcW w:w="8188" w:type="dxa"/>
            <w:noWrap/>
          </w:tcPr>
          <w:p w14:paraId="7C105C75" w14:textId="6B04498F" w:rsidR="00F85C6D" w:rsidRPr="00416B54" w:rsidRDefault="00F85C6D" w:rsidP="00F85C6D">
            <w:pPr>
              <w:cnfStyle w:val="000000000000" w:firstRow="0" w:lastRow="0" w:firstColumn="0" w:lastColumn="0" w:oddVBand="0" w:evenVBand="0" w:oddHBand="0" w:evenHBand="0" w:firstRowFirstColumn="0" w:firstRowLastColumn="0" w:lastRowFirstColumn="0" w:lastRowLastColumn="0"/>
              <w:rPr>
                <w:bCs/>
                <w:sz w:val="20"/>
                <w:szCs w:val="20"/>
              </w:rPr>
            </w:pPr>
            <w:r w:rsidRPr="00416B54">
              <w:rPr>
                <w:bCs/>
                <w:sz w:val="20"/>
                <w:szCs w:val="20"/>
              </w:rPr>
              <w:t>Porter, M.E., (1979), ‘How Competitive Forces Shape Strategy’, in Harvard Business Review (March-April 1979), Harvard College</w:t>
            </w:r>
          </w:p>
        </w:tc>
      </w:tr>
      <w:tr w:rsidR="00F85C6D" w:rsidRPr="00E83F90" w14:paraId="2B823BB0"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7B0A0F8A" w14:textId="04058174" w:rsidR="00F85C6D" w:rsidRPr="000151BA" w:rsidRDefault="00F85C6D" w:rsidP="001B449B">
            <w:pPr>
              <w:rPr>
                <w:sz w:val="20"/>
                <w:szCs w:val="20"/>
              </w:rPr>
            </w:pPr>
            <w:r>
              <w:rPr>
                <w:sz w:val="20"/>
                <w:szCs w:val="20"/>
              </w:rPr>
              <w:t>74</w:t>
            </w:r>
          </w:p>
        </w:tc>
        <w:tc>
          <w:tcPr>
            <w:tcW w:w="8188" w:type="dxa"/>
            <w:noWrap/>
          </w:tcPr>
          <w:p w14:paraId="4C030922" w14:textId="2FB54D40" w:rsidR="00F85C6D" w:rsidRPr="00416B54" w:rsidRDefault="00F85C6D" w:rsidP="00F85C6D">
            <w:pPr>
              <w:cnfStyle w:val="000000100000" w:firstRow="0" w:lastRow="0" w:firstColumn="0" w:lastColumn="0" w:oddVBand="0" w:evenVBand="0" w:oddHBand="1" w:evenHBand="0" w:firstRowFirstColumn="0" w:firstRowLastColumn="0" w:lastRowFirstColumn="0" w:lastRowLastColumn="0"/>
              <w:rPr>
                <w:bCs/>
                <w:sz w:val="20"/>
                <w:szCs w:val="20"/>
              </w:rPr>
            </w:pPr>
            <w:r w:rsidRPr="00416B54">
              <w:rPr>
                <w:bCs/>
                <w:sz w:val="20"/>
                <w:szCs w:val="20"/>
              </w:rPr>
              <w:t>The Swedish International Development Cooperation Agency (SIDA) defines a challenge fund as ‘a financing mechanism to allocate (donor) funds for specific purposes using competition among organisations as the lead principle’.; See Pompa, C, (2013), ‘Understanding Challenge Funds’ ODI, London, UK</w:t>
            </w:r>
          </w:p>
        </w:tc>
      </w:tr>
      <w:tr w:rsidR="00F85C6D" w:rsidRPr="00E83F90" w14:paraId="31B6B7D5"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7A1C63B8" w14:textId="61190797" w:rsidR="00F85C6D" w:rsidRPr="000151BA" w:rsidRDefault="00F85C6D" w:rsidP="001B449B">
            <w:pPr>
              <w:rPr>
                <w:sz w:val="20"/>
                <w:szCs w:val="20"/>
              </w:rPr>
            </w:pPr>
            <w:r>
              <w:rPr>
                <w:sz w:val="20"/>
                <w:szCs w:val="20"/>
              </w:rPr>
              <w:t>75</w:t>
            </w:r>
          </w:p>
        </w:tc>
        <w:tc>
          <w:tcPr>
            <w:tcW w:w="8188" w:type="dxa"/>
            <w:noWrap/>
          </w:tcPr>
          <w:p w14:paraId="2E2A8ED8" w14:textId="5D0C14DC" w:rsidR="00F85C6D" w:rsidRPr="00416B54" w:rsidRDefault="00F85C6D" w:rsidP="00F85C6D">
            <w:pPr>
              <w:cnfStyle w:val="000000000000" w:firstRow="0" w:lastRow="0" w:firstColumn="0" w:lastColumn="0" w:oddVBand="0" w:evenVBand="0" w:oddHBand="0" w:evenHBand="0" w:firstRowFirstColumn="0" w:firstRowLastColumn="0" w:lastRowFirstColumn="0" w:lastRowLastColumn="0"/>
              <w:rPr>
                <w:bCs/>
                <w:sz w:val="20"/>
                <w:szCs w:val="20"/>
              </w:rPr>
            </w:pPr>
            <w:r w:rsidRPr="00416B54">
              <w:rPr>
                <w:bCs/>
                <w:sz w:val="20"/>
                <w:szCs w:val="20"/>
              </w:rPr>
              <w:t>World Bank Group IEG 2012. Designing a results framework for achieving results: a how-to guide. World Bank Group Washington.</w:t>
            </w:r>
          </w:p>
        </w:tc>
      </w:tr>
      <w:tr w:rsidR="00F85C6D" w:rsidRPr="00E83F90" w14:paraId="77BF1A58"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653D86E9" w14:textId="2CEC78D6" w:rsidR="00F85C6D" w:rsidRPr="000151BA" w:rsidRDefault="00F85C6D" w:rsidP="001B449B">
            <w:pPr>
              <w:rPr>
                <w:sz w:val="20"/>
                <w:szCs w:val="20"/>
              </w:rPr>
            </w:pPr>
            <w:r>
              <w:rPr>
                <w:sz w:val="20"/>
                <w:szCs w:val="20"/>
              </w:rPr>
              <w:lastRenderedPageBreak/>
              <w:t>76</w:t>
            </w:r>
          </w:p>
        </w:tc>
        <w:tc>
          <w:tcPr>
            <w:tcW w:w="8188" w:type="dxa"/>
            <w:noWrap/>
          </w:tcPr>
          <w:p w14:paraId="046D7F73" w14:textId="5D798AC5" w:rsidR="00F85C6D" w:rsidRPr="00416B54" w:rsidRDefault="00F85C6D" w:rsidP="00F85C6D">
            <w:pPr>
              <w:cnfStyle w:val="000000100000" w:firstRow="0" w:lastRow="0" w:firstColumn="0" w:lastColumn="0" w:oddVBand="0" w:evenVBand="0" w:oddHBand="1" w:evenHBand="0" w:firstRowFirstColumn="0" w:firstRowLastColumn="0" w:lastRowFirstColumn="0" w:lastRowLastColumn="0"/>
              <w:rPr>
                <w:bCs/>
                <w:sz w:val="20"/>
                <w:szCs w:val="20"/>
              </w:rPr>
            </w:pPr>
            <w:r w:rsidRPr="00416B54">
              <w:rPr>
                <w:bCs/>
                <w:sz w:val="20"/>
                <w:szCs w:val="20"/>
              </w:rPr>
              <w:t>OECD (2013), ‘The DAC Network on Development Evaluation – 30 years of strengthening learning in development’, Paris.</w:t>
            </w:r>
          </w:p>
        </w:tc>
      </w:tr>
      <w:tr w:rsidR="00404256" w:rsidRPr="00E83F90" w14:paraId="73D8DB85"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6EF5F495" w14:textId="038DEB5D" w:rsidR="00404256" w:rsidRPr="000151BA" w:rsidRDefault="00404256" w:rsidP="00404256">
            <w:pPr>
              <w:rPr>
                <w:sz w:val="20"/>
                <w:szCs w:val="20"/>
              </w:rPr>
            </w:pPr>
            <w:r>
              <w:rPr>
                <w:sz w:val="20"/>
                <w:szCs w:val="20"/>
              </w:rPr>
              <w:t>77</w:t>
            </w:r>
          </w:p>
        </w:tc>
        <w:tc>
          <w:tcPr>
            <w:tcW w:w="8188" w:type="dxa"/>
            <w:noWrap/>
          </w:tcPr>
          <w:p w14:paraId="6CB4EC44" w14:textId="278FF447" w:rsidR="00404256" w:rsidRPr="00416B54" w:rsidRDefault="00416477" w:rsidP="00404256">
            <w:pPr>
              <w:cnfStyle w:val="000000000000" w:firstRow="0" w:lastRow="0" w:firstColumn="0" w:lastColumn="0" w:oddVBand="0" w:evenVBand="0" w:oddHBand="0" w:evenHBand="0" w:firstRowFirstColumn="0" w:firstRowLastColumn="0" w:lastRowFirstColumn="0" w:lastRowLastColumn="0"/>
              <w:rPr>
                <w:bCs/>
                <w:sz w:val="20"/>
                <w:szCs w:val="20"/>
              </w:rPr>
            </w:pPr>
            <w:hyperlink r:id="rId25" w:history="1">
              <w:r w:rsidR="00404256" w:rsidRPr="00247EB0">
                <w:rPr>
                  <w:rStyle w:val="Hyperlink"/>
                  <w:bCs/>
                  <w:sz w:val="20"/>
                  <w:szCs w:val="20"/>
                </w:rPr>
                <w:t>https://www.hindustantimes.com/analysis/boosting-business-in-the-bangladesh-corridor-is-crucial-to-india-s-act-east-policy/story-QQil8gOEvRPEX6XZshJteP.html</w:t>
              </w:r>
            </w:hyperlink>
            <w:r w:rsidR="00404256" w:rsidRPr="00247EB0">
              <w:rPr>
                <w:bCs/>
                <w:sz w:val="20"/>
                <w:szCs w:val="20"/>
              </w:rPr>
              <w:t>; accessed May 2018</w:t>
            </w:r>
          </w:p>
        </w:tc>
      </w:tr>
      <w:tr w:rsidR="00404256" w:rsidRPr="00E83F90" w14:paraId="36B152E5"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62922AD2" w14:textId="2BC55FBF" w:rsidR="00404256" w:rsidRDefault="00404256" w:rsidP="00404256">
            <w:pPr>
              <w:rPr>
                <w:sz w:val="20"/>
                <w:szCs w:val="20"/>
              </w:rPr>
            </w:pPr>
            <w:r>
              <w:rPr>
                <w:sz w:val="20"/>
                <w:szCs w:val="20"/>
              </w:rPr>
              <w:t>78</w:t>
            </w:r>
          </w:p>
        </w:tc>
        <w:tc>
          <w:tcPr>
            <w:tcW w:w="8188" w:type="dxa"/>
            <w:noWrap/>
          </w:tcPr>
          <w:p w14:paraId="1C81B2B4" w14:textId="60027BDA" w:rsidR="00404256" w:rsidRPr="00247EB0" w:rsidRDefault="00404256" w:rsidP="00404256">
            <w:pPr>
              <w:cnfStyle w:val="000000100000" w:firstRow="0" w:lastRow="0" w:firstColumn="0" w:lastColumn="0" w:oddVBand="0" w:evenVBand="0" w:oddHBand="1" w:evenHBand="0" w:firstRowFirstColumn="0" w:firstRowLastColumn="0" w:lastRowFirstColumn="0" w:lastRowLastColumn="0"/>
              <w:rPr>
                <w:bCs/>
                <w:sz w:val="20"/>
                <w:szCs w:val="20"/>
              </w:rPr>
            </w:pPr>
            <w:r w:rsidRPr="00247EB0">
              <w:rPr>
                <w:bCs/>
                <w:sz w:val="20"/>
                <w:szCs w:val="20"/>
              </w:rPr>
              <w:t>Annual Report of the Government Chief Scientific Adviser (2014). ‘Innovation: Managing Risk, Not Avoiding It’, The Government Office for Science, Londo</w:t>
            </w:r>
            <w:r>
              <w:rPr>
                <w:bCs/>
                <w:sz w:val="20"/>
                <w:szCs w:val="20"/>
              </w:rPr>
              <w:t>n</w:t>
            </w:r>
          </w:p>
        </w:tc>
      </w:tr>
      <w:tr w:rsidR="00404256" w:rsidRPr="00E83F90" w14:paraId="270C8E7D"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45AEC330" w14:textId="122988F1" w:rsidR="00404256" w:rsidRDefault="00404256" w:rsidP="00404256">
            <w:pPr>
              <w:rPr>
                <w:sz w:val="20"/>
                <w:szCs w:val="20"/>
              </w:rPr>
            </w:pPr>
            <w:r>
              <w:rPr>
                <w:sz w:val="20"/>
                <w:szCs w:val="20"/>
              </w:rPr>
              <w:t>79</w:t>
            </w:r>
          </w:p>
        </w:tc>
        <w:tc>
          <w:tcPr>
            <w:tcW w:w="8188" w:type="dxa"/>
            <w:noWrap/>
          </w:tcPr>
          <w:p w14:paraId="4A7F0F32" w14:textId="77777777" w:rsidR="00404256" w:rsidRPr="00247EB0" w:rsidRDefault="00404256" w:rsidP="00404256">
            <w:pPr>
              <w:cnfStyle w:val="000000000000" w:firstRow="0" w:lastRow="0" w:firstColumn="0" w:lastColumn="0" w:oddVBand="0" w:evenVBand="0" w:oddHBand="0" w:evenHBand="0" w:firstRowFirstColumn="0" w:firstRowLastColumn="0" w:lastRowFirstColumn="0" w:lastRowLastColumn="0"/>
              <w:rPr>
                <w:bCs/>
                <w:sz w:val="20"/>
                <w:szCs w:val="20"/>
              </w:rPr>
            </w:pPr>
            <w:r w:rsidRPr="00247EB0">
              <w:rPr>
                <w:bCs/>
                <w:sz w:val="20"/>
                <w:szCs w:val="20"/>
              </w:rPr>
              <w:t>Letter from World Bank’s Vice President for South Asia region Annette Dixon to Indian Envoy, July 2017, reported in</w:t>
            </w:r>
          </w:p>
          <w:p w14:paraId="5C82F562" w14:textId="40F86860" w:rsidR="00404256" w:rsidRPr="00247EB0" w:rsidRDefault="00416477" w:rsidP="00404256">
            <w:pPr>
              <w:cnfStyle w:val="000000000000" w:firstRow="0" w:lastRow="0" w:firstColumn="0" w:lastColumn="0" w:oddVBand="0" w:evenVBand="0" w:oddHBand="0" w:evenHBand="0" w:firstRowFirstColumn="0" w:firstRowLastColumn="0" w:lastRowFirstColumn="0" w:lastRowLastColumn="0"/>
              <w:rPr>
                <w:bCs/>
                <w:sz w:val="20"/>
                <w:szCs w:val="20"/>
              </w:rPr>
            </w:pPr>
            <w:hyperlink r:id="rId26" w:history="1">
              <w:r w:rsidR="00404256" w:rsidRPr="00247EB0">
                <w:rPr>
                  <w:rStyle w:val="Hyperlink"/>
                  <w:bCs/>
                  <w:sz w:val="20"/>
                  <w:szCs w:val="20"/>
                </w:rPr>
                <w:t>https://www.hindustantimes.com/india-news/world-bank-assures-neutrality-in-india-pakistan-talks-over-indus-waters-treaty/story-mjhsABmxPNzQeXQWeDc7UN.html</w:t>
              </w:r>
            </w:hyperlink>
            <w:r w:rsidR="00404256" w:rsidRPr="00247EB0">
              <w:rPr>
                <w:bCs/>
                <w:sz w:val="20"/>
                <w:szCs w:val="20"/>
              </w:rPr>
              <w:t>; accessed February 2018</w:t>
            </w:r>
          </w:p>
        </w:tc>
      </w:tr>
      <w:tr w:rsidR="00404256" w:rsidRPr="00E83F90" w14:paraId="49034F92"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7ED022C1" w14:textId="20B67D7E" w:rsidR="00404256" w:rsidRDefault="00404256" w:rsidP="00404256">
            <w:pPr>
              <w:rPr>
                <w:sz w:val="20"/>
                <w:szCs w:val="20"/>
              </w:rPr>
            </w:pPr>
            <w:r>
              <w:rPr>
                <w:sz w:val="20"/>
                <w:szCs w:val="20"/>
              </w:rPr>
              <w:t>80</w:t>
            </w:r>
          </w:p>
        </w:tc>
        <w:tc>
          <w:tcPr>
            <w:tcW w:w="8188" w:type="dxa"/>
            <w:noWrap/>
          </w:tcPr>
          <w:p w14:paraId="11D239E2" w14:textId="122120C2" w:rsidR="00404256" w:rsidRPr="00247EB0" w:rsidRDefault="00404256" w:rsidP="00404256">
            <w:pPr>
              <w:cnfStyle w:val="000000100000" w:firstRow="0" w:lastRow="0" w:firstColumn="0" w:lastColumn="0" w:oddVBand="0" w:evenVBand="0" w:oddHBand="1" w:evenHBand="0" w:firstRowFirstColumn="0" w:firstRowLastColumn="0" w:lastRowFirstColumn="0" w:lastRowLastColumn="0"/>
              <w:rPr>
                <w:bCs/>
                <w:sz w:val="20"/>
                <w:szCs w:val="20"/>
              </w:rPr>
            </w:pPr>
            <w:r w:rsidRPr="00247EB0">
              <w:rPr>
                <w:bCs/>
                <w:sz w:val="20"/>
                <w:szCs w:val="20"/>
              </w:rPr>
              <w:t>World Bank Group IEG 2016. Learning from IDA Experience: Lessons from IEG Evaluations. World Bank, Washington</w:t>
            </w:r>
          </w:p>
        </w:tc>
      </w:tr>
      <w:tr w:rsidR="00404256" w:rsidRPr="00E83F90" w14:paraId="3F6FD246" w14:textId="77777777">
        <w:trPr>
          <w:trHeight w:val="256"/>
        </w:trPr>
        <w:tc>
          <w:tcPr>
            <w:cnfStyle w:val="001000000000" w:firstRow="0" w:lastRow="0" w:firstColumn="1" w:lastColumn="0" w:oddVBand="0" w:evenVBand="0" w:oddHBand="0" w:evenHBand="0" w:firstRowFirstColumn="0" w:firstRowLastColumn="0" w:lastRowFirstColumn="0" w:lastRowLastColumn="0"/>
            <w:tcW w:w="874" w:type="dxa"/>
            <w:noWrap/>
          </w:tcPr>
          <w:p w14:paraId="3ED76BE6" w14:textId="491A7F23" w:rsidR="00404256" w:rsidRPr="000151BA" w:rsidRDefault="00404256" w:rsidP="00404256">
            <w:pPr>
              <w:rPr>
                <w:sz w:val="20"/>
                <w:szCs w:val="20"/>
              </w:rPr>
            </w:pPr>
            <w:r>
              <w:rPr>
                <w:sz w:val="20"/>
                <w:szCs w:val="20"/>
              </w:rPr>
              <w:t>81</w:t>
            </w:r>
          </w:p>
        </w:tc>
        <w:tc>
          <w:tcPr>
            <w:tcW w:w="8188" w:type="dxa"/>
            <w:noWrap/>
          </w:tcPr>
          <w:p w14:paraId="69531D6F" w14:textId="77777777" w:rsidR="00404256" w:rsidRPr="000151BA" w:rsidRDefault="00404256" w:rsidP="00404256">
            <w:pPr>
              <w:cnfStyle w:val="000000000000" w:firstRow="0" w:lastRow="0" w:firstColumn="0" w:lastColumn="0" w:oddVBand="0" w:evenVBand="0" w:oddHBand="0" w:evenHBand="0" w:firstRowFirstColumn="0" w:firstRowLastColumn="0" w:lastRowFirstColumn="0" w:lastRowLastColumn="0"/>
              <w:rPr>
                <w:sz w:val="20"/>
                <w:szCs w:val="20"/>
              </w:rPr>
            </w:pPr>
            <w:r w:rsidRPr="000151BA">
              <w:rPr>
                <w:sz w:val="20"/>
                <w:szCs w:val="20"/>
              </w:rPr>
              <w:t>A range of IFG and SARTFP documentation for the following projects was made available by the World Bank:</w:t>
            </w:r>
          </w:p>
          <w:p w14:paraId="349D2515" w14:textId="77777777" w:rsidR="00404256" w:rsidRPr="000151BA" w:rsidRDefault="00404256" w:rsidP="00404256">
            <w:pPr>
              <w:pStyle w:val="p1"/>
              <w:cnfStyle w:val="000000000000" w:firstRow="0" w:lastRow="0" w:firstColumn="0" w:lastColumn="0" w:oddVBand="0" w:evenVBand="0" w:oddHBand="0" w:evenHBand="0" w:firstRowFirstColumn="0" w:firstRowLastColumn="0" w:lastRowFirstColumn="0" w:lastRowLastColumn="0"/>
              <w:rPr>
                <w:sz w:val="20"/>
                <w:szCs w:val="20"/>
              </w:rPr>
            </w:pPr>
            <w:r w:rsidRPr="000151BA">
              <w:rPr>
                <w:b/>
                <w:color w:val="000000"/>
                <w:sz w:val="20"/>
                <w:szCs w:val="20"/>
              </w:rPr>
              <w:t>IFG:</w:t>
            </w:r>
            <w:r w:rsidRPr="000151BA">
              <w:rPr>
                <w:sz w:val="20"/>
                <w:szCs w:val="20"/>
              </w:rPr>
              <w:t xml:space="preserve"> South Asia Regional Facility for Women’s Economic Empowerment and Integration; Evaluating gender gaps in infrastructure; Sustainable Development of Transmission and Distribution Sector in North Eastern Region of India; Trade, Logistics, Competitiveness in the Port Sector; Strengthening Institutional Development in World Bank-Funded Transport Projects</w:t>
            </w:r>
          </w:p>
          <w:p w14:paraId="0BA476D7" w14:textId="77777777" w:rsidR="00404256" w:rsidRPr="000151BA" w:rsidRDefault="00404256" w:rsidP="0040425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151BA">
              <w:rPr>
                <w:b/>
                <w:sz w:val="20"/>
                <w:szCs w:val="20"/>
              </w:rPr>
              <w:t>SARTFP:</w:t>
            </w:r>
            <w:r w:rsidRPr="000151BA">
              <w:rPr>
                <w:sz w:val="20"/>
                <w:szCs w:val="20"/>
              </w:rPr>
              <w:t xml:space="preserve"> SARTFP Knowledge Production and Sharing; Buddhist Circuit Development; Strengthening cross-border value chains and leveraging local development linkages in the Eastern region of South Asia; Planning for regional trade and gender inclusive Inland Water Transport in Assam; Addressing Women’s and Children’s Risks from Enhanced Connectivity.</w:t>
            </w:r>
          </w:p>
        </w:tc>
      </w:tr>
    </w:tbl>
    <w:p w14:paraId="3FE29BCD" w14:textId="77777777" w:rsidR="004B1DC7" w:rsidRDefault="004B1DC7" w:rsidP="00F65774"/>
    <w:p w14:paraId="737FCF2D" w14:textId="59846C4D" w:rsidR="004B1DC7" w:rsidRDefault="004B1DC7" w:rsidP="001B449B">
      <w:pPr>
        <w:pStyle w:val="Heading2"/>
      </w:pPr>
      <w:bookmarkStart w:id="72" w:name="_Toc517615259"/>
      <w:r>
        <w:t xml:space="preserve">Annex </w:t>
      </w:r>
      <w:r w:rsidR="00C038F9">
        <w:t>6</w:t>
      </w:r>
      <w:r>
        <w:t>: Evaluation Questions</w:t>
      </w:r>
      <w:bookmarkEnd w:id="72"/>
    </w:p>
    <w:tbl>
      <w:tblPr>
        <w:tblW w:w="9002" w:type="dxa"/>
        <w:tblLayout w:type="fixed"/>
        <w:tblCellMar>
          <w:top w:w="15" w:type="dxa"/>
          <w:left w:w="15" w:type="dxa"/>
          <w:bottom w:w="15" w:type="dxa"/>
          <w:right w:w="15" w:type="dxa"/>
        </w:tblCellMar>
        <w:tblLook w:val="04A0" w:firstRow="1" w:lastRow="0" w:firstColumn="1" w:lastColumn="0" w:noHBand="0" w:noVBand="1"/>
      </w:tblPr>
      <w:tblGrid>
        <w:gridCol w:w="1696"/>
        <w:gridCol w:w="2410"/>
        <w:gridCol w:w="2410"/>
        <w:gridCol w:w="2486"/>
      </w:tblGrid>
      <w:tr w:rsidR="004B1DC7" w14:paraId="5AB46B25" w14:textId="77777777">
        <w:trPr>
          <w:trHeight w:val="170"/>
        </w:trPr>
        <w:tc>
          <w:tcPr>
            <w:tcW w:w="9002" w:type="dxa"/>
            <w:gridSpan w:val="4"/>
            <w:tcBorders>
              <w:top w:val="single" w:sz="4" w:space="0" w:color="4472C4"/>
              <w:left w:val="single" w:sz="4" w:space="0" w:color="4472C4"/>
              <w:bottom w:val="single" w:sz="4" w:space="0" w:color="4472C4"/>
              <w:right w:val="single" w:sz="4" w:space="0" w:color="4472C4"/>
            </w:tcBorders>
            <w:shd w:val="clear" w:color="auto" w:fill="D0DBF0"/>
            <w:tcMar>
              <w:top w:w="100" w:type="dxa"/>
              <w:left w:w="100" w:type="dxa"/>
              <w:bottom w:w="100" w:type="dxa"/>
              <w:right w:w="100" w:type="dxa"/>
            </w:tcMar>
          </w:tcPr>
          <w:p w14:paraId="093BEB09" w14:textId="77777777" w:rsidR="004B1DC7" w:rsidRDefault="004B1DC7" w:rsidP="001B449B">
            <w:pPr>
              <w:pStyle w:val="NormalWeb"/>
            </w:pPr>
            <w:r>
              <w:t>Part One: Evaluation of IFG</w:t>
            </w:r>
          </w:p>
        </w:tc>
      </w:tr>
      <w:tr w:rsidR="004B1DC7" w14:paraId="6D56D9B6" w14:textId="77777777">
        <w:trPr>
          <w:trHeight w:val="206"/>
        </w:trPr>
        <w:tc>
          <w:tcPr>
            <w:tcW w:w="9002" w:type="dxa"/>
            <w:gridSpan w:val="4"/>
            <w:tcBorders>
              <w:top w:val="single" w:sz="4" w:space="0" w:color="4472C4"/>
              <w:left w:val="single" w:sz="8" w:space="0" w:color="4472C4"/>
              <w:bottom w:val="single" w:sz="8" w:space="0" w:color="4472C4"/>
              <w:right w:val="single" w:sz="8" w:space="0" w:color="4472C4"/>
            </w:tcBorders>
            <w:tcMar>
              <w:top w:w="100" w:type="dxa"/>
              <w:left w:w="100" w:type="dxa"/>
              <w:bottom w:w="100" w:type="dxa"/>
              <w:right w:w="100" w:type="dxa"/>
            </w:tcMar>
          </w:tcPr>
          <w:p w14:paraId="567F5118" w14:textId="77777777" w:rsidR="004B1DC7" w:rsidRDefault="004B1DC7" w:rsidP="001A78AF">
            <w:pPr>
              <w:pStyle w:val="NormalWeb"/>
            </w:pPr>
            <w:r>
              <w:t>Effectiveness</w:t>
            </w:r>
          </w:p>
        </w:tc>
      </w:tr>
      <w:tr w:rsidR="004B1DC7" w14:paraId="15FF8DB1" w14:textId="77777777">
        <w:trPr>
          <w:trHeight w:val="581"/>
        </w:trPr>
        <w:tc>
          <w:tcPr>
            <w:tcW w:w="1696" w:type="dxa"/>
            <w:tcBorders>
              <w:top w:val="single" w:sz="8" w:space="0" w:color="4472C4"/>
              <w:left w:val="single" w:sz="8" w:space="0" w:color="4472C4"/>
              <w:bottom w:val="single" w:sz="18" w:space="0" w:color="4472C4"/>
              <w:right w:val="single" w:sz="8" w:space="0" w:color="4472C4"/>
            </w:tcBorders>
            <w:shd w:val="clear" w:color="auto" w:fill="CFE2F3"/>
            <w:tcMar>
              <w:top w:w="100" w:type="dxa"/>
              <w:left w:w="100" w:type="dxa"/>
              <w:bottom w:w="100" w:type="dxa"/>
              <w:right w:w="100" w:type="dxa"/>
            </w:tcMar>
          </w:tcPr>
          <w:p w14:paraId="37EB0CB6" w14:textId="77777777" w:rsidR="004B1DC7" w:rsidRDefault="004B1DC7" w:rsidP="001A78AF">
            <w:pPr>
              <w:pStyle w:val="NormalWeb"/>
            </w:pPr>
            <w:r>
              <w:t>Key evaluation questions</w:t>
            </w:r>
          </w:p>
        </w:tc>
        <w:tc>
          <w:tcPr>
            <w:tcW w:w="2410" w:type="dxa"/>
            <w:tcBorders>
              <w:top w:val="single" w:sz="8" w:space="0" w:color="4472C4"/>
              <w:left w:val="single" w:sz="8" w:space="0" w:color="4472C4"/>
              <w:bottom w:val="single" w:sz="18" w:space="0" w:color="4472C4"/>
              <w:right w:val="single" w:sz="8" w:space="0" w:color="4472C4"/>
            </w:tcBorders>
            <w:shd w:val="clear" w:color="auto" w:fill="CFE2F3"/>
            <w:tcMar>
              <w:top w:w="100" w:type="dxa"/>
              <w:left w:w="100" w:type="dxa"/>
              <w:bottom w:w="100" w:type="dxa"/>
              <w:right w:w="100" w:type="dxa"/>
            </w:tcMar>
          </w:tcPr>
          <w:p w14:paraId="4F5363AE" w14:textId="77777777" w:rsidR="004B1DC7" w:rsidRDefault="004B1DC7" w:rsidP="001A78AF">
            <w:pPr>
              <w:pStyle w:val="NormalWeb"/>
            </w:pPr>
            <w:r>
              <w:t>Second level questions</w:t>
            </w:r>
          </w:p>
        </w:tc>
        <w:tc>
          <w:tcPr>
            <w:tcW w:w="2410" w:type="dxa"/>
            <w:tcBorders>
              <w:top w:val="single" w:sz="8" w:space="0" w:color="4472C4"/>
              <w:left w:val="single" w:sz="8" w:space="0" w:color="4472C4"/>
              <w:bottom w:val="single" w:sz="18" w:space="0" w:color="4472C4"/>
              <w:right w:val="single" w:sz="8" w:space="0" w:color="4472C4"/>
            </w:tcBorders>
            <w:shd w:val="clear" w:color="auto" w:fill="CFE2F3"/>
            <w:tcMar>
              <w:top w:w="100" w:type="dxa"/>
              <w:left w:w="100" w:type="dxa"/>
              <w:bottom w:w="100" w:type="dxa"/>
              <w:right w:w="100" w:type="dxa"/>
            </w:tcMar>
          </w:tcPr>
          <w:p w14:paraId="4D23E194" w14:textId="77777777" w:rsidR="004B1DC7" w:rsidRDefault="004B1DC7" w:rsidP="000B5B50">
            <w:pPr>
              <w:pStyle w:val="NormalWeb"/>
            </w:pPr>
            <w:r>
              <w:t>What will be explored</w:t>
            </w:r>
          </w:p>
        </w:tc>
        <w:tc>
          <w:tcPr>
            <w:tcW w:w="2484" w:type="dxa"/>
            <w:tcBorders>
              <w:top w:val="single" w:sz="8" w:space="0" w:color="4472C4"/>
              <w:left w:val="single" w:sz="8" w:space="0" w:color="4472C4"/>
              <w:bottom w:val="single" w:sz="18" w:space="0" w:color="4472C4"/>
              <w:right w:val="single" w:sz="8" w:space="0" w:color="4472C4"/>
            </w:tcBorders>
            <w:shd w:val="clear" w:color="auto" w:fill="CFE2F3"/>
            <w:tcMar>
              <w:top w:w="100" w:type="dxa"/>
              <w:left w:w="100" w:type="dxa"/>
              <w:bottom w:w="100" w:type="dxa"/>
              <w:right w:w="100" w:type="dxa"/>
            </w:tcMar>
          </w:tcPr>
          <w:p w14:paraId="7491BCA9" w14:textId="77777777" w:rsidR="004B1DC7" w:rsidRDefault="004B1DC7" w:rsidP="000B5B50">
            <w:pPr>
              <w:pStyle w:val="NormalWeb"/>
            </w:pPr>
            <w:r>
              <w:t>Data Methods</w:t>
            </w:r>
          </w:p>
        </w:tc>
      </w:tr>
      <w:tr w:rsidR="004B1DC7" w14:paraId="3C314B47" w14:textId="77777777">
        <w:trPr>
          <w:trHeight w:val="678"/>
        </w:trPr>
        <w:tc>
          <w:tcPr>
            <w:tcW w:w="1696" w:type="dxa"/>
            <w:tcBorders>
              <w:top w:val="single" w:sz="1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07EB812B" w14:textId="77777777" w:rsidR="004B1DC7" w:rsidRDefault="004B1DC7" w:rsidP="001A78AF">
            <w:pPr>
              <w:pStyle w:val="NormalWeb"/>
            </w:pPr>
            <w:r>
              <w:rPr>
                <w:szCs w:val="20"/>
              </w:rPr>
              <w:t xml:space="preserve">1. </w:t>
            </w:r>
            <w:r w:rsidRPr="00613489">
              <w:t>How did IFG perform against its objectives</w:t>
            </w:r>
            <w:r>
              <w:t>?</w:t>
            </w:r>
          </w:p>
          <w:p w14:paraId="70C6F522" w14:textId="77777777" w:rsidR="004B1DC7" w:rsidRDefault="004B1DC7" w:rsidP="001A78AF">
            <w:pPr>
              <w:pStyle w:val="NormalWeb"/>
            </w:pPr>
          </w:p>
          <w:p w14:paraId="1BB70121" w14:textId="77777777" w:rsidR="004B1DC7" w:rsidRDefault="004B1DC7" w:rsidP="000B5B50">
            <w:pPr>
              <w:pStyle w:val="NormalWeb"/>
            </w:pPr>
          </w:p>
          <w:p w14:paraId="56B3187E" w14:textId="77777777" w:rsidR="004B1DC7" w:rsidRDefault="004B1DC7" w:rsidP="000B5B50">
            <w:pPr>
              <w:pStyle w:val="NormalWeb"/>
            </w:pPr>
          </w:p>
          <w:p w14:paraId="2FBF7AE2" w14:textId="77777777" w:rsidR="004B1DC7" w:rsidRPr="00990340" w:rsidRDefault="004B1DC7" w:rsidP="00404A8A">
            <w:pPr>
              <w:pStyle w:val="NormalWeb"/>
            </w:pPr>
          </w:p>
        </w:tc>
        <w:tc>
          <w:tcPr>
            <w:tcW w:w="2410" w:type="dxa"/>
            <w:tcBorders>
              <w:top w:val="single" w:sz="1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5FD9F329" w14:textId="77777777" w:rsidR="004B1DC7" w:rsidRDefault="004B1DC7" w:rsidP="00F311EB">
            <w:pPr>
              <w:pStyle w:val="NormalWeb"/>
            </w:pPr>
            <w:r>
              <w:t>-What evidence exists of development outcomes (including contributions to support critical policy and reform measures in priority sectors (transport, energy)? (MTO A)</w:t>
            </w:r>
          </w:p>
          <w:p w14:paraId="47525B8A" w14:textId="77777777" w:rsidR="004B1DC7" w:rsidRDefault="004B1DC7" w:rsidP="00894DA7">
            <w:pPr>
              <w:pStyle w:val="NormalWeb"/>
            </w:pPr>
            <w:r>
              <w:t>-What evidence exists of public diplomacy and communications as a result of IFG?</w:t>
            </w:r>
          </w:p>
          <w:p w14:paraId="3D8E8956" w14:textId="77777777" w:rsidR="004B1DC7" w:rsidRDefault="004B1DC7" w:rsidP="00296968">
            <w:pPr>
              <w:pStyle w:val="NormalWeb"/>
            </w:pPr>
            <w:r>
              <w:t xml:space="preserve">Have there been any unintended outcomes? </w:t>
            </w:r>
          </w:p>
          <w:p w14:paraId="203777AB" w14:textId="77777777" w:rsidR="004B1DC7" w:rsidRPr="00392734" w:rsidRDefault="004B1DC7" w:rsidP="00B17CA6">
            <w:pPr>
              <w:pStyle w:val="NormalWeb"/>
            </w:pPr>
            <w:r w:rsidRPr="00392734">
              <w:lastRenderedPageBreak/>
              <w:t xml:space="preserve">PSFA Secretariat </w:t>
            </w:r>
          </w:p>
          <w:p w14:paraId="0AF6A348" w14:textId="77777777" w:rsidR="004B1DC7" w:rsidRDefault="004B1DC7" w:rsidP="00A004B7">
            <w:pPr>
              <w:pStyle w:val="NormalWeb"/>
            </w:pPr>
            <w:r>
              <w:t>-To what extent has IFG contributed to improved effectiveness of WB Operations in transport and energy in South Asia? (MTO D)</w:t>
            </w:r>
          </w:p>
          <w:p w14:paraId="32E2B190" w14:textId="77777777" w:rsidR="004B1DC7" w:rsidRPr="00990340" w:rsidRDefault="004B1DC7" w:rsidP="00A004B7">
            <w:pPr>
              <w:pStyle w:val="NormalWeb"/>
            </w:pPr>
          </w:p>
          <w:p w14:paraId="3DC2A1D4" w14:textId="77777777" w:rsidR="004B1DC7" w:rsidRDefault="004B1DC7" w:rsidP="00C36D62">
            <w:pPr>
              <w:pStyle w:val="NormalWeb"/>
            </w:pPr>
            <w:r>
              <w:t>- As a result of IFG work, has there been an increased quality and volume of Sector investments (transport, energy) unlocked or leveraged from WBG and from external resources (donors, PPPs)? (MTO B)</w:t>
            </w:r>
          </w:p>
        </w:tc>
        <w:tc>
          <w:tcPr>
            <w:tcW w:w="2410" w:type="dxa"/>
            <w:tcBorders>
              <w:top w:val="single" w:sz="1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6EC7048D" w14:textId="77777777" w:rsidR="004B1DC7" w:rsidRPr="00493B1F" w:rsidRDefault="004B1DC7" w:rsidP="00F33717">
            <w:pPr>
              <w:pStyle w:val="NormalWeb"/>
            </w:pPr>
            <w:r w:rsidRPr="00493B1F">
              <w:rPr>
                <w:b/>
                <w:bCs/>
              </w:rPr>
              <w:lastRenderedPageBreak/>
              <w:t xml:space="preserve">The overarching desired effects. </w:t>
            </w:r>
            <w:r w:rsidRPr="00493B1F">
              <w:t xml:space="preserve">The underlying theory of change. The underlying assumptions. The mix of intervention and activities. </w:t>
            </w:r>
          </w:p>
          <w:p w14:paraId="64067A73" w14:textId="77777777" w:rsidR="004B1DC7" w:rsidRPr="00493B1F" w:rsidRDefault="004B1DC7">
            <w:pPr>
              <w:pStyle w:val="NormalWeb"/>
            </w:pPr>
            <w:r w:rsidRPr="00493B1F">
              <w:rPr>
                <w:b/>
                <w:bCs/>
              </w:rPr>
              <w:t xml:space="preserve">The end to end process: </w:t>
            </w:r>
            <w:r w:rsidRPr="00493B1F">
              <w:rPr>
                <w:bCs/>
              </w:rPr>
              <w:t>T</w:t>
            </w:r>
            <w:r w:rsidRPr="00493B1F">
              <w:t xml:space="preserve">he activities that have been undertaken. How these are determined and why. Progress to date. Enablers. Barriers to achievement. </w:t>
            </w:r>
          </w:p>
          <w:p w14:paraId="679476E6" w14:textId="77777777" w:rsidR="004B1DC7" w:rsidRPr="00493B1F" w:rsidRDefault="004B1DC7">
            <w:pPr>
              <w:pStyle w:val="NormalWeb"/>
            </w:pPr>
            <w:r w:rsidRPr="00493B1F">
              <w:rPr>
                <w:b/>
                <w:bCs/>
              </w:rPr>
              <w:t xml:space="preserve">The outcomes at project and program level to date: </w:t>
            </w:r>
            <w:r w:rsidRPr="00493B1F">
              <w:lastRenderedPageBreak/>
              <w:t>Broad project analysis. Reported outcomes by project against planned outcomes.</w:t>
            </w:r>
            <w:r w:rsidRPr="00493B1F">
              <w:rPr>
                <w:b/>
                <w:bCs/>
              </w:rPr>
              <w:t xml:space="preserve"> </w:t>
            </w:r>
            <w:r w:rsidRPr="00493B1F">
              <w:t>Reach of program (reach in countries and across regions, against baseline).</w:t>
            </w:r>
          </w:p>
          <w:p w14:paraId="45A24FB0" w14:textId="77777777" w:rsidR="004B1DC7" w:rsidRPr="00990340" w:rsidRDefault="004B1DC7">
            <w:pPr>
              <w:pStyle w:val="NormalWeb"/>
            </w:pPr>
            <w:r w:rsidRPr="00493B1F">
              <w:t>Whether the interventions and instruments produced the desired effects: Could other interventions achieve better results?</w:t>
            </w:r>
          </w:p>
        </w:tc>
        <w:tc>
          <w:tcPr>
            <w:tcW w:w="2484" w:type="dxa"/>
            <w:tcBorders>
              <w:top w:val="single" w:sz="1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7ED7EF9F" w14:textId="77777777" w:rsidR="004B1DC7" w:rsidRPr="00493B1F" w:rsidRDefault="004B1DC7">
            <w:pPr>
              <w:pStyle w:val="NormalWeb"/>
            </w:pPr>
            <w:r w:rsidRPr="00493B1F">
              <w:rPr>
                <w:rFonts w:ascii="Calibri" w:hAnsi="Calibri"/>
                <w:b/>
                <w:bCs/>
              </w:rPr>
              <w:lastRenderedPageBreak/>
              <w:t xml:space="preserve">Literature Review </w:t>
            </w:r>
            <w:r w:rsidRPr="00493B1F">
              <w:rPr>
                <w:rFonts w:ascii="Calibri" w:hAnsi="Calibri"/>
              </w:rPr>
              <w:t xml:space="preserve">– including </w:t>
            </w:r>
            <w:r w:rsidRPr="00493B1F">
              <w:t>comparative evaluation literature related to World Bank programs with gender programming, taking a selection of resources from the IEG attached to the World Bank, and external evaluation resources.  </w:t>
            </w:r>
            <w:r w:rsidRPr="00493B1F">
              <w:rPr>
                <w:rFonts w:ascii="Calibri" w:hAnsi="Calibri"/>
              </w:rPr>
              <w:t>Examples of gender-oriented funding vehicles. Current processes for gender inclusion in WB processes.</w:t>
            </w:r>
          </w:p>
          <w:p w14:paraId="3D109B0D" w14:textId="77777777" w:rsidR="004B1DC7" w:rsidRPr="00493B1F" w:rsidRDefault="004B1DC7" w:rsidP="001B449B"/>
          <w:p w14:paraId="411917F7" w14:textId="77777777" w:rsidR="004B1DC7" w:rsidRPr="00493B1F" w:rsidRDefault="004B1DC7" w:rsidP="001B449B">
            <w:pPr>
              <w:pStyle w:val="NormalWeb"/>
            </w:pPr>
            <w:r w:rsidRPr="00493B1F">
              <w:rPr>
                <w:b/>
                <w:bCs/>
              </w:rPr>
              <w:lastRenderedPageBreak/>
              <w:t xml:space="preserve">Program document review including: </w:t>
            </w:r>
            <w:r w:rsidRPr="00493B1F">
              <w:t>design documents; results framework; monitoring and evaluation framework; baseline report; workplans; results framework; DFAT/WB roles, responsibilities and accountability, progress reports; standard operating procedures.</w:t>
            </w:r>
          </w:p>
          <w:p w14:paraId="7AB93B30" w14:textId="77777777" w:rsidR="004B1DC7" w:rsidRPr="00493B1F" w:rsidRDefault="004B1DC7">
            <w:pPr>
              <w:pStyle w:val="NormalWeb"/>
            </w:pPr>
            <w:r w:rsidRPr="00493B1F">
              <w:t>Clarification of the program’s theory of change to check for alignment of activities and direction with intended goals</w:t>
            </w:r>
          </w:p>
          <w:p w14:paraId="2F20A630" w14:textId="77777777" w:rsidR="004B1DC7" w:rsidRPr="00493B1F" w:rsidRDefault="004B1DC7" w:rsidP="001B449B"/>
          <w:p w14:paraId="12943BC2" w14:textId="77777777" w:rsidR="004B1DC7" w:rsidRPr="00493B1F" w:rsidRDefault="004B1DC7" w:rsidP="001B449B">
            <w:pPr>
              <w:pStyle w:val="NormalWeb"/>
            </w:pPr>
            <w:r w:rsidRPr="00493B1F">
              <w:t>Project Analysis</w:t>
            </w:r>
          </w:p>
          <w:p w14:paraId="5BC53D6B" w14:textId="77777777" w:rsidR="004B1DC7" w:rsidRPr="00493B1F" w:rsidRDefault="004B1DC7">
            <w:pPr>
              <w:pStyle w:val="NormalWeb"/>
            </w:pPr>
            <w:r w:rsidRPr="00493B1F">
              <w:t xml:space="preserve">Selected project analysis based on sampling framework (see methodology section) </w:t>
            </w:r>
          </w:p>
          <w:p w14:paraId="38D217B3" w14:textId="77777777" w:rsidR="004B1DC7" w:rsidRPr="00493B1F" w:rsidRDefault="004B1DC7" w:rsidP="001B449B"/>
          <w:p w14:paraId="6EE40218" w14:textId="77777777" w:rsidR="004B1DC7" w:rsidRDefault="004B1DC7" w:rsidP="001B449B">
            <w:pPr>
              <w:pStyle w:val="NormalWeb"/>
            </w:pPr>
            <w:r w:rsidRPr="00493B1F">
              <w:rPr>
                <w:b/>
                <w:bCs/>
              </w:rPr>
              <w:t xml:space="preserve">Semi-structured Interviews: </w:t>
            </w:r>
            <w:r w:rsidRPr="00493B1F">
              <w:t>DFAT, WB, TAF, at least two of the project countries. Other stakeholders as necessary (e.g. workshop participants)</w:t>
            </w:r>
          </w:p>
        </w:tc>
      </w:tr>
      <w:tr w:rsidR="004B1DC7" w14:paraId="0CCF9332" w14:textId="77777777">
        <w:trPr>
          <w:trHeight w:val="364"/>
        </w:trPr>
        <w:tc>
          <w:tcPr>
            <w:tcW w:w="9002" w:type="dxa"/>
            <w:gridSpan w:val="4"/>
            <w:tcBorders>
              <w:top w:val="single" w:sz="8" w:space="0" w:color="4472C4"/>
              <w:left w:val="single" w:sz="8" w:space="0" w:color="4472C4"/>
              <w:bottom w:val="single" w:sz="8" w:space="0" w:color="4472C4"/>
              <w:right w:val="single" w:sz="8" w:space="0" w:color="4472C4"/>
            </w:tcBorders>
            <w:tcMar>
              <w:top w:w="100" w:type="dxa"/>
              <w:left w:w="100" w:type="dxa"/>
              <w:bottom w:w="100" w:type="dxa"/>
              <w:right w:w="100" w:type="dxa"/>
            </w:tcMar>
          </w:tcPr>
          <w:p w14:paraId="4A21C6AC" w14:textId="77777777" w:rsidR="004B1DC7" w:rsidRDefault="004B1DC7" w:rsidP="001A78AF">
            <w:pPr>
              <w:pStyle w:val="NormalWeb"/>
            </w:pPr>
            <w:r>
              <w:lastRenderedPageBreak/>
              <w:t>Efficiency</w:t>
            </w:r>
          </w:p>
        </w:tc>
      </w:tr>
      <w:tr w:rsidR="004B1DC7" w14:paraId="246F4572" w14:textId="77777777">
        <w:trPr>
          <w:trHeight w:val="1600"/>
        </w:trPr>
        <w:tc>
          <w:tcPr>
            <w:tcW w:w="1696" w:type="dxa"/>
            <w:tcBorders>
              <w:top w:val="single" w:sz="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124EAF6C" w14:textId="77777777" w:rsidR="004B1DC7" w:rsidRPr="00493B1F" w:rsidRDefault="004B1DC7" w:rsidP="001A78AF">
            <w:pPr>
              <w:pStyle w:val="NormalWeb"/>
            </w:pPr>
            <w:r w:rsidRPr="00493B1F">
              <w:t>2. Is funding being used efficiently and what have been the factors affecting the WB’s disbursement rates?</w:t>
            </w:r>
          </w:p>
        </w:tc>
        <w:tc>
          <w:tcPr>
            <w:tcW w:w="2410" w:type="dxa"/>
            <w:tcBorders>
              <w:top w:val="single" w:sz="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6FAC75EF" w14:textId="77777777" w:rsidR="004B1DC7" w:rsidRPr="00493B1F" w:rsidRDefault="004B1DC7" w:rsidP="001A78AF">
            <w:pPr>
              <w:pStyle w:val="NormalWeb"/>
              <w:rPr>
                <w:lang w:val="en-AU"/>
              </w:rPr>
            </w:pPr>
            <w:r w:rsidRPr="00493B1F">
              <w:rPr>
                <w:color w:val="000000"/>
              </w:rPr>
              <w:t>-</w:t>
            </w:r>
            <w:r w:rsidRPr="00493B1F">
              <w:rPr>
                <w:rFonts w:cs="Calibri"/>
                <w:lang w:val="en-AU"/>
              </w:rPr>
              <w:t xml:space="preserve"> </w:t>
            </w:r>
            <w:r w:rsidRPr="00493B1F">
              <w:rPr>
                <w:lang w:val="en-AU"/>
              </w:rPr>
              <w:t xml:space="preserve">What was the process (DFAT and WB) used to allocate program funds and does this process facilitate responsiveness to emerging opportunities?  </w:t>
            </w:r>
          </w:p>
          <w:p w14:paraId="46353867" w14:textId="77777777" w:rsidR="004B1DC7" w:rsidRPr="00493B1F" w:rsidRDefault="004B1DC7" w:rsidP="000B5B50">
            <w:pPr>
              <w:pStyle w:val="NormalWeb"/>
              <w:rPr>
                <w:lang w:val="en-AU"/>
              </w:rPr>
            </w:pPr>
            <w:r w:rsidRPr="00493B1F">
              <w:t>How is IFG making appropriate use of DFAT’s time and resources to achieve planned objectives?</w:t>
            </w:r>
          </w:p>
          <w:p w14:paraId="02C19486" w14:textId="77777777" w:rsidR="004B1DC7" w:rsidRPr="00493B1F" w:rsidRDefault="004B1DC7" w:rsidP="000B5B50">
            <w:pPr>
              <w:pStyle w:val="NormalWeb"/>
            </w:pPr>
          </w:p>
        </w:tc>
        <w:tc>
          <w:tcPr>
            <w:tcW w:w="2410" w:type="dxa"/>
            <w:tcBorders>
              <w:top w:val="single" w:sz="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576B88A2" w14:textId="77777777" w:rsidR="004B1DC7" w:rsidRPr="00493B1F" w:rsidRDefault="004B1DC7" w:rsidP="00404A8A">
            <w:pPr>
              <w:pStyle w:val="NormalWeb"/>
            </w:pPr>
            <w:r w:rsidRPr="00493B1F">
              <w:t>Has DFAT’s investment brought about changes or would change have happened anyway.</w:t>
            </w:r>
          </w:p>
          <w:p w14:paraId="53659248" w14:textId="77777777" w:rsidR="004B1DC7" w:rsidRPr="00493B1F" w:rsidRDefault="004B1DC7" w:rsidP="001B449B"/>
          <w:p w14:paraId="7AA9C66B" w14:textId="77777777" w:rsidR="004B1DC7" w:rsidRPr="00493B1F" w:rsidRDefault="004B1DC7" w:rsidP="001B449B">
            <w:pPr>
              <w:pStyle w:val="NormalWeb"/>
            </w:pPr>
            <w:r w:rsidRPr="00493B1F">
              <w:t>Efficiency of the mechanism as a means of influencing WB practices and whether alternative means of influencing WB practices are available to DFAT.</w:t>
            </w:r>
          </w:p>
        </w:tc>
        <w:tc>
          <w:tcPr>
            <w:tcW w:w="2484" w:type="dxa"/>
            <w:tcBorders>
              <w:top w:val="single" w:sz="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5E2DF726" w14:textId="77777777" w:rsidR="004B1DC7" w:rsidRPr="00493B1F" w:rsidRDefault="004B1DC7">
            <w:pPr>
              <w:pStyle w:val="NormalWeb"/>
            </w:pPr>
            <w:r w:rsidRPr="00493B1F">
              <w:t>See above method</w:t>
            </w:r>
          </w:p>
        </w:tc>
      </w:tr>
      <w:tr w:rsidR="004B1DC7" w14:paraId="220F372D" w14:textId="77777777">
        <w:trPr>
          <w:trHeight w:val="234"/>
        </w:trPr>
        <w:tc>
          <w:tcPr>
            <w:tcW w:w="9002" w:type="dxa"/>
            <w:gridSpan w:val="4"/>
            <w:tcBorders>
              <w:top w:val="single" w:sz="8" w:space="0" w:color="4472C4"/>
              <w:left w:val="single" w:sz="8" w:space="0" w:color="4472C4"/>
              <w:bottom w:val="single" w:sz="8" w:space="0" w:color="4472C4"/>
              <w:right w:val="single" w:sz="8" w:space="0" w:color="4472C4"/>
            </w:tcBorders>
            <w:tcMar>
              <w:top w:w="100" w:type="dxa"/>
              <w:left w:w="100" w:type="dxa"/>
              <w:bottom w:w="100" w:type="dxa"/>
              <w:right w:w="100" w:type="dxa"/>
            </w:tcMar>
          </w:tcPr>
          <w:p w14:paraId="5BC7FBAE" w14:textId="77777777" w:rsidR="004B1DC7" w:rsidRDefault="004B1DC7" w:rsidP="001A78AF">
            <w:pPr>
              <w:pStyle w:val="NormalWeb"/>
            </w:pPr>
            <w:r>
              <w:lastRenderedPageBreak/>
              <w:t>Relevance</w:t>
            </w:r>
          </w:p>
        </w:tc>
      </w:tr>
      <w:tr w:rsidR="004B1DC7" w14:paraId="3C63152C" w14:textId="77777777">
        <w:trPr>
          <w:trHeight w:val="704"/>
        </w:trPr>
        <w:tc>
          <w:tcPr>
            <w:tcW w:w="1696" w:type="dxa"/>
            <w:tcBorders>
              <w:top w:val="single" w:sz="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3CC48194" w14:textId="77777777" w:rsidR="004B1DC7" w:rsidRDefault="004B1DC7" w:rsidP="001A78AF">
            <w:pPr>
              <w:pStyle w:val="NormalWeb"/>
            </w:pPr>
            <w:r>
              <w:t xml:space="preserve">3. </w:t>
            </w:r>
            <w:r>
              <w:rPr>
                <w:sz w:val="14"/>
                <w:szCs w:val="14"/>
              </w:rPr>
              <w:t> </w:t>
            </w:r>
            <w:r w:rsidRPr="00741BC2">
              <w:t>How is IFG relevant and appropriate in the current context and environment of Australia</w:t>
            </w:r>
            <w:r>
              <w:t>’s</w:t>
            </w:r>
            <w:r w:rsidRPr="00741BC2">
              <w:t xml:space="preserve"> aid</w:t>
            </w:r>
            <w:r>
              <w:t xml:space="preserve"> priorities</w:t>
            </w:r>
            <w:r w:rsidRPr="00741BC2">
              <w:t>?</w:t>
            </w:r>
          </w:p>
        </w:tc>
        <w:tc>
          <w:tcPr>
            <w:tcW w:w="2410" w:type="dxa"/>
            <w:tcBorders>
              <w:top w:val="single" w:sz="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59ABE880" w14:textId="77777777" w:rsidR="004B1DC7" w:rsidRDefault="004B1DC7" w:rsidP="001B449B"/>
        </w:tc>
        <w:tc>
          <w:tcPr>
            <w:tcW w:w="2410" w:type="dxa"/>
            <w:tcBorders>
              <w:top w:val="single" w:sz="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33035942" w14:textId="77777777" w:rsidR="004B1DC7" w:rsidRDefault="004B1DC7"/>
        </w:tc>
        <w:tc>
          <w:tcPr>
            <w:tcW w:w="2484" w:type="dxa"/>
            <w:tcBorders>
              <w:top w:val="single" w:sz="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2283FBE4" w14:textId="77777777" w:rsidR="004B1DC7" w:rsidRDefault="004B1DC7" w:rsidP="001B449B">
            <w:pPr>
              <w:pStyle w:val="NormalWeb"/>
            </w:pPr>
            <w:r>
              <w:t> See above method</w:t>
            </w:r>
          </w:p>
        </w:tc>
      </w:tr>
      <w:tr w:rsidR="004B1DC7" w14:paraId="0E8003A4" w14:textId="77777777">
        <w:trPr>
          <w:trHeight w:val="367"/>
        </w:trPr>
        <w:tc>
          <w:tcPr>
            <w:tcW w:w="9002" w:type="dxa"/>
            <w:gridSpan w:val="4"/>
            <w:tcBorders>
              <w:top w:val="single" w:sz="8" w:space="0" w:color="4472C4"/>
              <w:left w:val="single" w:sz="8" w:space="0" w:color="4472C4"/>
              <w:bottom w:val="single" w:sz="8" w:space="0" w:color="4472C4"/>
              <w:right w:val="single" w:sz="8" w:space="0" w:color="4472C4"/>
            </w:tcBorders>
            <w:tcMar>
              <w:top w:w="100" w:type="dxa"/>
              <w:left w:w="100" w:type="dxa"/>
              <w:bottom w:w="100" w:type="dxa"/>
              <w:right w:w="100" w:type="dxa"/>
            </w:tcMar>
          </w:tcPr>
          <w:p w14:paraId="40300D6E" w14:textId="77777777" w:rsidR="004B1DC7" w:rsidRDefault="004B1DC7" w:rsidP="001A78AF">
            <w:pPr>
              <w:pStyle w:val="NormalWeb"/>
            </w:pPr>
            <w:r>
              <w:t>Gender Equality</w:t>
            </w:r>
          </w:p>
        </w:tc>
      </w:tr>
      <w:tr w:rsidR="004B1DC7" w14:paraId="1A6301AF" w14:textId="77777777">
        <w:trPr>
          <w:trHeight w:val="1812"/>
        </w:trPr>
        <w:tc>
          <w:tcPr>
            <w:tcW w:w="1696" w:type="dxa"/>
            <w:tcBorders>
              <w:top w:val="single" w:sz="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6018536A" w14:textId="77777777" w:rsidR="004B1DC7" w:rsidRPr="003D6E13" w:rsidRDefault="004B1DC7" w:rsidP="001A78AF">
            <w:pPr>
              <w:pStyle w:val="NormalWeb"/>
            </w:pPr>
            <w:r w:rsidRPr="003D6E13">
              <w:rPr>
                <w:bCs/>
              </w:rPr>
              <w:t xml:space="preserve">4. How did IFG </w:t>
            </w:r>
            <w:r w:rsidRPr="003D6E13">
              <w:t>adapt its aims, objectives and approach to align with DFAT’s gender equality and women’s empowerment strategy</w:t>
            </w:r>
            <w:r w:rsidRPr="003D6E13">
              <w:rPr>
                <w:rStyle w:val="FootnoteReference"/>
                <w:rFonts w:ascii="Calibri" w:hAnsi="Calibri" w:cs="Arial"/>
                <w:b/>
                <w:color w:val="000000"/>
                <w:sz w:val="19"/>
                <w:szCs w:val="19"/>
              </w:rPr>
              <w:footnoteReference w:id="171"/>
            </w:r>
            <w:r w:rsidRPr="003D6E13">
              <w:t xml:space="preserve">? </w:t>
            </w:r>
          </w:p>
        </w:tc>
        <w:tc>
          <w:tcPr>
            <w:tcW w:w="2410" w:type="dxa"/>
            <w:tcBorders>
              <w:top w:val="single" w:sz="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2044E320" w14:textId="77777777" w:rsidR="004B1DC7" w:rsidRPr="00A974AB" w:rsidRDefault="004B1DC7" w:rsidP="001A78AF">
            <w:pPr>
              <w:pStyle w:val="NormalWeb"/>
            </w:pPr>
            <w:r w:rsidRPr="00A974AB">
              <w:t>- What evidence exists of IFG strengthening Social inclusion and Gender equality and empowerment in transport and energy sector investments? (MTO C)</w:t>
            </w:r>
          </w:p>
          <w:p w14:paraId="0DC9FF65" w14:textId="77777777" w:rsidR="004B1DC7" w:rsidRPr="00B072F2" w:rsidRDefault="004B1DC7" w:rsidP="000B5B50">
            <w:pPr>
              <w:pStyle w:val="NormalWeb"/>
              <w:rPr>
                <w:szCs w:val="20"/>
              </w:rPr>
            </w:pPr>
            <w:r w:rsidRPr="00A974AB">
              <w:t>- As a result of this investment, to what extent has the WB treated gender equality as a higher priority in its own policies and processes?</w:t>
            </w:r>
          </w:p>
        </w:tc>
        <w:tc>
          <w:tcPr>
            <w:tcW w:w="2410" w:type="dxa"/>
            <w:tcBorders>
              <w:top w:val="single" w:sz="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19578515" w14:textId="77777777" w:rsidR="004B1DC7" w:rsidRPr="00A974AB" w:rsidRDefault="004B1DC7" w:rsidP="000B5B50">
            <w:pPr>
              <w:pStyle w:val="NormalWeb"/>
            </w:pPr>
            <w:r w:rsidRPr="00A974AB">
              <w:rPr>
                <w:rFonts w:cs="Arial"/>
              </w:rPr>
              <w:t>IFG was already active when DFAT’s gender equality and women’s empowerment strategy</w:t>
            </w:r>
            <w:r w:rsidRPr="00A974AB">
              <w:t xml:space="preserve"> was launched. This question is designed to test to what extent programs are adaptable and have the ability to encompass evolving donor priorities and whether the implementation management model is an influencing factor.</w:t>
            </w:r>
          </w:p>
          <w:p w14:paraId="4D9943BB" w14:textId="77777777" w:rsidR="004B1DC7" w:rsidRDefault="004B1DC7" w:rsidP="001B449B"/>
        </w:tc>
        <w:tc>
          <w:tcPr>
            <w:tcW w:w="2484" w:type="dxa"/>
            <w:tcBorders>
              <w:top w:val="single" w:sz="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0BC83341" w14:textId="77777777" w:rsidR="004B1DC7" w:rsidRDefault="004B1DC7" w:rsidP="001B449B">
            <w:pPr>
              <w:pStyle w:val="NormalWeb"/>
            </w:pPr>
            <w:r>
              <w:t> See above method</w:t>
            </w:r>
          </w:p>
        </w:tc>
      </w:tr>
    </w:tbl>
    <w:p w14:paraId="63444B79" w14:textId="77777777" w:rsidR="004B1DC7" w:rsidRDefault="004B1DC7" w:rsidP="001B449B"/>
    <w:p w14:paraId="4E1043F0" w14:textId="77777777" w:rsidR="004B1DC7" w:rsidRDefault="004B1DC7"/>
    <w:tbl>
      <w:tblPr>
        <w:tblW w:w="9062" w:type="dxa"/>
        <w:tblLayout w:type="fixed"/>
        <w:tblCellMar>
          <w:top w:w="15" w:type="dxa"/>
          <w:left w:w="15" w:type="dxa"/>
          <w:bottom w:w="15" w:type="dxa"/>
          <w:right w:w="15" w:type="dxa"/>
        </w:tblCellMar>
        <w:tblLook w:val="04A0" w:firstRow="1" w:lastRow="0" w:firstColumn="1" w:lastColumn="0" w:noHBand="0" w:noVBand="1"/>
      </w:tblPr>
      <w:tblGrid>
        <w:gridCol w:w="1686"/>
        <w:gridCol w:w="2415"/>
        <w:gridCol w:w="2268"/>
        <w:gridCol w:w="2693"/>
      </w:tblGrid>
      <w:tr w:rsidR="004B1DC7" w14:paraId="03BDC9B6" w14:textId="77777777">
        <w:trPr>
          <w:trHeight w:val="181"/>
        </w:trPr>
        <w:tc>
          <w:tcPr>
            <w:tcW w:w="9062" w:type="dxa"/>
            <w:gridSpan w:val="4"/>
            <w:tcBorders>
              <w:top w:val="single" w:sz="8" w:space="0" w:color="000000"/>
              <w:left w:val="single" w:sz="8" w:space="0" w:color="000000"/>
              <w:bottom w:val="single" w:sz="8" w:space="0" w:color="000000"/>
              <w:right w:val="single" w:sz="8" w:space="0" w:color="000000"/>
            </w:tcBorders>
            <w:shd w:val="clear" w:color="auto" w:fill="D0DBF0"/>
            <w:tcMar>
              <w:top w:w="100" w:type="dxa"/>
              <w:left w:w="100" w:type="dxa"/>
              <w:bottom w:w="100" w:type="dxa"/>
              <w:right w:w="100" w:type="dxa"/>
            </w:tcMar>
          </w:tcPr>
          <w:p w14:paraId="610B2600" w14:textId="77777777" w:rsidR="004B1DC7" w:rsidRDefault="004B1DC7" w:rsidP="001B449B">
            <w:pPr>
              <w:pStyle w:val="NormalWeb"/>
            </w:pPr>
            <w:r>
              <w:t>Part Two: Review of SARTFP</w:t>
            </w:r>
          </w:p>
        </w:tc>
      </w:tr>
      <w:tr w:rsidR="004B1DC7" w:rsidRPr="00B30203" w14:paraId="6B630643" w14:textId="77777777">
        <w:trPr>
          <w:trHeight w:val="154"/>
        </w:trPr>
        <w:tc>
          <w:tcPr>
            <w:tcW w:w="9062" w:type="dxa"/>
            <w:gridSpan w:val="4"/>
            <w:tcBorders>
              <w:top w:val="single" w:sz="8" w:space="0" w:color="000000"/>
              <w:left w:val="single" w:sz="8" w:space="0" w:color="000000"/>
              <w:bottom w:val="single" w:sz="8" w:space="0" w:color="4472C4"/>
              <w:right w:val="single" w:sz="8" w:space="0" w:color="000000"/>
            </w:tcBorders>
            <w:tcMar>
              <w:top w:w="100" w:type="dxa"/>
              <w:left w:w="100" w:type="dxa"/>
              <w:bottom w:w="100" w:type="dxa"/>
              <w:right w:w="100" w:type="dxa"/>
            </w:tcMar>
          </w:tcPr>
          <w:p w14:paraId="22EFFA53" w14:textId="77777777" w:rsidR="004B1DC7" w:rsidRPr="00B30203" w:rsidRDefault="004B1DC7" w:rsidP="001A78AF">
            <w:pPr>
              <w:pStyle w:val="NormalWeb"/>
            </w:pPr>
            <w:r>
              <w:t>Effectiveness</w:t>
            </w:r>
          </w:p>
        </w:tc>
      </w:tr>
      <w:tr w:rsidR="004B1DC7" w14:paraId="11779C4A" w14:textId="77777777">
        <w:trPr>
          <w:trHeight w:val="115"/>
        </w:trPr>
        <w:tc>
          <w:tcPr>
            <w:tcW w:w="1686" w:type="dxa"/>
            <w:tcBorders>
              <w:top w:val="single" w:sz="8" w:space="0" w:color="4472C4"/>
              <w:left w:val="single" w:sz="8" w:space="0" w:color="4472C4"/>
              <w:bottom w:val="single" w:sz="18" w:space="0" w:color="4472C4"/>
              <w:right w:val="single" w:sz="8" w:space="0" w:color="4472C4"/>
            </w:tcBorders>
            <w:shd w:val="clear" w:color="auto" w:fill="CFE2F3"/>
            <w:tcMar>
              <w:top w:w="100" w:type="dxa"/>
              <w:left w:w="100" w:type="dxa"/>
              <w:bottom w:w="100" w:type="dxa"/>
              <w:right w:w="100" w:type="dxa"/>
            </w:tcMar>
          </w:tcPr>
          <w:p w14:paraId="50F41673" w14:textId="77777777" w:rsidR="004B1DC7" w:rsidRDefault="004B1DC7" w:rsidP="001A78AF">
            <w:pPr>
              <w:pStyle w:val="NormalWeb"/>
            </w:pPr>
            <w:r>
              <w:t>Key evaluation questions</w:t>
            </w:r>
          </w:p>
        </w:tc>
        <w:tc>
          <w:tcPr>
            <w:tcW w:w="2415" w:type="dxa"/>
            <w:tcBorders>
              <w:top w:val="single" w:sz="8" w:space="0" w:color="4472C4"/>
              <w:left w:val="single" w:sz="8" w:space="0" w:color="4472C4"/>
              <w:bottom w:val="single" w:sz="18" w:space="0" w:color="4472C4"/>
              <w:right w:val="single" w:sz="8" w:space="0" w:color="4472C4"/>
            </w:tcBorders>
            <w:shd w:val="clear" w:color="auto" w:fill="CFE2F3"/>
            <w:tcMar>
              <w:top w:w="100" w:type="dxa"/>
              <w:left w:w="100" w:type="dxa"/>
              <w:bottom w:w="100" w:type="dxa"/>
              <w:right w:w="100" w:type="dxa"/>
            </w:tcMar>
          </w:tcPr>
          <w:p w14:paraId="3F0E1903" w14:textId="77777777" w:rsidR="004B1DC7" w:rsidRDefault="004B1DC7" w:rsidP="001A78AF">
            <w:pPr>
              <w:pStyle w:val="NormalWeb"/>
            </w:pPr>
            <w:r>
              <w:t>Second level questions</w:t>
            </w:r>
          </w:p>
        </w:tc>
        <w:tc>
          <w:tcPr>
            <w:tcW w:w="2268" w:type="dxa"/>
            <w:tcBorders>
              <w:top w:val="single" w:sz="8" w:space="0" w:color="4472C4"/>
              <w:left w:val="single" w:sz="8" w:space="0" w:color="4472C4"/>
              <w:bottom w:val="single" w:sz="18" w:space="0" w:color="4472C4"/>
              <w:right w:val="single" w:sz="8" w:space="0" w:color="4472C4"/>
            </w:tcBorders>
            <w:shd w:val="clear" w:color="auto" w:fill="CFE2F3"/>
            <w:tcMar>
              <w:top w:w="100" w:type="dxa"/>
              <w:left w:w="100" w:type="dxa"/>
              <w:bottom w:w="100" w:type="dxa"/>
              <w:right w:w="100" w:type="dxa"/>
            </w:tcMar>
          </w:tcPr>
          <w:p w14:paraId="1AE25CC3" w14:textId="77777777" w:rsidR="004B1DC7" w:rsidRDefault="004B1DC7" w:rsidP="000B5B50">
            <w:pPr>
              <w:pStyle w:val="NormalWeb"/>
            </w:pPr>
            <w:r>
              <w:t xml:space="preserve">What will be explored </w:t>
            </w:r>
          </w:p>
        </w:tc>
        <w:tc>
          <w:tcPr>
            <w:tcW w:w="2693" w:type="dxa"/>
            <w:tcBorders>
              <w:top w:val="single" w:sz="8" w:space="0" w:color="4472C4"/>
              <w:left w:val="single" w:sz="8" w:space="0" w:color="4472C4"/>
              <w:bottom w:val="single" w:sz="18" w:space="0" w:color="4472C4"/>
              <w:right w:val="single" w:sz="8" w:space="0" w:color="4472C4"/>
            </w:tcBorders>
            <w:shd w:val="clear" w:color="auto" w:fill="CFE2F3"/>
            <w:tcMar>
              <w:top w:w="100" w:type="dxa"/>
              <w:left w:w="100" w:type="dxa"/>
              <w:bottom w:w="100" w:type="dxa"/>
              <w:right w:w="100" w:type="dxa"/>
            </w:tcMar>
          </w:tcPr>
          <w:p w14:paraId="790D620E" w14:textId="77777777" w:rsidR="004B1DC7" w:rsidRDefault="004B1DC7" w:rsidP="000B5B50">
            <w:pPr>
              <w:pStyle w:val="NormalWeb"/>
            </w:pPr>
            <w:r>
              <w:t>Data methods</w:t>
            </w:r>
          </w:p>
        </w:tc>
      </w:tr>
      <w:tr w:rsidR="004B1DC7" w14:paraId="2FF750C5" w14:textId="77777777">
        <w:trPr>
          <w:trHeight w:val="115"/>
        </w:trPr>
        <w:tc>
          <w:tcPr>
            <w:tcW w:w="1686" w:type="dxa"/>
            <w:tcBorders>
              <w:top w:val="single" w:sz="1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34B37742" w14:textId="77777777" w:rsidR="004B1DC7" w:rsidRDefault="004B1DC7" w:rsidP="001A78AF">
            <w:pPr>
              <w:pStyle w:val="NormalWeb"/>
            </w:pPr>
            <w:r>
              <w:t xml:space="preserve">1. </w:t>
            </w:r>
            <w:r w:rsidRPr="008777C0">
              <w:t>How has SARTFP performed against its objectives to date?</w:t>
            </w:r>
          </w:p>
          <w:p w14:paraId="63F2F78A" w14:textId="77777777" w:rsidR="004B1DC7" w:rsidRDefault="004B1DC7" w:rsidP="001B449B"/>
          <w:p w14:paraId="7B0F5DCB" w14:textId="77777777" w:rsidR="004B1DC7" w:rsidRDefault="004B1DC7" w:rsidP="001B449B">
            <w:pPr>
              <w:pStyle w:val="NormalWeb"/>
            </w:pPr>
          </w:p>
        </w:tc>
        <w:tc>
          <w:tcPr>
            <w:tcW w:w="2415" w:type="dxa"/>
            <w:tcBorders>
              <w:top w:val="single" w:sz="18" w:space="0" w:color="4472C4"/>
              <w:left w:val="single" w:sz="8" w:space="0" w:color="4472C4"/>
              <w:bottom w:val="single" w:sz="8" w:space="0" w:color="4472C4"/>
              <w:right w:val="single" w:sz="4" w:space="0" w:color="4472C4"/>
            </w:tcBorders>
            <w:shd w:val="clear" w:color="auto" w:fill="D0DBF0"/>
            <w:tcMar>
              <w:top w:w="100" w:type="dxa"/>
              <w:left w:w="100" w:type="dxa"/>
              <w:bottom w:w="100" w:type="dxa"/>
              <w:right w:w="100" w:type="dxa"/>
            </w:tcMar>
          </w:tcPr>
          <w:p w14:paraId="178E2DD5" w14:textId="77777777" w:rsidR="004B1DC7" w:rsidRPr="00A974AB" w:rsidRDefault="004B1DC7">
            <w:pPr>
              <w:pStyle w:val="NormalWeb"/>
            </w:pPr>
            <w:r w:rsidRPr="00A974AB">
              <w:t>To the extent possible:</w:t>
            </w:r>
          </w:p>
          <w:p w14:paraId="44810C3C" w14:textId="77777777" w:rsidR="004B1DC7" w:rsidRPr="00A974AB" w:rsidRDefault="004B1DC7">
            <w:pPr>
              <w:pStyle w:val="NormalWeb"/>
            </w:pPr>
            <w:r w:rsidRPr="00A974AB">
              <w:t>- Are there indications of development outcomes (including contributions to regional connectivity, trade facilitation and gender) resulting from SARTFP?</w:t>
            </w:r>
          </w:p>
          <w:p w14:paraId="25BF3B0E" w14:textId="77777777" w:rsidR="004B1DC7" w:rsidRPr="00A974AB" w:rsidRDefault="004B1DC7">
            <w:pPr>
              <w:pStyle w:val="NormalWeb"/>
            </w:pPr>
          </w:p>
          <w:p w14:paraId="34495916" w14:textId="77777777" w:rsidR="004B1DC7" w:rsidRPr="00A974AB" w:rsidRDefault="004B1DC7">
            <w:pPr>
              <w:pStyle w:val="NormalWeb"/>
            </w:pPr>
            <w:r w:rsidRPr="00A974AB">
              <w:lastRenderedPageBreak/>
              <w:t xml:space="preserve">- What evidence exists of public diplomacy and communications as a result of SARTFP to date?  </w:t>
            </w:r>
          </w:p>
          <w:p w14:paraId="7CEB6207" w14:textId="77777777" w:rsidR="004B1DC7" w:rsidRPr="00A974AB" w:rsidRDefault="004B1DC7" w:rsidP="001B449B"/>
          <w:p w14:paraId="6D1C99DB" w14:textId="77777777" w:rsidR="004B1DC7" w:rsidRPr="00A974AB" w:rsidRDefault="004B1DC7" w:rsidP="001B449B">
            <w:pPr>
              <w:pStyle w:val="NormalWeb"/>
            </w:pPr>
            <w:r w:rsidRPr="00A974AB">
              <w:t>-Have there been any unintended outcomes from SARTFP?</w:t>
            </w:r>
          </w:p>
          <w:p w14:paraId="7D475560" w14:textId="77777777" w:rsidR="004B1DC7" w:rsidRPr="00A974AB" w:rsidRDefault="004B1DC7" w:rsidP="001B449B"/>
          <w:p w14:paraId="34A33697" w14:textId="77777777" w:rsidR="004B1DC7" w:rsidRPr="00A974AB" w:rsidRDefault="004B1DC7" w:rsidP="001B449B">
            <w:pPr>
              <w:pStyle w:val="NormalWeb"/>
            </w:pPr>
            <w:r w:rsidRPr="00A974AB">
              <w:t>-Has the political and economic environment of South Asia impacted the effectiveness of SARTFP?</w:t>
            </w:r>
          </w:p>
          <w:p w14:paraId="74721C4A" w14:textId="77777777" w:rsidR="004B1DC7" w:rsidRPr="00A974AB" w:rsidRDefault="004B1DC7" w:rsidP="001B449B"/>
          <w:p w14:paraId="58B43021" w14:textId="77777777" w:rsidR="004B1DC7" w:rsidRPr="00A974AB" w:rsidRDefault="004B1DC7" w:rsidP="001B449B">
            <w:pPr>
              <w:pStyle w:val="NormalWeb"/>
            </w:pPr>
            <w:r w:rsidRPr="00A974AB">
              <w:t>-To what extent has the WB and its partners’ embedded comprehensive gender-sensitive programming in SARTFP design, implementation, and monitoring and reporting? (WB and partners)</w:t>
            </w:r>
          </w:p>
          <w:p w14:paraId="13A73589" w14:textId="77777777" w:rsidR="004B1DC7" w:rsidRPr="00A974AB" w:rsidRDefault="004B1DC7">
            <w:pPr>
              <w:pStyle w:val="NormalWeb"/>
            </w:pPr>
          </w:p>
          <w:p w14:paraId="10BD908E" w14:textId="77777777" w:rsidR="004B1DC7" w:rsidRPr="00A974AB" w:rsidRDefault="004B1DC7">
            <w:pPr>
              <w:pStyle w:val="NormalWeb"/>
            </w:pPr>
            <w:r w:rsidRPr="00A974AB">
              <w:t>PSFA Secretariat</w:t>
            </w:r>
          </w:p>
          <w:p w14:paraId="535F4B83" w14:textId="77777777" w:rsidR="004B1DC7" w:rsidRPr="000151BA" w:rsidRDefault="004B1DC7" w:rsidP="001B449B">
            <w:pPr>
              <w:rPr>
                <w:sz w:val="20"/>
                <w:szCs w:val="20"/>
              </w:rPr>
            </w:pPr>
            <w:r w:rsidRPr="000151BA">
              <w:rPr>
                <w:sz w:val="20"/>
                <w:szCs w:val="20"/>
              </w:rPr>
              <w:t>What has been the increase in the percentage of projects under Global Practices relevant to SARTFP that are gender informed? (MTO A)</w:t>
            </w:r>
          </w:p>
          <w:p w14:paraId="09E0B5B6" w14:textId="77777777" w:rsidR="004B1DC7" w:rsidRPr="000151BA" w:rsidRDefault="004B1DC7">
            <w:pPr>
              <w:rPr>
                <w:sz w:val="20"/>
                <w:szCs w:val="20"/>
              </w:rPr>
            </w:pPr>
          </w:p>
          <w:p w14:paraId="0CA7C7C9" w14:textId="77777777" w:rsidR="004B1DC7" w:rsidRPr="000151BA" w:rsidRDefault="004B1DC7">
            <w:pPr>
              <w:rPr>
                <w:sz w:val="20"/>
                <w:szCs w:val="20"/>
              </w:rPr>
            </w:pPr>
            <w:r w:rsidRPr="000151BA">
              <w:rPr>
                <w:sz w:val="20"/>
                <w:szCs w:val="20"/>
              </w:rPr>
              <w:t>What value of financing exists to projects or pilots outside SARTFP benefitting women in trade facilitation, cross-border transport connectivity, or local economic opportunity? (MTO A)</w:t>
            </w:r>
          </w:p>
          <w:p w14:paraId="1BA81422" w14:textId="77777777" w:rsidR="004B1DC7" w:rsidRPr="000151BA" w:rsidRDefault="004B1DC7">
            <w:pPr>
              <w:rPr>
                <w:sz w:val="20"/>
                <w:szCs w:val="20"/>
              </w:rPr>
            </w:pPr>
          </w:p>
          <w:p w14:paraId="1A1912FA" w14:textId="77777777" w:rsidR="004B1DC7" w:rsidRPr="000151BA" w:rsidRDefault="004B1DC7">
            <w:pPr>
              <w:rPr>
                <w:sz w:val="20"/>
                <w:szCs w:val="20"/>
              </w:rPr>
            </w:pPr>
            <w:r w:rsidRPr="000151BA">
              <w:rPr>
                <w:sz w:val="20"/>
                <w:szCs w:val="20"/>
              </w:rPr>
              <w:t xml:space="preserve">What is the number of complementary investments made by BBIN </w:t>
            </w:r>
            <w:r w:rsidRPr="000151BA">
              <w:rPr>
                <w:sz w:val="20"/>
                <w:szCs w:val="20"/>
              </w:rPr>
              <w:lastRenderedPageBreak/>
              <w:t>governments that benefit, or are expected to benefit, women? (MTO B)</w:t>
            </w:r>
          </w:p>
          <w:p w14:paraId="4EF9C441" w14:textId="77777777" w:rsidR="004B1DC7" w:rsidRPr="000151BA" w:rsidRDefault="004B1DC7">
            <w:pPr>
              <w:rPr>
                <w:sz w:val="20"/>
                <w:szCs w:val="20"/>
              </w:rPr>
            </w:pPr>
          </w:p>
          <w:p w14:paraId="5EEADDBC" w14:textId="77777777" w:rsidR="004B1DC7" w:rsidRPr="000151BA" w:rsidRDefault="004B1DC7">
            <w:pPr>
              <w:rPr>
                <w:sz w:val="20"/>
                <w:szCs w:val="20"/>
              </w:rPr>
            </w:pPr>
            <w:r w:rsidRPr="000151BA">
              <w:rPr>
                <w:sz w:val="20"/>
                <w:szCs w:val="20"/>
              </w:rPr>
              <w:t>What value of complementary investments made by BBIN governments that benefit, or are expected to benefit, women exist? (MTO B)</w:t>
            </w:r>
          </w:p>
          <w:p w14:paraId="73495341" w14:textId="77777777" w:rsidR="004B1DC7" w:rsidRPr="000151BA" w:rsidRDefault="004B1DC7">
            <w:pPr>
              <w:rPr>
                <w:sz w:val="20"/>
                <w:szCs w:val="20"/>
              </w:rPr>
            </w:pPr>
          </w:p>
          <w:p w14:paraId="5F0BDC46" w14:textId="77777777" w:rsidR="004B1DC7" w:rsidRPr="002A040A" w:rsidRDefault="004B1DC7">
            <w:pPr>
              <w:rPr>
                <w:szCs w:val="20"/>
              </w:rPr>
            </w:pPr>
            <w:r w:rsidRPr="000151BA">
              <w:rPr>
                <w:sz w:val="20"/>
                <w:szCs w:val="20"/>
              </w:rPr>
              <w:t>What is the number of new or amended regulatory actions taken by BBIN governments that benefit, or are expected to benefit, women? (MTO C)</w:t>
            </w:r>
          </w:p>
        </w:tc>
        <w:tc>
          <w:tcPr>
            <w:tcW w:w="2268" w:type="dxa"/>
            <w:tcBorders>
              <w:top w:val="single" w:sz="18" w:space="0" w:color="4472C4"/>
              <w:left w:val="single" w:sz="4" w:space="0" w:color="4472C4"/>
              <w:bottom w:val="single" w:sz="8" w:space="0" w:color="4472C4"/>
              <w:right w:val="single" w:sz="8" w:space="0" w:color="4472C4"/>
            </w:tcBorders>
            <w:shd w:val="clear" w:color="auto" w:fill="D0DBF0"/>
            <w:tcMar>
              <w:top w:w="100" w:type="dxa"/>
              <w:left w:w="100" w:type="dxa"/>
              <w:bottom w:w="100" w:type="dxa"/>
              <w:right w:w="100" w:type="dxa"/>
            </w:tcMar>
          </w:tcPr>
          <w:p w14:paraId="650E466A" w14:textId="77777777" w:rsidR="004B1DC7" w:rsidRPr="00A974AB" w:rsidRDefault="004B1DC7" w:rsidP="001B449B">
            <w:pPr>
              <w:pStyle w:val="NormalWeb"/>
            </w:pPr>
            <w:r w:rsidRPr="00A974AB">
              <w:rPr>
                <w:b/>
                <w:bCs/>
              </w:rPr>
              <w:lastRenderedPageBreak/>
              <w:t xml:space="preserve">The overarching desired effects. </w:t>
            </w:r>
            <w:r w:rsidRPr="00A974AB">
              <w:t xml:space="preserve">The underlying theory of change. The underlying assumptions; the mix of intervention and activities based on agreed results framework. </w:t>
            </w:r>
          </w:p>
          <w:p w14:paraId="6FB03A4E" w14:textId="77777777" w:rsidR="004B1DC7" w:rsidRPr="00A974AB" w:rsidRDefault="004B1DC7">
            <w:pPr>
              <w:pStyle w:val="NormalWeb"/>
            </w:pPr>
            <w:r w:rsidRPr="00A974AB">
              <w:rPr>
                <w:b/>
                <w:bCs/>
              </w:rPr>
              <w:t>The end to end process:</w:t>
            </w:r>
            <w:r w:rsidRPr="00A974AB">
              <w:rPr>
                <w:bCs/>
              </w:rPr>
              <w:t xml:space="preserve"> T</w:t>
            </w:r>
            <w:r w:rsidRPr="00A974AB">
              <w:t xml:space="preserve">he activities that have been undertaken. How these are determined </w:t>
            </w:r>
            <w:r w:rsidRPr="00A974AB">
              <w:lastRenderedPageBreak/>
              <w:t xml:space="preserve">and why. Progress to date. Enablers. Barriers to achievement. </w:t>
            </w:r>
          </w:p>
          <w:p w14:paraId="56B9AE75" w14:textId="77777777" w:rsidR="004B1DC7" w:rsidRDefault="004B1DC7">
            <w:pPr>
              <w:pStyle w:val="NormalWeb"/>
            </w:pPr>
            <w:r w:rsidRPr="00A974AB">
              <w:rPr>
                <w:b/>
                <w:bCs/>
              </w:rPr>
              <w:t xml:space="preserve">The outcomes at project and program level to date: </w:t>
            </w:r>
            <w:r w:rsidRPr="00A974AB">
              <w:t>Broad project analysis. Reported outcomes by project against planned outcomes.</w:t>
            </w:r>
            <w:r w:rsidRPr="00A974AB">
              <w:rPr>
                <w:b/>
                <w:bCs/>
              </w:rPr>
              <w:t xml:space="preserve"> </w:t>
            </w:r>
            <w:r w:rsidRPr="00A974AB">
              <w:t>Reach of program (reach in countries and across regions, against baseline)</w:t>
            </w:r>
          </w:p>
        </w:tc>
        <w:tc>
          <w:tcPr>
            <w:tcW w:w="2693" w:type="dxa"/>
            <w:tcBorders>
              <w:top w:val="single" w:sz="1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2C669C8A" w14:textId="77777777" w:rsidR="004B1DC7" w:rsidRPr="00A974AB" w:rsidRDefault="004B1DC7">
            <w:pPr>
              <w:pStyle w:val="NormalWeb"/>
            </w:pPr>
            <w:r w:rsidRPr="00A974AB">
              <w:rPr>
                <w:rFonts w:ascii="Calibri" w:hAnsi="Calibri"/>
                <w:b/>
                <w:bCs/>
              </w:rPr>
              <w:lastRenderedPageBreak/>
              <w:t xml:space="preserve">Literature Review </w:t>
            </w:r>
            <w:r w:rsidRPr="00A974AB">
              <w:rPr>
                <w:rFonts w:ascii="Calibri" w:hAnsi="Calibri"/>
              </w:rPr>
              <w:t xml:space="preserve">- including </w:t>
            </w:r>
            <w:r w:rsidRPr="00A974AB">
              <w:t>comparative evaluation literature related to World Bank programs with gender programming, taking a selection of resources from the IEG attached to the World Bank, and external evaluation resources.  </w:t>
            </w:r>
            <w:r w:rsidRPr="00A974AB">
              <w:rPr>
                <w:rFonts w:ascii="Calibri" w:hAnsi="Calibri"/>
              </w:rPr>
              <w:t xml:space="preserve">Examples of gender-oriented funding vehicles. Current processes for </w:t>
            </w:r>
            <w:r w:rsidRPr="00A974AB">
              <w:rPr>
                <w:rFonts w:ascii="Calibri" w:hAnsi="Calibri"/>
              </w:rPr>
              <w:lastRenderedPageBreak/>
              <w:t>gender inclusion in WB processes.</w:t>
            </w:r>
          </w:p>
          <w:p w14:paraId="77903265" w14:textId="77777777" w:rsidR="004B1DC7" w:rsidRPr="00A974AB" w:rsidRDefault="004B1DC7" w:rsidP="001B449B"/>
          <w:p w14:paraId="71EA4BD8" w14:textId="77777777" w:rsidR="004B1DC7" w:rsidRPr="00A974AB" w:rsidRDefault="004B1DC7" w:rsidP="001B449B">
            <w:pPr>
              <w:pStyle w:val="NormalWeb"/>
            </w:pPr>
            <w:r w:rsidRPr="00A974AB">
              <w:rPr>
                <w:b/>
                <w:bCs/>
              </w:rPr>
              <w:t xml:space="preserve">Program Document reviews, including: </w:t>
            </w:r>
            <w:r w:rsidRPr="00A974AB">
              <w:t>design documents; results framework; monitoring and evaluation framework; baseline report; workplans; results framework; DFAT/WB roles, responsibilities and accountability, progress reports; standard operating procedures.</w:t>
            </w:r>
          </w:p>
          <w:p w14:paraId="446C80C0" w14:textId="77777777" w:rsidR="004B1DC7" w:rsidRPr="00A974AB" w:rsidRDefault="004B1DC7">
            <w:pPr>
              <w:pStyle w:val="NormalWeb"/>
            </w:pPr>
            <w:r w:rsidRPr="00A974AB">
              <w:t>Clarification of the program’s theory of change to check for alignment of activities and direction with intended goals</w:t>
            </w:r>
          </w:p>
          <w:p w14:paraId="11941327" w14:textId="77777777" w:rsidR="004B1DC7" w:rsidRPr="00A974AB" w:rsidRDefault="004B1DC7">
            <w:pPr>
              <w:pStyle w:val="NormalWeb"/>
            </w:pPr>
          </w:p>
          <w:p w14:paraId="78AF8AFE" w14:textId="77777777" w:rsidR="004B1DC7" w:rsidRPr="00A974AB" w:rsidRDefault="004B1DC7" w:rsidP="001B449B"/>
          <w:p w14:paraId="01742B96" w14:textId="77777777" w:rsidR="004B1DC7" w:rsidRPr="00A974AB" w:rsidRDefault="004B1DC7" w:rsidP="001B449B">
            <w:pPr>
              <w:pStyle w:val="NormalWeb"/>
            </w:pPr>
            <w:r w:rsidRPr="00A974AB">
              <w:t>Project Analysis</w:t>
            </w:r>
          </w:p>
          <w:p w14:paraId="60B8CFF7" w14:textId="77777777" w:rsidR="004B1DC7" w:rsidRPr="00A974AB" w:rsidRDefault="004B1DC7">
            <w:pPr>
              <w:pStyle w:val="NormalWeb"/>
            </w:pPr>
            <w:r w:rsidRPr="00A974AB">
              <w:t xml:space="preserve">Selected project analysis based on sampling framework (see methodology section) </w:t>
            </w:r>
          </w:p>
          <w:p w14:paraId="2D0F1298" w14:textId="77777777" w:rsidR="004B1DC7" w:rsidRPr="00A974AB" w:rsidRDefault="004B1DC7" w:rsidP="001B449B"/>
          <w:p w14:paraId="36492AAF" w14:textId="77777777" w:rsidR="004B1DC7" w:rsidRDefault="004B1DC7" w:rsidP="001B449B">
            <w:pPr>
              <w:pStyle w:val="NormalWeb"/>
            </w:pPr>
            <w:r w:rsidRPr="00A974AB">
              <w:rPr>
                <w:b/>
                <w:bCs/>
              </w:rPr>
              <w:t xml:space="preserve">Semi-structured Interviews: </w:t>
            </w:r>
            <w:r w:rsidRPr="00A974AB">
              <w:t>DFAT, WB, TAF, at least two of the project countries. Include analysis of political context. Other stakeholders as necessary (eg workshop participants)</w:t>
            </w:r>
          </w:p>
        </w:tc>
      </w:tr>
      <w:tr w:rsidR="004B1DC7" w14:paraId="301E39E1" w14:textId="77777777">
        <w:trPr>
          <w:trHeight w:val="181"/>
        </w:trPr>
        <w:tc>
          <w:tcPr>
            <w:tcW w:w="9062" w:type="dxa"/>
            <w:gridSpan w:val="4"/>
            <w:tcBorders>
              <w:top w:val="single" w:sz="8" w:space="0" w:color="4472C4"/>
              <w:left w:val="single" w:sz="8" w:space="0" w:color="000000"/>
              <w:bottom w:val="single" w:sz="8" w:space="0" w:color="4472C4"/>
              <w:right w:val="single" w:sz="8" w:space="0" w:color="000000"/>
            </w:tcBorders>
            <w:tcMar>
              <w:top w:w="100" w:type="dxa"/>
              <w:left w:w="100" w:type="dxa"/>
              <w:bottom w:w="100" w:type="dxa"/>
              <w:right w:w="100" w:type="dxa"/>
            </w:tcMar>
          </w:tcPr>
          <w:p w14:paraId="3DE25D33" w14:textId="77777777" w:rsidR="004B1DC7" w:rsidRDefault="004B1DC7" w:rsidP="001A78AF">
            <w:pPr>
              <w:pStyle w:val="NormalWeb"/>
            </w:pPr>
            <w:r>
              <w:lastRenderedPageBreak/>
              <w:t>Efficiency</w:t>
            </w:r>
          </w:p>
        </w:tc>
      </w:tr>
      <w:tr w:rsidR="004B1DC7" w14:paraId="164310E8" w14:textId="77777777">
        <w:trPr>
          <w:trHeight w:val="115"/>
        </w:trPr>
        <w:tc>
          <w:tcPr>
            <w:tcW w:w="1686" w:type="dxa"/>
            <w:tcBorders>
              <w:top w:val="single" w:sz="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129F4A1A" w14:textId="77777777" w:rsidR="004B1DC7" w:rsidRPr="000151BA" w:rsidRDefault="004B1DC7" w:rsidP="001B449B">
            <w:pPr>
              <w:rPr>
                <w:sz w:val="20"/>
                <w:szCs w:val="20"/>
              </w:rPr>
            </w:pPr>
            <w:r w:rsidRPr="000151BA">
              <w:rPr>
                <w:sz w:val="20"/>
                <w:szCs w:val="20"/>
              </w:rPr>
              <w:t>2</w:t>
            </w:r>
            <w:r w:rsidRPr="000151BA">
              <w:rPr>
                <w:rFonts w:ascii="Arial" w:hAnsi="Arial" w:cs="Arial"/>
                <w:sz w:val="20"/>
                <w:szCs w:val="20"/>
              </w:rPr>
              <w:t xml:space="preserve"> </w:t>
            </w:r>
            <w:r w:rsidRPr="000151BA">
              <w:rPr>
                <w:sz w:val="20"/>
                <w:szCs w:val="20"/>
              </w:rPr>
              <w:t>Is funding being used efficiently and what have been the factors affecting the WB’s disbursement rates?</w:t>
            </w:r>
          </w:p>
        </w:tc>
        <w:tc>
          <w:tcPr>
            <w:tcW w:w="2415" w:type="dxa"/>
            <w:tcBorders>
              <w:top w:val="single" w:sz="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03EA875D" w14:textId="77777777" w:rsidR="004B1DC7" w:rsidRPr="00A974AB" w:rsidRDefault="004B1DC7" w:rsidP="001B449B">
            <w:pPr>
              <w:pStyle w:val="NormalWeb"/>
              <w:rPr>
                <w:lang w:val="en-AU"/>
              </w:rPr>
            </w:pPr>
            <w:r w:rsidRPr="00A974AB">
              <w:rPr>
                <w:color w:val="000000"/>
              </w:rPr>
              <w:t>-</w:t>
            </w:r>
            <w:r w:rsidRPr="00A974AB">
              <w:rPr>
                <w:rFonts w:cs="Calibri"/>
                <w:lang w:val="en-AU"/>
              </w:rPr>
              <w:t xml:space="preserve"> </w:t>
            </w:r>
            <w:r w:rsidRPr="00A974AB">
              <w:rPr>
                <w:lang w:val="en-AU"/>
              </w:rPr>
              <w:t xml:space="preserve">What was the process (DFAT and WB) used to allocate program funds and does this process facilitate responsiveness to emerging opportunities?  </w:t>
            </w:r>
          </w:p>
          <w:p w14:paraId="5757ABF0" w14:textId="77777777" w:rsidR="004B1DC7" w:rsidRPr="00A974AB" w:rsidRDefault="004B1DC7">
            <w:pPr>
              <w:pStyle w:val="NormalWeb"/>
              <w:rPr>
                <w:lang w:val="en-AU"/>
              </w:rPr>
            </w:pPr>
            <w:r w:rsidRPr="00A974AB">
              <w:t>How is SARTFP making appropriate use of DFAT’s time and resources to achieve planned objectives?</w:t>
            </w:r>
          </w:p>
          <w:p w14:paraId="596BF605" w14:textId="77777777" w:rsidR="004B1DC7" w:rsidRPr="00A974AB" w:rsidRDefault="004B1DC7">
            <w:pPr>
              <w:pStyle w:val="NormalWeb"/>
              <w:rPr>
                <w:lang w:val="en-AU"/>
              </w:rPr>
            </w:pPr>
          </w:p>
        </w:tc>
        <w:tc>
          <w:tcPr>
            <w:tcW w:w="2268" w:type="dxa"/>
            <w:tcBorders>
              <w:top w:val="single" w:sz="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1DCA03DF" w14:textId="77777777" w:rsidR="004B1DC7" w:rsidRPr="00A974AB" w:rsidRDefault="004B1DC7">
            <w:pPr>
              <w:pStyle w:val="NormalWeb"/>
            </w:pPr>
            <w:r w:rsidRPr="00A974AB">
              <w:t>Has DFAT’s investment brought about changes or would change have happened anyway.</w:t>
            </w:r>
          </w:p>
          <w:p w14:paraId="6A03449F" w14:textId="77777777" w:rsidR="004B1DC7" w:rsidRPr="00A974AB" w:rsidRDefault="004B1DC7">
            <w:pPr>
              <w:pStyle w:val="NormalWeb"/>
            </w:pPr>
          </w:p>
          <w:p w14:paraId="1A6C73F6" w14:textId="77777777" w:rsidR="004B1DC7" w:rsidRPr="00A974AB" w:rsidRDefault="004B1DC7">
            <w:pPr>
              <w:pStyle w:val="NormalWeb"/>
            </w:pPr>
            <w:r w:rsidRPr="00A974AB">
              <w:t xml:space="preserve">Efficiency of the mechanism as a means of influencing WB practices and what other means does DFAT have available. </w:t>
            </w:r>
          </w:p>
        </w:tc>
        <w:tc>
          <w:tcPr>
            <w:tcW w:w="2693" w:type="dxa"/>
            <w:tcBorders>
              <w:top w:val="single" w:sz="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4DA962EF" w14:textId="77777777" w:rsidR="004B1DC7" w:rsidRPr="00A974AB" w:rsidRDefault="004B1DC7">
            <w:pPr>
              <w:pStyle w:val="NormalWeb"/>
            </w:pPr>
            <w:r w:rsidRPr="00A974AB">
              <w:t>In addition to above:</w:t>
            </w:r>
          </w:p>
          <w:p w14:paraId="764537FF" w14:textId="77777777" w:rsidR="004B1DC7" w:rsidRPr="00A974AB" w:rsidRDefault="004B1DC7" w:rsidP="001B449B"/>
          <w:p w14:paraId="58823549" w14:textId="77777777" w:rsidR="004B1DC7" w:rsidRDefault="004B1DC7" w:rsidP="001B449B">
            <w:pPr>
              <w:pStyle w:val="NormalWeb"/>
            </w:pPr>
            <w:r w:rsidRPr="00A974AB">
              <w:rPr>
                <w:b/>
                <w:bCs/>
              </w:rPr>
              <w:t xml:space="preserve">Document review and qualitative assessment </w:t>
            </w:r>
            <w:r w:rsidRPr="00A974AB">
              <w:t>- End to end review and comparison of direct and indirect DFAT resources. Review quality and use of advisory information.</w:t>
            </w:r>
          </w:p>
        </w:tc>
      </w:tr>
      <w:tr w:rsidR="004B1DC7" w14:paraId="75DA0004" w14:textId="77777777">
        <w:trPr>
          <w:trHeight w:val="181"/>
        </w:trPr>
        <w:tc>
          <w:tcPr>
            <w:tcW w:w="9062" w:type="dxa"/>
            <w:gridSpan w:val="4"/>
            <w:tcBorders>
              <w:top w:val="single" w:sz="8" w:space="0" w:color="4472C4"/>
              <w:left w:val="single" w:sz="8" w:space="0" w:color="4472C4"/>
              <w:bottom w:val="single" w:sz="8" w:space="0" w:color="4472C4"/>
              <w:right w:val="single" w:sz="8" w:space="0" w:color="4472C4"/>
            </w:tcBorders>
            <w:tcMar>
              <w:top w:w="100" w:type="dxa"/>
              <w:left w:w="100" w:type="dxa"/>
              <w:bottom w:w="100" w:type="dxa"/>
              <w:right w:w="100" w:type="dxa"/>
            </w:tcMar>
          </w:tcPr>
          <w:p w14:paraId="25EC5087" w14:textId="77777777" w:rsidR="004B1DC7" w:rsidRDefault="004B1DC7" w:rsidP="001A78AF">
            <w:pPr>
              <w:pStyle w:val="NormalWeb"/>
            </w:pPr>
            <w:r>
              <w:t>Relevance</w:t>
            </w:r>
          </w:p>
        </w:tc>
      </w:tr>
      <w:tr w:rsidR="004B1DC7" w:rsidRPr="00A974AB" w14:paraId="01121CAC" w14:textId="77777777">
        <w:trPr>
          <w:trHeight w:val="115"/>
        </w:trPr>
        <w:tc>
          <w:tcPr>
            <w:tcW w:w="1686" w:type="dxa"/>
            <w:tcBorders>
              <w:top w:val="single" w:sz="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473F8367" w14:textId="77777777" w:rsidR="004B1DC7" w:rsidRPr="00F21D0A" w:rsidRDefault="004B1DC7" w:rsidP="001A78AF">
            <w:pPr>
              <w:pStyle w:val="NormalWeb"/>
            </w:pPr>
            <w:r w:rsidRPr="00F21D0A">
              <w:t>3. How is SARTFP, and each of the three pillars, relevant and appropriate in the current context and environment of Australia</w:t>
            </w:r>
            <w:r>
              <w:t>’s</w:t>
            </w:r>
            <w:r w:rsidRPr="00F21D0A">
              <w:t xml:space="preserve"> aid</w:t>
            </w:r>
            <w:r>
              <w:t xml:space="preserve"> priorities</w:t>
            </w:r>
            <w:r w:rsidRPr="00F21D0A">
              <w:t>?</w:t>
            </w:r>
          </w:p>
        </w:tc>
        <w:tc>
          <w:tcPr>
            <w:tcW w:w="2415" w:type="dxa"/>
            <w:tcBorders>
              <w:top w:val="single" w:sz="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6AA0DA43" w14:textId="77777777" w:rsidR="004B1DC7" w:rsidRDefault="004B1DC7" w:rsidP="001B449B"/>
        </w:tc>
        <w:tc>
          <w:tcPr>
            <w:tcW w:w="2268" w:type="dxa"/>
            <w:tcBorders>
              <w:top w:val="single" w:sz="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37E21FFF" w14:textId="77777777" w:rsidR="004B1DC7" w:rsidRDefault="004B1DC7"/>
        </w:tc>
        <w:tc>
          <w:tcPr>
            <w:tcW w:w="2693" w:type="dxa"/>
            <w:tcBorders>
              <w:top w:val="single" w:sz="8" w:space="0" w:color="4472C4"/>
              <w:left w:val="single" w:sz="8" w:space="0" w:color="4472C4"/>
              <w:bottom w:val="single" w:sz="8" w:space="0" w:color="4472C4"/>
              <w:right w:val="single" w:sz="8" w:space="0" w:color="4472C4"/>
            </w:tcBorders>
            <w:shd w:val="clear" w:color="auto" w:fill="D0DBF0"/>
            <w:tcMar>
              <w:top w:w="100" w:type="dxa"/>
              <w:left w:w="100" w:type="dxa"/>
              <w:bottom w:w="100" w:type="dxa"/>
              <w:right w:w="100" w:type="dxa"/>
            </w:tcMar>
          </w:tcPr>
          <w:p w14:paraId="78F24370" w14:textId="77777777" w:rsidR="004B1DC7" w:rsidRPr="00A974AB" w:rsidRDefault="004B1DC7" w:rsidP="001B449B">
            <w:pPr>
              <w:pStyle w:val="NormalWeb"/>
            </w:pPr>
            <w:r w:rsidRPr="00A974AB">
              <w:t xml:space="preserve">From comparative analysis, qualitative interviews and program review above. </w:t>
            </w:r>
          </w:p>
        </w:tc>
      </w:tr>
      <w:tr w:rsidR="004B1DC7" w14:paraId="47E32198" w14:textId="77777777">
        <w:trPr>
          <w:trHeight w:val="181"/>
        </w:trPr>
        <w:tc>
          <w:tcPr>
            <w:tcW w:w="9062" w:type="dxa"/>
            <w:gridSpan w:val="4"/>
            <w:tcBorders>
              <w:top w:val="single" w:sz="8" w:space="0" w:color="4472C4"/>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E2A510" w14:textId="77777777" w:rsidR="004B1DC7" w:rsidRDefault="004B1DC7" w:rsidP="001A78AF">
            <w:pPr>
              <w:pStyle w:val="NormalWeb"/>
            </w:pPr>
            <w:r>
              <w:t>Gender equality</w:t>
            </w:r>
          </w:p>
        </w:tc>
      </w:tr>
      <w:tr w:rsidR="004B1DC7" w14:paraId="112327CB" w14:textId="77777777">
        <w:trPr>
          <w:trHeight w:val="115"/>
        </w:trPr>
        <w:tc>
          <w:tcPr>
            <w:tcW w:w="1686" w:type="dxa"/>
            <w:tcBorders>
              <w:top w:val="single" w:sz="8" w:space="0" w:color="000000"/>
              <w:left w:val="single" w:sz="8" w:space="0" w:color="000000"/>
              <w:bottom w:val="single" w:sz="8" w:space="0" w:color="000000"/>
              <w:right w:val="single" w:sz="8" w:space="0" w:color="000000"/>
            </w:tcBorders>
            <w:shd w:val="clear" w:color="auto" w:fill="D0DBF0"/>
            <w:tcMar>
              <w:top w:w="100" w:type="dxa"/>
              <w:left w:w="100" w:type="dxa"/>
              <w:bottom w:w="100" w:type="dxa"/>
              <w:right w:w="100" w:type="dxa"/>
            </w:tcMar>
          </w:tcPr>
          <w:p w14:paraId="6F8C8DD5" w14:textId="77777777" w:rsidR="004B1DC7" w:rsidRPr="00F21D0A" w:rsidRDefault="004B1DC7" w:rsidP="001A78AF">
            <w:pPr>
              <w:pStyle w:val="NormalWeb"/>
              <w:rPr>
                <w:rFonts w:eastAsia="Times New Roman"/>
              </w:rPr>
            </w:pPr>
            <w:r w:rsidRPr="00F21D0A">
              <w:rPr>
                <w:rFonts w:ascii="Calibri" w:hAnsi="Calibri"/>
              </w:rPr>
              <w:t xml:space="preserve">4. </w:t>
            </w:r>
            <w:r w:rsidRPr="00F21D0A">
              <w:t xml:space="preserve">How did SARTFP adapt its aims, objectives and approach to align with DFAT’s gender equality </w:t>
            </w:r>
            <w:r w:rsidRPr="00F21D0A">
              <w:lastRenderedPageBreak/>
              <w:t>and women’s empowerment strategy</w:t>
            </w:r>
            <w:r w:rsidRPr="00F21D0A">
              <w:rPr>
                <w:rStyle w:val="FootnoteReference"/>
                <w:rFonts w:ascii="Arial" w:hAnsi="Arial" w:cs="Arial"/>
                <w:b/>
                <w:color w:val="000000"/>
              </w:rPr>
              <w:footnoteReference w:id="172"/>
            </w:r>
            <w:r w:rsidRPr="00F21D0A">
              <w:rPr>
                <w:rFonts w:ascii="Arial" w:hAnsi="Arial"/>
              </w:rPr>
              <w:t xml:space="preserve">? </w:t>
            </w:r>
          </w:p>
          <w:p w14:paraId="7E2A2327" w14:textId="77777777" w:rsidR="004B1DC7" w:rsidRPr="00F21D0A" w:rsidRDefault="004B1DC7" w:rsidP="001A78AF">
            <w:pPr>
              <w:pStyle w:val="NormalWeb"/>
            </w:pPr>
            <w:r w:rsidRPr="00F21D0A">
              <w:t>5. Has SARTFP made progress against objectives focused on advancing gender equality and women’s empowerment?</w:t>
            </w:r>
          </w:p>
          <w:p w14:paraId="31939C42" w14:textId="77777777" w:rsidR="004B1DC7" w:rsidRDefault="004B1DC7" w:rsidP="000B5B50">
            <w:pPr>
              <w:pStyle w:val="NormalWeb"/>
            </w:pPr>
          </w:p>
        </w:tc>
        <w:tc>
          <w:tcPr>
            <w:tcW w:w="2415" w:type="dxa"/>
            <w:tcBorders>
              <w:top w:val="single" w:sz="8" w:space="0" w:color="000000"/>
              <w:left w:val="single" w:sz="8" w:space="0" w:color="000000"/>
              <w:bottom w:val="single" w:sz="8" w:space="0" w:color="000000"/>
              <w:right w:val="single" w:sz="8" w:space="0" w:color="000000"/>
            </w:tcBorders>
            <w:shd w:val="clear" w:color="auto" w:fill="D0DBF0"/>
            <w:tcMar>
              <w:top w:w="100" w:type="dxa"/>
              <w:left w:w="100" w:type="dxa"/>
              <w:bottom w:w="100" w:type="dxa"/>
              <w:right w:w="100" w:type="dxa"/>
            </w:tcMar>
          </w:tcPr>
          <w:p w14:paraId="06DE6B05" w14:textId="77777777" w:rsidR="004B1DC7" w:rsidRPr="00493B1F" w:rsidRDefault="004B1DC7" w:rsidP="000B5B50">
            <w:pPr>
              <w:pStyle w:val="NormalWeb"/>
            </w:pPr>
            <w:r w:rsidRPr="00493B1F">
              <w:lastRenderedPageBreak/>
              <w:t>- As a result of SARTFP, to what extent has the WB treated gender equality as a higher priority in its own policies and processes?</w:t>
            </w:r>
          </w:p>
          <w:p w14:paraId="1DBC4688" w14:textId="77777777" w:rsidR="004B1DC7" w:rsidRPr="00493B1F" w:rsidRDefault="004B1DC7" w:rsidP="00404A8A">
            <w:pPr>
              <w:pStyle w:val="NormalWeb"/>
            </w:pPr>
          </w:p>
          <w:p w14:paraId="5AEA8D39" w14:textId="77777777" w:rsidR="004B1DC7" w:rsidRPr="00493B1F" w:rsidRDefault="004B1DC7" w:rsidP="00F311EB">
            <w:pPr>
              <w:pStyle w:val="NormalWeb"/>
            </w:pPr>
            <w:r w:rsidRPr="00493B1F">
              <w:t>- What evidence is there that women have been involved in the design, development and ongoing ownership of new economic livelihoods in the targeted areas?</w:t>
            </w:r>
          </w:p>
          <w:p w14:paraId="733897EC" w14:textId="77777777" w:rsidR="004B1DC7" w:rsidRPr="00493B1F" w:rsidRDefault="004B1DC7" w:rsidP="00894DA7">
            <w:pPr>
              <w:pStyle w:val="NormalWeb"/>
            </w:pPr>
          </w:p>
          <w:p w14:paraId="5D293F3B" w14:textId="77777777" w:rsidR="004B1DC7" w:rsidRPr="00493B1F" w:rsidRDefault="004B1DC7" w:rsidP="00296968">
            <w:pPr>
              <w:pStyle w:val="NormalWeb"/>
            </w:pPr>
            <w:r w:rsidRPr="00493B1F">
              <w:t>- What are the key challenges of promoting gender equality in regional connectivity programs?  </w:t>
            </w:r>
          </w:p>
          <w:p w14:paraId="126B9613" w14:textId="77777777" w:rsidR="004B1DC7" w:rsidRPr="00493B1F" w:rsidRDefault="004B1DC7" w:rsidP="00B17CA6">
            <w:pPr>
              <w:pStyle w:val="NormalWeb"/>
            </w:pPr>
          </w:p>
          <w:p w14:paraId="44690FFF" w14:textId="77777777" w:rsidR="004B1DC7" w:rsidRPr="00493B1F" w:rsidRDefault="004B1DC7" w:rsidP="00A004B7">
            <w:pPr>
              <w:pStyle w:val="NormalWeb"/>
            </w:pPr>
            <w:r w:rsidRPr="00493B1F">
              <w:t>PSFA Secretariat:</w:t>
            </w:r>
          </w:p>
          <w:p w14:paraId="0D979337" w14:textId="77777777" w:rsidR="004B1DC7" w:rsidRPr="00493B1F" w:rsidRDefault="004B1DC7" w:rsidP="00A004B7">
            <w:pPr>
              <w:pStyle w:val="NormalWeb"/>
            </w:pPr>
            <w:r w:rsidRPr="00493B1F">
              <w:t>- How has SARTFP contributed to knowledge and understanding about how to integrate gender into trade activities? (MTO D)</w:t>
            </w:r>
          </w:p>
          <w:p w14:paraId="0AF755D6" w14:textId="77777777" w:rsidR="004B1DC7" w:rsidRPr="00493B1F" w:rsidRDefault="004B1DC7" w:rsidP="001B449B"/>
          <w:p w14:paraId="4DA4B6B4" w14:textId="77777777" w:rsidR="004B1DC7" w:rsidRPr="00493B1F" w:rsidRDefault="004B1DC7" w:rsidP="001B449B">
            <w:pPr>
              <w:pStyle w:val="NormalWeb"/>
            </w:pPr>
            <w:r w:rsidRPr="00493B1F">
              <w:t>- What evidence exists regarding the use and application of this knowledge? (MTO D)</w:t>
            </w:r>
          </w:p>
          <w:p w14:paraId="4301E790" w14:textId="77777777" w:rsidR="004B1DC7" w:rsidRPr="00493B1F" w:rsidRDefault="004B1DC7" w:rsidP="001B449B"/>
          <w:p w14:paraId="3B1D66CA" w14:textId="77777777" w:rsidR="004B1DC7" w:rsidRPr="00493B1F" w:rsidRDefault="004B1DC7" w:rsidP="001B449B">
            <w:pPr>
              <w:pStyle w:val="NormalWeb"/>
            </w:pPr>
            <w:r w:rsidRPr="00493B1F">
              <w:t>- Who are the key constituents who have benefitted from this knowledge? (MTO D)</w:t>
            </w:r>
          </w:p>
          <w:p w14:paraId="71FD274D" w14:textId="77777777" w:rsidR="004B1DC7" w:rsidRPr="00493B1F" w:rsidRDefault="004B1DC7">
            <w:pPr>
              <w:pStyle w:val="NormalWeb"/>
            </w:pPr>
          </w:p>
          <w:p w14:paraId="17D99F99" w14:textId="77777777" w:rsidR="004B1DC7" w:rsidRDefault="004B1DC7">
            <w:pPr>
              <w:pStyle w:val="NormalWeb"/>
            </w:pPr>
            <w:r w:rsidRPr="00493B1F">
              <w:t>- In what ways has women’s economic opportunity or livelihood improved? (MTO E)</w:t>
            </w:r>
          </w:p>
        </w:tc>
        <w:tc>
          <w:tcPr>
            <w:tcW w:w="2268" w:type="dxa"/>
            <w:tcBorders>
              <w:top w:val="single" w:sz="8" w:space="0" w:color="000000"/>
              <w:left w:val="single" w:sz="8" w:space="0" w:color="000000"/>
              <w:bottom w:val="single" w:sz="8" w:space="0" w:color="000000"/>
              <w:right w:val="single" w:sz="8" w:space="0" w:color="000000"/>
            </w:tcBorders>
            <w:shd w:val="clear" w:color="auto" w:fill="D0DBF0"/>
            <w:tcMar>
              <w:top w:w="100" w:type="dxa"/>
              <w:left w:w="100" w:type="dxa"/>
              <w:bottom w:w="100" w:type="dxa"/>
              <w:right w:w="100" w:type="dxa"/>
            </w:tcMar>
          </w:tcPr>
          <w:p w14:paraId="12CC7658" w14:textId="77777777" w:rsidR="004B1DC7" w:rsidRPr="00493B1F" w:rsidRDefault="004B1DC7">
            <w:pPr>
              <w:pStyle w:val="NormalWeb"/>
            </w:pPr>
            <w:r w:rsidRPr="00493B1F">
              <w:lastRenderedPageBreak/>
              <w:t xml:space="preserve">This question is designed to test to what extent programs are adaptable and have the ability to encompass evolving donor priorities and </w:t>
            </w:r>
            <w:r w:rsidRPr="00493B1F">
              <w:lastRenderedPageBreak/>
              <w:t>whether the implementation management model is an influencing factor.</w:t>
            </w:r>
          </w:p>
          <w:p w14:paraId="48E4C591" w14:textId="77777777" w:rsidR="004B1DC7" w:rsidRPr="00493B1F" w:rsidRDefault="004B1DC7">
            <w:pPr>
              <w:pStyle w:val="NormalWeb"/>
            </w:pPr>
            <w:r w:rsidRPr="00493B1F">
              <w:t xml:space="preserve"> </w:t>
            </w:r>
          </w:p>
          <w:p w14:paraId="0B7C1CFA" w14:textId="77777777" w:rsidR="004B1DC7" w:rsidRPr="00493B1F" w:rsidRDefault="004B1DC7">
            <w:pPr>
              <w:pStyle w:val="NormalWeb"/>
            </w:pPr>
            <w:r w:rsidRPr="00493B1F">
              <w:t>The extent to which women have been involved in the design, development and ongoing ownership of new economic livelihoods in the targeted areas.</w:t>
            </w:r>
          </w:p>
          <w:p w14:paraId="3370595F" w14:textId="77777777" w:rsidR="004B1DC7" w:rsidRPr="00493B1F" w:rsidRDefault="004B1DC7" w:rsidP="001B449B"/>
          <w:p w14:paraId="78214DFA" w14:textId="77777777" w:rsidR="004B1DC7" w:rsidRPr="00493B1F" w:rsidRDefault="004B1DC7" w:rsidP="001B449B">
            <w:pPr>
              <w:pStyle w:val="NormalWeb"/>
            </w:pPr>
            <w:r w:rsidRPr="00493B1F">
              <w:t>How the integration of gender equality into SARTFP has been perceived by the WB and other key stakeholders and any challenges influencing the WB at this level.</w:t>
            </w:r>
          </w:p>
          <w:p w14:paraId="30B96010" w14:textId="77777777" w:rsidR="004B1DC7" w:rsidRPr="00493B1F" w:rsidRDefault="004B1DC7" w:rsidP="001B449B"/>
          <w:p w14:paraId="52A7238C" w14:textId="77777777" w:rsidR="004B1DC7" w:rsidRPr="00493B1F" w:rsidRDefault="004B1DC7" w:rsidP="001B449B">
            <w:pPr>
              <w:pStyle w:val="NormalWeb"/>
            </w:pPr>
            <w:r w:rsidRPr="00493B1F">
              <w:t>The extent to which SARTFP is leading to positive change in WB partners, such as host governments in their prioritising of gender equality.</w:t>
            </w:r>
          </w:p>
          <w:p w14:paraId="710B949D" w14:textId="77777777" w:rsidR="004B1DC7" w:rsidRDefault="004B1DC7" w:rsidP="001B449B"/>
        </w:tc>
        <w:tc>
          <w:tcPr>
            <w:tcW w:w="2693" w:type="dxa"/>
            <w:tcBorders>
              <w:top w:val="single" w:sz="8" w:space="0" w:color="000000"/>
              <w:left w:val="single" w:sz="8" w:space="0" w:color="000000"/>
              <w:bottom w:val="single" w:sz="8" w:space="0" w:color="000000"/>
              <w:right w:val="single" w:sz="8" w:space="0" w:color="000000"/>
            </w:tcBorders>
            <w:shd w:val="clear" w:color="auto" w:fill="D0DBF0"/>
            <w:tcMar>
              <w:top w:w="100" w:type="dxa"/>
              <w:left w:w="100" w:type="dxa"/>
              <w:bottom w:w="100" w:type="dxa"/>
              <w:right w:w="100" w:type="dxa"/>
            </w:tcMar>
          </w:tcPr>
          <w:p w14:paraId="6451344F" w14:textId="77777777" w:rsidR="004B1DC7" w:rsidRPr="00493B1F" w:rsidRDefault="004B1DC7" w:rsidP="001B449B">
            <w:pPr>
              <w:pStyle w:val="NormalWeb"/>
            </w:pPr>
            <w:r w:rsidRPr="00493B1F">
              <w:lastRenderedPageBreak/>
              <w:t xml:space="preserve">From comparative analysis, qualitative interviews and program review above </w:t>
            </w:r>
          </w:p>
          <w:p w14:paraId="1A509C7C" w14:textId="77777777" w:rsidR="004B1DC7" w:rsidRPr="00493B1F" w:rsidRDefault="004B1DC7" w:rsidP="001B449B"/>
          <w:p w14:paraId="218FF619" w14:textId="77777777" w:rsidR="004B1DC7" w:rsidRPr="00493B1F" w:rsidRDefault="004B1DC7" w:rsidP="001B449B">
            <w:pPr>
              <w:pStyle w:val="NormalWeb"/>
            </w:pPr>
            <w:r w:rsidRPr="00493B1F">
              <w:lastRenderedPageBreak/>
              <w:t>Strong focus in qualitative interviews</w:t>
            </w:r>
          </w:p>
          <w:p w14:paraId="2AE0E7A3" w14:textId="77777777" w:rsidR="004B1DC7" w:rsidRDefault="004B1DC7" w:rsidP="001B449B"/>
        </w:tc>
      </w:tr>
    </w:tbl>
    <w:p w14:paraId="0CBA467B" w14:textId="77777777" w:rsidR="004B1DC7" w:rsidRDefault="004B1DC7" w:rsidP="001A78AF"/>
    <w:tbl>
      <w:tblPr>
        <w:tblW w:w="9062" w:type="dxa"/>
        <w:tblLayout w:type="fixed"/>
        <w:tblCellMar>
          <w:top w:w="15" w:type="dxa"/>
          <w:left w:w="15" w:type="dxa"/>
          <w:bottom w:w="15" w:type="dxa"/>
          <w:right w:w="15" w:type="dxa"/>
        </w:tblCellMar>
        <w:tblLook w:val="04A0" w:firstRow="1" w:lastRow="0" w:firstColumn="1" w:lastColumn="0" w:noHBand="0" w:noVBand="1"/>
      </w:tblPr>
      <w:tblGrid>
        <w:gridCol w:w="1496"/>
        <w:gridCol w:w="2605"/>
        <w:gridCol w:w="2345"/>
        <w:gridCol w:w="2616"/>
      </w:tblGrid>
      <w:tr w:rsidR="004B1DC7" w14:paraId="50AB3A18" w14:textId="77777777">
        <w:trPr>
          <w:trHeight w:val="337"/>
        </w:trPr>
        <w:tc>
          <w:tcPr>
            <w:tcW w:w="9062" w:type="dxa"/>
            <w:gridSpan w:val="4"/>
            <w:tcBorders>
              <w:top w:val="single" w:sz="8" w:space="0" w:color="000000"/>
              <w:left w:val="single" w:sz="8" w:space="0" w:color="000000"/>
              <w:bottom w:val="single" w:sz="4" w:space="0" w:color="000000"/>
              <w:right w:val="single" w:sz="8" w:space="0" w:color="000000"/>
            </w:tcBorders>
            <w:shd w:val="clear" w:color="auto" w:fill="D0DBF0"/>
            <w:tcMar>
              <w:top w:w="100" w:type="dxa"/>
              <w:left w:w="100" w:type="dxa"/>
              <w:bottom w:w="100" w:type="dxa"/>
              <w:right w:w="100" w:type="dxa"/>
            </w:tcMar>
          </w:tcPr>
          <w:p w14:paraId="612E84D8" w14:textId="77777777" w:rsidR="004B1DC7" w:rsidRDefault="004B1DC7" w:rsidP="001B449B">
            <w:pPr>
              <w:pStyle w:val="NormalWeb"/>
            </w:pPr>
            <w:r>
              <w:lastRenderedPageBreak/>
              <w:t xml:space="preserve">Part Three: Comparison of the programs’ management and implementation models. </w:t>
            </w:r>
          </w:p>
        </w:tc>
      </w:tr>
      <w:tr w:rsidR="004B1DC7" w14:paraId="769014EC" w14:textId="77777777">
        <w:trPr>
          <w:trHeight w:val="115"/>
        </w:trPr>
        <w:tc>
          <w:tcPr>
            <w:tcW w:w="14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E08C93" w14:textId="77777777" w:rsidR="004B1DC7" w:rsidRDefault="004B1DC7" w:rsidP="001A78AF">
            <w:pPr>
              <w:pStyle w:val="NormalWeb"/>
            </w:pPr>
            <w:r>
              <w:t>Key evaluation questions</w:t>
            </w:r>
          </w:p>
        </w:tc>
        <w:tc>
          <w:tcPr>
            <w:tcW w:w="26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7DC5C8" w14:textId="77777777" w:rsidR="004B1DC7" w:rsidRDefault="004B1DC7" w:rsidP="001A78AF">
            <w:pPr>
              <w:pStyle w:val="NormalWeb"/>
            </w:pPr>
            <w:r>
              <w:t>Second level questions</w:t>
            </w:r>
          </w:p>
        </w:tc>
        <w:tc>
          <w:tcPr>
            <w:tcW w:w="23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197674" w14:textId="77777777" w:rsidR="004B1DC7" w:rsidRDefault="004B1DC7" w:rsidP="000B5B50">
            <w:pPr>
              <w:pStyle w:val="NormalWeb"/>
            </w:pPr>
            <w:r>
              <w:t>What will be explored</w:t>
            </w:r>
          </w:p>
        </w:tc>
        <w:tc>
          <w:tcPr>
            <w:tcW w:w="261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E21017" w14:textId="77777777" w:rsidR="004B1DC7" w:rsidRDefault="004B1DC7" w:rsidP="000B5B50">
            <w:pPr>
              <w:pStyle w:val="NormalWeb"/>
            </w:pPr>
            <w:r>
              <w:t>Data methods</w:t>
            </w:r>
          </w:p>
        </w:tc>
      </w:tr>
      <w:tr w:rsidR="004B1DC7" w:rsidRPr="00493B1F" w14:paraId="65C99B45" w14:textId="77777777">
        <w:trPr>
          <w:trHeight w:val="115"/>
        </w:trPr>
        <w:tc>
          <w:tcPr>
            <w:tcW w:w="1496" w:type="dxa"/>
            <w:tcBorders>
              <w:top w:val="single" w:sz="4" w:space="0" w:color="000000"/>
              <w:left w:val="single" w:sz="8" w:space="0" w:color="000000"/>
              <w:bottom w:val="single" w:sz="8" w:space="0" w:color="000000"/>
              <w:right w:val="single" w:sz="8" w:space="0" w:color="000000"/>
            </w:tcBorders>
            <w:shd w:val="clear" w:color="auto" w:fill="D0DBF0"/>
            <w:tcMar>
              <w:top w:w="100" w:type="dxa"/>
              <w:left w:w="100" w:type="dxa"/>
              <w:bottom w:w="100" w:type="dxa"/>
              <w:right w:w="100" w:type="dxa"/>
            </w:tcMar>
          </w:tcPr>
          <w:p w14:paraId="107FA862" w14:textId="77777777" w:rsidR="004B1DC7" w:rsidRPr="000151BA" w:rsidRDefault="004B1DC7" w:rsidP="001B449B">
            <w:pPr>
              <w:rPr>
                <w:sz w:val="20"/>
                <w:szCs w:val="20"/>
              </w:rPr>
            </w:pPr>
            <w:r w:rsidRPr="000151BA">
              <w:rPr>
                <w:sz w:val="20"/>
                <w:szCs w:val="20"/>
              </w:rPr>
              <w:t xml:space="preserve">1. Is the partnership or partner-led model more effective in achieving program outcomes?  </w:t>
            </w:r>
          </w:p>
        </w:tc>
        <w:tc>
          <w:tcPr>
            <w:tcW w:w="2605" w:type="dxa"/>
            <w:tcBorders>
              <w:top w:val="single" w:sz="4" w:space="0" w:color="000000"/>
              <w:left w:val="single" w:sz="8" w:space="0" w:color="000000"/>
              <w:bottom w:val="single" w:sz="8" w:space="0" w:color="000000"/>
              <w:right w:val="single" w:sz="8" w:space="0" w:color="000000"/>
            </w:tcBorders>
            <w:shd w:val="clear" w:color="auto" w:fill="D0DBF0"/>
            <w:tcMar>
              <w:top w:w="100" w:type="dxa"/>
              <w:left w:w="100" w:type="dxa"/>
              <w:bottom w:w="100" w:type="dxa"/>
              <w:right w:w="100" w:type="dxa"/>
            </w:tcMar>
          </w:tcPr>
          <w:p w14:paraId="0C6B7AD1" w14:textId="77777777" w:rsidR="004B1DC7" w:rsidRPr="00493B1F" w:rsidRDefault="004B1DC7" w:rsidP="001B449B">
            <w:pPr>
              <w:pStyle w:val="NormalWeb"/>
            </w:pPr>
            <w:r w:rsidRPr="00493B1F">
              <w:t>- Comparing the governance structures, management and implementation approaches of SARTFP and IFG what are the strengths and weaknesses?</w:t>
            </w:r>
          </w:p>
          <w:p w14:paraId="125354C8" w14:textId="77777777" w:rsidR="004B1DC7" w:rsidRPr="00493B1F" w:rsidRDefault="004B1DC7">
            <w:pPr>
              <w:pStyle w:val="NormalWeb"/>
            </w:pPr>
          </w:p>
          <w:p w14:paraId="21E8409E" w14:textId="77777777" w:rsidR="004B1DC7" w:rsidRPr="00493B1F" w:rsidRDefault="004B1DC7">
            <w:pPr>
              <w:pStyle w:val="NormalWeb"/>
            </w:pPr>
            <w:r w:rsidRPr="00493B1F">
              <w:t>To what extent is there a shared understanding of the terms ‘partner-led’ and ‘partnership’?</w:t>
            </w:r>
          </w:p>
          <w:p w14:paraId="6603BD92" w14:textId="77777777" w:rsidR="004B1DC7" w:rsidRPr="00493B1F" w:rsidRDefault="004B1DC7">
            <w:pPr>
              <w:pStyle w:val="NormalWeb"/>
            </w:pPr>
          </w:p>
          <w:p w14:paraId="388C7184" w14:textId="77777777" w:rsidR="004B1DC7" w:rsidRPr="00493B1F" w:rsidRDefault="004B1DC7">
            <w:pPr>
              <w:pStyle w:val="NormalWeb"/>
            </w:pPr>
            <w:r w:rsidRPr="00493B1F">
              <w:t xml:space="preserve"> To what extent has DFAT’s investment in the TAF delivered influence (including in gender equality, governance and partnerships, trade facilitation and monitoring and evaluation) within the WB and more broadly in regional connectivity programs?</w:t>
            </w:r>
          </w:p>
          <w:p w14:paraId="7EEBA8DF" w14:textId="77777777" w:rsidR="004B1DC7" w:rsidRPr="00493B1F" w:rsidRDefault="004B1DC7">
            <w:pPr>
              <w:pStyle w:val="NormalWeb"/>
            </w:pPr>
          </w:p>
          <w:p w14:paraId="31BA5DA3" w14:textId="77777777" w:rsidR="004B1DC7" w:rsidRPr="00493B1F" w:rsidRDefault="004B1DC7">
            <w:pPr>
              <w:pStyle w:val="NormalWeb"/>
            </w:pPr>
            <w:r w:rsidRPr="00493B1F" w:rsidDel="008B47A2">
              <w:t xml:space="preserve"> </w:t>
            </w:r>
            <w:r w:rsidRPr="00493B1F">
              <w:t>-To what extent have DFAT and the TAF influenced WB programs and processes, including the integration of gender and monitoring evaluation, in all regional connectivity programs?</w:t>
            </w:r>
          </w:p>
          <w:p w14:paraId="55A6FBF9" w14:textId="77777777" w:rsidR="004B1DC7" w:rsidRDefault="004B1DC7">
            <w:pPr>
              <w:pStyle w:val="NormalWeb"/>
            </w:pPr>
          </w:p>
          <w:p w14:paraId="021D5D6C" w14:textId="77777777" w:rsidR="004B1DC7" w:rsidRDefault="004B1DC7">
            <w:pPr>
              <w:pStyle w:val="NormalWeb"/>
              <w:rPr>
                <w:rFonts w:eastAsia="Times New Roman"/>
              </w:rPr>
            </w:pPr>
          </w:p>
        </w:tc>
        <w:tc>
          <w:tcPr>
            <w:tcW w:w="2345" w:type="dxa"/>
            <w:tcBorders>
              <w:top w:val="single" w:sz="4" w:space="0" w:color="000000"/>
              <w:left w:val="single" w:sz="8" w:space="0" w:color="000000"/>
              <w:bottom w:val="single" w:sz="8" w:space="0" w:color="000000"/>
              <w:right w:val="single" w:sz="8" w:space="0" w:color="000000"/>
            </w:tcBorders>
            <w:shd w:val="clear" w:color="auto" w:fill="D0DBF0"/>
            <w:tcMar>
              <w:top w:w="100" w:type="dxa"/>
              <w:left w:w="100" w:type="dxa"/>
              <w:bottom w:w="100" w:type="dxa"/>
              <w:right w:w="100" w:type="dxa"/>
            </w:tcMar>
          </w:tcPr>
          <w:p w14:paraId="3B95A32B" w14:textId="77777777" w:rsidR="004B1DC7" w:rsidRPr="00493B1F" w:rsidRDefault="004B1DC7">
            <w:pPr>
              <w:pStyle w:val="NormalWeb"/>
            </w:pPr>
            <w:r w:rsidRPr="00493B1F">
              <w:t xml:space="preserve">The substance and practical reality behind the terms partner-led and partnership model. For example if IFG projects establish a theoretical baseline for hands-off investment by DFAT, then to what extent does having the TAF change WB performance compared to this baseline? </w:t>
            </w:r>
          </w:p>
          <w:p w14:paraId="76A18588" w14:textId="77777777" w:rsidR="004B1DC7" w:rsidRPr="00493B1F" w:rsidRDefault="004B1DC7" w:rsidP="001B449B"/>
          <w:p w14:paraId="2D8CAC3E" w14:textId="77777777" w:rsidR="004B1DC7" w:rsidRPr="00493B1F" w:rsidRDefault="004B1DC7" w:rsidP="001B449B">
            <w:pPr>
              <w:pStyle w:val="NormalWeb"/>
            </w:pPr>
            <w:r w:rsidRPr="00493B1F">
              <w:t>Whether evidence suggests that progress under SARTFP is proportionate with DFAT’s additional investment of resources (including the TAF compared to IFG).</w:t>
            </w:r>
          </w:p>
          <w:p w14:paraId="08B8877D" w14:textId="77777777" w:rsidR="004B1DC7" w:rsidRPr="00493B1F" w:rsidRDefault="004B1DC7" w:rsidP="001B449B"/>
          <w:p w14:paraId="2A328C65" w14:textId="77777777" w:rsidR="004B1DC7" w:rsidRPr="00493B1F" w:rsidRDefault="004B1DC7" w:rsidP="001B449B">
            <w:pPr>
              <w:pStyle w:val="NormalWeb"/>
            </w:pPr>
            <w:r w:rsidRPr="00493B1F">
              <w:t>Explore the role of the advisory group (e.g. whether it is intended to be proactive or reactive), their sphere of influence, and whether the role of TAF should change as the SARTFP evolves and need from a TAF change.</w:t>
            </w:r>
          </w:p>
          <w:p w14:paraId="7040CB31" w14:textId="77777777" w:rsidR="004B1DC7" w:rsidRPr="00493B1F" w:rsidRDefault="004B1DC7" w:rsidP="001B449B"/>
          <w:p w14:paraId="00C0021A" w14:textId="77777777" w:rsidR="004B1DC7" w:rsidRPr="00493B1F" w:rsidRDefault="004B1DC7" w:rsidP="001B449B">
            <w:pPr>
              <w:pStyle w:val="NormalWeb"/>
            </w:pPr>
            <w:r w:rsidRPr="00493B1F">
              <w:t>Communication - who to liaise with on what issues (Post, DFAT Canberra, WB officials)</w:t>
            </w:r>
          </w:p>
          <w:p w14:paraId="611D571E" w14:textId="77777777" w:rsidR="004B1DC7" w:rsidRPr="00493B1F" w:rsidRDefault="004B1DC7" w:rsidP="001B449B"/>
          <w:p w14:paraId="3DA3F22A" w14:textId="77777777" w:rsidR="004B1DC7" w:rsidRPr="00493B1F" w:rsidRDefault="004B1DC7" w:rsidP="001B449B">
            <w:pPr>
              <w:pStyle w:val="NormalWeb"/>
            </w:pPr>
            <w:r w:rsidRPr="00493B1F">
              <w:t xml:space="preserve">Whether the Trust Fund model is the most appropriate mechanism </w:t>
            </w:r>
            <w:r w:rsidRPr="00493B1F">
              <w:lastRenderedPageBreak/>
              <w:t>for the intended gender programming outcomes?</w:t>
            </w:r>
          </w:p>
          <w:p w14:paraId="558E1983" w14:textId="77777777" w:rsidR="004B1DC7" w:rsidRPr="00493B1F" w:rsidRDefault="004B1DC7">
            <w:pPr>
              <w:pStyle w:val="NormalWeb"/>
            </w:pPr>
          </w:p>
          <w:p w14:paraId="477591C7" w14:textId="77777777" w:rsidR="004B1DC7" w:rsidRPr="00A71842" w:rsidRDefault="004B1DC7">
            <w:pPr>
              <w:pStyle w:val="NormalWeb"/>
            </w:pPr>
            <w:r w:rsidRPr="00493B1F">
              <w:t>Explore the governance structures and the regional oversight</w:t>
            </w:r>
          </w:p>
        </w:tc>
        <w:tc>
          <w:tcPr>
            <w:tcW w:w="2616" w:type="dxa"/>
            <w:tcBorders>
              <w:top w:val="single" w:sz="4" w:space="0" w:color="000000"/>
              <w:left w:val="single" w:sz="8" w:space="0" w:color="000000"/>
              <w:bottom w:val="single" w:sz="8" w:space="0" w:color="000000"/>
              <w:right w:val="single" w:sz="8" w:space="0" w:color="000000"/>
            </w:tcBorders>
            <w:shd w:val="clear" w:color="auto" w:fill="D0DBF0"/>
            <w:tcMar>
              <w:top w:w="100" w:type="dxa"/>
              <w:left w:w="100" w:type="dxa"/>
              <w:bottom w:w="100" w:type="dxa"/>
              <w:right w:w="100" w:type="dxa"/>
            </w:tcMar>
          </w:tcPr>
          <w:p w14:paraId="04665B4F" w14:textId="77777777" w:rsidR="004B1DC7" w:rsidRPr="00493B1F" w:rsidRDefault="004B1DC7">
            <w:pPr>
              <w:pStyle w:val="NormalWeb"/>
            </w:pPr>
            <w:r w:rsidRPr="00493B1F">
              <w:lastRenderedPageBreak/>
              <w:t xml:space="preserve">Drawn from evidence-base above: comparative literature review, program and project analysis and qualitative interviews. </w:t>
            </w:r>
          </w:p>
        </w:tc>
      </w:tr>
      <w:tr w:rsidR="004B1DC7" w14:paraId="507A9F25" w14:textId="77777777">
        <w:trPr>
          <w:trHeight w:val="115"/>
        </w:trPr>
        <w:tc>
          <w:tcPr>
            <w:tcW w:w="9062" w:type="dxa"/>
            <w:gridSpan w:val="4"/>
            <w:tcBorders>
              <w:top w:val="single" w:sz="8" w:space="0" w:color="000000"/>
              <w:left w:val="single" w:sz="8" w:space="0" w:color="000000"/>
              <w:bottom w:val="single" w:sz="4" w:space="0" w:color="000000"/>
              <w:right w:val="single" w:sz="8" w:space="0" w:color="000000"/>
            </w:tcBorders>
            <w:shd w:val="clear" w:color="auto" w:fill="D0DBF0"/>
            <w:tcMar>
              <w:top w:w="100" w:type="dxa"/>
              <w:left w:w="100" w:type="dxa"/>
              <w:bottom w:w="100" w:type="dxa"/>
              <w:right w:w="100" w:type="dxa"/>
            </w:tcMar>
          </w:tcPr>
          <w:p w14:paraId="0256A167" w14:textId="77777777" w:rsidR="004B1DC7" w:rsidRDefault="004B1DC7" w:rsidP="001A78AF">
            <w:pPr>
              <w:pStyle w:val="NormalWeb"/>
            </w:pPr>
            <w:r>
              <w:t>Part Four: Inform DFAT’s future investments and policy decisions</w:t>
            </w:r>
          </w:p>
        </w:tc>
      </w:tr>
      <w:tr w:rsidR="004B1DC7" w14:paraId="5F79B931" w14:textId="77777777">
        <w:trPr>
          <w:trHeight w:val="115"/>
        </w:trPr>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B38272A" w14:textId="77777777" w:rsidR="004B1DC7" w:rsidRDefault="004B1DC7" w:rsidP="001A78AF">
            <w:pPr>
              <w:pStyle w:val="NormalWeb"/>
            </w:pPr>
            <w:r>
              <w:t>Key evaluation questions</w:t>
            </w:r>
          </w:p>
        </w:tc>
        <w:tc>
          <w:tcPr>
            <w:tcW w:w="260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4431CC6" w14:textId="77777777" w:rsidR="004B1DC7" w:rsidRDefault="004B1DC7" w:rsidP="001A78AF">
            <w:pPr>
              <w:pStyle w:val="NormalWeb"/>
            </w:pPr>
            <w:r>
              <w:t>Second level questions</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DB39958" w14:textId="77777777" w:rsidR="004B1DC7" w:rsidRDefault="004B1DC7" w:rsidP="000B5B50">
            <w:pPr>
              <w:pStyle w:val="NormalWeb"/>
            </w:pPr>
            <w:r>
              <w:t>What will be explored</w:t>
            </w:r>
          </w:p>
        </w:tc>
        <w:tc>
          <w:tcPr>
            <w:tcW w:w="261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E0E8E67" w14:textId="77777777" w:rsidR="004B1DC7" w:rsidRDefault="004B1DC7" w:rsidP="000B5B50">
            <w:pPr>
              <w:pStyle w:val="NormalWeb"/>
            </w:pPr>
            <w:r>
              <w:t xml:space="preserve">Data methods </w:t>
            </w:r>
          </w:p>
        </w:tc>
      </w:tr>
      <w:tr w:rsidR="004B1DC7" w:rsidRPr="00A974AB" w14:paraId="0BD1DADB" w14:textId="77777777">
        <w:trPr>
          <w:trHeight w:val="115"/>
        </w:trPr>
        <w:tc>
          <w:tcPr>
            <w:tcW w:w="1496" w:type="dxa"/>
            <w:tcBorders>
              <w:top w:val="single" w:sz="4" w:space="0" w:color="000000"/>
              <w:left w:val="single" w:sz="8" w:space="0" w:color="000000"/>
              <w:bottom w:val="single" w:sz="8" w:space="0" w:color="000000"/>
              <w:right w:val="single" w:sz="8" w:space="0" w:color="000000"/>
            </w:tcBorders>
            <w:shd w:val="clear" w:color="auto" w:fill="D0DBF0"/>
            <w:tcMar>
              <w:top w:w="100" w:type="dxa"/>
              <w:left w:w="100" w:type="dxa"/>
              <w:bottom w:w="100" w:type="dxa"/>
              <w:right w:w="100" w:type="dxa"/>
            </w:tcMar>
          </w:tcPr>
          <w:p w14:paraId="5BC27A58" w14:textId="77777777" w:rsidR="004B1DC7" w:rsidRPr="00F21D0A" w:rsidRDefault="004B1DC7" w:rsidP="001A78AF">
            <w:pPr>
              <w:pStyle w:val="NormalWeb"/>
            </w:pPr>
            <w:r w:rsidRPr="00F21D0A">
              <w:t xml:space="preserve">1. Based on findings and observations from parts 1, 2 and 3 on the evaluation, what program delivery options could DFAT consider in the design of a new regional connectivity program in South Asia? </w:t>
            </w:r>
          </w:p>
        </w:tc>
        <w:tc>
          <w:tcPr>
            <w:tcW w:w="2605" w:type="dxa"/>
            <w:tcBorders>
              <w:top w:val="single" w:sz="4" w:space="0" w:color="000000"/>
              <w:left w:val="single" w:sz="8" w:space="0" w:color="000000"/>
              <w:bottom w:val="single" w:sz="8" w:space="0" w:color="000000"/>
              <w:right w:val="single" w:sz="8" w:space="0" w:color="000000"/>
            </w:tcBorders>
            <w:shd w:val="clear" w:color="auto" w:fill="D0DBF0"/>
            <w:tcMar>
              <w:top w:w="100" w:type="dxa"/>
              <w:left w:w="100" w:type="dxa"/>
              <w:bottom w:w="100" w:type="dxa"/>
              <w:right w:w="100" w:type="dxa"/>
            </w:tcMar>
          </w:tcPr>
          <w:p w14:paraId="4EDC713D" w14:textId="77777777" w:rsidR="004B1DC7" w:rsidRPr="00A974AB" w:rsidRDefault="004B1DC7" w:rsidP="001A78AF">
            <w:pPr>
              <w:pStyle w:val="NormalWeb"/>
            </w:pPr>
            <w:r w:rsidRPr="00A974AB">
              <w:t>- To what extent are insights, mechanisms and/or lessons learned from IFG and SARTFP influencing other programs within, and outside, of the PFSA trust fund?</w:t>
            </w:r>
          </w:p>
          <w:p w14:paraId="79F100E1" w14:textId="77777777" w:rsidR="004B1DC7" w:rsidRPr="00A974AB" w:rsidRDefault="004B1DC7" w:rsidP="000B5B50">
            <w:pPr>
              <w:pStyle w:val="NormalWeb"/>
            </w:pPr>
          </w:p>
          <w:p w14:paraId="2DBBC222" w14:textId="77777777" w:rsidR="004B1DC7" w:rsidRPr="00A974AB" w:rsidRDefault="004B1DC7" w:rsidP="000B5B50">
            <w:pPr>
              <w:pStyle w:val="NormalWeb"/>
            </w:pPr>
          </w:p>
          <w:p w14:paraId="171358B6" w14:textId="77777777" w:rsidR="004B1DC7" w:rsidRPr="00A974AB" w:rsidRDefault="004B1DC7" w:rsidP="00404A8A">
            <w:pPr>
              <w:pStyle w:val="NormalWeb"/>
            </w:pPr>
          </w:p>
          <w:p w14:paraId="5C3F0719" w14:textId="77777777" w:rsidR="004B1DC7" w:rsidRPr="00A974AB" w:rsidRDefault="004B1DC7" w:rsidP="00F311EB">
            <w:pPr>
              <w:pStyle w:val="NormalWeb"/>
            </w:pPr>
          </w:p>
        </w:tc>
        <w:tc>
          <w:tcPr>
            <w:tcW w:w="2345" w:type="dxa"/>
            <w:tcBorders>
              <w:top w:val="single" w:sz="4" w:space="0" w:color="000000"/>
              <w:left w:val="single" w:sz="8" w:space="0" w:color="000000"/>
              <w:bottom w:val="single" w:sz="8" w:space="0" w:color="000000"/>
              <w:right w:val="single" w:sz="8" w:space="0" w:color="000000"/>
            </w:tcBorders>
            <w:shd w:val="clear" w:color="auto" w:fill="D0DBF0"/>
            <w:tcMar>
              <w:top w:w="100" w:type="dxa"/>
              <w:left w:w="100" w:type="dxa"/>
              <w:bottom w:w="100" w:type="dxa"/>
              <w:right w:w="100" w:type="dxa"/>
            </w:tcMar>
          </w:tcPr>
          <w:p w14:paraId="790020C5" w14:textId="77777777" w:rsidR="004B1DC7" w:rsidRPr="00A974AB" w:rsidRDefault="004B1DC7" w:rsidP="00894DA7">
            <w:pPr>
              <w:pStyle w:val="NormalWeb"/>
            </w:pPr>
            <w:r w:rsidRPr="00A974AB">
              <w:t>The potential for DFAT, through its investments, to foster a positive cumulative impact across the region.</w:t>
            </w:r>
          </w:p>
          <w:p w14:paraId="14F62BD7" w14:textId="77777777" w:rsidR="004B1DC7" w:rsidRPr="00A974AB" w:rsidRDefault="004B1DC7" w:rsidP="001B449B"/>
          <w:p w14:paraId="42FC9DC3" w14:textId="77777777" w:rsidR="004B1DC7" w:rsidRPr="00A974AB" w:rsidRDefault="004B1DC7" w:rsidP="001B449B">
            <w:pPr>
              <w:pStyle w:val="NormalWeb"/>
            </w:pPr>
            <w:r w:rsidRPr="00A974AB">
              <w:t xml:space="preserve">Evidence of influence. </w:t>
            </w:r>
          </w:p>
          <w:p w14:paraId="703D26B1" w14:textId="77777777" w:rsidR="004B1DC7" w:rsidRPr="00A974AB" w:rsidRDefault="004B1DC7" w:rsidP="001B449B"/>
          <w:p w14:paraId="750240DE" w14:textId="77777777" w:rsidR="004B1DC7" w:rsidRPr="00A974AB" w:rsidRDefault="004B1DC7" w:rsidP="001B449B">
            <w:pPr>
              <w:pStyle w:val="NormalWeb"/>
            </w:pPr>
            <w:r w:rsidRPr="00A974AB">
              <w:t>Whether the institutional arrangements in both DFAT and the WB are amenable to ensure lessons learned constructively.</w:t>
            </w:r>
          </w:p>
          <w:p w14:paraId="727F8C7E" w14:textId="77777777" w:rsidR="004B1DC7" w:rsidRPr="00A974AB" w:rsidRDefault="004B1DC7">
            <w:pPr>
              <w:pStyle w:val="NormalWeb"/>
            </w:pPr>
          </w:p>
          <w:p w14:paraId="223DA3C1" w14:textId="77777777" w:rsidR="004B1DC7" w:rsidRPr="00A974AB" w:rsidRDefault="004B1DC7">
            <w:pPr>
              <w:pStyle w:val="NormalWeb"/>
            </w:pPr>
            <w:r w:rsidRPr="00A974AB">
              <w:t>Intelligence concerning which management model is most appropriate in certain circumstances.</w:t>
            </w:r>
          </w:p>
          <w:p w14:paraId="31BFDED5" w14:textId="77777777" w:rsidR="004B1DC7" w:rsidRPr="00A974AB" w:rsidRDefault="004B1DC7">
            <w:pPr>
              <w:pStyle w:val="NormalWeb"/>
            </w:pPr>
            <w:r w:rsidRPr="00A974AB">
              <w:t>How opportunities for leverage can be structured.</w:t>
            </w:r>
          </w:p>
          <w:p w14:paraId="28D4624E" w14:textId="77777777" w:rsidR="004B1DC7" w:rsidRPr="00A974AB" w:rsidRDefault="004B1DC7">
            <w:pPr>
              <w:pStyle w:val="NormalWeb"/>
            </w:pPr>
            <w:r w:rsidRPr="00A974AB">
              <w:t>How other funding partners could enhance the likelihood the program aims and objectives are met.</w:t>
            </w:r>
          </w:p>
        </w:tc>
        <w:tc>
          <w:tcPr>
            <w:tcW w:w="2616" w:type="dxa"/>
            <w:tcBorders>
              <w:top w:val="single" w:sz="4" w:space="0" w:color="000000"/>
              <w:left w:val="single" w:sz="8" w:space="0" w:color="000000"/>
              <w:bottom w:val="single" w:sz="8" w:space="0" w:color="000000"/>
              <w:right w:val="single" w:sz="8" w:space="0" w:color="000000"/>
            </w:tcBorders>
            <w:shd w:val="clear" w:color="auto" w:fill="D0DBF0"/>
            <w:tcMar>
              <w:top w:w="100" w:type="dxa"/>
              <w:left w:w="100" w:type="dxa"/>
              <w:bottom w:w="100" w:type="dxa"/>
              <w:right w:w="100" w:type="dxa"/>
            </w:tcMar>
          </w:tcPr>
          <w:p w14:paraId="76CC0467" w14:textId="77777777" w:rsidR="004B1DC7" w:rsidRPr="00A974AB" w:rsidRDefault="004B1DC7">
            <w:pPr>
              <w:pStyle w:val="NormalWeb"/>
            </w:pPr>
            <w:r w:rsidRPr="00A974AB">
              <w:t xml:space="preserve">Evidence-based recommendations formed, based on core methodology above. </w:t>
            </w:r>
          </w:p>
        </w:tc>
      </w:tr>
    </w:tbl>
    <w:p w14:paraId="0CC5CBB8" w14:textId="77777777" w:rsidR="004B1DC7" w:rsidRDefault="004B1DC7" w:rsidP="001B449B"/>
    <w:p w14:paraId="1B250240" w14:textId="547D996E" w:rsidR="004B1DC7" w:rsidRPr="00351A51" w:rsidRDefault="004B1DC7" w:rsidP="001B449B">
      <w:pPr>
        <w:pStyle w:val="Heading2"/>
      </w:pPr>
      <w:bookmarkStart w:id="73" w:name="_Toc517615260"/>
      <w:r w:rsidRPr="00351A51">
        <w:lastRenderedPageBreak/>
        <w:t xml:space="preserve">Annex </w:t>
      </w:r>
      <w:r w:rsidR="00C038F9">
        <w:t>7</w:t>
      </w:r>
      <w:r w:rsidRPr="00351A51">
        <w:t>: List of people interviewed</w:t>
      </w:r>
      <w:bookmarkEnd w:id="73"/>
    </w:p>
    <w:tbl>
      <w:tblPr>
        <w:tblW w:w="11217" w:type="dxa"/>
        <w:tblLayout w:type="fixed"/>
        <w:tblCellMar>
          <w:top w:w="15" w:type="dxa"/>
        </w:tblCellMar>
        <w:tblLook w:val="04A0" w:firstRow="1" w:lastRow="0" w:firstColumn="1" w:lastColumn="0" w:noHBand="0" w:noVBand="1"/>
      </w:tblPr>
      <w:tblGrid>
        <w:gridCol w:w="11217"/>
      </w:tblGrid>
      <w:tr w:rsidR="004B1DC7" w:rsidRPr="00EF1B7B" w14:paraId="37E63765" w14:textId="77777777">
        <w:trPr>
          <w:trHeight w:val="480"/>
        </w:trPr>
        <w:tc>
          <w:tcPr>
            <w:tcW w:w="10980" w:type="dxa"/>
            <w:tcBorders>
              <w:top w:val="nil"/>
              <w:left w:val="nil"/>
              <w:bottom w:val="nil"/>
              <w:right w:val="nil"/>
            </w:tcBorders>
            <w:shd w:val="clear" w:color="auto" w:fill="auto"/>
            <w:noWrap/>
            <w:vAlign w:val="bottom"/>
          </w:tcPr>
          <w:tbl>
            <w:tblPr>
              <w:tblW w:w="8954" w:type="dxa"/>
              <w:tblLayout w:type="fixed"/>
              <w:tblCellMar>
                <w:top w:w="15" w:type="dxa"/>
                <w:left w:w="15" w:type="dxa"/>
                <w:bottom w:w="15" w:type="dxa"/>
                <w:right w:w="15" w:type="dxa"/>
              </w:tblCellMar>
              <w:tblLook w:val="04A0" w:firstRow="1" w:lastRow="0" w:firstColumn="1" w:lastColumn="0" w:noHBand="0" w:noVBand="1"/>
            </w:tblPr>
            <w:tblGrid>
              <w:gridCol w:w="4985"/>
              <w:gridCol w:w="1418"/>
              <w:gridCol w:w="2551"/>
            </w:tblGrid>
            <w:tr w:rsidR="004B1DC7" w14:paraId="222F2684" w14:textId="77777777">
              <w:trPr>
                <w:trHeight w:val="158"/>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411C3" w14:textId="77777777" w:rsidR="004B1DC7" w:rsidRDefault="004B1DC7" w:rsidP="001B449B">
                  <w:pPr>
                    <w:pStyle w:val="NormalWeb"/>
                  </w:pPr>
                  <w:r>
                    <w:t>Stakeholder</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A4EBD" w14:textId="77777777" w:rsidR="004B1DC7" w:rsidRDefault="004B1DC7">
                  <w:pPr>
                    <w:pStyle w:val="NormalWeb"/>
                  </w:pPr>
                  <w:r>
                    <w:t>Location</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6B8DE3" w14:textId="77777777" w:rsidR="004B1DC7" w:rsidRDefault="004B1DC7">
                  <w:pPr>
                    <w:pStyle w:val="NormalWeb"/>
                  </w:pPr>
                  <w:r>
                    <w:t>Means of Engagement</w:t>
                  </w:r>
                </w:p>
              </w:tc>
            </w:tr>
            <w:tr w:rsidR="004B1DC7" w14:paraId="4C1026A9" w14:textId="77777777">
              <w:trPr>
                <w:trHeight w:val="206"/>
              </w:trPr>
              <w:tc>
                <w:tcPr>
                  <w:tcW w:w="8954"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5E562E9" w14:textId="77777777" w:rsidR="004B1DC7" w:rsidRDefault="004B1DC7" w:rsidP="001A78AF">
                  <w:pPr>
                    <w:pStyle w:val="NormalWeb"/>
                  </w:pPr>
                  <w:r>
                    <w:t>DFAT</w:t>
                  </w:r>
                </w:p>
              </w:tc>
            </w:tr>
            <w:tr w:rsidR="004B1DC7" w14:paraId="33229408" w14:textId="77777777">
              <w:trPr>
                <w:trHeight w:val="158"/>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80D12" w14:textId="77777777" w:rsidR="004B1DC7" w:rsidRDefault="004B1DC7" w:rsidP="001A78AF">
                  <w:pPr>
                    <w:pStyle w:val="NormalWeb"/>
                  </w:pPr>
                  <w:r>
                    <w:t xml:space="preserve">Andrew Collins- Branch Head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0A1FB1" w14:textId="77777777" w:rsidR="004B1DC7" w:rsidRDefault="004B1DC7" w:rsidP="001A78AF">
                  <w:pPr>
                    <w:pStyle w:val="NormalWeb"/>
                  </w:pPr>
                  <w:r>
                    <w:t>Canberra</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6E8CF6" w14:textId="77777777" w:rsidR="004B1DC7" w:rsidRDefault="004B1DC7" w:rsidP="000B5B50">
                  <w:pPr>
                    <w:pStyle w:val="NormalWeb"/>
                  </w:pPr>
                  <w:r>
                    <w:t>Teleconference</w:t>
                  </w:r>
                </w:p>
              </w:tc>
            </w:tr>
            <w:tr w:rsidR="004B1DC7" w14:paraId="0AD21108" w14:textId="77777777">
              <w:trPr>
                <w:trHeight w:val="158"/>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95C881" w14:textId="77777777" w:rsidR="004B1DC7" w:rsidRDefault="004B1DC7" w:rsidP="001A78AF">
                  <w:pPr>
                    <w:pStyle w:val="NormalWeb"/>
                  </w:pPr>
                  <w:r>
                    <w:t>Jane Chandler - Director of South Asia Regional Section</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9CF49" w14:textId="77777777" w:rsidR="004B1DC7" w:rsidRDefault="004B1DC7" w:rsidP="001A78AF">
                  <w:pPr>
                    <w:pStyle w:val="NormalWeb"/>
                  </w:pPr>
                  <w:r>
                    <w:t>Canberra</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D1F5DD" w14:textId="77777777" w:rsidR="004B1DC7" w:rsidRDefault="004B1DC7" w:rsidP="000B5B50">
                  <w:pPr>
                    <w:pStyle w:val="NormalWeb"/>
                  </w:pPr>
                  <w:r>
                    <w:t xml:space="preserve">Teleconference </w:t>
                  </w:r>
                </w:p>
              </w:tc>
            </w:tr>
            <w:tr w:rsidR="004B1DC7" w14:paraId="6768F088" w14:textId="77777777">
              <w:trPr>
                <w:trHeight w:val="158"/>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4090B" w14:textId="77777777" w:rsidR="004B1DC7" w:rsidRDefault="004B1DC7" w:rsidP="001A78AF">
                  <w:pPr>
                    <w:pStyle w:val="NormalWeb"/>
                  </w:pPr>
                  <w:r>
                    <w:t>Kirsty Harris - Director of South Asia Regional Section</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BBA1F" w14:textId="77777777" w:rsidR="004B1DC7" w:rsidRDefault="004B1DC7" w:rsidP="001A78AF">
                  <w:pPr>
                    <w:pStyle w:val="NormalWeb"/>
                  </w:pPr>
                  <w:r>
                    <w:t>Canberra</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6009E9" w14:textId="77777777" w:rsidR="004B1DC7" w:rsidRDefault="004B1DC7" w:rsidP="000B5B50">
                  <w:pPr>
                    <w:pStyle w:val="NormalWeb"/>
                  </w:pPr>
                  <w:r>
                    <w:t xml:space="preserve">Teleconference </w:t>
                  </w:r>
                </w:p>
              </w:tc>
            </w:tr>
            <w:tr w:rsidR="004B1DC7" w14:paraId="3E2DCB0F" w14:textId="77777777">
              <w:trPr>
                <w:trHeight w:val="317"/>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E076C9" w14:textId="77777777" w:rsidR="004B1DC7" w:rsidRDefault="004B1DC7" w:rsidP="001A78AF">
                  <w:pPr>
                    <w:pStyle w:val="NormalWeb"/>
                  </w:pPr>
                  <w:r>
                    <w:t>Esther Ewagata - Assistant Director of South Asia Regional Section</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9CDA5" w14:textId="77777777" w:rsidR="004B1DC7" w:rsidRDefault="004B1DC7" w:rsidP="001A78AF">
                  <w:pPr>
                    <w:pStyle w:val="NormalWeb"/>
                  </w:pPr>
                  <w:r>
                    <w:t>Canberra</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92F780" w14:textId="77777777" w:rsidR="004B1DC7" w:rsidRDefault="004B1DC7" w:rsidP="000B5B50">
                  <w:pPr>
                    <w:pStyle w:val="NormalWeb"/>
                  </w:pPr>
                  <w:r>
                    <w:t xml:space="preserve">Teleconference </w:t>
                  </w:r>
                </w:p>
              </w:tc>
            </w:tr>
            <w:tr w:rsidR="004B1DC7" w14:paraId="365F70BC" w14:textId="77777777">
              <w:trPr>
                <w:trHeight w:val="158"/>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D3C4F4" w14:textId="77777777" w:rsidR="004B1DC7" w:rsidRDefault="004B1DC7" w:rsidP="001A78AF">
                  <w:pPr>
                    <w:pStyle w:val="NormalWeb"/>
                  </w:pPr>
                  <w:r>
                    <w:t xml:space="preserve">Caroline Mills - First Secretary, DFAT New Delhi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7C1EC" w14:textId="77777777" w:rsidR="004B1DC7" w:rsidRDefault="004B1DC7" w:rsidP="001A78AF">
                  <w:pPr>
                    <w:pStyle w:val="NormalWeb"/>
                  </w:pPr>
                  <w:r>
                    <w:t xml:space="preserve">New Delhi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7492F" w14:textId="77777777" w:rsidR="004B1DC7" w:rsidRDefault="004B1DC7" w:rsidP="000B5B50">
                  <w:pPr>
                    <w:pStyle w:val="NormalWeb"/>
                  </w:pPr>
                  <w:r>
                    <w:t>In person</w:t>
                  </w:r>
                </w:p>
              </w:tc>
            </w:tr>
            <w:tr w:rsidR="004B1DC7" w14:paraId="65437B50" w14:textId="77777777">
              <w:trPr>
                <w:trHeight w:val="144"/>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749BEA" w14:textId="77777777" w:rsidR="004B1DC7" w:rsidRDefault="004B1DC7" w:rsidP="001A78AF">
                  <w:pPr>
                    <w:pStyle w:val="NormalWeb"/>
                  </w:pPr>
                  <w:r>
                    <w:t>Tanushree Bhowmik,-Program Officer, DFAT New Delhi</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E1BA7" w14:textId="77777777" w:rsidR="004B1DC7" w:rsidRDefault="004B1DC7" w:rsidP="001A78AF">
                  <w:pPr>
                    <w:pStyle w:val="NormalWeb"/>
                  </w:pPr>
                  <w:r>
                    <w:t>New Delhi</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C79F9F" w14:textId="77777777" w:rsidR="004B1DC7" w:rsidRDefault="004B1DC7" w:rsidP="000B5B50">
                  <w:pPr>
                    <w:pStyle w:val="NormalWeb"/>
                  </w:pPr>
                  <w:r>
                    <w:t>In person</w:t>
                  </w:r>
                </w:p>
              </w:tc>
            </w:tr>
            <w:tr w:rsidR="004B1DC7" w14:paraId="72C98030" w14:textId="77777777">
              <w:trPr>
                <w:trHeight w:val="350"/>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EA31F" w14:textId="77777777" w:rsidR="004B1DC7" w:rsidRDefault="004B1DC7" w:rsidP="001A78AF">
                  <w:pPr>
                    <w:pStyle w:val="NormalWeb"/>
                  </w:pPr>
                  <w:r>
                    <w:t xml:space="preserve">Priyanka </w:t>
                  </w:r>
                  <w:r w:rsidRPr="00A611B3">
                    <w:t>Chowdhury</w:t>
                  </w:r>
                  <w:r>
                    <w:t xml:space="preserve"> from DFAT in Dhaka and Tara Gurgung</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24CE27" w14:textId="77777777" w:rsidR="004B1DC7" w:rsidRDefault="004B1DC7" w:rsidP="001A78AF">
                  <w:pPr>
                    <w:pStyle w:val="NormalWeb"/>
                  </w:pPr>
                  <w:r>
                    <w:t>Dhaka &amp; Kathmandu</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058B9A" w14:textId="77777777" w:rsidR="004B1DC7" w:rsidRDefault="004B1DC7" w:rsidP="000B5B50">
                  <w:pPr>
                    <w:pStyle w:val="NormalWeb"/>
                  </w:pPr>
                  <w:r>
                    <w:t xml:space="preserve">Teleconference </w:t>
                  </w:r>
                </w:p>
              </w:tc>
            </w:tr>
            <w:tr w:rsidR="004B1DC7" w14:paraId="537F7D72" w14:textId="77777777">
              <w:trPr>
                <w:trHeight w:val="336"/>
              </w:trPr>
              <w:tc>
                <w:tcPr>
                  <w:tcW w:w="8954"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747AB32" w14:textId="77777777" w:rsidR="004B1DC7" w:rsidRDefault="004B1DC7" w:rsidP="001A78AF">
                  <w:pPr>
                    <w:pStyle w:val="NormalWeb"/>
                  </w:pPr>
                  <w:r>
                    <w:t xml:space="preserve">World Bank </w:t>
                  </w:r>
                </w:p>
              </w:tc>
            </w:tr>
            <w:tr w:rsidR="004B1DC7" w14:paraId="46EE373F" w14:textId="77777777">
              <w:trPr>
                <w:trHeight w:val="158"/>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C67E9" w14:textId="77777777" w:rsidR="004B1DC7" w:rsidRPr="00A71842" w:rsidRDefault="004B1DC7" w:rsidP="001A78AF">
                  <w:pPr>
                    <w:pStyle w:val="NormalWeb"/>
                  </w:pPr>
                  <w:r w:rsidRPr="00A71842">
                    <w:t>Mandakini Kaul - Window Manager for SARTFP</w:t>
                  </w:r>
                  <w:r w:rsidRPr="00A71842" w:rsidDel="00DA056B">
                    <w:t xml:space="preserve">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B4C41" w14:textId="77777777" w:rsidR="004B1DC7" w:rsidRPr="00A71842" w:rsidRDefault="004B1DC7" w:rsidP="001A78AF">
                  <w:pPr>
                    <w:pStyle w:val="NormalWeb"/>
                  </w:pPr>
                  <w:r w:rsidRPr="00A71842">
                    <w:t>New Delhi</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9480F" w14:textId="77777777" w:rsidR="004B1DC7" w:rsidRPr="00A71842" w:rsidRDefault="004B1DC7" w:rsidP="000B5B50">
                  <w:pPr>
                    <w:pStyle w:val="NormalWeb"/>
                  </w:pPr>
                  <w:r w:rsidRPr="00A71842">
                    <w:t>In person</w:t>
                  </w:r>
                </w:p>
              </w:tc>
            </w:tr>
            <w:tr w:rsidR="004B1DC7" w14:paraId="2B2BA6AB" w14:textId="77777777">
              <w:trPr>
                <w:trHeight w:val="317"/>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A56E3" w14:textId="77777777" w:rsidR="004B1DC7" w:rsidRPr="000151BA" w:rsidRDefault="004B1DC7" w:rsidP="001A78AF">
                  <w:pPr>
                    <w:pStyle w:val="NormalWeb"/>
                    <w:rPr>
                      <w:szCs w:val="20"/>
                    </w:rPr>
                  </w:pPr>
                  <w:r w:rsidRPr="000151BA">
                    <w:rPr>
                      <w:szCs w:val="20"/>
                    </w:rPr>
                    <w:t>Irina Gabrial -  PFSA Program Manager and IFG Window Manager</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7404A0" w14:textId="77777777" w:rsidR="004B1DC7" w:rsidRPr="000151BA" w:rsidRDefault="004B1DC7" w:rsidP="001A78AF">
                  <w:pPr>
                    <w:pStyle w:val="NormalWeb"/>
                    <w:rPr>
                      <w:szCs w:val="20"/>
                    </w:rPr>
                  </w:pPr>
                  <w:r w:rsidRPr="000151BA">
                    <w:rPr>
                      <w:szCs w:val="20"/>
                    </w:rPr>
                    <w:t xml:space="preserve">D.C.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E256DF" w14:textId="77777777" w:rsidR="004B1DC7" w:rsidRPr="000151BA" w:rsidRDefault="004B1DC7" w:rsidP="000B5B50">
                  <w:pPr>
                    <w:pStyle w:val="NormalWeb"/>
                    <w:rPr>
                      <w:szCs w:val="20"/>
                    </w:rPr>
                  </w:pPr>
                  <w:r w:rsidRPr="000151BA">
                    <w:rPr>
                      <w:szCs w:val="20"/>
                    </w:rPr>
                    <w:t>In person</w:t>
                  </w:r>
                </w:p>
              </w:tc>
            </w:tr>
            <w:tr w:rsidR="004B1DC7" w14:paraId="7911FB0D" w14:textId="77777777">
              <w:trPr>
                <w:trHeight w:val="158"/>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5B90D" w14:textId="77777777" w:rsidR="004B1DC7" w:rsidRPr="000151BA" w:rsidRDefault="004B1DC7" w:rsidP="001A78AF">
                  <w:pPr>
                    <w:pStyle w:val="NormalWeb"/>
                    <w:rPr>
                      <w:szCs w:val="20"/>
                    </w:rPr>
                  </w:pPr>
                  <w:r w:rsidRPr="000151BA">
                    <w:rPr>
                      <w:szCs w:val="20"/>
                    </w:rPr>
                    <w:t>Debbie Menezes - M&amp;E adviser for IFG and SARTFP</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B8F3C7" w14:textId="77777777" w:rsidR="004B1DC7" w:rsidRPr="000151BA" w:rsidRDefault="004B1DC7" w:rsidP="001A78AF">
                  <w:pPr>
                    <w:pStyle w:val="NormalWeb"/>
                    <w:rPr>
                      <w:szCs w:val="20"/>
                    </w:rPr>
                  </w:pPr>
                  <w:r w:rsidRPr="000151BA">
                    <w:rPr>
                      <w:szCs w:val="20"/>
                    </w:rPr>
                    <w:t>New Delhi</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6CDAC7" w14:textId="77777777" w:rsidR="004B1DC7" w:rsidRPr="000151BA" w:rsidRDefault="004B1DC7" w:rsidP="000B5B50">
                  <w:pPr>
                    <w:pStyle w:val="NormalWeb"/>
                    <w:rPr>
                      <w:szCs w:val="20"/>
                    </w:rPr>
                  </w:pPr>
                  <w:r w:rsidRPr="000151BA">
                    <w:rPr>
                      <w:szCs w:val="20"/>
                    </w:rPr>
                    <w:t>In person</w:t>
                  </w:r>
                </w:p>
              </w:tc>
            </w:tr>
            <w:tr w:rsidR="004B1DC7" w14:paraId="2C0F12E4" w14:textId="77777777">
              <w:trPr>
                <w:trHeight w:val="475"/>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91E1B" w14:textId="77777777" w:rsidR="004B1DC7" w:rsidRPr="000151BA" w:rsidRDefault="004B1DC7" w:rsidP="001A78AF">
                  <w:pPr>
                    <w:pStyle w:val="NormalWeb"/>
                    <w:rPr>
                      <w:szCs w:val="20"/>
                    </w:rPr>
                  </w:pPr>
                  <w:r w:rsidRPr="000151BA">
                    <w:rPr>
                      <w:szCs w:val="20"/>
                    </w:rPr>
                    <w:t>David Warren - Practice Manager, Social Development, South Asia. Jen Solotaroff plus Social Development Team</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4B95E" w14:textId="77777777" w:rsidR="004B1DC7" w:rsidRPr="000151BA" w:rsidRDefault="004B1DC7" w:rsidP="001B449B">
                  <w:pPr>
                    <w:rPr>
                      <w:sz w:val="20"/>
                      <w:szCs w:val="20"/>
                    </w:rPr>
                  </w:pPr>
                  <w:r w:rsidRPr="000151BA">
                    <w:rPr>
                      <w:sz w:val="20"/>
                      <w:szCs w:val="20"/>
                    </w:rPr>
                    <w:t>DC</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81088" w14:textId="77777777" w:rsidR="004B1DC7" w:rsidRPr="000151BA" w:rsidRDefault="004B1DC7">
                  <w:pPr>
                    <w:rPr>
                      <w:sz w:val="20"/>
                      <w:szCs w:val="20"/>
                    </w:rPr>
                  </w:pPr>
                  <w:r w:rsidRPr="000151BA">
                    <w:rPr>
                      <w:sz w:val="20"/>
                      <w:szCs w:val="20"/>
                    </w:rPr>
                    <w:t>In person</w:t>
                  </w:r>
                </w:p>
              </w:tc>
            </w:tr>
            <w:tr w:rsidR="004B1DC7" w14:paraId="3998A5C5" w14:textId="77777777">
              <w:trPr>
                <w:trHeight w:val="331"/>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4745E" w14:textId="77777777" w:rsidR="004B1DC7" w:rsidRPr="000151BA" w:rsidRDefault="004B1DC7" w:rsidP="001B449B">
                  <w:pPr>
                    <w:pStyle w:val="NormalWeb"/>
                    <w:rPr>
                      <w:szCs w:val="20"/>
                    </w:rPr>
                  </w:pPr>
                  <w:r w:rsidRPr="000151BA">
                    <w:rPr>
                      <w:szCs w:val="20"/>
                    </w:rPr>
                    <w:t>Sanjay Kathuria, Lead Economist, Trade and Competitiveness Global Practice, South Asia Region</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011530" w14:textId="77777777" w:rsidR="004B1DC7" w:rsidRPr="000151BA" w:rsidRDefault="004B1DC7">
                  <w:pPr>
                    <w:pStyle w:val="NormalWeb"/>
                    <w:rPr>
                      <w:szCs w:val="20"/>
                    </w:rPr>
                  </w:pPr>
                  <w:r w:rsidRPr="000151BA">
                    <w:rPr>
                      <w:szCs w:val="20"/>
                    </w:rPr>
                    <w:t>DC</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96A082" w14:textId="77777777" w:rsidR="004B1DC7" w:rsidRPr="000151BA" w:rsidRDefault="004B1DC7">
                  <w:pPr>
                    <w:pStyle w:val="NormalWeb"/>
                    <w:rPr>
                      <w:szCs w:val="20"/>
                    </w:rPr>
                  </w:pPr>
                  <w:r w:rsidRPr="000151BA">
                    <w:rPr>
                      <w:szCs w:val="20"/>
                    </w:rPr>
                    <w:t>In person</w:t>
                  </w:r>
                </w:p>
              </w:tc>
            </w:tr>
            <w:tr w:rsidR="004B1DC7" w14:paraId="1734DEA1" w14:textId="77777777">
              <w:trPr>
                <w:trHeight w:val="475"/>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C4ADD" w14:textId="77777777" w:rsidR="004B1DC7" w:rsidRPr="000151BA" w:rsidRDefault="004B1DC7" w:rsidP="001A78AF">
                  <w:pPr>
                    <w:pStyle w:val="NormalWeb"/>
                    <w:rPr>
                      <w:szCs w:val="20"/>
                    </w:rPr>
                  </w:pPr>
                  <w:r w:rsidRPr="000151BA">
                    <w:rPr>
                      <w:szCs w:val="20"/>
                    </w:rPr>
                    <w:t>Martin Rama - Chief Economist for South Asia Region and SARCE team, plus two Economists from the SAR team (Muthukumara S. Mani &amp; Robert Beyer)</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0C106" w14:textId="77777777" w:rsidR="004B1DC7" w:rsidRPr="000151BA" w:rsidRDefault="004B1DC7" w:rsidP="001B449B">
                  <w:pPr>
                    <w:rPr>
                      <w:sz w:val="20"/>
                      <w:szCs w:val="20"/>
                    </w:rPr>
                  </w:pPr>
                  <w:r w:rsidRPr="000151BA">
                    <w:rPr>
                      <w:sz w:val="20"/>
                      <w:szCs w:val="20"/>
                    </w:rPr>
                    <w:t>DC</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A9DA9F" w14:textId="77777777" w:rsidR="004B1DC7" w:rsidRPr="000151BA" w:rsidRDefault="004B1DC7">
                  <w:pPr>
                    <w:rPr>
                      <w:sz w:val="20"/>
                      <w:szCs w:val="20"/>
                    </w:rPr>
                  </w:pPr>
                  <w:r w:rsidRPr="000151BA">
                    <w:rPr>
                      <w:sz w:val="20"/>
                      <w:szCs w:val="20"/>
                    </w:rPr>
                    <w:t>Teleconference (TTLs in person)</w:t>
                  </w:r>
                </w:p>
              </w:tc>
            </w:tr>
            <w:tr w:rsidR="004B1DC7" w14:paraId="328AE1A1" w14:textId="77777777">
              <w:trPr>
                <w:trHeight w:val="331"/>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D8A4C" w14:textId="77777777" w:rsidR="004B1DC7" w:rsidRPr="000151BA" w:rsidRDefault="004B1DC7" w:rsidP="001B449B">
                  <w:pPr>
                    <w:pStyle w:val="NormalWeb"/>
                    <w:rPr>
                      <w:szCs w:val="20"/>
                    </w:rPr>
                  </w:pPr>
                  <w:r w:rsidRPr="000151BA">
                    <w:rPr>
                      <w:szCs w:val="20"/>
                    </w:rPr>
                    <w:t>Nicolette Bowyer, former PFSA Program Manager (till early  2017)</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BF6E35" w14:textId="77777777" w:rsidR="004B1DC7" w:rsidRPr="000151BA" w:rsidRDefault="004B1DC7" w:rsidP="001B449B">
                  <w:pPr>
                    <w:rPr>
                      <w:sz w:val="20"/>
                      <w:szCs w:val="20"/>
                    </w:rPr>
                  </w:pPr>
                  <w:r w:rsidRPr="000151BA">
                    <w:rPr>
                      <w:sz w:val="20"/>
                      <w:szCs w:val="20"/>
                    </w:rPr>
                    <w:t>DC</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3D6F8" w14:textId="77777777" w:rsidR="004B1DC7" w:rsidRPr="000151BA" w:rsidRDefault="004B1DC7">
                  <w:pPr>
                    <w:rPr>
                      <w:sz w:val="20"/>
                      <w:szCs w:val="20"/>
                    </w:rPr>
                  </w:pPr>
                  <w:r w:rsidRPr="000151BA">
                    <w:rPr>
                      <w:sz w:val="20"/>
                      <w:szCs w:val="20"/>
                    </w:rPr>
                    <w:t>In person</w:t>
                  </w:r>
                </w:p>
              </w:tc>
            </w:tr>
            <w:tr w:rsidR="004B1DC7" w14:paraId="4F60494F" w14:textId="77777777">
              <w:trPr>
                <w:trHeight w:val="331"/>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FEA8F2" w14:textId="77777777" w:rsidR="004B1DC7" w:rsidRPr="000151BA" w:rsidRDefault="004B1DC7" w:rsidP="001B449B">
                  <w:pPr>
                    <w:pStyle w:val="NormalWeb"/>
                    <w:rPr>
                      <w:szCs w:val="20"/>
                    </w:rPr>
                  </w:pPr>
                  <w:r w:rsidRPr="000151BA">
                    <w:rPr>
                      <w:szCs w:val="20"/>
                    </w:rPr>
                    <w:t>Demetrios Papathanasiou, Practice Manager for Energy &amp; Extractives and team</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3FC06" w14:textId="77777777" w:rsidR="004B1DC7" w:rsidRPr="000151BA" w:rsidRDefault="004B1DC7" w:rsidP="001B449B">
                  <w:pPr>
                    <w:rPr>
                      <w:sz w:val="20"/>
                      <w:szCs w:val="20"/>
                    </w:rPr>
                  </w:pPr>
                  <w:r w:rsidRPr="000151BA">
                    <w:rPr>
                      <w:sz w:val="20"/>
                      <w:szCs w:val="20"/>
                    </w:rPr>
                    <w:t>DC</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816D3" w14:textId="77777777" w:rsidR="004B1DC7" w:rsidRPr="000151BA" w:rsidRDefault="004B1DC7">
                  <w:pPr>
                    <w:rPr>
                      <w:sz w:val="20"/>
                      <w:szCs w:val="20"/>
                    </w:rPr>
                  </w:pPr>
                  <w:r w:rsidRPr="000151BA">
                    <w:rPr>
                      <w:sz w:val="20"/>
                      <w:szCs w:val="20"/>
                    </w:rPr>
                    <w:t>In person</w:t>
                  </w:r>
                </w:p>
              </w:tc>
            </w:tr>
            <w:tr w:rsidR="004B1DC7" w14:paraId="7FA67222" w14:textId="77777777">
              <w:trPr>
                <w:trHeight w:val="649"/>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E93F6E" w14:textId="77777777" w:rsidR="004B1DC7" w:rsidRPr="000151BA" w:rsidRDefault="004B1DC7" w:rsidP="001B449B">
                  <w:pPr>
                    <w:pStyle w:val="NormalWeb"/>
                    <w:rPr>
                      <w:color w:val="000000"/>
                      <w:szCs w:val="20"/>
                    </w:rPr>
                  </w:pPr>
                  <w:r w:rsidRPr="000151BA">
                    <w:rPr>
                      <w:szCs w:val="20"/>
                    </w:rPr>
                    <w:t>Meeting with Esperanza Lasagabaster, Practice Manager for Trade &amp; Competitiveness Global Practice, South Asia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32FBB" w14:textId="77777777" w:rsidR="004B1DC7" w:rsidRPr="000151BA" w:rsidRDefault="004B1DC7" w:rsidP="001B449B">
                  <w:pPr>
                    <w:rPr>
                      <w:sz w:val="20"/>
                      <w:szCs w:val="20"/>
                    </w:rPr>
                  </w:pPr>
                  <w:r w:rsidRPr="000151BA">
                    <w:rPr>
                      <w:sz w:val="20"/>
                      <w:szCs w:val="20"/>
                    </w:rPr>
                    <w:t>DC</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B11CC" w14:textId="77777777" w:rsidR="004B1DC7" w:rsidRPr="000151BA" w:rsidRDefault="004B1DC7">
                  <w:pPr>
                    <w:rPr>
                      <w:sz w:val="20"/>
                      <w:szCs w:val="20"/>
                    </w:rPr>
                  </w:pPr>
                  <w:r w:rsidRPr="000151BA">
                    <w:rPr>
                      <w:sz w:val="20"/>
                      <w:szCs w:val="20"/>
                    </w:rPr>
                    <w:t>In person</w:t>
                  </w:r>
                </w:p>
              </w:tc>
            </w:tr>
            <w:tr w:rsidR="004B1DC7" w14:paraId="554D28F2" w14:textId="77777777">
              <w:trPr>
                <w:trHeight w:val="432"/>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576F1" w14:textId="77777777" w:rsidR="004B1DC7" w:rsidRPr="000151BA" w:rsidRDefault="004B1DC7" w:rsidP="001B449B">
                  <w:pPr>
                    <w:pStyle w:val="NormalWeb"/>
                    <w:rPr>
                      <w:color w:val="000000"/>
                      <w:szCs w:val="20"/>
                    </w:rPr>
                  </w:pPr>
                  <w:r w:rsidRPr="000151BA">
                    <w:rPr>
                      <w:szCs w:val="20"/>
                    </w:rPr>
                    <w:t>Karla Carvajal, Practice Manager for Transport Sector, South Asia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0C74E" w14:textId="77777777" w:rsidR="004B1DC7" w:rsidRPr="000151BA" w:rsidRDefault="004B1DC7" w:rsidP="001B449B">
                  <w:pPr>
                    <w:rPr>
                      <w:sz w:val="20"/>
                      <w:szCs w:val="20"/>
                    </w:rPr>
                  </w:pPr>
                  <w:r w:rsidRPr="000151BA">
                    <w:rPr>
                      <w:sz w:val="20"/>
                      <w:szCs w:val="20"/>
                    </w:rPr>
                    <w:t>DC</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CAC750" w14:textId="77777777" w:rsidR="004B1DC7" w:rsidRPr="000151BA" w:rsidRDefault="004B1DC7">
                  <w:pPr>
                    <w:rPr>
                      <w:sz w:val="20"/>
                      <w:szCs w:val="20"/>
                    </w:rPr>
                  </w:pPr>
                  <w:r w:rsidRPr="000151BA">
                    <w:rPr>
                      <w:sz w:val="20"/>
                      <w:szCs w:val="20"/>
                    </w:rPr>
                    <w:t>In person</w:t>
                  </w:r>
                </w:p>
              </w:tc>
            </w:tr>
            <w:tr w:rsidR="004B1DC7" w14:paraId="146001FA" w14:textId="77777777">
              <w:trPr>
                <w:trHeight w:val="432"/>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8A070" w14:textId="77777777" w:rsidR="004B1DC7" w:rsidRPr="000151BA" w:rsidRDefault="004B1DC7" w:rsidP="001B449B">
                  <w:pPr>
                    <w:pStyle w:val="NormalWeb"/>
                    <w:rPr>
                      <w:color w:val="000000"/>
                      <w:szCs w:val="20"/>
                    </w:rPr>
                  </w:pPr>
                  <w:r w:rsidRPr="000151BA">
                    <w:rPr>
                      <w:szCs w:val="20"/>
                    </w:rPr>
                    <w:t>Elena Karaban, Senior Communications Officer, South Asia</w:t>
                  </w:r>
                  <w:r w:rsidRPr="000151BA">
                    <w:rPr>
                      <w:color w:val="000000"/>
                      <w:szCs w:val="20"/>
                    </w:rPr>
                    <w:t xml:space="preserve"> &amp; WB Communications Team</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9F97F8" w14:textId="77777777" w:rsidR="004B1DC7" w:rsidRPr="000151BA" w:rsidRDefault="004B1DC7" w:rsidP="001B449B">
                  <w:pPr>
                    <w:rPr>
                      <w:sz w:val="20"/>
                      <w:szCs w:val="20"/>
                    </w:rPr>
                  </w:pPr>
                  <w:r w:rsidRPr="000151BA">
                    <w:rPr>
                      <w:sz w:val="20"/>
                      <w:szCs w:val="20"/>
                    </w:rPr>
                    <w:t>DC</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5D02C" w14:textId="77777777" w:rsidR="004B1DC7" w:rsidRPr="000151BA" w:rsidRDefault="004B1DC7">
                  <w:pPr>
                    <w:rPr>
                      <w:sz w:val="20"/>
                      <w:szCs w:val="20"/>
                    </w:rPr>
                  </w:pPr>
                  <w:r w:rsidRPr="000151BA">
                    <w:rPr>
                      <w:sz w:val="20"/>
                      <w:szCs w:val="20"/>
                    </w:rPr>
                    <w:t>In person</w:t>
                  </w:r>
                </w:p>
              </w:tc>
            </w:tr>
            <w:tr w:rsidR="004B1DC7" w14:paraId="5C935FB2" w14:textId="77777777">
              <w:trPr>
                <w:trHeight w:val="478"/>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88D11" w14:textId="77777777" w:rsidR="004B1DC7" w:rsidRPr="000151BA" w:rsidRDefault="004B1DC7" w:rsidP="001B449B">
                  <w:pPr>
                    <w:pStyle w:val="NormalWeb"/>
                    <w:rPr>
                      <w:szCs w:val="20"/>
                    </w:rPr>
                  </w:pPr>
                  <w:r w:rsidRPr="000151BA">
                    <w:rPr>
                      <w:szCs w:val="20"/>
                    </w:rPr>
                    <w:lastRenderedPageBreak/>
                    <w:t xml:space="preserve">Melissa Williams, Senior Rural Development Specialist, Global Food and Agriculture, Africa Region (TTL) for IFG- </w:t>
                  </w:r>
                  <w:r w:rsidRPr="000151BA">
                    <w:rPr>
                      <w:b/>
                      <w:szCs w:val="20"/>
                    </w:rPr>
                    <w:t>South Asia Regional Facility for Women’s Economic Empowerment and Integration</w:t>
                  </w:r>
                  <w:r w:rsidRPr="000151BA">
                    <w:rPr>
                      <w:szCs w:val="20"/>
                    </w:rPr>
                    <w:t xml:space="preserve"> &amp; formerly TTL for SARTFP- </w:t>
                  </w:r>
                  <w:r w:rsidRPr="000151BA">
                    <w:rPr>
                      <w:b/>
                      <w:szCs w:val="20"/>
                    </w:rPr>
                    <w:t>Advancing Women’s Enterprises for Economic Impact in the farm/nonfarm value chain and regional trade</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89654" w14:textId="77777777" w:rsidR="004B1DC7" w:rsidRPr="000151BA" w:rsidRDefault="004B1DC7" w:rsidP="001B449B">
                  <w:pPr>
                    <w:rPr>
                      <w:sz w:val="20"/>
                      <w:szCs w:val="20"/>
                    </w:rPr>
                  </w:pPr>
                  <w:r w:rsidRPr="000151BA">
                    <w:rPr>
                      <w:sz w:val="20"/>
                      <w:szCs w:val="20"/>
                    </w:rPr>
                    <w:t>DC</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FBBD21" w14:textId="77777777" w:rsidR="004B1DC7" w:rsidRPr="000151BA" w:rsidRDefault="004B1DC7">
                  <w:pPr>
                    <w:rPr>
                      <w:sz w:val="20"/>
                      <w:szCs w:val="20"/>
                    </w:rPr>
                  </w:pPr>
                  <w:r w:rsidRPr="000151BA">
                    <w:rPr>
                      <w:sz w:val="20"/>
                      <w:szCs w:val="20"/>
                    </w:rPr>
                    <w:t>In person</w:t>
                  </w:r>
                </w:p>
              </w:tc>
            </w:tr>
            <w:tr w:rsidR="004B1DC7" w14:paraId="571D19BA" w14:textId="77777777">
              <w:trPr>
                <w:trHeight w:val="649"/>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B1F29" w14:textId="77777777" w:rsidR="004B1DC7" w:rsidRPr="000151BA" w:rsidRDefault="004B1DC7" w:rsidP="001B449B">
                  <w:pPr>
                    <w:pStyle w:val="NormalWeb"/>
                    <w:rPr>
                      <w:szCs w:val="20"/>
                    </w:rPr>
                  </w:pPr>
                  <w:r w:rsidRPr="000151BA">
                    <w:rPr>
                      <w:szCs w:val="20"/>
                    </w:rPr>
                    <w:t>Matias Dappe, Senior Economist</w:t>
                  </w:r>
                </w:p>
                <w:p w14:paraId="37772629" w14:textId="77777777" w:rsidR="004B1DC7" w:rsidRPr="000151BA" w:rsidRDefault="004B1DC7">
                  <w:pPr>
                    <w:pStyle w:val="NormalWeb"/>
                    <w:rPr>
                      <w:color w:val="000000"/>
                      <w:szCs w:val="20"/>
                    </w:rPr>
                  </w:pPr>
                  <w:r w:rsidRPr="000151BA">
                    <w:rPr>
                      <w:szCs w:val="20"/>
                    </w:rPr>
                    <w:t>TTL for IFG Trade, Logistics, Competitiveness in the Transport Sector</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FFCA8F" w14:textId="77777777" w:rsidR="004B1DC7" w:rsidRPr="000151BA" w:rsidRDefault="004B1DC7" w:rsidP="001B449B">
                  <w:pPr>
                    <w:rPr>
                      <w:sz w:val="20"/>
                      <w:szCs w:val="20"/>
                    </w:rPr>
                  </w:pPr>
                  <w:r w:rsidRPr="000151BA">
                    <w:rPr>
                      <w:sz w:val="20"/>
                      <w:szCs w:val="20"/>
                    </w:rPr>
                    <w:t>DC</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0ABDB9" w14:textId="77777777" w:rsidR="004B1DC7" w:rsidRPr="000151BA" w:rsidRDefault="004B1DC7">
                  <w:pPr>
                    <w:rPr>
                      <w:sz w:val="20"/>
                      <w:szCs w:val="20"/>
                    </w:rPr>
                  </w:pPr>
                  <w:r w:rsidRPr="000151BA">
                    <w:rPr>
                      <w:sz w:val="20"/>
                      <w:szCs w:val="20"/>
                    </w:rPr>
                    <w:t>In person</w:t>
                  </w:r>
                </w:p>
              </w:tc>
            </w:tr>
            <w:tr w:rsidR="004B1DC7" w14:paraId="4E19D97F" w14:textId="77777777">
              <w:trPr>
                <w:trHeight w:val="158"/>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0E544" w14:textId="77777777" w:rsidR="004B1DC7" w:rsidRPr="000151BA" w:rsidRDefault="004B1DC7" w:rsidP="001B449B">
                  <w:pPr>
                    <w:pStyle w:val="NormalWeb"/>
                    <w:rPr>
                      <w:color w:val="000000"/>
                      <w:szCs w:val="20"/>
                    </w:rPr>
                  </w:pPr>
                  <w:r w:rsidRPr="000151BA">
                    <w:rPr>
                      <w:szCs w:val="20"/>
                    </w:rPr>
                    <w:t>Sanjay Gupta, Regional Cooperation Consultant</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81C60" w14:textId="77777777" w:rsidR="004B1DC7" w:rsidRPr="000151BA" w:rsidRDefault="004B1DC7" w:rsidP="001B449B">
                  <w:pPr>
                    <w:rPr>
                      <w:sz w:val="20"/>
                      <w:szCs w:val="20"/>
                    </w:rPr>
                  </w:pPr>
                  <w:r w:rsidRPr="000151BA">
                    <w:rPr>
                      <w:sz w:val="20"/>
                      <w:szCs w:val="20"/>
                    </w:rPr>
                    <w:t>New Delhi</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054AF9" w14:textId="77777777" w:rsidR="004B1DC7" w:rsidRPr="000151BA" w:rsidRDefault="004B1DC7">
                  <w:pPr>
                    <w:rPr>
                      <w:sz w:val="20"/>
                      <w:szCs w:val="20"/>
                    </w:rPr>
                  </w:pPr>
                  <w:r w:rsidRPr="000151BA">
                    <w:rPr>
                      <w:sz w:val="20"/>
                      <w:szCs w:val="20"/>
                    </w:rPr>
                    <w:t>In person</w:t>
                  </w:r>
                </w:p>
              </w:tc>
            </w:tr>
            <w:tr w:rsidR="004B1DC7" w14:paraId="201088B8" w14:textId="77777777">
              <w:trPr>
                <w:trHeight w:val="158"/>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B9A8F7" w14:textId="77777777" w:rsidR="004B1DC7" w:rsidRPr="000151BA" w:rsidRDefault="004B1DC7" w:rsidP="001A78AF">
                  <w:pPr>
                    <w:rPr>
                      <w:sz w:val="20"/>
                      <w:szCs w:val="20"/>
                    </w:rPr>
                  </w:pPr>
                  <w:r w:rsidRPr="000151BA">
                    <w:rPr>
                      <w:sz w:val="20"/>
                      <w:szCs w:val="20"/>
                    </w:rPr>
                    <w:t xml:space="preserve">Rohit Mittal, Senior Energy Specialist (TTL) </w:t>
                  </w:r>
                  <w:r w:rsidRPr="000151BA">
                    <w:rPr>
                      <w:b/>
                      <w:sz w:val="20"/>
                      <w:szCs w:val="20"/>
                    </w:rPr>
                    <w:t>India NE Transmission and Distribution</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3DEAC" w14:textId="77777777" w:rsidR="004B1DC7" w:rsidRPr="000151BA" w:rsidRDefault="004B1DC7" w:rsidP="001A78AF">
                  <w:pPr>
                    <w:rPr>
                      <w:sz w:val="20"/>
                      <w:szCs w:val="20"/>
                    </w:rPr>
                  </w:pPr>
                  <w:r w:rsidRPr="000151BA">
                    <w:rPr>
                      <w:sz w:val="20"/>
                      <w:szCs w:val="20"/>
                    </w:rPr>
                    <w:t>New Delhi</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26F9C" w14:textId="77777777" w:rsidR="004B1DC7" w:rsidRPr="000151BA" w:rsidRDefault="004B1DC7" w:rsidP="000B5B50">
                  <w:pPr>
                    <w:rPr>
                      <w:sz w:val="20"/>
                      <w:szCs w:val="20"/>
                    </w:rPr>
                  </w:pPr>
                  <w:r w:rsidRPr="000151BA">
                    <w:rPr>
                      <w:sz w:val="20"/>
                      <w:szCs w:val="20"/>
                    </w:rPr>
                    <w:t>In person</w:t>
                  </w:r>
                </w:p>
              </w:tc>
            </w:tr>
            <w:tr w:rsidR="004B1DC7" w14:paraId="0871B409" w14:textId="77777777">
              <w:trPr>
                <w:trHeight w:val="158"/>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9B48A" w14:textId="77777777" w:rsidR="004B1DC7" w:rsidRPr="000151BA" w:rsidRDefault="004B1DC7" w:rsidP="001B449B">
                  <w:pPr>
                    <w:pStyle w:val="NormalWeb"/>
                    <w:rPr>
                      <w:color w:val="000000"/>
                      <w:szCs w:val="20"/>
                    </w:rPr>
                  </w:pPr>
                  <w:r w:rsidRPr="000151BA">
                    <w:rPr>
                      <w:szCs w:val="20"/>
                    </w:rPr>
                    <w:t>Amol Gupta, Energy Specialist</w:t>
                  </w:r>
                  <w:r w:rsidRPr="000151BA">
                    <w:rPr>
                      <w:b/>
                      <w:szCs w:val="20"/>
                    </w:rPr>
                    <w:t xml:space="preserve"> </w:t>
                  </w:r>
                  <w:r w:rsidRPr="000151BA">
                    <w:rPr>
                      <w:szCs w:val="20"/>
                    </w:rPr>
                    <w:t xml:space="preserve">(Team Member) </w:t>
                  </w:r>
                  <w:r w:rsidRPr="000151BA">
                    <w:rPr>
                      <w:b/>
                      <w:szCs w:val="20"/>
                    </w:rPr>
                    <w:t>India NE Transmission and Distribution</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FE6BA" w14:textId="77777777" w:rsidR="004B1DC7" w:rsidRPr="000151BA" w:rsidRDefault="004B1DC7" w:rsidP="001B449B">
                  <w:pPr>
                    <w:rPr>
                      <w:sz w:val="20"/>
                      <w:szCs w:val="20"/>
                    </w:rPr>
                  </w:pPr>
                  <w:r w:rsidRPr="000151BA">
                    <w:rPr>
                      <w:sz w:val="20"/>
                      <w:szCs w:val="20"/>
                    </w:rPr>
                    <w:t>New Delhi</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34A2E" w14:textId="77777777" w:rsidR="004B1DC7" w:rsidRPr="000151BA" w:rsidRDefault="004B1DC7">
                  <w:pPr>
                    <w:rPr>
                      <w:sz w:val="20"/>
                      <w:szCs w:val="20"/>
                    </w:rPr>
                  </w:pPr>
                  <w:r w:rsidRPr="000151BA">
                    <w:rPr>
                      <w:sz w:val="20"/>
                      <w:szCs w:val="20"/>
                    </w:rPr>
                    <w:t>In person</w:t>
                  </w:r>
                </w:p>
              </w:tc>
            </w:tr>
            <w:tr w:rsidR="004B1DC7" w14:paraId="082BD8C1" w14:textId="77777777">
              <w:trPr>
                <w:trHeight w:val="158"/>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47146" w14:textId="77777777" w:rsidR="004B1DC7" w:rsidRPr="000151BA" w:rsidRDefault="004B1DC7" w:rsidP="001B449B">
                  <w:pPr>
                    <w:pStyle w:val="NormalWeb"/>
                    <w:rPr>
                      <w:color w:val="000000"/>
                      <w:szCs w:val="20"/>
                    </w:rPr>
                  </w:pPr>
                  <w:r w:rsidRPr="000151BA">
                    <w:rPr>
                      <w:szCs w:val="20"/>
                    </w:rPr>
                    <w:t xml:space="preserve">Mridula Singh, Senior Social Development Specialist (TTL), Addressing Women’s and Children’s Risks from Enhanced connectivity, TTL Assam Inland Waterways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A4027" w14:textId="77777777" w:rsidR="004B1DC7" w:rsidRPr="000151BA" w:rsidRDefault="004B1DC7" w:rsidP="001B449B">
                  <w:pPr>
                    <w:rPr>
                      <w:sz w:val="20"/>
                      <w:szCs w:val="20"/>
                    </w:rPr>
                  </w:pPr>
                  <w:r w:rsidRPr="000151BA">
                    <w:rPr>
                      <w:sz w:val="20"/>
                      <w:szCs w:val="20"/>
                    </w:rPr>
                    <w:t>New Delhi</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8BFB14" w14:textId="77777777" w:rsidR="004B1DC7" w:rsidRPr="000151BA" w:rsidRDefault="004B1DC7">
                  <w:pPr>
                    <w:rPr>
                      <w:sz w:val="20"/>
                      <w:szCs w:val="20"/>
                    </w:rPr>
                  </w:pPr>
                  <w:r w:rsidRPr="000151BA">
                    <w:rPr>
                      <w:sz w:val="20"/>
                      <w:szCs w:val="20"/>
                    </w:rPr>
                    <w:t>In person</w:t>
                  </w:r>
                </w:p>
              </w:tc>
            </w:tr>
            <w:tr w:rsidR="004B1DC7" w14:paraId="3F561889" w14:textId="77777777">
              <w:trPr>
                <w:trHeight w:val="158"/>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271738" w14:textId="77777777" w:rsidR="004B1DC7" w:rsidRPr="000151BA" w:rsidRDefault="004B1DC7" w:rsidP="001A78AF">
                  <w:pPr>
                    <w:rPr>
                      <w:sz w:val="20"/>
                      <w:szCs w:val="20"/>
                    </w:rPr>
                  </w:pPr>
                  <w:r w:rsidRPr="000151BA">
                    <w:rPr>
                      <w:sz w:val="20"/>
                      <w:szCs w:val="20"/>
                    </w:rPr>
                    <w:t>Stefania Abakerli (TTL), Buddhist Circuit Development</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26E2D" w14:textId="77777777" w:rsidR="004B1DC7" w:rsidRPr="000151BA" w:rsidRDefault="004B1DC7" w:rsidP="001A78AF">
                  <w:pPr>
                    <w:rPr>
                      <w:sz w:val="20"/>
                      <w:szCs w:val="20"/>
                    </w:rPr>
                  </w:pPr>
                  <w:r w:rsidRPr="000151BA">
                    <w:rPr>
                      <w:sz w:val="20"/>
                      <w:szCs w:val="20"/>
                    </w:rPr>
                    <w:t>DC</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97BFB" w14:textId="77777777" w:rsidR="004B1DC7" w:rsidRPr="000151BA" w:rsidRDefault="004B1DC7" w:rsidP="000B5B50">
                  <w:pPr>
                    <w:rPr>
                      <w:sz w:val="20"/>
                      <w:szCs w:val="20"/>
                    </w:rPr>
                  </w:pPr>
                  <w:r w:rsidRPr="000151BA">
                    <w:rPr>
                      <w:sz w:val="20"/>
                      <w:szCs w:val="20"/>
                    </w:rPr>
                    <w:t>Teleconference</w:t>
                  </w:r>
                </w:p>
              </w:tc>
            </w:tr>
            <w:tr w:rsidR="004B1DC7" w14:paraId="299E552E" w14:textId="77777777">
              <w:trPr>
                <w:trHeight w:val="158"/>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81D21" w14:textId="77777777" w:rsidR="004B1DC7" w:rsidRPr="000151BA" w:rsidRDefault="004B1DC7" w:rsidP="001A78AF">
                  <w:pPr>
                    <w:rPr>
                      <w:sz w:val="20"/>
                      <w:szCs w:val="20"/>
                    </w:rPr>
                  </w:pPr>
                  <w:r w:rsidRPr="000151BA">
                    <w:rPr>
                      <w:sz w:val="20"/>
                      <w:szCs w:val="20"/>
                    </w:rPr>
                    <w:t xml:space="preserve">Sanjay Saxena, Tourism Consultant (Team Member), </w:t>
                  </w:r>
                  <w:r w:rsidRPr="000151BA">
                    <w:rPr>
                      <w:b/>
                      <w:sz w:val="20"/>
                      <w:szCs w:val="20"/>
                    </w:rPr>
                    <w:t>Buddhist Circuit Development</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26145" w14:textId="77777777" w:rsidR="004B1DC7" w:rsidRPr="000151BA" w:rsidRDefault="004B1DC7" w:rsidP="001A78AF">
                  <w:pPr>
                    <w:rPr>
                      <w:sz w:val="20"/>
                      <w:szCs w:val="20"/>
                    </w:rPr>
                  </w:pPr>
                  <w:r w:rsidRPr="000151BA">
                    <w:rPr>
                      <w:sz w:val="20"/>
                      <w:szCs w:val="20"/>
                    </w:rPr>
                    <w:t>New Delhi</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A4539" w14:textId="77777777" w:rsidR="004B1DC7" w:rsidRPr="000151BA" w:rsidRDefault="004B1DC7" w:rsidP="000B5B50">
                  <w:pPr>
                    <w:rPr>
                      <w:sz w:val="20"/>
                      <w:szCs w:val="20"/>
                    </w:rPr>
                  </w:pPr>
                  <w:r w:rsidRPr="000151BA">
                    <w:rPr>
                      <w:sz w:val="20"/>
                      <w:szCs w:val="20"/>
                    </w:rPr>
                    <w:t>In person</w:t>
                  </w:r>
                </w:p>
              </w:tc>
            </w:tr>
            <w:tr w:rsidR="004B1DC7" w14:paraId="44122A97" w14:textId="77777777">
              <w:trPr>
                <w:trHeight w:val="158"/>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68567" w14:textId="77777777" w:rsidR="004B1DC7" w:rsidRPr="000151BA" w:rsidRDefault="004B1DC7" w:rsidP="001B449B">
                  <w:pPr>
                    <w:pStyle w:val="NormalWeb"/>
                    <w:rPr>
                      <w:color w:val="000000"/>
                      <w:szCs w:val="20"/>
                    </w:rPr>
                  </w:pPr>
                  <w:r w:rsidRPr="000151BA">
                    <w:rPr>
                      <w:szCs w:val="20"/>
                    </w:rPr>
                    <w:t>Monica Raina, Civil Society and Livelihood Consultant (Team Member), Advancing Women’s Enterprises for Economic Impact in the farm/nonfarm value chain and regional trade</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88307" w14:textId="77777777" w:rsidR="004B1DC7" w:rsidRPr="000151BA" w:rsidRDefault="004B1DC7" w:rsidP="001B449B">
                  <w:pPr>
                    <w:rPr>
                      <w:sz w:val="20"/>
                      <w:szCs w:val="20"/>
                    </w:rPr>
                  </w:pPr>
                  <w:r w:rsidRPr="000151BA">
                    <w:rPr>
                      <w:sz w:val="20"/>
                      <w:szCs w:val="20"/>
                    </w:rPr>
                    <w:t>New Delhi</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B78FBD" w14:textId="77777777" w:rsidR="004B1DC7" w:rsidRPr="000151BA" w:rsidRDefault="004B1DC7">
                  <w:pPr>
                    <w:rPr>
                      <w:sz w:val="20"/>
                      <w:szCs w:val="20"/>
                    </w:rPr>
                  </w:pPr>
                  <w:r w:rsidRPr="000151BA">
                    <w:rPr>
                      <w:sz w:val="20"/>
                      <w:szCs w:val="20"/>
                    </w:rPr>
                    <w:t>In person</w:t>
                  </w:r>
                </w:p>
              </w:tc>
            </w:tr>
            <w:tr w:rsidR="004B1DC7" w14:paraId="7563CCA8" w14:textId="77777777">
              <w:trPr>
                <w:trHeight w:val="158"/>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F8B009" w14:textId="77777777" w:rsidR="004B1DC7" w:rsidRPr="000151BA" w:rsidRDefault="004B1DC7" w:rsidP="001A78AF">
                  <w:pPr>
                    <w:rPr>
                      <w:sz w:val="20"/>
                      <w:szCs w:val="20"/>
                    </w:rPr>
                  </w:pPr>
                  <w:r w:rsidRPr="000151BA">
                    <w:rPr>
                      <w:sz w:val="20"/>
                      <w:szCs w:val="20"/>
                    </w:rPr>
                    <w:t>Priti Kumar, Senior Agricultural Specialist (TTL)</w:t>
                  </w:r>
                </w:p>
                <w:p w14:paraId="6A860031" w14:textId="77777777" w:rsidR="004B1DC7" w:rsidRPr="000151BA" w:rsidRDefault="004B1DC7" w:rsidP="001B449B">
                  <w:pPr>
                    <w:pStyle w:val="NormalWeb"/>
                    <w:rPr>
                      <w:color w:val="000000"/>
                      <w:szCs w:val="20"/>
                    </w:rPr>
                  </w:pPr>
                  <w:r w:rsidRPr="000151BA">
                    <w:rPr>
                      <w:szCs w:val="20"/>
                    </w:rPr>
                    <w:t>Advancing Women’s Enterprises for Economic Impact in the farm/nonfarm value chain and regional trade</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2371C" w14:textId="77777777" w:rsidR="004B1DC7" w:rsidRPr="000151BA" w:rsidRDefault="004B1DC7" w:rsidP="001B449B">
                  <w:pPr>
                    <w:rPr>
                      <w:sz w:val="20"/>
                      <w:szCs w:val="20"/>
                    </w:rPr>
                  </w:pPr>
                  <w:r w:rsidRPr="000151BA">
                    <w:rPr>
                      <w:sz w:val="20"/>
                      <w:szCs w:val="20"/>
                    </w:rPr>
                    <w:t>New Delhi</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908D0" w14:textId="77777777" w:rsidR="004B1DC7" w:rsidRPr="000151BA" w:rsidRDefault="004B1DC7">
                  <w:pPr>
                    <w:rPr>
                      <w:sz w:val="20"/>
                      <w:szCs w:val="20"/>
                    </w:rPr>
                  </w:pPr>
                  <w:r w:rsidRPr="000151BA">
                    <w:rPr>
                      <w:sz w:val="20"/>
                      <w:szCs w:val="20"/>
                    </w:rPr>
                    <w:t>In person</w:t>
                  </w:r>
                </w:p>
              </w:tc>
            </w:tr>
            <w:tr w:rsidR="004B1DC7" w14:paraId="2C355288" w14:textId="77777777">
              <w:trPr>
                <w:trHeight w:val="336"/>
              </w:trPr>
              <w:tc>
                <w:tcPr>
                  <w:tcW w:w="8954"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0AF329C" w14:textId="77777777" w:rsidR="004B1DC7" w:rsidRPr="000151BA" w:rsidRDefault="004B1DC7" w:rsidP="001B449B">
                  <w:pPr>
                    <w:pStyle w:val="NormalWeb"/>
                    <w:rPr>
                      <w:szCs w:val="20"/>
                    </w:rPr>
                  </w:pPr>
                  <w:r w:rsidRPr="000151BA">
                    <w:rPr>
                      <w:szCs w:val="20"/>
                    </w:rPr>
                    <w:t xml:space="preserve">Technical Advisory Facility </w:t>
                  </w:r>
                </w:p>
              </w:tc>
            </w:tr>
            <w:tr w:rsidR="004B1DC7" w14:paraId="16722A17" w14:textId="77777777">
              <w:trPr>
                <w:trHeight w:val="144"/>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ABE64E" w14:textId="77777777" w:rsidR="004B1DC7" w:rsidRPr="000151BA" w:rsidRDefault="004B1DC7" w:rsidP="001A78AF">
                  <w:pPr>
                    <w:pStyle w:val="NormalWeb"/>
                    <w:rPr>
                      <w:szCs w:val="20"/>
                    </w:rPr>
                  </w:pPr>
                  <w:r w:rsidRPr="000151BA">
                    <w:rPr>
                      <w:szCs w:val="20"/>
                    </w:rPr>
                    <w:t>Gillian Brown (Gender)</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EE8F9" w14:textId="77777777" w:rsidR="004B1DC7" w:rsidRPr="000151BA" w:rsidRDefault="004B1DC7" w:rsidP="001A78AF">
                  <w:pPr>
                    <w:pStyle w:val="NormalWeb"/>
                    <w:rPr>
                      <w:szCs w:val="20"/>
                    </w:rPr>
                  </w:pPr>
                  <w:r w:rsidRPr="000151BA">
                    <w:rPr>
                      <w:szCs w:val="20"/>
                    </w:rPr>
                    <w:t>UK</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C597F" w14:textId="77777777" w:rsidR="004B1DC7" w:rsidRPr="000151BA" w:rsidRDefault="004B1DC7" w:rsidP="000B5B50">
                  <w:pPr>
                    <w:pStyle w:val="NormalWeb"/>
                    <w:rPr>
                      <w:szCs w:val="20"/>
                    </w:rPr>
                  </w:pPr>
                  <w:r w:rsidRPr="000151BA">
                    <w:rPr>
                      <w:szCs w:val="20"/>
                    </w:rPr>
                    <w:t xml:space="preserve">Teleconference </w:t>
                  </w:r>
                </w:p>
              </w:tc>
            </w:tr>
            <w:tr w:rsidR="004B1DC7" w14:paraId="3FE11355" w14:textId="77777777">
              <w:trPr>
                <w:trHeight w:val="158"/>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57CBD" w14:textId="77777777" w:rsidR="004B1DC7" w:rsidRPr="000151BA" w:rsidRDefault="004B1DC7" w:rsidP="001A78AF">
                  <w:pPr>
                    <w:pStyle w:val="NormalWeb"/>
                    <w:rPr>
                      <w:szCs w:val="20"/>
                    </w:rPr>
                  </w:pPr>
                  <w:r w:rsidRPr="000151BA">
                    <w:rPr>
                      <w:szCs w:val="20"/>
                    </w:rPr>
                    <w:t>Sara Webb (Monitoring and Evaluation)</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4F23F9" w14:textId="77777777" w:rsidR="004B1DC7" w:rsidRPr="000151BA" w:rsidRDefault="004B1DC7" w:rsidP="001A78AF">
                  <w:pPr>
                    <w:pStyle w:val="NormalWeb"/>
                    <w:rPr>
                      <w:szCs w:val="20"/>
                    </w:rPr>
                  </w:pPr>
                  <w:r w:rsidRPr="000151BA">
                    <w:rPr>
                      <w:szCs w:val="20"/>
                    </w:rPr>
                    <w:t>Australia</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23BB9B" w14:textId="77777777" w:rsidR="004B1DC7" w:rsidRPr="000151BA" w:rsidRDefault="004B1DC7" w:rsidP="000B5B50">
                  <w:pPr>
                    <w:pStyle w:val="NormalWeb"/>
                    <w:rPr>
                      <w:szCs w:val="20"/>
                    </w:rPr>
                  </w:pPr>
                  <w:r w:rsidRPr="000151BA">
                    <w:rPr>
                      <w:szCs w:val="20"/>
                    </w:rPr>
                    <w:t xml:space="preserve">Teleconference </w:t>
                  </w:r>
                </w:p>
              </w:tc>
            </w:tr>
            <w:tr w:rsidR="004B1DC7" w14:paraId="6EC1E26C" w14:textId="77777777">
              <w:trPr>
                <w:trHeight w:val="158"/>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F7E8B" w14:textId="77777777" w:rsidR="004B1DC7" w:rsidRPr="000151BA" w:rsidRDefault="004B1DC7" w:rsidP="001A78AF">
                  <w:pPr>
                    <w:pStyle w:val="NormalWeb"/>
                    <w:rPr>
                      <w:szCs w:val="20"/>
                    </w:rPr>
                  </w:pPr>
                  <w:r w:rsidRPr="000151BA">
                    <w:rPr>
                      <w:szCs w:val="20"/>
                    </w:rPr>
                    <w:t>Jim Redden (Trade Facilitation)</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66C18" w14:textId="77777777" w:rsidR="004B1DC7" w:rsidRPr="000151BA" w:rsidRDefault="004B1DC7" w:rsidP="001A78AF">
                  <w:pPr>
                    <w:pStyle w:val="NormalWeb"/>
                    <w:rPr>
                      <w:szCs w:val="20"/>
                    </w:rPr>
                  </w:pPr>
                  <w:r w:rsidRPr="000151BA">
                    <w:rPr>
                      <w:szCs w:val="20"/>
                    </w:rPr>
                    <w:t>Australia</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DA725" w14:textId="77777777" w:rsidR="004B1DC7" w:rsidRPr="000151BA" w:rsidRDefault="004B1DC7" w:rsidP="000B5B50">
                  <w:pPr>
                    <w:pStyle w:val="NormalWeb"/>
                    <w:rPr>
                      <w:szCs w:val="20"/>
                    </w:rPr>
                  </w:pPr>
                  <w:r w:rsidRPr="000151BA">
                    <w:rPr>
                      <w:szCs w:val="20"/>
                    </w:rPr>
                    <w:t xml:space="preserve">Teleconference </w:t>
                  </w:r>
                </w:p>
              </w:tc>
            </w:tr>
            <w:tr w:rsidR="004B1DC7" w14:paraId="125A8797" w14:textId="77777777">
              <w:trPr>
                <w:trHeight w:val="158"/>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183AFA" w14:textId="77777777" w:rsidR="004B1DC7" w:rsidRPr="000151BA" w:rsidRDefault="004B1DC7" w:rsidP="001A78AF">
                  <w:pPr>
                    <w:pStyle w:val="NormalWeb"/>
                    <w:rPr>
                      <w:szCs w:val="20"/>
                    </w:rPr>
                  </w:pPr>
                  <w:r w:rsidRPr="000151BA">
                    <w:rPr>
                      <w:szCs w:val="20"/>
                    </w:rPr>
                    <w:t>Mona Shrestha (Trade Facilitation)</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B5877" w14:textId="77777777" w:rsidR="004B1DC7" w:rsidRPr="000151BA" w:rsidRDefault="004B1DC7" w:rsidP="001A78AF">
                  <w:pPr>
                    <w:pStyle w:val="NormalWeb"/>
                    <w:rPr>
                      <w:szCs w:val="20"/>
                    </w:rPr>
                  </w:pPr>
                  <w:r w:rsidRPr="000151BA">
                    <w:rPr>
                      <w:szCs w:val="20"/>
                    </w:rPr>
                    <w:t>Geneva</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DD0A9" w14:textId="77777777" w:rsidR="004B1DC7" w:rsidRPr="000151BA" w:rsidRDefault="004B1DC7" w:rsidP="000B5B50">
                  <w:pPr>
                    <w:pStyle w:val="NormalWeb"/>
                    <w:rPr>
                      <w:szCs w:val="20"/>
                    </w:rPr>
                  </w:pPr>
                  <w:r w:rsidRPr="000151BA">
                    <w:rPr>
                      <w:szCs w:val="20"/>
                    </w:rPr>
                    <w:t xml:space="preserve">Teleconference </w:t>
                  </w:r>
                </w:p>
              </w:tc>
            </w:tr>
            <w:tr w:rsidR="004B1DC7" w14:paraId="2B9C4345" w14:textId="77777777">
              <w:trPr>
                <w:trHeight w:val="336"/>
              </w:trPr>
              <w:tc>
                <w:tcPr>
                  <w:tcW w:w="8954"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6105511" w14:textId="77777777" w:rsidR="004B1DC7" w:rsidRPr="000151BA" w:rsidRDefault="004B1DC7" w:rsidP="001A78AF">
                  <w:pPr>
                    <w:pStyle w:val="NormalWeb"/>
                    <w:rPr>
                      <w:szCs w:val="20"/>
                    </w:rPr>
                  </w:pPr>
                  <w:r w:rsidRPr="000151BA">
                    <w:rPr>
                      <w:szCs w:val="20"/>
                    </w:rPr>
                    <w:t xml:space="preserve">Other Stakeholders </w:t>
                  </w:r>
                </w:p>
              </w:tc>
            </w:tr>
            <w:tr w:rsidR="004B1DC7" w14:paraId="1292D4AB" w14:textId="77777777">
              <w:trPr>
                <w:trHeight w:val="649"/>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D7C98" w14:textId="77777777" w:rsidR="004B1DC7" w:rsidRPr="000151BA" w:rsidRDefault="004B1DC7" w:rsidP="001A78AF">
                  <w:pPr>
                    <w:pStyle w:val="NormalWeb"/>
                    <w:rPr>
                      <w:szCs w:val="20"/>
                    </w:rPr>
                  </w:pPr>
                  <w:r w:rsidRPr="000151BA">
                    <w:rPr>
                      <w:szCs w:val="20"/>
                    </w:rPr>
                    <w:lastRenderedPageBreak/>
                    <w:t>Dr Duncan Overfield, Deputy Head &amp; Regional Economic Development Team Leader, DFID Asia Regional &amp; Dr Jaya Singh Verma, Senior Prorgamme Manager, Asia Regional, DFID</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31947A" w14:textId="77777777" w:rsidR="004B1DC7" w:rsidRPr="000151BA" w:rsidRDefault="004B1DC7" w:rsidP="001B449B">
                  <w:pPr>
                    <w:rPr>
                      <w:sz w:val="20"/>
                      <w:szCs w:val="20"/>
                    </w:rPr>
                  </w:pPr>
                  <w:r w:rsidRPr="000151BA">
                    <w:rPr>
                      <w:sz w:val="20"/>
                      <w:szCs w:val="20"/>
                    </w:rPr>
                    <w:t>New Delhi</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A148A" w14:textId="77777777" w:rsidR="004B1DC7" w:rsidRPr="000151BA" w:rsidRDefault="004B1DC7">
                  <w:pPr>
                    <w:rPr>
                      <w:sz w:val="20"/>
                      <w:szCs w:val="20"/>
                    </w:rPr>
                  </w:pPr>
                  <w:r w:rsidRPr="000151BA">
                    <w:rPr>
                      <w:sz w:val="20"/>
                      <w:szCs w:val="20"/>
                    </w:rPr>
                    <w:t>In person</w:t>
                  </w:r>
                </w:p>
              </w:tc>
            </w:tr>
            <w:tr w:rsidR="004B1DC7" w14:paraId="2EBF9ACA" w14:textId="77777777">
              <w:trPr>
                <w:trHeight w:val="490"/>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F55221" w14:textId="77777777" w:rsidR="004B1DC7" w:rsidRPr="000151BA" w:rsidRDefault="004B1DC7" w:rsidP="001B449B">
                  <w:pPr>
                    <w:pStyle w:val="NormalWeb"/>
                    <w:rPr>
                      <w:szCs w:val="20"/>
                    </w:rPr>
                  </w:pPr>
                  <w:r w:rsidRPr="000151BA">
                    <w:rPr>
                      <w:szCs w:val="20"/>
                    </w:rPr>
                    <w:t>Dr Sagar Prasai, Country Representative, India and Dr Diya Nag, Senior Program Officer, India, The Asia Foundation</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C83B2" w14:textId="77777777" w:rsidR="004B1DC7" w:rsidRPr="000151BA" w:rsidRDefault="004B1DC7" w:rsidP="001B449B">
                  <w:pPr>
                    <w:rPr>
                      <w:sz w:val="20"/>
                      <w:szCs w:val="20"/>
                    </w:rPr>
                  </w:pPr>
                  <w:r w:rsidRPr="000151BA">
                    <w:rPr>
                      <w:sz w:val="20"/>
                      <w:szCs w:val="20"/>
                    </w:rPr>
                    <w:t>New Delhi</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3516FC" w14:textId="77777777" w:rsidR="004B1DC7" w:rsidRPr="000151BA" w:rsidRDefault="004B1DC7" w:rsidP="001B449B">
                  <w:pPr>
                    <w:pStyle w:val="NormalWeb"/>
                    <w:rPr>
                      <w:szCs w:val="20"/>
                    </w:rPr>
                  </w:pPr>
                  <w:r w:rsidRPr="000151BA">
                    <w:rPr>
                      <w:szCs w:val="20"/>
                    </w:rPr>
                    <w:t>In person</w:t>
                  </w:r>
                </w:p>
              </w:tc>
            </w:tr>
            <w:tr w:rsidR="004B1DC7" w14:paraId="13204493" w14:textId="77777777">
              <w:trPr>
                <w:trHeight w:val="475"/>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A1F7AD" w14:textId="77777777" w:rsidR="004B1DC7" w:rsidRPr="000151BA" w:rsidRDefault="004B1DC7" w:rsidP="001A78AF">
                  <w:pPr>
                    <w:pStyle w:val="NormalWeb"/>
                    <w:rPr>
                      <w:szCs w:val="20"/>
                    </w:rPr>
                  </w:pPr>
                  <w:r w:rsidRPr="000151BA">
                    <w:rPr>
                      <w:szCs w:val="20"/>
                    </w:rPr>
                    <w:t>Dr Prabir De, Professor and Coordinator of ASEAN-India Centre (AIC), Research and Information System for Developing Countries (RIS)</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7557A" w14:textId="77777777" w:rsidR="004B1DC7" w:rsidRPr="000151BA" w:rsidRDefault="004B1DC7" w:rsidP="001B449B">
                  <w:pPr>
                    <w:rPr>
                      <w:sz w:val="20"/>
                      <w:szCs w:val="20"/>
                    </w:rPr>
                  </w:pPr>
                  <w:r w:rsidRPr="000151BA">
                    <w:rPr>
                      <w:sz w:val="20"/>
                      <w:szCs w:val="20"/>
                    </w:rPr>
                    <w:t>New Delhi</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71AEA" w14:textId="77777777" w:rsidR="004B1DC7" w:rsidRPr="000151BA" w:rsidRDefault="004B1DC7" w:rsidP="001B449B">
                  <w:pPr>
                    <w:pStyle w:val="NormalWeb"/>
                    <w:rPr>
                      <w:szCs w:val="20"/>
                    </w:rPr>
                  </w:pPr>
                  <w:r w:rsidRPr="000151BA">
                    <w:rPr>
                      <w:szCs w:val="20"/>
                    </w:rPr>
                    <w:t>In person</w:t>
                  </w:r>
                </w:p>
              </w:tc>
            </w:tr>
            <w:tr w:rsidR="004B1DC7" w14:paraId="3F2AD74E" w14:textId="77777777">
              <w:trPr>
                <w:trHeight w:val="490"/>
              </w:trPr>
              <w:tc>
                <w:tcPr>
                  <w:tcW w:w="4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36C68" w14:textId="77777777" w:rsidR="004B1DC7" w:rsidRPr="000151BA" w:rsidRDefault="004B1DC7" w:rsidP="001A78AF">
                  <w:pPr>
                    <w:pStyle w:val="NormalWeb"/>
                    <w:rPr>
                      <w:szCs w:val="20"/>
                    </w:rPr>
                  </w:pPr>
                  <w:r w:rsidRPr="000151BA">
                    <w:rPr>
                      <w:szCs w:val="20"/>
                    </w:rPr>
                    <w:t>Bipul Chatterjee, Executive Director and Prithviraj Nath, Associate Director, Consumer Unity &amp; Trust Society-CUTS International</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2A3AE" w14:textId="77777777" w:rsidR="004B1DC7" w:rsidRPr="000151BA" w:rsidRDefault="004B1DC7" w:rsidP="001B449B">
                  <w:pPr>
                    <w:rPr>
                      <w:sz w:val="20"/>
                      <w:szCs w:val="20"/>
                    </w:rPr>
                  </w:pPr>
                  <w:r w:rsidRPr="000151BA">
                    <w:rPr>
                      <w:sz w:val="20"/>
                      <w:szCs w:val="20"/>
                    </w:rPr>
                    <w:t>New Delhi</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E1225" w14:textId="77777777" w:rsidR="004B1DC7" w:rsidRPr="000151BA" w:rsidRDefault="004B1DC7" w:rsidP="001B449B">
                  <w:pPr>
                    <w:pStyle w:val="NormalWeb"/>
                    <w:rPr>
                      <w:szCs w:val="20"/>
                    </w:rPr>
                  </w:pPr>
                  <w:r w:rsidRPr="000151BA">
                    <w:rPr>
                      <w:szCs w:val="20"/>
                    </w:rPr>
                    <w:t>Teleconference</w:t>
                  </w:r>
                </w:p>
              </w:tc>
            </w:tr>
          </w:tbl>
          <w:p w14:paraId="69929836" w14:textId="77777777" w:rsidR="004B1DC7" w:rsidRPr="00EF1B7B" w:rsidRDefault="004B1DC7" w:rsidP="001B449B"/>
        </w:tc>
      </w:tr>
    </w:tbl>
    <w:p w14:paraId="15E7E720" w14:textId="77777777" w:rsidR="004B1DC7" w:rsidRDefault="004B1DC7" w:rsidP="00F65774"/>
    <w:p w14:paraId="7C9A6A66" w14:textId="77777777" w:rsidR="001E25A5" w:rsidRDefault="001E25A5">
      <w:pPr>
        <w:spacing w:before="0" w:after="0"/>
        <w:rPr>
          <w:rFonts w:eastAsiaTheme="majorEastAsia" w:cstheme="majorBidi"/>
          <w:b/>
          <w:color w:val="C00000"/>
          <w:sz w:val="22"/>
        </w:rPr>
      </w:pPr>
      <w:r>
        <w:br w:type="page"/>
      </w:r>
    </w:p>
    <w:p w14:paraId="4AF0B899" w14:textId="317F7C78" w:rsidR="004B1DC7" w:rsidRPr="00351A51" w:rsidRDefault="004B1DC7" w:rsidP="001B449B">
      <w:pPr>
        <w:pStyle w:val="Heading2"/>
      </w:pPr>
      <w:bookmarkStart w:id="74" w:name="_Toc517615261"/>
      <w:r w:rsidRPr="00351A51">
        <w:lastRenderedPageBreak/>
        <w:t xml:space="preserve">Annex </w:t>
      </w:r>
      <w:r w:rsidR="00C038F9">
        <w:t>8</w:t>
      </w:r>
      <w:r w:rsidRPr="00351A51">
        <w:t>: Schedule of Meetings</w:t>
      </w:r>
      <w:bookmarkEnd w:id="74"/>
    </w:p>
    <w:p w14:paraId="0FE6B501" w14:textId="77777777" w:rsidR="004B1DC7" w:rsidRDefault="004B1DC7" w:rsidP="001B449B"/>
    <w:tbl>
      <w:tblPr>
        <w:tblW w:w="8455" w:type="dxa"/>
        <w:tblLayout w:type="fixed"/>
        <w:tblCellMar>
          <w:left w:w="0" w:type="dxa"/>
          <w:right w:w="0" w:type="dxa"/>
        </w:tblCellMar>
        <w:tblLook w:val="04A0" w:firstRow="1" w:lastRow="0" w:firstColumn="1" w:lastColumn="0" w:noHBand="0" w:noVBand="1"/>
      </w:tblPr>
      <w:tblGrid>
        <w:gridCol w:w="1866"/>
        <w:gridCol w:w="5141"/>
        <w:gridCol w:w="1448"/>
      </w:tblGrid>
      <w:tr w:rsidR="004B1DC7" w:rsidRPr="003E5DEC" w14:paraId="1E333425" w14:textId="77777777">
        <w:trPr>
          <w:trHeight w:val="300"/>
        </w:trPr>
        <w:tc>
          <w:tcPr>
            <w:tcW w:w="1866" w:type="dxa"/>
            <w:tcBorders>
              <w:top w:val="single" w:sz="4" w:space="0" w:color="000000"/>
              <w:left w:val="single" w:sz="4" w:space="0" w:color="000000"/>
              <w:bottom w:val="single" w:sz="4" w:space="0" w:color="000000"/>
              <w:right w:val="single" w:sz="4" w:space="0" w:color="000000"/>
            </w:tcBorders>
            <w:shd w:val="clear" w:color="auto" w:fill="44546A" w:themeFill="text2"/>
            <w:tcMar>
              <w:top w:w="0" w:type="dxa"/>
              <w:left w:w="108" w:type="dxa"/>
              <w:bottom w:w="0" w:type="dxa"/>
              <w:right w:w="108" w:type="dxa"/>
            </w:tcMar>
          </w:tcPr>
          <w:p w14:paraId="20BA9EAA" w14:textId="77777777" w:rsidR="004B1DC7" w:rsidRPr="000151BA" w:rsidRDefault="004B1DC7">
            <w:pPr>
              <w:rPr>
                <w:bCs/>
                <w:iCs/>
                <w:sz w:val="20"/>
                <w:szCs w:val="20"/>
              </w:rPr>
            </w:pPr>
            <w:r w:rsidRPr="000151BA">
              <w:rPr>
                <w:rFonts w:eastAsia="Constantia"/>
                <w:sz w:val="20"/>
                <w:szCs w:val="20"/>
              </w:rPr>
              <w:t>Time</w:t>
            </w:r>
          </w:p>
        </w:tc>
        <w:tc>
          <w:tcPr>
            <w:tcW w:w="5141" w:type="dxa"/>
            <w:tcBorders>
              <w:top w:val="single" w:sz="4" w:space="0" w:color="000000"/>
              <w:left w:val="single" w:sz="4" w:space="0" w:color="000000"/>
              <w:bottom w:val="single" w:sz="4" w:space="0" w:color="000000"/>
              <w:right w:val="single" w:sz="4" w:space="0" w:color="000000"/>
            </w:tcBorders>
            <w:shd w:val="clear" w:color="auto" w:fill="44546A" w:themeFill="text2"/>
          </w:tcPr>
          <w:p w14:paraId="3265952F" w14:textId="77777777" w:rsidR="004B1DC7" w:rsidRPr="000151BA" w:rsidRDefault="004B1DC7">
            <w:pPr>
              <w:rPr>
                <w:bCs/>
                <w:iCs/>
                <w:sz w:val="20"/>
                <w:szCs w:val="20"/>
              </w:rPr>
            </w:pPr>
            <w:r w:rsidRPr="000151BA">
              <w:rPr>
                <w:rFonts w:eastAsia="Constantia"/>
                <w:sz w:val="20"/>
                <w:szCs w:val="20"/>
              </w:rPr>
              <w:t>Event</w:t>
            </w:r>
          </w:p>
        </w:tc>
        <w:tc>
          <w:tcPr>
            <w:tcW w:w="1448" w:type="dxa"/>
            <w:tcBorders>
              <w:top w:val="single" w:sz="4" w:space="0" w:color="000000"/>
              <w:left w:val="single" w:sz="4" w:space="0" w:color="000000"/>
              <w:bottom w:val="single" w:sz="4" w:space="0" w:color="000000"/>
              <w:right w:val="single" w:sz="4" w:space="0" w:color="000000"/>
            </w:tcBorders>
            <w:shd w:val="clear" w:color="auto" w:fill="44546A" w:themeFill="text2"/>
          </w:tcPr>
          <w:p w14:paraId="7E18F31A" w14:textId="77777777" w:rsidR="004B1DC7" w:rsidRPr="000151BA" w:rsidRDefault="004B1DC7">
            <w:pPr>
              <w:rPr>
                <w:sz w:val="20"/>
                <w:szCs w:val="20"/>
              </w:rPr>
            </w:pPr>
            <w:r w:rsidRPr="000151BA">
              <w:rPr>
                <w:rFonts w:eastAsia="Constantia"/>
                <w:sz w:val="20"/>
                <w:szCs w:val="20"/>
              </w:rPr>
              <w:t>Location</w:t>
            </w:r>
          </w:p>
        </w:tc>
      </w:tr>
      <w:tr w:rsidR="004B1DC7" w:rsidRPr="003E5DEC" w14:paraId="70F2FD65" w14:textId="77777777">
        <w:trPr>
          <w:trHeight w:val="237"/>
        </w:trPr>
        <w:tc>
          <w:tcPr>
            <w:tcW w:w="18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D64211F" w14:textId="77777777" w:rsidR="004B1DC7" w:rsidRPr="000151BA" w:rsidRDefault="004B1DC7" w:rsidP="001A78AF">
            <w:pPr>
              <w:rPr>
                <w:sz w:val="20"/>
                <w:szCs w:val="20"/>
              </w:rPr>
            </w:pPr>
            <w:r w:rsidRPr="000151BA">
              <w:rPr>
                <w:sz w:val="20"/>
                <w:szCs w:val="20"/>
              </w:rPr>
              <w:t>Jan 30</w:t>
            </w:r>
            <w:r w:rsidRPr="000151BA">
              <w:rPr>
                <w:sz w:val="20"/>
                <w:szCs w:val="20"/>
                <w:vertAlign w:val="superscript"/>
              </w:rPr>
              <w:t>th</w:t>
            </w:r>
            <w:r w:rsidRPr="000151BA">
              <w:rPr>
                <w:sz w:val="20"/>
                <w:szCs w:val="20"/>
              </w:rPr>
              <w:t xml:space="preserve"> 9pm</w:t>
            </w:r>
          </w:p>
        </w:tc>
        <w:tc>
          <w:tcPr>
            <w:tcW w:w="51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576625" w14:textId="77777777" w:rsidR="004B1DC7" w:rsidRPr="000151BA" w:rsidRDefault="004B1DC7" w:rsidP="001A78AF">
            <w:pPr>
              <w:rPr>
                <w:sz w:val="20"/>
                <w:szCs w:val="20"/>
              </w:rPr>
            </w:pPr>
            <w:r w:rsidRPr="000151BA">
              <w:rPr>
                <w:sz w:val="20"/>
                <w:szCs w:val="20"/>
              </w:rPr>
              <w:t xml:space="preserve"> Teleconference with Jane Chandler and Kirsty Harris</w:t>
            </w:r>
          </w:p>
        </w:tc>
        <w:tc>
          <w:tcPr>
            <w:tcW w:w="14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F68903" w14:textId="77777777" w:rsidR="004B1DC7" w:rsidRPr="000151BA" w:rsidRDefault="004B1DC7" w:rsidP="000B5B50">
            <w:pPr>
              <w:rPr>
                <w:sz w:val="20"/>
                <w:szCs w:val="20"/>
              </w:rPr>
            </w:pPr>
            <w:r w:rsidRPr="000151BA">
              <w:rPr>
                <w:sz w:val="20"/>
                <w:szCs w:val="20"/>
              </w:rPr>
              <w:t xml:space="preserve"> UK</w:t>
            </w:r>
          </w:p>
        </w:tc>
      </w:tr>
      <w:tr w:rsidR="004B1DC7" w:rsidRPr="003E5DEC" w14:paraId="0F96310D" w14:textId="77777777">
        <w:trPr>
          <w:trHeight w:val="332"/>
        </w:trPr>
        <w:tc>
          <w:tcPr>
            <w:tcW w:w="18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4F00C92" w14:textId="77777777" w:rsidR="004B1DC7" w:rsidRPr="000151BA" w:rsidRDefault="004B1DC7" w:rsidP="001A78AF">
            <w:pPr>
              <w:rPr>
                <w:sz w:val="20"/>
                <w:szCs w:val="20"/>
              </w:rPr>
            </w:pPr>
            <w:r w:rsidRPr="000151BA">
              <w:rPr>
                <w:sz w:val="20"/>
                <w:szCs w:val="20"/>
              </w:rPr>
              <w:t>Feb 1</w:t>
            </w:r>
            <w:r w:rsidRPr="000151BA">
              <w:rPr>
                <w:sz w:val="20"/>
                <w:szCs w:val="20"/>
                <w:vertAlign w:val="superscript"/>
              </w:rPr>
              <w:t>st</w:t>
            </w:r>
            <w:r w:rsidRPr="000151BA">
              <w:rPr>
                <w:sz w:val="20"/>
                <w:szCs w:val="20"/>
              </w:rPr>
              <w:t xml:space="preserve"> 11am</w:t>
            </w:r>
          </w:p>
        </w:tc>
        <w:tc>
          <w:tcPr>
            <w:tcW w:w="51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1F00B2" w14:textId="77777777" w:rsidR="004B1DC7" w:rsidRPr="000151BA" w:rsidRDefault="004B1DC7" w:rsidP="001A78AF">
            <w:pPr>
              <w:rPr>
                <w:sz w:val="20"/>
                <w:szCs w:val="20"/>
              </w:rPr>
            </w:pPr>
            <w:r w:rsidRPr="000151BA">
              <w:rPr>
                <w:sz w:val="20"/>
                <w:szCs w:val="20"/>
              </w:rPr>
              <w:t xml:space="preserve"> Teleconference with Gillian Brown</w:t>
            </w:r>
          </w:p>
        </w:tc>
        <w:tc>
          <w:tcPr>
            <w:tcW w:w="14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6AADB0" w14:textId="77777777" w:rsidR="004B1DC7" w:rsidRPr="000151BA" w:rsidRDefault="004B1DC7" w:rsidP="000B5B50">
            <w:pPr>
              <w:rPr>
                <w:sz w:val="20"/>
                <w:szCs w:val="20"/>
              </w:rPr>
            </w:pPr>
            <w:r w:rsidRPr="000151BA">
              <w:rPr>
                <w:sz w:val="20"/>
                <w:szCs w:val="20"/>
              </w:rPr>
              <w:t xml:space="preserve"> UK</w:t>
            </w:r>
          </w:p>
        </w:tc>
      </w:tr>
      <w:tr w:rsidR="004B1DC7" w:rsidRPr="003E5DEC" w14:paraId="159B953D" w14:textId="77777777">
        <w:trPr>
          <w:trHeight w:val="237"/>
        </w:trPr>
        <w:tc>
          <w:tcPr>
            <w:tcW w:w="1866" w:type="dxa"/>
            <w:tcBorders>
              <w:top w:val="single" w:sz="4" w:space="0" w:color="000000"/>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FE479B8" w14:textId="77777777" w:rsidR="004B1DC7" w:rsidRPr="000151BA" w:rsidRDefault="004B1DC7" w:rsidP="001A78AF">
            <w:pPr>
              <w:rPr>
                <w:sz w:val="20"/>
                <w:szCs w:val="20"/>
              </w:rPr>
            </w:pPr>
            <w:r w:rsidRPr="000151BA">
              <w:rPr>
                <w:sz w:val="20"/>
                <w:szCs w:val="20"/>
              </w:rPr>
              <w:t>Feb 2</w:t>
            </w:r>
            <w:r w:rsidRPr="000151BA">
              <w:rPr>
                <w:sz w:val="20"/>
                <w:szCs w:val="20"/>
                <w:vertAlign w:val="superscript"/>
              </w:rPr>
              <w:t>nd</w:t>
            </w:r>
            <w:r w:rsidRPr="000151BA">
              <w:rPr>
                <w:sz w:val="20"/>
                <w:szCs w:val="20"/>
              </w:rPr>
              <w:t xml:space="preserve"> 10am</w:t>
            </w:r>
          </w:p>
        </w:tc>
        <w:tc>
          <w:tcPr>
            <w:tcW w:w="5141" w:type="dxa"/>
            <w:tcBorders>
              <w:top w:val="single" w:sz="4" w:space="0" w:color="000000"/>
              <w:left w:val="single" w:sz="8" w:space="0" w:color="auto"/>
              <w:bottom w:val="single" w:sz="8" w:space="0" w:color="auto"/>
              <w:right w:val="single" w:sz="8" w:space="0" w:color="auto"/>
            </w:tcBorders>
            <w:shd w:val="clear" w:color="auto" w:fill="FFFFFF" w:themeFill="background1"/>
          </w:tcPr>
          <w:p w14:paraId="4B1E51F3" w14:textId="77777777" w:rsidR="004B1DC7" w:rsidRPr="000151BA" w:rsidRDefault="004B1DC7" w:rsidP="001A78AF">
            <w:pPr>
              <w:rPr>
                <w:sz w:val="20"/>
                <w:szCs w:val="20"/>
              </w:rPr>
            </w:pPr>
            <w:r w:rsidRPr="000151BA">
              <w:rPr>
                <w:sz w:val="20"/>
                <w:szCs w:val="20"/>
              </w:rPr>
              <w:t xml:space="preserve"> Teleconference with Jim Redden and Mona Shrestha</w:t>
            </w:r>
          </w:p>
        </w:tc>
        <w:tc>
          <w:tcPr>
            <w:tcW w:w="1448" w:type="dxa"/>
            <w:tcBorders>
              <w:top w:val="single" w:sz="4" w:space="0" w:color="000000"/>
              <w:left w:val="single" w:sz="8" w:space="0" w:color="auto"/>
              <w:bottom w:val="single" w:sz="8" w:space="0" w:color="auto"/>
              <w:right w:val="single" w:sz="8" w:space="0" w:color="auto"/>
            </w:tcBorders>
            <w:shd w:val="clear" w:color="auto" w:fill="FFFFFF" w:themeFill="background1"/>
          </w:tcPr>
          <w:p w14:paraId="653AA367" w14:textId="77777777" w:rsidR="004B1DC7" w:rsidRPr="000151BA" w:rsidRDefault="004B1DC7" w:rsidP="000B5B50">
            <w:pPr>
              <w:rPr>
                <w:sz w:val="20"/>
                <w:szCs w:val="20"/>
              </w:rPr>
            </w:pPr>
            <w:r w:rsidRPr="000151BA">
              <w:rPr>
                <w:sz w:val="20"/>
                <w:szCs w:val="20"/>
              </w:rPr>
              <w:t xml:space="preserve"> UK</w:t>
            </w:r>
          </w:p>
        </w:tc>
      </w:tr>
      <w:tr w:rsidR="004B1DC7" w:rsidRPr="003E5DEC" w14:paraId="284805AA" w14:textId="77777777">
        <w:trPr>
          <w:trHeight w:val="367"/>
        </w:trPr>
        <w:tc>
          <w:tcPr>
            <w:tcW w:w="7007" w:type="dxa"/>
            <w:gridSpan w:val="2"/>
            <w:tcBorders>
              <w:top w:val="nil"/>
              <w:left w:val="single" w:sz="8" w:space="0" w:color="auto"/>
              <w:bottom w:val="single" w:sz="8" w:space="0" w:color="auto"/>
              <w:right w:val="single" w:sz="8" w:space="0" w:color="auto"/>
            </w:tcBorders>
            <w:shd w:val="clear" w:color="auto" w:fill="44546A" w:themeFill="text2"/>
            <w:tcMar>
              <w:top w:w="0" w:type="dxa"/>
              <w:left w:w="108" w:type="dxa"/>
              <w:bottom w:w="0" w:type="dxa"/>
              <w:right w:w="108" w:type="dxa"/>
            </w:tcMar>
          </w:tcPr>
          <w:p w14:paraId="0CB91171" w14:textId="77777777" w:rsidR="004B1DC7" w:rsidRPr="000151BA" w:rsidRDefault="004B1DC7" w:rsidP="001A78AF">
            <w:pPr>
              <w:rPr>
                <w:bCs/>
                <w:i/>
                <w:iCs/>
                <w:color w:val="C00000"/>
                <w:sz w:val="20"/>
                <w:szCs w:val="20"/>
              </w:rPr>
            </w:pPr>
            <w:r w:rsidRPr="000151BA">
              <w:rPr>
                <w:sz w:val="20"/>
                <w:szCs w:val="20"/>
              </w:rPr>
              <w:t>Meetings in Washington</w:t>
            </w:r>
          </w:p>
        </w:tc>
        <w:tc>
          <w:tcPr>
            <w:tcW w:w="1448" w:type="dxa"/>
            <w:tcBorders>
              <w:top w:val="nil"/>
              <w:left w:val="single" w:sz="8" w:space="0" w:color="auto"/>
              <w:bottom w:val="single" w:sz="8" w:space="0" w:color="auto"/>
              <w:right w:val="single" w:sz="8" w:space="0" w:color="auto"/>
            </w:tcBorders>
            <w:shd w:val="clear" w:color="auto" w:fill="44546A" w:themeFill="text2"/>
          </w:tcPr>
          <w:p w14:paraId="32DECC15" w14:textId="77777777" w:rsidR="004B1DC7" w:rsidRPr="000151BA" w:rsidRDefault="004B1DC7" w:rsidP="001A78AF">
            <w:pPr>
              <w:rPr>
                <w:sz w:val="20"/>
                <w:szCs w:val="20"/>
              </w:rPr>
            </w:pPr>
          </w:p>
        </w:tc>
      </w:tr>
      <w:tr w:rsidR="004B1DC7" w:rsidRPr="003E5DEC" w14:paraId="79345A16" w14:textId="77777777">
        <w:trPr>
          <w:trHeight w:val="237"/>
        </w:trPr>
        <w:tc>
          <w:tcPr>
            <w:tcW w:w="7007" w:type="dxa"/>
            <w:gridSpan w:val="2"/>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6E0E21E6" w14:textId="77777777" w:rsidR="004B1DC7" w:rsidRPr="000151BA" w:rsidRDefault="004B1DC7" w:rsidP="001A78AF">
            <w:pPr>
              <w:rPr>
                <w:sz w:val="20"/>
                <w:szCs w:val="20"/>
              </w:rPr>
            </w:pPr>
            <w:r w:rsidRPr="000151BA">
              <w:rPr>
                <w:sz w:val="20"/>
                <w:szCs w:val="20"/>
              </w:rPr>
              <w:t>February 5, 2018</w:t>
            </w:r>
          </w:p>
        </w:tc>
        <w:tc>
          <w:tcPr>
            <w:tcW w:w="1448" w:type="dxa"/>
            <w:tcBorders>
              <w:top w:val="nil"/>
              <w:left w:val="single" w:sz="8" w:space="0" w:color="auto"/>
              <w:bottom w:val="single" w:sz="8" w:space="0" w:color="auto"/>
              <w:right w:val="single" w:sz="8" w:space="0" w:color="auto"/>
            </w:tcBorders>
            <w:shd w:val="clear" w:color="auto" w:fill="D9E2F3" w:themeFill="accent1" w:themeFillTint="33"/>
          </w:tcPr>
          <w:p w14:paraId="2F3757E9" w14:textId="77777777" w:rsidR="004B1DC7" w:rsidRPr="000151BA" w:rsidRDefault="004B1DC7" w:rsidP="001A78AF">
            <w:pPr>
              <w:rPr>
                <w:sz w:val="20"/>
                <w:szCs w:val="20"/>
              </w:rPr>
            </w:pPr>
          </w:p>
        </w:tc>
      </w:tr>
      <w:tr w:rsidR="004B1DC7" w:rsidRPr="003E5DEC" w14:paraId="73516825" w14:textId="77777777">
        <w:trPr>
          <w:trHeight w:val="237"/>
        </w:trPr>
        <w:tc>
          <w:tcPr>
            <w:tcW w:w="18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70F307" w14:textId="77777777" w:rsidR="004B1DC7" w:rsidRPr="000151BA" w:rsidRDefault="004B1DC7" w:rsidP="001A78AF">
            <w:pPr>
              <w:rPr>
                <w:sz w:val="20"/>
                <w:szCs w:val="20"/>
              </w:rPr>
            </w:pPr>
            <w:r w:rsidRPr="000151BA">
              <w:rPr>
                <w:sz w:val="20"/>
                <w:szCs w:val="20"/>
              </w:rPr>
              <w:t>09:30 – 10:30</w:t>
            </w:r>
          </w:p>
        </w:tc>
        <w:tc>
          <w:tcPr>
            <w:tcW w:w="5141" w:type="dxa"/>
            <w:tcBorders>
              <w:top w:val="nil"/>
              <w:left w:val="nil"/>
              <w:bottom w:val="single" w:sz="8" w:space="0" w:color="auto"/>
              <w:right w:val="single" w:sz="8" w:space="0" w:color="auto"/>
            </w:tcBorders>
            <w:tcMar>
              <w:top w:w="0" w:type="dxa"/>
              <w:left w:w="108" w:type="dxa"/>
              <w:bottom w:w="0" w:type="dxa"/>
              <w:right w:w="108" w:type="dxa"/>
            </w:tcMar>
          </w:tcPr>
          <w:p w14:paraId="50284941" w14:textId="589B09E1" w:rsidR="004B1DC7" w:rsidRPr="000151BA" w:rsidRDefault="00C91F73" w:rsidP="001A78AF">
            <w:pPr>
              <w:rPr>
                <w:sz w:val="20"/>
                <w:szCs w:val="20"/>
              </w:rPr>
            </w:pPr>
            <w:r>
              <w:rPr>
                <w:sz w:val="20"/>
                <w:szCs w:val="20"/>
              </w:rPr>
              <w:t>Robert</w:t>
            </w:r>
            <w:r w:rsidR="004B1DC7" w:rsidRPr="000151BA">
              <w:rPr>
                <w:sz w:val="20"/>
                <w:szCs w:val="20"/>
              </w:rPr>
              <w:t xml:space="preserve"> Saum, Director of Regional Integration and Partnerships</w:t>
            </w:r>
          </w:p>
        </w:tc>
        <w:tc>
          <w:tcPr>
            <w:tcW w:w="1448" w:type="dxa"/>
            <w:tcBorders>
              <w:top w:val="nil"/>
              <w:left w:val="nil"/>
              <w:bottom w:val="single" w:sz="8" w:space="0" w:color="auto"/>
              <w:right w:val="single" w:sz="8" w:space="0" w:color="auto"/>
            </w:tcBorders>
          </w:tcPr>
          <w:p w14:paraId="348F2A2A" w14:textId="77777777" w:rsidR="004B1DC7" w:rsidRPr="000151BA" w:rsidRDefault="004B1DC7" w:rsidP="000B5B50">
            <w:pPr>
              <w:rPr>
                <w:sz w:val="20"/>
                <w:szCs w:val="20"/>
              </w:rPr>
            </w:pPr>
            <w:r w:rsidRPr="000151BA">
              <w:rPr>
                <w:sz w:val="20"/>
                <w:szCs w:val="20"/>
              </w:rPr>
              <w:t>World Bank Office</w:t>
            </w:r>
          </w:p>
        </w:tc>
      </w:tr>
      <w:tr w:rsidR="004B1DC7" w:rsidRPr="003E5DEC" w14:paraId="2AB05047" w14:textId="77777777">
        <w:trPr>
          <w:trHeight w:val="248"/>
        </w:trPr>
        <w:tc>
          <w:tcPr>
            <w:tcW w:w="18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1539F2" w14:textId="77777777" w:rsidR="004B1DC7" w:rsidRPr="000151BA" w:rsidRDefault="004B1DC7" w:rsidP="001A78AF">
            <w:pPr>
              <w:rPr>
                <w:sz w:val="20"/>
                <w:szCs w:val="20"/>
              </w:rPr>
            </w:pPr>
            <w:r w:rsidRPr="000151BA">
              <w:rPr>
                <w:sz w:val="20"/>
                <w:szCs w:val="20"/>
              </w:rPr>
              <w:t>10:30 – 12:00</w:t>
            </w:r>
          </w:p>
        </w:tc>
        <w:tc>
          <w:tcPr>
            <w:tcW w:w="5141" w:type="dxa"/>
            <w:tcBorders>
              <w:top w:val="nil"/>
              <w:left w:val="nil"/>
              <w:bottom w:val="single" w:sz="8" w:space="0" w:color="auto"/>
              <w:right w:val="single" w:sz="8" w:space="0" w:color="auto"/>
            </w:tcBorders>
            <w:tcMar>
              <w:top w:w="0" w:type="dxa"/>
              <w:left w:w="108" w:type="dxa"/>
              <w:bottom w:w="0" w:type="dxa"/>
              <w:right w:w="108" w:type="dxa"/>
            </w:tcMar>
          </w:tcPr>
          <w:p w14:paraId="6A5CBEF8" w14:textId="77777777" w:rsidR="004B1DC7" w:rsidRPr="000151BA" w:rsidRDefault="004B1DC7" w:rsidP="001A78AF">
            <w:pPr>
              <w:rPr>
                <w:sz w:val="20"/>
                <w:szCs w:val="20"/>
              </w:rPr>
            </w:pPr>
            <w:r w:rsidRPr="000151BA">
              <w:rPr>
                <w:sz w:val="20"/>
                <w:szCs w:val="20"/>
              </w:rPr>
              <w:t>PFSA Secretariat (Debbie, Lin, Irina)</w:t>
            </w:r>
          </w:p>
        </w:tc>
        <w:tc>
          <w:tcPr>
            <w:tcW w:w="1448" w:type="dxa"/>
            <w:tcBorders>
              <w:top w:val="nil"/>
              <w:left w:val="nil"/>
              <w:bottom w:val="single" w:sz="8" w:space="0" w:color="auto"/>
              <w:right w:val="single" w:sz="8" w:space="0" w:color="auto"/>
            </w:tcBorders>
          </w:tcPr>
          <w:p w14:paraId="031729EE" w14:textId="77777777" w:rsidR="004B1DC7" w:rsidRPr="000151BA" w:rsidRDefault="004B1DC7" w:rsidP="000B5B50">
            <w:pPr>
              <w:rPr>
                <w:sz w:val="20"/>
                <w:szCs w:val="20"/>
              </w:rPr>
            </w:pPr>
            <w:r w:rsidRPr="000151BA">
              <w:rPr>
                <w:sz w:val="20"/>
                <w:szCs w:val="20"/>
              </w:rPr>
              <w:t>World Bank Office</w:t>
            </w:r>
          </w:p>
        </w:tc>
      </w:tr>
      <w:tr w:rsidR="004B1DC7" w:rsidRPr="003E5DEC" w14:paraId="157040C1" w14:textId="77777777">
        <w:trPr>
          <w:trHeight w:val="237"/>
        </w:trPr>
        <w:tc>
          <w:tcPr>
            <w:tcW w:w="18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046BD7" w14:textId="77777777" w:rsidR="004B1DC7" w:rsidRPr="000151BA" w:rsidRDefault="004B1DC7" w:rsidP="001A78AF">
            <w:pPr>
              <w:rPr>
                <w:sz w:val="20"/>
                <w:szCs w:val="20"/>
              </w:rPr>
            </w:pPr>
            <w:r w:rsidRPr="000151BA">
              <w:rPr>
                <w:sz w:val="20"/>
                <w:szCs w:val="20"/>
              </w:rPr>
              <w:t>12:00 – 13:30</w:t>
            </w:r>
          </w:p>
        </w:tc>
        <w:tc>
          <w:tcPr>
            <w:tcW w:w="5141" w:type="dxa"/>
            <w:tcBorders>
              <w:top w:val="nil"/>
              <w:left w:val="nil"/>
              <w:bottom w:val="single" w:sz="8" w:space="0" w:color="auto"/>
              <w:right w:val="single" w:sz="8" w:space="0" w:color="auto"/>
            </w:tcBorders>
            <w:tcMar>
              <w:top w:w="0" w:type="dxa"/>
              <w:left w:w="108" w:type="dxa"/>
              <w:bottom w:w="0" w:type="dxa"/>
              <w:right w:w="108" w:type="dxa"/>
            </w:tcMar>
          </w:tcPr>
          <w:p w14:paraId="49AA02DA" w14:textId="77777777" w:rsidR="004B1DC7" w:rsidRPr="000151BA" w:rsidRDefault="004B1DC7" w:rsidP="001A78AF">
            <w:pPr>
              <w:rPr>
                <w:sz w:val="20"/>
                <w:szCs w:val="20"/>
              </w:rPr>
            </w:pPr>
            <w:r w:rsidRPr="000151BA">
              <w:rPr>
                <w:sz w:val="20"/>
                <w:szCs w:val="20"/>
              </w:rPr>
              <w:t>Lunch</w:t>
            </w:r>
          </w:p>
        </w:tc>
        <w:tc>
          <w:tcPr>
            <w:tcW w:w="1448" w:type="dxa"/>
            <w:tcBorders>
              <w:top w:val="nil"/>
              <w:left w:val="nil"/>
              <w:bottom w:val="single" w:sz="8" w:space="0" w:color="auto"/>
              <w:right w:val="single" w:sz="8" w:space="0" w:color="auto"/>
            </w:tcBorders>
          </w:tcPr>
          <w:p w14:paraId="1A3C46AE" w14:textId="77777777" w:rsidR="004B1DC7" w:rsidRPr="000151BA" w:rsidRDefault="004B1DC7" w:rsidP="000B5B50">
            <w:pPr>
              <w:rPr>
                <w:sz w:val="20"/>
                <w:szCs w:val="20"/>
              </w:rPr>
            </w:pPr>
            <w:r w:rsidRPr="000151BA">
              <w:rPr>
                <w:sz w:val="20"/>
                <w:szCs w:val="20"/>
              </w:rPr>
              <w:t>World Bank Office</w:t>
            </w:r>
          </w:p>
        </w:tc>
      </w:tr>
      <w:tr w:rsidR="004B1DC7" w:rsidRPr="003E5DEC" w14:paraId="5F4994CB" w14:textId="77777777">
        <w:trPr>
          <w:trHeight w:val="248"/>
        </w:trPr>
        <w:tc>
          <w:tcPr>
            <w:tcW w:w="18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70E0CB" w14:textId="77777777" w:rsidR="004B1DC7" w:rsidRPr="000151BA" w:rsidRDefault="004B1DC7" w:rsidP="001A78AF">
            <w:pPr>
              <w:rPr>
                <w:sz w:val="20"/>
                <w:szCs w:val="20"/>
              </w:rPr>
            </w:pPr>
            <w:r w:rsidRPr="000151BA">
              <w:rPr>
                <w:sz w:val="20"/>
                <w:szCs w:val="20"/>
              </w:rPr>
              <w:t>13:30 – 14:30</w:t>
            </w:r>
          </w:p>
        </w:tc>
        <w:tc>
          <w:tcPr>
            <w:tcW w:w="5141" w:type="dxa"/>
            <w:tcBorders>
              <w:top w:val="nil"/>
              <w:left w:val="nil"/>
              <w:bottom w:val="single" w:sz="8" w:space="0" w:color="auto"/>
              <w:right w:val="single" w:sz="8" w:space="0" w:color="auto"/>
            </w:tcBorders>
            <w:tcMar>
              <w:top w:w="0" w:type="dxa"/>
              <w:left w:w="108" w:type="dxa"/>
              <w:bottom w:w="0" w:type="dxa"/>
              <w:right w:w="108" w:type="dxa"/>
            </w:tcMar>
          </w:tcPr>
          <w:p w14:paraId="1B6C7376" w14:textId="77777777" w:rsidR="004B1DC7" w:rsidRPr="000151BA" w:rsidRDefault="004B1DC7" w:rsidP="001A78AF">
            <w:pPr>
              <w:rPr>
                <w:sz w:val="20"/>
                <w:szCs w:val="20"/>
              </w:rPr>
            </w:pPr>
            <w:r w:rsidRPr="000151BA">
              <w:rPr>
                <w:sz w:val="20"/>
                <w:szCs w:val="20"/>
              </w:rPr>
              <w:t>Nicolette Bowyer, former PFSA Program Manager</w:t>
            </w:r>
          </w:p>
        </w:tc>
        <w:tc>
          <w:tcPr>
            <w:tcW w:w="1448" w:type="dxa"/>
            <w:tcBorders>
              <w:top w:val="nil"/>
              <w:left w:val="nil"/>
              <w:bottom w:val="single" w:sz="8" w:space="0" w:color="auto"/>
              <w:right w:val="single" w:sz="8" w:space="0" w:color="auto"/>
            </w:tcBorders>
          </w:tcPr>
          <w:p w14:paraId="2A9633AF" w14:textId="77777777" w:rsidR="004B1DC7" w:rsidRPr="000151BA" w:rsidRDefault="004B1DC7" w:rsidP="000B5B50">
            <w:pPr>
              <w:rPr>
                <w:sz w:val="20"/>
                <w:szCs w:val="20"/>
              </w:rPr>
            </w:pPr>
            <w:r w:rsidRPr="000151BA">
              <w:rPr>
                <w:sz w:val="20"/>
                <w:szCs w:val="20"/>
              </w:rPr>
              <w:t>World Bank Office</w:t>
            </w:r>
          </w:p>
        </w:tc>
      </w:tr>
      <w:tr w:rsidR="004B1DC7" w:rsidRPr="003E5DEC" w14:paraId="09ACECA4" w14:textId="77777777">
        <w:trPr>
          <w:trHeight w:val="463"/>
        </w:trPr>
        <w:tc>
          <w:tcPr>
            <w:tcW w:w="18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E0FE2" w14:textId="77777777" w:rsidR="004B1DC7" w:rsidRPr="000151BA" w:rsidRDefault="004B1DC7" w:rsidP="001A78AF">
            <w:pPr>
              <w:rPr>
                <w:sz w:val="20"/>
                <w:szCs w:val="20"/>
              </w:rPr>
            </w:pPr>
            <w:r w:rsidRPr="000151BA">
              <w:rPr>
                <w:sz w:val="20"/>
                <w:szCs w:val="20"/>
              </w:rPr>
              <w:t>14:30 – 15:30</w:t>
            </w:r>
          </w:p>
        </w:tc>
        <w:tc>
          <w:tcPr>
            <w:tcW w:w="5141" w:type="dxa"/>
            <w:tcBorders>
              <w:top w:val="nil"/>
              <w:left w:val="nil"/>
              <w:bottom w:val="single" w:sz="8" w:space="0" w:color="auto"/>
              <w:right w:val="single" w:sz="8" w:space="0" w:color="auto"/>
            </w:tcBorders>
            <w:tcMar>
              <w:top w:w="0" w:type="dxa"/>
              <w:left w:w="108" w:type="dxa"/>
              <w:bottom w:w="0" w:type="dxa"/>
              <w:right w:w="108" w:type="dxa"/>
            </w:tcMar>
          </w:tcPr>
          <w:p w14:paraId="7614064C" w14:textId="77777777" w:rsidR="004B1DC7" w:rsidRPr="000151BA" w:rsidRDefault="004B1DC7" w:rsidP="001A78AF">
            <w:pPr>
              <w:rPr>
                <w:sz w:val="20"/>
                <w:szCs w:val="20"/>
              </w:rPr>
            </w:pPr>
            <w:r w:rsidRPr="000151BA">
              <w:rPr>
                <w:sz w:val="20"/>
                <w:szCs w:val="20"/>
              </w:rPr>
              <w:t>Matias Dappe- TTL for IFG Trade, Logistics, Competitiveness in the Transport Sector</w:t>
            </w:r>
          </w:p>
        </w:tc>
        <w:tc>
          <w:tcPr>
            <w:tcW w:w="1448" w:type="dxa"/>
            <w:tcBorders>
              <w:top w:val="nil"/>
              <w:left w:val="nil"/>
              <w:bottom w:val="single" w:sz="8" w:space="0" w:color="auto"/>
              <w:right w:val="single" w:sz="8" w:space="0" w:color="auto"/>
            </w:tcBorders>
          </w:tcPr>
          <w:p w14:paraId="79429076" w14:textId="77777777" w:rsidR="004B1DC7" w:rsidRPr="000151BA" w:rsidRDefault="004B1DC7" w:rsidP="000B5B50">
            <w:pPr>
              <w:rPr>
                <w:sz w:val="20"/>
                <w:szCs w:val="20"/>
              </w:rPr>
            </w:pPr>
            <w:r w:rsidRPr="000151BA">
              <w:rPr>
                <w:sz w:val="20"/>
                <w:szCs w:val="20"/>
              </w:rPr>
              <w:t>World Bank Office</w:t>
            </w:r>
          </w:p>
        </w:tc>
      </w:tr>
      <w:tr w:rsidR="004B1DC7" w:rsidRPr="003E5DEC" w14:paraId="612E25D2" w14:textId="77777777">
        <w:trPr>
          <w:trHeight w:val="905"/>
        </w:trPr>
        <w:tc>
          <w:tcPr>
            <w:tcW w:w="18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FF071A" w14:textId="77777777" w:rsidR="004B1DC7" w:rsidRPr="000151BA" w:rsidRDefault="004B1DC7" w:rsidP="001A78AF">
            <w:pPr>
              <w:rPr>
                <w:sz w:val="20"/>
                <w:szCs w:val="20"/>
              </w:rPr>
            </w:pPr>
            <w:r w:rsidRPr="000151BA">
              <w:rPr>
                <w:sz w:val="20"/>
                <w:szCs w:val="20"/>
              </w:rPr>
              <w:t>15:30 – 17:00</w:t>
            </w:r>
          </w:p>
        </w:tc>
        <w:tc>
          <w:tcPr>
            <w:tcW w:w="5141" w:type="dxa"/>
            <w:tcBorders>
              <w:top w:val="nil"/>
              <w:left w:val="nil"/>
              <w:bottom w:val="single" w:sz="8" w:space="0" w:color="auto"/>
              <w:right w:val="single" w:sz="8" w:space="0" w:color="auto"/>
            </w:tcBorders>
            <w:tcMar>
              <w:top w:w="0" w:type="dxa"/>
              <w:left w:w="108" w:type="dxa"/>
              <w:bottom w:w="0" w:type="dxa"/>
              <w:right w:w="108" w:type="dxa"/>
            </w:tcMar>
          </w:tcPr>
          <w:p w14:paraId="57C03AC6" w14:textId="77777777" w:rsidR="004B1DC7" w:rsidRPr="000151BA" w:rsidRDefault="004B1DC7" w:rsidP="001A78AF">
            <w:pPr>
              <w:rPr>
                <w:sz w:val="20"/>
                <w:szCs w:val="20"/>
              </w:rPr>
            </w:pPr>
            <w:r w:rsidRPr="000151BA">
              <w:rPr>
                <w:sz w:val="20"/>
                <w:szCs w:val="20"/>
              </w:rPr>
              <w:t>Melissa Williams-TTL for IFG-</w:t>
            </w:r>
            <w:r w:rsidRPr="000151BA">
              <w:rPr>
                <w:color w:val="000000"/>
                <w:sz w:val="20"/>
                <w:szCs w:val="20"/>
              </w:rPr>
              <w:t xml:space="preserve"> </w:t>
            </w:r>
            <w:r w:rsidRPr="000151BA">
              <w:rPr>
                <w:sz w:val="20"/>
                <w:szCs w:val="20"/>
              </w:rPr>
              <w:t xml:space="preserve">South Asia Regional Facility for Women’s Economic Empowerment and Integration &amp; formerly TTL for SARTFP- Advancing Women’s Enterprises for Economic Impact in the farm/nonfarm value chain and regional trade </w:t>
            </w:r>
          </w:p>
        </w:tc>
        <w:tc>
          <w:tcPr>
            <w:tcW w:w="1448" w:type="dxa"/>
            <w:tcBorders>
              <w:top w:val="nil"/>
              <w:left w:val="nil"/>
              <w:bottom w:val="single" w:sz="8" w:space="0" w:color="auto"/>
              <w:right w:val="single" w:sz="8" w:space="0" w:color="auto"/>
            </w:tcBorders>
          </w:tcPr>
          <w:p w14:paraId="049B9EF7" w14:textId="77777777" w:rsidR="004B1DC7" w:rsidRPr="000151BA" w:rsidRDefault="004B1DC7" w:rsidP="000B5B50">
            <w:pPr>
              <w:rPr>
                <w:sz w:val="20"/>
                <w:szCs w:val="20"/>
              </w:rPr>
            </w:pPr>
            <w:r w:rsidRPr="000151BA">
              <w:rPr>
                <w:sz w:val="20"/>
                <w:szCs w:val="20"/>
              </w:rPr>
              <w:t>World Bank Office</w:t>
            </w:r>
          </w:p>
        </w:tc>
      </w:tr>
      <w:tr w:rsidR="004B1DC7" w:rsidRPr="003E5DEC" w14:paraId="4CDC3CF4" w14:textId="77777777">
        <w:trPr>
          <w:trHeight w:val="237"/>
        </w:trPr>
        <w:tc>
          <w:tcPr>
            <w:tcW w:w="7007" w:type="dxa"/>
            <w:gridSpan w:val="2"/>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426DDD0E" w14:textId="77777777" w:rsidR="004B1DC7" w:rsidRPr="000151BA" w:rsidRDefault="004B1DC7" w:rsidP="001A78AF">
            <w:pPr>
              <w:rPr>
                <w:sz w:val="20"/>
                <w:szCs w:val="20"/>
              </w:rPr>
            </w:pPr>
            <w:r w:rsidRPr="000151BA">
              <w:rPr>
                <w:sz w:val="20"/>
                <w:szCs w:val="20"/>
              </w:rPr>
              <w:t>February 6, 2018</w:t>
            </w:r>
          </w:p>
        </w:tc>
        <w:tc>
          <w:tcPr>
            <w:tcW w:w="1448" w:type="dxa"/>
            <w:tcBorders>
              <w:top w:val="nil"/>
              <w:left w:val="single" w:sz="8" w:space="0" w:color="auto"/>
              <w:bottom w:val="single" w:sz="8" w:space="0" w:color="auto"/>
              <w:right w:val="single" w:sz="8" w:space="0" w:color="auto"/>
            </w:tcBorders>
            <w:shd w:val="clear" w:color="auto" w:fill="D9E2F3" w:themeFill="accent1" w:themeFillTint="33"/>
          </w:tcPr>
          <w:p w14:paraId="0BC62DEB" w14:textId="77777777" w:rsidR="004B1DC7" w:rsidRPr="000151BA" w:rsidRDefault="004B1DC7" w:rsidP="001A78AF">
            <w:pPr>
              <w:rPr>
                <w:sz w:val="20"/>
                <w:szCs w:val="20"/>
              </w:rPr>
            </w:pPr>
          </w:p>
        </w:tc>
      </w:tr>
      <w:tr w:rsidR="004B1DC7" w:rsidRPr="003E5DEC" w14:paraId="5D469BE9" w14:textId="77777777">
        <w:trPr>
          <w:trHeight w:val="463"/>
        </w:trPr>
        <w:tc>
          <w:tcPr>
            <w:tcW w:w="18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1B3967" w14:textId="77777777" w:rsidR="004B1DC7" w:rsidRPr="000151BA" w:rsidRDefault="004B1DC7" w:rsidP="001A78AF">
            <w:pPr>
              <w:rPr>
                <w:sz w:val="20"/>
                <w:szCs w:val="20"/>
              </w:rPr>
            </w:pPr>
            <w:r w:rsidRPr="000151BA">
              <w:rPr>
                <w:sz w:val="20"/>
                <w:szCs w:val="20"/>
              </w:rPr>
              <w:t>08:00 – 09:30</w:t>
            </w:r>
          </w:p>
        </w:tc>
        <w:tc>
          <w:tcPr>
            <w:tcW w:w="5141" w:type="dxa"/>
            <w:tcBorders>
              <w:top w:val="nil"/>
              <w:left w:val="nil"/>
              <w:bottom w:val="single" w:sz="8" w:space="0" w:color="auto"/>
              <w:right w:val="single" w:sz="8" w:space="0" w:color="auto"/>
            </w:tcBorders>
            <w:tcMar>
              <w:top w:w="0" w:type="dxa"/>
              <w:left w:w="108" w:type="dxa"/>
              <w:bottom w:w="0" w:type="dxa"/>
              <w:right w:w="108" w:type="dxa"/>
            </w:tcMar>
          </w:tcPr>
          <w:p w14:paraId="0775F951" w14:textId="77777777" w:rsidR="004B1DC7" w:rsidRPr="000151BA" w:rsidRDefault="004B1DC7" w:rsidP="001A78AF">
            <w:pPr>
              <w:rPr>
                <w:sz w:val="20"/>
                <w:szCs w:val="20"/>
              </w:rPr>
            </w:pPr>
            <w:r w:rsidRPr="000151BA">
              <w:rPr>
                <w:sz w:val="20"/>
                <w:szCs w:val="20"/>
              </w:rPr>
              <w:t xml:space="preserve">VC with Martin Rama, Chief Economist for SAR and SARCE team </w:t>
            </w:r>
          </w:p>
        </w:tc>
        <w:tc>
          <w:tcPr>
            <w:tcW w:w="1448" w:type="dxa"/>
            <w:tcBorders>
              <w:top w:val="nil"/>
              <w:left w:val="nil"/>
              <w:bottom w:val="single" w:sz="8" w:space="0" w:color="auto"/>
              <w:right w:val="single" w:sz="8" w:space="0" w:color="auto"/>
            </w:tcBorders>
          </w:tcPr>
          <w:p w14:paraId="53EA442F" w14:textId="77777777" w:rsidR="004B1DC7" w:rsidRPr="000151BA" w:rsidRDefault="004B1DC7" w:rsidP="000B5B50">
            <w:pPr>
              <w:rPr>
                <w:sz w:val="20"/>
                <w:szCs w:val="20"/>
              </w:rPr>
            </w:pPr>
            <w:r w:rsidRPr="000151BA">
              <w:rPr>
                <w:sz w:val="20"/>
                <w:szCs w:val="20"/>
              </w:rPr>
              <w:t>World Bank Office</w:t>
            </w:r>
          </w:p>
        </w:tc>
      </w:tr>
      <w:tr w:rsidR="004B1DC7" w:rsidRPr="003E5DEC" w14:paraId="39E1D25E" w14:textId="77777777">
        <w:trPr>
          <w:trHeight w:val="689"/>
        </w:trPr>
        <w:tc>
          <w:tcPr>
            <w:tcW w:w="18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D81581" w14:textId="77777777" w:rsidR="004B1DC7" w:rsidRPr="000151BA" w:rsidRDefault="004B1DC7" w:rsidP="001A78AF">
            <w:pPr>
              <w:rPr>
                <w:sz w:val="20"/>
                <w:szCs w:val="20"/>
              </w:rPr>
            </w:pPr>
            <w:r w:rsidRPr="000151BA">
              <w:rPr>
                <w:sz w:val="20"/>
                <w:szCs w:val="20"/>
              </w:rPr>
              <w:t>10:00 – 11:00</w:t>
            </w:r>
          </w:p>
        </w:tc>
        <w:tc>
          <w:tcPr>
            <w:tcW w:w="5141" w:type="dxa"/>
            <w:tcBorders>
              <w:top w:val="nil"/>
              <w:left w:val="nil"/>
              <w:bottom w:val="single" w:sz="8" w:space="0" w:color="auto"/>
              <w:right w:val="single" w:sz="8" w:space="0" w:color="auto"/>
            </w:tcBorders>
            <w:tcMar>
              <w:top w:w="0" w:type="dxa"/>
              <w:left w:w="108" w:type="dxa"/>
              <w:bottom w:w="0" w:type="dxa"/>
              <w:right w:w="108" w:type="dxa"/>
            </w:tcMar>
          </w:tcPr>
          <w:p w14:paraId="14BDEA3B" w14:textId="77777777" w:rsidR="004B1DC7" w:rsidRPr="000151BA" w:rsidRDefault="004B1DC7" w:rsidP="001A78AF">
            <w:pPr>
              <w:rPr>
                <w:sz w:val="20"/>
                <w:szCs w:val="20"/>
              </w:rPr>
            </w:pPr>
            <w:r w:rsidRPr="000151BA">
              <w:rPr>
                <w:sz w:val="20"/>
                <w:szCs w:val="20"/>
              </w:rPr>
              <w:t xml:space="preserve">Sanjay Kathuria TTL for SARTFP- Strengthening cross-border value chains and leveraging local development linkages in the Eastern region of South Asia  </w:t>
            </w:r>
          </w:p>
        </w:tc>
        <w:tc>
          <w:tcPr>
            <w:tcW w:w="1448" w:type="dxa"/>
            <w:tcBorders>
              <w:top w:val="nil"/>
              <w:left w:val="nil"/>
              <w:bottom w:val="single" w:sz="8" w:space="0" w:color="auto"/>
              <w:right w:val="single" w:sz="8" w:space="0" w:color="auto"/>
            </w:tcBorders>
          </w:tcPr>
          <w:p w14:paraId="54CF905B" w14:textId="77777777" w:rsidR="004B1DC7" w:rsidRPr="000151BA" w:rsidRDefault="004B1DC7" w:rsidP="000B5B50">
            <w:pPr>
              <w:rPr>
                <w:sz w:val="20"/>
                <w:szCs w:val="20"/>
              </w:rPr>
            </w:pPr>
            <w:r w:rsidRPr="000151BA">
              <w:rPr>
                <w:sz w:val="20"/>
                <w:szCs w:val="20"/>
              </w:rPr>
              <w:t>World Bank Office</w:t>
            </w:r>
          </w:p>
        </w:tc>
      </w:tr>
      <w:tr w:rsidR="004B1DC7" w:rsidRPr="003E5DEC" w14:paraId="3EBA8A69" w14:textId="77777777">
        <w:trPr>
          <w:trHeight w:val="463"/>
        </w:trPr>
        <w:tc>
          <w:tcPr>
            <w:tcW w:w="18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503BCA" w14:textId="77777777" w:rsidR="004B1DC7" w:rsidRPr="000151BA" w:rsidRDefault="004B1DC7" w:rsidP="001A78AF">
            <w:pPr>
              <w:rPr>
                <w:sz w:val="20"/>
                <w:szCs w:val="20"/>
              </w:rPr>
            </w:pPr>
            <w:r w:rsidRPr="000151BA">
              <w:rPr>
                <w:sz w:val="20"/>
                <w:szCs w:val="20"/>
              </w:rPr>
              <w:t>14:00 – 15:30</w:t>
            </w:r>
          </w:p>
        </w:tc>
        <w:tc>
          <w:tcPr>
            <w:tcW w:w="5141" w:type="dxa"/>
            <w:tcBorders>
              <w:top w:val="nil"/>
              <w:left w:val="nil"/>
              <w:bottom w:val="single" w:sz="8" w:space="0" w:color="auto"/>
              <w:right w:val="single" w:sz="8" w:space="0" w:color="auto"/>
            </w:tcBorders>
            <w:tcMar>
              <w:top w:w="0" w:type="dxa"/>
              <w:left w:w="108" w:type="dxa"/>
              <w:bottom w:w="0" w:type="dxa"/>
              <w:right w:w="108" w:type="dxa"/>
            </w:tcMar>
          </w:tcPr>
          <w:p w14:paraId="4C126D7A" w14:textId="77777777" w:rsidR="004B1DC7" w:rsidRPr="000151BA" w:rsidRDefault="004B1DC7" w:rsidP="001A78AF">
            <w:pPr>
              <w:rPr>
                <w:sz w:val="20"/>
                <w:szCs w:val="20"/>
              </w:rPr>
            </w:pPr>
            <w:r w:rsidRPr="000151BA">
              <w:rPr>
                <w:sz w:val="20"/>
                <w:szCs w:val="20"/>
              </w:rPr>
              <w:t>Demetrios Papathanasiou, Practice Manager for Energy &amp; Extractives Global Practice, South Asia Region</w:t>
            </w:r>
          </w:p>
        </w:tc>
        <w:tc>
          <w:tcPr>
            <w:tcW w:w="1448" w:type="dxa"/>
            <w:tcBorders>
              <w:top w:val="nil"/>
              <w:left w:val="nil"/>
              <w:bottom w:val="single" w:sz="8" w:space="0" w:color="auto"/>
              <w:right w:val="single" w:sz="8" w:space="0" w:color="auto"/>
            </w:tcBorders>
          </w:tcPr>
          <w:p w14:paraId="79FECAE4" w14:textId="77777777" w:rsidR="004B1DC7" w:rsidRPr="000151BA" w:rsidRDefault="004B1DC7" w:rsidP="000B5B50">
            <w:pPr>
              <w:rPr>
                <w:sz w:val="20"/>
                <w:szCs w:val="20"/>
              </w:rPr>
            </w:pPr>
            <w:r w:rsidRPr="000151BA">
              <w:rPr>
                <w:sz w:val="20"/>
                <w:szCs w:val="20"/>
              </w:rPr>
              <w:t>World Bank Office</w:t>
            </w:r>
          </w:p>
        </w:tc>
      </w:tr>
      <w:tr w:rsidR="004B1DC7" w:rsidRPr="003E5DEC" w14:paraId="782945A8" w14:textId="77777777">
        <w:trPr>
          <w:trHeight w:val="237"/>
        </w:trPr>
        <w:tc>
          <w:tcPr>
            <w:tcW w:w="7007" w:type="dxa"/>
            <w:gridSpan w:val="2"/>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155CA21C" w14:textId="77777777" w:rsidR="004B1DC7" w:rsidRPr="000151BA" w:rsidRDefault="004B1DC7" w:rsidP="001A78AF">
            <w:pPr>
              <w:rPr>
                <w:sz w:val="20"/>
                <w:szCs w:val="20"/>
              </w:rPr>
            </w:pPr>
            <w:r w:rsidRPr="000151BA">
              <w:rPr>
                <w:sz w:val="20"/>
                <w:szCs w:val="20"/>
              </w:rPr>
              <w:t>February 7, 2018</w:t>
            </w:r>
          </w:p>
        </w:tc>
        <w:tc>
          <w:tcPr>
            <w:tcW w:w="1448" w:type="dxa"/>
            <w:tcBorders>
              <w:top w:val="nil"/>
              <w:left w:val="single" w:sz="8" w:space="0" w:color="auto"/>
              <w:bottom w:val="single" w:sz="8" w:space="0" w:color="auto"/>
              <w:right w:val="single" w:sz="8" w:space="0" w:color="auto"/>
            </w:tcBorders>
            <w:shd w:val="clear" w:color="auto" w:fill="D9E2F3" w:themeFill="accent1" w:themeFillTint="33"/>
          </w:tcPr>
          <w:p w14:paraId="1DC3B5FC" w14:textId="77777777" w:rsidR="004B1DC7" w:rsidRPr="000151BA" w:rsidRDefault="004B1DC7" w:rsidP="001A78AF">
            <w:pPr>
              <w:rPr>
                <w:sz w:val="20"/>
                <w:szCs w:val="20"/>
              </w:rPr>
            </w:pPr>
          </w:p>
        </w:tc>
      </w:tr>
      <w:tr w:rsidR="004B1DC7" w:rsidRPr="003E5DEC" w14:paraId="199E92E8" w14:textId="77777777">
        <w:trPr>
          <w:trHeight w:val="463"/>
        </w:trPr>
        <w:tc>
          <w:tcPr>
            <w:tcW w:w="18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623850" w14:textId="77777777" w:rsidR="004B1DC7" w:rsidRPr="000151BA" w:rsidRDefault="004B1DC7" w:rsidP="001A78AF">
            <w:pPr>
              <w:rPr>
                <w:sz w:val="20"/>
                <w:szCs w:val="20"/>
              </w:rPr>
            </w:pPr>
            <w:r w:rsidRPr="000151BA">
              <w:rPr>
                <w:sz w:val="20"/>
                <w:szCs w:val="20"/>
              </w:rPr>
              <w:t>10:30 – 12:00</w:t>
            </w:r>
          </w:p>
        </w:tc>
        <w:tc>
          <w:tcPr>
            <w:tcW w:w="5141" w:type="dxa"/>
            <w:tcBorders>
              <w:top w:val="nil"/>
              <w:left w:val="nil"/>
              <w:bottom w:val="single" w:sz="8" w:space="0" w:color="auto"/>
              <w:right w:val="single" w:sz="8" w:space="0" w:color="auto"/>
            </w:tcBorders>
            <w:tcMar>
              <w:top w:w="0" w:type="dxa"/>
              <w:left w:w="108" w:type="dxa"/>
              <w:bottom w:w="0" w:type="dxa"/>
              <w:right w:w="108" w:type="dxa"/>
            </w:tcMar>
          </w:tcPr>
          <w:p w14:paraId="6D173FAF" w14:textId="77777777" w:rsidR="004B1DC7" w:rsidRPr="000151BA" w:rsidRDefault="004B1DC7" w:rsidP="001A78AF">
            <w:pPr>
              <w:rPr>
                <w:sz w:val="20"/>
                <w:szCs w:val="20"/>
              </w:rPr>
            </w:pPr>
            <w:r w:rsidRPr="000151BA">
              <w:rPr>
                <w:sz w:val="20"/>
                <w:szCs w:val="20"/>
              </w:rPr>
              <w:t>David Warren, Practice Manager for Social Development, South Asia and team</w:t>
            </w:r>
            <w:r w:rsidRPr="000151BA">
              <w:rPr>
                <w:rStyle w:val="apple-converted-space"/>
                <w:sz w:val="20"/>
                <w:szCs w:val="20"/>
              </w:rPr>
              <w:t> </w:t>
            </w:r>
          </w:p>
        </w:tc>
        <w:tc>
          <w:tcPr>
            <w:tcW w:w="1448" w:type="dxa"/>
            <w:tcBorders>
              <w:top w:val="nil"/>
              <w:left w:val="nil"/>
              <w:bottom w:val="single" w:sz="8" w:space="0" w:color="auto"/>
              <w:right w:val="single" w:sz="8" w:space="0" w:color="auto"/>
            </w:tcBorders>
          </w:tcPr>
          <w:p w14:paraId="2FF3089F" w14:textId="77777777" w:rsidR="004B1DC7" w:rsidRPr="000151BA" w:rsidRDefault="004B1DC7" w:rsidP="000B5B50">
            <w:pPr>
              <w:rPr>
                <w:sz w:val="20"/>
                <w:szCs w:val="20"/>
              </w:rPr>
            </w:pPr>
            <w:r w:rsidRPr="000151BA">
              <w:rPr>
                <w:sz w:val="20"/>
                <w:szCs w:val="20"/>
              </w:rPr>
              <w:t>World Bank Office</w:t>
            </w:r>
          </w:p>
        </w:tc>
      </w:tr>
      <w:tr w:rsidR="004B1DC7" w:rsidRPr="003E5DEC" w14:paraId="5AA1FE03" w14:textId="77777777">
        <w:trPr>
          <w:trHeight w:val="463"/>
        </w:trPr>
        <w:tc>
          <w:tcPr>
            <w:tcW w:w="18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768B45" w14:textId="77777777" w:rsidR="004B1DC7" w:rsidRPr="000151BA" w:rsidRDefault="004B1DC7" w:rsidP="001A78AF">
            <w:pPr>
              <w:rPr>
                <w:sz w:val="20"/>
                <w:szCs w:val="20"/>
              </w:rPr>
            </w:pPr>
            <w:r w:rsidRPr="000151BA">
              <w:rPr>
                <w:sz w:val="20"/>
                <w:szCs w:val="20"/>
              </w:rPr>
              <w:t>14:00 – 15:00</w:t>
            </w:r>
          </w:p>
        </w:tc>
        <w:tc>
          <w:tcPr>
            <w:tcW w:w="5141" w:type="dxa"/>
            <w:tcBorders>
              <w:top w:val="nil"/>
              <w:left w:val="nil"/>
              <w:bottom w:val="single" w:sz="8" w:space="0" w:color="auto"/>
              <w:right w:val="single" w:sz="8" w:space="0" w:color="auto"/>
            </w:tcBorders>
            <w:tcMar>
              <w:top w:w="0" w:type="dxa"/>
              <w:left w:w="108" w:type="dxa"/>
              <w:bottom w:w="0" w:type="dxa"/>
              <w:right w:w="108" w:type="dxa"/>
            </w:tcMar>
          </w:tcPr>
          <w:p w14:paraId="25C9D0BA" w14:textId="77777777" w:rsidR="004B1DC7" w:rsidRPr="000151BA" w:rsidRDefault="004B1DC7" w:rsidP="001A78AF">
            <w:pPr>
              <w:rPr>
                <w:sz w:val="20"/>
                <w:szCs w:val="20"/>
              </w:rPr>
            </w:pPr>
            <w:r w:rsidRPr="000151BA">
              <w:rPr>
                <w:sz w:val="20"/>
                <w:szCs w:val="20"/>
              </w:rPr>
              <w:t>Meeting with Esperanza Lasagabaster, Practice Manager for Trade &amp; Competitiveness Global Practice, South Asia</w:t>
            </w:r>
          </w:p>
        </w:tc>
        <w:tc>
          <w:tcPr>
            <w:tcW w:w="1448" w:type="dxa"/>
            <w:tcBorders>
              <w:top w:val="nil"/>
              <w:left w:val="nil"/>
              <w:bottom w:val="single" w:sz="8" w:space="0" w:color="auto"/>
              <w:right w:val="single" w:sz="8" w:space="0" w:color="auto"/>
            </w:tcBorders>
          </w:tcPr>
          <w:p w14:paraId="4A593062" w14:textId="77777777" w:rsidR="004B1DC7" w:rsidRPr="000151BA" w:rsidRDefault="004B1DC7" w:rsidP="000B5B50">
            <w:pPr>
              <w:rPr>
                <w:sz w:val="20"/>
                <w:szCs w:val="20"/>
              </w:rPr>
            </w:pPr>
            <w:r w:rsidRPr="000151BA">
              <w:rPr>
                <w:sz w:val="20"/>
                <w:szCs w:val="20"/>
              </w:rPr>
              <w:t>World Bank Office</w:t>
            </w:r>
          </w:p>
        </w:tc>
      </w:tr>
      <w:tr w:rsidR="004B1DC7" w:rsidRPr="003E5DEC" w14:paraId="53897F2D" w14:textId="77777777">
        <w:trPr>
          <w:trHeight w:val="248"/>
        </w:trPr>
        <w:tc>
          <w:tcPr>
            <w:tcW w:w="7007" w:type="dxa"/>
            <w:gridSpan w:val="2"/>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139A8DD6" w14:textId="77777777" w:rsidR="004B1DC7" w:rsidRPr="000151BA" w:rsidRDefault="004B1DC7" w:rsidP="001A78AF">
            <w:pPr>
              <w:rPr>
                <w:sz w:val="20"/>
                <w:szCs w:val="20"/>
              </w:rPr>
            </w:pPr>
            <w:r w:rsidRPr="000151BA">
              <w:rPr>
                <w:sz w:val="20"/>
                <w:szCs w:val="20"/>
              </w:rPr>
              <w:t>February 8, 2018</w:t>
            </w:r>
          </w:p>
        </w:tc>
        <w:tc>
          <w:tcPr>
            <w:tcW w:w="1448" w:type="dxa"/>
            <w:tcBorders>
              <w:top w:val="nil"/>
              <w:left w:val="single" w:sz="8" w:space="0" w:color="auto"/>
              <w:bottom w:val="single" w:sz="8" w:space="0" w:color="auto"/>
              <w:right w:val="single" w:sz="8" w:space="0" w:color="auto"/>
            </w:tcBorders>
            <w:shd w:val="clear" w:color="auto" w:fill="D9E2F3" w:themeFill="accent1" w:themeFillTint="33"/>
          </w:tcPr>
          <w:p w14:paraId="2B400EEE" w14:textId="77777777" w:rsidR="004B1DC7" w:rsidRPr="000151BA" w:rsidRDefault="004B1DC7" w:rsidP="001A78AF">
            <w:pPr>
              <w:rPr>
                <w:sz w:val="20"/>
                <w:szCs w:val="20"/>
              </w:rPr>
            </w:pPr>
          </w:p>
        </w:tc>
      </w:tr>
      <w:tr w:rsidR="004B1DC7" w:rsidRPr="003E5DEC" w14:paraId="796FB6FB" w14:textId="77777777">
        <w:trPr>
          <w:trHeight w:val="601"/>
        </w:trPr>
        <w:tc>
          <w:tcPr>
            <w:tcW w:w="18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E0BC76" w14:textId="77777777" w:rsidR="004B1DC7" w:rsidRPr="000151BA" w:rsidRDefault="004B1DC7" w:rsidP="001A78AF">
            <w:pPr>
              <w:rPr>
                <w:sz w:val="20"/>
                <w:szCs w:val="20"/>
              </w:rPr>
            </w:pPr>
            <w:r w:rsidRPr="000151BA">
              <w:rPr>
                <w:sz w:val="20"/>
                <w:szCs w:val="20"/>
              </w:rPr>
              <w:t>08:00 – 09:00</w:t>
            </w:r>
          </w:p>
        </w:tc>
        <w:tc>
          <w:tcPr>
            <w:tcW w:w="5141" w:type="dxa"/>
            <w:tcBorders>
              <w:top w:val="nil"/>
              <w:left w:val="nil"/>
              <w:bottom w:val="single" w:sz="8" w:space="0" w:color="auto"/>
              <w:right w:val="single" w:sz="8" w:space="0" w:color="auto"/>
            </w:tcBorders>
            <w:tcMar>
              <w:top w:w="0" w:type="dxa"/>
              <w:left w:w="108" w:type="dxa"/>
              <w:bottom w:w="0" w:type="dxa"/>
              <w:right w:w="108" w:type="dxa"/>
            </w:tcMar>
          </w:tcPr>
          <w:p w14:paraId="34AACFE9" w14:textId="77777777" w:rsidR="004B1DC7" w:rsidRPr="000151BA" w:rsidRDefault="004B1DC7" w:rsidP="001A78AF">
            <w:pPr>
              <w:rPr>
                <w:sz w:val="20"/>
                <w:szCs w:val="20"/>
              </w:rPr>
            </w:pPr>
            <w:r w:rsidRPr="000151BA">
              <w:rPr>
                <w:sz w:val="20"/>
                <w:szCs w:val="20"/>
              </w:rPr>
              <w:t>Karla Carvajal, Practice Manager for Transport Sector, South Asia &amp; Sanjay Kathuria</w:t>
            </w:r>
          </w:p>
        </w:tc>
        <w:tc>
          <w:tcPr>
            <w:tcW w:w="1448" w:type="dxa"/>
            <w:tcBorders>
              <w:top w:val="nil"/>
              <w:left w:val="nil"/>
              <w:bottom w:val="single" w:sz="8" w:space="0" w:color="auto"/>
              <w:right w:val="single" w:sz="8" w:space="0" w:color="auto"/>
            </w:tcBorders>
          </w:tcPr>
          <w:p w14:paraId="17F6FDB5" w14:textId="77777777" w:rsidR="004B1DC7" w:rsidRPr="000151BA" w:rsidRDefault="004B1DC7" w:rsidP="000B5B50">
            <w:pPr>
              <w:rPr>
                <w:sz w:val="20"/>
                <w:szCs w:val="20"/>
              </w:rPr>
            </w:pPr>
            <w:r w:rsidRPr="000151BA">
              <w:rPr>
                <w:sz w:val="20"/>
                <w:szCs w:val="20"/>
              </w:rPr>
              <w:t>World Bank Office</w:t>
            </w:r>
          </w:p>
        </w:tc>
      </w:tr>
      <w:tr w:rsidR="004B1DC7" w:rsidRPr="003E5DEC" w14:paraId="162DD40A" w14:textId="77777777">
        <w:trPr>
          <w:trHeight w:val="463"/>
        </w:trPr>
        <w:tc>
          <w:tcPr>
            <w:tcW w:w="18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CBBE28" w14:textId="77777777" w:rsidR="004B1DC7" w:rsidRPr="000151BA" w:rsidRDefault="004B1DC7" w:rsidP="001A78AF">
            <w:pPr>
              <w:rPr>
                <w:sz w:val="20"/>
                <w:szCs w:val="20"/>
              </w:rPr>
            </w:pPr>
            <w:r w:rsidRPr="000151BA">
              <w:rPr>
                <w:sz w:val="20"/>
                <w:szCs w:val="20"/>
              </w:rPr>
              <w:t>09:30 – 11:00</w:t>
            </w:r>
          </w:p>
        </w:tc>
        <w:tc>
          <w:tcPr>
            <w:tcW w:w="5141" w:type="dxa"/>
            <w:tcBorders>
              <w:top w:val="nil"/>
              <w:left w:val="nil"/>
              <w:bottom w:val="single" w:sz="8" w:space="0" w:color="auto"/>
              <w:right w:val="single" w:sz="8" w:space="0" w:color="auto"/>
            </w:tcBorders>
            <w:tcMar>
              <w:top w:w="0" w:type="dxa"/>
              <w:left w:w="108" w:type="dxa"/>
              <w:bottom w:w="0" w:type="dxa"/>
              <w:right w:w="108" w:type="dxa"/>
            </w:tcMar>
          </w:tcPr>
          <w:p w14:paraId="1C4AF1DB" w14:textId="77777777" w:rsidR="004B1DC7" w:rsidRPr="000151BA" w:rsidRDefault="004B1DC7" w:rsidP="001A78AF">
            <w:pPr>
              <w:rPr>
                <w:sz w:val="20"/>
                <w:szCs w:val="20"/>
              </w:rPr>
            </w:pPr>
            <w:r w:rsidRPr="000151BA">
              <w:rPr>
                <w:sz w:val="20"/>
                <w:szCs w:val="20"/>
              </w:rPr>
              <w:t>Elena Karaban, Senior Communications Officer, South Asia &amp; Communications team</w:t>
            </w:r>
          </w:p>
        </w:tc>
        <w:tc>
          <w:tcPr>
            <w:tcW w:w="1448" w:type="dxa"/>
            <w:tcBorders>
              <w:top w:val="nil"/>
              <w:left w:val="nil"/>
              <w:bottom w:val="single" w:sz="8" w:space="0" w:color="auto"/>
              <w:right w:val="single" w:sz="8" w:space="0" w:color="auto"/>
            </w:tcBorders>
          </w:tcPr>
          <w:p w14:paraId="022D1290" w14:textId="77777777" w:rsidR="004B1DC7" w:rsidRPr="000151BA" w:rsidRDefault="004B1DC7" w:rsidP="000B5B50">
            <w:pPr>
              <w:rPr>
                <w:sz w:val="20"/>
                <w:szCs w:val="20"/>
              </w:rPr>
            </w:pPr>
            <w:r w:rsidRPr="000151BA">
              <w:rPr>
                <w:sz w:val="20"/>
                <w:szCs w:val="20"/>
              </w:rPr>
              <w:t>World Bank Office</w:t>
            </w:r>
          </w:p>
        </w:tc>
      </w:tr>
      <w:tr w:rsidR="004B1DC7" w:rsidRPr="003E5DEC" w14:paraId="3EB4D3EF" w14:textId="77777777">
        <w:trPr>
          <w:trHeight w:val="237"/>
        </w:trPr>
        <w:tc>
          <w:tcPr>
            <w:tcW w:w="1866" w:type="dxa"/>
            <w:tcBorders>
              <w:top w:val="nil"/>
              <w:left w:val="single" w:sz="8" w:space="0" w:color="auto"/>
              <w:bottom w:val="single" w:sz="4" w:space="0" w:color="000000" w:themeColor="text1"/>
              <w:right w:val="single" w:sz="8" w:space="0" w:color="auto"/>
            </w:tcBorders>
            <w:tcMar>
              <w:top w:w="0" w:type="dxa"/>
              <w:left w:w="108" w:type="dxa"/>
              <w:bottom w:w="0" w:type="dxa"/>
              <w:right w:w="108" w:type="dxa"/>
            </w:tcMar>
          </w:tcPr>
          <w:p w14:paraId="772C402D" w14:textId="77777777" w:rsidR="004B1DC7" w:rsidRPr="000151BA" w:rsidRDefault="004B1DC7" w:rsidP="001A78AF">
            <w:pPr>
              <w:rPr>
                <w:sz w:val="20"/>
                <w:szCs w:val="20"/>
              </w:rPr>
            </w:pPr>
            <w:r w:rsidRPr="000151BA">
              <w:rPr>
                <w:sz w:val="20"/>
                <w:szCs w:val="20"/>
              </w:rPr>
              <w:t>14:00 – 15:00</w:t>
            </w:r>
          </w:p>
        </w:tc>
        <w:tc>
          <w:tcPr>
            <w:tcW w:w="5141" w:type="dxa"/>
            <w:tcBorders>
              <w:top w:val="nil"/>
              <w:left w:val="nil"/>
              <w:bottom w:val="single" w:sz="4" w:space="0" w:color="000000" w:themeColor="text1"/>
              <w:right w:val="single" w:sz="8" w:space="0" w:color="auto"/>
            </w:tcBorders>
            <w:tcMar>
              <w:top w:w="0" w:type="dxa"/>
              <w:left w:w="108" w:type="dxa"/>
              <w:bottom w:w="0" w:type="dxa"/>
              <w:right w:w="108" w:type="dxa"/>
            </w:tcMar>
          </w:tcPr>
          <w:p w14:paraId="77A6E632" w14:textId="77777777" w:rsidR="004B1DC7" w:rsidRPr="000151BA" w:rsidRDefault="004B1DC7" w:rsidP="001A78AF">
            <w:pPr>
              <w:rPr>
                <w:sz w:val="20"/>
                <w:szCs w:val="20"/>
              </w:rPr>
            </w:pPr>
            <w:r w:rsidRPr="000151BA">
              <w:rPr>
                <w:sz w:val="20"/>
                <w:szCs w:val="20"/>
              </w:rPr>
              <w:t>Wrap up meeting</w:t>
            </w:r>
          </w:p>
        </w:tc>
        <w:tc>
          <w:tcPr>
            <w:tcW w:w="1448" w:type="dxa"/>
            <w:tcBorders>
              <w:top w:val="nil"/>
              <w:left w:val="nil"/>
              <w:bottom w:val="single" w:sz="4" w:space="0" w:color="000000" w:themeColor="text1"/>
              <w:right w:val="single" w:sz="8" w:space="0" w:color="auto"/>
            </w:tcBorders>
          </w:tcPr>
          <w:p w14:paraId="58DA0313" w14:textId="77777777" w:rsidR="004B1DC7" w:rsidRPr="000151BA" w:rsidRDefault="004B1DC7" w:rsidP="000B5B50">
            <w:pPr>
              <w:rPr>
                <w:sz w:val="20"/>
                <w:szCs w:val="20"/>
              </w:rPr>
            </w:pPr>
            <w:r w:rsidRPr="000151BA">
              <w:rPr>
                <w:sz w:val="20"/>
                <w:szCs w:val="20"/>
              </w:rPr>
              <w:t>World Bank Office</w:t>
            </w:r>
          </w:p>
        </w:tc>
      </w:tr>
      <w:tr w:rsidR="004B1DC7" w:rsidRPr="003E5DEC" w14:paraId="3D7637E3" w14:textId="77777777">
        <w:trPr>
          <w:trHeight w:val="258"/>
        </w:trPr>
        <w:tc>
          <w:tcPr>
            <w:tcW w:w="7007" w:type="dxa"/>
            <w:gridSpan w:val="2"/>
            <w:tcBorders>
              <w:top w:val="single" w:sz="2" w:space="0" w:color="4472C4"/>
              <w:left w:val="single" w:sz="2" w:space="0" w:color="4472C4"/>
              <w:bottom w:val="single" w:sz="4" w:space="0" w:color="000000"/>
              <w:right w:val="single" w:sz="2" w:space="0" w:color="4472C4"/>
            </w:tcBorders>
            <w:shd w:val="clear" w:color="auto" w:fill="D9E2F3" w:themeFill="accent1" w:themeFillTint="33"/>
            <w:tcMar>
              <w:top w:w="0" w:type="dxa"/>
              <w:left w:w="108" w:type="dxa"/>
              <w:bottom w:w="0" w:type="dxa"/>
              <w:right w:w="108" w:type="dxa"/>
            </w:tcMar>
          </w:tcPr>
          <w:p w14:paraId="3A333E1C" w14:textId="77777777" w:rsidR="004B1DC7" w:rsidRPr="000151BA" w:rsidRDefault="004B1DC7" w:rsidP="001A78AF">
            <w:pPr>
              <w:rPr>
                <w:sz w:val="20"/>
                <w:szCs w:val="20"/>
              </w:rPr>
            </w:pPr>
            <w:r w:rsidRPr="000151BA">
              <w:rPr>
                <w:sz w:val="20"/>
                <w:szCs w:val="20"/>
              </w:rPr>
              <w:lastRenderedPageBreak/>
              <w:t>February 9, 2018</w:t>
            </w:r>
          </w:p>
        </w:tc>
        <w:tc>
          <w:tcPr>
            <w:tcW w:w="1448" w:type="dxa"/>
            <w:tcBorders>
              <w:top w:val="single" w:sz="2" w:space="0" w:color="4472C4"/>
              <w:left w:val="single" w:sz="2" w:space="0" w:color="4472C4"/>
              <w:bottom w:val="single" w:sz="4" w:space="0" w:color="000000"/>
              <w:right w:val="single" w:sz="2" w:space="0" w:color="4472C4"/>
            </w:tcBorders>
            <w:shd w:val="clear" w:color="auto" w:fill="D9E2F3" w:themeFill="accent1" w:themeFillTint="33"/>
          </w:tcPr>
          <w:p w14:paraId="5AE27A2F" w14:textId="77777777" w:rsidR="004B1DC7" w:rsidRPr="000151BA" w:rsidRDefault="004B1DC7" w:rsidP="001A78AF">
            <w:pPr>
              <w:rPr>
                <w:sz w:val="20"/>
                <w:szCs w:val="20"/>
              </w:rPr>
            </w:pPr>
          </w:p>
        </w:tc>
      </w:tr>
      <w:tr w:rsidR="004B1DC7" w:rsidRPr="003E5DEC" w14:paraId="765FF946" w14:textId="77777777">
        <w:trPr>
          <w:trHeight w:val="237"/>
        </w:trPr>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ADEFF" w14:textId="77777777" w:rsidR="004B1DC7" w:rsidRPr="000151BA" w:rsidRDefault="004B1DC7" w:rsidP="001A78AF">
            <w:pPr>
              <w:rPr>
                <w:sz w:val="20"/>
                <w:szCs w:val="20"/>
              </w:rPr>
            </w:pPr>
            <w:r w:rsidRPr="000151BA">
              <w:rPr>
                <w:sz w:val="20"/>
                <w:szCs w:val="20"/>
              </w:rPr>
              <w:t>10.00 – 11:00</w:t>
            </w:r>
          </w:p>
        </w:tc>
        <w:tc>
          <w:tcPr>
            <w:tcW w:w="5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9CD2F" w14:textId="77777777" w:rsidR="004B1DC7" w:rsidRPr="000151BA" w:rsidRDefault="004B1DC7" w:rsidP="001A78AF">
            <w:pPr>
              <w:rPr>
                <w:sz w:val="20"/>
                <w:szCs w:val="20"/>
              </w:rPr>
            </w:pPr>
            <w:r w:rsidRPr="000151BA">
              <w:rPr>
                <w:sz w:val="20"/>
                <w:szCs w:val="20"/>
              </w:rPr>
              <w:t>Debbie Menezes - M&amp;E adviser for IFG and SARTFP</w:t>
            </w:r>
          </w:p>
        </w:tc>
        <w:tc>
          <w:tcPr>
            <w:tcW w:w="1448" w:type="dxa"/>
            <w:tcBorders>
              <w:top w:val="single" w:sz="4" w:space="0" w:color="000000"/>
              <w:left w:val="single" w:sz="4" w:space="0" w:color="000000"/>
              <w:bottom w:val="single" w:sz="4" w:space="0" w:color="000000"/>
              <w:right w:val="single" w:sz="4" w:space="0" w:color="000000"/>
            </w:tcBorders>
          </w:tcPr>
          <w:p w14:paraId="4A2130F5" w14:textId="77777777" w:rsidR="004B1DC7" w:rsidRPr="000151BA" w:rsidRDefault="004B1DC7" w:rsidP="000B5B50">
            <w:pPr>
              <w:rPr>
                <w:sz w:val="20"/>
                <w:szCs w:val="20"/>
              </w:rPr>
            </w:pPr>
            <w:r w:rsidRPr="000151BA">
              <w:rPr>
                <w:sz w:val="20"/>
                <w:szCs w:val="20"/>
              </w:rPr>
              <w:t>WB office</w:t>
            </w:r>
          </w:p>
        </w:tc>
      </w:tr>
      <w:tr w:rsidR="004B1DC7" w:rsidRPr="003E5DEC" w14:paraId="031B1D07" w14:textId="77777777">
        <w:trPr>
          <w:trHeight w:val="226"/>
        </w:trPr>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AF434" w14:textId="77777777" w:rsidR="004B1DC7" w:rsidRPr="000151BA" w:rsidRDefault="004B1DC7" w:rsidP="001A78AF">
            <w:pPr>
              <w:rPr>
                <w:sz w:val="20"/>
                <w:szCs w:val="20"/>
              </w:rPr>
            </w:pPr>
            <w:r w:rsidRPr="000151BA">
              <w:rPr>
                <w:sz w:val="20"/>
                <w:szCs w:val="20"/>
              </w:rPr>
              <w:t> 11:30-12:30</w:t>
            </w:r>
          </w:p>
        </w:tc>
        <w:tc>
          <w:tcPr>
            <w:tcW w:w="5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75FD0" w14:textId="77777777" w:rsidR="004B1DC7" w:rsidRPr="000151BA" w:rsidRDefault="004B1DC7" w:rsidP="001A78AF">
            <w:pPr>
              <w:rPr>
                <w:sz w:val="20"/>
                <w:szCs w:val="20"/>
              </w:rPr>
            </w:pPr>
            <w:r w:rsidRPr="000151BA">
              <w:rPr>
                <w:sz w:val="20"/>
                <w:szCs w:val="20"/>
              </w:rPr>
              <w:t>Teleconference with Matias Dappe  </w:t>
            </w:r>
          </w:p>
        </w:tc>
        <w:tc>
          <w:tcPr>
            <w:tcW w:w="1448" w:type="dxa"/>
            <w:tcBorders>
              <w:top w:val="single" w:sz="4" w:space="0" w:color="000000"/>
              <w:left w:val="single" w:sz="4" w:space="0" w:color="000000"/>
              <w:bottom w:val="single" w:sz="4" w:space="0" w:color="000000"/>
              <w:right w:val="single" w:sz="4" w:space="0" w:color="000000"/>
            </w:tcBorders>
          </w:tcPr>
          <w:p w14:paraId="6A1357C5" w14:textId="77777777" w:rsidR="004B1DC7" w:rsidRPr="000151BA" w:rsidRDefault="004B1DC7" w:rsidP="000B5B50">
            <w:pPr>
              <w:rPr>
                <w:sz w:val="20"/>
                <w:szCs w:val="20"/>
              </w:rPr>
            </w:pPr>
            <w:r w:rsidRPr="000151BA">
              <w:rPr>
                <w:sz w:val="20"/>
                <w:szCs w:val="20"/>
              </w:rPr>
              <w:t xml:space="preserve">WB office </w:t>
            </w:r>
          </w:p>
        </w:tc>
      </w:tr>
      <w:tr w:rsidR="004B1DC7" w:rsidRPr="003E5DEC" w14:paraId="12FF8252" w14:textId="77777777">
        <w:trPr>
          <w:trHeight w:val="226"/>
        </w:trPr>
        <w:tc>
          <w:tcPr>
            <w:tcW w:w="8455" w:type="dxa"/>
            <w:gridSpan w:val="3"/>
            <w:tcBorders>
              <w:top w:val="single" w:sz="4" w:space="0" w:color="000000"/>
              <w:left w:val="single" w:sz="4" w:space="0" w:color="000000"/>
              <w:bottom w:val="single" w:sz="4" w:space="0" w:color="000000"/>
              <w:right w:val="single" w:sz="4" w:space="0" w:color="000000"/>
            </w:tcBorders>
            <w:shd w:val="clear" w:color="auto" w:fill="44546A" w:themeFill="text2"/>
            <w:tcMar>
              <w:top w:w="0" w:type="dxa"/>
              <w:left w:w="108" w:type="dxa"/>
              <w:bottom w:w="0" w:type="dxa"/>
              <w:right w:w="108" w:type="dxa"/>
            </w:tcMar>
          </w:tcPr>
          <w:p w14:paraId="423554B5" w14:textId="77777777" w:rsidR="004B1DC7" w:rsidRPr="000151BA" w:rsidRDefault="004B1DC7" w:rsidP="001A78AF">
            <w:pPr>
              <w:rPr>
                <w:sz w:val="20"/>
                <w:szCs w:val="20"/>
              </w:rPr>
            </w:pPr>
            <w:r w:rsidRPr="000151BA">
              <w:rPr>
                <w:sz w:val="20"/>
                <w:szCs w:val="20"/>
              </w:rPr>
              <w:t>Teleconferences from the UK</w:t>
            </w:r>
          </w:p>
        </w:tc>
      </w:tr>
      <w:tr w:rsidR="004B1DC7" w:rsidRPr="003E5DEC" w14:paraId="438E0E29" w14:textId="77777777">
        <w:trPr>
          <w:trHeight w:val="251"/>
        </w:trPr>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730BE" w14:textId="77777777" w:rsidR="004B1DC7" w:rsidRPr="000151BA" w:rsidRDefault="004B1DC7" w:rsidP="001A78AF">
            <w:pPr>
              <w:rPr>
                <w:sz w:val="20"/>
                <w:szCs w:val="20"/>
              </w:rPr>
            </w:pPr>
            <w:r w:rsidRPr="000151BA">
              <w:rPr>
                <w:sz w:val="20"/>
                <w:szCs w:val="20"/>
              </w:rPr>
              <w:t>Feb 13</w:t>
            </w:r>
            <w:r w:rsidRPr="000151BA">
              <w:rPr>
                <w:sz w:val="20"/>
                <w:szCs w:val="20"/>
                <w:vertAlign w:val="superscript"/>
              </w:rPr>
              <w:t>th</w:t>
            </w:r>
            <w:r w:rsidRPr="000151BA">
              <w:rPr>
                <w:sz w:val="20"/>
                <w:szCs w:val="20"/>
              </w:rPr>
              <w:t xml:space="preserve"> 9am</w:t>
            </w:r>
          </w:p>
        </w:tc>
        <w:tc>
          <w:tcPr>
            <w:tcW w:w="5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5E8A1" w14:textId="77777777" w:rsidR="004B1DC7" w:rsidRPr="000151BA" w:rsidRDefault="004B1DC7" w:rsidP="001A78AF">
            <w:pPr>
              <w:rPr>
                <w:sz w:val="20"/>
                <w:szCs w:val="20"/>
              </w:rPr>
            </w:pPr>
            <w:r w:rsidRPr="000151BA">
              <w:rPr>
                <w:sz w:val="20"/>
                <w:szCs w:val="20"/>
              </w:rPr>
              <w:t>Priyanka Chowdhury from DFAT in Dhaka</w:t>
            </w:r>
          </w:p>
        </w:tc>
        <w:tc>
          <w:tcPr>
            <w:tcW w:w="1448" w:type="dxa"/>
            <w:tcBorders>
              <w:top w:val="single" w:sz="4" w:space="0" w:color="000000"/>
              <w:left w:val="single" w:sz="4" w:space="0" w:color="000000"/>
              <w:bottom w:val="single" w:sz="4" w:space="0" w:color="000000"/>
              <w:right w:val="single" w:sz="4" w:space="0" w:color="000000"/>
            </w:tcBorders>
          </w:tcPr>
          <w:p w14:paraId="01CA28DB" w14:textId="77777777" w:rsidR="004B1DC7" w:rsidRPr="000151BA" w:rsidRDefault="004B1DC7" w:rsidP="000B5B50">
            <w:pPr>
              <w:rPr>
                <w:sz w:val="20"/>
                <w:szCs w:val="20"/>
              </w:rPr>
            </w:pPr>
            <w:r w:rsidRPr="000151BA">
              <w:rPr>
                <w:sz w:val="20"/>
                <w:szCs w:val="20"/>
              </w:rPr>
              <w:t xml:space="preserve"> UK</w:t>
            </w:r>
          </w:p>
        </w:tc>
      </w:tr>
      <w:tr w:rsidR="004B1DC7" w:rsidRPr="003E5DEC" w14:paraId="0E092D04" w14:textId="77777777">
        <w:trPr>
          <w:trHeight w:val="251"/>
        </w:trPr>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20201" w14:textId="77777777" w:rsidR="004B1DC7" w:rsidRPr="000151BA" w:rsidRDefault="004B1DC7" w:rsidP="001A78AF">
            <w:pPr>
              <w:rPr>
                <w:sz w:val="20"/>
                <w:szCs w:val="20"/>
              </w:rPr>
            </w:pPr>
            <w:r w:rsidRPr="000151BA">
              <w:rPr>
                <w:sz w:val="20"/>
                <w:szCs w:val="20"/>
              </w:rPr>
              <w:t>Feb 14</w:t>
            </w:r>
            <w:r w:rsidRPr="000151BA">
              <w:rPr>
                <w:sz w:val="20"/>
                <w:szCs w:val="20"/>
                <w:vertAlign w:val="superscript"/>
              </w:rPr>
              <w:t>th</w:t>
            </w:r>
            <w:r w:rsidRPr="000151BA">
              <w:rPr>
                <w:sz w:val="20"/>
                <w:szCs w:val="20"/>
              </w:rPr>
              <w:t xml:space="preserve"> </w:t>
            </w:r>
          </w:p>
        </w:tc>
        <w:tc>
          <w:tcPr>
            <w:tcW w:w="5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3B94E" w14:textId="77777777" w:rsidR="004B1DC7" w:rsidRPr="000151BA" w:rsidRDefault="004B1DC7" w:rsidP="001A78AF">
            <w:pPr>
              <w:rPr>
                <w:sz w:val="20"/>
                <w:szCs w:val="20"/>
              </w:rPr>
            </w:pPr>
            <w:r w:rsidRPr="000151BA">
              <w:rPr>
                <w:sz w:val="20"/>
                <w:szCs w:val="20"/>
              </w:rPr>
              <w:t>Andrew Collins- Branch Head</w:t>
            </w:r>
          </w:p>
        </w:tc>
        <w:tc>
          <w:tcPr>
            <w:tcW w:w="1448" w:type="dxa"/>
            <w:tcBorders>
              <w:top w:val="single" w:sz="4" w:space="0" w:color="000000"/>
              <w:left w:val="single" w:sz="4" w:space="0" w:color="000000"/>
              <w:bottom w:val="single" w:sz="4" w:space="0" w:color="000000"/>
              <w:right w:val="single" w:sz="4" w:space="0" w:color="000000"/>
            </w:tcBorders>
          </w:tcPr>
          <w:p w14:paraId="0178B01E" w14:textId="77777777" w:rsidR="004B1DC7" w:rsidRPr="000151BA" w:rsidRDefault="004B1DC7" w:rsidP="000B5B50">
            <w:pPr>
              <w:rPr>
                <w:sz w:val="20"/>
                <w:szCs w:val="20"/>
              </w:rPr>
            </w:pPr>
            <w:r w:rsidRPr="000151BA">
              <w:rPr>
                <w:sz w:val="20"/>
                <w:szCs w:val="20"/>
              </w:rPr>
              <w:t xml:space="preserve"> UK</w:t>
            </w:r>
          </w:p>
        </w:tc>
      </w:tr>
      <w:tr w:rsidR="004B1DC7" w:rsidRPr="003E5DEC" w14:paraId="0B0DF3A7" w14:textId="77777777">
        <w:trPr>
          <w:trHeight w:val="251"/>
        </w:trPr>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0BC30" w14:textId="77777777" w:rsidR="004B1DC7" w:rsidRPr="000151BA" w:rsidRDefault="004B1DC7" w:rsidP="001A78AF">
            <w:pPr>
              <w:rPr>
                <w:sz w:val="20"/>
                <w:szCs w:val="20"/>
              </w:rPr>
            </w:pPr>
            <w:r w:rsidRPr="000151BA">
              <w:rPr>
                <w:sz w:val="20"/>
                <w:szCs w:val="20"/>
              </w:rPr>
              <w:t>Feb 19</w:t>
            </w:r>
            <w:r w:rsidRPr="000151BA">
              <w:rPr>
                <w:sz w:val="20"/>
                <w:szCs w:val="20"/>
                <w:vertAlign w:val="superscript"/>
              </w:rPr>
              <w:t>th</w:t>
            </w:r>
            <w:r w:rsidRPr="000151BA">
              <w:rPr>
                <w:sz w:val="20"/>
                <w:szCs w:val="20"/>
              </w:rPr>
              <w:t xml:space="preserve"> </w:t>
            </w:r>
          </w:p>
        </w:tc>
        <w:tc>
          <w:tcPr>
            <w:tcW w:w="5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03239" w14:textId="77777777" w:rsidR="004B1DC7" w:rsidRPr="000151BA" w:rsidRDefault="004B1DC7" w:rsidP="001A78AF">
            <w:pPr>
              <w:rPr>
                <w:sz w:val="20"/>
                <w:szCs w:val="20"/>
              </w:rPr>
            </w:pPr>
            <w:r w:rsidRPr="000151BA">
              <w:rPr>
                <w:sz w:val="20"/>
                <w:szCs w:val="20"/>
              </w:rPr>
              <w:t>Esther Ewagata - Assistant Director of South Asia Regional Section</w:t>
            </w:r>
          </w:p>
        </w:tc>
        <w:tc>
          <w:tcPr>
            <w:tcW w:w="1448" w:type="dxa"/>
            <w:tcBorders>
              <w:top w:val="single" w:sz="4" w:space="0" w:color="000000"/>
              <w:left w:val="single" w:sz="4" w:space="0" w:color="000000"/>
              <w:bottom w:val="single" w:sz="4" w:space="0" w:color="000000"/>
              <w:right w:val="single" w:sz="4" w:space="0" w:color="000000"/>
            </w:tcBorders>
          </w:tcPr>
          <w:p w14:paraId="6A63A06A" w14:textId="77777777" w:rsidR="004B1DC7" w:rsidRPr="000151BA" w:rsidRDefault="004B1DC7" w:rsidP="000B5B50">
            <w:pPr>
              <w:rPr>
                <w:sz w:val="20"/>
                <w:szCs w:val="20"/>
              </w:rPr>
            </w:pPr>
            <w:r w:rsidRPr="000151BA">
              <w:rPr>
                <w:sz w:val="20"/>
                <w:szCs w:val="20"/>
              </w:rPr>
              <w:t xml:space="preserve"> UK</w:t>
            </w:r>
          </w:p>
        </w:tc>
      </w:tr>
    </w:tbl>
    <w:p w14:paraId="31490BC9" w14:textId="77777777" w:rsidR="004B1DC7" w:rsidRDefault="004B1DC7" w:rsidP="00F65774"/>
    <w:tbl>
      <w:tblPr>
        <w:tblStyle w:val="TableGrid"/>
        <w:tblW w:w="8434" w:type="dxa"/>
        <w:tblLayout w:type="fixed"/>
        <w:tblLook w:val="04A0" w:firstRow="1" w:lastRow="0" w:firstColumn="1" w:lastColumn="0" w:noHBand="0" w:noVBand="1"/>
      </w:tblPr>
      <w:tblGrid>
        <w:gridCol w:w="1880"/>
        <w:gridCol w:w="5114"/>
        <w:gridCol w:w="1440"/>
      </w:tblGrid>
      <w:tr w:rsidR="004B1DC7" w:rsidRPr="003E5DEC" w14:paraId="2CA88066" w14:textId="77777777">
        <w:trPr>
          <w:trHeight w:val="149"/>
        </w:trPr>
        <w:tc>
          <w:tcPr>
            <w:tcW w:w="8434" w:type="dxa"/>
            <w:gridSpan w:val="3"/>
            <w:shd w:val="clear" w:color="auto" w:fill="44546A" w:themeFill="text2"/>
          </w:tcPr>
          <w:p w14:paraId="5A55E7BF" w14:textId="77777777" w:rsidR="004B1DC7" w:rsidRPr="000151BA" w:rsidRDefault="004B1DC7" w:rsidP="001A78AF">
            <w:pPr>
              <w:rPr>
                <w:rFonts w:eastAsia="Constantia"/>
                <w:sz w:val="20"/>
                <w:szCs w:val="20"/>
              </w:rPr>
            </w:pPr>
            <w:r w:rsidRPr="000151BA">
              <w:rPr>
                <w:rFonts w:eastAsia="Constantia"/>
                <w:sz w:val="20"/>
                <w:szCs w:val="20"/>
              </w:rPr>
              <w:t>Meetings in New Delhi</w:t>
            </w:r>
          </w:p>
        </w:tc>
      </w:tr>
      <w:tr w:rsidR="004B1DC7" w:rsidRPr="003E5DEC" w14:paraId="269DCACB" w14:textId="77777777">
        <w:trPr>
          <w:trHeight w:val="149"/>
        </w:trPr>
        <w:tc>
          <w:tcPr>
            <w:tcW w:w="1880" w:type="dxa"/>
            <w:shd w:val="clear" w:color="auto" w:fill="44546A" w:themeFill="text2"/>
          </w:tcPr>
          <w:p w14:paraId="5752A61D" w14:textId="77777777" w:rsidR="004B1DC7" w:rsidRPr="000151BA" w:rsidRDefault="004B1DC7" w:rsidP="001A78AF">
            <w:pPr>
              <w:rPr>
                <w:rFonts w:eastAsia="Constantia"/>
                <w:sz w:val="20"/>
                <w:szCs w:val="20"/>
              </w:rPr>
            </w:pPr>
            <w:r w:rsidRPr="000151BA">
              <w:rPr>
                <w:rFonts w:eastAsia="Constantia"/>
                <w:sz w:val="20"/>
                <w:szCs w:val="20"/>
              </w:rPr>
              <w:t>Time</w:t>
            </w:r>
          </w:p>
        </w:tc>
        <w:tc>
          <w:tcPr>
            <w:tcW w:w="5114" w:type="dxa"/>
            <w:shd w:val="clear" w:color="auto" w:fill="44546A" w:themeFill="text2"/>
          </w:tcPr>
          <w:p w14:paraId="18BB974E" w14:textId="77777777" w:rsidR="004B1DC7" w:rsidRPr="000151BA" w:rsidRDefault="004B1DC7" w:rsidP="001A78AF">
            <w:pPr>
              <w:rPr>
                <w:rFonts w:eastAsia="Constantia"/>
                <w:sz w:val="20"/>
                <w:szCs w:val="20"/>
              </w:rPr>
            </w:pPr>
            <w:r w:rsidRPr="000151BA">
              <w:rPr>
                <w:rFonts w:eastAsia="Constantia"/>
                <w:sz w:val="20"/>
                <w:szCs w:val="20"/>
              </w:rPr>
              <w:t>Event</w:t>
            </w:r>
          </w:p>
        </w:tc>
        <w:tc>
          <w:tcPr>
            <w:tcW w:w="1440" w:type="dxa"/>
            <w:shd w:val="clear" w:color="auto" w:fill="44546A" w:themeFill="text2"/>
          </w:tcPr>
          <w:p w14:paraId="6FA84CF8" w14:textId="77777777" w:rsidR="004B1DC7" w:rsidRPr="000151BA" w:rsidRDefault="004B1DC7" w:rsidP="000B5B50">
            <w:pPr>
              <w:rPr>
                <w:rFonts w:eastAsia="Constantia"/>
                <w:sz w:val="20"/>
                <w:szCs w:val="20"/>
              </w:rPr>
            </w:pPr>
            <w:r w:rsidRPr="000151BA">
              <w:rPr>
                <w:rFonts w:eastAsia="Constantia"/>
                <w:sz w:val="20"/>
                <w:szCs w:val="20"/>
              </w:rPr>
              <w:t>Location</w:t>
            </w:r>
          </w:p>
        </w:tc>
      </w:tr>
      <w:tr w:rsidR="004B1DC7" w:rsidRPr="003E5DEC" w14:paraId="6A530BDB" w14:textId="77777777">
        <w:trPr>
          <w:trHeight w:val="205"/>
        </w:trPr>
        <w:tc>
          <w:tcPr>
            <w:tcW w:w="8434" w:type="dxa"/>
            <w:gridSpan w:val="3"/>
            <w:shd w:val="clear" w:color="auto" w:fill="DEEAF6" w:themeFill="accent5" w:themeFillTint="33"/>
          </w:tcPr>
          <w:p w14:paraId="0E799B9A" w14:textId="77777777" w:rsidR="004B1DC7" w:rsidRPr="000151BA" w:rsidRDefault="004B1DC7" w:rsidP="001A78AF">
            <w:pPr>
              <w:rPr>
                <w:sz w:val="20"/>
                <w:szCs w:val="20"/>
              </w:rPr>
            </w:pPr>
            <w:r w:rsidRPr="000151BA">
              <w:rPr>
                <w:sz w:val="20"/>
                <w:szCs w:val="20"/>
              </w:rPr>
              <w:t>Monday, February 12</w:t>
            </w:r>
            <w:r w:rsidRPr="000151BA">
              <w:rPr>
                <w:sz w:val="20"/>
                <w:szCs w:val="20"/>
                <w:vertAlign w:val="superscript"/>
              </w:rPr>
              <w:t>th</w:t>
            </w:r>
            <w:r w:rsidRPr="000151BA">
              <w:rPr>
                <w:sz w:val="20"/>
                <w:szCs w:val="20"/>
              </w:rPr>
              <w:t>, 2018, New Delhi</w:t>
            </w:r>
          </w:p>
        </w:tc>
      </w:tr>
      <w:tr w:rsidR="004B1DC7" w:rsidRPr="003E5DEC" w14:paraId="19D42D2F" w14:textId="77777777">
        <w:trPr>
          <w:trHeight w:val="116"/>
        </w:trPr>
        <w:tc>
          <w:tcPr>
            <w:tcW w:w="1880" w:type="dxa"/>
            <w:shd w:val="clear" w:color="auto" w:fill="auto"/>
          </w:tcPr>
          <w:p w14:paraId="0EFAB125" w14:textId="77777777" w:rsidR="004B1DC7" w:rsidRPr="000151BA" w:rsidRDefault="004B1DC7" w:rsidP="001A78AF">
            <w:pPr>
              <w:rPr>
                <w:sz w:val="20"/>
                <w:szCs w:val="20"/>
              </w:rPr>
            </w:pPr>
            <w:r w:rsidRPr="000151BA">
              <w:rPr>
                <w:sz w:val="20"/>
                <w:szCs w:val="20"/>
              </w:rPr>
              <w:t>14.30-15.30 pm</w:t>
            </w:r>
          </w:p>
        </w:tc>
        <w:tc>
          <w:tcPr>
            <w:tcW w:w="5114" w:type="dxa"/>
            <w:shd w:val="clear" w:color="auto" w:fill="auto"/>
          </w:tcPr>
          <w:p w14:paraId="426A9116" w14:textId="77777777" w:rsidR="004B1DC7" w:rsidRPr="000151BA" w:rsidRDefault="004B1DC7" w:rsidP="001A78AF">
            <w:pPr>
              <w:rPr>
                <w:sz w:val="20"/>
                <w:szCs w:val="20"/>
              </w:rPr>
            </w:pPr>
            <w:r w:rsidRPr="000151BA">
              <w:rPr>
                <w:sz w:val="20"/>
                <w:szCs w:val="20"/>
              </w:rPr>
              <w:t>Meeting with Dr Sagar Prasai and Dr Diya Nag, The Asia Foundation</w:t>
            </w:r>
          </w:p>
          <w:p w14:paraId="0D4CDF1F" w14:textId="77777777" w:rsidR="004B1DC7" w:rsidRPr="000151BA" w:rsidRDefault="004B1DC7" w:rsidP="000B5B50">
            <w:pPr>
              <w:rPr>
                <w:sz w:val="20"/>
                <w:szCs w:val="20"/>
              </w:rPr>
            </w:pPr>
          </w:p>
        </w:tc>
        <w:tc>
          <w:tcPr>
            <w:tcW w:w="1440" w:type="dxa"/>
            <w:shd w:val="clear" w:color="auto" w:fill="auto"/>
          </w:tcPr>
          <w:p w14:paraId="591871D7" w14:textId="77777777" w:rsidR="004B1DC7" w:rsidRPr="000151BA" w:rsidRDefault="004B1DC7" w:rsidP="000B5B50">
            <w:pPr>
              <w:rPr>
                <w:sz w:val="20"/>
                <w:szCs w:val="20"/>
              </w:rPr>
            </w:pPr>
            <w:r w:rsidRPr="000151BA">
              <w:rPr>
                <w:sz w:val="20"/>
                <w:szCs w:val="20"/>
              </w:rPr>
              <w:t>TAF office</w:t>
            </w:r>
          </w:p>
        </w:tc>
      </w:tr>
      <w:tr w:rsidR="004B1DC7" w:rsidRPr="003E5DEC" w14:paraId="321E6529" w14:textId="77777777">
        <w:trPr>
          <w:trHeight w:val="116"/>
        </w:trPr>
        <w:tc>
          <w:tcPr>
            <w:tcW w:w="1880" w:type="dxa"/>
            <w:shd w:val="clear" w:color="auto" w:fill="auto"/>
          </w:tcPr>
          <w:p w14:paraId="7BD62303" w14:textId="77777777" w:rsidR="004B1DC7" w:rsidRPr="000151BA" w:rsidRDefault="004B1DC7" w:rsidP="001A78AF">
            <w:pPr>
              <w:rPr>
                <w:sz w:val="20"/>
                <w:szCs w:val="20"/>
              </w:rPr>
            </w:pPr>
            <w:r w:rsidRPr="000151BA">
              <w:rPr>
                <w:sz w:val="20"/>
                <w:szCs w:val="20"/>
              </w:rPr>
              <w:t>15.45 – 16.45pm</w:t>
            </w:r>
          </w:p>
        </w:tc>
        <w:tc>
          <w:tcPr>
            <w:tcW w:w="5114" w:type="dxa"/>
            <w:shd w:val="clear" w:color="auto" w:fill="auto"/>
          </w:tcPr>
          <w:p w14:paraId="610A1A1B" w14:textId="77777777" w:rsidR="004B1DC7" w:rsidRPr="000151BA" w:rsidRDefault="004B1DC7" w:rsidP="001A78AF">
            <w:pPr>
              <w:rPr>
                <w:sz w:val="20"/>
                <w:szCs w:val="20"/>
              </w:rPr>
            </w:pPr>
            <w:r w:rsidRPr="000151BA">
              <w:rPr>
                <w:sz w:val="20"/>
                <w:szCs w:val="20"/>
              </w:rPr>
              <w:t>Meeting with Dr Prabir De, RIS</w:t>
            </w:r>
          </w:p>
          <w:p w14:paraId="5B986CED" w14:textId="77777777" w:rsidR="004B1DC7" w:rsidRPr="000151BA" w:rsidRDefault="004B1DC7" w:rsidP="000B5B50">
            <w:pPr>
              <w:rPr>
                <w:sz w:val="20"/>
                <w:szCs w:val="20"/>
              </w:rPr>
            </w:pPr>
          </w:p>
        </w:tc>
        <w:tc>
          <w:tcPr>
            <w:tcW w:w="1440" w:type="dxa"/>
            <w:shd w:val="clear" w:color="auto" w:fill="auto"/>
          </w:tcPr>
          <w:p w14:paraId="0197A841" w14:textId="77777777" w:rsidR="004B1DC7" w:rsidRPr="000151BA" w:rsidRDefault="004B1DC7" w:rsidP="000B5B50">
            <w:pPr>
              <w:rPr>
                <w:sz w:val="20"/>
                <w:szCs w:val="20"/>
              </w:rPr>
            </w:pPr>
            <w:r w:rsidRPr="000151BA">
              <w:rPr>
                <w:sz w:val="20"/>
                <w:szCs w:val="20"/>
              </w:rPr>
              <w:t>RIS office, India Habitat Centre</w:t>
            </w:r>
          </w:p>
        </w:tc>
      </w:tr>
      <w:tr w:rsidR="004B1DC7" w:rsidRPr="003E5DEC" w14:paraId="65269F84" w14:textId="77777777">
        <w:trPr>
          <w:trHeight w:val="205"/>
        </w:trPr>
        <w:tc>
          <w:tcPr>
            <w:tcW w:w="8434" w:type="dxa"/>
            <w:gridSpan w:val="3"/>
            <w:shd w:val="clear" w:color="auto" w:fill="DEEAF6" w:themeFill="accent5" w:themeFillTint="33"/>
          </w:tcPr>
          <w:p w14:paraId="531B9B6E" w14:textId="77777777" w:rsidR="004B1DC7" w:rsidRPr="000151BA" w:rsidRDefault="004B1DC7" w:rsidP="001A78AF">
            <w:pPr>
              <w:rPr>
                <w:sz w:val="20"/>
                <w:szCs w:val="20"/>
              </w:rPr>
            </w:pPr>
            <w:r w:rsidRPr="000151BA">
              <w:rPr>
                <w:sz w:val="20"/>
                <w:szCs w:val="20"/>
              </w:rPr>
              <w:t>Tuesday, February 13</w:t>
            </w:r>
            <w:r w:rsidRPr="000151BA">
              <w:rPr>
                <w:sz w:val="20"/>
                <w:szCs w:val="20"/>
                <w:vertAlign w:val="superscript"/>
              </w:rPr>
              <w:t>th</w:t>
            </w:r>
            <w:r w:rsidRPr="000151BA">
              <w:rPr>
                <w:sz w:val="20"/>
                <w:szCs w:val="20"/>
              </w:rPr>
              <w:t>, 2018, New Delhi</w:t>
            </w:r>
          </w:p>
        </w:tc>
      </w:tr>
      <w:tr w:rsidR="004B1DC7" w:rsidRPr="003E5DEC" w14:paraId="06A61193" w14:textId="77777777">
        <w:trPr>
          <w:trHeight w:val="120"/>
        </w:trPr>
        <w:tc>
          <w:tcPr>
            <w:tcW w:w="1880" w:type="dxa"/>
            <w:shd w:val="clear" w:color="auto" w:fill="auto"/>
          </w:tcPr>
          <w:p w14:paraId="15C2774D" w14:textId="77777777" w:rsidR="004B1DC7" w:rsidRPr="000151BA" w:rsidRDefault="004B1DC7" w:rsidP="001A78AF">
            <w:pPr>
              <w:rPr>
                <w:sz w:val="20"/>
                <w:szCs w:val="20"/>
              </w:rPr>
            </w:pPr>
            <w:r w:rsidRPr="000151BA">
              <w:rPr>
                <w:sz w:val="20"/>
                <w:szCs w:val="20"/>
              </w:rPr>
              <w:t>11:30 - 12:30 pm</w:t>
            </w:r>
          </w:p>
          <w:p w14:paraId="60679179" w14:textId="77777777" w:rsidR="004B1DC7" w:rsidRPr="000151BA" w:rsidRDefault="004B1DC7" w:rsidP="001A78AF">
            <w:pPr>
              <w:rPr>
                <w:sz w:val="20"/>
                <w:szCs w:val="20"/>
              </w:rPr>
            </w:pPr>
          </w:p>
        </w:tc>
        <w:tc>
          <w:tcPr>
            <w:tcW w:w="5114" w:type="dxa"/>
            <w:shd w:val="clear" w:color="auto" w:fill="auto"/>
          </w:tcPr>
          <w:p w14:paraId="0044BA42" w14:textId="77777777" w:rsidR="004B1DC7" w:rsidRPr="000151BA" w:rsidRDefault="004B1DC7" w:rsidP="000B5B50">
            <w:pPr>
              <w:rPr>
                <w:sz w:val="20"/>
                <w:szCs w:val="20"/>
              </w:rPr>
            </w:pPr>
            <w:r w:rsidRPr="000151BA">
              <w:rPr>
                <w:sz w:val="20"/>
                <w:szCs w:val="20"/>
              </w:rPr>
              <w:t>Teleconference with Prithviraj and Bipul Chatterjee, CUTS International</w:t>
            </w:r>
            <w:r w:rsidRPr="000151BA">
              <w:rPr>
                <w:sz w:val="20"/>
                <w:szCs w:val="20"/>
              </w:rPr>
              <w:br/>
            </w:r>
            <w:r w:rsidRPr="000151BA">
              <w:rPr>
                <w:sz w:val="20"/>
                <w:szCs w:val="20"/>
              </w:rPr>
              <w:tab/>
            </w:r>
            <w:r w:rsidRPr="000151BA">
              <w:rPr>
                <w:sz w:val="20"/>
                <w:szCs w:val="20"/>
              </w:rPr>
              <w:tab/>
            </w:r>
            <w:r w:rsidRPr="000151BA">
              <w:rPr>
                <w:sz w:val="20"/>
                <w:szCs w:val="20"/>
              </w:rPr>
              <w:tab/>
            </w:r>
            <w:r w:rsidRPr="000151BA">
              <w:rPr>
                <w:sz w:val="20"/>
                <w:szCs w:val="20"/>
              </w:rPr>
              <w:tab/>
            </w:r>
            <w:r w:rsidRPr="000151BA">
              <w:rPr>
                <w:sz w:val="20"/>
                <w:szCs w:val="20"/>
              </w:rPr>
              <w:tab/>
            </w:r>
            <w:r w:rsidRPr="000151BA">
              <w:rPr>
                <w:sz w:val="20"/>
                <w:szCs w:val="20"/>
              </w:rPr>
              <w:tab/>
            </w:r>
            <w:r w:rsidRPr="000151BA">
              <w:rPr>
                <w:sz w:val="20"/>
                <w:szCs w:val="20"/>
              </w:rPr>
              <w:tab/>
            </w:r>
          </w:p>
        </w:tc>
        <w:tc>
          <w:tcPr>
            <w:tcW w:w="1440" w:type="dxa"/>
            <w:shd w:val="clear" w:color="auto" w:fill="auto"/>
          </w:tcPr>
          <w:p w14:paraId="67AA2DA5" w14:textId="77777777" w:rsidR="004B1DC7" w:rsidRPr="000151BA" w:rsidRDefault="004B1DC7" w:rsidP="000B5B50">
            <w:pPr>
              <w:rPr>
                <w:b/>
                <w:sz w:val="20"/>
                <w:szCs w:val="20"/>
              </w:rPr>
            </w:pPr>
            <w:r w:rsidRPr="000151BA">
              <w:rPr>
                <w:sz w:val="20"/>
                <w:szCs w:val="20"/>
              </w:rPr>
              <w:t>The Australian High Commission</w:t>
            </w:r>
          </w:p>
        </w:tc>
      </w:tr>
      <w:tr w:rsidR="004B1DC7" w:rsidRPr="003E5DEC" w14:paraId="63D061A6" w14:textId="77777777">
        <w:trPr>
          <w:trHeight w:val="118"/>
        </w:trPr>
        <w:tc>
          <w:tcPr>
            <w:tcW w:w="1880" w:type="dxa"/>
            <w:shd w:val="clear" w:color="auto" w:fill="auto"/>
          </w:tcPr>
          <w:p w14:paraId="2BFCF538" w14:textId="77777777" w:rsidR="004B1DC7" w:rsidRPr="000151BA" w:rsidRDefault="004B1DC7" w:rsidP="001A78AF">
            <w:pPr>
              <w:rPr>
                <w:sz w:val="20"/>
                <w:szCs w:val="20"/>
              </w:rPr>
            </w:pPr>
            <w:r w:rsidRPr="000151BA">
              <w:rPr>
                <w:sz w:val="20"/>
                <w:szCs w:val="20"/>
              </w:rPr>
              <w:t>1:30 - 03:30 pm</w:t>
            </w:r>
          </w:p>
          <w:p w14:paraId="22581D64" w14:textId="77777777" w:rsidR="004B1DC7" w:rsidRPr="000151BA" w:rsidRDefault="004B1DC7" w:rsidP="001A78AF">
            <w:pPr>
              <w:rPr>
                <w:sz w:val="20"/>
                <w:szCs w:val="20"/>
              </w:rPr>
            </w:pPr>
          </w:p>
        </w:tc>
        <w:tc>
          <w:tcPr>
            <w:tcW w:w="5114" w:type="dxa"/>
            <w:shd w:val="clear" w:color="auto" w:fill="auto"/>
          </w:tcPr>
          <w:p w14:paraId="296C5A13" w14:textId="77777777" w:rsidR="004B1DC7" w:rsidRPr="000151BA" w:rsidRDefault="004B1DC7" w:rsidP="000B5B50">
            <w:pPr>
              <w:rPr>
                <w:sz w:val="20"/>
                <w:szCs w:val="20"/>
              </w:rPr>
            </w:pPr>
            <w:r w:rsidRPr="000151BA">
              <w:rPr>
                <w:sz w:val="20"/>
                <w:szCs w:val="20"/>
              </w:rPr>
              <w:t>Meeting with Caroline Mills and Tanushree Bhowmik</w:t>
            </w:r>
          </w:p>
          <w:p w14:paraId="3CC84F16" w14:textId="77777777" w:rsidR="004B1DC7" w:rsidRPr="000151BA" w:rsidRDefault="004B1DC7" w:rsidP="000B5B50">
            <w:pPr>
              <w:rPr>
                <w:sz w:val="20"/>
                <w:szCs w:val="20"/>
              </w:rPr>
            </w:pPr>
          </w:p>
        </w:tc>
        <w:tc>
          <w:tcPr>
            <w:tcW w:w="1440" w:type="dxa"/>
            <w:shd w:val="clear" w:color="auto" w:fill="auto"/>
          </w:tcPr>
          <w:p w14:paraId="6B8EE411" w14:textId="77777777" w:rsidR="004B1DC7" w:rsidRPr="000151BA" w:rsidRDefault="004B1DC7" w:rsidP="00404A8A">
            <w:pPr>
              <w:rPr>
                <w:b/>
                <w:sz w:val="20"/>
                <w:szCs w:val="20"/>
              </w:rPr>
            </w:pPr>
            <w:r w:rsidRPr="000151BA">
              <w:rPr>
                <w:sz w:val="20"/>
                <w:szCs w:val="20"/>
              </w:rPr>
              <w:t>The Australian High Commission</w:t>
            </w:r>
          </w:p>
        </w:tc>
      </w:tr>
      <w:tr w:rsidR="004B1DC7" w:rsidRPr="003E5DEC" w14:paraId="44410458" w14:textId="77777777">
        <w:trPr>
          <w:trHeight w:val="118"/>
        </w:trPr>
        <w:tc>
          <w:tcPr>
            <w:tcW w:w="1880" w:type="dxa"/>
            <w:shd w:val="clear" w:color="auto" w:fill="auto"/>
          </w:tcPr>
          <w:p w14:paraId="4C3F18B6" w14:textId="77777777" w:rsidR="004B1DC7" w:rsidRPr="000151BA" w:rsidRDefault="004B1DC7" w:rsidP="001A78AF">
            <w:pPr>
              <w:rPr>
                <w:sz w:val="20"/>
                <w:szCs w:val="20"/>
              </w:rPr>
            </w:pPr>
            <w:r w:rsidRPr="000151BA">
              <w:rPr>
                <w:sz w:val="20"/>
                <w:szCs w:val="20"/>
              </w:rPr>
              <w:t>3:45 - 4:45 pm</w:t>
            </w:r>
          </w:p>
          <w:p w14:paraId="2BA3DE2D" w14:textId="77777777" w:rsidR="004B1DC7" w:rsidRPr="000151BA" w:rsidRDefault="004B1DC7" w:rsidP="001A78AF">
            <w:pPr>
              <w:rPr>
                <w:sz w:val="20"/>
                <w:szCs w:val="20"/>
              </w:rPr>
            </w:pPr>
          </w:p>
        </w:tc>
        <w:tc>
          <w:tcPr>
            <w:tcW w:w="5114" w:type="dxa"/>
            <w:shd w:val="clear" w:color="auto" w:fill="auto"/>
          </w:tcPr>
          <w:p w14:paraId="488F38F1" w14:textId="77777777" w:rsidR="004B1DC7" w:rsidRPr="000151BA" w:rsidRDefault="004B1DC7" w:rsidP="000B5B50">
            <w:pPr>
              <w:rPr>
                <w:sz w:val="20"/>
                <w:szCs w:val="20"/>
              </w:rPr>
            </w:pPr>
            <w:r w:rsidRPr="000151BA">
              <w:rPr>
                <w:sz w:val="20"/>
                <w:szCs w:val="20"/>
              </w:rPr>
              <w:t>Meeting with Dr Duncan Overfield, Deputy Head &amp; Regional Economic Development Team Leader, DFID Asia Regional &amp; Dr Jaya Singh Verma, Senior Prorgamme Manager, Asia Regional, DFID</w:t>
            </w:r>
          </w:p>
          <w:p w14:paraId="3988522A" w14:textId="77777777" w:rsidR="004B1DC7" w:rsidRPr="000151BA" w:rsidRDefault="004B1DC7" w:rsidP="000B5B50">
            <w:pPr>
              <w:rPr>
                <w:sz w:val="20"/>
                <w:szCs w:val="20"/>
              </w:rPr>
            </w:pPr>
          </w:p>
        </w:tc>
        <w:tc>
          <w:tcPr>
            <w:tcW w:w="1440" w:type="dxa"/>
            <w:shd w:val="clear" w:color="auto" w:fill="auto"/>
          </w:tcPr>
          <w:p w14:paraId="3DC4DC37" w14:textId="77777777" w:rsidR="004B1DC7" w:rsidRPr="000151BA" w:rsidRDefault="004B1DC7" w:rsidP="00404A8A">
            <w:pPr>
              <w:rPr>
                <w:b/>
                <w:sz w:val="20"/>
                <w:szCs w:val="20"/>
              </w:rPr>
            </w:pPr>
            <w:r w:rsidRPr="000151BA">
              <w:rPr>
                <w:sz w:val="20"/>
                <w:szCs w:val="20"/>
              </w:rPr>
              <w:t>The Australian High Commission</w:t>
            </w:r>
          </w:p>
        </w:tc>
      </w:tr>
      <w:tr w:rsidR="004B1DC7" w:rsidRPr="003E5DEC" w14:paraId="644D7BFD" w14:textId="77777777">
        <w:trPr>
          <w:trHeight w:val="205"/>
        </w:trPr>
        <w:tc>
          <w:tcPr>
            <w:tcW w:w="8434" w:type="dxa"/>
            <w:gridSpan w:val="3"/>
            <w:shd w:val="clear" w:color="auto" w:fill="DEEAF6" w:themeFill="accent5" w:themeFillTint="33"/>
          </w:tcPr>
          <w:p w14:paraId="0D50800F" w14:textId="77777777" w:rsidR="004B1DC7" w:rsidRPr="000151BA" w:rsidRDefault="004B1DC7" w:rsidP="001A78AF">
            <w:pPr>
              <w:rPr>
                <w:sz w:val="20"/>
                <w:szCs w:val="20"/>
              </w:rPr>
            </w:pPr>
            <w:r w:rsidRPr="000151BA">
              <w:rPr>
                <w:sz w:val="20"/>
                <w:szCs w:val="20"/>
              </w:rPr>
              <w:t>Wednesday, February 14, 2018, New Delhi</w:t>
            </w:r>
          </w:p>
        </w:tc>
      </w:tr>
      <w:tr w:rsidR="004B1DC7" w:rsidRPr="003E5DEC" w14:paraId="0705A104" w14:textId="77777777">
        <w:trPr>
          <w:trHeight w:val="330"/>
        </w:trPr>
        <w:tc>
          <w:tcPr>
            <w:tcW w:w="1880" w:type="dxa"/>
          </w:tcPr>
          <w:p w14:paraId="0B9A9020" w14:textId="77777777" w:rsidR="004B1DC7" w:rsidRPr="000151BA" w:rsidRDefault="004B1DC7" w:rsidP="001A78AF">
            <w:pPr>
              <w:rPr>
                <w:sz w:val="20"/>
                <w:szCs w:val="20"/>
              </w:rPr>
            </w:pPr>
            <w:r w:rsidRPr="000151BA">
              <w:rPr>
                <w:sz w:val="20"/>
                <w:szCs w:val="20"/>
              </w:rPr>
              <w:t>10.00 - 11.00 am</w:t>
            </w:r>
          </w:p>
        </w:tc>
        <w:tc>
          <w:tcPr>
            <w:tcW w:w="5114" w:type="dxa"/>
          </w:tcPr>
          <w:p w14:paraId="4397CEBA" w14:textId="77777777" w:rsidR="004B1DC7" w:rsidRPr="000151BA" w:rsidRDefault="004B1DC7" w:rsidP="001A78AF">
            <w:pPr>
              <w:rPr>
                <w:sz w:val="20"/>
                <w:szCs w:val="20"/>
              </w:rPr>
            </w:pPr>
            <w:r w:rsidRPr="000151BA">
              <w:rPr>
                <w:sz w:val="20"/>
                <w:szCs w:val="20"/>
              </w:rPr>
              <w:t xml:space="preserve">Meeting with SARTFP Secretariat </w:t>
            </w:r>
          </w:p>
          <w:p w14:paraId="31E28AC4" w14:textId="77777777" w:rsidR="004B1DC7" w:rsidRPr="000151BA" w:rsidRDefault="004B1DC7" w:rsidP="000B5B50">
            <w:pPr>
              <w:rPr>
                <w:sz w:val="20"/>
                <w:szCs w:val="20"/>
              </w:rPr>
            </w:pPr>
            <w:r w:rsidRPr="000151BA">
              <w:rPr>
                <w:sz w:val="20"/>
                <w:szCs w:val="20"/>
              </w:rPr>
              <w:t xml:space="preserve">Mandakini Kaul, Window Manager, SARTFP </w:t>
            </w:r>
          </w:p>
          <w:p w14:paraId="5AF248D5" w14:textId="77777777" w:rsidR="004B1DC7" w:rsidRPr="000151BA" w:rsidRDefault="004B1DC7" w:rsidP="000B5B50">
            <w:pPr>
              <w:rPr>
                <w:b/>
                <w:sz w:val="20"/>
                <w:szCs w:val="20"/>
              </w:rPr>
            </w:pPr>
            <w:r w:rsidRPr="000151BA">
              <w:rPr>
                <w:sz w:val="20"/>
                <w:szCs w:val="20"/>
              </w:rPr>
              <w:t>Sanjay Gupta, Regional Cooperation Consultant</w:t>
            </w:r>
          </w:p>
        </w:tc>
        <w:tc>
          <w:tcPr>
            <w:tcW w:w="1440" w:type="dxa"/>
          </w:tcPr>
          <w:p w14:paraId="1BE10619" w14:textId="77777777" w:rsidR="004B1DC7" w:rsidRPr="000151BA" w:rsidRDefault="004B1DC7" w:rsidP="00404A8A">
            <w:pPr>
              <w:rPr>
                <w:rFonts w:eastAsia="Constantia"/>
                <w:sz w:val="20"/>
                <w:szCs w:val="20"/>
              </w:rPr>
            </w:pPr>
            <w:r w:rsidRPr="000151BA">
              <w:rPr>
                <w:rFonts w:eastAsia="Constantia"/>
                <w:sz w:val="20"/>
                <w:szCs w:val="20"/>
              </w:rPr>
              <w:t xml:space="preserve">World Bank, </w:t>
            </w:r>
          </w:p>
          <w:p w14:paraId="22B3A415" w14:textId="77777777" w:rsidR="004B1DC7" w:rsidRPr="000151BA" w:rsidRDefault="004B1DC7" w:rsidP="00F311EB">
            <w:pPr>
              <w:rPr>
                <w:rFonts w:eastAsia="Constantia"/>
                <w:sz w:val="20"/>
                <w:szCs w:val="20"/>
              </w:rPr>
            </w:pPr>
            <w:r w:rsidRPr="000151BA">
              <w:rPr>
                <w:rFonts w:eastAsia="Constantia"/>
                <w:sz w:val="20"/>
                <w:szCs w:val="20"/>
              </w:rPr>
              <w:t>HT office</w:t>
            </w:r>
          </w:p>
          <w:p w14:paraId="60AA798B" w14:textId="77777777" w:rsidR="004B1DC7" w:rsidRPr="000151BA" w:rsidRDefault="004B1DC7" w:rsidP="00894DA7">
            <w:pPr>
              <w:rPr>
                <w:rFonts w:eastAsia="Constantia"/>
                <w:sz w:val="20"/>
                <w:szCs w:val="20"/>
              </w:rPr>
            </w:pPr>
            <w:r w:rsidRPr="000151BA">
              <w:rPr>
                <w:rFonts w:eastAsia="Constantia"/>
                <w:sz w:val="20"/>
                <w:szCs w:val="20"/>
              </w:rPr>
              <w:t>Meeting room 330</w:t>
            </w:r>
          </w:p>
        </w:tc>
      </w:tr>
      <w:tr w:rsidR="004B1DC7" w:rsidRPr="003E5DEC" w14:paraId="302D7D34" w14:textId="77777777">
        <w:trPr>
          <w:trHeight w:val="330"/>
        </w:trPr>
        <w:tc>
          <w:tcPr>
            <w:tcW w:w="1880" w:type="dxa"/>
          </w:tcPr>
          <w:p w14:paraId="7DFECFEB" w14:textId="77777777" w:rsidR="004B1DC7" w:rsidRPr="000151BA" w:rsidRDefault="004B1DC7" w:rsidP="001A78AF">
            <w:pPr>
              <w:rPr>
                <w:sz w:val="20"/>
                <w:szCs w:val="20"/>
              </w:rPr>
            </w:pPr>
            <w:r w:rsidRPr="000151BA">
              <w:rPr>
                <w:sz w:val="20"/>
                <w:szCs w:val="20"/>
              </w:rPr>
              <w:t>11.00 - 12.00 pm</w:t>
            </w:r>
          </w:p>
        </w:tc>
        <w:tc>
          <w:tcPr>
            <w:tcW w:w="5114" w:type="dxa"/>
          </w:tcPr>
          <w:p w14:paraId="337B76CA" w14:textId="77777777" w:rsidR="004B1DC7" w:rsidRPr="000151BA" w:rsidRDefault="004B1DC7" w:rsidP="001A78AF">
            <w:pPr>
              <w:rPr>
                <w:sz w:val="20"/>
                <w:szCs w:val="20"/>
              </w:rPr>
            </w:pPr>
            <w:r w:rsidRPr="000151BA">
              <w:rPr>
                <w:sz w:val="20"/>
                <w:szCs w:val="20"/>
              </w:rPr>
              <w:t xml:space="preserve">Meeting with IFG TTLs </w:t>
            </w:r>
          </w:p>
          <w:p w14:paraId="2288E625" w14:textId="77777777" w:rsidR="004B1DC7" w:rsidRPr="000151BA" w:rsidRDefault="004B1DC7" w:rsidP="000B5B50">
            <w:pPr>
              <w:rPr>
                <w:sz w:val="20"/>
                <w:szCs w:val="20"/>
              </w:rPr>
            </w:pPr>
            <w:r w:rsidRPr="000151BA">
              <w:rPr>
                <w:sz w:val="20"/>
                <w:szCs w:val="20"/>
              </w:rPr>
              <w:t>1. India NE Transmission and Distribution</w:t>
            </w:r>
          </w:p>
          <w:p w14:paraId="78F1ED35" w14:textId="77777777" w:rsidR="004B1DC7" w:rsidRPr="000151BA" w:rsidRDefault="004B1DC7" w:rsidP="000B5B50">
            <w:pPr>
              <w:rPr>
                <w:sz w:val="20"/>
                <w:szCs w:val="20"/>
              </w:rPr>
            </w:pPr>
            <w:r w:rsidRPr="000151BA">
              <w:rPr>
                <w:sz w:val="20"/>
                <w:szCs w:val="20"/>
              </w:rPr>
              <w:t>Rohit Mittal, Senior Energy Specialist (TTL)</w:t>
            </w:r>
          </w:p>
          <w:p w14:paraId="74260D4D" w14:textId="77777777" w:rsidR="004B1DC7" w:rsidRPr="000151BA" w:rsidRDefault="004B1DC7" w:rsidP="00404A8A">
            <w:pPr>
              <w:rPr>
                <w:b/>
                <w:sz w:val="20"/>
                <w:szCs w:val="20"/>
              </w:rPr>
            </w:pPr>
            <w:r w:rsidRPr="000151BA">
              <w:rPr>
                <w:sz w:val="20"/>
                <w:szCs w:val="20"/>
              </w:rPr>
              <w:t>Amol Gupta, Energy Specialist</w:t>
            </w:r>
            <w:r w:rsidRPr="000151BA">
              <w:rPr>
                <w:b/>
                <w:sz w:val="20"/>
                <w:szCs w:val="20"/>
              </w:rPr>
              <w:t xml:space="preserve"> </w:t>
            </w:r>
            <w:r w:rsidRPr="000151BA">
              <w:rPr>
                <w:sz w:val="20"/>
                <w:szCs w:val="20"/>
              </w:rPr>
              <w:t>(Team Member)</w:t>
            </w:r>
          </w:p>
        </w:tc>
        <w:tc>
          <w:tcPr>
            <w:tcW w:w="1440" w:type="dxa"/>
          </w:tcPr>
          <w:p w14:paraId="72D93755" w14:textId="77777777" w:rsidR="004B1DC7" w:rsidRPr="000151BA" w:rsidRDefault="004B1DC7" w:rsidP="00F311EB">
            <w:pPr>
              <w:rPr>
                <w:rFonts w:eastAsia="Constantia"/>
                <w:sz w:val="20"/>
                <w:szCs w:val="20"/>
              </w:rPr>
            </w:pPr>
            <w:r w:rsidRPr="000151BA">
              <w:rPr>
                <w:rFonts w:eastAsia="Constantia"/>
                <w:sz w:val="20"/>
                <w:szCs w:val="20"/>
              </w:rPr>
              <w:t xml:space="preserve">World Bank, </w:t>
            </w:r>
          </w:p>
          <w:p w14:paraId="122CBB88" w14:textId="77777777" w:rsidR="004B1DC7" w:rsidRPr="000151BA" w:rsidRDefault="004B1DC7" w:rsidP="00894DA7">
            <w:pPr>
              <w:rPr>
                <w:rFonts w:eastAsia="Constantia"/>
                <w:sz w:val="20"/>
                <w:szCs w:val="20"/>
              </w:rPr>
            </w:pPr>
            <w:r w:rsidRPr="000151BA">
              <w:rPr>
                <w:rFonts w:eastAsia="Constantia"/>
                <w:sz w:val="20"/>
                <w:szCs w:val="20"/>
              </w:rPr>
              <w:t>HT office</w:t>
            </w:r>
          </w:p>
          <w:p w14:paraId="5923096D" w14:textId="77777777" w:rsidR="004B1DC7" w:rsidRPr="000151BA" w:rsidRDefault="004B1DC7" w:rsidP="00296968">
            <w:pPr>
              <w:rPr>
                <w:rFonts w:eastAsia="Constantia"/>
                <w:sz w:val="20"/>
                <w:szCs w:val="20"/>
              </w:rPr>
            </w:pPr>
            <w:r w:rsidRPr="000151BA">
              <w:rPr>
                <w:rFonts w:eastAsia="Constantia"/>
                <w:sz w:val="20"/>
                <w:szCs w:val="20"/>
              </w:rPr>
              <w:t>Meeting room 330</w:t>
            </w:r>
          </w:p>
        </w:tc>
      </w:tr>
      <w:tr w:rsidR="004B1DC7" w:rsidRPr="003E5DEC" w14:paraId="297554CD" w14:textId="77777777">
        <w:trPr>
          <w:trHeight w:val="330"/>
        </w:trPr>
        <w:tc>
          <w:tcPr>
            <w:tcW w:w="1880" w:type="dxa"/>
          </w:tcPr>
          <w:p w14:paraId="5C290F3A" w14:textId="77777777" w:rsidR="004B1DC7" w:rsidRPr="000151BA" w:rsidRDefault="004B1DC7" w:rsidP="001A78AF">
            <w:pPr>
              <w:rPr>
                <w:sz w:val="20"/>
                <w:szCs w:val="20"/>
              </w:rPr>
            </w:pPr>
            <w:r w:rsidRPr="000151BA">
              <w:rPr>
                <w:sz w:val="20"/>
                <w:szCs w:val="20"/>
              </w:rPr>
              <w:t>12.00 - 1.00 pm</w:t>
            </w:r>
          </w:p>
        </w:tc>
        <w:tc>
          <w:tcPr>
            <w:tcW w:w="5114" w:type="dxa"/>
          </w:tcPr>
          <w:p w14:paraId="2E3A0E05" w14:textId="77777777" w:rsidR="004B1DC7" w:rsidRPr="000151BA" w:rsidRDefault="004B1DC7" w:rsidP="001A78AF">
            <w:pPr>
              <w:rPr>
                <w:sz w:val="20"/>
                <w:szCs w:val="20"/>
              </w:rPr>
            </w:pPr>
            <w:r w:rsidRPr="000151BA">
              <w:rPr>
                <w:sz w:val="20"/>
                <w:szCs w:val="20"/>
              </w:rPr>
              <w:t>Meeting with SARTFP TTLs</w:t>
            </w:r>
          </w:p>
          <w:p w14:paraId="0438A984" w14:textId="77777777" w:rsidR="004B1DC7" w:rsidRPr="000151BA" w:rsidRDefault="004B1DC7" w:rsidP="000B5B50">
            <w:pPr>
              <w:rPr>
                <w:sz w:val="20"/>
                <w:szCs w:val="20"/>
              </w:rPr>
            </w:pPr>
            <w:r w:rsidRPr="000151BA">
              <w:rPr>
                <w:sz w:val="20"/>
                <w:szCs w:val="20"/>
              </w:rPr>
              <w:t>1. Addressing Women’s and Children’s Risks from Enhanced connectivity</w:t>
            </w:r>
          </w:p>
          <w:p w14:paraId="0CCBDC50" w14:textId="77777777" w:rsidR="004B1DC7" w:rsidRPr="000151BA" w:rsidRDefault="004B1DC7" w:rsidP="000B5B50">
            <w:pPr>
              <w:rPr>
                <w:sz w:val="20"/>
                <w:szCs w:val="20"/>
              </w:rPr>
            </w:pPr>
            <w:r w:rsidRPr="000151BA">
              <w:rPr>
                <w:sz w:val="20"/>
                <w:szCs w:val="20"/>
              </w:rPr>
              <w:lastRenderedPageBreak/>
              <w:t>Mridula Singh, Senior Social Development Specialist (TTL)</w:t>
            </w:r>
          </w:p>
          <w:p w14:paraId="03CF94C0" w14:textId="77777777" w:rsidR="004B1DC7" w:rsidRPr="000151BA" w:rsidRDefault="004B1DC7" w:rsidP="00404A8A">
            <w:pPr>
              <w:rPr>
                <w:sz w:val="20"/>
                <w:szCs w:val="20"/>
              </w:rPr>
            </w:pPr>
            <w:r w:rsidRPr="000151BA">
              <w:rPr>
                <w:sz w:val="20"/>
                <w:szCs w:val="20"/>
              </w:rPr>
              <w:t>2. Assam Inland Waterways</w:t>
            </w:r>
          </w:p>
          <w:p w14:paraId="4D8A3941" w14:textId="77777777" w:rsidR="004B1DC7" w:rsidRPr="000151BA" w:rsidRDefault="004B1DC7" w:rsidP="00F311EB">
            <w:pPr>
              <w:rPr>
                <w:sz w:val="20"/>
                <w:szCs w:val="20"/>
              </w:rPr>
            </w:pPr>
            <w:r w:rsidRPr="000151BA">
              <w:rPr>
                <w:sz w:val="20"/>
                <w:szCs w:val="20"/>
              </w:rPr>
              <w:t>Mridula Singh, Senior Social Development Specialist (Team Member)</w:t>
            </w:r>
          </w:p>
          <w:p w14:paraId="4AC35299" w14:textId="77777777" w:rsidR="004B1DC7" w:rsidRPr="000151BA" w:rsidRDefault="004B1DC7" w:rsidP="00894DA7">
            <w:pPr>
              <w:rPr>
                <w:sz w:val="20"/>
                <w:szCs w:val="20"/>
              </w:rPr>
            </w:pPr>
            <w:r w:rsidRPr="000151BA">
              <w:rPr>
                <w:sz w:val="20"/>
                <w:szCs w:val="20"/>
              </w:rPr>
              <w:t>3. Buddhist Circuit Development</w:t>
            </w:r>
          </w:p>
          <w:p w14:paraId="42448535" w14:textId="77777777" w:rsidR="004B1DC7" w:rsidRPr="000151BA" w:rsidRDefault="004B1DC7" w:rsidP="00296968">
            <w:pPr>
              <w:rPr>
                <w:sz w:val="20"/>
                <w:szCs w:val="20"/>
              </w:rPr>
            </w:pPr>
            <w:r w:rsidRPr="000151BA">
              <w:rPr>
                <w:sz w:val="20"/>
                <w:szCs w:val="20"/>
              </w:rPr>
              <w:t>Sanjay Saxena, Tourism Consultant (Team Member)</w:t>
            </w:r>
          </w:p>
          <w:p w14:paraId="59B722FC" w14:textId="77777777" w:rsidR="004B1DC7" w:rsidRPr="000151BA" w:rsidRDefault="004B1DC7" w:rsidP="00B17CA6">
            <w:pPr>
              <w:rPr>
                <w:sz w:val="20"/>
                <w:szCs w:val="20"/>
              </w:rPr>
            </w:pPr>
            <w:r w:rsidRPr="000151BA">
              <w:rPr>
                <w:sz w:val="20"/>
                <w:szCs w:val="20"/>
              </w:rPr>
              <w:t>4. Advancing Women’s Enterprises for Economic Impact in the farm/nonfarm value chain and regional trade</w:t>
            </w:r>
          </w:p>
          <w:p w14:paraId="61C60A7E" w14:textId="77777777" w:rsidR="004B1DC7" w:rsidRPr="000151BA" w:rsidRDefault="004B1DC7" w:rsidP="00A004B7">
            <w:pPr>
              <w:rPr>
                <w:sz w:val="20"/>
                <w:szCs w:val="20"/>
              </w:rPr>
            </w:pPr>
            <w:r w:rsidRPr="000151BA">
              <w:rPr>
                <w:sz w:val="20"/>
                <w:szCs w:val="20"/>
              </w:rPr>
              <w:t>Priti Kumar, Senior Agricultural Specialist (TTL)</w:t>
            </w:r>
          </w:p>
          <w:p w14:paraId="058D61AA" w14:textId="77777777" w:rsidR="004B1DC7" w:rsidRPr="000151BA" w:rsidRDefault="004B1DC7" w:rsidP="00A004B7">
            <w:pPr>
              <w:rPr>
                <w:sz w:val="20"/>
                <w:szCs w:val="20"/>
              </w:rPr>
            </w:pPr>
            <w:r w:rsidRPr="000151BA">
              <w:rPr>
                <w:sz w:val="20"/>
                <w:szCs w:val="20"/>
              </w:rPr>
              <w:t>Monica Raina, Civil Society and Livelihood Consultant (Team Member)</w:t>
            </w:r>
          </w:p>
        </w:tc>
        <w:tc>
          <w:tcPr>
            <w:tcW w:w="1440" w:type="dxa"/>
          </w:tcPr>
          <w:p w14:paraId="1BE85ABA" w14:textId="77777777" w:rsidR="004B1DC7" w:rsidRPr="000151BA" w:rsidRDefault="004B1DC7" w:rsidP="00C36D62">
            <w:pPr>
              <w:rPr>
                <w:rFonts w:eastAsia="Constantia"/>
                <w:sz w:val="20"/>
                <w:szCs w:val="20"/>
              </w:rPr>
            </w:pPr>
            <w:r w:rsidRPr="000151BA">
              <w:rPr>
                <w:rFonts w:eastAsia="Constantia"/>
                <w:sz w:val="20"/>
                <w:szCs w:val="20"/>
              </w:rPr>
              <w:lastRenderedPageBreak/>
              <w:t xml:space="preserve">World Bank, </w:t>
            </w:r>
          </w:p>
          <w:p w14:paraId="3BED4C3D" w14:textId="77777777" w:rsidR="004B1DC7" w:rsidRPr="000151BA" w:rsidRDefault="004B1DC7" w:rsidP="00F33717">
            <w:pPr>
              <w:rPr>
                <w:rFonts w:eastAsia="Constantia"/>
                <w:sz w:val="20"/>
                <w:szCs w:val="20"/>
              </w:rPr>
            </w:pPr>
            <w:r w:rsidRPr="000151BA">
              <w:rPr>
                <w:rFonts w:eastAsia="Constantia"/>
                <w:sz w:val="20"/>
                <w:szCs w:val="20"/>
              </w:rPr>
              <w:t>HT office</w:t>
            </w:r>
          </w:p>
          <w:p w14:paraId="1992A29E" w14:textId="77777777" w:rsidR="004B1DC7" w:rsidRPr="000151BA" w:rsidRDefault="004B1DC7">
            <w:pPr>
              <w:rPr>
                <w:rFonts w:eastAsia="Constantia"/>
                <w:sz w:val="20"/>
                <w:szCs w:val="20"/>
              </w:rPr>
            </w:pPr>
            <w:r w:rsidRPr="000151BA">
              <w:rPr>
                <w:rFonts w:eastAsia="Constantia"/>
                <w:sz w:val="20"/>
                <w:szCs w:val="20"/>
              </w:rPr>
              <w:lastRenderedPageBreak/>
              <w:t>Meeting room 330</w:t>
            </w:r>
          </w:p>
        </w:tc>
      </w:tr>
      <w:tr w:rsidR="004B1DC7" w:rsidRPr="003E5DEC" w14:paraId="47A244EB" w14:textId="77777777">
        <w:trPr>
          <w:trHeight w:val="56"/>
        </w:trPr>
        <w:tc>
          <w:tcPr>
            <w:tcW w:w="8434" w:type="dxa"/>
            <w:gridSpan w:val="3"/>
          </w:tcPr>
          <w:p w14:paraId="1543084E" w14:textId="77777777" w:rsidR="004B1DC7" w:rsidRPr="000151BA" w:rsidRDefault="004B1DC7" w:rsidP="001A78AF">
            <w:pPr>
              <w:rPr>
                <w:sz w:val="20"/>
                <w:szCs w:val="20"/>
              </w:rPr>
            </w:pPr>
            <w:r w:rsidRPr="000151BA">
              <w:rPr>
                <w:sz w:val="20"/>
                <w:szCs w:val="20"/>
              </w:rPr>
              <w:lastRenderedPageBreak/>
              <w:t>Mandakini Kaul will join all meetings on February 14</w:t>
            </w:r>
          </w:p>
        </w:tc>
      </w:tr>
      <w:tr w:rsidR="004B1DC7" w:rsidRPr="003E5DEC" w14:paraId="651C953E" w14:textId="77777777">
        <w:trPr>
          <w:trHeight w:val="205"/>
        </w:trPr>
        <w:tc>
          <w:tcPr>
            <w:tcW w:w="8434" w:type="dxa"/>
            <w:gridSpan w:val="3"/>
            <w:shd w:val="clear" w:color="auto" w:fill="DEEAF6" w:themeFill="accent5" w:themeFillTint="33"/>
          </w:tcPr>
          <w:p w14:paraId="373AC822" w14:textId="77777777" w:rsidR="004B1DC7" w:rsidRPr="000151BA" w:rsidRDefault="004B1DC7" w:rsidP="001A78AF">
            <w:pPr>
              <w:rPr>
                <w:sz w:val="20"/>
                <w:szCs w:val="20"/>
              </w:rPr>
            </w:pPr>
            <w:r w:rsidRPr="000151BA">
              <w:rPr>
                <w:sz w:val="20"/>
                <w:szCs w:val="20"/>
              </w:rPr>
              <w:t>Thursday, February 15, 2018, Varanasi – Sarnath</w:t>
            </w:r>
          </w:p>
        </w:tc>
      </w:tr>
      <w:tr w:rsidR="004B1DC7" w:rsidRPr="003E5DEC" w14:paraId="30E8D92D" w14:textId="77777777">
        <w:trPr>
          <w:trHeight w:val="205"/>
        </w:trPr>
        <w:tc>
          <w:tcPr>
            <w:tcW w:w="8434" w:type="dxa"/>
            <w:gridSpan w:val="3"/>
            <w:shd w:val="clear" w:color="auto" w:fill="auto"/>
          </w:tcPr>
          <w:p w14:paraId="14966403" w14:textId="77777777" w:rsidR="004B1DC7" w:rsidRPr="000151BA" w:rsidRDefault="004B1DC7" w:rsidP="001A78AF">
            <w:pPr>
              <w:rPr>
                <w:sz w:val="20"/>
                <w:szCs w:val="20"/>
              </w:rPr>
            </w:pPr>
            <w:r w:rsidRPr="000151BA">
              <w:rPr>
                <w:sz w:val="20"/>
                <w:szCs w:val="20"/>
              </w:rPr>
              <w:t xml:space="preserve">One-day field trip to Sarnath for the Buddhist Circuits activity. </w:t>
            </w:r>
          </w:p>
          <w:p w14:paraId="68877D90" w14:textId="77777777" w:rsidR="004B1DC7" w:rsidRPr="000151BA" w:rsidRDefault="004B1DC7" w:rsidP="001A78AF">
            <w:pPr>
              <w:rPr>
                <w:sz w:val="20"/>
                <w:szCs w:val="20"/>
              </w:rPr>
            </w:pPr>
            <w:r w:rsidRPr="000151BA">
              <w:rPr>
                <w:sz w:val="20"/>
                <w:szCs w:val="20"/>
              </w:rPr>
              <w:t>Attendees: Sanjay Saxena, Tanushree Bhowmik, Beth Elson</w:t>
            </w:r>
          </w:p>
        </w:tc>
      </w:tr>
    </w:tbl>
    <w:p w14:paraId="6FE06158" w14:textId="77777777" w:rsidR="004B1DC7" w:rsidRDefault="004B1DC7" w:rsidP="00F65774"/>
    <w:p w14:paraId="0E03708C" w14:textId="2DD5C4A0" w:rsidR="004B1DC7" w:rsidRPr="00351A51" w:rsidRDefault="004B1DC7" w:rsidP="001B449B">
      <w:pPr>
        <w:pStyle w:val="Heading2"/>
      </w:pPr>
      <w:bookmarkStart w:id="75" w:name="_Toc517615262"/>
      <w:r w:rsidRPr="00351A51">
        <w:t xml:space="preserve">Annex </w:t>
      </w:r>
      <w:r w:rsidR="00C038F9">
        <w:t>9</w:t>
      </w:r>
      <w:r w:rsidRPr="00351A51">
        <w:t>: Strategic alignment</w:t>
      </w:r>
      <w:bookmarkEnd w:id="75"/>
    </w:p>
    <w:p w14:paraId="35015CD6" w14:textId="77777777" w:rsidR="004B1DC7" w:rsidRPr="000151BA" w:rsidRDefault="004B1DC7" w:rsidP="001B449B">
      <w:pPr>
        <w:rPr>
          <w:sz w:val="22"/>
        </w:rPr>
      </w:pPr>
      <w:r w:rsidRPr="000151BA">
        <w:rPr>
          <w:sz w:val="22"/>
        </w:rPr>
        <w:t>(This is taken from ‘</w:t>
      </w:r>
      <w:r w:rsidRPr="000151BA">
        <w:rPr>
          <w:b/>
          <w:sz w:val="22"/>
        </w:rPr>
        <w:t xml:space="preserve">Working with the World Bank on Gender Equality’, </w:t>
      </w:r>
      <w:r w:rsidRPr="000151BA">
        <w:rPr>
          <w:sz w:val="22"/>
        </w:rPr>
        <w:t>A note prepared for DFAT team working on Pakistan. October 2017.)</w:t>
      </w:r>
    </w:p>
    <w:p w14:paraId="10535D81" w14:textId="77777777" w:rsidR="004B1DC7" w:rsidRPr="000151BA" w:rsidRDefault="004B1DC7">
      <w:pPr>
        <w:rPr>
          <w:sz w:val="22"/>
        </w:rPr>
      </w:pPr>
    </w:p>
    <w:p w14:paraId="6936D695" w14:textId="77777777" w:rsidR="004B1DC7" w:rsidRPr="000151BA" w:rsidRDefault="004B1DC7">
      <w:pPr>
        <w:rPr>
          <w:sz w:val="22"/>
        </w:rPr>
      </w:pPr>
      <w:r w:rsidRPr="000151BA">
        <w:rPr>
          <w:sz w:val="22"/>
        </w:rPr>
        <w:t>The World Bank Gender Strategy 2016 – 2021 has four objectives. These are compared to the objectives of DFAT’s Gender Equality and Women’s Empowerment Strategy in the table below, with the areas that correspond highlighted.</w:t>
      </w:r>
    </w:p>
    <w:p w14:paraId="77D2FF39" w14:textId="77777777" w:rsidR="004B1DC7" w:rsidRPr="000151BA" w:rsidRDefault="004B1DC7">
      <w:pPr>
        <w:rPr>
          <w:sz w:val="22"/>
        </w:rPr>
      </w:pPr>
      <w:r w:rsidRPr="000151BA">
        <w:rPr>
          <w:sz w:val="22"/>
        </w:rPr>
        <w:t>Comparison of World Bank and DFAT Gender Equality priorities</w:t>
      </w:r>
    </w:p>
    <w:tbl>
      <w:tblPr>
        <w:tblW w:w="8516"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155"/>
      </w:tblGrid>
      <w:tr w:rsidR="004B1DC7" w:rsidRPr="001E25A5" w14:paraId="62ACFB80" w14:textId="77777777">
        <w:tc>
          <w:tcPr>
            <w:tcW w:w="4361" w:type="dxa"/>
            <w:shd w:val="clear" w:color="auto" w:fill="B4C6E7"/>
          </w:tcPr>
          <w:p w14:paraId="74961987" w14:textId="77777777" w:rsidR="004B1DC7" w:rsidRPr="000151BA" w:rsidRDefault="004B1DC7">
            <w:pPr>
              <w:rPr>
                <w:sz w:val="22"/>
              </w:rPr>
            </w:pPr>
            <w:r w:rsidRPr="000151BA">
              <w:rPr>
                <w:sz w:val="22"/>
              </w:rPr>
              <w:t>Four objectives of World Bank gender strategy</w:t>
            </w:r>
          </w:p>
        </w:tc>
        <w:tc>
          <w:tcPr>
            <w:tcW w:w="4155" w:type="dxa"/>
            <w:shd w:val="clear" w:color="auto" w:fill="B4C6E7"/>
          </w:tcPr>
          <w:p w14:paraId="3D5E3892" w14:textId="77777777" w:rsidR="004B1DC7" w:rsidRPr="000151BA" w:rsidRDefault="004B1DC7">
            <w:pPr>
              <w:rPr>
                <w:sz w:val="22"/>
              </w:rPr>
            </w:pPr>
            <w:r w:rsidRPr="000151BA">
              <w:rPr>
                <w:sz w:val="22"/>
              </w:rPr>
              <w:t>Three priorities of DFAT gender equality strategy</w:t>
            </w:r>
          </w:p>
        </w:tc>
      </w:tr>
      <w:tr w:rsidR="004B1DC7" w:rsidRPr="001E25A5" w14:paraId="10BFA2BC" w14:textId="77777777">
        <w:tc>
          <w:tcPr>
            <w:tcW w:w="4361" w:type="dxa"/>
          </w:tcPr>
          <w:p w14:paraId="21393BC3" w14:textId="77777777" w:rsidR="004B1DC7" w:rsidRPr="000151BA" w:rsidRDefault="004B1DC7" w:rsidP="001A78AF">
            <w:pPr>
              <w:rPr>
                <w:sz w:val="22"/>
              </w:rPr>
            </w:pPr>
            <w:r w:rsidRPr="000151BA">
              <w:rPr>
                <w:sz w:val="22"/>
              </w:rPr>
              <w:t>Improving human endowments: health, education, and social protection</w:t>
            </w:r>
          </w:p>
        </w:tc>
        <w:tc>
          <w:tcPr>
            <w:tcW w:w="4155" w:type="dxa"/>
          </w:tcPr>
          <w:p w14:paraId="2BB66EA6" w14:textId="77777777" w:rsidR="004B1DC7" w:rsidRPr="000151BA" w:rsidRDefault="004B1DC7" w:rsidP="001A78AF">
            <w:pPr>
              <w:rPr>
                <w:sz w:val="22"/>
              </w:rPr>
            </w:pPr>
          </w:p>
        </w:tc>
      </w:tr>
      <w:tr w:rsidR="004B1DC7" w:rsidRPr="001E25A5" w14:paraId="595B68DA" w14:textId="77777777">
        <w:tc>
          <w:tcPr>
            <w:tcW w:w="4361" w:type="dxa"/>
            <w:shd w:val="clear" w:color="auto" w:fill="FBE5D5"/>
          </w:tcPr>
          <w:p w14:paraId="22D2C444" w14:textId="77777777" w:rsidR="004B1DC7" w:rsidRPr="000151BA" w:rsidRDefault="004B1DC7" w:rsidP="001A78AF">
            <w:pPr>
              <w:rPr>
                <w:sz w:val="22"/>
              </w:rPr>
            </w:pPr>
            <w:r w:rsidRPr="000151BA">
              <w:rPr>
                <w:sz w:val="22"/>
              </w:rPr>
              <w:t>Removing constraints for more and better jobs</w:t>
            </w:r>
          </w:p>
          <w:p w14:paraId="0AC02080" w14:textId="77777777" w:rsidR="004B1DC7" w:rsidRPr="000151BA" w:rsidRDefault="004B1DC7" w:rsidP="001A78AF">
            <w:pPr>
              <w:rPr>
                <w:sz w:val="22"/>
              </w:rPr>
            </w:pPr>
            <w:r w:rsidRPr="000151BA">
              <w:rPr>
                <w:sz w:val="22"/>
              </w:rPr>
              <w:t>Removing barriers to women’s ownership and control over assets</w:t>
            </w:r>
          </w:p>
        </w:tc>
        <w:tc>
          <w:tcPr>
            <w:tcW w:w="4155" w:type="dxa"/>
            <w:shd w:val="clear" w:color="auto" w:fill="FBE5D5"/>
          </w:tcPr>
          <w:p w14:paraId="07AB8008" w14:textId="77777777" w:rsidR="004B1DC7" w:rsidRPr="000151BA" w:rsidRDefault="004B1DC7" w:rsidP="000B5B50">
            <w:pPr>
              <w:rPr>
                <w:sz w:val="22"/>
              </w:rPr>
            </w:pPr>
            <w:r w:rsidRPr="000151BA">
              <w:rPr>
                <w:sz w:val="22"/>
              </w:rPr>
              <w:t>Promoting women’s economic empowerment</w:t>
            </w:r>
          </w:p>
        </w:tc>
      </w:tr>
      <w:tr w:rsidR="004B1DC7" w:rsidRPr="001E25A5" w14:paraId="648F2234" w14:textId="77777777">
        <w:tc>
          <w:tcPr>
            <w:tcW w:w="4361" w:type="dxa"/>
            <w:shd w:val="clear" w:color="auto" w:fill="FBE5D5"/>
          </w:tcPr>
          <w:p w14:paraId="22D26B02" w14:textId="77777777" w:rsidR="004B1DC7" w:rsidRPr="000151BA" w:rsidRDefault="004B1DC7" w:rsidP="001A78AF">
            <w:pPr>
              <w:rPr>
                <w:sz w:val="22"/>
              </w:rPr>
            </w:pPr>
            <w:r w:rsidRPr="000151BA">
              <w:rPr>
                <w:sz w:val="22"/>
              </w:rPr>
              <w:t>Enhancing women’s voice and agency, and engaging men and boys.</w:t>
            </w:r>
          </w:p>
        </w:tc>
        <w:tc>
          <w:tcPr>
            <w:tcW w:w="4155" w:type="dxa"/>
            <w:shd w:val="clear" w:color="auto" w:fill="FBE5D5"/>
          </w:tcPr>
          <w:p w14:paraId="7D5FF035" w14:textId="77777777" w:rsidR="004B1DC7" w:rsidRPr="000151BA" w:rsidRDefault="004B1DC7" w:rsidP="001A78AF">
            <w:pPr>
              <w:rPr>
                <w:sz w:val="22"/>
              </w:rPr>
            </w:pPr>
            <w:r w:rsidRPr="000151BA">
              <w:rPr>
                <w:sz w:val="22"/>
              </w:rPr>
              <w:t>Enhancing women’s voice in decision-making, leadership and peace-building</w:t>
            </w:r>
          </w:p>
        </w:tc>
      </w:tr>
      <w:tr w:rsidR="004B1DC7" w:rsidRPr="001E25A5" w14:paraId="3DCCD6CE" w14:textId="77777777">
        <w:tc>
          <w:tcPr>
            <w:tcW w:w="4361" w:type="dxa"/>
          </w:tcPr>
          <w:p w14:paraId="622015F5" w14:textId="77777777" w:rsidR="004B1DC7" w:rsidRPr="000151BA" w:rsidRDefault="004B1DC7" w:rsidP="001A78AF">
            <w:pPr>
              <w:rPr>
                <w:sz w:val="22"/>
              </w:rPr>
            </w:pPr>
            <w:r w:rsidRPr="000151BA">
              <w:rPr>
                <w:sz w:val="22"/>
              </w:rPr>
              <w:t>NB While gender based violence is not a key objective of the Gender strategy, there is a commitment to addressing it in fragile contexts in the IDA 17 and 18 agreements (discussed later)</w:t>
            </w:r>
          </w:p>
        </w:tc>
        <w:tc>
          <w:tcPr>
            <w:tcW w:w="4155" w:type="dxa"/>
          </w:tcPr>
          <w:p w14:paraId="03F73585" w14:textId="77777777" w:rsidR="004B1DC7" w:rsidRPr="000151BA" w:rsidRDefault="004B1DC7" w:rsidP="001A78AF">
            <w:pPr>
              <w:rPr>
                <w:sz w:val="22"/>
              </w:rPr>
            </w:pPr>
            <w:r w:rsidRPr="000151BA">
              <w:rPr>
                <w:sz w:val="22"/>
              </w:rPr>
              <w:t>Ending violence against women and girls</w:t>
            </w:r>
          </w:p>
        </w:tc>
      </w:tr>
    </w:tbl>
    <w:p w14:paraId="76596C1B" w14:textId="77777777" w:rsidR="004B1DC7" w:rsidRPr="000151BA" w:rsidRDefault="004B1DC7" w:rsidP="00F65774">
      <w:pPr>
        <w:rPr>
          <w:sz w:val="22"/>
        </w:rPr>
      </w:pPr>
    </w:p>
    <w:p w14:paraId="5F954EC1" w14:textId="77777777" w:rsidR="004B1DC7" w:rsidRPr="000151BA" w:rsidRDefault="004B1DC7" w:rsidP="007D1047">
      <w:pPr>
        <w:rPr>
          <w:sz w:val="22"/>
        </w:rPr>
      </w:pPr>
      <w:r w:rsidRPr="000151BA">
        <w:rPr>
          <w:sz w:val="22"/>
        </w:rPr>
        <w:t xml:space="preserve">The Bank’s strategy requires the Bank to work in certain ways. This equates to the four commitments of Australia’s strategy, although there are significant differences in how the agencies say they will work. </w:t>
      </w:r>
    </w:p>
    <w:p w14:paraId="7DFB2132" w14:textId="77777777" w:rsidR="004B1DC7" w:rsidRPr="000151BA" w:rsidRDefault="004B1DC7" w:rsidP="007D1047">
      <w:pPr>
        <w:rPr>
          <w:sz w:val="22"/>
        </w:rPr>
      </w:pPr>
      <w:r w:rsidRPr="000151BA">
        <w:rPr>
          <w:sz w:val="22"/>
        </w:rPr>
        <w:t>Comparison of World Bank and DFAT approaches</w:t>
      </w:r>
    </w:p>
    <w:tbl>
      <w:tblPr>
        <w:tblW w:w="8516"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155"/>
      </w:tblGrid>
      <w:tr w:rsidR="004B1DC7" w:rsidRPr="001E25A5" w14:paraId="5AE5558F" w14:textId="77777777">
        <w:tc>
          <w:tcPr>
            <w:tcW w:w="4361" w:type="dxa"/>
            <w:shd w:val="clear" w:color="auto" w:fill="B4C6E7"/>
          </w:tcPr>
          <w:p w14:paraId="26356843" w14:textId="77777777" w:rsidR="004B1DC7" w:rsidRPr="000151BA" w:rsidRDefault="004B1DC7" w:rsidP="001A78AF">
            <w:pPr>
              <w:rPr>
                <w:sz w:val="22"/>
              </w:rPr>
            </w:pPr>
            <w:r w:rsidRPr="000151BA">
              <w:rPr>
                <w:sz w:val="22"/>
              </w:rPr>
              <w:lastRenderedPageBreak/>
              <w:t>World Bank requirements</w:t>
            </w:r>
          </w:p>
        </w:tc>
        <w:tc>
          <w:tcPr>
            <w:tcW w:w="4155" w:type="dxa"/>
            <w:shd w:val="clear" w:color="auto" w:fill="B4C6E7"/>
          </w:tcPr>
          <w:p w14:paraId="69ED97CC" w14:textId="77777777" w:rsidR="004B1DC7" w:rsidRPr="000151BA" w:rsidRDefault="004B1DC7" w:rsidP="001A78AF">
            <w:pPr>
              <w:rPr>
                <w:sz w:val="22"/>
              </w:rPr>
            </w:pPr>
            <w:r w:rsidRPr="000151BA">
              <w:rPr>
                <w:sz w:val="22"/>
              </w:rPr>
              <w:t>DFAT commitments</w:t>
            </w:r>
          </w:p>
        </w:tc>
      </w:tr>
      <w:tr w:rsidR="004B1DC7" w:rsidRPr="001E25A5" w14:paraId="362E9E57" w14:textId="77777777">
        <w:tc>
          <w:tcPr>
            <w:tcW w:w="4361" w:type="dxa"/>
          </w:tcPr>
          <w:p w14:paraId="2B1030BB" w14:textId="77777777" w:rsidR="004B1DC7" w:rsidRPr="000151BA" w:rsidRDefault="004B1DC7" w:rsidP="001A78AF">
            <w:pPr>
              <w:rPr>
                <w:sz w:val="22"/>
              </w:rPr>
            </w:pPr>
            <w:r w:rsidRPr="000151BA">
              <w:rPr>
                <w:sz w:val="22"/>
              </w:rPr>
              <w:t>Strengthening the country-driven approach with better country-level diagnostics, policy dialogue and sex-disaggregated data</w:t>
            </w:r>
          </w:p>
          <w:p w14:paraId="272A5159" w14:textId="77777777" w:rsidR="004B1DC7" w:rsidRPr="000151BA" w:rsidRDefault="004B1DC7" w:rsidP="001A78AF">
            <w:pPr>
              <w:rPr>
                <w:sz w:val="22"/>
              </w:rPr>
            </w:pPr>
            <w:r w:rsidRPr="000151BA">
              <w:rPr>
                <w:sz w:val="22"/>
              </w:rPr>
              <w:t>Developing a better understanding on what works for improving gender equality, by undertaking research and impact evaluations</w:t>
            </w:r>
          </w:p>
          <w:p w14:paraId="1D7F8DE3" w14:textId="77777777" w:rsidR="004B1DC7" w:rsidRPr="000151BA" w:rsidRDefault="004B1DC7" w:rsidP="000B5B50">
            <w:pPr>
              <w:rPr>
                <w:sz w:val="22"/>
              </w:rPr>
            </w:pPr>
            <w:r w:rsidRPr="000151BA">
              <w:rPr>
                <w:sz w:val="22"/>
              </w:rPr>
              <w:t>Building more systematically on what works by bringing evidence to task teams and clients</w:t>
            </w:r>
          </w:p>
          <w:p w14:paraId="41730D0A" w14:textId="77777777" w:rsidR="004B1DC7" w:rsidRPr="000151BA" w:rsidRDefault="004B1DC7" w:rsidP="000B5B50">
            <w:pPr>
              <w:rPr>
                <w:sz w:val="22"/>
              </w:rPr>
            </w:pPr>
            <w:r w:rsidRPr="000151BA">
              <w:rPr>
                <w:sz w:val="22"/>
              </w:rPr>
              <w:t>Adopting a strategic approach to mainstreaming that helps achieve results on issues identified as key priorities in client countries, including a more robust monitoring system</w:t>
            </w:r>
          </w:p>
          <w:p w14:paraId="75C80EB9" w14:textId="77777777" w:rsidR="004B1DC7" w:rsidRPr="000151BA" w:rsidRDefault="004B1DC7" w:rsidP="00404A8A">
            <w:pPr>
              <w:rPr>
                <w:sz w:val="22"/>
              </w:rPr>
            </w:pPr>
            <w:r w:rsidRPr="000151BA">
              <w:rPr>
                <w:sz w:val="22"/>
              </w:rPr>
              <w:t>Leveraging partnerships for effective outcomes particularly key UN agencies and the private sector</w:t>
            </w:r>
          </w:p>
        </w:tc>
        <w:tc>
          <w:tcPr>
            <w:tcW w:w="4155" w:type="dxa"/>
          </w:tcPr>
          <w:p w14:paraId="16E9C419" w14:textId="77777777" w:rsidR="004B1DC7" w:rsidRPr="000151BA" w:rsidRDefault="004B1DC7" w:rsidP="00F311EB">
            <w:pPr>
              <w:rPr>
                <w:sz w:val="22"/>
              </w:rPr>
            </w:pPr>
            <w:r w:rsidRPr="000151BA">
              <w:rPr>
                <w:sz w:val="22"/>
              </w:rPr>
              <w:t>Integrate gender equality and women’s empowerment into Australia’s foreign policy and work with governments in countries where we work to drive progress towards gender equality</w:t>
            </w:r>
          </w:p>
          <w:p w14:paraId="2114B459" w14:textId="77777777" w:rsidR="004B1DC7" w:rsidRPr="000151BA" w:rsidRDefault="004B1DC7" w:rsidP="00894DA7">
            <w:pPr>
              <w:rPr>
                <w:sz w:val="22"/>
              </w:rPr>
            </w:pPr>
            <w:r w:rsidRPr="000151BA">
              <w:rPr>
                <w:sz w:val="22"/>
              </w:rPr>
              <w:t xml:space="preserve">Integrate gender equality and women’s empowerment into aid for trade investments and economic diplomacy </w:t>
            </w:r>
          </w:p>
          <w:p w14:paraId="325775D4" w14:textId="77777777" w:rsidR="004B1DC7" w:rsidRPr="000151BA" w:rsidRDefault="004B1DC7" w:rsidP="00296968">
            <w:pPr>
              <w:rPr>
                <w:sz w:val="22"/>
              </w:rPr>
            </w:pPr>
            <w:r w:rsidRPr="000151BA">
              <w:rPr>
                <w:sz w:val="22"/>
              </w:rPr>
              <w:t>Invest in gender equality through Australia’s development program</w:t>
            </w:r>
          </w:p>
          <w:p w14:paraId="60500208" w14:textId="77777777" w:rsidR="004B1DC7" w:rsidRPr="000151BA" w:rsidRDefault="004B1DC7" w:rsidP="00B17CA6">
            <w:pPr>
              <w:rPr>
                <w:sz w:val="22"/>
              </w:rPr>
            </w:pPr>
            <w:r w:rsidRPr="000151BA">
              <w:rPr>
                <w:sz w:val="22"/>
              </w:rPr>
              <w:t>Lead by example and promote gender equality in our corporate and human resources policies and practices</w:t>
            </w:r>
          </w:p>
          <w:p w14:paraId="786AD9B3" w14:textId="77777777" w:rsidR="004B1DC7" w:rsidRPr="000151BA" w:rsidRDefault="004B1DC7" w:rsidP="00A004B7">
            <w:pPr>
              <w:rPr>
                <w:sz w:val="22"/>
              </w:rPr>
            </w:pPr>
          </w:p>
        </w:tc>
      </w:tr>
    </w:tbl>
    <w:p w14:paraId="357D4241" w14:textId="77777777" w:rsidR="004B1DC7" w:rsidRPr="00351A51" w:rsidRDefault="004B1DC7" w:rsidP="001A78AF"/>
    <w:p w14:paraId="21637881" w14:textId="77777777" w:rsidR="004B1DC7" w:rsidRPr="000151BA" w:rsidRDefault="004B1DC7" w:rsidP="001A78AF">
      <w:pPr>
        <w:rPr>
          <w:sz w:val="22"/>
        </w:rPr>
      </w:pPr>
      <w:r w:rsidRPr="000151BA">
        <w:rPr>
          <w:sz w:val="22"/>
        </w:rPr>
        <w:t>There are some important differences in these approaches that help explain why the organi</w:t>
      </w:r>
      <w:r w:rsidR="001E25A5" w:rsidRPr="000151BA">
        <w:rPr>
          <w:sz w:val="22"/>
        </w:rPr>
        <w:t>s</w:t>
      </w:r>
      <w:r w:rsidRPr="000151BA">
        <w:rPr>
          <w:sz w:val="22"/>
        </w:rPr>
        <w:t xml:space="preserve">ations work on gender equality and women’s empowerment in different ways: </w:t>
      </w:r>
    </w:p>
    <w:p w14:paraId="0012ABE2" w14:textId="77777777" w:rsidR="004B1DC7" w:rsidRPr="000151BA" w:rsidRDefault="004B1DC7" w:rsidP="001B449B">
      <w:pPr>
        <w:pStyle w:val="ListParagraph"/>
        <w:numPr>
          <w:ilvl w:val="0"/>
          <w:numId w:val="21"/>
        </w:numPr>
        <w:rPr>
          <w:sz w:val="22"/>
        </w:rPr>
      </w:pPr>
      <w:r w:rsidRPr="000151BA">
        <w:rPr>
          <w:sz w:val="22"/>
        </w:rPr>
        <w:t xml:space="preserve">DFAT requires mainstreaming in all their work and monitors the percentage of investments that have mainstreamed gender equality against a target of 80 per cent.  The World Bank requires a strategic approach by identifying priority gender issues at the country level and targeting their effort and resources at these, and second by investing in evaluation and research to identify what works to achieve results, and then scaling this up. </w:t>
      </w:r>
    </w:p>
    <w:p w14:paraId="6758A75C" w14:textId="77777777" w:rsidR="004B1DC7" w:rsidRPr="000151BA" w:rsidRDefault="004B1DC7" w:rsidP="001A78AF">
      <w:pPr>
        <w:pStyle w:val="ListParagraph"/>
        <w:numPr>
          <w:ilvl w:val="0"/>
          <w:numId w:val="21"/>
        </w:numPr>
        <w:rPr>
          <w:sz w:val="22"/>
        </w:rPr>
      </w:pPr>
      <w:r w:rsidRPr="000151BA">
        <w:rPr>
          <w:sz w:val="22"/>
        </w:rPr>
        <w:t>DFAT has a twin track approach: first with specific priority and investments to promote gender equality, and second by integrating gender more effectively in their work.  The Bank does not explicitly state this.</w:t>
      </w:r>
    </w:p>
    <w:p w14:paraId="4F195F58" w14:textId="77777777" w:rsidR="004B1DC7" w:rsidRPr="000151BA" w:rsidRDefault="004B1DC7" w:rsidP="001A78AF">
      <w:pPr>
        <w:pStyle w:val="ListParagraph"/>
        <w:numPr>
          <w:ilvl w:val="0"/>
          <w:numId w:val="21"/>
        </w:numPr>
        <w:rPr>
          <w:sz w:val="22"/>
        </w:rPr>
      </w:pPr>
      <w:r w:rsidRPr="000151BA">
        <w:rPr>
          <w:sz w:val="22"/>
        </w:rPr>
        <w:t>At a country level DFAT works to “drive progress on gender equality”, while the World Bank requires a “country-driven approach” and responding to the priorities of the governments.  For the World Bank this means working with governments and increasing the diagnostic work on gender at the country level to identify key gender equality constraints or priorities that they can then respond to in their programs.</w:t>
      </w:r>
    </w:p>
    <w:p w14:paraId="1B6BA22A" w14:textId="77777777" w:rsidR="004B1DC7" w:rsidRPr="000151BA" w:rsidRDefault="004B1DC7" w:rsidP="001A78AF">
      <w:pPr>
        <w:rPr>
          <w:sz w:val="22"/>
        </w:rPr>
      </w:pPr>
      <w:r w:rsidRPr="000151BA">
        <w:rPr>
          <w:sz w:val="22"/>
        </w:rPr>
        <w:t>The Australian government is represented on the board of the World Bank where the Bank’s gender strategy was approved. This gives DFAT leverage when it comes to expecting that the Bank to, first and foremost, meet its own institutional obligations and commitments. The extent to which DFAT also expects the Bank and its clients to comply with DFAT’s gender strategy, where this might be additional to the Bank’s institutional gender equality obligations, therefore needs to be discussed, clarified, and agreed at the outset of each program that the two organi</w:t>
      </w:r>
      <w:r w:rsidR="001E25A5">
        <w:rPr>
          <w:sz w:val="22"/>
        </w:rPr>
        <w:t>s</w:t>
      </w:r>
      <w:r w:rsidRPr="000151BA">
        <w:rPr>
          <w:sz w:val="22"/>
        </w:rPr>
        <w:t>ations partner on.</w:t>
      </w:r>
    </w:p>
    <w:p w14:paraId="0B38EE04" w14:textId="77777777" w:rsidR="004B1DC7" w:rsidRDefault="004B1DC7" w:rsidP="001A78AF"/>
    <w:p w14:paraId="220FD13E" w14:textId="77777777" w:rsidR="000D5996" w:rsidRDefault="000D5996">
      <w:r>
        <w:br w:type="page"/>
      </w:r>
    </w:p>
    <w:p w14:paraId="53DAFD6E" w14:textId="4ADA9769" w:rsidR="00CF4353" w:rsidRDefault="00CF4353" w:rsidP="001B449B">
      <w:pPr>
        <w:pStyle w:val="Heading2"/>
      </w:pPr>
      <w:bookmarkStart w:id="76" w:name="_Toc517615263"/>
      <w:r>
        <w:lastRenderedPageBreak/>
        <w:t>Annex 1</w:t>
      </w:r>
      <w:r w:rsidR="00C038F9">
        <w:t>0</w:t>
      </w:r>
      <w:r>
        <w:t>: Analysis of selected IFG and SARTFP projects</w:t>
      </w:r>
      <w:bookmarkEnd w:id="76"/>
    </w:p>
    <w:p w14:paraId="133950DC" w14:textId="77777777" w:rsidR="00CF4353" w:rsidRDefault="00CF4353" w:rsidP="001B449B"/>
    <w:p w14:paraId="18DFD0FB" w14:textId="77777777" w:rsidR="00CF4353" w:rsidRPr="000151BA" w:rsidRDefault="00CF4353" w:rsidP="001B449B">
      <w:pPr>
        <w:pStyle w:val="Heading3"/>
        <w:rPr>
          <w:sz w:val="22"/>
        </w:rPr>
      </w:pPr>
      <w:r w:rsidRPr="000151BA">
        <w:rPr>
          <w:sz w:val="22"/>
        </w:rPr>
        <w:t>Selected IFG Projects</w:t>
      </w:r>
    </w:p>
    <w:p w14:paraId="5D60E47B" w14:textId="77777777" w:rsidR="00CF4353" w:rsidRPr="000151BA" w:rsidRDefault="00CF4353">
      <w:pPr>
        <w:pStyle w:val="Heading3"/>
        <w:rPr>
          <w:sz w:val="22"/>
        </w:rPr>
      </w:pPr>
      <w:r w:rsidRPr="000151BA">
        <w:rPr>
          <w:sz w:val="22"/>
        </w:rPr>
        <w:t>1.South Asia Regional Facility for Women’s Economic Empowerment and Integration</w:t>
      </w:r>
    </w:p>
    <w:tbl>
      <w:tblPr>
        <w:tblStyle w:val="GridTable1Light1"/>
        <w:tblW w:w="0" w:type="auto"/>
        <w:tblLook w:val="04A0" w:firstRow="1" w:lastRow="0" w:firstColumn="1" w:lastColumn="0" w:noHBand="0" w:noVBand="1"/>
      </w:tblPr>
      <w:tblGrid>
        <w:gridCol w:w="1062"/>
        <w:gridCol w:w="1064"/>
        <w:gridCol w:w="1059"/>
        <w:gridCol w:w="1018"/>
        <w:gridCol w:w="1328"/>
        <w:gridCol w:w="1272"/>
        <w:gridCol w:w="1036"/>
        <w:gridCol w:w="930"/>
      </w:tblGrid>
      <w:tr w:rsidR="00CF4353" w:rsidRPr="001E25A5" w14:paraId="379D1B71" w14:textId="77777777">
        <w:trPr>
          <w:cnfStyle w:val="100000000000" w:firstRow="1" w:lastRow="0" w:firstColumn="0" w:lastColumn="0" w:oddVBand="0" w:evenVBand="0" w:oddHBand="0"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062" w:type="dxa"/>
            <w:shd w:val="clear" w:color="auto" w:fill="E7E6E6" w:themeFill="background2"/>
          </w:tcPr>
          <w:p w14:paraId="692A1E78" w14:textId="77777777" w:rsidR="00CF4353" w:rsidRPr="000151BA" w:rsidRDefault="00CF4353" w:rsidP="001B449B">
            <w:pPr>
              <w:pStyle w:val="p1"/>
              <w:rPr>
                <w:sz w:val="16"/>
                <w:szCs w:val="16"/>
              </w:rPr>
            </w:pPr>
            <w:r w:rsidRPr="000151BA">
              <w:rPr>
                <w:sz w:val="16"/>
                <w:szCs w:val="16"/>
              </w:rPr>
              <w:t>Country or regional focus</w:t>
            </w:r>
          </w:p>
        </w:tc>
        <w:tc>
          <w:tcPr>
            <w:tcW w:w="1064" w:type="dxa"/>
            <w:shd w:val="clear" w:color="auto" w:fill="E7E6E6" w:themeFill="background2"/>
          </w:tcPr>
          <w:p w14:paraId="0FDFCEFE"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TTL</w:t>
            </w:r>
          </w:p>
        </w:tc>
        <w:tc>
          <w:tcPr>
            <w:tcW w:w="1059" w:type="dxa"/>
            <w:shd w:val="clear" w:color="auto" w:fill="E7E6E6" w:themeFill="background2"/>
          </w:tcPr>
          <w:p w14:paraId="1814A13F"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 xml:space="preserve">Grant Amount </w:t>
            </w:r>
          </w:p>
        </w:tc>
        <w:tc>
          <w:tcPr>
            <w:tcW w:w="1018" w:type="dxa"/>
            <w:shd w:val="clear" w:color="auto" w:fill="E7E6E6" w:themeFill="background2"/>
          </w:tcPr>
          <w:p w14:paraId="6A7A9F7D"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Fund Balance</w:t>
            </w:r>
          </w:p>
        </w:tc>
        <w:tc>
          <w:tcPr>
            <w:tcW w:w="1328" w:type="dxa"/>
            <w:shd w:val="clear" w:color="auto" w:fill="E7E6E6" w:themeFill="background2"/>
          </w:tcPr>
          <w:p w14:paraId="7D4561B0"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 xml:space="preserve">Disbursements </w:t>
            </w:r>
          </w:p>
        </w:tc>
        <w:tc>
          <w:tcPr>
            <w:tcW w:w="1272" w:type="dxa"/>
            <w:shd w:val="clear" w:color="auto" w:fill="E7E6E6" w:themeFill="background2"/>
          </w:tcPr>
          <w:p w14:paraId="69C190A0"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Commitments</w:t>
            </w:r>
          </w:p>
        </w:tc>
        <w:tc>
          <w:tcPr>
            <w:tcW w:w="1036" w:type="dxa"/>
            <w:shd w:val="clear" w:color="auto" w:fill="E7E6E6" w:themeFill="background2"/>
          </w:tcPr>
          <w:p w14:paraId="41D63559"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 disbursed and expensed</w:t>
            </w:r>
          </w:p>
        </w:tc>
        <w:tc>
          <w:tcPr>
            <w:tcW w:w="930" w:type="dxa"/>
            <w:shd w:val="clear" w:color="auto" w:fill="E7E6E6" w:themeFill="background2"/>
          </w:tcPr>
          <w:p w14:paraId="51C96E66"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Grant Closing Date</w:t>
            </w:r>
          </w:p>
        </w:tc>
      </w:tr>
      <w:tr w:rsidR="00CF4353" w:rsidRPr="001E25A5" w14:paraId="019264AC" w14:textId="77777777">
        <w:trPr>
          <w:trHeight w:val="514"/>
        </w:trPr>
        <w:tc>
          <w:tcPr>
            <w:cnfStyle w:val="001000000000" w:firstRow="0" w:lastRow="0" w:firstColumn="1" w:lastColumn="0" w:oddVBand="0" w:evenVBand="0" w:oddHBand="0" w:evenHBand="0" w:firstRowFirstColumn="0" w:firstRowLastColumn="0" w:lastRowFirstColumn="0" w:lastRowLastColumn="0"/>
            <w:tcW w:w="1062" w:type="dxa"/>
          </w:tcPr>
          <w:p w14:paraId="21329678" w14:textId="77777777" w:rsidR="00CF4353" w:rsidRPr="000151BA" w:rsidRDefault="00CF4353" w:rsidP="001B449B">
            <w:pPr>
              <w:rPr>
                <w:sz w:val="16"/>
                <w:szCs w:val="16"/>
              </w:rPr>
            </w:pPr>
            <w:r w:rsidRPr="000151BA">
              <w:rPr>
                <w:sz w:val="16"/>
                <w:szCs w:val="16"/>
              </w:rPr>
              <w:t>South Asia</w:t>
            </w:r>
          </w:p>
        </w:tc>
        <w:tc>
          <w:tcPr>
            <w:tcW w:w="1064" w:type="dxa"/>
          </w:tcPr>
          <w:p w14:paraId="2CC339F5" w14:textId="77777777" w:rsidR="00CF4353" w:rsidRPr="000151BA" w:rsidRDefault="00CF4353" w:rsidP="001B449B">
            <w:pPr>
              <w:cnfStyle w:val="000000000000" w:firstRow="0" w:lastRow="0" w:firstColumn="0" w:lastColumn="0" w:oddVBand="0" w:evenVBand="0" w:oddHBand="0" w:evenHBand="0" w:firstRowFirstColumn="0" w:firstRowLastColumn="0" w:lastRowFirstColumn="0" w:lastRowLastColumn="0"/>
              <w:rPr>
                <w:rFonts w:cs="Times"/>
                <w:sz w:val="16"/>
                <w:szCs w:val="16"/>
              </w:rPr>
            </w:pPr>
            <w:r w:rsidRPr="000151BA">
              <w:rPr>
                <w:sz w:val="16"/>
                <w:szCs w:val="16"/>
              </w:rPr>
              <w:t>Melissa Williams</w:t>
            </w:r>
          </w:p>
        </w:tc>
        <w:tc>
          <w:tcPr>
            <w:tcW w:w="1059" w:type="dxa"/>
          </w:tcPr>
          <w:p w14:paraId="589346F7" w14:textId="77777777" w:rsidR="00CF4353" w:rsidRPr="000151BA" w:rsidRDefault="00CF4353" w:rsidP="001B449B">
            <w:pPr>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384,337.90</w:t>
            </w:r>
          </w:p>
          <w:p w14:paraId="25165F34" w14:textId="77777777" w:rsidR="00CF4353" w:rsidRPr="000151BA" w:rsidRDefault="00CF4353" w:rsidP="001B449B">
            <w:pPr>
              <w:cnfStyle w:val="000000000000" w:firstRow="0" w:lastRow="0" w:firstColumn="0" w:lastColumn="0" w:oddVBand="0" w:evenVBand="0" w:oddHBand="0" w:evenHBand="0" w:firstRowFirstColumn="0" w:firstRowLastColumn="0" w:lastRowFirstColumn="0" w:lastRowLastColumn="0"/>
              <w:rPr>
                <w:sz w:val="16"/>
                <w:szCs w:val="16"/>
              </w:rPr>
            </w:pPr>
          </w:p>
        </w:tc>
        <w:tc>
          <w:tcPr>
            <w:tcW w:w="1018" w:type="dxa"/>
          </w:tcPr>
          <w:p w14:paraId="664F0FD3" w14:textId="77777777" w:rsidR="00CF4353" w:rsidRPr="000151BA" w:rsidRDefault="00CF4353" w:rsidP="001B449B">
            <w:pPr>
              <w:cnfStyle w:val="000000000000" w:firstRow="0" w:lastRow="0" w:firstColumn="0" w:lastColumn="0" w:oddVBand="0" w:evenVBand="0" w:oddHBand="0" w:evenHBand="0" w:firstRowFirstColumn="0" w:firstRowLastColumn="0" w:lastRowFirstColumn="0" w:lastRowLastColumn="0"/>
              <w:rPr>
                <w:sz w:val="16"/>
                <w:szCs w:val="16"/>
              </w:rPr>
            </w:pPr>
          </w:p>
        </w:tc>
        <w:tc>
          <w:tcPr>
            <w:tcW w:w="1328" w:type="dxa"/>
          </w:tcPr>
          <w:p w14:paraId="021F0BDD" w14:textId="77777777" w:rsidR="00CF4353" w:rsidRPr="000151BA" w:rsidRDefault="00CF4353" w:rsidP="001B449B">
            <w:pPr>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384,337.90</w:t>
            </w:r>
          </w:p>
          <w:p w14:paraId="7C16DA93" w14:textId="77777777" w:rsidR="00CF4353" w:rsidRPr="000151BA" w:rsidRDefault="00CF4353" w:rsidP="001B449B">
            <w:pPr>
              <w:cnfStyle w:val="000000000000" w:firstRow="0" w:lastRow="0" w:firstColumn="0" w:lastColumn="0" w:oddVBand="0" w:evenVBand="0" w:oddHBand="0" w:evenHBand="0" w:firstRowFirstColumn="0" w:firstRowLastColumn="0" w:lastRowFirstColumn="0" w:lastRowLastColumn="0"/>
              <w:rPr>
                <w:sz w:val="16"/>
                <w:szCs w:val="16"/>
              </w:rPr>
            </w:pPr>
          </w:p>
        </w:tc>
        <w:tc>
          <w:tcPr>
            <w:tcW w:w="1272" w:type="dxa"/>
          </w:tcPr>
          <w:p w14:paraId="13CC2993" w14:textId="77777777" w:rsidR="00CF4353" w:rsidRPr="000151BA" w:rsidRDefault="00CF4353" w:rsidP="001B449B">
            <w:pPr>
              <w:cnfStyle w:val="000000000000" w:firstRow="0" w:lastRow="0" w:firstColumn="0" w:lastColumn="0" w:oddVBand="0" w:evenVBand="0" w:oddHBand="0" w:evenHBand="0" w:firstRowFirstColumn="0" w:firstRowLastColumn="0" w:lastRowFirstColumn="0" w:lastRowLastColumn="0"/>
              <w:rPr>
                <w:sz w:val="16"/>
                <w:szCs w:val="16"/>
              </w:rPr>
            </w:pPr>
          </w:p>
        </w:tc>
        <w:tc>
          <w:tcPr>
            <w:tcW w:w="1036" w:type="dxa"/>
          </w:tcPr>
          <w:p w14:paraId="1A63B3A9" w14:textId="77777777" w:rsidR="00CF4353" w:rsidRPr="000151BA" w:rsidRDefault="00CF4353" w:rsidP="001B449B">
            <w:pPr>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100%</w:t>
            </w:r>
          </w:p>
        </w:tc>
        <w:tc>
          <w:tcPr>
            <w:tcW w:w="930" w:type="dxa"/>
          </w:tcPr>
          <w:p w14:paraId="7DF02A44" w14:textId="77777777" w:rsidR="00CF4353" w:rsidRPr="000151BA" w:rsidRDefault="00CF4353" w:rsidP="001B449B">
            <w:pPr>
              <w:cnfStyle w:val="000000000000" w:firstRow="0" w:lastRow="0" w:firstColumn="0" w:lastColumn="0" w:oddVBand="0" w:evenVBand="0" w:oddHBand="0" w:evenHBand="0" w:firstRowFirstColumn="0" w:firstRowLastColumn="0" w:lastRowFirstColumn="0" w:lastRowLastColumn="0"/>
              <w:rPr>
                <w:sz w:val="16"/>
                <w:szCs w:val="16"/>
              </w:rPr>
            </w:pPr>
          </w:p>
        </w:tc>
      </w:tr>
    </w:tbl>
    <w:p w14:paraId="682CD899" w14:textId="77777777" w:rsidR="00CF4353" w:rsidRPr="000151BA" w:rsidRDefault="00CF4353" w:rsidP="001B449B">
      <w:pPr>
        <w:pStyle w:val="NormalWeb"/>
        <w:rPr>
          <w:sz w:val="22"/>
        </w:rPr>
      </w:pPr>
      <w:r w:rsidRPr="000151BA">
        <w:rPr>
          <w:sz w:val="22"/>
        </w:rPr>
        <w:t xml:space="preserve">Effectiveness: How did this IFG project perform against its objectives? </w:t>
      </w:r>
    </w:p>
    <w:p w14:paraId="1B7E55AE" w14:textId="77777777" w:rsidR="00CF4353" w:rsidRPr="000151BA" w:rsidRDefault="00CF4353" w:rsidP="001B449B">
      <w:pPr>
        <w:pStyle w:val="NormalWeb"/>
        <w:numPr>
          <w:ilvl w:val="0"/>
          <w:numId w:val="25"/>
        </w:numPr>
        <w:rPr>
          <w:sz w:val="22"/>
        </w:rPr>
      </w:pPr>
      <w:r w:rsidRPr="000151BA">
        <w:rPr>
          <w:b/>
          <w:sz w:val="22"/>
        </w:rPr>
        <w:t>Objectives:</w:t>
      </w:r>
      <w:r w:rsidRPr="000151BA">
        <w:rPr>
          <w:sz w:val="22"/>
        </w:rPr>
        <w:t xml:space="preserve"> The South Asia Regional Facility for Women’s Economic Empowerment and Integration commenced in 2014 under the IFG with a very broad range of objectives, including </w:t>
      </w:r>
    </w:p>
    <w:p w14:paraId="58A9A8F6" w14:textId="77777777" w:rsidR="00CF4353" w:rsidRPr="000151BA" w:rsidRDefault="00CF4353" w:rsidP="001B449B">
      <w:pPr>
        <w:pStyle w:val="NormalWeb"/>
        <w:numPr>
          <w:ilvl w:val="1"/>
          <w:numId w:val="28"/>
        </w:numPr>
        <w:rPr>
          <w:sz w:val="22"/>
        </w:rPr>
      </w:pPr>
      <w:r w:rsidRPr="000151BA">
        <w:rPr>
          <w:sz w:val="22"/>
        </w:rPr>
        <w:t>enabling women to access finance, markets, training, knowledge and support networks;</w:t>
      </w:r>
    </w:p>
    <w:p w14:paraId="7FC3BA68" w14:textId="77777777" w:rsidR="00CF4353" w:rsidRPr="000151BA" w:rsidRDefault="00CF4353" w:rsidP="001A78AF">
      <w:pPr>
        <w:pStyle w:val="NormalWeb"/>
        <w:numPr>
          <w:ilvl w:val="1"/>
          <w:numId w:val="28"/>
        </w:numPr>
        <w:rPr>
          <w:sz w:val="22"/>
        </w:rPr>
      </w:pPr>
      <w:r w:rsidRPr="000151BA">
        <w:rPr>
          <w:sz w:val="22"/>
        </w:rPr>
        <w:t>providing a platform for civil society and World Bank clients to build a knowledge base of best practice in women’s economic empowerment;</w:t>
      </w:r>
    </w:p>
    <w:p w14:paraId="12D32E35" w14:textId="77777777" w:rsidR="00CF4353" w:rsidRPr="000151BA" w:rsidRDefault="00CF4353" w:rsidP="001A78AF">
      <w:pPr>
        <w:pStyle w:val="NormalWeb"/>
        <w:numPr>
          <w:ilvl w:val="1"/>
          <w:numId w:val="28"/>
        </w:numPr>
        <w:rPr>
          <w:sz w:val="22"/>
        </w:rPr>
      </w:pPr>
      <w:r w:rsidRPr="000151BA">
        <w:rPr>
          <w:sz w:val="22"/>
        </w:rPr>
        <w:t>providing training for women’s groups on different empowerment activities;</w:t>
      </w:r>
    </w:p>
    <w:p w14:paraId="4AA055A2" w14:textId="77777777" w:rsidR="00CF4353" w:rsidRPr="000151BA" w:rsidRDefault="00CF4353" w:rsidP="000B5B50">
      <w:pPr>
        <w:pStyle w:val="NormalWeb"/>
        <w:numPr>
          <w:ilvl w:val="1"/>
          <w:numId w:val="28"/>
        </w:numPr>
        <w:rPr>
          <w:sz w:val="22"/>
        </w:rPr>
      </w:pPr>
      <w:r w:rsidRPr="000151BA">
        <w:rPr>
          <w:sz w:val="22"/>
        </w:rPr>
        <w:t xml:space="preserve">developing training materials and guides on skills and enterprise development; and </w:t>
      </w:r>
    </w:p>
    <w:p w14:paraId="04021267" w14:textId="77777777" w:rsidR="00CF4353" w:rsidRPr="000151BA" w:rsidRDefault="00CF4353" w:rsidP="000B5B50">
      <w:pPr>
        <w:pStyle w:val="NormalWeb"/>
        <w:numPr>
          <w:ilvl w:val="1"/>
          <w:numId w:val="28"/>
        </w:numPr>
        <w:rPr>
          <w:sz w:val="22"/>
        </w:rPr>
      </w:pPr>
      <w:r w:rsidRPr="000151BA">
        <w:rPr>
          <w:sz w:val="22"/>
        </w:rPr>
        <w:t>piloting initiatives to increase access to markets and trade by women’s groups through an existing World Bank- facilitated network of organizations working in the South Asia Region</w:t>
      </w:r>
      <w:r w:rsidRPr="000151BA">
        <w:rPr>
          <w:rStyle w:val="FootnoteReference"/>
          <w:color w:val="000000"/>
          <w:sz w:val="22"/>
        </w:rPr>
        <w:footnoteReference w:id="173"/>
      </w:r>
      <w:r w:rsidRPr="000151BA">
        <w:rPr>
          <w:sz w:val="22"/>
        </w:rPr>
        <w:t xml:space="preserve">. </w:t>
      </w:r>
    </w:p>
    <w:p w14:paraId="5E88B822" w14:textId="77777777" w:rsidR="00CF4353" w:rsidRPr="000151BA" w:rsidRDefault="00CF4353" w:rsidP="001B449B">
      <w:pPr>
        <w:pStyle w:val="NormalWeb"/>
        <w:numPr>
          <w:ilvl w:val="0"/>
          <w:numId w:val="28"/>
        </w:numPr>
        <w:rPr>
          <w:sz w:val="22"/>
        </w:rPr>
      </w:pPr>
      <w:r w:rsidRPr="000151BA">
        <w:rPr>
          <w:b/>
          <w:sz w:val="22"/>
        </w:rPr>
        <w:t>Outputs</w:t>
      </w:r>
      <w:r w:rsidRPr="000151BA">
        <w:rPr>
          <w:sz w:val="22"/>
        </w:rPr>
        <w:t>: Noted in the 2016 PFSA report, the project has delivered a range of knowledge sharing outputs such as training, network meetings and workshops as well as published deliverables – for example, studies on gender accounting and GBV (gender-based violence published in Nepal</w:t>
      </w:r>
      <w:r w:rsidRPr="000151BA">
        <w:rPr>
          <w:rStyle w:val="FootnoteReference"/>
          <w:sz w:val="22"/>
        </w:rPr>
        <w:footnoteReference w:id="174"/>
      </w:r>
      <w:r w:rsidRPr="000151BA">
        <w:rPr>
          <w:sz w:val="22"/>
        </w:rPr>
        <w:t xml:space="preserve">.  </w:t>
      </w:r>
    </w:p>
    <w:p w14:paraId="3E0CCB77" w14:textId="77777777" w:rsidR="00CF4353" w:rsidRPr="000151BA" w:rsidRDefault="00CF4353" w:rsidP="001A78AF">
      <w:pPr>
        <w:pStyle w:val="NormalWeb"/>
        <w:numPr>
          <w:ilvl w:val="0"/>
          <w:numId w:val="28"/>
        </w:numPr>
        <w:rPr>
          <w:sz w:val="22"/>
        </w:rPr>
      </w:pPr>
      <w:r w:rsidRPr="000151BA">
        <w:rPr>
          <w:b/>
          <w:sz w:val="22"/>
        </w:rPr>
        <w:t>Outcomes:</w:t>
      </w:r>
      <w:r w:rsidRPr="000151BA">
        <w:rPr>
          <w:sz w:val="22"/>
        </w:rPr>
        <w:t xml:space="preserve"> There is also evidence published about outcomes related to the network - for example, information and technical assistance provided by a BEES-funded consultant helped build the ADI program in Bangladesh, which has in turn provided basic health training to more than 7,000 participants and has ‘…helped to open and manage 4,700 savings accounts worth more than BDT 7 million managed by microfinance’.</w:t>
      </w:r>
      <w:r w:rsidRPr="000151BA">
        <w:rPr>
          <w:rStyle w:val="FootnoteReference"/>
          <w:sz w:val="22"/>
        </w:rPr>
        <w:footnoteReference w:id="175"/>
      </w:r>
      <w:r w:rsidRPr="000151BA">
        <w:rPr>
          <w:sz w:val="22"/>
        </w:rPr>
        <w:t xml:space="preserve">  </w:t>
      </w:r>
    </w:p>
    <w:p w14:paraId="0BE66947" w14:textId="77777777" w:rsidR="00CF4353" w:rsidRPr="000151BA" w:rsidRDefault="00CF4353" w:rsidP="001B449B">
      <w:pPr>
        <w:pStyle w:val="NormalWeb"/>
        <w:rPr>
          <w:sz w:val="22"/>
        </w:rPr>
      </w:pPr>
      <w:r w:rsidRPr="000151BA">
        <w:rPr>
          <w:sz w:val="22"/>
        </w:rPr>
        <w:t>Efficiency: Has funding being used efficiently and what have been the factors affecting the WB’s disbursement rates?</w:t>
      </w:r>
      <w:r w:rsidRPr="000151BA">
        <w:rPr>
          <w:sz w:val="22"/>
        </w:rPr>
        <w:tab/>
      </w:r>
    </w:p>
    <w:p w14:paraId="2161827D" w14:textId="77777777" w:rsidR="00CF4353" w:rsidRPr="000151BA" w:rsidRDefault="00CF4353" w:rsidP="001A78AF">
      <w:pPr>
        <w:pStyle w:val="NormalWeb"/>
        <w:rPr>
          <w:sz w:val="22"/>
        </w:rPr>
      </w:pPr>
      <w:r w:rsidRPr="000151BA">
        <w:rPr>
          <w:sz w:val="22"/>
        </w:rPr>
        <w:t>Funding disbursement for the project was 100% (as at Dec 2017)</w:t>
      </w:r>
      <w:r w:rsidRPr="000151BA">
        <w:rPr>
          <w:rStyle w:val="FootnoteReference"/>
          <w:color w:val="000000"/>
          <w:sz w:val="22"/>
        </w:rPr>
        <w:footnoteReference w:id="176"/>
      </w:r>
      <w:r w:rsidRPr="000151BA">
        <w:rPr>
          <w:sz w:val="22"/>
        </w:rPr>
        <w:t xml:space="preserve">, with no disbursement concerns noted in other available IFG documentation.   </w:t>
      </w:r>
    </w:p>
    <w:p w14:paraId="34D7CA01" w14:textId="77777777" w:rsidR="00CF4353" w:rsidRPr="000151BA" w:rsidRDefault="00CF4353" w:rsidP="001A78AF">
      <w:pPr>
        <w:pStyle w:val="NormalWeb"/>
        <w:rPr>
          <w:sz w:val="22"/>
        </w:rPr>
      </w:pPr>
      <w:r w:rsidRPr="000151BA">
        <w:rPr>
          <w:sz w:val="22"/>
        </w:rPr>
        <w:lastRenderedPageBreak/>
        <w:t>Relevance: How is this IFG project and its focus sectors relevant and appropriate in the current context and environment of Australia’s aid priorities?</w:t>
      </w:r>
    </w:p>
    <w:p w14:paraId="556D64F9" w14:textId="77777777" w:rsidR="00CF4353" w:rsidRPr="000151BA" w:rsidRDefault="00CF4353" w:rsidP="001B449B">
      <w:pPr>
        <w:rPr>
          <w:sz w:val="22"/>
        </w:rPr>
      </w:pPr>
      <w:r w:rsidRPr="000151BA">
        <w:rPr>
          <w:sz w:val="22"/>
        </w:rPr>
        <w:t>The project has been relevant to Australian Aid priorities because of its gender / economic empowerment focus. In interview the project was also noted as intersecting with other gender-oriented networks and programs in South Asia</w:t>
      </w:r>
      <w:r w:rsidRPr="000151BA">
        <w:rPr>
          <w:rStyle w:val="FootnoteReference"/>
          <w:color w:val="000000"/>
          <w:sz w:val="22"/>
        </w:rPr>
        <w:footnoteReference w:id="177"/>
      </w:r>
      <w:r w:rsidRPr="000151BA">
        <w:rPr>
          <w:sz w:val="22"/>
        </w:rPr>
        <w:t xml:space="preserve">.  </w:t>
      </w:r>
    </w:p>
    <w:p w14:paraId="60C791C7" w14:textId="77777777" w:rsidR="00CF4353" w:rsidRPr="000151BA" w:rsidRDefault="00CF4353">
      <w:pPr>
        <w:rPr>
          <w:sz w:val="22"/>
        </w:rPr>
      </w:pPr>
      <w:r w:rsidRPr="000151BA">
        <w:rPr>
          <w:sz w:val="22"/>
        </w:rPr>
        <w:t>Gender Equality: How did this IFG project adapt its aims, objectives and approach to align with DFAT’s gender equality and women’s empowerment strategy?</w:t>
      </w:r>
    </w:p>
    <w:p w14:paraId="633059A8" w14:textId="77777777" w:rsidR="00CF4353" w:rsidRPr="000151BA" w:rsidRDefault="00CF4353">
      <w:pPr>
        <w:rPr>
          <w:rFonts w:eastAsia="Calibri"/>
          <w:sz w:val="22"/>
        </w:rPr>
      </w:pPr>
      <w:r w:rsidRPr="000151BA">
        <w:rPr>
          <w:sz w:val="22"/>
        </w:rPr>
        <w:t>This project was designed to support progress on livelihoods central to women, focusing on  land and increasing agricultural pro</w:t>
      </w:r>
      <w:r w:rsidRPr="000151BA">
        <w:rPr>
          <w:rStyle w:val="FootnoteReference"/>
          <w:color w:val="000000"/>
          <w:sz w:val="22"/>
        </w:rPr>
        <w:t xml:space="preserve">duction, artisan and handicrafts, </w:t>
      </w:r>
      <w:r w:rsidRPr="000151BA">
        <w:rPr>
          <w:sz w:val="22"/>
        </w:rPr>
        <w:t>enterprise and entrepreneurship</w:t>
      </w:r>
      <w:r w:rsidRPr="000151BA">
        <w:rPr>
          <w:rStyle w:val="FootnoteReference"/>
          <w:color w:val="000000"/>
          <w:sz w:val="22"/>
        </w:rPr>
        <w:footnoteReference w:id="178"/>
      </w:r>
      <w:r w:rsidRPr="000151BA">
        <w:rPr>
          <w:sz w:val="22"/>
        </w:rPr>
        <w:t xml:space="preserve">, with the aim to </w:t>
      </w:r>
      <w:r w:rsidRPr="000151BA">
        <w:rPr>
          <w:rFonts w:eastAsia="Calibri"/>
          <w:sz w:val="22"/>
        </w:rPr>
        <w:t>strengthen an underserved segment among women —particularly poor rural women engaged in informal economic activities — by enabling them to access finance, markets, training, knowledge and support networks, as well as  policymakers</w:t>
      </w:r>
      <w:r w:rsidRPr="000151BA">
        <w:rPr>
          <w:rStyle w:val="FootnoteReference"/>
          <w:rFonts w:eastAsia="Calibri"/>
          <w:sz w:val="22"/>
        </w:rPr>
        <w:footnoteReference w:id="179"/>
      </w:r>
      <w:r w:rsidRPr="000151BA">
        <w:rPr>
          <w:rFonts w:eastAsia="Calibri"/>
          <w:sz w:val="22"/>
        </w:rPr>
        <w:t xml:space="preserve">.  </w:t>
      </w:r>
    </w:p>
    <w:p w14:paraId="50EC5E1E" w14:textId="77777777" w:rsidR="00CF4353" w:rsidRPr="000151BA" w:rsidRDefault="00CF4353">
      <w:pPr>
        <w:rPr>
          <w:sz w:val="22"/>
        </w:rPr>
      </w:pPr>
      <w:r w:rsidRPr="000151BA">
        <w:rPr>
          <w:sz w:val="22"/>
        </w:rPr>
        <w:t xml:space="preserve">‘…The on-going </w:t>
      </w:r>
      <w:r w:rsidRPr="000151BA">
        <w:rPr>
          <w:b/>
          <w:sz w:val="22"/>
        </w:rPr>
        <w:t xml:space="preserve">South Asia Regional Facility for Women’s Economic Empowerment and Integration </w:t>
      </w:r>
      <w:r w:rsidRPr="000151BA">
        <w:rPr>
          <w:sz w:val="22"/>
        </w:rPr>
        <w:t>has so far undertaken knowledge sharing and network meetings to promote learning on female worker's rights initiatives, and has resulted in the network identifying two opportunities for joint production:  an exercise on gender accounting, and building an online knowledge repository; and a study of gender impacts from energy sector programs in the lagging North East Region in India, and from other transport and urban investments in the region.  These will become inputs into the design of larger follow-on lending investments of the Bank.’</w:t>
      </w:r>
      <w:r w:rsidRPr="000151BA">
        <w:rPr>
          <w:rStyle w:val="FootnoteReference"/>
          <w:i/>
          <w:sz w:val="22"/>
        </w:rPr>
        <w:footnoteReference w:id="180"/>
      </w:r>
    </w:p>
    <w:p w14:paraId="16E387CE" w14:textId="77777777" w:rsidR="00CF4353" w:rsidRDefault="00CF4353">
      <w:r w:rsidRPr="000151BA">
        <w:rPr>
          <w:sz w:val="22"/>
        </w:rPr>
        <w:t xml:space="preserve">The project was acknowledged in interviews as being </w:t>
      </w:r>
      <w:r w:rsidRPr="000151BA">
        <w:rPr>
          <w:b/>
          <w:sz w:val="22"/>
        </w:rPr>
        <w:t>unique as a World Bank activity</w:t>
      </w:r>
      <w:r w:rsidRPr="000151BA">
        <w:rPr>
          <w:sz w:val="22"/>
        </w:rPr>
        <w:t>, in that it provided network support, and was specifically gender-focussed</w:t>
      </w:r>
      <w:r w:rsidRPr="000151BA">
        <w:rPr>
          <w:rStyle w:val="FootnoteReference"/>
          <w:color w:val="000000"/>
          <w:sz w:val="22"/>
        </w:rPr>
        <w:footnoteReference w:id="181"/>
      </w:r>
      <w:r w:rsidRPr="000151BA">
        <w:rPr>
          <w:sz w:val="22"/>
        </w:rPr>
        <w:t xml:space="preserve">. </w:t>
      </w:r>
    </w:p>
    <w:p w14:paraId="31DDBAAF" w14:textId="77777777" w:rsidR="00CF4353" w:rsidRPr="000151BA" w:rsidRDefault="00CF4353" w:rsidP="001B449B">
      <w:pPr>
        <w:pStyle w:val="Heading3"/>
        <w:rPr>
          <w:sz w:val="22"/>
        </w:rPr>
      </w:pPr>
      <w:r w:rsidRPr="000151BA">
        <w:rPr>
          <w:sz w:val="22"/>
        </w:rPr>
        <w:t>2. Evaluating Gender Gaps in Infrastructure*</w:t>
      </w:r>
    </w:p>
    <w:tbl>
      <w:tblPr>
        <w:tblStyle w:val="GridTable1Light1"/>
        <w:tblpPr w:leftFromText="180" w:rightFromText="180" w:vertAnchor="text" w:horzAnchor="page" w:tblpX="1090" w:tblpY="57"/>
        <w:tblW w:w="9173" w:type="dxa"/>
        <w:tblLook w:val="04A0" w:firstRow="1" w:lastRow="0" w:firstColumn="1" w:lastColumn="0" w:noHBand="0" w:noVBand="1"/>
      </w:tblPr>
      <w:tblGrid>
        <w:gridCol w:w="1125"/>
        <w:gridCol w:w="864"/>
        <w:gridCol w:w="1144"/>
        <w:gridCol w:w="1102"/>
        <w:gridCol w:w="1438"/>
        <w:gridCol w:w="1378"/>
        <w:gridCol w:w="1118"/>
        <w:gridCol w:w="1004"/>
      </w:tblGrid>
      <w:tr w:rsidR="00CF4353" w14:paraId="1A555F82" w14:textId="77777777">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129" w:type="dxa"/>
          </w:tcPr>
          <w:p w14:paraId="224FA50A" w14:textId="77777777" w:rsidR="00CF4353" w:rsidRPr="000151BA" w:rsidRDefault="00CF4353" w:rsidP="001B449B">
            <w:pPr>
              <w:pStyle w:val="p1"/>
              <w:rPr>
                <w:rFonts w:asciiTheme="minorHAnsi" w:hAnsiTheme="minorHAnsi"/>
                <w:color w:val="000000"/>
                <w:sz w:val="16"/>
                <w:szCs w:val="16"/>
              </w:rPr>
            </w:pPr>
            <w:r w:rsidRPr="000151BA">
              <w:rPr>
                <w:sz w:val="16"/>
                <w:szCs w:val="16"/>
              </w:rPr>
              <w:t>Country or regional focus</w:t>
            </w:r>
          </w:p>
        </w:tc>
        <w:tc>
          <w:tcPr>
            <w:tcW w:w="842" w:type="dxa"/>
          </w:tcPr>
          <w:p w14:paraId="647B45D3"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16"/>
                <w:szCs w:val="16"/>
              </w:rPr>
            </w:pPr>
            <w:r w:rsidRPr="000151BA">
              <w:rPr>
                <w:sz w:val="16"/>
                <w:szCs w:val="16"/>
              </w:rPr>
              <w:t>TTL</w:t>
            </w:r>
          </w:p>
        </w:tc>
        <w:tc>
          <w:tcPr>
            <w:tcW w:w="1148" w:type="dxa"/>
          </w:tcPr>
          <w:p w14:paraId="68329DA5"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 xml:space="preserve">Grant Amount </w:t>
            </w:r>
          </w:p>
        </w:tc>
        <w:tc>
          <w:tcPr>
            <w:tcW w:w="1105" w:type="dxa"/>
          </w:tcPr>
          <w:p w14:paraId="78D6B5A7"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Fund Balance</w:t>
            </w:r>
          </w:p>
        </w:tc>
        <w:tc>
          <w:tcPr>
            <w:tcW w:w="1441" w:type="dxa"/>
          </w:tcPr>
          <w:p w14:paraId="6003CB64"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 xml:space="preserve">Disbursements </w:t>
            </w:r>
          </w:p>
        </w:tc>
        <w:tc>
          <w:tcPr>
            <w:tcW w:w="1380" w:type="dxa"/>
          </w:tcPr>
          <w:p w14:paraId="0C9EA1C2"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Commitments</w:t>
            </w:r>
          </w:p>
        </w:tc>
        <w:tc>
          <w:tcPr>
            <w:tcW w:w="1121" w:type="dxa"/>
          </w:tcPr>
          <w:p w14:paraId="3CB04E91"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 disbursed and expensed</w:t>
            </w:r>
          </w:p>
        </w:tc>
        <w:tc>
          <w:tcPr>
            <w:tcW w:w="1007" w:type="dxa"/>
          </w:tcPr>
          <w:p w14:paraId="52C2E844"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Grant Closing Date</w:t>
            </w:r>
          </w:p>
        </w:tc>
      </w:tr>
      <w:tr w:rsidR="00CF4353" w14:paraId="5C625685" w14:textId="77777777">
        <w:trPr>
          <w:trHeight w:val="611"/>
        </w:trPr>
        <w:tc>
          <w:tcPr>
            <w:cnfStyle w:val="001000000000" w:firstRow="0" w:lastRow="0" w:firstColumn="1" w:lastColumn="0" w:oddVBand="0" w:evenVBand="0" w:oddHBand="0" w:evenHBand="0" w:firstRowFirstColumn="0" w:firstRowLastColumn="0" w:lastRowFirstColumn="0" w:lastRowLastColumn="0"/>
            <w:tcW w:w="1129" w:type="dxa"/>
          </w:tcPr>
          <w:p w14:paraId="583DB9CB" w14:textId="77777777" w:rsidR="00CF4353" w:rsidRPr="000151BA" w:rsidRDefault="00CF4353" w:rsidP="001B449B">
            <w:pPr>
              <w:pStyle w:val="p1"/>
              <w:rPr>
                <w:sz w:val="16"/>
                <w:szCs w:val="16"/>
              </w:rPr>
            </w:pPr>
            <w:r w:rsidRPr="000151BA">
              <w:rPr>
                <w:sz w:val="16"/>
                <w:szCs w:val="16"/>
              </w:rPr>
              <w:t>South Asia</w:t>
            </w:r>
          </w:p>
        </w:tc>
        <w:tc>
          <w:tcPr>
            <w:tcW w:w="842" w:type="dxa"/>
          </w:tcPr>
          <w:p w14:paraId="530D8A18"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color w:val="000000"/>
                <w:sz w:val="16"/>
                <w:szCs w:val="16"/>
              </w:rPr>
              <w:t xml:space="preserve">Jennifer </w:t>
            </w:r>
            <w:r w:rsidRPr="000151BA">
              <w:rPr>
                <w:sz w:val="16"/>
                <w:szCs w:val="16"/>
              </w:rPr>
              <w:t>Solotaroff</w:t>
            </w:r>
          </w:p>
        </w:tc>
        <w:tc>
          <w:tcPr>
            <w:tcW w:w="1148" w:type="dxa"/>
          </w:tcPr>
          <w:p w14:paraId="4977A365"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250,000</w:t>
            </w:r>
          </w:p>
        </w:tc>
        <w:tc>
          <w:tcPr>
            <w:tcW w:w="1105" w:type="dxa"/>
          </w:tcPr>
          <w:p w14:paraId="0DC42A05"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56,720.38</w:t>
            </w:r>
          </w:p>
          <w:p w14:paraId="398CAA81"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441" w:type="dxa"/>
          </w:tcPr>
          <w:p w14:paraId="6475E28A"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139,979.62</w:t>
            </w:r>
          </w:p>
          <w:p w14:paraId="1980B382"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380" w:type="dxa"/>
          </w:tcPr>
          <w:p w14:paraId="797340DD"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53,300.00</w:t>
            </w:r>
          </w:p>
          <w:p w14:paraId="558C58CB"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121" w:type="dxa"/>
          </w:tcPr>
          <w:p w14:paraId="04373CFD"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77%</w:t>
            </w:r>
          </w:p>
        </w:tc>
        <w:tc>
          <w:tcPr>
            <w:tcW w:w="1007" w:type="dxa"/>
          </w:tcPr>
          <w:p w14:paraId="562B7633"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r>
    </w:tbl>
    <w:p w14:paraId="439E1DE8" w14:textId="77777777" w:rsidR="00CF4353" w:rsidRPr="000151BA" w:rsidRDefault="00CF4353" w:rsidP="001A78AF">
      <w:pPr>
        <w:pStyle w:val="NormalWeb"/>
        <w:rPr>
          <w:sz w:val="22"/>
        </w:rPr>
      </w:pPr>
      <w:r w:rsidRPr="000151BA">
        <w:rPr>
          <w:sz w:val="22"/>
        </w:rPr>
        <w:t xml:space="preserve">Effectiveness: How did this IFG project perform against its objectives? </w:t>
      </w:r>
    </w:p>
    <w:p w14:paraId="23EE3535" w14:textId="77777777" w:rsidR="00CF4353" w:rsidRPr="000151BA" w:rsidRDefault="00CF4353" w:rsidP="001B449B">
      <w:pPr>
        <w:pStyle w:val="NormalWeb"/>
        <w:numPr>
          <w:ilvl w:val="0"/>
          <w:numId w:val="27"/>
        </w:numPr>
        <w:rPr>
          <w:sz w:val="22"/>
        </w:rPr>
      </w:pPr>
      <w:r w:rsidRPr="000151BA">
        <w:rPr>
          <w:b/>
          <w:sz w:val="22"/>
        </w:rPr>
        <w:t>Objective:</w:t>
      </w:r>
      <w:r w:rsidRPr="000151BA">
        <w:rPr>
          <w:sz w:val="22"/>
        </w:rPr>
        <w:t xml:space="preserve"> The objective of this activity was to help empower women and girls by identifying ‘…innovative approaches to measure and address gender gaps in access to and use of infrastructure throughout South Asia – with particular attention to transport – through the development, testing, and use of robust diagnostic tools’</w:t>
      </w:r>
      <w:r w:rsidRPr="000151BA">
        <w:rPr>
          <w:rStyle w:val="FootnoteReference"/>
          <w:sz w:val="22"/>
        </w:rPr>
        <w:footnoteReference w:id="182"/>
      </w:r>
      <w:r w:rsidRPr="000151BA">
        <w:rPr>
          <w:sz w:val="22"/>
        </w:rPr>
        <w:t xml:space="preserve">.  </w:t>
      </w:r>
    </w:p>
    <w:p w14:paraId="047C09A0" w14:textId="77777777" w:rsidR="00CF4353" w:rsidRPr="000151BA" w:rsidRDefault="00CF4353" w:rsidP="001A78AF">
      <w:pPr>
        <w:pStyle w:val="NormalWeb"/>
        <w:numPr>
          <w:ilvl w:val="0"/>
          <w:numId w:val="27"/>
        </w:numPr>
        <w:rPr>
          <w:sz w:val="22"/>
        </w:rPr>
      </w:pPr>
      <w:r w:rsidRPr="000151BA">
        <w:rPr>
          <w:b/>
          <w:sz w:val="22"/>
        </w:rPr>
        <w:t>Outcomes</w:t>
      </w:r>
      <w:r w:rsidRPr="000151BA">
        <w:rPr>
          <w:sz w:val="22"/>
        </w:rPr>
        <w:t xml:space="preserve">: Outcomes reported have included </w:t>
      </w:r>
    </w:p>
    <w:p w14:paraId="2589EAA9" w14:textId="77777777" w:rsidR="00CF4353" w:rsidRPr="000151BA" w:rsidRDefault="00CF4353" w:rsidP="001B449B">
      <w:pPr>
        <w:pStyle w:val="NormalWeb"/>
        <w:numPr>
          <w:ilvl w:val="0"/>
          <w:numId w:val="29"/>
        </w:numPr>
        <w:rPr>
          <w:sz w:val="22"/>
        </w:rPr>
      </w:pPr>
      <w:r w:rsidRPr="000151BA">
        <w:rPr>
          <w:sz w:val="22"/>
        </w:rPr>
        <w:t xml:space="preserve">new transport operations identified for gender technical support and impact evaluation; and </w:t>
      </w:r>
    </w:p>
    <w:p w14:paraId="36FC1D54" w14:textId="77777777" w:rsidR="00CF4353" w:rsidRPr="000151BA" w:rsidRDefault="00CF4353" w:rsidP="001A78AF">
      <w:pPr>
        <w:pStyle w:val="NormalWeb"/>
        <w:numPr>
          <w:ilvl w:val="0"/>
          <w:numId w:val="29"/>
        </w:numPr>
        <w:rPr>
          <w:sz w:val="22"/>
        </w:rPr>
      </w:pPr>
      <w:r w:rsidRPr="000151BA">
        <w:rPr>
          <w:sz w:val="22"/>
        </w:rPr>
        <w:lastRenderedPageBreak/>
        <w:t>technical support being provided to transport operations that are being evaluated under the South Asia Region Gender Innovation Lab (which would otherwise be dropped without this continuing support)</w:t>
      </w:r>
      <w:r w:rsidRPr="000151BA">
        <w:rPr>
          <w:rStyle w:val="FootnoteReference"/>
          <w:sz w:val="22"/>
        </w:rPr>
        <w:t xml:space="preserve"> </w:t>
      </w:r>
      <w:r w:rsidRPr="000151BA">
        <w:rPr>
          <w:rStyle w:val="FootnoteReference"/>
          <w:sz w:val="22"/>
        </w:rPr>
        <w:footnoteReference w:id="183"/>
      </w:r>
      <w:r w:rsidRPr="000151BA">
        <w:rPr>
          <w:sz w:val="22"/>
        </w:rPr>
        <w:t xml:space="preserve">.  </w:t>
      </w:r>
    </w:p>
    <w:p w14:paraId="00FDE162" w14:textId="77777777" w:rsidR="00CF4353" w:rsidRPr="000151BA" w:rsidRDefault="00CF4353" w:rsidP="001B449B">
      <w:pPr>
        <w:pStyle w:val="NormalWeb"/>
        <w:rPr>
          <w:sz w:val="22"/>
        </w:rPr>
      </w:pPr>
      <w:r w:rsidRPr="000151BA">
        <w:rPr>
          <w:sz w:val="22"/>
        </w:rPr>
        <w:t>(See further detail of outcomes in gender section below.)</w:t>
      </w:r>
    </w:p>
    <w:p w14:paraId="26BC131E" w14:textId="77777777" w:rsidR="00CF4353" w:rsidRPr="000151BA" w:rsidRDefault="00CF4353" w:rsidP="001A78AF">
      <w:pPr>
        <w:pStyle w:val="NormalWeb"/>
        <w:rPr>
          <w:sz w:val="22"/>
        </w:rPr>
      </w:pPr>
      <w:r w:rsidRPr="000151BA">
        <w:rPr>
          <w:sz w:val="22"/>
        </w:rPr>
        <w:t>Efficiency: Has funding being used efficiently and what have been the factors affecting the WB’s disbursement rates?</w:t>
      </w:r>
      <w:r w:rsidRPr="000151BA">
        <w:rPr>
          <w:sz w:val="22"/>
        </w:rPr>
        <w:tab/>
      </w:r>
    </w:p>
    <w:p w14:paraId="18362751" w14:textId="77777777" w:rsidR="00CF4353" w:rsidRPr="000151BA" w:rsidRDefault="00CF4353" w:rsidP="000B5B50">
      <w:pPr>
        <w:pStyle w:val="NormalWeb"/>
        <w:rPr>
          <w:sz w:val="22"/>
        </w:rPr>
      </w:pPr>
      <w:r w:rsidRPr="000151BA">
        <w:rPr>
          <w:sz w:val="22"/>
        </w:rPr>
        <w:t>Disbursement was calculated at 77% in latest reporting as at December 2017</w:t>
      </w:r>
      <w:r w:rsidR="00332CC9">
        <w:rPr>
          <w:sz w:val="22"/>
        </w:rPr>
        <w:t>.</w:t>
      </w:r>
      <w:r w:rsidRPr="000151BA">
        <w:rPr>
          <w:rStyle w:val="FootnoteReference"/>
          <w:color w:val="000000"/>
          <w:sz w:val="22"/>
        </w:rPr>
        <w:footnoteReference w:id="184"/>
      </w:r>
      <w:r w:rsidRPr="000151BA">
        <w:rPr>
          <w:sz w:val="22"/>
        </w:rPr>
        <w:t xml:space="preserve"> No factors were identified as affecting disbursement rates. </w:t>
      </w:r>
    </w:p>
    <w:p w14:paraId="708EFCFE" w14:textId="77777777" w:rsidR="00CF4353" w:rsidRPr="000151BA" w:rsidRDefault="00CF4353" w:rsidP="00404A8A">
      <w:pPr>
        <w:pStyle w:val="NormalWeb"/>
        <w:rPr>
          <w:sz w:val="22"/>
        </w:rPr>
      </w:pPr>
      <w:r w:rsidRPr="000151BA">
        <w:rPr>
          <w:sz w:val="22"/>
        </w:rPr>
        <w:t>Relevance: How is this IFG project and its focus sectors relevant and appropriate in the current context and environment of Australia’s aid priorities?</w:t>
      </w:r>
    </w:p>
    <w:p w14:paraId="388C8510" w14:textId="77777777" w:rsidR="00CF4353" w:rsidRPr="000151BA" w:rsidRDefault="00CF4353" w:rsidP="001B449B">
      <w:pPr>
        <w:rPr>
          <w:sz w:val="22"/>
        </w:rPr>
      </w:pPr>
      <w:r w:rsidRPr="000151BA">
        <w:rPr>
          <w:sz w:val="22"/>
        </w:rPr>
        <w:t>The project is relevant to current DFAT aid priorities for infrastructure in South Asia, especially transport, and for its gender-programming focus. (See below for gender outcomes).</w:t>
      </w:r>
    </w:p>
    <w:p w14:paraId="01D97E86" w14:textId="77777777" w:rsidR="00CF4353" w:rsidRPr="000151BA" w:rsidRDefault="00CF4353" w:rsidP="000151BA">
      <w:pPr>
        <w:pStyle w:val="NormalWeb"/>
        <w:rPr>
          <w:rStyle w:val="FootnoteReference"/>
          <w:sz w:val="24"/>
        </w:rPr>
      </w:pPr>
      <w:r w:rsidRPr="000151BA">
        <w:rPr>
          <w:sz w:val="22"/>
        </w:rPr>
        <w:t>‘…. Particular attention is paid to transport – through the development, testing, and use of robust diagnostic tools. This activity will help expand the Gender Innovation Lab’s work to include new transport and other emerging infrastructure projects to be evaluated regarding project impacts on gender inequalities.’</w:t>
      </w:r>
      <w:r w:rsidRPr="000151BA">
        <w:rPr>
          <w:rStyle w:val="FootnoteReference"/>
          <w:color w:val="000000"/>
          <w:sz w:val="22"/>
        </w:rPr>
        <w:footnoteReference w:id="185"/>
      </w:r>
    </w:p>
    <w:p w14:paraId="0FD787A4" w14:textId="77777777" w:rsidR="00CF4353" w:rsidRPr="000151BA" w:rsidRDefault="00CF4353" w:rsidP="000151BA">
      <w:pPr>
        <w:pStyle w:val="NormalWeb"/>
        <w:rPr>
          <w:sz w:val="22"/>
        </w:rPr>
      </w:pPr>
      <w:r w:rsidRPr="000151BA">
        <w:rPr>
          <w:sz w:val="22"/>
        </w:rPr>
        <w:t>Gender Equality: How did this IFG project adapt its aims, objectives and approach to align with DFAT’s gender equality and women’s empowerment strategy?</w:t>
      </w:r>
    </w:p>
    <w:p w14:paraId="5A7B5175" w14:textId="77777777" w:rsidR="00CF4353" w:rsidRPr="000151BA" w:rsidRDefault="00CF4353" w:rsidP="000151BA">
      <w:pPr>
        <w:pStyle w:val="NormalWeb"/>
        <w:rPr>
          <w:i/>
          <w:sz w:val="22"/>
        </w:rPr>
      </w:pPr>
      <w:r w:rsidRPr="000151BA">
        <w:rPr>
          <w:sz w:val="22"/>
        </w:rPr>
        <w:t>Interviews noted that benefits from this project included new approaches being available that had not been previously used within the Bank</w:t>
      </w:r>
      <w:r w:rsidRPr="000151BA">
        <w:footnoteReference w:id="186"/>
      </w:r>
      <w:r w:rsidRPr="000151BA">
        <w:rPr>
          <w:sz w:val="22"/>
        </w:rPr>
        <w:t>.  As a result, it was further noted that ‘…There has been improvement in the extent to which the World Bank mainstreams gender in its infrastructure investments</w:t>
      </w:r>
      <w:r w:rsidRPr="000151BA">
        <w:rPr>
          <w:i/>
          <w:sz w:val="22"/>
        </w:rPr>
        <w:t>.’</w:t>
      </w:r>
      <w:r w:rsidRPr="000151BA">
        <w:rPr>
          <w:rStyle w:val="FootnoteReference"/>
          <w:i/>
          <w:sz w:val="22"/>
        </w:rPr>
        <w:footnoteReference w:id="187"/>
      </w:r>
    </w:p>
    <w:p w14:paraId="47F0CCCC" w14:textId="77777777" w:rsidR="00CF4353" w:rsidRPr="000151BA" w:rsidRDefault="00CF4353" w:rsidP="001B449B">
      <w:pPr>
        <w:pStyle w:val="NormalWeb"/>
        <w:rPr>
          <w:sz w:val="22"/>
        </w:rPr>
      </w:pPr>
      <w:r w:rsidRPr="000151BA">
        <w:rPr>
          <w:b/>
          <w:sz w:val="22"/>
        </w:rPr>
        <w:t>Notably, this project had an impact in terms of gender program design for other IFG/SARTFP-related projects.</w:t>
      </w:r>
      <w:r w:rsidRPr="000151BA">
        <w:rPr>
          <w:sz w:val="22"/>
        </w:rPr>
        <w:t xml:space="preserve">  As at Feb 2017, this activity had brought six transport operations for various gender technical advice under the Lab, including: </w:t>
      </w:r>
    </w:p>
    <w:p w14:paraId="7BED7909" w14:textId="77777777" w:rsidR="00CF4353" w:rsidRPr="000151BA" w:rsidRDefault="00CF4353" w:rsidP="001B449B">
      <w:pPr>
        <w:pStyle w:val="NormalWeb"/>
        <w:numPr>
          <w:ilvl w:val="0"/>
          <w:numId w:val="23"/>
        </w:numPr>
        <w:rPr>
          <w:sz w:val="22"/>
        </w:rPr>
      </w:pPr>
      <w:r w:rsidRPr="000151BA">
        <w:rPr>
          <w:sz w:val="22"/>
        </w:rPr>
        <w:t>The Bangladesh Regional Connectivity Project (P154580) which incorporated a gender component into its operations;</w:t>
      </w:r>
    </w:p>
    <w:p w14:paraId="604940AF" w14:textId="77777777" w:rsidR="00CF4353" w:rsidRPr="000151BA" w:rsidRDefault="00CF4353" w:rsidP="001A78AF">
      <w:pPr>
        <w:pStyle w:val="NormalWeb"/>
        <w:numPr>
          <w:ilvl w:val="0"/>
          <w:numId w:val="23"/>
        </w:numPr>
        <w:rPr>
          <w:sz w:val="22"/>
        </w:rPr>
      </w:pPr>
      <w:r w:rsidRPr="000151BA">
        <w:rPr>
          <w:sz w:val="22"/>
        </w:rPr>
        <w:t>The Transport Connectivity and Asset Management Project, Sri Lanka (P132833) which incorporated gender technical support in design and implementation as well as evaluation support;</w:t>
      </w:r>
    </w:p>
    <w:p w14:paraId="7543617F" w14:textId="77777777" w:rsidR="00CF4353" w:rsidRPr="000151BA" w:rsidRDefault="00CF4353" w:rsidP="001A78AF">
      <w:pPr>
        <w:pStyle w:val="NormalWeb"/>
        <w:numPr>
          <w:ilvl w:val="0"/>
          <w:numId w:val="23"/>
        </w:numPr>
        <w:rPr>
          <w:sz w:val="22"/>
        </w:rPr>
      </w:pPr>
      <w:r w:rsidRPr="000151BA">
        <w:rPr>
          <w:sz w:val="22"/>
        </w:rPr>
        <w:t xml:space="preserve">The Mumbai Urban Transport Project (MUTP) 3 (P113028):  inputs included intensive gender support to mainstream measures that improve safety and security, as well as reduce the risk of violence against women and girls on transport in Mumbai, with the objective to increase their use of public transport to access education, markets, and job opportunities; and </w:t>
      </w:r>
    </w:p>
    <w:p w14:paraId="350042DE" w14:textId="77777777" w:rsidR="00CF4353" w:rsidRPr="000151BA" w:rsidRDefault="00CF4353" w:rsidP="000B5B50">
      <w:pPr>
        <w:pStyle w:val="NormalWeb"/>
        <w:numPr>
          <w:ilvl w:val="0"/>
          <w:numId w:val="23"/>
        </w:numPr>
        <w:rPr>
          <w:sz w:val="22"/>
        </w:rPr>
      </w:pPr>
      <w:r w:rsidRPr="000151BA">
        <w:rPr>
          <w:sz w:val="22"/>
        </w:rPr>
        <w:lastRenderedPageBreak/>
        <w:t>The Assam Inland Water Transport Project, India (P157929) and the Bangladesh Regional Water Transport Project (P154511) which both incorporated gender components</w:t>
      </w:r>
      <w:r w:rsidRPr="000151BA">
        <w:rPr>
          <w:rStyle w:val="FootnoteReference"/>
          <w:sz w:val="22"/>
        </w:rPr>
        <w:footnoteReference w:id="188"/>
      </w:r>
    </w:p>
    <w:p w14:paraId="661210B1" w14:textId="77777777" w:rsidR="00CF4353" w:rsidRPr="000151BA" w:rsidRDefault="00CF4353" w:rsidP="001B449B">
      <w:pPr>
        <w:pStyle w:val="Heading3"/>
        <w:rPr>
          <w:sz w:val="22"/>
        </w:rPr>
      </w:pPr>
      <w:r w:rsidRPr="000151BA">
        <w:rPr>
          <w:sz w:val="22"/>
        </w:rPr>
        <w:t>3. Sustainable Development of Transmission and Distribution Sector in North Eastern Region of India*</w:t>
      </w:r>
    </w:p>
    <w:tbl>
      <w:tblPr>
        <w:tblStyle w:val="GridTable1Light1"/>
        <w:tblW w:w="0" w:type="auto"/>
        <w:tblLook w:val="04A0" w:firstRow="1" w:lastRow="0" w:firstColumn="1" w:lastColumn="0" w:noHBand="0" w:noVBand="1"/>
      </w:tblPr>
      <w:tblGrid>
        <w:gridCol w:w="867"/>
        <w:gridCol w:w="1056"/>
        <w:gridCol w:w="1132"/>
        <w:gridCol w:w="1047"/>
        <w:gridCol w:w="1422"/>
        <w:gridCol w:w="1363"/>
        <w:gridCol w:w="1093"/>
        <w:gridCol w:w="961"/>
      </w:tblGrid>
      <w:tr w:rsidR="00CF4353" w14:paraId="72527044" w14:textId="77777777">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867" w:type="dxa"/>
          </w:tcPr>
          <w:p w14:paraId="5E175288" w14:textId="77777777" w:rsidR="00CF4353" w:rsidRPr="000151BA" w:rsidRDefault="00CF4353" w:rsidP="001B449B">
            <w:pPr>
              <w:pStyle w:val="p1"/>
              <w:rPr>
                <w:rFonts w:asciiTheme="minorHAnsi" w:hAnsiTheme="minorHAnsi"/>
                <w:sz w:val="16"/>
                <w:szCs w:val="16"/>
              </w:rPr>
            </w:pPr>
            <w:r w:rsidRPr="000151BA">
              <w:rPr>
                <w:sz w:val="16"/>
                <w:szCs w:val="16"/>
              </w:rPr>
              <w:t>Country or regional focus</w:t>
            </w:r>
          </w:p>
        </w:tc>
        <w:tc>
          <w:tcPr>
            <w:tcW w:w="1056" w:type="dxa"/>
          </w:tcPr>
          <w:p w14:paraId="3FC60B64"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TTL</w:t>
            </w:r>
          </w:p>
        </w:tc>
        <w:tc>
          <w:tcPr>
            <w:tcW w:w="1132" w:type="dxa"/>
          </w:tcPr>
          <w:p w14:paraId="2BAFC8F5"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 xml:space="preserve">Grant Amount </w:t>
            </w:r>
          </w:p>
        </w:tc>
        <w:tc>
          <w:tcPr>
            <w:tcW w:w="1047" w:type="dxa"/>
          </w:tcPr>
          <w:p w14:paraId="11BD1960"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Fund Balance</w:t>
            </w:r>
          </w:p>
        </w:tc>
        <w:tc>
          <w:tcPr>
            <w:tcW w:w="1422" w:type="dxa"/>
          </w:tcPr>
          <w:p w14:paraId="1E833E76"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 xml:space="preserve">Disbursements </w:t>
            </w:r>
          </w:p>
        </w:tc>
        <w:tc>
          <w:tcPr>
            <w:tcW w:w="1363" w:type="dxa"/>
          </w:tcPr>
          <w:p w14:paraId="2BFFEC64"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Commitments</w:t>
            </w:r>
          </w:p>
        </w:tc>
        <w:tc>
          <w:tcPr>
            <w:tcW w:w="1093" w:type="dxa"/>
          </w:tcPr>
          <w:p w14:paraId="141C82A9"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 disbursed and expensed</w:t>
            </w:r>
          </w:p>
        </w:tc>
        <w:tc>
          <w:tcPr>
            <w:tcW w:w="961" w:type="dxa"/>
          </w:tcPr>
          <w:p w14:paraId="24CD4811"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Grant Closing Date</w:t>
            </w:r>
          </w:p>
        </w:tc>
      </w:tr>
      <w:tr w:rsidR="00CF4353" w14:paraId="04E95D44" w14:textId="77777777">
        <w:trPr>
          <w:trHeight w:val="311"/>
        </w:trPr>
        <w:tc>
          <w:tcPr>
            <w:cnfStyle w:val="001000000000" w:firstRow="0" w:lastRow="0" w:firstColumn="1" w:lastColumn="0" w:oddVBand="0" w:evenVBand="0" w:oddHBand="0" w:evenHBand="0" w:firstRowFirstColumn="0" w:firstRowLastColumn="0" w:lastRowFirstColumn="0" w:lastRowLastColumn="0"/>
            <w:tcW w:w="867" w:type="dxa"/>
          </w:tcPr>
          <w:p w14:paraId="5FA9D477" w14:textId="77777777" w:rsidR="00CF4353" w:rsidRPr="000151BA" w:rsidRDefault="00CF4353" w:rsidP="001B449B">
            <w:pPr>
              <w:pStyle w:val="p1"/>
              <w:rPr>
                <w:sz w:val="16"/>
                <w:szCs w:val="16"/>
              </w:rPr>
            </w:pPr>
            <w:r w:rsidRPr="000151BA">
              <w:rPr>
                <w:sz w:val="16"/>
                <w:szCs w:val="16"/>
              </w:rPr>
              <w:t>India</w:t>
            </w:r>
          </w:p>
        </w:tc>
        <w:tc>
          <w:tcPr>
            <w:tcW w:w="1056" w:type="dxa"/>
          </w:tcPr>
          <w:p w14:paraId="1148CB80"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Rohit Mittal</w:t>
            </w:r>
          </w:p>
        </w:tc>
        <w:tc>
          <w:tcPr>
            <w:tcW w:w="1132" w:type="dxa"/>
          </w:tcPr>
          <w:p w14:paraId="30B3A10D"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653,121.84</w:t>
            </w:r>
          </w:p>
          <w:p w14:paraId="7636485C"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047" w:type="dxa"/>
          </w:tcPr>
          <w:p w14:paraId="1B82ED0E"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422" w:type="dxa"/>
          </w:tcPr>
          <w:p w14:paraId="08CD00D7"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653,121.84</w:t>
            </w:r>
          </w:p>
          <w:p w14:paraId="3BA5E7E9"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363" w:type="dxa"/>
          </w:tcPr>
          <w:p w14:paraId="66BEAB23"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093" w:type="dxa"/>
          </w:tcPr>
          <w:p w14:paraId="3BB84138"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100%</w:t>
            </w:r>
          </w:p>
        </w:tc>
        <w:tc>
          <w:tcPr>
            <w:tcW w:w="961" w:type="dxa"/>
          </w:tcPr>
          <w:p w14:paraId="26AAE394"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r>
    </w:tbl>
    <w:p w14:paraId="07ABAB89" w14:textId="77777777" w:rsidR="00CF4353" w:rsidRPr="000151BA" w:rsidRDefault="00CF4353">
      <w:pPr>
        <w:pStyle w:val="NormalWeb"/>
        <w:rPr>
          <w:sz w:val="22"/>
        </w:rPr>
      </w:pPr>
      <w:r w:rsidRPr="000151BA">
        <w:rPr>
          <w:sz w:val="22"/>
        </w:rPr>
        <w:t xml:space="preserve">Effectiveness: How did this IFG project perform against its objectives? </w:t>
      </w:r>
    </w:p>
    <w:p w14:paraId="5FE0523A" w14:textId="77777777" w:rsidR="00CF4353" w:rsidRPr="000151BA" w:rsidRDefault="00CF4353" w:rsidP="001B449B">
      <w:pPr>
        <w:pStyle w:val="ListParagraph"/>
        <w:numPr>
          <w:ilvl w:val="0"/>
          <w:numId w:val="26"/>
        </w:numPr>
        <w:rPr>
          <w:sz w:val="22"/>
        </w:rPr>
      </w:pPr>
      <w:r w:rsidRPr="000151BA">
        <w:rPr>
          <w:b/>
          <w:sz w:val="22"/>
        </w:rPr>
        <w:t>Objective</w:t>
      </w:r>
      <w:r w:rsidRPr="000151BA">
        <w:rPr>
          <w:sz w:val="22"/>
        </w:rPr>
        <w:t>: The objective of the project was to support six states (Assam, Manipur, Mizoram, Meghalaya, Tripura and Nagaland) in ‘…capacity-building initiatives and institutional strengthening of the state power utilities to support the development of the energy sector in the North Eastern Region of India’</w:t>
      </w:r>
      <w:r w:rsidRPr="000151BA">
        <w:rPr>
          <w:rStyle w:val="FootnoteReference"/>
          <w:sz w:val="22"/>
        </w:rPr>
        <w:footnoteReference w:id="189"/>
      </w:r>
      <w:r w:rsidRPr="000151BA">
        <w:rPr>
          <w:sz w:val="22"/>
        </w:rPr>
        <w:t xml:space="preserve">.  </w:t>
      </w:r>
    </w:p>
    <w:p w14:paraId="3BBF6266" w14:textId="77777777" w:rsidR="00CF4353" w:rsidRPr="000151BA" w:rsidRDefault="00CF4353" w:rsidP="001A78AF">
      <w:pPr>
        <w:pStyle w:val="ListParagraph"/>
        <w:numPr>
          <w:ilvl w:val="0"/>
          <w:numId w:val="26"/>
        </w:numPr>
        <w:rPr>
          <w:sz w:val="22"/>
        </w:rPr>
      </w:pPr>
      <w:r w:rsidRPr="000151BA">
        <w:rPr>
          <w:b/>
          <w:sz w:val="22"/>
        </w:rPr>
        <w:t>Outputs:</w:t>
      </w:r>
      <w:r w:rsidRPr="000151BA">
        <w:rPr>
          <w:sz w:val="22"/>
        </w:rPr>
        <w:t xml:space="preserve"> Diagnostic studies were completed for eight utilities across six states, helping provide inputs for the design of a US$ 938 million investment World Bank lending project. In addition, capacity building and Institutional strengthening plans for the eight power utilities across six states have been prepared and a workshop was conducted in Kolkata</w:t>
      </w:r>
      <w:r w:rsidRPr="000151BA">
        <w:rPr>
          <w:rStyle w:val="FootnoteReference"/>
          <w:sz w:val="22"/>
        </w:rPr>
        <w:footnoteReference w:id="190"/>
      </w:r>
      <w:r w:rsidRPr="000151BA">
        <w:rPr>
          <w:sz w:val="22"/>
        </w:rPr>
        <w:t xml:space="preserve">. </w:t>
      </w:r>
    </w:p>
    <w:p w14:paraId="382EA90A" w14:textId="77777777" w:rsidR="00CF4353" w:rsidRPr="000151BA" w:rsidRDefault="00CF4353" w:rsidP="001A78AF">
      <w:pPr>
        <w:pStyle w:val="ListParagraph"/>
        <w:numPr>
          <w:ilvl w:val="0"/>
          <w:numId w:val="26"/>
        </w:numPr>
        <w:rPr>
          <w:sz w:val="22"/>
        </w:rPr>
      </w:pPr>
      <w:r w:rsidRPr="000151BA">
        <w:rPr>
          <w:b/>
          <w:sz w:val="22"/>
        </w:rPr>
        <w:t>Outcomes:</w:t>
      </w:r>
      <w:r w:rsidRPr="000151BA">
        <w:rPr>
          <w:sz w:val="22"/>
        </w:rPr>
        <w:t xml:space="preserve"> Documentary analysis shows broad governmental impact from project activities:</w:t>
      </w:r>
    </w:p>
    <w:p w14:paraId="7117B122" w14:textId="77777777" w:rsidR="00CF4353" w:rsidRPr="000151BA" w:rsidRDefault="00CF4353" w:rsidP="001B449B">
      <w:pPr>
        <w:rPr>
          <w:sz w:val="22"/>
        </w:rPr>
      </w:pPr>
      <w:r w:rsidRPr="000151BA">
        <w:rPr>
          <w:sz w:val="22"/>
        </w:rPr>
        <w:t>‘…With focused interventions under the World Bank-supported Technical Assistance (TA) and sufficient support from the state, Manipur State Power Distribution Company Limited (MSPDCL) has taken a significant leap…. The utility, which has a consistent history of poor operations, is poised for a turnaround. … the state has initiated efforts for the sustained development of the enterprise. Increased availability of reliable power is facilitating: mechanization of farming activity which leads to improvements in harvesting, storage and processing of agricultural produce while generating employment…and electrification and mechanization of looms and small machines which will facilitate further development in cottage industries…’</w:t>
      </w:r>
      <w:r w:rsidRPr="000151BA">
        <w:rPr>
          <w:rStyle w:val="FootnoteReference"/>
          <w:i/>
          <w:sz w:val="22"/>
        </w:rPr>
        <w:footnoteReference w:id="191"/>
      </w:r>
    </w:p>
    <w:p w14:paraId="34F350A6" w14:textId="77777777" w:rsidR="00CF4353" w:rsidRPr="000151BA" w:rsidRDefault="00CF4353" w:rsidP="001B449B">
      <w:pPr>
        <w:pStyle w:val="NormalWeb"/>
        <w:rPr>
          <w:sz w:val="22"/>
        </w:rPr>
      </w:pPr>
      <w:r w:rsidRPr="000151BA">
        <w:rPr>
          <w:sz w:val="22"/>
        </w:rPr>
        <w:t>Efficiency: Has funding being used efficiently and what have been the factors affecting the WB’s disbursement rates?</w:t>
      </w:r>
    </w:p>
    <w:p w14:paraId="7569CE56" w14:textId="77777777" w:rsidR="00CF4353" w:rsidRPr="000151BA" w:rsidRDefault="00CF4353" w:rsidP="000151BA">
      <w:pPr>
        <w:pStyle w:val="NormalWeb"/>
        <w:rPr>
          <w:sz w:val="22"/>
        </w:rPr>
      </w:pPr>
      <w:r w:rsidRPr="000151BA">
        <w:rPr>
          <w:sz w:val="22"/>
        </w:rPr>
        <w:t>Disbursement rates were noted at 100% as at December 2017</w:t>
      </w:r>
      <w:r w:rsidRPr="000151BA">
        <w:footnoteReference w:id="192"/>
      </w:r>
      <w:r w:rsidRPr="000151BA">
        <w:rPr>
          <w:sz w:val="22"/>
        </w:rPr>
        <w:t>.  Interview evidence indicated that leverage with the Government of India had occurred</w:t>
      </w:r>
      <w:r w:rsidRPr="000151BA">
        <w:footnoteReference w:id="193"/>
      </w:r>
      <w:r w:rsidRPr="000151BA">
        <w:rPr>
          <w:sz w:val="22"/>
        </w:rPr>
        <w:t xml:space="preserve">; and there is published evidence that the IFG grant leveraged World Bank lending: </w:t>
      </w:r>
    </w:p>
    <w:p w14:paraId="771DB7DE" w14:textId="77777777" w:rsidR="00CF4353" w:rsidRPr="000151BA" w:rsidRDefault="00CF4353" w:rsidP="000151BA">
      <w:pPr>
        <w:pStyle w:val="NormalWeb"/>
        <w:rPr>
          <w:sz w:val="22"/>
        </w:rPr>
      </w:pPr>
      <w:r w:rsidRPr="000151BA">
        <w:rPr>
          <w:sz w:val="22"/>
        </w:rPr>
        <w:t xml:space="preserve">‘…The IFG grant not only prepared the diagnostic study of the power sector in six participating states, it also supported the first phase of the US$ 470 million IBRD lending project, particularly the </w:t>
      </w:r>
      <w:r w:rsidRPr="000151BA">
        <w:rPr>
          <w:sz w:val="22"/>
        </w:rPr>
        <w:lastRenderedPageBreak/>
        <w:t>procurement and implementation strategy based on the gaps within the state power utilities identified in the diagnostic studies’.</w:t>
      </w:r>
      <w:r w:rsidRPr="000151BA">
        <w:footnoteReference w:id="194"/>
      </w:r>
    </w:p>
    <w:p w14:paraId="4A23BEF4" w14:textId="77777777" w:rsidR="00CF4353" w:rsidRPr="000151BA" w:rsidRDefault="00CF4353">
      <w:pPr>
        <w:pStyle w:val="NormalWeb"/>
        <w:rPr>
          <w:sz w:val="22"/>
        </w:rPr>
      </w:pPr>
      <w:r w:rsidRPr="000151BA">
        <w:rPr>
          <w:sz w:val="22"/>
        </w:rPr>
        <w:t>Relevance: How is this IFG project and its focus sectors relevant and appropriate in the current context and environment of Australia’s aid priorities?</w:t>
      </w:r>
    </w:p>
    <w:p w14:paraId="5861617E" w14:textId="77777777" w:rsidR="00CF4353" w:rsidRPr="000151BA" w:rsidRDefault="00CF4353" w:rsidP="000151BA">
      <w:pPr>
        <w:pStyle w:val="NormalWeb"/>
        <w:rPr>
          <w:sz w:val="22"/>
        </w:rPr>
      </w:pPr>
      <w:r w:rsidRPr="000151BA">
        <w:rPr>
          <w:sz w:val="22"/>
        </w:rPr>
        <w:t xml:space="preserve">Documents show impact of the IFG project on the World Bank processes, for example: </w:t>
      </w:r>
    </w:p>
    <w:p w14:paraId="2AE60A39" w14:textId="77777777" w:rsidR="00CF4353" w:rsidRPr="000151BA" w:rsidRDefault="00CF4353" w:rsidP="000151BA">
      <w:pPr>
        <w:pStyle w:val="NormalWeb"/>
        <w:rPr>
          <w:sz w:val="22"/>
        </w:rPr>
      </w:pPr>
      <w:r w:rsidRPr="000151BA">
        <w:rPr>
          <w:sz w:val="22"/>
        </w:rPr>
        <w:t>‘…PFSA has made an important contribution in deepening the World Bank’s engagement in the region. This is exemplified by a recently completed activity, Sustainable Development of Transmission and Distribution Sector in North Eastern Region of India. The activity helped explore the feasibility of PPPs in this region, based on stock taking of experience in other parts of the country.’</w:t>
      </w:r>
      <w:r w:rsidRPr="000151BA">
        <w:footnoteReference w:id="195"/>
      </w:r>
    </w:p>
    <w:p w14:paraId="5622F250" w14:textId="77777777" w:rsidR="00CF4353" w:rsidRPr="000151BA" w:rsidRDefault="00CF4353" w:rsidP="000151BA">
      <w:pPr>
        <w:pStyle w:val="NormalWeb"/>
        <w:rPr>
          <w:sz w:val="22"/>
        </w:rPr>
      </w:pPr>
      <w:r w:rsidRPr="000151BA">
        <w:rPr>
          <w:sz w:val="22"/>
        </w:rPr>
        <w:t>Gender Equality: How did this IFG project adapt its aims, objectives and approach to align with DFAT’s gender equality and women’s empowerment strategy?</w:t>
      </w:r>
    </w:p>
    <w:p w14:paraId="15B6DD74" w14:textId="77777777" w:rsidR="00CF4353" w:rsidRPr="000151BA" w:rsidRDefault="00CF4353" w:rsidP="000151BA">
      <w:pPr>
        <w:pStyle w:val="NormalWeb"/>
        <w:rPr>
          <w:sz w:val="22"/>
        </w:rPr>
      </w:pPr>
      <w:r w:rsidRPr="000151BA">
        <w:rPr>
          <w:sz w:val="22"/>
        </w:rPr>
        <w:t>Interviews indicated that there was still work to do on gender programming</w:t>
      </w:r>
      <w:r w:rsidRPr="000151BA">
        <w:footnoteReference w:id="196"/>
      </w:r>
      <w:r w:rsidRPr="000151BA">
        <w:rPr>
          <w:sz w:val="22"/>
        </w:rPr>
        <w:t>, but that sensitisation activities had been undertaken</w:t>
      </w:r>
      <w:r w:rsidRPr="000151BA">
        <w:footnoteReference w:id="197"/>
      </w:r>
      <w:r w:rsidRPr="000151BA">
        <w:rPr>
          <w:sz w:val="22"/>
        </w:rPr>
        <w:t>.  Gender relevant sensitisation was evident in reporting available from the project. For example:</w:t>
      </w:r>
    </w:p>
    <w:p w14:paraId="235A5E52" w14:textId="77777777" w:rsidR="00CF4353" w:rsidRPr="000151BA" w:rsidRDefault="00CF4353" w:rsidP="000151BA">
      <w:pPr>
        <w:pStyle w:val="NormalWeb"/>
        <w:rPr>
          <w:sz w:val="22"/>
        </w:rPr>
      </w:pPr>
      <w:r w:rsidRPr="000151BA">
        <w:rPr>
          <w:sz w:val="22"/>
        </w:rPr>
        <w:t>‘…Both WSI and IFG projects integrate gender issues into the design of the activity. In the Punjab Rural Water and Sanitation Sector Improvement Program (WSI), a study was completed on gender participation and social auditing …. Another activity -- aimed at sustainable development of the energy transmission and distribution sector in North Eastern Region of India (IFG) -- supported a background knowledge study on gender to help sensitize the different stakeholders on the subject.’</w:t>
      </w:r>
      <w:r w:rsidRPr="000151BA">
        <w:footnoteReference w:id="198"/>
      </w:r>
    </w:p>
    <w:p w14:paraId="5CE12596" w14:textId="77777777" w:rsidR="00CF4353" w:rsidRPr="000151BA" w:rsidRDefault="00CF4353" w:rsidP="001B449B">
      <w:pPr>
        <w:pStyle w:val="Heading3"/>
        <w:rPr>
          <w:sz w:val="22"/>
        </w:rPr>
      </w:pPr>
      <w:r w:rsidRPr="000151BA">
        <w:rPr>
          <w:sz w:val="22"/>
        </w:rPr>
        <w:t>4. Chittagong Urban Resilience and City Development Strategy*</w:t>
      </w:r>
    </w:p>
    <w:tbl>
      <w:tblPr>
        <w:tblStyle w:val="GridTable1Light1"/>
        <w:tblW w:w="0" w:type="auto"/>
        <w:tblLook w:val="04A0" w:firstRow="1" w:lastRow="0" w:firstColumn="1" w:lastColumn="0" w:noHBand="0" w:noVBand="1"/>
      </w:tblPr>
      <w:tblGrid>
        <w:gridCol w:w="1108"/>
        <w:gridCol w:w="1092"/>
        <w:gridCol w:w="1087"/>
        <w:gridCol w:w="1044"/>
        <w:gridCol w:w="1360"/>
        <w:gridCol w:w="1298"/>
        <w:gridCol w:w="1061"/>
        <w:gridCol w:w="949"/>
      </w:tblGrid>
      <w:tr w:rsidR="00CF4353" w14:paraId="6FED0986" w14:textId="77777777">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08" w:type="dxa"/>
          </w:tcPr>
          <w:p w14:paraId="446BD55E" w14:textId="77777777" w:rsidR="00CF4353" w:rsidRPr="000151BA" w:rsidRDefault="00CF4353" w:rsidP="001B449B">
            <w:pPr>
              <w:pStyle w:val="p1"/>
              <w:rPr>
                <w:rFonts w:asciiTheme="minorHAnsi" w:hAnsiTheme="minorHAnsi"/>
                <w:sz w:val="16"/>
                <w:szCs w:val="16"/>
              </w:rPr>
            </w:pPr>
            <w:r w:rsidRPr="000151BA">
              <w:rPr>
                <w:sz w:val="16"/>
                <w:szCs w:val="16"/>
              </w:rPr>
              <w:t>Country or regional focus</w:t>
            </w:r>
          </w:p>
        </w:tc>
        <w:tc>
          <w:tcPr>
            <w:tcW w:w="1092" w:type="dxa"/>
          </w:tcPr>
          <w:p w14:paraId="77E543DF"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TTL</w:t>
            </w:r>
          </w:p>
        </w:tc>
        <w:tc>
          <w:tcPr>
            <w:tcW w:w="1087" w:type="dxa"/>
          </w:tcPr>
          <w:p w14:paraId="3169C237"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 xml:space="preserve">Grant Amount </w:t>
            </w:r>
          </w:p>
        </w:tc>
        <w:tc>
          <w:tcPr>
            <w:tcW w:w="1044" w:type="dxa"/>
          </w:tcPr>
          <w:p w14:paraId="414C89BA"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Fund Balance</w:t>
            </w:r>
          </w:p>
        </w:tc>
        <w:tc>
          <w:tcPr>
            <w:tcW w:w="1360" w:type="dxa"/>
          </w:tcPr>
          <w:p w14:paraId="304C84EE"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 xml:space="preserve">Disbursements </w:t>
            </w:r>
          </w:p>
        </w:tc>
        <w:tc>
          <w:tcPr>
            <w:tcW w:w="1298" w:type="dxa"/>
          </w:tcPr>
          <w:p w14:paraId="02946892"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Commitments</w:t>
            </w:r>
          </w:p>
        </w:tc>
        <w:tc>
          <w:tcPr>
            <w:tcW w:w="1061" w:type="dxa"/>
          </w:tcPr>
          <w:p w14:paraId="127C4ECE"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 disbursed and expensed</w:t>
            </w:r>
          </w:p>
        </w:tc>
        <w:tc>
          <w:tcPr>
            <w:tcW w:w="949" w:type="dxa"/>
          </w:tcPr>
          <w:p w14:paraId="45E7FD4B"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Grant Closing Date</w:t>
            </w:r>
          </w:p>
        </w:tc>
      </w:tr>
      <w:tr w:rsidR="00CF4353" w14:paraId="20AA3D2D" w14:textId="77777777">
        <w:trPr>
          <w:trHeight w:val="555"/>
        </w:trPr>
        <w:tc>
          <w:tcPr>
            <w:cnfStyle w:val="001000000000" w:firstRow="0" w:lastRow="0" w:firstColumn="1" w:lastColumn="0" w:oddVBand="0" w:evenVBand="0" w:oddHBand="0" w:evenHBand="0" w:firstRowFirstColumn="0" w:firstRowLastColumn="0" w:lastRowFirstColumn="0" w:lastRowLastColumn="0"/>
            <w:tcW w:w="1108" w:type="dxa"/>
          </w:tcPr>
          <w:p w14:paraId="73934D5E" w14:textId="77777777" w:rsidR="00CF4353" w:rsidRPr="000151BA" w:rsidRDefault="00CF4353" w:rsidP="001B449B">
            <w:pPr>
              <w:pStyle w:val="p1"/>
              <w:rPr>
                <w:sz w:val="16"/>
                <w:szCs w:val="16"/>
              </w:rPr>
            </w:pPr>
            <w:r w:rsidRPr="000151BA">
              <w:rPr>
                <w:sz w:val="16"/>
                <w:szCs w:val="16"/>
              </w:rPr>
              <w:t>Bangladesh</w:t>
            </w:r>
          </w:p>
        </w:tc>
        <w:tc>
          <w:tcPr>
            <w:tcW w:w="1092" w:type="dxa"/>
          </w:tcPr>
          <w:p w14:paraId="750BFA5E"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Shenhua Wang</w:t>
            </w:r>
          </w:p>
          <w:p w14:paraId="6790E5A7"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087" w:type="dxa"/>
          </w:tcPr>
          <w:p w14:paraId="3CC71B19"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246,081.94</w:t>
            </w:r>
          </w:p>
          <w:p w14:paraId="3D676958"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044" w:type="dxa"/>
          </w:tcPr>
          <w:p w14:paraId="434137F3"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360" w:type="dxa"/>
          </w:tcPr>
          <w:p w14:paraId="380C3D18"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246,081.94</w:t>
            </w:r>
          </w:p>
          <w:p w14:paraId="48909710"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298" w:type="dxa"/>
          </w:tcPr>
          <w:p w14:paraId="6E001661"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061" w:type="dxa"/>
          </w:tcPr>
          <w:p w14:paraId="146771B7"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100%</w:t>
            </w:r>
          </w:p>
        </w:tc>
        <w:tc>
          <w:tcPr>
            <w:tcW w:w="949" w:type="dxa"/>
          </w:tcPr>
          <w:p w14:paraId="5F82314D"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r>
    </w:tbl>
    <w:p w14:paraId="3DF9B7E5" w14:textId="77777777" w:rsidR="00CF4353" w:rsidRDefault="00CF4353" w:rsidP="001B449B">
      <w:pPr>
        <w:pStyle w:val="NormalWeb"/>
      </w:pPr>
      <w:r w:rsidRPr="000F4BD0">
        <w:t xml:space="preserve">Effectiveness: How did this IFG project perform against its objectives? </w:t>
      </w:r>
    </w:p>
    <w:p w14:paraId="3010B026" w14:textId="77777777" w:rsidR="00CF4353" w:rsidRPr="00EA0161" w:rsidRDefault="00CF4353" w:rsidP="001B449B">
      <w:pPr>
        <w:pStyle w:val="NormalWeb"/>
        <w:numPr>
          <w:ilvl w:val="0"/>
          <w:numId w:val="30"/>
        </w:numPr>
        <w:rPr>
          <w:color w:val="000000"/>
        </w:rPr>
      </w:pPr>
      <w:r w:rsidRPr="00EA0161">
        <w:rPr>
          <w:b/>
          <w:color w:val="000000"/>
        </w:rPr>
        <w:t>Objective:</w:t>
      </w:r>
      <w:r>
        <w:rPr>
          <w:color w:val="000000"/>
        </w:rPr>
        <w:t xml:space="preserve"> The objective of this project </w:t>
      </w:r>
      <w:r w:rsidRPr="001C7002">
        <w:rPr>
          <w:color w:val="000000"/>
        </w:rPr>
        <w:t>was to</w:t>
      </w:r>
      <w:r w:rsidRPr="001C7002">
        <w:t xml:space="preserve"> prepare a strategy report on Urban Resilience and City Development Strategy for Chittagong to </w:t>
      </w:r>
      <w:r>
        <w:t>‘…</w:t>
      </w:r>
      <w:r w:rsidRPr="001C7002">
        <w:t>improve policymakers’ knowledge of urban resilience strategies, and priority areas of investment for urban services and infrastructure</w:t>
      </w:r>
      <w:r>
        <w:t>’.</w:t>
      </w:r>
      <w:r>
        <w:rPr>
          <w:rStyle w:val="FootnoteReference"/>
          <w:szCs w:val="20"/>
        </w:rPr>
        <w:footnoteReference w:id="199"/>
      </w:r>
      <w:r>
        <w:t xml:space="preserve"> </w:t>
      </w:r>
    </w:p>
    <w:p w14:paraId="0B42611F" w14:textId="77777777" w:rsidR="00CF4353" w:rsidRDefault="00CF4353" w:rsidP="001A78AF">
      <w:pPr>
        <w:pStyle w:val="NormalWeb"/>
        <w:numPr>
          <w:ilvl w:val="0"/>
          <w:numId w:val="30"/>
        </w:numPr>
      </w:pPr>
      <w:r>
        <w:rPr>
          <w:b/>
        </w:rPr>
        <w:t>Output:</w:t>
      </w:r>
      <w:r>
        <w:t xml:space="preserve"> A</w:t>
      </w:r>
      <w:r w:rsidRPr="001C7002">
        <w:t xml:space="preserve"> development strategy paper </w:t>
      </w:r>
      <w:r>
        <w:t xml:space="preserve">was published </w:t>
      </w:r>
      <w:r w:rsidRPr="001C7002">
        <w:t>on improving Chittagong’s urban management and resilience to climate change</w:t>
      </w:r>
      <w:r>
        <w:rPr>
          <w:rStyle w:val="FootnoteReference"/>
          <w:szCs w:val="20"/>
        </w:rPr>
        <w:footnoteReference w:id="200"/>
      </w:r>
      <w:r w:rsidRPr="001C7002">
        <w:t>.</w:t>
      </w:r>
    </w:p>
    <w:p w14:paraId="0C94A866" w14:textId="77777777" w:rsidR="00CF4353" w:rsidRPr="00EA0161" w:rsidRDefault="00CF4353" w:rsidP="001A78AF">
      <w:pPr>
        <w:pStyle w:val="NormalWeb"/>
        <w:numPr>
          <w:ilvl w:val="0"/>
          <w:numId w:val="30"/>
        </w:numPr>
      </w:pPr>
      <w:r w:rsidRPr="00EA0161">
        <w:rPr>
          <w:b/>
        </w:rPr>
        <w:lastRenderedPageBreak/>
        <w:t>Outcomes:</w:t>
      </w:r>
      <w:r>
        <w:t xml:space="preserve"> </w:t>
      </w:r>
      <w:r w:rsidRPr="00EA0161">
        <w:t xml:space="preserve">There is some evidence of outcomes beyond the publication of the paper: </w:t>
      </w:r>
    </w:p>
    <w:p w14:paraId="3E0D0521" w14:textId="77777777" w:rsidR="00CF4353" w:rsidRPr="000151BA" w:rsidRDefault="00CF4353" w:rsidP="001B449B">
      <w:pPr>
        <w:rPr>
          <w:sz w:val="22"/>
        </w:rPr>
      </w:pPr>
      <w:r w:rsidRPr="000151BA">
        <w:rPr>
          <w:sz w:val="22"/>
        </w:rPr>
        <w:t xml:space="preserve"> ‘…This study is also informing design of the World Bank’s proposed Municipal Governance and Service project which aims at improving governance and urban service delivery in 26 urban local bodies along the Dhaka-Chittagong growth corridor. ‘</w:t>
      </w:r>
      <w:r w:rsidRPr="000151BA">
        <w:rPr>
          <w:rStyle w:val="FootnoteReference"/>
          <w:i/>
          <w:sz w:val="22"/>
        </w:rPr>
        <w:footnoteReference w:id="201"/>
      </w:r>
    </w:p>
    <w:p w14:paraId="148AA60C" w14:textId="77777777" w:rsidR="00CF4353" w:rsidRPr="000151BA" w:rsidRDefault="00CF4353" w:rsidP="001B449B">
      <w:pPr>
        <w:pStyle w:val="NormalWeb"/>
        <w:rPr>
          <w:sz w:val="22"/>
        </w:rPr>
      </w:pPr>
      <w:r w:rsidRPr="000151BA">
        <w:rPr>
          <w:sz w:val="22"/>
        </w:rPr>
        <w:t>Efficiency: Has funding being used efficiently and what have been the factors affecting the WB’s disbursement rates?</w:t>
      </w:r>
      <w:r w:rsidRPr="000151BA">
        <w:rPr>
          <w:sz w:val="22"/>
        </w:rPr>
        <w:tab/>
      </w:r>
    </w:p>
    <w:p w14:paraId="2610D2C8" w14:textId="77777777" w:rsidR="00CF4353" w:rsidRPr="000151BA" w:rsidRDefault="00CF4353">
      <w:pPr>
        <w:pStyle w:val="NormalWeb"/>
        <w:rPr>
          <w:color w:val="000000"/>
          <w:sz w:val="22"/>
        </w:rPr>
      </w:pPr>
      <w:r w:rsidRPr="000151BA">
        <w:rPr>
          <w:sz w:val="22"/>
        </w:rPr>
        <w:t>Disbursement rates were noted at 100% as at December 2017</w:t>
      </w:r>
      <w:r w:rsidRPr="000151BA">
        <w:rPr>
          <w:rStyle w:val="FootnoteReference"/>
          <w:sz w:val="22"/>
        </w:rPr>
        <w:footnoteReference w:id="202"/>
      </w:r>
      <w:r w:rsidRPr="000151BA">
        <w:rPr>
          <w:sz w:val="22"/>
        </w:rPr>
        <w:t>.</w:t>
      </w:r>
    </w:p>
    <w:p w14:paraId="6E7313E0" w14:textId="77777777" w:rsidR="00CF4353" w:rsidRPr="000151BA" w:rsidRDefault="00CF4353">
      <w:pPr>
        <w:pStyle w:val="NormalWeb"/>
        <w:rPr>
          <w:sz w:val="22"/>
        </w:rPr>
      </w:pPr>
      <w:r w:rsidRPr="000151BA">
        <w:rPr>
          <w:sz w:val="22"/>
        </w:rPr>
        <w:t>Relevance: How is this IFG project and its focus sectors relevant and appropriate in the current context and environment of Australia’s aid priorities?</w:t>
      </w:r>
    </w:p>
    <w:p w14:paraId="4FCE74AE" w14:textId="77777777" w:rsidR="00CF4353" w:rsidRPr="000151BA" w:rsidRDefault="00CF4353">
      <w:pPr>
        <w:pStyle w:val="NormalWeb"/>
        <w:rPr>
          <w:sz w:val="22"/>
        </w:rPr>
      </w:pPr>
      <w:r w:rsidRPr="000151BA">
        <w:rPr>
          <w:color w:val="000000"/>
          <w:sz w:val="22"/>
        </w:rPr>
        <w:t xml:space="preserve">Reporting against the IFG framework notes that this project </w:t>
      </w:r>
      <w:r w:rsidRPr="000151BA">
        <w:rPr>
          <w:sz w:val="22"/>
        </w:rPr>
        <w:t>includes resilience to climate change, helps determine investment priorities for urban services and infrastructure</w:t>
      </w:r>
      <w:r w:rsidRPr="000151BA">
        <w:rPr>
          <w:rStyle w:val="FootnoteReference"/>
          <w:sz w:val="22"/>
        </w:rPr>
        <w:footnoteReference w:id="203"/>
      </w:r>
      <w:r w:rsidRPr="000151BA">
        <w:rPr>
          <w:sz w:val="22"/>
        </w:rPr>
        <w:t>.  The project was noted as a highlight in the DFAT Aid Program Performance Reports for 2015-16 and 2016-17</w:t>
      </w:r>
      <w:r w:rsidRPr="000151BA">
        <w:rPr>
          <w:rStyle w:val="FootnoteReference"/>
          <w:sz w:val="22"/>
        </w:rPr>
        <w:footnoteReference w:id="204"/>
      </w:r>
      <w:r w:rsidRPr="000151BA">
        <w:rPr>
          <w:sz w:val="22"/>
        </w:rPr>
        <w:t xml:space="preserve">. </w:t>
      </w:r>
    </w:p>
    <w:p w14:paraId="3E5F1E3D" w14:textId="77777777" w:rsidR="00CF4353" w:rsidRPr="000151BA" w:rsidRDefault="00CF4353" w:rsidP="001B449B">
      <w:pPr>
        <w:rPr>
          <w:sz w:val="22"/>
        </w:rPr>
      </w:pPr>
      <w:r w:rsidRPr="000151BA">
        <w:rPr>
          <w:sz w:val="22"/>
        </w:rPr>
        <w:t>Gender Equality: How did this IFG project adapt its aims, objectives and approach to align with DFAT’s gender equality and women’s empowerment strategy?</w:t>
      </w:r>
    </w:p>
    <w:p w14:paraId="6217DAA2" w14:textId="77777777" w:rsidR="00CF4353" w:rsidRPr="000151BA" w:rsidRDefault="00CF4353" w:rsidP="001B449B">
      <w:pPr>
        <w:pStyle w:val="NormalWeb"/>
        <w:rPr>
          <w:sz w:val="22"/>
        </w:rPr>
      </w:pPr>
      <w:r w:rsidRPr="000151BA">
        <w:rPr>
          <w:sz w:val="22"/>
        </w:rPr>
        <w:t xml:space="preserve">Gender design is not evident from the reporting for this project, which is focussed on climate change, urban services and infrastructure. </w:t>
      </w:r>
    </w:p>
    <w:p w14:paraId="482B55D6" w14:textId="77777777" w:rsidR="00CF4353" w:rsidRDefault="00CF4353" w:rsidP="001B449B"/>
    <w:p w14:paraId="4188DC8B" w14:textId="77777777" w:rsidR="00CF4353" w:rsidRPr="000151BA" w:rsidRDefault="00CF4353" w:rsidP="001B449B">
      <w:pPr>
        <w:pStyle w:val="Heading3"/>
        <w:rPr>
          <w:sz w:val="22"/>
        </w:rPr>
      </w:pPr>
      <w:r w:rsidRPr="000151BA">
        <w:rPr>
          <w:sz w:val="22"/>
        </w:rPr>
        <w:t>5. Trade, Logistics, Competitiveness in the Port Sector</w:t>
      </w:r>
    </w:p>
    <w:tbl>
      <w:tblPr>
        <w:tblStyle w:val="GridTable1Light1"/>
        <w:tblW w:w="0" w:type="auto"/>
        <w:tblLook w:val="04A0" w:firstRow="1" w:lastRow="0" w:firstColumn="1" w:lastColumn="0" w:noHBand="0" w:noVBand="1"/>
      </w:tblPr>
      <w:tblGrid>
        <w:gridCol w:w="1085"/>
        <w:gridCol w:w="1068"/>
        <w:gridCol w:w="1064"/>
        <w:gridCol w:w="1022"/>
        <w:gridCol w:w="1331"/>
        <w:gridCol w:w="1271"/>
        <w:gridCol w:w="1038"/>
        <w:gridCol w:w="929"/>
      </w:tblGrid>
      <w:tr w:rsidR="00CF4353" w14:paraId="246AD2B2" w14:textId="77777777">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085" w:type="dxa"/>
          </w:tcPr>
          <w:p w14:paraId="3A818641" w14:textId="77777777" w:rsidR="00CF4353" w:rsidRPr="000151BA" w:rsidRDefault="00CF4353" w:rsidP="001B449B">
            <w:pPr>
              <w:pStyle w:val="p1"/>
              <w:rPr>
                <w:rFonts w:asciiTheme="minorHAnsi" w:hAnsiTheme="minorHAnsi"/>
                <w:sz w:val="16"/>
                <w:szCs w:val="16"/>
              </w:rPr>
            </w:pPr>
            <w:r w:rsidRPr="000151BA">
              <w:rPr>
                <w:sz w:val="16"/>
                <w:szCs w:val="16"/>
              </w:rPr>
              <w:t>Country or regional focus</w:t>
            </w:r>
          </w:p>
        </w:tc>
        <w:tc>
          <w:tcPr>
            <w:tcW w:w="1068" w:type="dxa"/>
          </w:tcPr>
          <w:p w14:paraId="16084994"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TTL</w:t>
            </w:r>
          </w:p>
        </w:tc>
        <w:tc>
          <w:tcPr>
            <w:tcW w:w="1064" w:type="dxa"/>
          </w:tcPr>
          <w:p w14:paraId="56FB5DB3"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 xml:space="preserve">Grant Amount </w:t>
            </w:r>
          </w:p>
        </w:tc>
        <w:tc>
          <w:tcPr>
            <w:tcW w:w="1022" w:type="dxa"/>
          </w:tcPr>
          <w:p w14:paraId="044678F1"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Fund Balance</w:t>
            </w:r>
          </w:p>
        </w:tc>
        <w:tc>
          <w:tcPr>
            <w:tcW w:w="1331" w:type="dxa"/>
          </w:tcPr>
          <w:p w14:paraId="1E9A7205"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 xml:space="preserve">Disbursements </w:t>
            </w:r>
          </w:p>
        </w:tc>
        <w:tc>
          <w:tcPr>
            <w:tcW w:w="1271" w:type="dxa"/>
          </w:tcPr>
          <w:p w14:paraId="2614F3B3"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Commitments</w:t>
            </w:r>
          </w:p>
        </w:tc>
        <w:tc>
          <w:tcPr>
            <w:tcW w:w="1038" w:type="dxa"/>
          </w:tcPr>
          <w:p w14:paraId="0CD5D141"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 disbursed and expensed</w:t>
            </w:r>
          </w:p>
        </w:tc>
        <w:tc>
          <w:tcPr>
            <w:tcW w:w="929" w:type="dxa"/>
          </w:tcPr>
          <w:p w14:paraId="01C95913"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Grant Closing Date</w:t>
            </w:r>
          </w:p>
        </w:tc>
      </w:tr>
      <w:tr w:rsidR="00CF4353" w14:paraId="21D2AFE0" w14:textId="77777777">
        <w:trPr>
          <w:trHeight w:val="416"/>
        </w:trPr>
        <w:tc>
          <w:tcPr>
            <w:cnfStyle w:val="001000000000" w:firstRow="0" w:lastRow="0" w:firstColumn="1" w:lastColumn="0" w:oddVBand="0" w:evenVBand="0" w:oddHBand="0" w:evenHBand="0" w:firstRowFirstColumn="0" w:firstRowLastColumn="0" w:lastRowFirstColumn="0" w:lastRowLastColumn="0"/>
            <w:tcW w:w="1085" w:type="dxa"/>
          </w:tcPr>
          <w:p w14:paraId="3121B143" w14:textId="77777777" w:rsidR="00CF4353" w:rsidRPr="000151BA" w:rsidRDefault="00CF4353" w:rsidP="001B449B">
            <w:pPr>
              <w:pStyle w:val="p1"/>
              <w:rPr>
                <w:sz w:val="16"/>
                <w:szCs w:val="16"/>
              </w:rPr>
            </w:pPr>
            <w:r w:rsidRPr="000151BA">
              <w:rPr>
                <w:sz w:val="16"/>
                <w:szCs w:val="16"/>
              </w:rPr>
              <w:t>South Asia</w:t>
            </w:r>
          </w:p>
        </w:tc>
        <w:tc>
          <w:tcPr>
            <w:tcW w:w="1068" w:type="dxa"/>
          </w:tcPr>
          <w:p w14:paraId="749A2377" w14:textId="77777777" w:rsidR="00CF4353" w:rsidRPr="000151BA" w:rsidRDefault="00CF4353">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Matias Herrera Dappe</w:t>
            </w:r>
          </w:p>
        </w:tc>
        <w:tc>
          <w:tcPr>
            <w:tcW w:w="1064" w:type="dxa"/>
          </w:tcPr>
          <w:p w14:paraId="584F7B0C"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339,662.81</w:t>
            </w:r>
          </w:p>
          <w:p w14:paraId="7C306E12"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022" w:type="dxa"/>
          </w:tcPr>
          <w:p w14:paraId="68FBAC43"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331" w:type="dxa"/>
          </w:tcPr>
          <w:p w14:paraId="1A0C6CC5"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339,662.81</w:t>
            </w:r>
          </w:p>
          <w:p w14:paraId="69B580A7"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271" w:type="dxa"/>
          </w:tcPr>
          <w:p w14:paraId="7315849F"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038" w:type="dxa"/>
          </w:tcPr>
          <w:p w14:paraId="1B8DAE91"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100%</w:t>
            </w:r>
          </w:p>
        </w:tc>
        <w:tc>
          <w:tcPr>
            <w:tcW w:w="929" w:type="dxa"/>
          </w:tcPr>
          <w:p w14:paraId="256EAC3F"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r>
    </w:tbl>
    <w:p w14:paraId="2AB1E6B0" w14:textId="77777777" w:rsidR="00CF4353" w:rsidRPr="000151BA" w:rsidRDefault="00CF4353" w:rsidP="001B449B">
      <w:pPr>
        <w:pStyle w:val="NormalWeb"/>
        <w:rPr>
          <w:sz w:val="22"/>
        </w:rPr>
      </w:pPr>
      <w:r w:rsidRPr="000151BA">
        <w:rPr>
          <w:sz w:val="22"/>
        </w:rPr>
        <w:t xml:space="preserve">Effectiveness: How did this IFG project perform against its objectives? </w:t>
      </w:r>
    </w:p>
    <w:p w14:paraId="05EBBE44" w14:textId="77777777" w:rsidR="00CF4353" w:rsidRPr="000151BA" w:rsidRDefault="00CF4353" w:rsidP="001B449B">
      <w:pPr>
        <w:pStyle w:val="ListParagraph"/>
        <w:numPr>
          <w:ilvl w:val="0"/>
          <w:numId w:val="31"/>
        </w:numPr>
        <w:rPr>
          <w:sz w:val="22"/>
        </w:rPr>
      </w:pPr>
      <w:r w:rsidRPr="000151BA">
        <w:rPr>
          <w:b/>
          <w:sz w:val="22"/>
        </w:rPr>
        <w:t>Objectives</w:t>
      </w:r>
      <w:r w:rsidRPr="000151BA">
        <w:rPr>
          <w:sz w:val="22"/>
        </w:rPr>
        <w:t xml:space="preserve">: Objectives for the project were documented as enhancing the policy discussion on competitiveness of seaborne trade in South Asia, specifically, regarding ports performance and port-focused logistics.  </w:t>
      </w:r>
    </w:p>
    <w:p w14:paraId="3FEEDF64" w14:textId="77777777" w:rsidR="00CF4353" w:rsidRPr="000151BA" w:rsidRDefault="00CF4353" w:rsidP="001A78AF">
      <w:pPr>
        <w:pStyle w:val="ListParagraph"/>
        <w:numPr>
          <w:ilvl w:val="0"/>
          <w:numId w:val="31"/>
        </w:numPr>
        <w:rPr>
          <w:sz w:val="22"/>
        </w:rPr>
      </w:pPr>
      <w:r w:rsidRPr="000151BA">
        <w:rPr>
          <w:b/>
          <w:sz w:val="22"/>
        </w:rPr>
        <w:t>Outputs</w:t>
      </w:r>
      <w:r w:rsidRPr="000151BA">
        <w:rPr>
          <w:sz w:val="22"/>
        </w:rPr>
        <w:t>: The final report has been completed, was endorsed by the Government of India, and presented at the World Conference on Transport Research</w:t>
      </w:r>
      <w:r w:rsidRPr="000151BA">
        <w:rPr>
          <w:rStyle w:val="FootnoteReference"/>
          <w:rFonts w:asciiTheme="minorHAnsi" w:hAnsiTheme="minorHAnsi"/>
          <w:sz w:val="22"/>
        </w:rPr>
        <w:footnoteReference w:id="205"/>
      </w:r>
      <w:r w:rsidRPr="000151BA">
        <w:rPr>
          <w:sz w:val="22"/>
        </w:rPr>
        <w:t xml:space="preserve">. </w:t>
      </w:r>
    </w:p>
    <w:p w14:paraId="49FCCB01" w14:textId="77777777" w:rsidR="00CF4353" w:rsidRPr="000151BA" w:rsidRDefault="00CF4353" w:rsidP="001A78AF">
      <w:pPr>
        <w:pStyle w:val="ListParagraph"/>
        <w:numPr>
          <w:ilvl w:val="0"/>
          <w:numId w:val="31"/>
        </w:numPr>
        <w:rPr>
          <w:sz w:val="22"/>
        </w:rPr>
      </w:pPr>
      <w:r w:rsidRPr="000151BA">
        <w:rPr>
          <w:b/>
          <w:sz w:val="22"/>
        </w:rPr>
        <w:t>Outcomes</w:t>
      </w:r>
      <w:r w:rsidRPr="000151BA">
        <w:rPr>
          <w:sz w:val="22"/>
        </w:rPr>
        <w:t xml:space="preserve">: Interviews indicated that there are extended outcomes from the project, with several different projects now emanating from this project.  For example, in India – with </w:t>
      </w:r>
      <w:r w:rsidRPr="000151BA">
        <w:rPr>
          <w:sz w:val="22"/>
        </w:rPr>
        <w:lastRenderedPageBreak/>
        <w:t>related investments in Kolkata port.  In addition, India and Sri Lanka are presenting at events with stakeholders including government and private sector. Interviews also indicated that this project had stimulated other activity with other World Bank lending</w:t>
      </w:r>
      <w:r w:rsidRPr="000151BA">
        <w:rPr>
          <w:rStyle w:val="FootnoteReference"/>
          <w:rFonts w:asciiTheme="minorHAnsi" w:hAnsiTheme="minorHAnsi"/>
          <w:color w:val="000000"/>
          <w:sz w:val="22"/>
        </w:rPr>
        <w:footnoteReference w:id="206"/>
      </w:r>
      <w:r w:rsidRPr="000151BA">
        <w:rPr>
          <w:sz w:val="22"/>
        </w:rPr>
        <w:t>.</w:t>
      </w:r>
    </w:p>
    <w:p w14:paraId="0204D0BD" w14:textId="77777777" w:rsidR="00CF4353" w:rsidRPr="000151BA" w:rsidRDefault="00CF4353" w:rsidP="001A78AF">
      <w:pPr>
        <w:pStyle w:val="NormalWeb"/>
        <w:rPr>
          <w:sz w:val="22"/>
        </w:rPr>
      </w:pPr>
      <w:r w:rsidRPr="000151BA">
        <w:rPr>
          <w:sz w:val="22"/>
        </w:rPr>
        <w:t>Publication reference:</w:t>
      </w:r>
    </w:p>
    <w:p w14:paraId="0DC8A14E" w14:textId="77777777" w:rsidR="00CF4353" w:rsidRPr="000151BA" w:rsidRDefault="00CF4353" w:rsidP="001B449B">
      <w:pPr>
        <w:pStyle w:val="NormalWeb"/>
        <w:numPr>
          <w:ilvl w:val="0"/>
          <w:numId w:val="24"/>
        </w:numPr>
        <w:rPr>
          <w:sz w:val="22"/>
        </w:rPr>
      </w:pPr>
      <w:r w:rsidRPr="000151BA">
        <w:rPr>
          <w:sz w:val="22"/>
        </w:rPr>
        <w:t>Dappe, M. and Suárez-Alemán, A. 2016. Competitiveness of South Asia’s Container Ports A Comprehensive Assessment of Performance, Drivers, and Costs. World Bank Group Washington</w:t>
      </w:r>
    </w:p>
    <w:p w14:paraId="64E0DB1E" w14:textId="77777777" w:rsidR="00CF4353" w:rsidRPr="000151BA" w:rsidRDefault="00CF4353" w:rsidP="001A78AF">
      <w:pPr>
        <w:pStyle w:val="NormalWeb"/>
        <w:rPr>
          <w:sz w:val="22"/>
        </w:rPr>
      </w:pPr>
      <w:r w:rsidRPr="000151BA">
        <w:rPr>
          <w:sz w:val="22"/>
        </w:rPr>
        <w:t>Efficiency: Has funding being used efficiently and what have been the factors affecting the WB’s disbursement rates?</w:t>
      </w:r>
    </w:p>
    <w:p w14:paraId="2142FE11" w14:textId="77777777" w:rsidR="00CF4353" w:rsidRPr="000151BA" w:rsidRDefault="00CF4353" w:rsidP="000B5B50">
      <w:pPr>
        <w:pStyle w:val="NormalWeb"/>
        <w:rPr>
          <w:sz w:val="22"/>
        </w:rPr>
      </w:pPr>
      <w:r w:rsidRPr="000151BA">
        <w:rPr>
          <w:sz w:val="22"/>
        </w:rPr>
        <w:t>Disbursement rates were noted at 100% as at December 2017</w:t>
      </w:r>
      <w:r w:rsidRPr="000151BA">
        <w:rPr>
          <w:rStyle w:val="FootnoteReference"/>
          <w:sz w:val="22"/>
        </w:rPr>
        <w:footnoteReference w:id="207"/>
      </w:r>
      <w:r w:rsidRPr="000151BA">
        <w:rPr>
          <w:sz w:val="22"/>
        </w:rPr>
        <w:t>.</w:t>
      </w:r>
    </w:p>
    <w:p w14:paraId="2219A8CC" w14:textId="77777777" w:rsidR="00CF4353" w:rsidRPr="000151BA" w:rsidRDefault="00CF4353" w:rsidP="000B5B50">
      <w:pPr>
        <w:pStyle w:val="NormalWeb"/>
        <w:rPr>
          <w:sz w:val="22"/>
        </w:rPr>
      </w:pPr>
      <w:r w:rsidRPr="000151BA">
        <w:rPr>
          <w:sz w:val="22"/>
        </w:rPr>
        <w:t>Relevance: How is this IFG project and its focus sectors relevant and appropriate in the current context and environment of Australia’s aid priorities?</w:t>
      </w:r>
    </w:p>
    <w:p w14:paraId="4D6D4CAF" w14:textId="77777777" w:rsidR="00CF4353" w:rsidRPr="000151BA" w:rsidRDefault="00CF4353" w:rsidP="00404A8A">
      <w:pPr>
        <w:pStyle w:val="NormalWeb"/>
        <w:rPr>
          <w:sz w:val="22"/>
        </w:rPr>
      </w:pPr>
      <w:r w:rsidRPr="000151BA">
        <w:rPr>
          <w:sz w:val="22"/>
        </w:rPr>
        <w:t xml:space="preserve">The report has a strong economic competitiveness focus, relevant to improvement of port activities across South Asia and beyond.  </w:t>
      </w:r>
    </w:p>
    <w:p w14:paraId="7523C6B7" w14:textId="77777777" w:rsidR="00CF4353" w:rsidRPr="000151BA" w:rsidRDefault="00CF4353" w:rsidP="00F311EB">
      <w:pPr>
        <w:pStyle w:val="NormalWeb"/>
        <w:rPr>
          <w:color w:val="000000"/>
          <w:sz w:val="22"/>
        </w:rPr>
      </w:pPr>
      <w:r w:rsidRPr="000151BA">
        <w:rPr>
          <w:sz w:val="22"/>
        </w:rPr>
        <w:t>‘…Improving performance in the region would (a) encourage private sector participation through a well-developed enabling environment, including further adoption of the landlord port model; (b) strengthen governance of port authorities’ boards; and (c) promote competition between and within ports, in part through transparent and competitive concession bidding. Strong governance and capacity of port authorities are requisites for the successful implementation of the landlord port model.</w:t>
      </w:r>
      <w:r w:rsidRPr="000151BA">
        <w:rPr>
          <w:rStyle w:val="FootnoteReference"/>
          <w:i/>
          <w:sz w:val="22"/>
        </w:rPr>
        <w:t xml:space="preserve"> </w:t>
      </w:r>
      <w:r w:rsidRPr="000151BA">
        <w:rPr>
          <w:rStyle w:val="FootnoteReference"/>
          <w:i/>
          <w:sz w:val="22"/>
        </w:rPr>
        <w:footnoteReference w:id="208"/>
      </w:r>
    </w:p>
    <w:p w14:paraId="788B3EF5" w14:textId="77777777" w:rsidR="00CF4353" w:rsidRPr="000151BA" w:rsidRDefault="00CF4353" w:rsidP="000151BA">
      <w:pPr>
        <w:pStyle w:val="NormalWeb"/>
        <w:rPr>
          <w:sz w:val="22"/>
        </w:rPr>
      </w:pPr>
      <w:r w:rsidRPr="000151BA">
        <w:rPr>
          <w:sz w:val="22"/>
        </w:rPr>
        <w:t>Gender Equality: How did this IFG project adapt its aims, objectives and approach to align with DFAT’s gender equality and women’s empowerment strategy?</w:t>
      </w:r>
    </w:p>
    <w:p w14:paraId="10FB2D2D" w14:textId="77777777" w:rsidR="00CF4353" w:rsidRPr="000151BA" w:rsidRDefault="00CF4353" w:rsidP="000151BA">
      <w:pPr>
        <w:pStyle w:val="NormalWeb"/>
        <w:rPr>
          <w:sz w:val="22"/>
        </w:rPr>
      </w:pPr>
      <w:r w:rsidRPr="000151BA">
        <w:rPr>
          <w:sz w:val="22"/>
        </w:rPr>
        <w:t>The project did into incorporate a specific gender focus. However, the challenge of incorporating gender issues into trade projects was discussed at interview, with the observation that, since trade necessarily focussed on infrastructure performance, it was not always obvious as to how to apply gender in that context, and how best to incorporate gender aspects into the project</w:t>
      </w:r>
      <w:r w:rsidRPr="000151BA">
        <w:rPr>
          <w:rStyle w:val="FootnoteReference"/>
          <w:color w:val="000000"/>
          <w:sz w:val="22"/>
        </w:rPr>
        <w:footnoteReference w:id="209"/>
      </w:r>
      <w:r w:rsidRPr="000151BA">
        <w:rPr>
          <w:sz w:val="22"/>
        </w:rPr>
        <w:t xml:space="preserve">, an area which could be developed. </w:t>
      </w:r>
    </w:p>
    <w:tbl>
      <w:tblPr>
        <w:tblStyle w:val="GridTable1Light1"/>
        <w:tblpPr w:leftFromText="180" w:rightFromText="180" w:vertAnchor="text" w:horzAnchor="page" w:tblpX="1570" w:tblpY="398"/>
        <w:tblW w:w="0" w:type="auto"/>
        <w:tblLook w:val="04A0" w:firstRow="1" w:lastRow="0" w:firstColumn="1" w:lastColumn="0" w:noHBand="0" w:noVBand="1"/>
      </w:tblPr>
      <w:tblGrid>
        <w:gridCol w:w="1077"/>
        <w:gridCol w:w="1061"/>
        <w:gridCol w:w="1056"/>
        <w:gridCol w:w="1015"/>
        <w:gridCol w:w="1322"/>
        <w:gridCol w:w="1262"/>
        <w:gridCol w:w="1031"/>
        <w:gridCol w:w="922"/>
      </w:tblGrid>
      <w:tr w:rsidR="00CF4353" w14:paraId="19C9A79E" w14:textId="77777777">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077" w:type="dxa"/>
          </w:tcPr>
          <w:p w14:paraId="0F00C7AE" w14:textId="77777777" w:rsidR="00CF4353" w:rsidRPr="000151BA" w:rsidRDefault="00CF4353" w:rsidP="001B449B">
            <w:pPr>
              <w:pStyle w:val="p1"/>
              <w:rPr>
                <w:rFonts w:asciiTheme="minorHAnsi" w:hAnsiTheme="minorHAnsi"/>
                <w:sz w:val="16"/>
                <w:szCs w:val="16"/>
              </w:rPr>
            </w:pPr>
            <w:r w:rsidRPr="000151BA">
              <w:rPr>
                <w:sz w:val="16"/>
                <w:szCs w:val="16"/>
              </w:rPr>
              <w:t>Country or regional focus</w:t>
            </w:r>
          </w:p>
        </w:tc>
        <w:tc>
          <w:tcPr>
            <w:tcW w:w="1061" w:type="dxa"/>
          </w:tcPr>
          <w:p w14:paraId="2BF917C2"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TTL</w:t>
            </w:r>
          </w:p>
        </w:tc>
        <w:tc>
          <w:tcPr>
            <w:tcW w:w="1056" w:type="dxa"/>
          </w:tcPr>
          <w:p w14:paraId="0E113423"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 xml:space="preserve">Grant Amount </w:t>
            </w:r>
          </w:p>
        </w:tc>
        <w:tc>
          <w:tcPr>
            <w:tcW w:w="1015" w:type="dxa"/>
          </w:tcPr>
          <w:p w14:paraId="4509E134"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Fund Balance</w:t>
            </w:r>
          </w:p>
        </w:tc>
        <w:tc>
          <w:tcPr>
            <w:tcW w:w="1322" w:type="dxa"/>
          </w:tcPr>
          <w:p w14:paraId="27117477"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 xml:space="preserve">Disbursements </w:t>
            </w:r>
          </w:p>
        </w:tc>
        <w:tc>
          <w:tcPr>
            <w:tcW w:w="1262" w:type="dxa"/>
          </w:tcPr>
          <w:p w14:paraId="63ADB446"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Commitments</w:t>
            </w:r>
          </w:p>
        </w:tc>
        <w:tc>
          <w:tcPr>
            <w:tcW w:w="1031" w:type="dxa"/>
          </w:tcPr>
          <w:p w14:paraId="19E9C05E"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 disbursed and expensed</w:t>
            </w:r>
          </w:p>
        </w:tc>
        <w:tc>
          <w:tcPr>
            <w:tcW w:w="922" w:type="dxa"/>
          </w:tcPr>
          <w:p w14:paraId="37858EF2"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0151BA">
              <w:rPr>
                <w:sz w:val="16"/>
                <w:szCs w:val="16"/>
              </w:rPr>
              <w:t>Grant Closing Date</w:t>
            </w:r>
          </w:p>
        </w:tc>
      </w:tr>
      <w:tr w:rsidR="00CF4353" w14:paraId="3FBA7EA0" w14:textId="77777777">
        <w:trPr>
          <w:trHeight w:val="479"/>
        </w:trPr>
        <w:tc>
          <w:tcPr>
            <w:cnfStyle w:val="001000000000" w:firstRow="0" w:lastRow="0" w:firstColumn="1" w:lastColumn="0" w:oddVBand="0" w:evenVBand="0" w:oddHBand="0" w:evenHBand="0" w:firstRowFirstColumn="0" w:firstRowLastColumn="0" w:lastRowFirstColumn="0" w:lastRowLastColumn="0"/>
            <w:tcW w:w="1077" w:type="dxa"/>
          </w:tcPr>
          <w:p w14:paraId="683019BC" w14:textId="77777777" w:rsidR="00CF4353" w:rsidRPr="000151BA" w:rsidRDefault="00CF4353" w:rsidP="001B449B">
            <w:pPr>
              <w:pStyle w:val="p1"/>
              <w:rPr>
                <w:sz w:val="16"/>
                <w:szCs w:val="16"/>
              </w:rPr>
            </w:pPr>
            <w:r w:rsidRPr="000151BA">
              <w:rPr>
                <w:sz w:val="16"/>
                <w:szCs w:val="16"/>
              </w:rPr>
              <w:t>India</w:t>
            </w:r>
          </w:p>
        </w:tc>
        <w:tc>
          <w:tcPr>
            <w:tcW w:w="1061" w:type="dxa"/>
          </w:tcPr>
          <w:p w14:paraId="18582A20"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Radia Benamghar</w:t>
            </w:r>
          </w:p>
          <w:p w14:paraId="0954C586"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056" w:type="dxa"/>
          </w:tcPr>
          <w:p w14:paraId="142A6C7D"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200,000</w:t>
            </w:r>
          </w:p>
        </w:tc>
        <w:tc>
          <w:tcPr>
            <w:tcW w:w="1015" w:type="dxa"/>
          </w:tcPr>
          <w:p w14:paraId="3A90C3D6"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17,476.23</w:t>
            </w:r>
          </w:p>
          <w:p w14:paraId="5EB5CD12"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322" w:type="dxa"/>
          </w:tcPr>
          <w:p w14:paraId="7F890DB1"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182,523.77</w:t>
            </w:r>
          </w:p>
          <w:p w14:paraId="47DF3D8E"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262" w:type="dxa"/>
          </w:tcPr>
          <w:p w14:paraId="5A494CF9"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031" w:type="dxa"/>
          </w:tcPr>
          <w:p w14:paraId="491AC4DF"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91%</w:t>
            </w:r>
          </w:p>
        </w:tc>
        <w:tc>
          <w:tcPr>
            <w:tcW w:w="922" w:type="dxa"/>
          </w:tcPr>
          <w:p w14:paraId="22FF85BE"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r>
    </w:tbl>
    <w:p w14:paraId="7098873B" w14:textId="77777777" w:rsidR="00CF4353" w:rsidRPr="000151BA" w:rsidRDefault="00CF4353" w:rsidP="001B449B">
      <w:pPr>
        <w:pStyle w:val="Heading3"/>
        <w:rPr>
          <w:color w:val="000000"/>
          <w:sz w:val="22"/>
        </w:rPr>
      </w:pPr>
      <w:r w:rsidRPr="000151BA">
        <w:rPr>
          <w:sz w:val="22"/>
        </w:rPr>
        <w:t>6. Strengthening Institutional Development in World Bank-Funded Transport Projects</w:t>
      </w:r>
    </w:p>
    <w:p w14:paraId="2688CABC" w14:textId="77777777" w:rsidR="00CF4353" w:rsidRPr="000151BA" w:rsidRDefault="00CF4353" w:rsidP="001B449B">
      <w:pPr>
        <w:rPr>
          <w:sz w:val="22"/>
        </w:rPr>
      </w:pPr>
      <w:r w:rsidRPr="000151BA">
        <w:rPr>
          <w:sz w:val="22"/>
        </w:rPr>
        <w:t xml:space="preserve">Effectiveness: How did this IFG project perform against its objectives? </w:t>
      </w:r>
    </w:p>
    <w:p w14:paraId="68D66224" w14:textId="77777777" w:rsidR="00CF4353" w:rsidRPr="000151BA" w:rsidRDefault="00CF4353" w:rsidP="000151BA">
      <w:pPr>
        <w:pStyle w:val="NormalWeb"/>
        <w:numPr>
          <w:ilvl w:val="0"/>
          <w:numId w:val="3"/>
        </w:numPr>
        <w:rPr>
          <w:sz w:val="22"/>
        </w:rPr>
      </w:pPr>
      <w:r w:rsidRPr="000151BA">
        <w:rPr>
          <w:b/>
          <w:sz w:val="22"/>
        </w:rPr>
        <w:lastRenderedPageBreak/>
        <w:t>Objective</w:t>
      </w:r>
      <w:r w:rsidRPr="000151BA">
        <w:rPr>
          <w:sz w:val="22"/>
        </w:rPr>
        <w:t xml:space="preserve">: The objectives of the project were to identify modern approaches and best practices emerging in institutional development and capacity-building activities under World Bank-funded transport sector investments in India; to identify relevant global good practices, and leverage these to enhance the impact of World Bank Group transport investments in India.  </w:t>
      </w:r>
    </w:p>
    <w:p w14:paraId="037FE2BD" w14:textId="77777777" w:rsidR="00CF4353" w:rsidRPr="000151BA" w:rsidRDefault="00CF4353" w:rsidP="000151BA">
      <w:pPr>
        <w:pStyle w:val="NormalWeb"/>
        <w:numPr>
          <w:ilvl w:val="0"/>
          <w:numId w:val="3"/>
        </w:numPr>
        <w:rPr>
          <w:sz w:val="22"/>
        </w:rPr>
      </w:pPr>
      <w:r w:rsidRPr="000151BA">
        <w:rPr>
          <w:b/>
          <w:sz w:val="22"/>
        </w:rPr>
        <w:t>Output</w:t>
      </w:r>
      <w:r w:rsidRPr="000151BA">
        <w:rPr>
          <w:sz w:val="22"/>
        </w:rPr>
        <w:t>: a World Bank publication was produced from this project.</w:t>
      </w:r>
    </w:p>
    <w:p w14:paraId="5C2A101A" w14:textId="77777777" w:rsidR="00CF4353" w:rsidRPr="000151BA" w:rsidRDefault="00CF4353" w:rsidP="000151BA">
      <w:pPr>
        <w:pStyle w:val="NormalWeb"/>
        <w:numPr>
          <w:ilvl w:val="0"/>
          <w:numId w:val="3"/>
        </w:numPr>
        <w:rPr>
          <w:sz w:val="22"/>
        </w:rPr>
      </w:pPr>
      <w:r w:rsidRPr="000151BA">
        <w:rPr>
          <w:b/>
          <w:sz w:val="22"/>
        </w:rPr>
        <w:t>Outcomes</w:t>
      </w:r>
      <w:r w:rsidRPr="000151BA">
        <w:rPr>
          <w:sz w:val="22"/>
        </w:rPr>
        <w:t>: Outcomes were reported in the PFSA IFG annual report</w:t>
      </w:r>
      <w:r w:rsidRPr="000151BA">
        <w:rPr>
          <w:rStyle w:val="FootnoteReference"/>
          <w:color w:val="000000"/>
          <w:sz w:val="22"/>
        </w:rPr>
        <w:footnoteReference w:id="210"/>
      </w:r>
      <w:r w:rsidRPr="000151BA">
        <w:rPr>
          <w:sz w:val="22"/>
        </w:rPr>
        <w:t>:</w:t>
      </w:r>
    </w:p>
    <w:p w14:paraId="54B88C10" w14:textId="77777777" w:rsidR="00CF4353" w:rsidRPr="000151BA" w:rsidRDefault="00CF4353" w:rsidP="001B449B">
      <w:pPr>
        <w:pStyle w:val="NormalWeb"/>
        <w:rPr>
          <w:color w:val="000000"/>
          <w:sz w:val="22"/>
        </w:rPr>
      </w:pPr>
      <w:r w:rsidRPr="000151BA">
        <w:rPr>
          <w:sz w:val="22"/>
        </w:rPr>
        <w:t>The project was successful in: enhancing portfolio performance and quality; identifying instruments to monitor portfolio-wide developments and State governments' sector wide planning; and providing a roadmap and guidance to strengthen the efficiency and sustainability of transport sector investments. This study also offers some recommendations for ways to promote to use of the new tools by WB staff and all stakeholders through a web-based version of the new tools for easy access.</w:t>
      </w:r>
    </w:p>
    <w:p w14:paraId="46E21AC1" w14:textId="77777777" w:rsidR="00CF4353" w:rsidRPr="000151BA" w:rsidRDefault="00CF4353" w:rsidP="001A78AF">
      <w:pPr>
        <w:pStyle w:val="NormalWeb"/>
        <w:rPr>
          <w:sz w:val="22"/>
        </w:rPr>
      </w:pPr>
    </w:p>
    <w:p w14:paraId="6B2928E4" w14:textId="77777777" w:rsidR="00CF4353" w:rsidRPr="000151BA" w:rsidRDefault="00CF4353" w:rsidP="001A78AF">
      <w:pPr>
        <w:pStyle w:val="NormalWeb"/>
        <w:rPr>
          <w:sz w:val="22"/>
        </w:rPr>
      </w:pPr>
      <w:r w:rsidRPr="000151BA">
        <w:rPr>
          <w:sz w:val="22"/>
        </w:rPr>
        <w:t>Publication produced:</w:t>
      </w:r>
    </w:p>
    <w:p w14:paraId="2512974F" w14:textId="77777777" w:rsidR="00CF4353" w:rsidRPr="000151BA" w:rsidRDefault="00CF4353" w:rsidP="000151BA">
      <w:pPr>
        <w:pStyle w:val="NormalWeb"/>
        <w:numPr>
          <w:ilvl w:val="0"/>
          <w:numId w:val="3"/>
        </w:numPr>
        <w:rPr>
          <w:sz w:val="22"/>
        </w:rPr>
      </w:pPr>
      <w:r w:rsidRPr="000151BA">
        <w:rPr>
          <w:color w:val="000000"/>
          <w:sz w:val="22"/>
        </w:rPr>
        <w:t xml:space="preserve">World Bank. </w:t>
      </w:r>
      <w:r w:rsidRPr="000151BA">
        <w:rPr>
          <w:sz w:val="22"/>
        </w:rPr>
        <w:t>Institutional Development Routemap (IDR) Handbook</w:t>
      </w:r>
    </w:p>
    <w:p w14:paraId="55437B81" w14:textId="77777777" w:rsidR="00CF4353" w:rsidRPr="000151BA" w:rsidRDefault="00CF4353" w:rsidP="001A78AF">
      <w:pPr>
        <w:pStyle w:val="NormalWeb"/>
        <w:rPr>
          <w:sz w:val="22"/>
        </w:rPr>
      </w:pPr>
      <w:r w:rsidRPr="000151BA">
        <w:rPr>
          <w:sz w:val="22"/>
        </w:rPr>
        <w:t>Efficiency: Has funding being used efficiently and what have been the factors affecting the WB’s disbursement rates?</w:t>
      </w:r>
      <w:r w:rsidRPr="000151BA">
        <w:rPr>
          <w:sz w:val="22"/>
        </w:rPr>
        <w:tab/>
      </w:r>
    </w:p>
    <w:p w14:paraId="18E5DA7C" w14:textId="77777777" w:rsidR="00CF4353" w:rsidRPr="000151BA" w:rsidRDefault="00CF4353" w:rsidP="001A78AF">
      <w:pPr>
        <w:pStyle w:val="NormalWeb"/>
        <w:rPr>
          <w:color w:val="000000"/>
          <w:sz w:val="22"/>
        </w:rPr>
      </w:pPr>
      <w:r w:rsidRPr="000151BA">
        <w:rPr>
          <w:sz w:val="22"/>
        </w:rPr>
        <w:t>Disbursement rates were noted at 91% as at December 2017</w:t>
      </w:r>
      <w:r w:rsidRPr="000151BA">
        <w:rPr>
          <w:rStyle w:val="FootnoteReference"/>
          <w:sz w:val="22"/>
        </w:rPr>
        <w:footnoteReference w:id="211"/>
      </w:r>
      <w:r w:rsidRPr="000151BA">
        <w:rPr>
          <w:sz w:val="22"/>
        </w:rPr>
        <w:t>.</w:t>
      </w:r>
    </w:p>
    <w:p w14:paraId="44FB79A0" w14:textId="77777777" w:rsidR="00CF4353" w:rsidRPr="000151BA" w:rsidRDefault="00CF4353" w:rsidP="000B5B50">
      <w:pPr>
        <w:pStyle w:val="NormalWeb"/>
        <w:rPr>
          <w:sz w:val="22"/>
        </w:rPr>
      </w:pPr>
    </w:p>
    <w:p w14:paraId="7E75B9E6" w14:textId="77777777" w:rsidR="00CF4353" w:rsidRPr="000151BA" w:rsidRDefault="00CF4353" w:rsidP="000B5B50">
      <w:pPr>
        <w:pStyle w:val="NormalWeb"/>
        <w:rPr>
          <w:sz w:val="22"/>
        </w:rPr>
      </w:pPr>
      <w:r w:rsidRPr="000151BA">
        <w:rPr>
          <w:sz w:val="22"/>
        </w:rPr>
        <w:t>Relevance: How is this IFG project and its focus sectors relevant and appropriate in the current context and environment of Australia’s aid priorities?</w:t>
      </w:r>
    </w:p>
    <w:p w14:paraId="0569B767" w14:textId="77777777" w:rsidR="00CF4353" w:rsidRPr="000151BA" w:rsidRDefault="00CF4353" w:rsidP="00610CA9">
      <w:pPr>
        <w:pStyle w:val="NormalWeb"/>
        <w:rPr>
          <w:sz w:val="22"/>
        </w:rPr>
      </w:pPr>
      <w:r w:rsidRPr="000151BA">
        <w:rPr>
          <w:sz w:val="22"/>
        </w:rPr>
        <w:t>The project produced the IDR Toolkit, which was designed to support World Bank staff with strategic decision-making and the application of a clear results chain for full lifecycle, project-led ID:</w:t>
      </w:r>
    </w:p>
    <w:p w14:paraId="43AD8DDC" w14:textId="77777777" w:rsidR="00CF4353" w:rsidRPr="000151BA" w:rsidRDefault="00CF4353" w:rsidP="001B449B">
      <w:pPr>
        <w:pStyle w:val="NormalWeb"/>
        <w:numPr>
          <w:ilvl w:val="0"/>
          <w:numId w:val="22"/>
        </w:numPr>
        <w:rPr>
          <w:sz w:val="22"/>
        </w:rPr>
      </w:pPr>
      <w:r w:rsidRPr="000151BA">
        <w:rPr>
          <w:sz w:val="22"/>
        </w:rPr>
        <w:t>Step 1: Identify Challenges in the Delivery Environment</w:t>
      </w:r>
    </w:p>
    <w:p w14:paraId="74280789" w14:textId="77777777" w:rsidR="00CF4353" w:rsidRPr="000151BA" w:rsidRDefault="00CF4353" w:rsidP="001A78AF">
      <w:pPr>
        <w:pStyle w:val="NormalWeb"/>
        <w:numPr>
          <w:ilvl w:val="0"/>
          <w:numId w:val="22"/>
        </w:numPr>
        <w:rPr>
          <w:sz w:val="22"/>
        </w:rPr>
      </w:pPr>
      <w:r w:rsidRPr="000151BA">
        <w:rPr>
          <w:sz w:val="22"/>
        </w:rPr>
        <w:t>Step 2: Assess the Gap in Institutional Capacity</w:t>
      </w:r>
    </w:p>
    <w:p w14:paraId="3EB61213" w14:textId="77777777" w:rsidR="00CF4353" w:rsidRPr="000151BA" w:rsidRDefault="00CF4353" w:rsidP="001A78AF">
      <w:pPr>
        <w:pStyle w:val="NormalWeb"/>
        <w:numPr>
          <w:ilvl w:val="0"/>
          <w:numId w:val="22"/>
        </w:numPr>
        <w:rPr>
          <w:sz w:val="22"/>
        </w:rPr>
      </w:pPr>
      <w:r w:rsidRPr="000151BA">
        <w:rPr>
          <w:sz w:val="22"/>
        </w:rPr>
        <w:t>Step 3: Prepare for Sustainable Institutional Development</w:t>
      </w:r>
    </w:p>
    <w:p w14:paraId="69E02DC1" w14:textId="77777777" w:rsidR="00CF4353" w:rsidRPr="000151BA" w:rsidRDefault="00CF4353" w:rsidP="000B5B50">
      <w:pPr>
        <w:pStyle w:val="NormalWeb"/>
        <w:numPr>
          <w:ilvl w:val="0"/>
          <w:numId w:val="22"/>
        </w:numPr>
        <w:rPr>
          <w:sz w:val="22"/>
        </w:rPr>
      </w:pPr>
      <w:r w:rsidRPr="000151BA">
        <w:rPr>
          <w:sz w:val="22"/>
        </w:rPr>
        <w:t>Step 4: Enable Change and Capture Impact</w:t>
      </w:r>
      <w:r w:rsidRPr="000151BA">
        <w:rPr>
          <w:rStyle w:val="FootnoteReference"/>
          <w:color w:val="000000"/>
          <w:sz w:val="22"/>
        </w:rPr>
        <w:footnoteReference w:id="212"/>
      </w:r>
    </w:p>
    <w:p w14:paraId="5848308F" w14:textId="77777777" w:rsidR="00CF4353" w:rsidRPr="000151BA" w:rsidRDefault="00CF4353" w:rsidP="001B449B">
      <w:pPr>
        <w:rPr>
          <w:sz w:val="22"/>
        </w:rPr>
      </w:pPr>
      <w:r w:rsidRPr="000151BA">
        <w:rPr>
          <w:sz w:val="22"/>
        </w:rPr>
        <w:t>‘…Clear instructions and a set of four inter-related and mutually reinforcing tools are provided in this Handbook so that TTLs and Implementing Agencies can use them for design, implementation, monitoring, and evaluation of project-led ID. Taken together, these tools facilitate the development of a PDO that integrates ID with infrastructure by identifying opportunities for sustainable results beyond the life of the project.  Since there are time and cost implications for implementing IDR tools, TTL’s and Implementing Agencies will need to jointly plan accordingly at the outset.’</w:t>
      </w:r>
      <w:r w:rsidRPr="000151BA">
        <w:rPr>
          <w:rStyle w:val="FootnoteReference"/>
          <w:i/>
          <w:sz w:val="22"/>
        </w:rPr>
        <w:footnoteReference w:id="213"/>
      </w:r>
    </w:p>
    <w:p w14:paraId="647BC9EB" w14:textId="77777777" w:rsidR="00CA4951" w:rsidRDefault="00CA4951" w:rsidP="001B449B">
      <w:pPr>
        <w:rPr>
          <w:sz w:val="22"/>
        </w:rPr>
      </w:pPr>
    </w:p>
    <w:p w14:paraId="7BFE32C1" w14:textId="77777777" w:rsidR="00CF4353" w:rsidRPr="000151BA" w:rsidRDefault="00CF4353" w:rsidP="001B449B">
      <w:pPr>
        <w:rPr>
          <w:sz w:val="22"/>
        </w:rPr>
      </w:pPr>
      <w:r w:rsidRPr="000151BA">
        <w:rPr>
          <w:sz w:val="22"/>
        </w:rPr>
        <w:lastRenderedPageBreak/>
        <w:t>Gender Equality: How did this IFG project adapt its aims, objectives and approach to align with DFAT’s gender equality and women’s empowerment strategy?</w:t>
      </w:r>
    </w:p>
    <w:p w14:paraId="61EE1604" w14:textId="77777777" w:rsidR="00CF4353" w:rsidRPr="000151BA" w:rsidRDefault="00CF4353">
      <w:pPr>
        <w:rPr>
          <w:sz w:val="22"/>
        </w:rPr>
      </w:pPr>
      <w:r w:rsidRPr="000151BA">
        <w:rPr>
          <w:sz w:val="22"/>
        </w:rPr>
        <w:t>Gender design did not appear to be incorporated into the toolkit guidance.</w:t>
      </w:r>
    </w:p>
    <w:p w14:paraId="05CF73B2" w14:textId="77777777" w:rsidR="00CF4353" w:rsidRPr="000151BA" w:rsidRDefault="00CF4353">
      <w:pPr>
        <w:rPr>
          <w:sz w:val="22"/>
        </w:rPr>
      </w:pPr>
    </w:p>
    <w:p w14:paraId="029617C9" w14:textId="77777777" w:rsidR="00CF4353" w:rsidRDefault="00CF4353"/>
    <w:p w14:paraId="531B1C43" w14:textId="77777777" w:rsidR="00CF4353" w:rsidRDefault="00CF4353"/>
    <w:p w14:paraId="5218108E" w14:textId="77777777" w:rsidR="00CF4353" w:rsidRDefault="00CF4353">
      <w:r>
        <w:br w:type="page"/>
      </w:r>
    </w:p>
    <w:p w14:paraId="003FFCBE" w14:textId="77777777" w:rsidR="00CF4353" w:rsidRDefault="00CF4353"/>
    <w:p w14:paraId="31CFC0BE" w14:textId="77777777" w:rsidR="00CF4353" w:rsidRPr="000151BA" w:rsidRDefault="00CF4353" w:rsidP="001B449B">
      <w:pPr>
        <w:pStyle w:val="Heading3"/>
        <w:rPr>
          <w:sz w:val="22"/>
        </w:rPr>
      </w:pPr>
      <w:r w:rsidRPr="000151BA">
        <w:rPr>
          <w:sz w:val="22"/>
        </w:rPr>
        <w:t>Selected SARTFP Projects</w:t>
      </w:r>
    </w:p>
    <w:p w14:paraId="0A2209F3" w14:textId="77777777" w:rsidR="00CF4353" w:rsidRPr="000151BA" w:rsidRDefault="00CF4353" w:rsidP="001B449B">
      <w:pPr>
        <w:rPr>
          <w:sz w:val="22"/>
        </w:rPr>
      </w:pPr>
    </w:p>
    <w:p w14:paraId="56E477BB" w14:textId="77777777" w:rsidR="00CF4353" w:rsidRPr="000151BA" w:rsidRDefault="00CF4353" w:rsidP="001B449B">
      <w:pPr>
        <w:pStyle w:val="Heading3"/>
        <w:numPr>
          <w:ilvl w:val="0"/>
          <w:numId w:val="59"/>
        </w:numPr>
        <w:rPr>
          <w:sz w:val="22"/>
        </w:rPr>
      </w:pPr>
      <w:r w:rsidRPr="000151BA">
        <w:rPr>
          <w:sz w:val="22"/>
        </w:rPr>
        <w:t>SARTFP Knowledge Production and Sharing</w:t>
      </w:r>
    </w:p>
    <w:tbl>
      <w:tblPr>
        <w:tblStyle w:val="GridTable1Light1"/>
        <w:tblW w:w="9076" w:type="dxa"/>
        <w:tblLook w:val="04A0" w:firstRow="1" w:lastRow="0" w:firstColumn="1" w:lastColumn="0" w:noHBand="0" w:noVBand="1"/>
      </w:tblPr>
      <w:tblGrid>
        <w:gridCol w:w="1049"/>
        <w:gridCol w:w="956"/>
        <w:gridCol w:w="957"/>
        <w:gridCol w:w="822"/>
        <w:gridCol w:w="976"/>
        <w:gridCol w:w="1329"/>
        <w:gridCol w:w="1273"/>
        <w:gridCol w:w="944"/>
        <w:gridCol w:w="770"/>
      </w:tblGrid>
      <w:tr w:rsidR="00CF4353" w14:paraId="52E64FE4" w14:textId="77777777">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1049" w:type="dxa"/>
            <w:shd w:val="clear" w:color="auto" w:fill="E7E6E6" w:themeFill="background2"/>
          </w:tcPr>
          <w:p w14:paraId="15D23394" w14:textId="77777777" w:rsidR="00CF4353" w:rsidRPr="000151BA" w:rsidRDefault="00CF4353" w:rsidP="001B449B">
            <w:pPr>
              <w:pStyle w:val="p1"/>
              <w:rPr>
                <w:sz w:val="16"/>
                <w:szCs w:val="16"/>
              </w:rPr>
            </w:pPr>
            <w:r w:rsidRPr="000151BA">
              <w:rPr>
                <w:sz w:val="16"/>
                <w:szCs w:val="16"/>
              </w:rPr>
              <w:t>Country or regional focus</w:t>
            </w:r>
          </w:p>
        </w:tc>
        <w:tc>
          <w:tcPr>
            <w:tcW w:w="956" w:type="dxa"/>
            <w:shd w:val="clear" w:color="auto" w:fill="E7E6E6" w:themeFill="background2"/>
          </w:tcPr>
          <w:p w14:paraId="3C1164CC"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TTL</w:t>
            </w:r>
          </w:p>
        </w:tc>
        <w:tc>
          <w:tcPr>
            <w:tcW w:w="957" w:type="dxa"/>
            <w:shd w:val="clear" w:color="auto" w:fill="E7E6E6" w:themeFill="background2"/>
          </w:tcPr>
          <w:p w14:paraId="0254AA26"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 xml:space="preserve">Grant Amount </w:t>
            </w:r>
          </w:p>
        </w:tc>
        <w:tc>
          <w:tcPr>
            <w:tcW w:w="822" w:type="dxa"/>
            <w:shd w:val="clear" w:color="auto" w:fill="E7E6E6" w:themeFill="background2"/>
          </w:tcPr>
          <w:p w14:paraId="05102496"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Fund Balance</w:t>
            </w:r>
          </w:p>
        </w:tc>
        <w:tc>
          <w:tcPr>
            <w:tcW w:w="976" w:type="dxa"/>
            <w:shd w:val="clear" w:color="auto" w:fill="E7E6E6" w:themeFill="background2"/>
          </w:tcPr>
          <w:p w14:paraId="57584B7C"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Transfers-In</w:t>
            </w:r>
          </w:p>
        </w:tc>
        <w:tc>
          <w:tcPr>
            <w:tcW w:w="1329" w:type="dxa"/>
            <w:shd w:val="clear" w:color="auto" w:fill="E7E6E6" w:themeFill="background2"/>
          </w:tcPr>
          <w:p w14:paraId="7154BF55"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 xml:space="preserve">Disbursements </w:t>
            </w:r>
          </w:p>
        </w:tc>
        <w:tc>
          <w:tcPr>
            <w:tcW w:w="1273" w:type="dxa"/>
            <w:shd w:val="clear" w:color="auto" w:fill="E7E6E6" w:themeFill="background2"/>
          </w:tcPr>
          <w:p w14:paraId="5B3D14FE"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Commitments</w:t>
            </w:r>
          </w:p>
        </w:tc>
        <w:tc>
          <w:tcPr>
            <w:tcW w:w="944" w:type="dxa"/>
            <w:shd w:val="clear" w:color="auto" w:fill="E7E6E6" w:themeFill="background2"/>
          </w:tcPr>
          <w:p w14:paraId="515B2A84"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 expensed</w:t>
            </w:r>
          </w:p>
        </w:tc>
        <w:tc>
          <w:tcPr>
            <w:tcW w:w="770" w:type="dxa"/>
            <w:shd w:val="clear" w:color="auto" w:fill="E7E6E6" w:themeFill="background2"/>
          </w:tcPr>
          <w:p w14:paraId="317AE66A"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Grant Closing Date</w:t>
            </w:r>
          </w:p>
        </w:tc>
      </w:tr>
      <w:tr w:rsidR="00CF4353" w14:paraId="1011CB03" w14:textId="77777777">
        <w:trPr>
          <w:trHeight w:val="636"/>
        </w:trPr>
        <w:tc>
          <w:tcPr>
            <w:cnfStyle w:val="001000000000" w:firstRow="0" w:lastRow="0" w:firstColumn="1" w:lastColumn="0" w:oddVBand="0" w:evenVBand="0" w:oddHBand="0" w:evenHBand="0" w:firstRowFirstColumn="0" w:firstRowLastColumn="0" w:lastRowFirstColumn="0" w:lastRowLastColumn="0"/>
            <w:tcW w:w="1049" w:type="dxa"/>
          </w:tcPr>
          <w:p w14:paraId="6893C06E" w14:textId="77777777" w:rsidR="00CF4353" w:rsidRPr="000151BA" w:rsidRDefault="00CF4353">
            <w:pPr>
              <w:pStyle w:val="p1"/>
              <w:rPr>
                <w:sz w:val="16"/>
                <w:szCs w:val="16"/>
              </w:rPr>
            </w:pPr>
            <w:r w:rsidRPr="000151BA">
              <w:rPr>
                <w:sz w:val="16"/>
                <w:szCs w:val="16"/>
              </w:rPr>
              <w:t xml:space="preserve">India and Bangladesh </w:t>
            </w:r>
          </w:p>
        </w:tc>
        <w:tc>
          <w:tcPr>
            <w:tcW w:w="956" w:type="dxa"/>
          </w:tcPr>
          <w:p w14:paraId="074A3DAA" w14:textId="77777777" w:rsidR="00CF4353" w:rsidRPr="000151BA" w:rsidRDefault="00CF4353" w:rsidP="000151BA">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Jennifer Solotaroff</w:t>
            </w:r>
          </w:p>
        </w:tc>
        <w:tc>
          <w:tcPr>
            <w:tcW w:w="957" w:type="dxa"/>
          </w:tcPr>
          <w:p w14:paraId="462C6658" w14:textId="77777777" w:rsidR="00CF4353" w:rsidRPr="000151BA" w:rsidRDefault="00CF4353" w:rsidP="000151BA">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2,000,000</w:t>
            </w:r>
          </w:p>
        </w:tc>
        <w:tc>
          <w:tcPr>
            <w:tcW w:w="822" w:type="dxa"/>
          </w:tcPr>
          <w:p w14:paraId="305F11AA" w14:textId="77777777" w:rsidR="00CF4353" w:rsidRPr="000151BA" w:rsidRDefault="00CF4353" w:rsidP="000151BA">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98,230</w:t>
            </w:r>
          </w:p>
        </w:tc>
        <w:tc>
          <w:tcPr>
            <w:tcW w:w="976" w:type="dxa"/>
          </w:tcPr>
          <w:p w14:paraId="4A357C7A" w14:textId="77777777" w:rsidR="00CF4353" w:rsidRPr="000151BA" w:rsidRDefault="00CF4353" w:rsidP="000151BA">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400,000</w:t>
            </w:r>
          </w:p>
        </w:tc>
        <w:tc>
          <w:tcPr>
            <w:tcW w:w="1329" w:type="dxa"/>
          </w:tcPr>
          <w:p w14:paraId="00F5265F" w14:textId="77777777" w:rsidR="00CF4353" w:rsidRPr="000151BA" w:rsidRDefault="00CF4353" w:rsidP="000151BA">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301,770</w:t>
            </w:r>
          </w:p>
        </w:tc>
        <w:tc>
          <w:tcPr>
            <w:tcW w:w="1273" w:type="dxa"/>
          </w:tcPr>
          <w:p w14:paraId="57CDBA04" w14:textId="77777777" w:rsidR="00CF4353" w:rsidRPr="000151BA" w:rsidRDefault="00CF4353" w:rsidP="000151BA">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30,357</w:t>
            </w:r>
          </w:p>
        </w:tc>
        <w:tc>
          <w:tcPr>
            <w:tcW w:w="944" w:type="dxa"/>
          </w:tcPr>
          <w:p w14:paraId="0A660B71" w14:textId="77777777" w:rsidR="00CF4353" w:rsidRPr="000151BA" w:rsidRDefault="00CF4353" w:rsidP="000151BA">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83.0%</w:t>
            </w:r>
          </w:p>
        </w:tc>
        <w:tc>
          <w:tcPr>
            <w:tcW w:w="770" w:type="dxa"/>
          </w:tcPr>
          <w:p w14:paraId="07D1A0C8" w14:textId="77777777" w:rsidR="00CF4353" w:rsidRPr="000151BA" w:rsidRDefault="00CF4353" w:rsidP="000151BA">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June-20</w:t>
            </w:r>
          </w:p>
        </w:tc>
      </w:tr>
    </w:tbl>
    <w:p w14:paraId="15A5E7F7" w14:textId="77777777" w:rsidR="00CF4353" w:rsidRPr="000151BA" w:rsidRDefault="00CF4353" w:rsidP="001B449B">
      <w:pPr>
        <w:pStyle w:val="NormalWeb"/>
        <w:rPr>
          <w:sz w:val="22"/>
        </w:rPr>
      </w:pPr>
      <w:r w:rsidRPr="000151BA">
        <w:rPr>
          <w:sz w:val="22"/>
        </w:rPr>
        <w:t xml:space="preserve">Effectiveness: How has the project performed against its objectives to date? </w:t>
      </w:r>
    </w:p>
    <w:p w14:paraId="18C0B936" w14:textId="77777777" w:rsidR="00CF4353" w:rsidRPr="000151BA" w:rsidRDefault="00CF4353" w:rsidP="001B449B">
      <w:pPr>
        <w:pStyle w:val="ListParagraph"/>
        <w:numPr>
          <w:ilvl w:val="0"/>
          <w:numId w:val="33"/>
        </w:numPr>
        <w:rPr>
          <w:sz w:val="22"/>
        </w:rPr>
      </w:pPr>
      <w:r w:rsidRPr="000151BA">
        <w:rPr>
          <w:b/>
          <w:sz w:val="22"/>
        </w:rPr>
        <w:t>Objectives</w:t>
      </w:r>
      <w:r w:rsidRPr="000151BA">
        <w:rPr>
          <w:sz w:val="22"/>
        </w:rPr>
        <w:t>: The objective is to generate and widely share knowledge about effective approaches to economically empower women</w:t>
      </w:r>
      <w:r w:rsidRPr="000151BA">
        <w:rPr>
          <w:rStyle w:val="FootnoteReference"/>
          <w:sz w:val="22"/>
        </w:rPr>
        <w:footnoteReference w:id="214"/>
      </w:r>
      <w:r w:rsidRPr="000151BA">
        <w:rPr>
          <w:sz w:val="22"/>
        </w:rPr>
        <w:t>.</w:t>
      </w:r>
    </w:p>
    <w:p w14:paraId="348E1539" w14:textId="77777777" w:rsidR="00CF4353" w:rsidRPr="000151BA" w:rsidRDefault="00CF4353" w:rsidP="001A78AF">
      <w:pPr>
        <w:pStyle w:val="ListParagraph"/>
        <w:numPr>
          <w:ilvl w:val="0"/>
          <w:numId w:val="33"/>
        </w:numPr>
        <w:rPr>
          <w:sz w:val="22"/>
        </w:rPr>
      </w:pPr>
      <w:r w:rsidRPr="000151BA">
        <w:rPr>
          <w:b/>
          <w:sz w:val="22"/>
        </w:rPr>
        <w:t>Outputs</w:t>
      </w:r>
      <w:r w:rsidRPr="000151BA">
        <w:rPr>
          <w:sz w:val="22"/>
        </w:rPr>
        <w:t xml:space="preserve">: The activity has following guidelines/operational briefs/reference materials. The data and knowledge produced is helping inform SARTFP tasks including statistical gender profiles, Literature review of Gender and Trade, Country-specific analysis of secondary quantitative data on women’s economic empowerment outcomes and covariates, 4 diagnostics of gender and trade. </w:t>
      </w:r>
    </w:p>
    <w:p w14:paraId="49D105EC" w14:textId="77777777" w:rsidR="00CF4353" w:rsidRPr="000151BA" w:rsidRDefault="00CF4353" w:rsidP="001B449B">
      <w:pPr>
        <w:pStyle w:val="ListParagraph"/>
        <w:numPr>
          <w:ilvl w:val="0"/>
          <w:numId w:val="32"/>
        </w:numPr>
        <w:rPr>
          <w:sz w:val="22"/>
        </w:rPr>
      </w:pPr>
      <w:r w:rsidRPr="000151BA">
        <w:rPr>
          <w:b/>
          <w:sz w:val="22"/>
        </w:rPr>
        <w:t>Outcomes</w:t>
      </w:r>
      <w:r w:rsidRPr="000151BA">
        <w:rPr>
          <w:sz w:val="22"/>
        </w:rPr>
        <w:t>: The activity has provided direct and tailored gender technical support to all six Round 1 SARTFP activities and two of five Round 2 SARTFP activities under implementation (see below). Gender inputs have focused on ensuring maximum attention to gender at the design and conceptualization stage and will continue throughout implementation</w:t>
      </w:r>
      <w:r w:rsidRPr="000151BA">
        <w:rPr>
          <w:rStyle w:val="FootnoteReference"/>
          <w:sz w:val="22"/>
        </w:rPr>
        <w:footnoteReference w:id="215"/>
      </w:r>
      <w:r w:rsidRPr="000151BA">
        <w:rPr>
          <w:sz w:val="22"/>
        </w:rPr>
        <w:t xml:space="preserve">.  </w:t>
      </w:r>
    </w:p>
    <w:p w14:paraId="72DCFCE2" w14:textId="77777777" w:rsidR="00CF4353" w:rsidRPr="000151BA" w:rsidRDefault="00CF4353" w:rsidP="001B449B">
      <w:pPr>
        <w:pStyle w:val="NormalWeb"/>
        <w:rPr>
          <w:sz w:val="22"/>
        </w:rPr>
      </w:pPr>
      <w:r w:rsidRPr="000151BA">
        <w:rPr>
          <w:sz w:val="22"/>
        </w:rPr>
        <w:t>Efficiency: Is funding being used efficiently and what have been the factors affecting the WB’s disbursement rates?</w:t>
      </w:r>
    </w:p>
    <w:p w14:paraId="22DE5540" w14:textId="77777777" w:rsidR="00CF4353" w:rsidRPr="000151BA" w:rsidRDefault="00CF4353">
      <w:pPr>
        <w:pStyle w:val="NormalWeb"/>
        <w:rPr>
          <w:sz w:val="22"/>
        </w:rPr>
      </w:pPr>
      <w:r w:rsidRPr="000151BA">
        <w:rPr>
          <w:sz w:val="22"/>
        </w:rPr>
        <w:t xml:space="preserve">The project is currently expensed at 83%.  Grant closing date is Jun 2020. </w:t>
      </w:r>
    </w:p>
    <w:p w14:paraId="46794880" w14:textId="77777777" w:rsidR="00CF4353" w:rsidRPr="000151BA" w:rsidRDefault="00CF4353">
      <w:pPr>
        <w:pStyle w:val="NormalWeb"/>
        <w:rPr>
          <w:sz w:val="22"/>
        </w:rPr>
      </w:pPr>
      <w:r w:rsidRPr="000151BA">
        <w:rPr>
          <w:sz w:val="22"/>
        </w:rPr>
        <w:t>Relevance: How is this project relevant and appropriate in the current context and environment of Australia’s aid priorities?</w:t>
      </w:r>
    </w:p>
    <w:p w14:paraId="35DF1E95" w14:textId="77777777" w:rsidR="00CF4353" w:rsidRPr="000151BA" w:rsidRDefault="00CF4353" w:rsidP="001B449B">
      <w:pPr>
        <w:rPr>
          <w:sz w:val="22"/>
        </w:rPr>
      </w:pPr>
      <w:r w:rsidRPr="000151BA">
        <w:rPr>
          <w:sz w:val="22"/>
        </w:rPr>
        <w:t xml:space="preserve">The project is relevant to gender-programming air priorities, as well as trade facilitation and cross-border transport connectivity.  (Table below).  </w:t>
      </w:r>
    </w:p>
    <w:p w14:paraId="4BA509ED" w14:textId="77777777" w:rsidR="00CF4353" w:rsidRPr="000151BA" w:rsidRDefault="00CF4353">
      <w:pPr>
        <w:rPr>
          <w:sz w:val="22"/>
        </w:rPr>
      </w:pPr>
      <w:r w:rsidRPr="000151BA">
        <w:rPr>
          <w:sz w:val="22"/>
        </w:rPr>
        <w:t>‘…SARTFP’s ‘Knowledge Production and Sharing’ activity enables gender specialists to work with the teams of other SARTFP activities to increase the analysis of gender issues.’</w:t>
      </w:r>
      <w:r w:rsidRPr="000151BA">
        <w:rPr>
          <w:rStyle w:val="FootnoteReference"/>
          <w:i/>
          <w:sz w:val="22"/>
        </w:rPr>
        <w:footnoteReference w:id="216"/>
      </w:r>
      <w:r w:rsidRPr="000151BA">
        <w:rPr>
          <w:sz w:val="22"/>
        </w:rPr>
        <w:t xml:space="preserve"> </w:t>
      </w:r>
    </w:p>
    <w:p w14:paraId="157AB419" w14:textId="77777777" w:rsidR="00CF4353" w:rsidRPr="000151BA" w:rsidRDefault="00CF4353">
      <w:pPr>
        <w:rPr>
          <w:sz w:val="22"/>
        </w:rPr>
      </w:pPr>
    </w:p>
    <w:p w14:paraId="1F5BE53F" w14:textId="77777777" w:rsidR="00CF4353" w:rsidRPr="000151BA" w:rsidRDefault="00CF4353">
      <w:pPr>
        <w:rPr>
          <w:sz w:val="22"/>
        </w:rPr>
      </w:pPr>
      <w:r w:rsidRPr="000151BA">
        <w:rPr>
          <w:sz w:val="22"/>
        </w:rPr>
        <w:t>Ranked contribution to MTO</w:t>
      </w:r>
      <w:r w:rsidRPr="000151BA">
        <w:rPr>
          <w:rStyle w:val="FootnoteReference"/>
          <w:b/>
          <w:sz w:val="22"/>
        </w:rPr>
        <w:footnoteReference w:id="217"/>
      </w:r>
      <w:r w:rsidRPr="000151BA">
        <w:rPr>
          <w:sz w:val="22"/>
        </w:rPr>
        <w:t xml:space="preserve">:  </w:t>
      </w:r>
    </w:p>
    <w:tbl>
      <w:tblPr>
        <w:tblStyle w:val="TableGrid"/>
        <w:tblW w:w="8925" w:type="dxa"/>
        <w:tblLook w:val="04A0" w:firstRow="1" w:lastRow="0" w:firstColumn="1" w:lastColumn="0" w:noHBand="0" w:noVBand="1"/>
      </w:tblPr>
      <w:tblGrid>
        <w:gridCol w:w="988"/>
        <w:gridCol w:w="6520"/>
        <w:gridCol w:w="1417"/>
      </w:tblGrid>
      <w:tr w:rsidR="00CF4353" w:rsidRPr="00CA4951" w14:paraId="4226E6C4" w14:textId="77777777">
        <w:tc>
          <w:tcPr>
            <w:tcW w:w="988" w:type="dxa"/>
          </w:tcPr>
          <w:p w14:paraId="23766446" w14:textId="77777777" w:rsidR="00CF4353" w:rsidRPr="000151BA" w:rsidRDefault="00CF4353">
            <w:pPr>
              <w:rPr>
                <w:sz w:val="22"/>
              </w:rPr>
            </w:pPr>
            <w:r w:rsidRPr="000151BA">
              <w:rPr>
                <w:sz w:val="22"/>
              </w:rPr>
              <w:t>MTOA</w:t>
            </w:r>
          </w:p>
        </w:tc>
        <w:tc>
          <w:tcPr>
            <w:tcW w:w="6520" w:type="dxa"/>
          </w:tcPr>
          <w:p w14:paraId="0FF1A8B9" w14:textId="77777777" w:rsidR="00CF4353" w:rsidRPr="000151BA" w:rsidRDefault="00CF4353">
            <w:pPr>
              <w:rPr>
                <w:b/>
                <w:sz w:val="22"/>
              </w:rPr>
            </w:pPr>
            <w:r w:rsidRPr="000151BA">
              <w:rPr>
                <w:sz w:val="22"/>
              </w:rPr>
              <w:t>Projects in trade facilitation, cross-border transport connectivity, and local economic opportunity financed by World Bank, DFAT and others, increasingly benefit women</w:t>
            </w:r>
          </w:p>
        </w:tc>
        <w:tc>
          <w:tcPr>
            <w:tcW w:w="1417" w:type="dxa"/>
          </w:tcPr>
          <w:p w14:paraId="44E28C23" w14:textId="77777777" w:rsidR="00CF4353" w:rsidRPr="000151BA" w:rsidRDefault="00CF4353">
            <w:pPr>
              <w:rPr>
                <w:sz w:val="22"/>
              </w:rPr>
            </w:pPr>
            <w:r w:rsidRPr="000151BA">
              <w:rPr>
                <w:sz w:val="22"/>
              </w:rPr>
              <w:t>1</w:t>
            </w:r>
          </w:p>
        </w:tc>
      </w:tr>
      <w:tr w:rsidR="00CF4353" w:rsidRPr="00CA4951" w14:paraId="33AC4CBC" w14:textId="77777777">
        <w:tc>
          <w:tcPr>
            <w:tcW w:w="988" w:type="dxa"/>
          </w:tcPr>
          <w:p w14:paraId="696FD50D" w14:textId="77777777" w:rsidR="00CF4353" w:rsidRPr="000151BA" w:rsidRDefault="00CF4353" w:rsidP="001A78AF">
            <w:pPr>
              <w:rPr>
                <w:sz w:val="22"/>
              </w:rPr>
            </w:pPr>
            <w:r w:rsidRPr="000151BA">
              <w:rPr>
                <w:sz w:val="22"/>
              </w:rPr>
              <w:lastRenderedPageBreak/>
              <w:t>MTOB</w:t>
            </w:r>
          </w:p>
        </w:tc>
        <w:tc>
          <w:tcPr>
            <w:tcW w:w="6520" w:type="dxa"/>
          </w:tcPr>
          <w:p w14:paraId="024D4A7D" w14:textId="77777777" w:rsidR="00CF4353" w:rsidRPr="000151BA" w:rsidRDefault="00CF4353" w:rsidP="001A78AF">
            <w:pPr>
              <w:rPr>
                <w:b/>
                <w:sz w:val="22"/>
              </w:rPr>
            </w:pPr>
            <w:r w:rsidRPr="000151BA">
              <w:rPr>
                <w:sz w:val="22"/>
              </w:rPr>
              <w:t>Governments in BBIN countries make complementary investments in trade facilitation, cross-border transport connectivity, and local economic opportunity that benefit women</w:t>
            </w:r>
          </w:p>
        </w:tc>
        <w:tc>
          <w:tcPr>
            <w:tcW w:w="1417" w:type="dxa"/>
          </w:tcPr>
          <w:p w14:paraId="6A2F4D10" w14:textId="77777777" w:rsidR="00CF4353" w:rsidRPr="000151BA" w:rsidRDefault="00CF4353" w:rsidP="000B5B50">
            <w:pPr>
              <w:rPr>
                <w:sz w:val="22"/>
              </w:rPr>
            </w:pPr>
            <w:r w:rsidRPr="000151BA">
              <w:rPr>
                <w:sz w:val="22"/>
              </w:rPr>
              <w:t>3</w:t>
            </w:r>
          </w:p>
        </w:tc>
      </w:tr>
      <w:tr w:rsidR="00CF4353" w:rsidRPr="00CA4951" w14:paraId="0FFF652E" w14:textId="77777777">
        <w:tc>
          <w:tcPr>
            <w:tcW w:w="988" w:type="dxa"/>
          </w:tcPr>
          <w:p w14:paraId="7408A4AE" w14:textId="77777777" w:rsidR="00CF4353" w:rsidRPr="000151BA" w:rsidRDefault="00CF4353" w:rsidP="001A78AF">
            <w:pPr>
              <w:rPr>
                <w:sz w:val="22"/>
              </w:rPr>
            </w:pPr>
            <w:r w:rsidRPr="000151BA">
              <w:rPr>
                <w:sz w:val="22"/>
              </w:rPr>
              <w:t>MTOC</w:t>
            </w:r>
          </w:p>
        </w:tc>
        <w:tc>
          <w:tcPr>
            <w:tcW w:w="6520" w:type="dxa"/>
          </w:tcPr>
          <w:p w14:paraId="0AA2A5FE" w14:textId="77777777" w:rsidR="00CF4353" w:rsidRPr="000151BA" w:rsidRDefault="00CF4353" w:rsidP="001A78AF">
            <w:pPr>
              <w:rPr>
                <w:b/>
                <w:sz w:val="22"/>
              </w:rPr>
            </w:pPr>
            <w:r w:rsidRPr="000151BA">
              <w:rPr>
                <w:sz w:val="22"/>
              </w:rPr>
              <w:t>Governments in BBIN countries take regulatory and operational measures in trade facilitation, cross-border transport connectivity, and local economic opportunity that benefit women:</w:t>
            </w:r>
          </w:p>
        </w:tc>
        <w:tc>
          <w:tcPr>
            <w:tcW w:w="1417" w:type="dxa"/>
          </w:tcPr>
          <w:p w14:paraId="1CC6C1A4" w14:textId="77777777" w:rsidR="00CF4353" w:rsidRPr="000151BA" w:rsidRDefault="00CF4353" w:rsidP="000B5B50">
            <w:pPr>
              <w:rPr>
                <w:sz w:val="22"/>
              </w:rPr>
            </w:pPr>
            <w:r w:rsidRPr="000151BA">
              <w:rPr>
                <w:sz w:val="22"/>
              </w:rPr>
              <w:t>3</w:t>
            </w:r>
          </w:p>
        </w:tc>
      </w:tr>
      <w:tr w:rsidR="00CF4353" w:rsidRPr="00CA4951" w14:paraId="2D433EAA" w14:textId="77777777">
        <w:tc>
          <w:tcPr>
            <w:tcW w:w="988" w:type="dxa"/>
          </w:tcPr>
          <w:p w14:paraId="53D95CD1" w14:textId="77777777" w:rsidR="00CF4353" w:rsidRPr="000151BA" w:rsidRDefault="00CF4353" w:rsidP="001A78AF">
            <w:pPr>
              <w:rPr>
                <w:sz w:val="22"/>
              </w:rPr>
            </w:pPr>
            <w:r w:rsidRPr="000151BA">
              <w:rPr>
                <w:sz w:val="22"/>
              </w:rPr>
              <w:t>MTOD</w:t>
            </w:r>
          </w:p>
        </w:tc>
        <w:tc>
          <w:tcPr>
            <w:tcW w:w="6520" w:type="dxa"/>
          </w:tcPr>
          <w:p w14:paraId="54CAA63A" w14:textId="77777777" w:rsidR="00CF4353" w:rsidRPr="000151BA" w:rsidRDefault="00CF4353" w:rsidP="001A78AF">
            <w:pPr>
              <w:rPr>
                <w:b/>
                <w:sz w:val="22"/>
              </w:rPr>
            </w:pPr>
            <w:r w:rsidRPr="000151BA">
              <w:rPr>
                <w:sz w:val="22"/>
              </w:rPr>
              <w:t>SARTFP contributes to producing and sharing knowledge on how trade facilitation, cross-border transport connectivity, and local economic opportunity can benefit women:</w:t>
            </w:r>
          </w:p>
        </w:tc>
        <w:tc>
          <w:tcPr>
            <w:tcW w:w="1417" w:type="dxa"/>
          </w:tcPr>
          <w:p w14:paraId="7D57D2E9" w14:textId="77777777" w:rsidR="00CF4353" w:rsidRPr="000151BA" w:rsidRDefault="00CF4353" w:rsidP="000B5B50">
            <w:pPr>
              <w:rPr>
                <w:sz w:val="22"/>
              </w:rPr>
            </w:pPr>
            <w:r w:rsidRPr="000151BA">
              <w:rPr>
                <w:sz w:val="22"/>
              </w:rPr>
              <w:t>1</w:t>
            </w:r>
          </w:p>
        </w:tc>
      </w:tr>
      <w:tr w:rsidR="00CF4353" w:rsidRPr="00CA4951" w14:paraId="68FC989A" w14:textId="77777777">
        <w:tc>
          <w:tcPr>
            <w:tcW w:w="988" w:type="dxa"/>
          </w:tcPr>
          <w:p w14:paraId="07C7C9B7" w14:textId="77777777" w:rsidR="00CF4353" w:rsidRPr="000151BA" w:rsidRDefault="00CF4353" w:rsidP="001A78AF">
            <w:pPr>
              <w:rPr>
                <w:sz w:val="22"/>
              </w:rPr>
            </w:pPr>
            <w:r w:rsidRPr="000151BA">
              <w:rPr>
                <w:sz w:val="22"/>
              </w:rPr>
              <w:t>MTOE</w:t>
            </w:r>
          </w:p>
        </w:tc>
        <w:tc>
          <w:tcPr>
            <w:tcW w:w="6520" w:type="dxa"/>
          </w:tcPr>
          <w:p w14:paraId="16922FAC" w14:textId="77777777" w:rsidR="00CF4353" w:rsidRPr="000151BA" w:rsidRDefault="00CF4353" w:rsidP="001A78AF">
            <w:pPr>
              <w:rPr>
                <w:b/>
                <w:sz w:val="22"/>
              </w:rPr>
            </w:pPr>
            <w:r w:rsidRPr="000151BA">
              <w:rPr>
                <w:sz w:val="22"/>
              </w:rPr>
              <w:t>There is improved economic opportunity and livelihood for the poor, especially women, in targeted value chains and corridors:</w:t>
            </w:r>
          </w:p>
        </w:tc>
        <w:tc>
          <w:tcPr>
            <w:tcW w:w="1417" w:type="dxa"/>
          </w:tcPr>
          <w:p w14:paraId="013BAA30" w14:textId="77777777" w:rsidR="00CF4353" w:rsidRPr="000151BA" w:rsidRDefault="00CF4353" w:rsidP="000B5B50">
            <w:pPr>
              <w:rPr>
                <w:sz w:val="22"/>
              </w:rPr>
            </w:pPr>
            <w:r w:rsidRPr="000151BA">
              <w:rPr>
                <w:sz w:val="22"/>
              </w:rPr>
              <w:t>2</w:t>
            </w:r>
          </w:p>
        </w:tc>
      </w:tr>
    </w:tbl>
    <w:p w14:paraId="3D772962" w14:textId="77777777" w:rsidR="00CF4353" w:rsidRPr="000151BA" w:rsidRDefault="00CF4353" w:rsidP="001B449B">
      <w:pPr>
        <w:pStyle w:val="NormalWeb"/>
        <w:rPr>
          <w:sz w:val="22"/>
        </w:rPr>
      </w:pPr>
      <w:r w:rsidRPr="000151BA">
        <w:rPr>
          <w:sz w:val="22"/>
        </w:rPr>
        <w:t>Gender Equality: Has this project made progress against objectives focused on advancing gender equality and women’s empowerment?</w:t>
      </w:r>
    </w:p>
    <w:p w14:paraId="1F7B66F3" w14:textId="77777777" w:rsidR="00CF4353" w:rsidRPr="000151BA" w:rsidRDefault="00CF4353">
      <w:pPr>
        <w:pStyle w:val="NormalWeb"/>
        <w:rPr>
          <w:sz w:val="22"/>
        </w:rPr>
      </w:pPr>
      <w:r w:rsidRPr="000151BA">
        <w:rPr>
          <w:sz w:val="22"/>
        </w:rPr>
        <w:t xml:space="preserve">As per the main outcome noted above, the project has provided gender technical support to other SARTFP activities: </w:t>
      </w:r>
    </w:p>
    <w:p w14:paraId="5C2943A7" w14:textId="77777777" w:rsidR="00CF4353" w:rsidRPr="000151BA" w:rsidRDefault="00CF4353" w:rsidP="001B449B">
      <w:pPr>
        <w:pStyle w:val="ListParagraph"/>
        <w:numPr>
          <w:ilvl w:val="0"/>
          <w:numId w:val="32"/>
        </w:numPr>
        <w:rPr>
          <w:sz w:val="22"/>
        </w:rPr>
      </w:pPr>
      <w:r w:rsidRPr="000151BA">
        <w:rPr>
          <w:sz w:val="22"/>
        </w:rPr>
        <w:t xml:space="preserve">Women in Trade in Bangladesh (P161266); </w:t>
      </w:r>
    </w:p>
    <w:p w14:paraId="36155388" w14:textId="77777777" w:rsidR="00CF4353" w:rsidRPr="000151BA" w:rsidRDefault="00CF4353" w:rsidP="001A78AF">
      <w:pPr>
        <w:pStyle w:val="ListParagraph"/>
        <w:numPr>
          <w:ilvl w:val="0"/>
          <w:numId w:val="32"/>
        </w:numPr>
        <w:rPr>
          <w:sz w:val="22"/>
        </w:rPr>
      </w:pPr>
      <w:r w:rsidRPr="000151BA">
        <w:rPr>
          <w:sz w:val="22"/>
        </w:rPr>
        <w:t xml:space="preserve">Economic Corridors of South Asia, TA (P161570); </w:t>
      </w:r>
    </w:p>
    <w:p w14:paraId="6B325787" w14:textId="77777777" w:rsidR="00CF4353" w:rsidRPr="000151BA" w:rsidRDefault="00CF4353" w:rsidP="001A78AF">
      <w:pPr>
        <w:pStyle w:val="ListParagraph"/>
        <w:numPr>
          <w:ilvl w:val="0"/>
          <w:numId w:val="32"/>
        </w:numPr>
        <w:rPr>
          <w:sz w:val="22"/>
        </w:rPr>
      </w:pPr>
      <w:r w:rsidRPr="000151BA">
        <w:rPr>
          <w:sz w:val="22"/>
        </w:rPr>
        <w:t xml:space="preserve">Strengthening Cross-Border Value Chains, TA (P161220); </w:t>
      </w:r>
    </w:p>
    <w:p w14:paraId="0554CF0E" w14:textId="77777777" w:rsidR="00CF4353" w:rsidRPr="000151BA" w:rsidRDefault="00CF4353" w:rsidP="000B5B50">
      <w:pPr>
        <w:pStyle w:val="ListParagraph"/>
        <w:numPr>
          <w:ilvl w:val="0"/>
          <w:numId w:val="32"/>
        </w:numPr>
        <w:rPr>
          <w:sz w:val="22"/>
        </w:rPr>
      </w:pPr>
      <w:r w:rsidRPr="000151BA">
        <w:rPr>
          <w:sz w:val="22"/>
        </w:rPr>
        <w:t xml:space="preserve">Assam Inland Water Transport Project (P157929); </w:t>
      </w:r>
    </w:p>
    <w:p w14:paraId="21980D0D" w14:textId="77777777" w:rsidR="00CF4353" w:rsidRPr="000151BA" w:rsidRDefault="00CF4353" w:rsidP="000B5B50">
      <w:pPr>
        <w:pStyle w:val="ListParagraph"/>
        <w:numPr>
          <w:ilvl w:val="0"/>
          <w:numId w:val="32"/>
        </w:numPr>
        <w:rPr>
          <w:sz w:val="22"/>
        </w:rPr>
      </w:pPr>
      <w:r w:rsidRPr="000151BA">
        <w:rPr>
          <w:sz w:val="22"/>
        </w:rPr>
        <w:t xml:space="preserve">Buddhist Circuit Development in SAR, TA (P159682); </w:t>
      </w:r>
    </w:p>
    <w:p w14:paraId="613971B4" w14:textId="77777777" w:rsidR="00CF4353" w:rsidRPr="000151BA" w:rsidRDefault="00CF4353" w:rsidP="00610CA9">
      <w:pPr>
        <w:pStyle w:val="ListParagraph"/>
        <w:numPr>
          <w:ilvl w:val="0"/>
          <w:numId w:val="32"/>
        </w:numPr>
        <w:rPr>
          <w:sz w:val="22"/>
        </w:rPr>
      </w:pPr>
      <w:r w:rsidRPr="000151BA">
        <w:rPr>
          <w:sz w:val="22"/>
        </w:rPr>
        <w:t xml:space="preserve">Advancing Women’s Enterprises for Economic Impact, TA (P16177); </w:t>
      </w:r>
    </w:p>
    <w:p w14:paraId="73CBF941" w14:textId="77777777" w:rsidR="00CF4353" w:rsidRPr="000151BA" w:rsidRDefault="00CF4353" w:rsidP="00F311EB">
      <w:pPr>
        <w:pStyle w:val="ListParagraph"/>
        <w:numPr>
          <w:ilvl w:val="0"/>
          <w:numId w:val="32"/>
        </w:numPr>
        <w:rPr>
          <w:sz w:val="22"/>
        </w:rPr>
      </w:pPr>
      <w:r w:rsidRPr="000151BA">
        <w:rPr>
          <w:sz w:val="22"/>
        </w:rPr>
        <w:t xml:space="preserve">Addressing Women’s and Children’s Risks from Enhanced Connectivity (P163659); </w:t>
      </w:r>
    </w:p>
    <w:p w14:paraId="73261DE8" w14:textId="77777777" w:rsidR="00CF4353" w:rsidRPr="000151BA" w:rsidRDefault="00CF4353" w:rsidP="00894DA7">
      <w:pPr>
        <w:pStyle w:val="ListParagraph"/>
        <w:numPr>
          <w:ilvl w:val="0"/>
          <w:numId w:val="32"/>
        </w:numPr>
        <w:rPr>
          <w:sz w:val="22"/>
        </w:rPr>
      </w:pPr>
      <w:r w:rsidRPr="000151BA">
        <w:rPr>
          <w:sz w:val="22"/>
        </w:rPr>
        <w:t>Economic Empowerment of Women Through Resilient Agricultural Supply Chain Development in South Asia (P163802)</w:t>
      </w:r>
      <w:r w:rsidRPr="000151BA">
        <w:rPr>
          <w:rStyle w:val="FootnoteReference"/>
          <w:sz w:val="22"/>
        </w:rPr>
        <w:footnoteReference w:id="218"/>
      </w:r>
      <w:r w:rsidRPr="000151BA">
        <w:rPr>
          <w:sz w:val="22"/>
        </w:rPr>
        <w:t xml:space="preserve">. </w:t>
      </w:r>
    </w:p>
    <w:p w14:paraId="185651AF" w14:textId="77777777" w:rsidR="00CF4353" w:rsidRDefault="00CF4353" w:rsidP="001B449B">
      <w:pPr>
        <w:pStyle w:val="NormalWeb"/>
      </w:pPr>
    </w:p>
    <w:p w14:paraId="4288588D" w14:textId="77777777" w:rsidR="00CF4353" w:rsidRDefault="00CF4353" w:rsidP="001B449B">
      <w:pPr>
        <w:pStyle w:val="Heading3"/>
        <w:numPr>
          <w:ilvl w:val="0"/>
          <w:numId w:val="59"/>
        </w:numPr>
      </w:pPr>
      <w:r w:rsidRPr="000660F7">
        <w:t>Buddhist Circuit Development</w:t>
      </w:r>
    </w:p>
    <w:tbl>
      <w:tblPr>
        <w:tblStyle w:val="GridTable1Light1"/>
        <w:tblW w:w="0" w:type="auto"/>
        <w:tblLook w:val="04A0" w:firstRow="1" w:lastRow="0" w:firstColumn="1" w:lastColumn="0" w:noHBand="0" w:noVBand="1"/>
      </w:tblPr>
      <w:tblGrid>
        <w:gridCol w:w="1068"/>
        <w:gridCol w:w="973"/>
        <w:gridCol w:w="883"/>
        <w:gridCol w:w="801"/>
        <w:gridCol w:w="947"/>
        <w:gridCol w:w="1291"/>
        <w:gridCol w:w="1237"/>
        <w:gridCol w:w="916"/>
        <w:gridCol w:w="745"/>
      </w:tblGrid>
      <w:tr w:rsidR="00CF4353" w:rsidRPr="00971CD1" w14:paraId="38525724" w14:textId="7777777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068" w:type="dxa"/>
          </w:tcPr>
          <w:p w14:paraId="03B9F8FC" w14:textId="77777777" w:rsidR="00CF4353" w:rsidRPr="000151BA" w:rsidRDefault="00CF4353" w:rsidP="001B449B">
            <w:pPr>
              <w:pStyle w:val="p1"/>
              <w:rPr>
                <w:sz w:val="16"/>
                <w:szCs w:val="16"/>
              </w:rPr>
            </w:pPr>
            <w:r w:rsidRPr="000151BA">
              <w:rPr>
                <w:sz w:val="16"/>
                <w:szCs w:val="16"/>
              </w:rPr>
              <w:t>Country or regional focus</w:t>
            </w:r>
          </w:p>
        </w:tc>
        <w:tc>
          <w:tcPr>
            <w:tcW w:w="973" w:type="dxa"/>
          </w:tcPr>
          <w:p w14:paraId="10919445"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TTL</w:t>
            </w:r>
          </w:p>
        </w:tc>
        <w:tc>
          <w:tcPr>
            <w:tcW w:w="883" w:type="dxa"/>
          </w:tcPr>
          <w:p w14:paraId="3BF1E1CD"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 xml:space="preserve">Grant Amount </w:t>
            </w:r>
          </w:p>
        </w:tc>
        <w:tc>
          <w:tcPr>
            <w:tcW w:w="801" w:type="dxa"/>
          </w:tcPr>
          <w:p w14:paraId="49703AEE"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Fund Balance</w:t>
            </w:r>
          </w:p>
        </w:tc>
        <w:tc>
          <w:tcPr>
            <w:tcW w:w="947" w:type="dxa"/>
          </w:tcPr>
          <w:p w14:paraId="7191A4E9"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Transfers-In</w:t>
            </w:r>
          </w:p>
        </w:tc>
        <w:tc>
          <w:tcPr>
            <w:tcW w:w="1291" w:type="dxa"/>
          </w:tcPr>
          <w:p w14:paraId="7B70606C"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 xml:space="preserve">Disbursements </w:t>
            </w:r>
          </w:p>
        </w:tc>
        <w:tc>
          <w:tcPr>
            <w:tcW w:w="1237" w:type="dxa"/>
          </w:tcPr>
          <w:p w14:paraId="21301116"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Commitments</w:t>
            </w:r>
          </w:p>
        </w:tc>
        <w:tc>
          <w:tcPr>
            <w:tcW w:w="916" w:type="dxa"/>
          </w:tcPr>
          <w:p w14:paraId="4C0C4A97"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 expensed</w:t>
            </w:r>
          </w:p>
        </w:tc>
        <w:tc>
          <w:tcPr>
            <w:tcW w:w="745" w:type="dxa"/>
          </w:tcPr>
          <w:p w14:paraId="0E965548"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Grant Closing Date</w:t>
            </w:r>
          </w:p>
        </w:tc>
      </w:tr>
      <w:tr w:rsidR="00CF4353" w:rsidRPr="000660F7" w14:paraId="57A7F9E1" w14:textId="77777777">
        <w:trPr>
          <w:trHeight w:val="901"/>
        </w:trPr>
        <w:tc>
          <w:tcPr>
            <w:cnfStyle w:val="001000000000" w:firstRow="0" w:lastRow="0" w:firstColumn="1" w:lastColumn="0" w:oddVBand="0" w:evenVBand="0" w:oddHBand="0" w:evenHBand="0" w:firstRowFirstColumn="0" w:firstRowLastColumn="0" w:lastRowFirstColumn="0" w:lastRowLastColumn="0"/>
            <w:tcW w:w="1068" w:type="dxa"/>
          </w:tcPr>
          <w:p w14:paraId="49E5CB75" w14:textId="77777777" w:rsidR="00CF4353" w:rsidRPr="000151BA" w:rsidRDefault="00CF4353" w:rsidP="001B449B">
            <w:pPr>
              <w:pStyle w:val="p1"/>
              <w:rPr>
                <w:sz w:val="16"/>
                <w:szCs w:val="16"/>
              </w:rPr>
            </w:pPr>
            <w:r w:rsidRPr="000151BA">
              <w:rPr>
                <w:sz w:val="16"/>
                <w:szCs w:val="16"/>
              </w:rPr>
              <w:t xml:space="preserve">Bhutan, India, Nepal (priority) and Bangladesh </w:t>
            </w:r>
          </w:p>
        </w:tc>
        <w:tc>
          <w:tcPr>
            <w:tcW w:w="973" w:type="dxa"/>
          </w:tcPr>
          <w:p w14:paraId="0FBB1702"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Stefania B. Abakerli B</w:t>
            </w:r>
          </w:p>
          <w:p w14:paraId="176E507E"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883" w:type="dxa"/>
          </w:tcPr>
          <w:p w14:paraId="7E129E0D"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1,500,000</w:t>
            </w:r>
          </w:p>
          <w:p w14:paraId="2B466657"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801" w:type="dxa"/>
          </w:tcPr>
          <w:p w14:paraId="46D0D6C5"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884,175</w:t>
            </w:r>
          </w:p>
          <w:p w14:paraId="54CC2220"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947" w:type="dxa"/>
          </w:tcPr>
          <w:p w14:paraId="3646084E"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1,500,000</w:t>
            </w:r>
          </w:p>
        </w:tc>
        <w:tc>
          <w:tcPr>
            <w:tcW w:w="1291" w:type="dxa"/>
          </w:tcPr>
          <w:p w14:paraId="37B97AA5"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615,825</w:t>
            </w:r>
          </w:p>
          <w:p w14:paraId="61A2CB67"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237" w:type="dxa"/>
          </w:tcPr>
          <w:p w14:paraId="3D6228DA"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428,650</w:t>
            </w:r>
          </w:p>
          <w:p w14:paraId="79C60563"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916" w:type="dxa"/>
          </w:tcPr>
          <w:p w14:paraId="3CC9B122"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69.6%</w:t>
            </w:r>
          </w:p>
          <w:p w14:paraId="209D3D18"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745" w:type="dxa"/>
          </w:tcPr>
          <w:p w14:paraId="4B3D9018"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June-19</w:t>
            </w:r>
          </w:p>
          <w:p w14:paraId="13CDC269"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r>
    </w:tbl>
    <w:p w14:paraId="622A0E5E" w14:textId="77777777" w:rsidR="00CF4353" w:rsidRPr="000151BA" w:rsidRDefault="00CF4353" w:rsidP="001B449B">
      <w:pPr>
        <w:pStyle w:val="NormalWeb"/>
        <w:rPr>
          <w:sz w:val="22"/>
        </w:rPr>
      </w:pPr>
      <w:r w:rsidRPr="000151BA">
        <w:rPr>
          <w:sz w:val="22"/>
        </w:rPr>
        <w:t xml:space="preserve">Effectiveness: How has the project performed against its objectives to date? </w:t>
      </w:r>
    </w:p>
    <w:p w14:paraId="02761FFE" w14:textId="77777777" w:rsidR="00CF4353" w:rsidRPr="000151BA" w:rsidRDefault="00CF4353" w:rsidP="001B449B">
      <w:pPr>
        <w:pStyle w:val="ListParagraph"/>
        <w:numPr>
          <w:ilvl w:val="0"/>
          <w:numId w:val="35"/>
        </w:numPr>
        <w:rPr>
          <w:sz w:val="22"/>
        </w:rPr>
      </w:pPr>
      <w:r w:rsidRPr="000151BA">
        <w:rPr>
          <w:b/>
          <w:sz w:val="22"/>
        </w:rPr>
        <w:t>Objectives:</w:t>
      </w:r>
      <w:r w:rsidRPr="000151BA">
        <w:rPr>
          <w:sz w:val="22"/>
        </w:rPr>
        <w:t xml:space="preserve"> The development objective of this program is to provide regional governments with a functioning platform for decision making as well as strengthened capacities, shared </w:t>
      </w:r>
      <w:r w:rsidRPr="000151BA">
        <w:rPr>
          <w:sz w:val="22"/>
        </w:rPr>
        <w:lastRenderedPageBreak/>
        <w:t>identity, policy and investment plans for the development of the Buddhist Circuit in South Asia in an inclusive manner</w:t>
      </w:r>
      <w:r w:rsidRPr="000151BA">
        <w:rPr>
          <w:rStyle w:val="FootnoteReference"/>
          <w:sz w:val="22"/>
        </w:rPr>
        <w:footnoteReference w:id="219"/>
      </w:r>
      <w:r w:rsidRPr="000151BA">
        <w:rPr>
          <w:sz w:val="22"/>
        </w:rPr>
        <w:t xml:space="preserve">.  </w:t>
      </w:r>
    </w:p>
    <w:p w14:paraId="08B5FFB6" w14:textId="77777777" w:rsidR="00CF4353" w:rsidRPr="000151BA" w:rsidRDefault="00CF4353" w:rsidP="001B449B">
      <w:pPr>
        <w:pStyle w:val="NormalWeb"/>
        <w:numPr>
          <w:ilvl w:val="0"/>
          <w:numId w:val="34"/>
        </w:numPr>
        <w:rPr>
          <w:b/>
          <w:sz w:val="22"/>
        </w:rPr>
      </w:pPr>
      <w:r w:rsidRPr="000151BA">
        <w:rPr>
          <w:b/>
          <w:sz w:val="22"/>
        </w:rPr>
        <w:t>Outcomes</w:t>
      </w:r>
      <w:r w:rsidRPr="000151BA">
        <w:rPr>
          <w:sz w:val="22"/>
        </w:rPr>
        <w:t>:  ‘…To date, change has been observable at policy making level, with positive implications for the way national and state funds are allocated</w:t>
      </w:r>
      <w:r w:rsidRPr="000151BA">
        <w:rPr>
          <w:b/>
          <w:sz w:val="22"/>
        </w:rPr>
        <w:t>.’</w:t>
      </w:r>
      <w:r w:rsidRPr="000151BA">
        <w:rPr>
          <w:rStyle w:val="FootnoteReference"/>
          <w:b/>
          <w:sz w:val="22"/>
        </w:rPr>
        <w:footnoteReference w:id="220"/>
      </w:r>
      <w:r w:rsidRPr="000151BA">
        <w:rPr>
          <w:b/>
          <w:sz w:val="22"/>
        </w:rPr>
        <w:t xml:space="preserve"> </w:t>
      </w:r>
      <w:r w:rsidRPr="000151BA">
        <w:rPr>
          <w:sz w:val="22"/>
        </w:rPr>
        <w:t>As reported in the 2017 activity report:</w:t>
      </w:r>
    </w:p>
    <w:p w14:paraId="491F9195" w14:textId="77777777" w:rsidR="00CF4353" w:rsidRPr="000151BA" w:rsidRDefault="00CF4353" w:rsidP="001B449B">
      <w:pPr>
        <w:pStyle w:val="ListParagraph"/>
        <w:numPr>
          <w:ilvl w:val="0"/>
          <w:numId w:val="36"/>
        </w:numPr>
        <w:rPr>
          <w:sz w:val="22"/>
        </w:rPr>
      </w:pPr>
      <w:r w:rsidRPr="000151BA">
        <w:rPr>
          <w:sz w:val="22"/>
        </w:rPr>
        <w:t xml:space="preserve">In Bhutan, the Royal Government is already implementing various recommendations provided by the TTL in the assessment of the Tourism Policy.  </w:t>
      </w:r>
    </w:p>
    <w:p w14:paraId="5B20CEE5" w14:textId="77777777" w:rsidR="00CF4353" w:rsidRPr="000151BA" w:rsidRDefault="00CF4353" w:rsidP="001A78AF">
      <w:pPr>
        <w:pStyle w:val="ListParagraph"/>
        <w:numPr>
          <w:ilvl w:val="0"/>
          <w:numId w:val="36"/>
        </w:numPr>
        <w:rPr>
          <w:sz w:val="22"/>
        </w:rPr>
      </w:pPr>
      <w:r w:rsidRPr="000151BA">
        <w:rPr>
          <w:sz w:val="22"/>
        </w:rPr>
        <w:t xml:space="preserve">The state Government of Uttar Pradesh re-centred its Tourism Policy on poverty alleviation as promoted by the activity; and is preparing a USD 57 million loan with the WB assistance to implement a Pro-Poor Tourism Development Project in the state (and in India). </w:t>
      </w:r>
    </w:p>
    <w:p w14:paraId="14AE0694" w14:textId="77777777" w:rsidR="00CF4353" w:rsidRPr="000151BA" w:rsidRDefault="00CF4353" w:rsidP="001A78AF">
      <w:pPr>
        <w:pStyle w:val="ListParagraph"/>
        <w:numPr>
          <w:ilvl w:val="0"/>
          <w:numId w:val="36"/>
        </w:numPr>
        <w:rPr>
          <w:sz w:val="22"/>
        </w:rPr>
      </w:pPr>
      <w:r w:rsidRPr="000151BA">
        <w:rPr>
          <w:sz w:val="22"/>
        </w:rPr>
        <w:t xml:space="preserve">The state Government of Madhya Pradesh adopted the gender lens of the activity and replaced an ongoing destination planning process with the multistakeholder/people-centred approach promoted by the activity. The state Government is also seeking the WB support to a USD 120million Inclusive Tourism Development Project. </w:t>
      </w:r>
    </w:p>
    <w:p w14:paraId="733F1801" w14:textId="77777777" w:rsidR="00CF4353" w:rsidRPr="000151BA" w:rsidRDefault="00CF4353" w:rsidP="000B5B50">
      <w:pPr>
        <w:pStyle w:val="ListParagraph"/>
        <w:numPr>
          <w:ilvl w:val="0"/>
          <w:numId w:val="36"/>
        </w:numPr>
        <w:rPr>
          <w:sz w:val="22"/>
        </w:rPr>
      </w:pPr>
      <w:r w:rsidRPr="000151BA">
        <w:rPr>
          <w:sz w:val="22"/>
        </w:rPr>
        <w:t xml:space="preserve">At central level, the Indian Ministry of Tourism committed to allocate USD 10million to finance the model public investment plan for Sarnath prepared under this activity and is convening a national workshop. </w:t>
      </w:r>
    </w:p>
    <w:p w14:paraId="5688E010" w14:textId="77777777" w:rsidR="00CF4353" w:rsidRPr="000151BA" w:rsidRDefault="00CF4353" w:rsidP="001A78AF">
      <w:pPr>
        <w:pStyle w:val="NormalWeb"/>
        <w:rPr>
          <w:sz w:val="22"/>
        </w:rPr>
      </w:pPr>
      <w:r w:rsidRPr="000151BA">
        <w:rPr>
          <w:sz w:val="22"/>
        </w:rPr>
        <w:t>Efficiency: Is funding being used efficiently and what have been the factors affecting the WB’s disbursement rates?</w:t>
      </w:r>
    </w:p>
    <w:p w14:paraId="5C08AFD6" w14:textId="77777777" w:rsidR="00CF4353" w:rsidRPr="000151BA" w:rsidRDefault="00CF4353" w:rsidP="001A78AF">
      <w:pPr>
        <w:pStyle w:val="NormalWeb"/>
        <w:rPr>
          <w:sz w:val="22"/>
        </w:rPr>
      </w:pPr>
      <w:r w:rsidRPr="000151BA">
        <w:rPr>
          <w:sz w:val="22"/>
        </w:rPr>
        <w:t xml:space="preserve">The project is reported as being 70% expensed. </w:t>
      </w:r>
    </w:p>
    <w:p w14:paraId="544E7F68" w14:textId="77777777" w:rsidR="00CF4353" w:rsidRPr="000151BA" w:rsidRDefault="00CF4353" w:rsidP="000B5B50">
      <w:pPr>
        <w:pStyle w:val="NormalWeb"/>
        <w:rPr>
          <w:sz w:val="22"/>
        </w:rPr>
      </w:pPr>
      <w:r w:rsidRPr="000151BA">
        <w:rPr>
          <w:sz w:val="22"/>
        </w:rPr>
        <w:t>Relevance: How is this project relevant and appropriate in the current context and environment of Australia’s aid priorities?</w:t>
      </w:r>
    </w:p>
    <w:p w14:paraId="627A8A60" w14:textId="77777777" w:rsidR="00CF4353" w:rsidRPr="000151BA" w:rsidRDefault="00CF4353" w:rsidP="00610CA9">
      <w:pPr>
        <w:pStyle w:val="NormalWeb"/>
        <w:rPr>
          <w:sz w:val="22"/>
        </w:rPr>
      </w:pPr>
      <w:r w:rsidRPr="000151BA">
        <w:rPr>
          <w:sz w:val="22"/>
        </w:rPr>
        <w:t xml:space="preserve">The project is relevant to trade facilitation and local economic opportunity. </w:t>
      </w:r>
    </w:p>
    <w:p w14:paraId="121B7DAA" w14:textId="77777777" w:rsidR="00CF4353" w:rsidRPr="000151BA" w:rsidRDefault="00CF4353" w:rsidP="001B449B">
      <w:pPr>
        <w:rPr>
          <w:sz w:val="22"/>
        </w:rPr>
      </w:pPr>
      <w:r w:rsidRPr="000151BA">
        <w:rPr>
          <w:sz w:val="22"/>
        </w:rPr>
        <w:t>Ranked contribution to SARTFP MTO</w:t>
      </w:r>
      <w:r w:rsidRPr="000151BA">
        <w:rPr>
          <w:rStyle w:val="FootnoteReference"/>
          <w:b/>
          <w:sz w:val="22"/>
        </w:rPr>
        <w:footnoteReference w:id="221"/>
      </w:r>
      <w:r w:rsidRPr="000151BA">
        <w:rPr>
          <w:sz w:val="22"/>
        </w:rPr>
        <w:t xml:space="preserve">:  </w:t>
      </w:r>
    </w:p>
    <w:tbl>
      <w:tblPr>
        <w:tblStyle w:val="TableGrid"/>
        <w:tblW w:w="8925" w:type="dxa"/>
        <w:tblLook w:val="04A0" w:firstRow="1" w:lastRow="0" w:firstColumn="1" w:lastColumn="0" w:noHBand="0" w:noVBand="1"/>
      </w:tblPr>
      <w:tblGrid>
        <w:gridCol w:w="988"/>
        <w:gridCol w:w="6237"/>
        <w:gridCol w:w="1700"/>
      </w:tblGrid>
      <w:tr w:rsidR="00CF4353" w:rsidRPr="00CA4951" w14:paraId="5E9CF8C8" w14:textId="77777777">
        <w:tc>
          <w:tcPr>
            <w:tcW w:w="988" w:type="dxa"/>
          </w:tcPr>
          <w:p w14:paraId="43B08EBE" w14:textId="77777777" w:rsidR="00CF4353" w:rsidRPr="000151BA" w:rsidRDefault="00CF4353">
            <w:pPr>
              <w:rPr>
                <w:sz w:val="22"/>
              </w:rPr>
            </w:pPr>
            <w:r w:rsidRPr="000151BA">
              <w:rPr>
                <w:sz w:val="22"/>
              </w:rPr>
              <w:t>MTOA</w:t>
            </w:r>
          </w:p>
        </w:tc>
        <w:tc>
          <w:tcPr>
            <w:tcW w:w="6237" w:type="dxa"/>
          </w:tcPr>
          <w:p w14:paraId="6760DA66" w14:textId="77777777" w:rsidR="00CF4353" w:rsidRPr="000151BA" w:rsidRDefault="00CF4353">
            <w:pPr>
              <w:rPr>
                <w:b/>
                <w:sz w:val="22"/>
              </w:rPr>
            </w:pPr>
            <w:r w:rsidRPr="000151BA">
              <w:rPr>
                <w:sz w:val="22"/>
              </w:rPr>
              <w:t>Projects in trade facilitation, cross-border transport connectivity, and local economic opportunity financed by World Bank, DFAT and others, increasingly benefit women</w:t>
            </w:r>
          </w:p>
        </w:tc>
        <w:tc>
          <w:tcPr>
            <w:tcW w:w="1700" w:type="dxa"/>
            <w:vMerge w:val="restart"/>
          </w:tcPr>
          <w:p w14:paraId="09A770EC" w14:textId="77777777" w:rsidR="00CF4353" w:rsidRPr="000151BA" w:rsidRDefault="00CF4353">
            <w:pPr>
              <w:rPr>
                <w:sz w:val="22"/>
              </w:rPr>
            </w:pPr>
            <w:r w:rsidRPr="000151BA">
              <w:rPr>
                <w:sz w:val="22"/>
              </w:rPr>
              <w:t>Dec 2017:</w:t>
            </w:r>
          </w:p>
          <w:p w14:paraId="77A3B67E" w14:textId="77777777" w:rsidR="00CF4353" w:rsidRPr="000151BA" w:rsidRDefault="00CF4353">
            <w:pPr>
              <w:rPr>
                <w:sz w:val="22"/>
              </w:rPr>
            </w:pPr>
            <w:r w:rsidRPr="000151BA">
              <w:rPr>
                <w:sz w:val="22"/>
              </w:rPr>
              <w:t xml:space="preserve">It is early to rank the activity’s contribution to the MTOs given that the task team has just finished to carry </w:t>
            </w:r>
            <w:r w:rsidRPr="000151BA">
              <w:rPr>
                <w:sz w:val="22"/>
              </w:rPr>
              <w:lastRenderedPageBreak/>
              <w:t>out the initial set of studies and is starting sharing the findings with concerned counterparts.</w:t>
            </w:r>
          </w:p>
        </w:tc>
      </w:tr>
      <w:tr w:rsidR="00CF4353" w:rsidRPr="00CA4951" w14:paraId="7CBA6C93" w14:textId="77777777">
        <w:tc>
          <w:tcPr>
            <w:tcW w:w="988" w:type="dxa"/>
          </w:tcPr>
          <w:p w14:paraId="4700F7FB" w14:textId="77777777" w:rsidR="00CF4353" w:rsidRPr="000151BA" w:rsidRDefault="00CF4353" w:rsidP="001A78AF">
            <w:pPr>
              <w:rPr>
                <w:sz w:val="22"/>
              </w:rPr>
            </w:pPr>
            <w:r w:rsidRPr="000151BA">
              <w:rPr>
                <w:sz w:val="22"/>
              </w:rPr>
              <w:t>MTOB</w:t>
            </w:r>
          </w:p>
        </w:tc>
        <w:tc>
          <w:tcPr>
            <w:tcW w:w="6237" w:type="dxa"/>
          </w:tcPr>
          <w:p w14:paraId="0B364489" w14:textId="77777777" w:rsidR="00CF4353" w:rsidRPr="000151BA" w:rsidRDefault="00CF4353" w:rsidP="001A78AF">
            <w:pPr>
              <w:rPr>
                <w:b/>
                <w:sz w:val="22"/>
              </w:rPr>
            </w:pPr>
            <w:r w:rsidRPr="000151BA">
              <w:rPr>
                <w:sz w:val="22"/>
              </w:rPr>
              <w:t>Governments in BBIN countries make complementary investments in trade facilitation, cross-border transport connectivity, and local economic opportunity that benefit women</w:t>
            </w:r>
          </w:p>
        </w:tc>
        <w:tc>
          <w:tcPr>
            <w:tcW w:w="1700" w:type="dxa"/>
            <w:vMerge/>
          </w:tcPr>
          <w:p w14:paraId="3BEFE1E9" w14:textId="77777777" w:rsidR="00CF4353" w:rsidRPr="000151BA" w:rsidRDefault="00CF4353">
            <w:pPr>
              <w:rPr>
                <w:sz w:val="22"/>
              </w:rPr>
            </w:pPr>
          </w:p>
        </w:tc>
      </w:tr>
      <w:tr w:rsidR="00CF4353" w:rsidRPr="00CA4951" w14:paraId="412C9AE0" w14:textId="77777777">
        <w:tc>
          <w:tcPr>
            <w:tcW w:w="988" w:type="dxa"/>
          </w:tcPr>
          <w:p w14:paraId="16E447CE" w14:textId="77777777" w:rsidR="00CF4353" w:rsidRPr="000151BA" w:rsidRDefault="00CF4353" w:rsidP="001A78AF">
            <w:pPr>
              <w:rPr>
                <w:sz w:val="22"/>
              </w:rPr>
            </w:pPr>
            <w:r w:rsidRPr="000151BA">
              <w:rPr>
                <w:sz w:val="22"/>
              </w:rPr>
              <w:t>MTOC</w:t>
            </w:r>
          </w:p>
        </w:tc>
        <w:tc>
          <w:tcPr>
            <w:tcW w:w="6237" w:type="dxa"/>
          </w:tcPr>
          <w:p w14:paraId="4EA35BD0" w14:textId="77777777" w:rsidR="00CF4353" w:rsidRPr="000151BA" w:rsidRDefault="00CF4353" w:rsidP="001A78AF">
            <w:pPr>
              <w:rPr>
                <w:b/>
                <w:sz w:val="22"/>
              </w:rPr>
            </w:pPr>
            <w:r w:rsidRPr="000151BA">
              <w:rPr>
                <w:sz w:val="22"/>
              </w:rPr>
              <w:t>Governments in BBIN countries take regulatory and operational measures in trade facilitation, cross-border transport connectivity, and local economic opportunity that benefit women:</w:t>
            </w:r>
          </w:p>
        </w:tc>
        <w:tc>
          <w:tcPr>
            <w:tcW w:w="1700" w:type="dxa"/>
            <w:vMerge/>
          </w:tcPr>
          <w:p w14:paraId="6C061A52" w14:textId="77777777" w:rsidR="00CF4353" w:rsidRPr="000151BA" w:rsidRDefault="00CF4353">
            <w:pPr>
              <w:rPr>
                <w:sz w:val="22"/>
              </w:rPr>
            </w:pPr>
          </w:p>
        </w:tc>
      </w:tr>
      <w:tr w:rsidR="00CF4353" w:rsidRPr="00CA4951" w14:paraId="35D5722C" w14:textId="77777777">
        <w:tc>
          <w:tcPr>
            <w:tcW w:w="988" w:type="dxa"/>
          </w:tcPr>
          <w:p w14:paraId="673E4A2E" w14:textId="77777777" w:rsidR="00CF4353" w:rsidRPr="000151BA" w:rsidRDefault="00CF4353" w:rsidP="001A78AF">
            <w:pPr>
              <w:rPr>
                <w:sz w:val="22"/>
              </w:rPr>
            </w:pPr>
            <w:r w:rsidRPr="000151BA">
              <w:rPr>
                <w:sz w:val="22"/>
              </w:rPr>
              <w:lastRenderedPageBreak/>
              <w:t>MTOD</w:t>
            </w:r>
          </w:p>
        </w:tc>
        <w:tc>
          <w:tcPr>
            <w:tcW w:w="6237" w:type="dxa"/>
          </w:tcPr>
          <w:p w14:paraId="5BB0B980" w14:textId="77777777" w:rsidR="00CF4353" w:rsidRPr="000151BA" w:rsidRDefault="00CF4353" w:rsidP="001A78AF">
            <w:pPr>
              <w:rPr>
                <w:b/>
                <w:sz w:val="22"/>
              </w:rPr>
            </w:pPr>
            <w:r w:rsidRPr="000151BA">
              <w:rPr>
                <w:sz w:val="22"/>
              </w:rPr>
              <w:t>SARTFP contributes to producing and sharing knowledge on how trade facilitation, cross-border transport connectivity, and local economic opportunity can benefit women:</w:t>
            </w:r>
          </w:p>
        </w:tc>
        <w:tc>
          <w:tcPr>
            <w:tcW w:w="1700" w:type="dxa"/>
            <w:vMerge/>
          </w:tcPr>
          <w:p w14:paraId="25C947D5" w14:textId="77777777" w:rsidR="00CF4353" w:rsidRPr="000151BA" w:rsidRDefault="00CF4353">
            <w:pPr>
              <w:rPr>
                <w:sz w:val="22"/>
              </w:rPr>
            </w:pPr>
          </w:p>
        </w:tc>
      </w:tr>
      <w:tr w:rsidR="00CF4353" w:rsidRPr="00CA4951" w14:paraId="01C43974" w14:textId="77777777">
        <w:tc>
          <w:tcPr>
            <w:tcW w:w="988" w:type="dxa"/>
          </w:tcPr>
          <w:p w14:paraId="5889D9E0" w14:textId="77777777" w:rsidR="00CF4353" w:rsidRPr="000151BA" w:rsidRDefault="00CF4353" w:rsidP="001A78AF">
            <w:pPr>
              <w:rPr>
                <w:sz w:val="22"/>
              </w:rPr>
            </w:pPr>
            <w:r w:rsidRPr="000151BA">
              <w:rPr>
                <w:sz w:val="22"/>
              </w:rPr>
              <w:t>MTOE</w:t>
            </w:r>
          </w:p>
        </w:tc>
        <w:tc>
          <w:tcPr>
            <w:tcW w:w="6237" w:type="dxa"/>
          </w:tcPr>
          <w:p w14:paraId="3B7842B0" w14:textId="77777777" w:rsidR="00CF4353" w:rsidRPr="000151BA" w:rsidRDefault="00CF4353" w:rsidP="001A78AF">
            <w:pPr>
              <w:rPr>
                <w:b/>
                <w:sz w:val="22"/>
              </w:rPr>
            </w:pPr>
            <w:r w:rsidRPr="000151BA">
              <w:rPr>
                <w:sz w:val="22"/>
              </w:rPr>
              <w:t>There is improved economic opportunity and livelihood for the poor, especially women, in targeted value chains and corridors:</w:t>
            </w:r>
          </w:p>
        </w:tc>
        <w:tc>
          <w:tcPr>
            <w:tcW w:w="1700" w:type="dxa"/>
            <w:vMerge/>
          </w:tcPr>
          <w:p w14:paraId="0FA32B63" w14:textId="77777777" w:rsidR="00CF4353" w:rsidRPr="000151BA" w:rsidRDefault="00CF4353">
            <w:pPr>
              <w:rPr>
                <w:sz w:val="22"/>
              </w:rPr>
            </w:pPr>
          </w:p>
        </w:tc>
      </w:tr>
    </w:tbl>
    <w:p w14:paraId="5FDCCB5D" w14:textId="77777777" w:rsidR="00CF4353" w:rsidRPr="000151BA" w:rsidRDefault="00CF4353" w:rsidP="001B449B">
      <w:pPr>
        <w:pStyle w:val="NormalWeb"/>
        <w:rPr>
          <w:sz w:val="22"/>
        </w:rPr>
      </w:pPr>
      <w:r w:rsidRPr="000151BA">
        <w:rPr>
          <w:sz w:val="22"/>
        </w:rPr>
        <w:t>Gender Equality: Has this project made progress against objectives focused on advancing gender equality and women’s empowerment?</w:t>
      </w:r>
    </w:p>
    <w:p w14:paraId="34729FC8" w14:textId="77777777" w:rsidR="00CF4353" w:rsidRPr="000151BA" w:rsidRDefault="00CF4353">
      <w:pPr>
        <w:pStyle w:val="NormalWeb"/>
        <w:rPr>
          <w:sz w:val="22"/>
        </w:rPr>
      </w:pPr>
      <w:r w:rsidRPr="000151BA">
        <w:rPr>
          <w:sz w:val="22"/>
        </w:rPr>
        <w:t>As reported in 2017, work on the assessment of constraints, capability and economic opportunities for MSMEs and for women entrepreneurs along the Circuit will be contracted</w:t>
      </w:r>
      <w:r w:rsidRPr="000151BA">
        <w:rPr>
          <w:rStyle w:val="FootnoteReference"/>
          <w:sz w:val="22"/>
        </w:rPr>
        <w:footnoteReference w:id="222"/>
      </w:r>
      <w:r w:rsidRPr="000151BA">
        <w:rPr>
          <w:sz w:val="22"/>
        </w:rPr>
        <w:t>.</w:t>
      </w:r>
    </w:p>
    <w:p w14:paraId="2C6882D7" w14:textId="77777777" w:rsidR="00CF4353" w:rsidRPr="000151BA" w:rsidRDefault="00CF4353" w:rsidP="001B449B">
      <w:pPr>
        <w:pStyle w:val="Heading3"/>
        <w:numPr>
          <w:ilvl w:val="0"/>
          <w:numId w:val="59"/>
        </w:numPr>
        <w:rPr>
          <w:sz w:val="22"/>
        </w:rPr>
      </w:pPr>
      <w:r w:rsidRPr="000151BA">
        <w:rPr>
          <w:sz w:val="22"/>
        </w:rPr>
        <w:t>Addressing Women’s and Children’s Risks from Enhanced Connectivity</w:t>
      </w:r>
    </w:p>
    <w:tbl>
      <w:tblPr>
        <w:tblStyle w:val="GridTable1Light1"/>
        <w:tblW w:w="0" w:type="auto"/>
        <w:tblLook w:val="04A0" w:firstRow="1" w:lastRow="0" w:firstColumn="1" w:lastColumn="0" w:noHBand="0" w:noVBand="1"/>
      </w:tblPr>
      <w:tblGrid>
        <w:gridCol w:w="1089"/>
        <w:gridCol w:w="940"/>
        <w:gridCol w:w="943"/>
        <w:gridCol w:w="812"/>
        <w:gridCol w:w="954"/>
        <w:gridCol w:w="1297"/>
        <w:gridCol w:w="1243"/>
        <w:gridCol w:w="920"/>
        <w:gridCol w:w="750"/>
      </w:tblGrid>
      <w:tr w:rsidR="00CF4353" w:rsidRPr="00971CD1" w14:paraId="44E69666" w14:textId="77777777">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089" w:type="dxa"/>
          </w:tcPr>
          <w:p w14:paraId="40703B03" w14:textId="77777777" w:rsidR="00CF4353" w:rsidRPr="000151BA" w:rsidRDefault="00CF4353" w:rsidP="001B449B">
            <w:pPr>
              <w:pStyle w:val="p1"/>
              <w:rPr>
                <w:sz w:val="16"/>
                <w:szCs w:val="16"/>
              </w:rPr>
            </w:pPr>
            <w:r w:rsidRPr="000151BA">
              <w:rPr>
                <w:sz w:val="16"/>
                <w:szCs w:val="16"/>
              </w:rPr>
              <w:t>Country or regional focus</w:t>
            </w:r>
          </w:p>
        </w:tc>
        <w:tc>
          <w:tcPr>
            <w:tcW w:w="940" w:type="dxa"/>
          </w:tcPr>
          <w:p w14:paraId="2C94B1D1"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TTL</w:t>
            </w:r>
          </w:p>
        </w:tc>
        <w:tc>
          <w:tcPr>
            <w:tcW w:w="943" w:type="dxa"/>
          </w:tcPr>
          <w:p w14:paraId="5F765C97"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 xml:space="preserve">Grant Amount </w:t>
            </w:r>
          </w:p>
        </w:tc>
        <w:tc>
          <w:tcPr>
            <w:tcW w:w="812" w:type="dxa"/>
          </w:tcPr>
          <w:p w14:paraId="5ACAF980"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Fund Balance</w:t>
            </w:r>
          </w:p>
        </w:tc>
        <w:tc>
          <w:tcPr>
            <w:tcW w:w="954" w:type="dxa"/>
          </w:tcPr>
          <w:p w14:paraId="37D28BE0"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Transfers-In</w:t>
            </w:r>
          </w:p>
        </w:tc>
        <w:tc>
          <w:tcPr>
            <w:tcW w:w="1297" w:type="dxa"/>
          </w:tcPr>
          <w:p w14:paraId="234CEB31"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 xml:space="preserve">Disbursements </w:t>
            </w:r>
          </w:p>
        </w:tc>
        <w:tc>
          <w:tcPr>
            <w:tcW w:w="1243" w:type="dxa"/>
          </w:tcPr>
          <w:p w14:paraId="58E76FF8"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Commitments</w:t>
            </w:r>
          </w:p>
        </w:tc>
        <w:tc>
          <w:tcPr>
            <w:tcW w:w="920" w:type="dxa"/>
          </w:tcPr>
          <w:p w14:paraId="41BF6DA3"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 expensed</w:t>
            </w:r>
          </w:p>
        </w:tc>
        <w:tc>
          <w:tcPr>
            <w:tcW w:w="750" w:type="dxa"/>
          </w:tcPr>
          <w:p w14:paraId="67DDD94F"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Grant Closing Date</w:t>
            </w:r>
          </w:p>
        </w:tc>
      </w:tr>
      <w:tr w:rsidR="00CF4353" w:rsidRPr="000660F7" w14:paraId="416A5D07" w14:textId="77777777">
        <w:trPr>
          <w:trHeight w:val="664"/>
        </w:trPr>
        <w:tc>
          <w:tcPr>
            <w:cnfStyle w:val="001000000000" w:firstRow="0" w:lastRow="0" w:firstColumn="1" w:lastColumn="0" w:oddVBand="0" w:evenVBand="0" w:oddHBand="0" w:evenHBand="0" w:firstRowFirstColumn="0" w:firstRowLastColumn="0" w:lastRowFirstColumn="0" w:lastRowLastColumn="0"/>
            <w:tcW w:w="1089" w:type="dxa"/>
          </w:tcPr>
          <w:p w14:paraId="5D2493B4" w14:textId="77777777" w:rsidR="00CF4353" w:rsidRPr="000151BA" w:rsidRDefault="00CF4353" w:rsidP="001B449B">
            <w:pPr>
              <w:pStyle w:val="p1"/>
              <w:rPr>
                <w:sz w:val="16"/>
                <w:szCs w:val="16"/>
              </w:rPr>
            </w:pPr>
            <w:r w:rsidRPr="000151BA">
              <w:rPr>
                <w:sz w:val="16"/>
                <w:szCs w:val="16"/>
              </w:rPr>
              <w:t xml:space="preserve">India </w:t>
            </w:r>
          </w:p>
          <w:p w14:paraId="5F43599F" w14:textId="77777777" w:rsidR="00CF4353" w:rsidRPr="000151BA" w:rsidRDefault="00CF4353" w:rsidP="001B449B">
            <w:pPr>
              <w:pStyle w:val="p1"/>
              <w:rPr>
                <w:sz w:val="16"/>
                <w:szCs w:val="16"/>
              </w:rPr>
            </w:pPr>
          </w:p>
        </w:tc>
        <w:tc>
          <w:tcPr>
            <w:tcW w:w="940" w:type="dxa"/>
          </w:tcPr>
          <w:p w14:paraId="35D224EB"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 xml:space="preserve">Deepak Man </w:t>
            </w:r>
          </w:p>
          <w:p w14:paraId="59DF2462"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Singh Shrestha</w:t>
            </w:r>
          </w:p>
        </w:tc>
        <w:tc>
          <w:tcPr>
            <w:tcW w:w="943" w:type="dxa"/>
          </w:tcPr>
          <w:p w14:paraId="6083BBB6"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400,000</w:t>
            </w:r>
          </w:p>
          <w:p w14:paraId="38C5157A"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812" w:type="dxa"/>
          </w:tcPr>
          <w:p w14:paraId="7BD5B36C"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388,674</w:t>
            </w:r>
          </w:p>
          <w:p w14:paraId="505128B9"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954" w:type="dxa"/>
          </w:tcPr>
          <w:p w14:paraId="54943006"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400,000</w:t>
            </w:r>
          </w:p>
          <w:p w14:paraId="540348D2"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297" w:type="dxa"/>
          </w:tcPr>
          <w:p w14:paraId="1D0D76AF"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11,326</w:t>
            </w:r>
          </w:p>
          <w:p w14:paraId="288EDB9C"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243" w:type="dxa"/>
          </w:tcPr>
          <w:p w14:paraId="0B8BC6D1"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77,760</w:t>
            </w:r>
          </w:p>
          <w:p w14:paraId="0C56FCEC"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920" w:type="dxa"/>
          </w:tcPr>
          <w:p w14:paraId="003197AB"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22.3%</w:t>
            </w:r>
          </w:p>
          <w:p w14:paraId="09943BDD"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750" w:type="dxa"/>
          </w:tcPr>
          <w:p w14:paraId="16C93E5E"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May-19</w:t>
            </w:r>
          </w:p>
        </w:tc>
      </w:tr>
    </w:tbl>
    <w:p w14:paraId="287FABAD" w14:textId="77777777" w:rsidR="00CF4353" w:rsidRPr="000151BA" w:rsidRDefault="00CF4353" w:rsidP="001B449B">
      <w:pPr>
        <w:pStyle w:val="NormalWeb"/>
        <w:rPr>
          <w:sz w:val="22"/>
        </w:rPr>
      </w:pPr>
      <w:r w:rsidRPr="000151BA">
        <w:rPr>
          <w:sz w:val="22"/>
        </w:rPr>
        <w:t xml:space="preserve">Effectiveness: How has the project performed against its objectives to date? </w:t>
      </w:r>
    </w:p>
    <w:p w14:paraId="44E9CAA3" w14:textId="77777777" w:rsidR="00CF4353" w:rsidRPr="000151BA" w:rsidRDefault="00CF4353" w:rsidP="001B449B">
      <w:pPr>
        <w:pStyle w:val="NormalWeb"/>
        <w:numPr>
          <w:ilvl w:val="0"/>
          <w:numId w:val="37"/>
        </w:numPr>
        <w:rPr>
          <w:sz w:val="22"/>
        </w:rPr>
      </w:pPr>
      <w:r w:rsidRPr="000151BA">
        <w:rPr>
          <w:b/>
          <w:sz w:val="22"/>
        </w:rPr>
        <w:t>Objectives</w:t>
      </w:r>
      <w:r w:rsidRPr="000151BA">
        <w:rPr>
          <w:sz w:val="22"/>
        </w:rPr>
        <w:t>: the activities under the project cover products for effective guidance, capacity building and monitoring and reporting to (i) ensure compliance of Labour Welfare measures, (ii) minimize risks associated with human trafficking and (iii) assess impact of labour influx and its impact on local community and human trafficking</w:t>
      </w:r>
      <w:r w:rsidRPr="000151BA">
        <w:rPr>
          <w:rStyle w:val="FootnoteReference"/>
          <w:sz w:val="22"/>
        </w:rPr>
        <w:footnoteReference w:id="223"/>
      </w:r>
      <w:r w:rsidRPr="000151BA">
        <w:rPr>
          <w:sz w:val="22"/>
        </w:rPr>
        <w:t>.</w:t>
      </w:r>
    </w:p>
    <w:p w14:paraId="580FB14B" w14:textId="77777777" w:rsidR="00CF4353" w:rsidRPr="000151BA" w:rsidRDefault="00CF4353" w:rsidP="001B449B">
      <w:pPr>
        <w:pStyle w:val="ListParagraph"/>
        <w:numPr>
          <w:ilvl w:val="0"/>
          <w:numId w:val="35"/>
        </w:numPr>
        <w:rPr>
          <w:i/>
          <w:sz w:val="22"/>
        </w:rPr>
      </w:pPr>
      <w:r w:rsidRPr="000151BA">
        <w:rPr>
          <w:b/>
          <w:sz w:val="22"/>
        </w:rPr>
        <w:t>Outputs</w:t>
      </w:r>
      <w:r w:rsidRPr="000151BA">
        <w:rPr>
          <w:sz w:val="22"/>
        </w:rPr>
        <w:t>:  as reported in the 2017 annual update:</w:t>
      </w:r>
    </w:p>
    <w:p w14:paraId="6D118188" w14:textId="77777777" w:rsidR="00CF4353" w:rsidRPr="000151BA" w:rsidRDefault="00CF4353" w:rsidP="001B449B">
      <w:pPr>
        <w:pStyle w:val="ListParagraph"/>
        <w:numPr>
          <w:ilvl w:val="1"/>
          <w:numId w:val="38"/>
        </w:numPr>
        <w:rPr>
          <w:sz w:val="22"/>
        </w:rPr>
      </w:pPr>
      <w:r w:rsidRPr="000151BA">
        <w:rPr>
          <w:sz w:val="22"/>
        </w:rPr>
        <w:t xml:space="preserve">A round table discussion on ‘Trafficking in Persons- Addressing Women and Children’s from Enhanced Regional Connectivity’, was organised on 25th July, 2017 in New Delhi, which informed the scope of the assignment and development of terms of reference, deliverables/outputs for the study on risk related to Human Trafficking and Labour Influx. </w:t>
      </w:r>
    </w:p>
    <w:p w14:paraId="53A31ED7" w14:textId="77777777" w:rsidR="00CF4353" w:rsidRPr="000151BA" w:rsidRDefault="00CF4353" w:rsidP="001A78AF">
      <w:pPr>
        <w:pStyle w:val="ListParagraph"/>
        <w:numPr>
          <w:ilvl w:val="1"/>
          <w:numId w:val="38"/>
        </w:numPr>
        <w:rPr>
          <w:sz w:val="22"/>
        </w:rPr>
      </w:pPr>
      <w:r w:rsidRPr="000151BA">
        <w:rPr>
          <w:sz w:val="22"/>
        </w:rPr>
        <w:t xml:space="preserve">An inspection report describing the applicable labour laws and regulations, methodology and workplan was in preparation; </w:t>
      </w:r>
    </w:p>
    <w:p w14:paraId="33E2EF41" w14:textId="77777777" w:rsidR="00CF4353" w:rsidRPr="000151BA" w:rsidRDefault="00CF4353" w:rsidP="001A78AF">
      <w:pPr>
        <w:pStyle w:val="ListParagraph"/>
        <w:numPr>
          <w:ilvl w:val="1"/>
          <w:numId w:val="38"/>
        </w:numPr>
        <w:rPr>
          <w:sz w:val="22"/>
        </w:rPr>
      </w:pPr>
      <w:r w:rsidRPr="000151BA">
        <w:rPr>
          <w:sz w:val="22"/>
        </w:rPr>
        <w:t xml:space="preserve">Terms of Reference for the study on Human Trafficking were finalised and a consulting firm was being engaged to carry out the study. </w:t>
      </w:r>
    </w:p>
    <w:p w14:paraId="24015F97" w14:textId="77777777" w:rsidR="00CF4353" w:rsidRPr="000151BA" w:rsidRDefault="00CF4353" w:rsidP="001B449B">
      <w:pPr>
        <w:pStyle w:val="NormalWeb"/>
        <w:rPr>
          <w:sz w:val="22"/>
        </w:rPr>
      </w:pPr>
    </w:p>
    <w:p w14:paraId="63BCE890" w14:textId="77777777" w:rsidR="00CF4353" w:rsidRPr="000151BA" w:rsidRDefault="00CF4353" w:rsidP="001A78AF">
      <w:pPr>
        <w:pStyle w:val="NormalWeb"/>
        <w:rPr>
          <w:sz w:val="22"/>
        </w:rPr>
      </w:pPr>
      <w:r w:rsidRPr="000151BA">
        <w:rPr>
          <w:sz w:val="22"/>
        </w:rPr>
        <w:t>Efficiency: Is funding being used efficiently and what have been the factors affecting the WB’s disbursement rates?</w:t>
      </w:r>
    </w:p>
    <w:p w14:paraId="6132CBCE" w14:textId="77777777" w:rsidR="00CF4353" w:rsidRPr="000151BA" w:rsidRDefault="00CF4353" w:rsidP="000B5B50">
      <w:pPr>
        <w:pStyle w:val="NormalWeb"/>
        <w:rPr>
          <w:sz w:val="22"/>
        </w:rPr>
      </w:pPr>
      <w:r w:rsidRPr="000151BA">
        <w:rPr>
          <w:sz w:val="22"/>
        </w:rPr>
        <w:lastRenderedPageBreak/>
        <w:t xml:space="preserve">Project has been partially expensed due to early stages. No delays were anticipated in reporting for 2017. </w:t>
      </w:r>
    </w:p>
    <w:p w14:paraId="74C18276" w14:textId="77777777" w:rsidR="00CF4353" w:rsidRPr="000151BA" w:rsidRDefault="00CF4353" w:rsidP="000B5B50">
      <w:pPr>
        <w:pStyle w:val="NormalWeb"/>
        <w:rPr>
          <w:sz w:val="22"/>
        </w:rPr>
      </w:pPr>
      <w:r w:rsidRPr="000151BA">
        <w:rPr>
          <w:sz w:val="22"/>
        </w:rPr>
        <w:t>Relevance: How is this project relevant and appropriate in the current context and environment of Australia’s aid priorities?</w:t>
      </w:r>
    </w:p>
    <w:p w14:paraId="3EB6E6E6" w14:textId="77777777" w:rsidR="00CF4353" w:rsidRPr="000151BA" w:rsidRDefault="00CF4353" w:rsidP="00610CA9">
      <w:pPr>
        <w:pStyle w:val="NormalWeb"/>
        <w:rPr>
          <w:sz w:val="22"/>
        </w:rPr>
      </w:pPr>
      <w:r w:rsidRPr="000151BA">
        <w:rPr>
          <w:sz w:val="22"/>
        </w:rPr>
        <w:t xml:space="preserve">Project relates to known risks in trade facilitation and regional connectivity, especially related to women and children. </w:t>
      </w:r>
    </w:p>
    <w:p w14:paraId="09C4CD1D" w14:textId="77777777" w:rsidR="00CF4353" w:rsidRPr="000151BA" w:rsidRDefault="00CF4353" w:rsidP="00F311EB">
      <w:pPr>
        <w:pStyle w:val="NormalWeb"/>
        <w:rPr>
          <w:sz w:val="22"/>
        </w:rPr>
      </w:pPr>
    </w:p>
    <w:p w14:paraId="5DFD96EB" w14:textId="77777777" w:rsidR="00CF4353" w:rsidRPr="000151BA" w:rsidRDefault="00CF4353" w:rsidP="001B449B">
      <w:pPr>
        <w:rPr>
          <w:sz w:val="22"/>
        </w:rPr>
      </w:pPr>
      <w:r w:rsidRPr="000151BA">
        <w:rPr>
          <w:sz w:val="22"/>
        </w:rPr>
        <w:t>Ranked contribution to MTO</w:t>
      </w:r>
      <w:r w:rsidRPr="000151BA">
        <w:rPr>
          <w:rStyle w:val="FootnoteReference"/>
          <w:b/>
          <w:sz w:val="22"/>
        </w:rPr>
        <w:footnoteReference w:id="224"/>
      </w:r>
      <w:r w:rsidRPr="000151BA">
        <w:rPr>
          <w:sz w:val="22"/>
        </w:rPr>
        <w:t xml:space="preserve">:  </w:t>
      </w:r>
    </w:p>
    <w:tbl>
      <w:tblPr>
        <w:tblStyle w:val="TableGrid"/>
        <w:tblW w:w="8925" w:type="dxa"/>
        <w:tblLook w:val="04A0" w:firstRow="1" w:lastRow="0" w:firstColumn="1" w:lastColumn="0" w:noHBand="0" w:noVBand="1"/>
      </w:tblPr>
      <w:tblGrid>
        <w:gridCol w:w="988"/>
        <w:gridCol w:w="6520"/>
        <w:gridCol w:w="1417"/>
      </w:tblGrid>
      <w:tr w:rsidR="00CF4353" w:rsidRPr="00CA4951" w14:paraId="76DB2C55" w14:textId="77777777">
        <w:tc>
          <w:tcPr>
            <w:tcW w:w="988" w:type="dxa"/>
          </w:tcPr>
          <w:p w14:paraId="649396DA" w14:textId="77777777" w:rsidR="00CF4353" w:rsidRPr="000151BA" w:rsidRDefault="00CF4353">
            <w:pPr>
              <w:rPr>
                <w:sz w:val="22"/>
              </w:rPr>
            </w:pPr>
            <w:r w:rsidRPr="000151BA">
              <w:rPr>
                <w:sz w:val="22"/>
              </w:rPr>
              <w:t>MTOA</w:t>
            </w:r>
          </w:p>
        </w:tc>
        <w:tc>
          <w:tcPr>
            <w:tcW w:w="6520" w:type="dxa"/>
          </w:tcPr>
          <w:p w14:paraId="0D0F0F1A" w14:textId="77777777" w:rsidR="00CF4353" w:rsidRPr="000151BA" w:rsidRDefault="00CF4353">
            <w:pPr>
              <w:rPr>
                <w:b/>
                <w:sz w:val="22"/>
              </w:rPr>
            </w:pPr>
            <w:r w:rsidRPr="000151BA">
              <w:rPr>
                <w:sz w:val="22"/>
              </w:rPr>
              <w:t>Projects in trade facilitation, cross-border transport connectivity, and local economic opportunity financed by World Bank, DFAT and others, increasingly benefit women</w:t>
            </w:r>
          </w:p>
        </w:tc>
        <w:tc>
          <w:tcPr>
            <w:tcW w:w="1417" w:type="dxa"/>
          </w:tcPr>
          <w:p w14:paraId="15C30D1F" w14:textId="77777777" w:rsidR="00CF4353" w:rsidRPr="000151BA" w:rsidRDefault="00CF4353">
            <w:pPr>
              <w:rPr>
                <w:sz w:val="22"/>
              </w:rPr>
            </w:pPr>
            <w:r w:rsidRPr="000151BA">
              <w:rPr>
                <w:sz w:val="22"/>
              </w:rPr>
              <w:t>3</w:t>
            </w:r>
          </w:p>
        </w:tc>
      </w:tr>
      <w:tr w:rsidR="00CF4353" w:rsidRPr="00CA4951" w14:paraId="3AC1E6E2" w14:textId="77777777">
        <w:tc>
          <w:tcPr>
            <w:tcW w:w="988" w:type="dxa"/>
          </w:tcPr>
          <w:p w14:paraId="5140C36C" w14:textId="77777777" w:rsidR="00CF4353" w:rsidRPr="000151BA" w:rsidRDefault="00CF4353" w:rsidP="001A78AF">
            <w:pPr>
              <w:rPr>
                <w:sz w:val="22"/>
              </w:rPr>
            </w:pPr>
            <w:r w:rsidRPr="000151BA">
              <w:rPr>
                <w:sz w:val="22"/>
              </w:rPr>
              <w:t>MTOB</w:t>
            </w:r>
          </w:p>
        </w:tc>
        <w:tc>
          <w:tcPr>
            <w:tcW w:w="6520" w:type="dxa"/>
          </w:tcPr>
          <w:p w14:paraId="3C95DA87" w14:textId="77777777" w:rsidR="00CF4353" w:rsidRPr="000151BA" w:rsidRDefault="00CF4353" w:rsidP="001A78AF">
            <w:pPr>
              <w:rPr>
                <w:b/>
                <w:sz w:val="22"/>
              </w:rPr>
            </w:pPr>
            <w:r w:rsidRPr="000151BA">
              <w:rPr>
                <w:sz w:val="22"/>
              </w:rPr>
              <w:t>Governments in BBIN countries make complementary investments in trade facilitation, cross-border transport connectivity, and local economic opportunity that benefit women</w:t>
            </w:r>
          </w:p>
        </w:tc>
        <w:tc>
          <w:tcPr>
            <w:tcW w:w="1417" w:type="dxa"/>
          </w:tcPr>
          <w:p w14:paraId="5BED5425" w14:textId="77777777" w:rsidR="00CF4353" w:rsidRPr="000151BA" w:rsidRDefault="00CF4353" w:rsidP="000B5B50">
            <w:pPr>
              <w:rPr>
                <w:sz w:val="22"/>
              </w:rPr>
            </w:pPr>
            <w:r w:rsidRPr="000151BA">
              <w:rPr>
                <w:sz w:val="22"/>
              </w:rPr>
              <w:t>3</w:t>
            </w:r>
          </w:p>
        </w:tc>
      </w:tr>
      <w:tr w:rsidR="00CF4353" w:rsidRPr="00CA4951" w14:paraId="5664CEAC" w14:textId="77777777">
        <w:tc>
          <w:tcPr>
            <w:tcW w:w="988" w:type="dxa"/>
          </w:tcPr>
          <w:p w14:paraId="3BC344F8" w14:textId="77777777" w:rsidR="00CF4353" w:rsidRPr="000151BA" w:rsidRDefault="00CF4353" w:rsidP="001A78AF">
            <w:pPr>
              <w:rPr>
                <w:sz w:val="22"/>
              </w:rPr>
            </w:pPr>
            <w:r w:rsidRPr="000151BA">
              <w:rPr>
                <w:sz w:val="22"/>
              </w:rPr>
              <w:t>MTOC</w:t>
            </w:r>
          </w:p>
        </w:tc>
        <w:tc>
          <w:tcPr>
            <w:tcW w:w="6520" w:type="dxa"/>
          </w:tcPr>
          <w:p w14:paraId="4D39A1E7" w14:textId="77777777" w:rsidR="00CF4353" w:rsidRPr="000151BA" w:rsidRDefault="00CF4353" w:rsidP="001A78AF">
            <w:pPr>
              <w:rPr>
                <w:b/>
                <w:sz w:val="22"/>
              </w:rPr>
            </w:pPr>
            <w:r w:rsidRPr="000151BA">
              <w:rPr>
                <w:sz w:val="22"/>
              </w:rPr>
              <w:t>Governments in BBIN countries take regulatory and operational measures in trade facilitation, cross-border transport connectivity, and local economic opportunity that benefit women:</w:t>
            </w:r>
          </w:p>
        </w:tc>
        <w:tc>
          <w:tcPr>
            <w:tcW w:w="1417" w:type="dxa"/>
          </w:tcPr>
          <w:p w14:paraId="37050385" w14:textId="77777777" w:rsidR="00CF4353" w:rsidRPr="000151BA" w:rsidRDefault="00CF4353" w:rsidP="000B5B50">
            <w:pPr>
              <w:rPr>
                <w:sz w:val="22"/>
              </w:rPr>
            </w:pPr>
            <w:r w:rsidRPr="000151BA">
              <w:rPr>
                <w:sz w:val="22"/>
              </w:rPr>
              <w:t>X</w:t>
            </w:r>
          </w:p>
        </w:tc>
      </w:tr>
      <w:tr w:rsidR="00CF4353" w:rsidRPr="00CA4951" w14:paraId="4541610C" w14:textId="77777777">
        <w:tc>
          <w:tcPr>
            <w:tcW w:w="988" w:type="dxa"/>
          </w:tcPr>
          <w:p w14:paraId="74596FA7" w14:textId="77777777" w:rsidR="00CF4353" w:rsidRPr="000151BA" w:rsidRDefault="00CF4353" w:rsidP="001A78AF">
            <w:pPr>
              <w:rPr>
                <w:sz w:val="22"/>
              </w:rPr>
            </w:pPr>
            <w:r w:rsidRPr="000151BA">
              <w:rPr>
                <w:sz w:val="22"/>
              </w:rPr>
              <w:t>MTOD</w:t>
            </w:r>
          </w:p>
        </w:tc>
        <w:tc>
          <w:tcPr>
            <w:tcW w:w="6520" w:type="dxa"/>
          </w:tcPr>
          <w:p w14:paraId="261D4B56" w14:textId="77777777" w:rsidR="00CF4353" w:rsidRPr="000151BA" w:rsidRDefault="00CF4353" w:rsidP="001A78AF">
            <w:pPr>
              <w:rPr>
                <w:b/>
                <w:sz w:val="22"/>
              </w:rPr>
            </w:pPr>
            <w:r w:rsidRPr="000151BA">
              <w:rPr>
                <w:sz w:val="22"/>
              </w:rPr>
              <w:t>SARTFP contributes to producing and sharing knowledge on how trade facilitation, cross-border transport connectivity, and local economic opportunity can benefit women:</w:t>
            </w:r>
          </w:p>
        </w:tc>
        <w:tc>
          <w:tcPr>
            <w:tcW w:w="1417" w:type="dxa"/>
          </w:tcPr>
          <w:p w14:paraId="4CDFEAD9" w14:textId="77777777" w:rsidR="00CF4353" w:rsidRPr="000151BA" w:rsidRDefault="00CF4353" w:rsidP="000B5B50">
            <w:pPr>
              <w:rPr>
                <w:sz w:val="22"/>
              </w:rPr>
            </w:pPr>
            <w:r w:rsidRPr="000151BA">
              <w:rPr>
                <w:sz w:val="22"/>
              </w:rPr>
              <w:t>3</w:t>
            </w:r>
          </w:p>
        </w:tc>
      </w:tr>
      <w:tr w:rsidR="00CF4353" w:rsidRPr="00CA4951" w14:paraId="254363B5" w14:textId="77777777">
        <w:tc>
          <w:tcPr>
            <w:tcW w:w="988" w:type="dxa"/>
          </w:tcPr>
          <w:p w14:paraId="7834D782" w14:textId="77777777" w:rsidR="00CF4353" w:rsidRPr="000151BA" w:rsidRDefault="00CF4353" w:rsidP="001A78AF">
            <w:pPr>
              <w:rPr>
                <w:sz w:val="22"/>
              </w:rPr>
            </w:pPr>
            <w:r w:rsidRPr="000151BA">
              <w:rPr>
                <w:sz w:val="22"/>
              </w:rPr>
              <w:t>MTOE</w:t>
            </w:r>
          </w:p>
        </w:tc>
        <w:tc>
          <w:tcPr>
            <w:tcW w:w="6520" w:type="dxa"/>
          </w:tcPr>
          <w:p w14:paraId="1E3C8160" w14:textId="77777777" w:rsidR="00CF4353" w:rsidRPr="000151BA" w:rsidRDefault="00CF4353" w:rsidP="001A78AF">
            <w:pPr>
              <w:rPr>
                <w:b/>
                <w:sz w:val="22"/>
              </w:rPr>
            </w:pPr>
            <w:r w:rsidRPr="000151BA">
              <w:rPr>
                <w:sz w:val="22"/>
              </w:rPr>
              <w:t>There is improved economic opportunity and livelihood for the poor, especially women, in targeted value chains and corridors:</w:t>
            </w:r>
          </w:p>
        </w:tc>
        <w:tc>
          <w:tcPr>
            <w:tcW w:w="1417" w:type="dxa"/>
          </w:tcPr>
          <w:p w14:paraId="123C1020" w14:textId="77777777" w:rsidR="00CF4353" w:rsidRPr="000151BA" w:rsidRDefault="00CF4353" w:rsidP="000B5B50">
            <w:pPr>
              <w:rPr>
                <w:sz w:val="22"/>
              </w:rPr>
            </w:pPr>
            <w:r w:rsidRPr="000151BA">
              <w:rPr>
                <w:sz w:val="22"/>
              </w:rPr>
              <w:t>X</w:t>
            </w:r>
          </w:p>
        </w:tc>
      </w:tr>
    </w:tbl>
    <w:p w14:paraId="2554E68E" w14:textId="77777777" w:rsidR="00CF4353" w:rsidRPr="000151BA" w:rsidRDefault="00CF4353" w:rsidP="001B449B">
      <w:pPr>
        <w:pStyle w:val="NormalWeb"/>
        <w:rPr>
          <w:sz w:val="22"/>
        </w:rPr>
      </w:pPr>
      <w:r w:rsidRPr="000151BA">
        <w:rPr>
          <w:sz w:val="22"/>
        </w:rPr>
        <w:t>Gender Equality: Has this project made progress against objectives focused on advancing gender equality and women’s empowerment?</w:t>
      </w:r>
    </w:p>
    <w:p w14:paraId="451D9A38" w14:textId="77777777" w:rsidR="00CF4353" w:rsidRPr="000151BA" w:rsidRDefault="00CF4353" w:rsidP="001B449B">
      <w:pPr>
        <w:rPr>
          <w:sz w:val="22"/>
        </w:rPr>
      </w:pPr>
      <w:r w:rsidRPr="000151BA">
        <w:rPr>
          <w:sz w:val="22"/>
        </w:rPr>
        <w:t>This activity benefits women directly and indirectly, by ensuring compliance of labour welfare measures such as safety and security, maternity benefits, equal wages, etc.; minimi</w:t>
      </w:r>
      <w:r w:rsidR="00CA4951" w:rsidRPr="000151BA">
        <w:rPr>
          <w:sz w:val="22"/>
        </w:rPr>
        <w:t>s</w:t>
      </w:r>
      <w:r w:rsidRPr="000151BA">
        <w:rPr>
          <w:sz w:val="22"/>
        </w:rPr>
        <w:t>ing risks associated with trafficking of women and children; and assessing impact of labour influx and its impact on local community, particularly women and children</w:t>
      </w:r>
      <w:r w:rsidRPr="000151BA">
        <w:rPr>
          <w:rStyle w:val="FootnoteReference"/>
          <w:sz w:val="22"/>
        </w:rPr>
        <w:footnoteReference w:id="225"/>
      </w:r>
      <w:r w:rsidRPr="000151BA">
        <w:rPr>
          <w:sz w:val="22"/>
        </w:rPr>
        <w:t>.</w:t>
      </w:r>
    </w:p>
    <w:p w14:paraId="1BB23EDF" w14:textId="77777777" w:rsidR="00CF4353" w:rsidRDefault="00CF4353"/>
    <w:p w14:paraId="2022B367" w14:textId="77777777" w:rsidR="00CF4353" w:rsidRPr="000151BA" w:rsidRDefault="00CF4353" w:rsidP="001B449B">
      <w:pPr>
        <w:pStyle w:val="Heading3"/>
        <w:numPr>
          <w:ilvl w:val="0"/>
          <w:numId w:val="59"/>
        </w:numPr>
        <w:rPr>
          <w:sz w:val="22"/>
        </w:rPr>
      </w:pPr>
      <w:r w:rsidRPr="000151BA">
        <w:rPr>
          <w:sz w:val="22"/>
        </w:rPr>
        <w:t xml:space="preserve">Strengthening cross-border value chains and leveraging local development linkages in the Eastern region of South Asia*  </w:t>
      </w:r>
    </w:p>
    <w:tbl>
      <w:tblPr>
        <w:tblStyle w:val="GridTable1Light1"/>
        <w:tblW w:w="0" w:type="auto"/>
        <w:tblLook w:val="04A0" w:firstRow="1" w:lastRow="0" w:firstColumn="1" w:lastColumn="0" w:noHBand="0" w:noVBand="1"/>
      </w:tblPr>
      <w:tblGrid>
        <w:gridCol w:w="1083"/>
        <w:gridCol w:w="916"/>
        <w:gridCol w:w="920"/>
        <w:gridCol w:w="792"/>
        <w:gridCol w:w="931"/>
        <w:gridCol w:w="1259"/>
        <w:gridCol w:w="1207"/>
        <w:gridCol w:w="895"/>
        <w:gridCol w:w="730"/>
      </w:tblGrid>
      <w:tr w:rsidR="00CF4353" w:rsidRPr="00971CD1" w14:paraId="71BE70B2" w14:textId="77777777">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083" w:type="dxa"/>
          </w:tcPr>
          <w:p w14:paraId="6E492758" w14:textId="77777777" w:rsidR="00CF4353" w:rsidRPr="000151BA" w:rsidRDefault="00CF4353" w:rsidP="001B449B">
            <w:pPr>
              <w:pStyle w:val="p1"/>
              <w:rPr>
                <w:sz w:val="16"/>
                <w:szCs w:val="16"/>
              </w:rPr>
            </w:pPr>
            <w:r w:rsidRPr="000151BA">
              <w:rPr>
                <w:sz w:val="16"/>
                <w:szCs w:val="16"/>
              </w:rPr>
              <w:t>Country or regional focus</w:t>
            </w:r>
          </w:p>
        </w:tc>
        <w:tc>
          <w:tcPr>
            <w:tcW w:w="916" w:type="dxa"/>
          </w:tcPr>
          <w:p w14:paraId="07774C44"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TTL</w:t>
            </w:r>
          </w:p>
        </w:tc>
        <w:tc>
          <w:tcPr>
            <w:tcW w:w="920" w:type="dxa"/>
          </w:tcPr>
          <w:p w14:paraId="06B57265"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 xml:space="preserve">Grant Amount </w:t>
            </w:r>
          </w:p>
        </w:tc>
        <w:tc>
          <w:tcPr>
            <w:tcW w:w="792" w:type="dxa"/>
          </w:tcPr>
          <w:p w14:paraId="79F24E2D"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Fund Balance</w:t>
            </w:r>
          </w:p>
        </w:tc>
        <w:tc>
          <w:tcPr>
            <w:tcW w:w="931" w:type="dxa"/>
          </w:tcPr>
          <w:p w14:paraId="5FAE0B1B"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Transfers-In</w:t>
            </w:r>
          </w:p>
        </w:tc>
        <w:tc>
          <w:tcPr>
            <w:tcW w:w="1259" w:type="dxa"/>
          </w:tcPr>
          <w:p w14:paraId="32ED0744"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 xml:space="preserve">Disbursements </w:t>
            </w:r>
          </w:p>
        </w:tc>
        <w:tc>
          <w:tcPr>
            <w:tcW w:w="1207" w:type="dxa"/>
          </w:tcPr>
          <w:p w14:paraId="4A3C8A3A"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Commitments</w:t>
            </w:r>
          </w:p>
        </w:tc>
        <w:tc>
          <w:tcPr>
            <w:tcW w:w="895" w:type="dxa"/>
          </w:tcPr>
          <w:p w14:paraId="0F8FBAB3"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 expensed</w:t>
            </w:r>
          </w:p>
        </w:tc>
        <w:tc>
          <w:tcPr>
            <w:tcW w:w="730" w:type="dxa"/>
          </w:tcPr>
          <w:p w14:paraId="17FA2086"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Grant Closing Date</w:t>
            </w:r>
          </w:p>
        </w:tc>
      </w:tr>
      <w:tr w:rsidR="00CF4353" w:rsidRPr="000660F7" w14:paraId="6BC303AE" w14:textId="77777777">
        <w:trPr>
          <w:trHeight w:val="698"/>
        </w:trPr>
        <w:tc>
          <w:tcPr>
            <w:cnfStyle w:val="001000000000" w:firstRow="0" w:lastRow="0" w:firstColumn="1" w:lastColumn="0" w:oddVBand="0" w:evenVBand="0" w:oddHBand="0" w:evenHBand="0" w:firstRowFirstColumn="0" w:firstRowLastColumn="0" w:lastRowFirstColumn="0" w:lastRowLastColumn="0"/>
            <w:tcW w:w="1083" w:type="dxa"/>
          </w:tcPr>
          <w:p w14:paraId="31F64976" w14:textId="77777777" w:rsidR="00CF4353" w:rsidRPr="000151BA" w:rsidRDefault="00CF4353" w:rsidP="001B449B">
            <w:pPr>
              <w:pStyle w:val="p1"/>
              <w:rPr>
                <w:sz w:val="16"/>
                <w:szCs w:val="16"/>
              </w:rPr>
            </w:pPr>
            <w:r w:rsidRPr="000151BA">
              <w:rPr>
                <w:sz w:val="16"/>
                <w:szCs w:val="16"/>
              </w:rPr>
              <w:t xml:space="preserve">Bangladesh, Bhutan, India &amp; Nepal </w:t>
            </w:r>
          </w:p>
          <w:p w14:paraId="506D03D1" w14:textId="77777777" w:rsidR="00CF4353" w:rsidRPr="000151BA" w:rsidRDefault="00CF4353" w:rsidP="001B449B">
            <w:pPr>
              <w:pStyle w:val="p1"/>
              <w:rPr>
                <w:sz w:val="16"/>
                <w:szCs w:val="16"/>
              </w:rPr>
            </w:pPr>
          </w:p>
        </w:tc>
        <w:tc>
          <w:tcPr>
            <w:tcW w:w="916" w:type="dxa"/>
          </w:tcPr>
          <w:p w14:paraId="01383B80"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lastRenderedPageBreak/>
              <w:t>Sanjay Kathuria</w:t>
            </w:r>
          </w:p>
        </w:tc>
        <w:tc>
          <w:tcPr>
            <w:tcW w:w="920" w:type="dxa"/>
          </w:tcPr>
          <w:p w14:paraId="654F576B"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1,000,000</w:t>
            </w:r>
          </w:p>
          <w:p w14:paraId="2FD98D5F"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792" w:type="dxa"/>
          </w:tcPr>
          <w:p w14:paraId="48115139"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366,030</w:t>
            </w:r>
          </w:p>
          <w:p w14:paraId="5B65DE22"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931" w:type="dxa"/>
          </w:tcPr>
          <w:p w14:paraId="6E07A3CD"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1,000,000</w:t>
            </w:r>
          </w:p>
          <w:p w14:paraId="3623ED6E"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259" w:type="dxa"/>
          </w:tcPr>
          <w:p w14:paraId="1B58557A"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633,970</w:t>
            </w:r>
          </w:p>
          <w:p w14:paraId="26D3EBDC"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207" w:type="dxa"/>
          </w:tcPr>
          <w:p w14:paraId="2B0C15CA"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165,186</w:t>
            </w:r>
          </w:p>
          <w:p w14:paraId="09ACA913"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895" w:type="dxa"/>
          </w:tcPr>
          <w:p w14:paraId="3FDEE457"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79.9%</w:t>
            </w:r>
          </w:p>
          <w:p w14:paraId="64EABE69"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730" w:type="dxa"/>
          </w:tcPr>
          <w:p w14:paraId="1C97B610"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May-18</w:t>
            </w:r>
          </w:p>
          <w:p w14:paraId="03303738"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r>
    </w:tbl>
    <w:p w14:paraId="33712E17" w14:textId="77777777" w:rsidR="00CF4353" w:rsidRPr="000151BA" w:rsidRDefault="00CF4353" w:rsidP="001B449B">
      <w:pPr>
        <w:pStyle w:val="NormalWeb"/>
        <w:rPr>
          <w:sz w:val="22"/>
        </w:rPr>
      </w:pPr>
      <w:r w:rsidRPr="000151BA">
        <w:rPr>
          <w:sz w:val="22"/>
        </w:rPr>
        <w:t xml:space="preserve">Effectiveness: How has the project performed against its objectives to date? </w:t>
      </w:r>
    </w:p>
    <w:p w14:paraId="1801E6EC" w14:textId="77777777" w:rsidR="00CF4353" w:rsidRPr="000151BA" w:rsidRDefault="00CF4353" w:rsidP="001B449B">
      <w:pPr>
        <w:pStyle w:val="NormalWeb"/>
        <w:numPr>
          <w:ilvl w:val="0"/>
          <w:numId w:val="39"/>
        </w:numPr>
        <w:rPr>
          <w:sz w:val="22"/>
        </w:rPr>
      </w:pPr>
      <w:r w:rsidRPr="000151BA">
        <w:rPr>
          <w:b/>
          <w:sz w:val="22"/>
        </w:rPr>
        <w:t>Objectives</w:t>
      </w:r>
      <w:r w:rsidRPr="000151BA">
        <w:rPr>
          <w:sz w:val="22"/>
        </w:rPr>
        <w:t>: Create sustainable job opportunities for women and the bottom 40% of the population through the lens of five value chains</w:t>
      </w:r>
      <w:r w:rsidRPr="000151BA">
        <w:rPr>
          <w:rStyle w:val="FootnoteReference"/>
          <w:sz w:val="22"/>
        </w:rPr>
        <w:footnoteReference w:id="226"/>
      </w:r>
      <w:r w:rsidRPr="000151BA">
        <w:rPr>
          <w:sz w:val="22"/>
        </w:rPr>
        <w:t>.  The activity is geared towards fostering development of crossborder value chains between NEI and Bangladesh, including in activities that employ more women. This should provide greater employment opportunities, as well as higher-wage opportunities, for women on both sides of the border. The proposed work on border haats is aimed at enhanced functioning of a greater number of border haats, along with increased participation of women through design and location of haats, and policies.</w:t>
      </w:r>
    </w:p>
    <w:p w14:paraId="1C04B8EA" w14:textId="77777777" w:rsidR="00CF4353" w:rsidRPr="000151BA" w:rsidRDefault="00CF4353" w:rsidP="001A78AF">
      <w:pPr>
        <w:pStyle w:val="NormalWeb"/>
        <w:numPr>
          <w:ilvl w:val="0"/>
          <w:numId w:val="39"/>
        </w:numPr>
        <w:rPr>
          <w:sz w:val="22"/>
        </w:rPr>
      </w:pPr>
      <w:r w:rsidRPr="000151BA">
        <w:rPr>
          <w:b/>
          <w:sz w:val="22"/>
        </w:rPr>
        <w:t>Outputs</w:t>
      </w:r>
      <w:r w:rsidRPr="000151BA">
        <w:rPr>
          <w:sz w:val="22"/>
        </w:rPr>
        <w:t>: Full draft of the study completed by end-December 2017, will be reviewed within the World Bank in Q1 2018</w:t>
      </w:r>
      <w:r w:rsidRPr="000151BA">
        <w:rPr>
          <w:rStyle w:val="FootnoteReference"/>
          <w:sz w:val="22"/>
        </w:rPr>
        <w:footnoteReference w:id="227"/>
      </w:r>
      <w:r w:rsidRPr="000151BA">
        <w:rPr>
          <w:sz w:val="22"/>
        </w:rPr>
        <w:t>.</w:t>
      </w:r>
    </w:p>
    <w:p w14:paraId="7C369FED" w14:textId="77777777" w:rsidR="00CF4353" w:rsidRPr="000151BA" w:rsidRDefault="00CF4353" w:rsidP="001A78AF">
      <w:pPr>
        <w:pStyle w:val="NormalWeb"/>
        <w:numPr>
          <w:ilvl w:val="0"/>
          <w:numId w:val="39"/>
        </w:numPr>
        <w:rPr>
          <w:sz w:val="22"/>
        </w:rPr>
      </w:pPr>
      <w:r w:rsidRPr="000151BA">
        <w:rPr>
          <w:b/>
          <w:sz w:val="22"/>
        </w:rPr>
        <w:t>Outcomes</w:t>
      </w:r>
      <w:r w:rsidRPr="000151BA">
        <w:rPr>
          <w:sz w:val="22"/>
        </w:rPr>
        <w:t>: although not released yet, interviews with World Bank staff revealed interesting potential outcomes from this project, including changes to the way in which value chains are perceived</w:t>
      </w:r>
      <w:r w:rsidRPr="000151BA">
        <w:rPr>
          <w:rStyle w:val="FootnoteReference"/>
          <w:sz w:val="22"/>
        </w:rPr>
        <w:footnoteReference w:id="228"/>
      </w:r>
      <w:r w:rsidRPr="000151BA">
        <w:rPr>
          <w:sz w:val="22"/>
        </w:rPr>
        <w:t xml:space="preserve">. </w:t>
      </w:r>
    </w:p>
    <w:p w14:paraId="56A24CC5" w14:textId="77777777" w:rsidR="00CF4353" w:rsidRPr="000151BA" w:rsidRDefault="00CF4353" w:rsidP="001A78AF">
      <w:pPr>
        <w:pStyle w:val="NormalWeb"/>
        <w:rPr>
          <w:sz w:val="22"/>
        </w:rPr>
      </w:pPr>
      <w:r w:rsidRPr="000151BA">
        <w:rPr>
          <w:sz w:val="22"/>
        </w:rPr>
        <w:t>Efficiency: Is funding being used efficiently and what have been the factors affecting the WB’s disbursement rates?</w:t>
      </w:r>
    </w:p>
    <w:p w14:paraId="2B67FD35" w14:textId="77777777" w:rsidR="00CF4353" w:rsidRPr="000151BA" w:rsidRDefault="00CF4353" w:rsidP="000B5B50">
      <w:pPr>
        <w:pStyle w:val="NormalWeb"/>
        <w:rPr>
          <w:sz w:val="22"/>
        </w:rPr>
      </w:pPr>
      <w:r w:rsidRPr="000151BA">
        <w:rPr>
          <w:sz w:val="22"/>
        </w:rPr>
        <w:t xml:space="preserve">Activity has been expensed at 80%.  No issues were identified with regard to disbursement of project progress. </w:t>
      </w:r>
    </w:p>
    <w:p w14:paraId="4F699359" w14:textId="77777777" w:rsidR="00CF4353" w:rsidRPr="000151BA" w:rsidRDefault="00CF4353" w:rsidP="000B5B50">
      <w:pPr>
        <w:pStyle w:val="NormalWeb"/>
        <w:rPr>
          <w:sz w:val="22"/>
        </w:rPr>
      </w:pPr>
      <w:r w:rsidRPr="000151BA">
        <w:rPr>
          <w:sz w:val="22"/>
        </w:rPr>
        <w:t>Relevance: How is this project relevant and appropriate in the current context and environment of Australia’s aid priorities?</w:t>
      </w:r>
    </w:p>
    <w:p w14:paraId="2046A6E9" w14:textId="77777777" w:rsidR="00CF4353" w:rsidRPr="000151BA" w:rsidRDefault="00CF4353" w:rsidP="00610CA9">
      <w:pPr>
        <w:pStyle w:val="NormalWeb"/>
        <w:rPr>
          <w:sz w:val="22"/>
        </w:rPr>
      </w:pPr>
      <w:r w:rsidRPr="000151BA">
        <w:rPr>
          <w:sz w:val="22"/>
        </w:rPr>
        <w:t xml:space="preserve">The project is related to trade facilitation and regional integration, as well as cross-cutting gender priorities. </w:t>
      </w:r>
    </w:p>
    <w:p w14:paraId="517DE97F" w14:textId="77777777" w:rsidR="00CF4353" w:rsidRPr="000151BA" w:rsidRDefault="00CF4353" w:rsidP="001B449B">
      <w:pPr>
        <w:rPr>
          <w:sz w:val="22"/>
        </w:rPr>
      </w:pPr>
      <w:r w:rsidRPr="000151BA">
        <w:rPr>
          <w:sz w:val="22"/>
        </w:rPr>
        <w:t>Ranked contribution to MTO</w:t>
      </w:r>
      <w:r w:rsidRPr="000151BA">
        <w:rPr>
          <w:rStyle w:val="FootnoteReference"/>
          <w:b/>
          <w:sz w:val="22"/>
        </w:rPr>
        <w:footnoteReference w:id="229"/>
      </w:r>
      <w:r w:rsidRPr="000151BA">
        <w:rPr>
          <w:sz w:val="22"/>
        </w:rPr>
        <w:t xml:space="preserve">:  </w:t>
      </w:r>
    </w:p>
    <w:tbl>
      <w:tblPr>
        <w:tblStyle w:val="TableGrid"/>
        <w:tblW w:w="8925" w:type="dxa"/>
        <w:tblLook w:val="04A0" w:firstRow="1" w:lastRow="0" w:firstColumn="1" w:lastColumn="0" w:noHBand="0" w:noVBand="1"/>
      </w:tblPr>
      <w:tblGrid>
        <w:gridCol w:w="988"/>
        <w:gridCol w:w="6520"/>
        <w:gridCol w:w="1417"/>
      </w:tblGrid>
      <w:tr w:rsidR="00CF4353" w:rsidRPr="00CA4951" w14:paraId="65851B2A" w14:textId="77777777">
        <w:tc>
          <w:tcPr>
            <w:tcW w:w="988" w:type="dxa"/>
          </w:tcPr>
          <w:p w14:paraId="66739775" w14:textId="77777777" w:rsidR="00CF4353" w:rsidRPr="000151BA" w:rsidRDefault="00CF4353">
            <w:pPr>
              <w:rPr>
                <w:sz w:val="22"/>
              </w:rPr>
            </w:pPr>
            <w:r w:rsidRPr="000151BA">
              <w:rPr>
                <w:sz w:val="22"/>
              </w:rPr>
              <w:t>MTOA</w:t>
            </w:r>
          </w:p>
        </w:tc>
        <w:tc>
          <w:tcPr>
            <w:tcW w:w="6520" w:type="dxa"/>
          </w:tcPr>
          <w:p w14:paraId="7B865A0A" w14:textId="77777777" w:rsidR="00CF4353" w:rsidRPr="000151BA" w:rsidRDefault="00CF4353">
            <w:pPr>
              <w:rPr>
                <w:b/>
                <w:sz w:val="22"/>
              </w:rPr>
            </w:pPr>
            <w:r w:rsidRPr="000151BA">
              <w:rPr>
                <w:sz w:val="22"/>
              </w:rPr>
              <w:t>Projects in trade facilitation, cross-border transport connectivity, and local economic opportunity financed by World Bank, DFAT and others, increasingly benefit women</w:t>
            </w:r>
          </w:p>
        </w:tc>
        <w:tc>
          <w:tcPr>
            <w:tcW w:w="1417" w:type="dxa"/>
          </w:tcPr>
          <w:p w14:paraId="6C39191B" w14:textId="77777777" w:rsidR="00CF4353" w:rsidRPr="000151BA" w:rsidRDefault="00CF4353">
            <w:pPr>
              <w:rPr>
                <w:sz w:val="22"/>
              </w:rPr>
            </w:pPr>
          </w:p>
        </w:tc>
      </w:tr>
      <w:tr w:rsidR="00CF4353" w:rsidRPr="00CA4951" w14:paraId="7A7728A4" w14:textId="77777777">
        <w:tc>
          <w:tcPr>
            <w:tcW w:w="988" w:type="dxa"/>
          </w:tcPr>
          <w:p w14:paraId="3E700BED" w14:textId="77777777" w:rsidR="00CF4353" w:rsidRPr="000151BA" w:rsidRDefault="00CF4353" w:rsidP="001A78AF">
            <w:pPr>
              <w:rPr>
                <w:sz w:val="22"/>
              </w:rPr>
            </w:pPr>
            <w:r w:rsidRPr="000151BA">
              <w:rPr>
                <w:sz w:val="22"/>
              </w:rPr>
              <w:t>MTOB</w:t>
            </w:r>
          </w:p>
        </w:tc>
        <w:tc>
          <w:tcPr>
            <w:tcW w:w="6520" w:type="dxa"/>
          </w:tcPr>
          <w:p w14:paraId="6B864BA0" w14:textId="77777777" w:rsidR="00CF4353" w:rsidRPr="000151BA" w:rsidRDefault="00CF4353" w:rsidP="001A78AF">
            <w:pPr>
              <w:rPr>
                <w:b/>
                <w:sz w:val="22"/>
              </w:rPr>
            </w:pPr>
            <w:r w:rsidRPr="000151BA">
              <w:rPr>
                <w:sz w:val="22"/>
              </w:rPr>
              <w:t>Governments in BBIN countries make complementary investments in trade facilitation, cross-border transport connectivity, and local economic opportunity that benefit women</w:t>
            </w:r>
          </w:p>
        </w:tc>
        <w:tc>
          <w:tcPr>
            <w:tcW w:w="1417" w:type="dxa"/>
          </w:tcPr>
          <w:p w14:paraId="1A1032BC" w14:textId="77777777" w:rsidR="00CF4353" w:rsidRPr="000151BA" w:rsidRDefault="00CF4353" w:rsidP="000B5B50">
            <w:pPr>
              <w:rPr>
                <w:sz w:val="22"/>
              </w:rPr>
            </w:pPr>
            <w:r w:rsidRPr="000151BA">
              <w:rPr>
                <w:sz w:val="22"/>
              </w:rPr>
              <w:t>2</w:t>
            </w:r>
          </w:p>
        </w:tc>
      </w:tr>
      <w:tr w:rsidR="00CF4353" w:rsidRPr="00CA4951" w14:paraId="33996328" w14:textId="77777777">
        <w:tc>
          <w:tcPr>
            <w:tcW w:w="988" w:type="dxa"/>
          </w:tcPr>
          <w:p w14:paraId="485F0D52" w14:textId="77777777" w:rsidR="00CF4353" w:rsidRPr="000151BA" w:rsidRDefault="00CF4353" w:rsidP="001A78AF">
            <w:pPr>
              <w:rPr>
                <w:sz w:val="22"/>
              </w:rPr>
            </w:pPr>
            <w:r w:rsidRPr="000151BA">
              <w:rPr>
                <w:sz w:val="22"/>
              </w:rPr>
              <w:t>MTOC</w:t>
            </w:r>
          </w:p>
        </w:tc>
        <w:tc>
          <w:tcPr>
            <w:tcW w:w="6520" w:type="dxa"/>
          </w:tcPr>
          <w:p w14:paraId="018ED271" w14:textId="77777777" w:rsidR="00CF4353" w:rsidRPr="000151BA" w:rsidRDefault="00CF4353" w:rsidP="001A78AF">
            <w:pPr>
              <w:rPr>
                <w:b/>
                <w:sz w:val="22"/>
              </w:rPr>
            </w:pPr>
            <w:r w:rsidRPr="000151BA">
              <w:rPr>
                <w:sz w:val="22"/>
              </w:rPr>
              <w:t>Governments in BBIN countries take regulatory and operational measures in trade facilitation, cross-border transport connectivity, and local economic opportunity that benefit women:</w:t>
            </w:r>
          </w:p>
        </w:tc>
        <w:tc>
          <w:tcPr>
            <w:tcW w:w="1417" w:type="dxa"/>
          </w:tcPr>
          <w:p w14:paraId="5F2BEFBF" w14:textId="77777777" w:rsidR="00CF4353" w:rsidRPr="000151BA" w:rsidRDefault="00CF4353" w:rsidP="000B5B50">
            <w:pPr>
              <w:rPr>
                <w:sz w:val="22"/>
              </w:rPr>
            </w:pPr>
          </w:p>
        </w:tc>
      </w:tr>
      <w:tr w:rsidR="00CF4353" w:rsidRPr="00CA4951" w14:paraId="67443DFC" w14:textId="77777777">
        <w:tc>
          <w:tcPr>
            <w:tcW w:w="988" w:type="dxa"/>
          </w:tcPr>
          <w:p w14:paraId="1E7DC2A3" w14:textId="77777777" w:rsidR="00CF4353" w:rsidRPr="000151BA" w:rsidRDefault="00CF4353" w:rsidP="001A78AF">
            <w:pPr>
              <w:rPr>
                <w:sz w:val="22"/>
              </w:rPr>
            </w:pPr>
            <w:r w:rsidRPr="000151BA">
              <w:rPr>
                <w:sz w:val="22"/>
              </w:rPr>
              <w:lastRenderedPageBreak/>
              <w:t>MTOD</w:t>
            </w:r>
          </w:p>
        </w:tc>
        <w:tc>
          <w:tcPr>
            <w:tcW w:w="6520" w:type="dxa"/>
          </w:tcPr>
          <w:p w14:paraId="59A0972B" w14:textId="77777777" w:rsidR="00CF4353" w:rsidRPr="000151BA" w:rsidRDefault="00CF4353" w:rsidP="001A78AF">
            <w:pPr>
              <w:rPr>
                <w:b/>
                <w:sz w:val="22"/>
              </w:rPr>
            </w:pPr>
            <w:r w:rsidRPr="000151BA">
              <w:rPr>
                <w:sz w:val="22"/>
              </w:rPr>
              <w:t>SARTFP contributes to producing and sharing knowledge on how trade facilitation, cross-border transport connectivity, and local economic opportunity can benefit women:</w:t>
            </w:r>
          </w:p>
        </w:tc>
        <w:tc>
          <w:tcPr>
            <w:tcW w:w="1417" w:type="dxa"/>
          </w:tcPr>
          <w:p w14:paraId="00D4300E" w14:textId="77777777" w:rsidR="00CF4353" w:rsidRPr="000151BA" w:rsidRDefault="00CF4353" w:rsidP="000B5B50">
            <w:pPr>
              <w:rPr>
                <w:sz w:val="22"/>
              </w:rPr>
            </w:pPr>
          </w:p>
        </w:tc>
      </w:tr>
      <w:tr w:rsidR="00CF4353" w:rsidRPr="00CA4951" w14:paraId="236CF58B" w14:textId="77777777">
        <w:tc>
          <w:tcPr>
            <w:tcW w:w="988" w:type="dxa"/>
          </w:tcPr>
          <w:p w14:paraId="400ACF87" w14:textId="77777777" w:rsidR="00CF4353" w:rsidRPr="000151BA" w:rsidRDefault="00CF4353" w:rsidP="001A78AF">
            <w:pPr>
              <w:rPr>
                <w:sz w:val="22"/>
              </w:rPr>
            </w:pPr>
            <w:r w:rsidRPr="000151BA">
              <w:rPr>
                <w:sz w:val="22"/>
              </w:rPr>
              <w:t>MTOE</w:t>
            </w:r>
          </w:p>
        </w:tc>
        <w:tc>
          <w:tcPr>
            <w:tcW w:w="6520" w:type="dxa"/>
          </w:tcPr>
          <w:p w14:paraId="79C85152" w14:textId="77777777" w:rsidR="00CF4353" w:rsidRPr="000151BA" w:rsidRDefault="00CF4353" w:rsidP="001A78AF">
            <w:pPr>
              <w:rPr>
                <w:b/>
                <w:sz w:val="22"/>
              </w:rPr>
            </w:pPr>
            <w:r w:rsidRPr="000151BA">
              <w:rPr>
                <w:sz w:val="22"/>
              </w:rPr>
              <w:t>There is improved economic opportunity and livelihood for the poor, especially women, in targeted value chains and corridors:</w:t>
            </w:r>
          </w:p>
        </w:tc>
        <w:tc>
          <w:tcPr>
            <w:tcW w:w="1417" w:type="dxa"/>
          </w:tcPr>
          <w:p w14:paraId="14E4AA7B" w14:textId="77777777" w:rsidR="00CF4353" w:rsidRPr="000151BA" w:rsidRDefault="00CF4353" w:rsidP="000B5B50">
            <w:pPr>
              <w:rPr>
                <w:sz w:val="22"/>
              </w:rPr>
            </w:pPr>
          </w:p>
        </w:tc>
      </w:tr>
    </w:tbl>
    <w:p w14:paraId="2614AC91" w14:textId="77777777" w:rsidR="00CF4353" w:rsidRPr="000151BA" w:rsidRDefault="00CF4353" w:rsidP="001B449B">
      <w:pPr>
        <w:pStyle w:val="NormalWeb"/>
        <w:rPr>
          <w:sz w:val="22"/>
        </w:rPr>
      </w:pPr>
      <w:r w:rsidRPr="000151BA">
        <w:rPr>
          <w:sz w:val="22"/>
        </w:rPr>
        <w:t>Gender Equality: Has this project made progress against objectives focused on advancing gender equality and women’s empowerment?</w:t>
      </w:r>
    </w:p>
    <w:p w14:paraId="022CECB4" w14:textId="77777777" w:rsidR="00CF4353" w:rsidRPr="000151BA" w:rsidRDefault="00CF4353" w:rsidP="001B449B">
      <w:pPr>
        <w:rPr>
          <w:sz w:val="22"/>
        </w:rPr>
      </w:pPr>
      <w:r w:rsidRPr="000151BA">
        <w:rPr>
          <w:sz w:val="22"/>
        </w:rPr>
        <w:t>Project is designed to identify inclusive strategies to create sustainable job opportunities for women and the bottom 40% of the population through the lens of value chains.  Interviews revealed an interesting range of findings relevant to future gender programming from the study (yet to be released at the time of interview)</w:t>
      </w:r>
      <w:r w:rsidRPr="000151BA">
        <w:rPr>
          <w:rStyle w:val="FootnoteReference"/>
          <w:sz w:val="22"/>
        </w:rPr>
        <w:footnoteReference w:id="230"/>
      </w:r>
      <w:r w:rsidRPr="000151BA">
        <w:rPr>
          <w:sz w:val="22"/>
        </w:rPr>
        <w:t xml:space="preserve">.  </w:t>
      </w:r>
    </w:p>
    <w:p w14:paraId="10816772" w14:textId="77777777" w:rsidR="00CF4353" w:rsidRDefault="00CF4353"/>
    <w:p w14:paraId="4F6A40C7" w14:textId="77777777" w:rsidR="00CF4353" w:rsidRPr="000151BA" w:rsidRDefault="00CF4353" w:rsidP="001B449B">
      <w:pPr>
        <w:pStyle w:val="Heading3"/>
        <w:numPr>
          <w:ilvl w:val="0"/>
          <w:numId w:val="59"/>
        </w:numPr>
        <w:rPr>
          <w:sz w:val="22"/>
        </w:rPr>
      </w:pPr>
      <w:r w:rsidRPr="000151BA">
        <w:rPr>
          <w:sz w:val="22"/>
        </w:rPr>
        <w:t>Advancing Women’s Enterprises for Economic Impact in the farm/nonfarm value chain and regional trade</w:t>
      </w:r>
    </w:p>
    <w:tbl>
      <w:tblPr>
        <w:tblStyle w:val="GridTable1Light1"/>
        <w:tblW w:w="0" w:type="auto"/>
        <w:tblLook w:val="04A0" w:firstRow="1" w:lastRow="0" w:firstColumn="1" w:lastColumn="0" w:noHBand="0" w:noVBand="1"/>
      </w:tblPr>
      <w:tblGrid>
        <w:gridCol w:w="1093"/>
        <w:gridCol w:w="925"/>
        <w:gridCol w:w="929"/>
        <w:gridCol w:w="800"/>
        <w:gridCol w:w="940"/>
        <w:gridCol w:w="1271"/>
        <w:gridCol w:w="1218"/>
        <w:gridCol w:w="903"/>
        <w:gridCol w:w="737"/>
      </w:tblGrid>
      <w:tr w:rsidR="00CF4353" w:rsidRPr="00CA4951" w14:paraId="60EA025C" w14:textId="77777777">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093" w:type="dxa"/>
          </w:tcPr>
          <w:p w14:paraId="3A440442" w14:textId="77777777" w:rsidR="00CF4353" w:rsidRPr="000151BA" w:rsidRDefault="00CF4353" w:rsidP="001B449B">
            <w:pPr>
              <w:pStyle w:val="p1"/>
              <w:rPr>
                <w:sz w:val="16"/>
                <w:szCs w:val="16"/>
              </w:rPr>
            </w:pPr>
            <w:r w:rsidRPr="000151BA">
              <w:rPr>
                <w:sz w:val="16"/>
                <w:szCs w:val="16"/>
              </w:rPr>
              <w:t>Country or regional focus</w:t>
            </w:r>
          </w:p>
        </w:tc>
        <w:tc>
          <w:tcPr>
            <w:tcW w:w="925" w:type="dxa"/>
          </w:tcPr>
          <w:p w14:paraId="5E643C61"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TTL</w:t>
            </w:r>
          </w:p>
        </w:tc>
        <w:tc>
          <w:tcPr>
            <w:tcW w:w="929" w:type="dxa"/>
          </w:tcPr>
          <w:p w14:paraId="466D3E5D"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 xml:space="preserve">Grant Amount </w:t>
            </w:r>
          </w:p>
        </w:tc>
        <w:tc>
          <w:tcPr>
            <w:tcW w:w="800" w:type="dxa"/>
          </w:tcPr>
          <w:p w14:paraId="67FE498E"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Fund Balance</w:t>
            </w:r>
          </w:p>
        </w:tc>
        <w:tc>
          <w:tcPr>
            <w:tcW w:w="940" w:type="dxa"/>
          </w:tcPr>
          <w:p w14:paraId="2158A946"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Transfers-In</w:t>
            </w:r>
          </w:p>
        </w:tc>
        <w:tc>
          <w:tcPr>
            <w:tcW w:w="1271" w:type="dxa"/>
          </w:tcPr>
          <w:p w14:paraId="6162B05A"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 xml:space="preserve">Disbursements </w:t>
            </w:r>
          </w:p>
        </w:tc>
        <w:tc>
          <w:tcPr>
            <w:tcW w:w="1218" w:type="dxa"/>
          </w:tcPr>
          <w:p w14:paraId="2214694E"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Commitments</w:t>
            </w:r>
          </w:p>
        </w:tc>
        <w:tc>
          <w:tcPr>
            <w:tcW w:w="903" w:type="dxa"/>
          </w:tcPr>
          <w:p w14:paraId="04188B70"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 expensed</w:t>
            </w:r>
          </w:p>
        </w:tc>
        <w:tc>
          <w:tcPr>
            <w:tcW w:w="737" w:type="dxa"/>
          </w:tcPr>
          <w:p w14:paraId="3CAA00B5"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Grant Closing Date</w:t>
            </w:r>
          </w:p>
        </w:tc>
      </w:tr>
      <w:tr w:rsidR="00CF4353" w:rsidRPr="00CA4951" w14:paraId="4049127A" w14:textId="77777777">
        <w:trPr>
          <w:trHeight w:val="732"/>
        </w:trPr>
        <w:tc>
          <w:tcPr>
            <w:cnfStyle w:val="001000000000" w:firstRow="0" w:lastRow="0" w:firstColumn="1" w:lastColumn="0" w:oddVBand="0" w:evenVBand="0" w:oddHBand="0" w:evenHBand="0" w:firstRowFirstColumn="0" w:firstRowLastColumn="0" w:lastRowFirstColumn="0" w:lastRowLastColumn="0"/>
            <w:tcW w:w="1093" w:type="dxa"/>
          </w:tcPr>
          <w:p w14:paraId="0C695EC3" w14:textId="77777777" w:rsidR="00CF4353" w:rsidRPr="000151BA" w:rsidRDefault="00CF4353" w:rsidP="001B449B">
            <w:pPr>
              <w:pStyle w:val="p1"/>
              <w:rPr>
                <w:sz w:val="16"/>
                <w:szCs w:val="16"/>
              </w:rPr>
            </w:pPr>
            <w:r w:rsidRPr="000151BA">
              <w:rPr>
                <w:sz w:val="16"/>
                <w:szCs w:val="16"/>
              </w:rPr>
              <w:t xml:space="preserve">Bangladesh, Bhutan &amp; Nepal </w:t>
            </w:r>
          </w:p>
          <w:p w14:paraId="4165226D" w14:textId="77777777" w:rsidR="00CF4353" w:rsidRPr="000151BA" w:rsidRDefault="00CF4353" w:rsidP="001B449B">
            <w:pPr>
              <w:pStyle w:val="p1"/>
              <w:rPr>
                <w:sz w:val="16"/>
                <w:szCs w:val="16"/>
              </w:rPr>
            </w:pPr>
          </w:p>
        </w:tc>
        <w:tc>
          <w:tcPr>
            <w:tcW w:w="925" w:type="dxa"/>
          </w:tcPr>
          <w:p w14:paraId="5FE6834A" w14:textId="77777777" w:rsidR="00CF4353" w:rsidRPr="000151BA" w:rsidRDefault="00CF4353">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 xml:space="preserve">Priti Kumar and Bremala Nathan </w:t>
            </w:r>
          </w:p>
        </w:tc>
        <w:tc>
          <w:tcPr>
            <w:tcW w:w="929" w:type="dxa"/>
          </w:tcPr>
          <w:p w14:paraId="2947A9F7"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700,000</w:t>
            </w:r>
          </w:p>
          <w:p w14:paraId="3D503AC7"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800" w:type="dxa"/>
          </w:tcPr>
          <w:p w14:paraId="49EBBA29"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390,409</w:t>
            </w:r>
          </w:p>
          <w:p w14:paraId="735196E0"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940" w:type="dxa"/>
          </w:tcPr>
          <w:p w14:paraId="1C16035E"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700,000</w:t>
            </w:r>
          </w:p>
          <w:p w14:paraId="138BE785"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271" w:type="dxa"/>
          </w:tcPr>
          <w:p w14:paraId="793D9FE5"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309,591</w:t>
            </w:r>
          </w:p>
          <w:p w14:paraId="4C2C1870"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218" w:type="dxa"/>
          </w:tcPr>
          <w:p w14:paraId="52B27174"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107,110</w:t>
            </w:r>
          </w:p>
          <w:p w14:paraId="22B75725"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903" w:type="dxa"/>
          </w:tcPr>
          <w:p w14:paraId="6E96DE69"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59.5%</w:t>
            </w:r>
          </w:p>
          <w:p w14:paraId="2CDF5649"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737" w:type="dxa"/>
          </w:tcPr>
          <w:p w14:paraId="0EFDF6FA"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June-18</w:t>
            </w:r>
          </w:p>
          <w:p w14:paraId="3FF8A119"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r>
    </w:tbl>
    <w:p w14:paraId="4E56965B" w14:textId="77777777" w:rsidR="00CF4353" w:rsidRPr="000151BA" w:rsidRDefault="00CF4353" w:rsidP="001B449B">
      <w:pPr>
        <w:pStyle w:val="NormalWeb"/>
        <w:rPr>
          <w:sz w:val="22"/>
        </w:rPr>
      </w:pPr>
      <w:r w:rsidRPr="000151BA">
        <w:rPr>
          <w:sz w:val="22"/>
        </w:rPr>
        <w:t xml:space="preserve">Effectiveness: How has the project performed against its objectives to date? </w:t>
      </w:r>
    </w:p>
    <w:p w14:paraId="6AD2F833" w14:textId="77777777" w:rsidR="00CF4353" w:rsidRPr="000151BA" w:rsidRDefault="00CF4353" w:rsidP="001B449B">
      <w:pPr>
        <w:pStyle w:val="NormalWeb"/>
        <w:numPr>
          <w:ilvl w:val="0"/>
          <w:numId w:val="40"/>
        </w:numPr>
        <w:rPr>
          <w:sz w:val="22"/>
        </w:rPr>
      </w:pPr>
      <w:r w:rsidRPr="000151BA">
        <w:rPr>
          <w:b/>
          <w:sz w:val="22"/>
        </w:rPr>
        <w:t>Objectives</w:t>
      </w:r>
      <w:r w:rsidRPr="000151BA">
        <w:rPr>
          <w:sz w:val="22"/>
        </w:rPr>
        <w:t>: The activities supported by this grant are (1) advocacy for national policies and programs that support women; (2) identifying and supporting value chains that can be developed to the benefit of women</w:t>
      </w:r>
      <w:r w:rsidRPr="000151BA">
        <w:rPr>
          <w:rStyle w:val="FootnoteReference"/>
          <w:sz w:val="22"/>
        </w:rPr>
        <w:footnoteReference w:id="231"/>
      </w:r>
      <w:r w:rsidRPr="000151BA">
        <w:rPr>
          <w:sz w:val="22"/>
        </w:rPr>
        <w:t>.</w:t>
      </w:r>
    </w:p>
    <w:p w14:paraId="3A889FE2" w14:textId="77777777" w:rsidR="00CF4353" w:rsidRPr="000151BA" w:rsidRDefault="00CF4353" w:rsidP="001A78AF">
      <w:pPr>
        <w:pStyle w:val="NormalWeb"/>
        <w:numPr>
          <w:ilvl w:val="0"/>
          <w:numId w:val="40"/>
        </w:numPr>
        <w:rPr>
          <w:sz w:val="22"/>
        </w:rPr>
      </w:pPr>
      <w:r w:rsidRPr="000151BA">
        <w:rPr>
          <w:sz w:val="22"/>
        </w:rPr>
        <w:t>Outputs:</w:t>
      </w:r>
    </w:p>
    <w:p w14:paraId="266A758C" w14:textId="77777777" w:rsidR="00CF4353" w:rsidRPr="000151BA" w:rsidRDefault="00CF4353" w:rsidP="001B449B">
      <w:pPr>
        <w:pStyle w:val="ListParagraph"/>
        <w:numPr>
          <w:ilvl w:val="1"/>
          <w:numId w:val="40"/>
        </w:numPr>
        <w:rPr>
          <w:sz w:val="22"/>
        </w:rPr>
      </w:pPr>
      <w:r w:rsidRPr="000151BA">
        <w:rPr>
          <w:sz w:val="22"/>
        </w:rPr>
        <w:t>A strategy workshop was held in October 2016 at</w:t>
      </w:r>
      <w:r w:rsidRPr="000151BA">
        <w:rPr>
          <w:b/>
          <w:sz w:val="22"/>
        </w:rPr>
        <w:t xml:space="preserve"> </w:t>
      </w:r>
      <w:r w:rsidRPr="000151BA">
        <w:rPr>
          <w:sz w:val="22"/>
        </w:rPr>
        <w:t xml:space="preserve">the South Asian Women’s Development Forum (SAWDF) in October 2016 to develop </w:t>
      </w:r>
    </w:p>
    <w:p w14:paraId="5D2C4A88" w14:textId="77777777" w:rsidR="00CF4353" w:rsidRPr="000151BA" w:rsidRDefault="00CF4353" w:rsidP="001A78AF">
      <w:pPr>
        <w:pStyle w:val="ListParagraph"/>
        <w:numPr>
          <w:ilvl w:val="1"/>
          <w:numId w:val="40"/>
        </w:numPr>
        <w:rPr>
          <w:sz w:val="22"/>
        </w:rPr>
      </w:pPr>
      <w:r w:rsidRPr="000151BA">
        <w:rPr>
          <w:b/>
          <w:sz w:val="22"/>
        </w:rPr>
        <w:t>Project Launch Workshop.</w:t>
      </w:r>
      <w:r w:rsidRPr="000151BA">
        <w:rPr>
          <w:i/>
          <w:sz w:val="22"/>
        </w:rPr>
        <w:t xml:space="preserve">  </w:t>
      </w:r>
      <w:r w:rsidRPr="000151BA">
        <w:rPr>
          <w:sz w:val="22"/>
        </w:rPr>
        <w:t xml:space="preserve">This was held in May 2017 at Kathmandu.  The primary outcome of this workshop was the crowd sourced ideas on strengthening cross border trade and how the BEES members may take up parts of the Common Action Plan, to achieve the goals of the project.  </w:t>
      </w:r>
    </w:p>
    <w:p w14:paraId="073438F9" w14:textId="77777777" w:rsidR="00CF4353" w:rsidRPr="000151BA" w:rsidRDefault="00CF4353" w:rsidP="001B449B">
      <w:pPr>
        <w:pStyle w:val="ListParagraph"/>
        <w:numPr>
          <w:ilvl w:val="0"/>
          <w:numId w:val="41"/>
        </w:numPr>
        <w:rPr>
          <w:sz w:val="22"/>
        </w:rPr>
      </w:pPr>
      <w:r w:rsidRPr="000151BA">
        <w:rPr>
          <w:sz w:val="22"/>
        </w:rPr>
        <w:t>New</w:t>
      </w:r>
      <w:r w:rsidRPr="000151BA">
        <w:rPr>
          <w:b/>
          <w:sz w:val="22"/>
        </w:rPr>
        <w:t xml:space="preserve"> </w:t>
      </w:r>
      <w:r w:rsidRPr="000151BA">
        <w:rPr>
          <w:sz w:val="22"/>
        </w:rPr>
        <w:t>networks / models of ecosystem support identified for engagement, including South Asia Women’s Development Forum (SAWDF) and the Association of Lady Entrepreneurs of India (ALEAP)</w:t>
      </w:r>
      <w:r w:rsidRPr="000151BA">
        <w:rPr>
          <w:rStyle w:val="FootnoteReference"/>
          <w:sz w:val="22"/>
        </w:rPr>
        <w:footnoteReference w:id="232"/>
      </w:r>
      <w:r w:rsidRPr="000151BA">
        <w:rPr>
          <w:sz w:val="22"/>
        </w:rPr>
        <w:t>.</w:t>
      </w:r>
    </w:p>
    <w:p w14:paraId="797A5BB4" w14:textId="77777777" w:rsidR="00CF4353" w:rsidRPr="000151BA" w:rsidRDefault="00CF4353" w:rsidP="001B449B">
      <w:pPr>
        <w:pStyle w:val="NormalWeb"/>
        <w:rPr>
          <w:sz w:val="22"/>
        </w:rPr>
      </w:pPr>
    </w:p>
    <w:p w14:paraId="661D11E2" w14:textId="77777777" w:rsidR="00CF4353" w:rsidRPr="000151BA" w:rsidRDefault="00CF4353" w:rsidP="001A78AF">
      <w:pPr>
        <w:pStyle w:val="NormalWeb"/>
        <w:rPr>
          <w:sz w:val="22"/>
        </w:rPr>
      </w:pPr>
      <w:r w:rsidRPr="000151BA">
        <w:rPr>
          <w:sz w:val="22"/>
        </w:rPr>
        <w:lastRenderedPageBreak/>
        <w:t>Efficiency: Is funding being used efficiently and what have been the factors affecting the WB’s disbursement rates?</w:t>
      </w:r>
    </w:p>
    <w:p w14:paraId="0443F0EF" w14:textId="77777777" w:rsidR="00CF4353" w:rsidRPr="000151BA" w:rsidRDefault="00CF4353" w:rsidP="001A78AF">
      <w:pPr>
        <w:pStyle w:val="NormalWeb"/>
        <w:rPr>
          <w:sz w:val="22"/>
        </w:rPr>
      </w:pPr>
      <w:r w:rsidRPr="000151BA">
        <w:rPr>
          <w:sz w:val="22"/>
        </w:rPr>
        <w:t>In December 2017, the project was expensed at 60% with a completion date for the project of June 2018.</w:t>
      </w:r>
    </w:p>
    <w:p w14:paraId="3D7EAE88" w14:textId="77777777" w:rsidR="00CF4353" w:rsidRPr="000151BA" w:rsidRDefault="00CF4353" w:rsidP="000B5B50">
      <w:pPr>
        <w:pStyle w:val="NormalWeb"/>
        <w:rPr>
          <w:sz w:val="22"/>
        </w:rPr>
      </w:pPr>
      <w:r w:rsidRPr="000151BA">
        <w:rPr>
          <w:sz w:val="22"/>
        </w:rPr>
        <w:t>Relevance: How is this project relevant and appropriate in the current context and environment of Australia’s aid priorities?</w:t>
      </w:r>
    </w:p>
    <w:p w14:paraId="3FFA699A" w14:textId="77777777" w:rsidR="00CF4353" w:rsidRPr="000151BA" w:rsidRDefault="00CF4353" w:rsidP="00610CA9">
      <w:pPr>
        <w:pStyle w:val="NormalWeb"/>
        <w:rPr>
          <w:sz w:val="22"/>
        </w:rPr>
      </w:pPr>
      <w:r w:rsidRPr="000151BA">
        <w:rPr>
          <w:sz w:val="22"/>
        </w:rPr>
        <w:t xml:space="preserve">The project is relevant to cross-cutting aid priorities such as gender programming, and economic / trade facilitation priorities. </w:t>
      </w:r>
    </w:p>
    <w:p w14:paraId="04B21CC1" w14:textId="77777777" w:rsidR="00CF4353" w:rsidRPr="000151BA" w:rsidRDefault="00CF4353" w:rsidP="001B449B">
      <w:pPr>
        <w:rPr>
          <w:sz w:val="22"/>
        </w:rPr>
      </w:pPr>
      <w:r w:rsidRPr="000151BA">
        <w:rPr>
          <w:sz w:val="22"/>
        </w:rPr>
        <w:t>Ranked contribution to MTO</w:t>
      </w:r>
      <w:r w:rsidRPr="000151BA">
        <w:rPr>
          <w:rStyle w:val="FootnoteReference"/>
          <w:b/>
          <w:sz w:val="22"/>
        </w:rPr>
        <w:footnoteReference w:id="233"/>
      </w:r>
      <w:r w:rsidRPr="000151BA">
        <w:rPr>
          <w:sz w:val="22"/>
        </w:rPr>
        <w:t xml:space="preserve">:  </w:t>
      </w:r>
    </w:p>
    <w:tbl>
      <w:tblPr>
        <w:tblStyle w:val="TableGrid"/>
        <w:tblW w:w="8925" w:type="dxa"/>
        <w:tblLook w:val="04A0" w:firstRow="1" w:lastRow="0" w:firstColumn="1" w:lastColumn="0" w:noHBand="0" w:noVBand="1"/>
      </w:tblPr>
      <w:tblGrid>
        <w:gridCol w:w="988"/>
        <w:gridCol w:w="6520"/>
        <w:gridCol w:w="1417"/>
      </w:tblGrid>
      <w:tr w:rsidR="00CF4353" w:rsidRPr="00CA4951" w14:paraId="227467E0" w14:textId="77777777">
        <w:tc>
          <w:tcPr>
            <w:tcW w:w="988" w:type="dxa"/>
          </w:tcPr>
          <w:p w14:paraId="4005C97E" w14:textId="77777777" w:rsidR="00CF4353" w:rsidRPr="000151BA" w:rsidRDefault="00CF4353">
            <w:pPr>
              <w:rPr>
                <w:sz w:val="22"/>
              </w:rPr>
            </w:pPr>
            <w:r w:rsidRPr="000151BA">
              <w:rPr>
                <w:sz w:val="22"/>
              </w:rPr>
              <w:t>MTOA</w:t>
            </w:r>
          </w:p>
        </w:tc>
        <w:tc>
          <w:tcPr>
            <w:tcW w:w="6520" w:type="dxa"/>
          </w:tcPr>
          <w:p w14:paraId="390FB526" w14:textId="77777777" w:rsidR="00CF4353" w:rsidRPr="000151BA" w:rsidRDefault="00CF4353">
            <w:pPr>
              <w:rPr>
                <w:b/>
                <w:sz w:val="22"/>
              </w:rPr>
            </w:pPr>
            <w:r w:rsidRPr="000151BA">
              <w:rPr>
                <w:sz w:val="22"/>
              </w:rPr>
              <w:t>Projects in trade facilitation, cross-border transport connectivity, and local economic opportunity financed by World Bank, DFAT and others, increasingly benefit women</w:t>
            </w:r>
          </w:p>
        </w:tc>
        <w:tc>
          <w:tcPr>
            <w:tcW w:w="1417" w:type="dxa"/>
          </w:tcPr>
          <w:p w14:paraId="2AA54C7F" w14:textId="77777777" w:rsidR="00CF4353" w:rsidRPr="000151BA" w:rsidRDefault="00CF4353">
            <w:pPr>
              <w:rPr>
                <w:sz w:val="22"/>
              </w:rPr>
            </w:pPr>
            <w:r w:rsidRPr="000151BA">
              <w:rPr>
                <w:sz w:val="22"/>
              </w:rPr>
              <w:t>2</w:t>
            </w:r>
          </w:p>
        </w:tc>
      </w:tr>
      <w:tr w:rsidR="00CF4353" w:rsidRPr="00CA4951" w14:paraId="29068FF3" w14:textId="77777777">
        <w:tc>
          <w:tcPr>
            <w:tcW w:w="988" w:type="dxa"/>
          </w:tcPr>
          <w:p w14:paraId="66C1B7A4" w14:textId="77777777" w:rsidR="00CF4353" w:rsidRPr="000151BA" w:rsidRDefault="00CF4353" w:rsidP="001A78AF">
            <w:pPr>
              <w:rPr>
                <w:sz w:val="22"/>
              </w:rPr>
            </w:pPr>
            <w:r w:rsidRPr="000151BA">
              <w:rPr>
                <w:sz w:val="22"/>
              </w:rPr>
              <w:t>MTOB</w:t>
            </w:r>
          </w:p>
        </w:tc>
        <w:tc>
          <w:tcPr>
            <w:tcW w:w="6520" w:type="dxa"/>
          </w:tcPr>
          <w:p w14:paraId="30AF026B" w14:textId="77777777" w:rsidR="00CF4353" w:rsidRPr="000151BA" w:rsidRDefault="00CF4353" w:rsidP="001A78AF">
            <w:pPr>
              <w:rPr>
                <w:b/>
                <w:sz w:val="22"/>
              </w:rPr>
            </w:pPr>
            <w:r w:rsidRPr="000151BA">
              <w:rPr>
                <w:sz w:val="22"/>
              </w:rPr>
              <w:t>Governments in BBIN countries make complementary investments in trade facilitation, cross-border transport connectivity, and local economic opportunity that benefit women</w:t>
            </w:r>
          </w:p>
        </w:tc>
        <w:tc>
          <w:tcPr>
            <w:tcW w:w="1417" w:type="dxa"/>
          </w:tcPr>
          <w:p w14:paraId="44FC95AB" w14:textId="77777777" w:rsidR="00CF4353" w:rsidRPr="000151BA" w:rsidRDefault="00CF4353" w:rsidP="000B5B50">
            <w:pPr>
              <w:rPr>
                <w:sz w:val="22"/>
              </w:rPr>
            </w:pPr>
            <w:r w:rsidRPr="000151BA">
              <w:rPr>
                <w:sz w:val="22"/>
              </w:rPr>
              <w:t>2</w:t>
            </w:r>
          </w:p>
        </w:tc>
      </w:tr>
      <w:tr w:rsidR="00CF4353" w:rsidRPr="00CA4951" w14:paraId="627BE008" w14:textId="77777777">
        <w:tc>
          <w:tcPr>
            <w:tcW w:w="988" w:type="dxa"/>
          </w:tcPr>
          <w:p w14:paraId="7BCD140C" w14:textId="77777777" w:rsidR="00CF4353" w:rsidRPr="000151BA" w:rsidRDefault="00CF4353" w:rsidP="001A78AF">
            <w:pPr>
              <w:rPr>
                <w:sz w:val="22"/>
              </w:rPr>
            </w:pPr>
            <w:r w:rsidRPr="000151BA">
              <w:rPr>
                <w:sz w:val="22"/>
              </w:rPr>
              <w:t>MTOC</w:t>
            </w:r>
          </w:p>
        </w:tc>
        <w:tc>
          <w:tcPr>
            <w:tcW w:w="6520" w:type="dxa"/>
          </w:tcPr>
          <w:p w14:paraId="05870819" w14:textId="77777777" w:rsidR="00CF4353" w:rsidRPr="000151BA" w:rsidRDefault="00CF4353" w:rsidP="001A78AF">
            <w:pPr>
              <w:rPr>
                <w:b/>
                <w:sz w:val="22"/>
              </w:rPr>
            </w:pPr>
            <w:r w:rsidRPr="000151BA">
              <w:rPr>
                <w:sz w:val="22"/>
              </w:rPr>
              <w:t>Governments in BBIN countries take regulatory and operational measures in trade facilitation, cross-border transport connectivity, and local economic opportunity that benefit women:</w:t>
            </w:r>
          </w:p>
        </w:tc>
        <w:tc>
          <w:tcPr>
            <w:tcW w:w="1417" w:type="dxa"/>
          </w:tcPr>
          <w:p w14:paraId="284E64C0" w14:textId="77777777" w:rsidR="00CF4353" w:rsidRPr="000151BA" w:rsidRDefault="00CF4353" w:rsidP="000B5B50">
            <w:pPr>
              <w:rPr>
                <w:sz w:val="22"/>
              </w:rPr>
            </w:pPr>
            <w:r w:rsidRPr="000151BA">
              <w:rPr>
                <w:sz w:val="22"/>
              </w:rPr>
              <w:t>2</w:t>
            </w:r>
          </w:p>
        </w:tc>
      </w:tr>
      <w:tr w:rsidR="00CF4353" w:rsidRPr="00CA4951" w14:paraId="0AEC5ABF" w14:textId="77777777">
        <w:tc>
          <w:tcPr>
            <w:tcW w:w="988" w:type="dxa"/>
          </w:tcPr>
          <w:p w14:paraId="454E7B48" w14:textId="77777777" w:rsidR="00CF4353" w:rsidRPr="000151BA" w:rsidRDefault="00CF4353" w:rsidP="001A78AF">
            <w:pPr>
              <w:rPr>
                <w:sz w:val="22"/>
              </w:rPr>
            </w:pPr>
            <w:r w:rsidRPr="000151BA">
              <w:rPr>
                <w:sz w:val="22"/>
              </w:rPr>
              <w:t>MTOD</w:t>
            </w:r>
          </w:p>
        </w:tc>
        <w:tc>
          <w:tcPr>
            <w:tcW w:w="6520" w:type="dxa"/>
          </w:tcPr>
          <w:p w14:paraId="6EDC53F8" w14:textId="77777777" w:rsidR="00CF4353" w:rsidRPr="000151BA" w:rsidRDefault="00CF4353" w:rsidP="001A78AF">
            <w:pPr>
              <w:rPr>
                <w:b/>
                <w:sz w:val="22"/>
              </w:rPr>
            </w:pPr>
            <w:r w:rsidRPr="000151BA">
              <w:rPr>
                <w:sz w:val="22"/>
              </w:rPr>
              <w:t>SARTFP contributes to producing and sharing knowledge on how trade facilitation, cross-border transport connectivity, and local economic opportunity can benefit women:</w:t>
            </w:r>
          </w:p>
        </w:tc>
        <w:tc>
          <w:tcPr>
            <w:tcW w:w="1417" w:type="dxa"/>
          </w:tcPr>
          <w:p w14:paraId="158E30A1" w14:textId="77777777" w:rsidR="00CF4353" w:rsidRPr="000151BA" w:rsidRDefault="00CF4353" w:rsidP="000B5B50">
            <w:pPr>
              <w:rPr>
                <w:sz w:val="22"/>
              </w:rPr>
            </w:pPr>
            <w:r w:rsidRPr="000151BA">
              <w:rPr>
                <w:sz w:val="22"/>
              </w:rPr>
              <w:t>1</w:t>
            </w:r>
          </w:p>
        </w:tc>
      </w:tr>
      <w:tr w:rsidR="00CF4353" w:rsidRPr="00CA4951" w14:paraId="1BEFEC87" w14:textId="77777777">
        <w:tc>
          <w:tcPr>
            <w:tcW w:w="988" w:type="dxa"/>
          </w:tcPr>
          <w:p w14:paraId="28620517" w14:textId="77777777" w:rsidR="00CF4353" w:rsidRPr="000151BA" w:rsidRDefault="00CF4353" w:rsidP="001A78AF">
            <w:pPr>
              <w:rPr>
                <w:sz w:val="22"/>
              </w:rPr>
            </w:pPr>
            <w:r w:rsidRPr="000151BA">
              <w:rPr>
                <w:sz w:val="22"/>
              </w:rPr>
              <w:t>MTOE</w:t>
            </w:r>
          </w:p>
        </w:tc>
        <w:tc>
          <w:tcPr>
            <w:tcW w:w="6520" w:type="dxa"/>
          </w:tcPr>
          <w:p w14:paraId="536A0391" w14:textId="77777777" w:rsidR="00CF4353" w:rsidRPr="000151BA" w:rsidRDefault="00CF4353" w:rsidP="001A78AF">
            <w:pPr>
              <w:rPr>
                <w:b/>
                <w:sz w:val="22"/>
              </w:rPr>
            </w:pPr>
            <w:r w:rsidRPr="000151BA">
              <w:rPr>
                <w:sz w:val="22"/>
              </w:rPr>
              <w:t>There is improved economic opportunity and livelihood for the poor, especially women, in targeted value chains and corridors:</w:t>
            </w:r>
          </w:p>
        </w:tc>
        <w:tc>
          <w:tcPr>
            <w:tcW w:w="1417" w:type="dxa"/>
          </w:tcPr>
          <w:p w14:paraId="2517C511" w14:textId="77777777" w:rsidR="00CF4353" w:rsidRPr="000151BA" w:rsidRDefault="00CF4353" w:rsidP="000B5B50">
            <w:pPr>
              <w:rPr>
                <w:sz w:val="22"/>
              </w:rPr>
            </w:pPr>
            <w:r w:rsidRPr="000151BA">
              <w:rPr>
                <w:sz w:val="22"/>
              </w:rPr>
              <w:t>1</w:t>
            </w:r>
          </w:p>
        </w:tc>
      </w:tr>
    </w:tbl>
    <w:p w14:paraId="5E51B83B" w14:textId="77777777" w:rsidR="00CF4353" w:rsidRPr="000151BA" w:rsidRDefault="00CF4353" w:rsidP="001B449B">
      <w:pPr>
        <w:pStyle w:val="NormalWeb"/>
        <w:rPr>
          <w:sz w:val="22"/>
        </w:rPr>
      </w:pPr>
      <w:r w:rsidRPr="000151BA">
        <w:rPr>
          <w:sz w:val="22"/>
        </w:rPr>
        <w:t>Gender Equality: Has this project made progress against objectives focused on advancing gender equality and women’s empowerment?</w:t>
      </w:r>
    </w:p>
    <w:p w14:paraId="00158A53" w14:textId="77777777" w:rsidR="00CF4353" w:rsidRPr="000151BA" w:rsidRDefault="00CF4353" w:rsidP="001B449B">
      <w:pPr>
        <w:rPr>
          <w:sz w:val="22"/>
        </w:rPr>
      </w:pPr>
      <w:r w:rsidRPr="000151BA">
        <w:rPr>
          <w:sz w:val="22"/>
        </w:rPr>
        <w:t>The project is designed to deliver advocacy for national policies and programs that support women as well as identifying and supporting value chains that can be developed to the benefit of women.</w:t>
      </w:r>
    </w:p>
    <w:p w14:paraId="5568524A" w14:textId="77777777" w:rsidR="00CF4353" w:rsidRPr="000151BA" w:rsidRDefault="00CF4353">
      <w:pPr>
        <w:rPr>
          <w:sz w:val="22"/>
        </w:rPr>
      </w:pPr>
      <w:r w:rsidRPr="000151BA">
        <w:rPr>
          <w:sz w:val="22"/>
        </w:rPr>
        <w:t>As previously identified for the IFG project related to this, this network activity is regarded as unusual for the World Bank to support; however as identified in interviews, the longevity of the project is indicative of interest in the stakeholder group</w:t>
      </w:r>
      <w:r w:rsidRPr="000151BA">
        <w:rPr>
          <w:rStyle w:val="FootnoteReference"/>
          <w:sz w:val="22"/>
        </w:rPr>
        <w:footnoteReference w:id="234"/>
      </w:r>
      <w:r w:rsidRPr="000151BA">
        <w:rPr>
          <w:sz w:val="22"/>
        </w:rPr>
        <w:t xml:space="preserve">. </w:t>
      </w:r>
    </w:p>
    <w:p w14:paraId="1E29CD4F" w14:textId="77777777" w:rsidR="00CF4353" w:rsidRPr="000151BA" w:rsidRDefault="00CF4353">
      <w:pPr>
        <w:rPr>
          <w:sz w:val="22"/>
        </w:rPr>
      </w:pPr>
    </w:p>
    <w:p w14:paraId="44B60A71" w14:textId="77777777" w:rsidR="00CF4353" w:rsidRPr="000151BA" w:rsidRDefault="00CF4353">
      <w:pPr>
        <w:rPr>
          <w:sz w:val="22"/>
        </w:rPr>
      </w:pPr>
      <w:r w:rsidRPr="000151BA">
        <w:rPr>
          <w:sz w:val="22"/>
        </w:rPr>
        <w:t>Preliminary research findings have helped influence the design of several of the DFAT-funded South Asia Regional Trade Facilitation Program (SARTFP) Round 1 activities that are taking place in Bangladesh, including "Advancing Women’s Enterprises for Economic Impact in the farm/nonfarm value chain and regional trade", “Women and Trade in Bangladesh", and ‘’Strengthening Cross-Border Value Chains’’</w:t>
      </w:r>
      <w:r w:rsidRPr="000151BA">
        <w:rPr>
          <w:rStyle w:val="FootnoteReference"/>
          <w:i/>
          <w:sz w:val="22"/>
        </w:rPr>
        <w:footnoteReference w:id="235"/>
      </w:r>
      <w:r w:rsidRPr="000151BA">
        <w:rPr>
          <w:sz w:val="22"/>
        </w:rPr>
        <w:t>.</w:t>
      </w:r>
    </w:p>
    <w:p w14:paraId="16BB7A7A" w14:textId="77777777" w:rsidR="00CF4353" w:rsidRDefault="00CF4353"/>
    <w:p w14:paraId="3156639A" w14:textId="77777777" w:rsidR="00CF4353" w:rsidRPr="000151BA" w:rsidRDefault="00CF4353" w:rsidP="001B449B">
      <w:pPr>
        <w:pStyle w:val="Heading3"/>
        <w:rPr>
          <w:sz w:val="22"/>
        </w:rPr>
      </w:pPr>
      <w:r w:rsidRPr="000151BA">
        <w:rPr>
          <w:sz w:val="22"/>
        </w:rPr>
        <w:lastRenderedPageBreak/>
        <w:t>6. Planning for regional trade and gender inclusive Inland Water Transport in Assam</w:t>
      </w:r>
    </w:p>
    <w:tbl>
      <w:tblPr>
        <w:tblStyle w:val="GridTable1Light1"/>
        <w:tblW w:w="0" w:type="auto"/>
        <w:tblLook w:val="04A0" w:firstRow="1" w:lastRow="0" w:firstColumn="1" w:lastColumn="0" w:noHBand="0" w:noVBand="1"/>
      </w:tblPr>
      <w:tblGrid>
        <w:gridCol w:w="1110"/>
        <w:gridCol w:w="938"/>
        <w:gridCol w:w="943"/>
        <w:gridCol w:w="812"/>
        <w:gridCol w:w="954"/>
        <w:gridCol w:w="1290"/>
        <w:gridCol w:w="1236"/>
        <w:gridCol w:w="917"/>
        <w:gridCol w:w="748"/>
      </w:tblGrid>
      <w:tr w:rsidR="00CF4353" w:rsidRPr="00971CD1" w14:paraId="1B70EC81" w14:textId="77777777">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110" w:type="dxa"/>
          </w:tcPr>
          <w:p w14:paraId="5A37D725" w14:textId="77777777" w:rsidR="00CF4353" w:rsidRPr="000151BA" w:rsidRDefault="00CF4353" w:rsidP="001B449B">
            <w:pPr>
              <w:pStyle w:val="p1"/>
              <w:rPr>
                <w:sz w:val="16"/>
                <w:szCs w:val="16"/>
              </w:rPr>
            </w:pPr>
            <w:r w:rsidRPr="000151BA">
              <w:rPr>
                <w:sz w:val="16"/>
                <w:szCs w:val="16"/>
              </w:rPr>
              <w:t>Country or regional focus</w:t>
            </w:r>
          </w:p>
        </w:tc>
        <w:tc>
          <w:tcPr>
            <w:tcW w:w="938" w:type="dxa"/>
          </w:tcPr>
          <w:p w14:paraId="2B459C3B"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TTL</w:t>
            </w:r>
          </w:p>
        </w:tc>
        <w:tc>
          <w:tcPr>
            <w:tcW w:w="943" w:type="dxa"/>
          </w:tcPr>
          <w:p w14:paraId="28874B97"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 xml:space="preserve">Grant Amount </w:t>
            </w:r>
          </w:p>
        </w:tc>
        <w:tc>
          <w:tcPr>
            <w:tcW w:w="812" w:type="dxa"/>
          </w:tcPr>
          <w:p w14:paraId="696BB69F"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Fund Balance</w:t>
            </w:r>
          </w:p>
        </w:tc>
        <w:tc>
          <w:tcPr>
            <w:tcW w:w="954" w:type="dxa"/>
          </w:tcPr>
          <w:p w14:paraId="6449D8A3"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Transfers-In</w:t>
            </w:r>
          </w:p>
        </w:tc>
        <w:tc>
          <w:tcPr>
            <w:tcW w:w="1290" w:type="dxa"/>
          </w:tcPr>
          <w:p w14:paraId="0008CE1E"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 xml:space="preserve">Disbursements </w:t>
            </w:r>
          </w:p>
        </w:tc>
        <w:tc>
          <w:tcPr>
            <w:tcW w:w="1236" w:type="dxa"/>
          </w:tcPr>
          <w:p w14:paraId="6CD813C3"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Commitments</w:t>
            </w:r>
          </w:p>
        </w:tc>
        <w:tc>
          <w:tcPr>
            <w:tcW w:w="917" w:type="dxa"/>
          </w:tcPr>
          <w:p w14:paraId="387B08E4"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 expensed</w:t>
            </w:r>
          </w:p>
        </w:tc>
        <w:tc>
          <w:tcPr>
            <w:tcW w:w="748" w:type="dxa"/>
          </w:tcPr>
          <w:p w14:paraId="6310ED6A" w14:textId="77777777" w:rsidR="00CF4353" w:rsidRPr="000151BA" w:rsidRDefault="00CF4353" w:rsidP="001B449B">
            <w:pPr>
              <w:pStyle w:val="p1"/>
              <w:cnfStyle w:val="100000000000" w:firstRow="1" w:lastRow="0" w:firstColumn="0" w:lastColumn="0" w:oddVBand="0" w:evenVBand="0" w:oddHBand="0" w:evenHBand="0" w:firstRowFirstColumn="0" w:firstRowLastColumn="0" w:lastRowFirstColumn="0" w:lastRowLastColumn="0"/>
              <w:rPr>
                <w:sz w:val="16"/>
                <w:szCs w:val="16"/>
              </w:rPr>
            </w:pPr>
            <w:r w:rsidRPr="000151BA">
              <w:rPr>
                <w:sz w:val="16"/>
                <w:szCs w:val="16"/>
              </w:rPr>
              <w:t>Grant Closing Date</w:t>
            </w:r>
          </w:p>
        </w:tc>
      </w:tr>
      <w:tr w:rsidR="00CF4353" w14:paraId="3E376672" w14:textId="77777777">
        <w:trPr>
          <w:trHeight w:val="447"/>
        </w:trPr>
        <w:tc>
          <w:tcPr>
            <w:cnfStyle w:val="001000000000" w:firstRow="0" w:lastRow="0" w:firstColumn="1" w:lastColumn="0" w:oddVBand="0" w:evenVBand="0" w:oddHBand="0" w:evenHBand="0" w:firstRowFirstColumn="0" w:firstRowLastColumn="0" w:lastRowFirstColumn="0" w:lastRowLastColumn="0"/>
            <w:tcW w:w="1110" w:type="dxa"/>
          </w:tcPr>
          <w:p w14:paraId="562DC10B" w14:textId="77777777" w:rsidR="00CF4353" w:rsidRPr="000151BA" w:rsidRDefault="00CF4353" w:rsidP="001B449B">
            <w:pPr>
              <w:pStyle w:val="p1"/>
              <w:rPr>
                <w:sz w:val="16"/>
                <w:szCs w:val="16"/>
              </w:rPr>
            </w:pPr>
            <w:r w:rsidRPr="000151BA">
              <w:rPr>
                <w:sz w:val="16"/>
                <w:szCs w:val="16"/>
              </w:rPr>
              <w:t xml:space="preserve">India and Bangladesh </w:t>
            </w:r>
          </w:p>
          <w:p w14:paraId="345394F8" w14:textId="77777777" w:rsidR="00CF4353" w:rsidRPr="000151BA" w:rsidRDefault="00CF4353" w:rsidP="001B449B">
            <w:pPr>
              <w:pStyle w:val="p1"/>
              <w:rPr>
                <w:sz w:val="16"/>
                <w:szCs w:val="16"/>
              </w:rPr>
            </w:pPr>
          </w:p>
        </w:tc>
        <w:tc>
          <w:tcPr>
            <w:tcW w:w="938" w:type="dxa"/>
          </w:tcPr>
          <w:p w14:paraId="0586BCFF"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 xml:space="preserve">Atul Agarwal </w:t>
            </w:r>
          </w:p>
          <w:p w14:paraId="1D0D4061"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943" w:type="dxa"/>
          </w:tcPr>
          <w:p w14:paraId="206B967E"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350,000</w:t>
            </w:r>
          </w:p>
          <w:p w14:paraId="5A791DAA"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812" w:type="dxa"/>
          </w:tcPr>
          <w:p w14:paraId="7373DDF1"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256,778</w:t>
            </w:r>
          </w:p>
          <w:p w14:paraId="3F1668ED"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954" w:type="dxa"/>
          </w:tcPr>
          <w:p w14:paraId="59C42809"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300,000</w:t>
            </w:r>
          </w:p>
          <w:p w14:paraId="5540B63D"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290" w:type="dxa"/>
          </w:tcPr>
          <w:p w14:paraId="2E9C1B40"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43,222</w:t>
            </w:r>
          </w:p>
          <w:p w14:paraId="35CE3EF7"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1236" w:type="dxa"/>
          </w:tcPr>
          <w:p w14:paraId="445265F8"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158,095</w:t>
            </w:r>
          </w:p>
          <w:p w14:paraId="281EA593"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917" w:type="dxa"/>
          </w:tcPr>
          <w:p w14:paraId="3AC2C102"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67.1%</w:t>
            </w:r>
          </w:p>
          <w:p w14:paraId="5C7343F0"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c>
          <w:tcPr>
            <w:tcW w:w="748" w:type="dxa"/>
          </w:tcPr>
          <w:p w14:paraId="4D0242B3"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r w:rsidRPr="000151BA">
              <w:rPr>
                <w:sz w:val="16"/>
                <w:szCs w:val="16"/>
              </w:rPr>
              <w:t>June-18</w:t>
            </w:r>
          </w:p>
          <w:p w14:paraId="6AC5B82C" w14:textId="77777777" w:rsidR="00CF4353" w:rsidRPr="000151BA" w:rsidRDefault="00CF4353" w:rsidP="001B449B">
            <w:pPr>
              <w:pStyle w:val="p1"/>
              <w:cnfStyle w:val="000000000000" w:firstRow="0" w:lastRow="0" w:firstColumn="0" w:lastColumn="0" w:oddVBand="0" w:evenVBand="0" w:oddHBand="0" w:evenHBand="0" w:firstRowFirstColumn="0" w:firstRowLastColumn="0" w:lastRowFirstColumn="0" w:lastRowLastColumn="0"/>
              <w:rPr>
                <w:sz w:val="16"/>
                <w:szCs w:val="16"/>
              </w:rPr>
            </w:pPr>
          </w:p>
        </w:tc>
      </w:tr>
    </w:tbl>
    <w:p w14:paraId="6E6203FE" w14:textId="77777777" w:rsidR="00CF4353" w:rsidRPr="000151BA" w:rsidRDefault="00CF4353" w:rsidP="001B449B">
      <w:pPr>
        <w:pStyle w:val="NormalWeb"/>
        <w:rPr>
          <w:sz w:val="22"/>
        </w:rPr>
      </w:pPr>
      <w:r w:rsidRPr="000151BA">
        <w:rPr>
          <w:sz w:val="22"/>
        </w:rPr>
        <w:t xml:space="preserve">Effectiveness: How has the project performed against its objectives to date? </w:t>
      </w:r>
    </w:p>
    <w:p w14:paraId="41402CA5" w14:textId="77777777" w:rsidR="00CF4353" w:rsidRPr="000151BA" w:rsidRDefault="00CF4353" w:rsidP="001B449B">
      <w:pPr>
        <w:pStyle w:val="NormalWeb"/>
        <w:numPr>
          <w:ilvl w:val="0"/>
          <w:numId w:val="41"/>
        </w:numPr>
        <w:rPr>
          <w:sz w:val="22"/>
        </w:rPr>
      </w:pPr>
      <w:r w:rsidRPr="000151BA">
        <w:rPr>
          <w:b/>
          <w:sz w:val="22"/>
        </w:rPr>
        <w:t>Objectives</w:t>
      </w:r>
      <w:r w:rsidRPr="000151BA">
        <w:rPr>
          <w:sz w:val="22"/>
        </w:rPr>
        <w:t>: This activity supports the preparation of a larger Bank lending program – the Assam Inland Water Transport project to promote regional and intra-regional trade, improve accessibility to jobs and services, and safety particularly for poor women</w:t>
      </w:r>
      <w:r w:rsidRPr="000151BA">
        <w:rPr>
          <w:rStyle w:val="FootnoteReference"/>
          <w:sz w:val="22"/>
        </w:rPr>
        <w:footnoteReference w:id="236"/>
      </w:r>
      <w:r w:rsidRPr="000151BA">
        <w:rPr>
          <w:sz w:val="22"/>
        </w:rPr>
        <w:t xml:space="preserve">.  </w:t>
      </w:r>
    </w:p>
    <w:p w14:paraId="55FD9C11" w14:textId="77777777" w:rsidR="00CF4353" w:rsidRPr="000151BA" w:rsidRDefault="00CF4353" w:rsidP="001A78AF">
      <w:pPr>
        <w:pStyle w:val="NormalWeb"/>
        <w:numPr>
          <w:ilvl w:val="0"/>
          <w:numId w:val="41"/>
        </w:numPr>
        <w:rPr>
          <w:sz w:val="22"/>
        </w:rPr>
      </w:pPr>
      <w:r w:rsidRPr="000151BA">
        <w:rPr>
          <w:sz w:val="22"/>
        </w:rPr>
        <w:t xml:space="preserve">Outputs: </w:t>
      </w:r>
    </w:p>
    <w:p w14:paraId="7D59281D" w14:textId="77777777" w:rsidR="00CF4353" w:rsidRPr="000151BA" w:rsidRDefault="00CF4353" w:rsidP="001B449B">
      <w:pPr>
        <w:pStyle w:val="ListParagraph"/>
        <w:numPr>
          <w:ilvl w:val="0"/>
          <w:numId w:val="42"/>
        </w:numPr>
        <w:rPr>
          <w:sz w:val="22"/>
        </w:rPr>
      </w:pPr>
      <w:r w:rsidRPr="000151BA">
        <w:rPr>
          <w:sz w:val="22"/>
        </w:rPr>
        <w:t xml:space="preserve">Workshop (Nov 2017) on initial stage of the survey design was held in Guwahati included a section of stakeholders – including women staff from transport department, private players and NGOs. </w:t>
      </w:r>
    </w:p>
    <w:p w14:paraId="6064EEF9" w14:textId="77777777" w:rsidR="00CF4353" w:rsidRPr="000151BA" w:rsidRDefault="00CF4353" w:rsidP="001A78AF">
      <w:pPr>
        <w:pStyle w:val="ListParagraph"/>
        <w:numPr>
          <w:ilvl w:val="0"/>
          <w:numId w:val="42"/>
        </w:numPr>
        <w:rPr>
          <w:sz w:val="22"/>
        </w:rPr>
      </w:pPr>
      <w:r w:rsidRPr="000151BA">
        <w:rPr>
          <w:sz w:val="22"/>
        </w:rPr>
        <w:t xml:space="preserve">Exploratory field testing was undertaken in two locations near Guwahati (November 2017) to assess the applicability and relevance of the proposed questionnaire for the study. </w:t>
      </w:r>
    </w:p>
    <w:p w14:paraId="1B30ABD6" w14:textId="77777777" w:rsidR="00CF4353" w:rsidRPr="000151BA" w:rsidRDefault="00CF4353" w:rsidP="001A78AF">
      <w:pPr>
        <w:pStyle w:val="ListParagraph"/>
        <w:numPr>
          <w:ilvl w:val="0"/>
          <w:numId w:val="42"/>
        </w:numPr>
        <w:rPr>
          <w:i/>
          <w:sz w:val="22"/>
        </w:rPr>
      </w:pPr>
      <w:r w:rsidRPr="000151BA">
        <w:rPr>
          <w:sz w:val="22"/>
        </w:rPr>
        <w:t>Revised Inception report (with methodology, personnel, work plan, shortlisted sites, time schedule etc. along with presentation) based on comments by the Bank has been submitted by the consultants</w:t>
      </w:r>
      <w:r w:rsidRPr="000151BA">
        <w:rPr>
          <w:i/>
          <w:sz w:val="22"/>
        </w:rPr>
        <w:t>.</w:t>
      </w:r>
    </w:p>
    <w:p w14:paraId="353D015E" w14:textId="77777777" w:rsidR="00CF4353" w:rsidRPr="000151BA" w:rsidRDefault="00CF4353" w:rsidP="001A78AF">
      <w:pPr>
        <w:pStyle w:val="NormalWeb"/>
        <w:rPr>
          <w:sz w:val="22"/>
        </w:rPr>
      </w:pPr>
      <w:r w:rsidRPr="000151BA">
        <w:rPr>
          <w:sz w:val="22"/>
        </w:rPr>
        <w:t>Efficiency: Is funding being used efficiently and what have been the factors affecting the WB’s disbursement rates?</w:t>
      </w:r>
    </w:p>
    <w:p w14:paraId="006A37B6" w14:textId="77777777" w:rsidR="00CF4353" w:rsidRPr="000151BA" w:rsidRDefault="00CF4353" w:rsidP="001A78AF">
      <w:pPr>
        <w:pStyle w:val="NormalWeb"/>
        <w:rPr>
          <w:sz w:val="22"/>
        </w:rPr>
      </w:pPr>
      <w:r w:rsidRPr="000151BA">
        <w:rPr>
          <w:sz w:val="22"/>
        </w:rPr>
        <w:t>Project is noted as expensed for 67.1% of funding, with an end date of June 2018. Activity remains in 2018</w:t>
      </w:r>
      <w:r w:rsidRPr="000151BA">
        <w:rPr>
          <w:rStyle w:val="FootnoteReference"/>
          <w:sz w:val="22"/>
        </w:rPr>
        <w:footnoteReference w:id="237"/>
      </w:r>
      <w:r w:rsidRPr="000151BA">
        <w:rPr>
          <w:sz w:val="22"/>
        </w:rPr>
        <w:t>.</w:t>
      </w:r>
    </w:p>
    <w:p w14:paraId="05E7FC50" w14:textId="77777777" w:rsidR="00CF4353" w:rsidRPr="000151BA" w:rsidRDefault="00CF4353" w:rsidP="000B5B50">
      <w:pPr>
        <w:pStyle w:val="NormalWeb"/>
        <w:rPr>
          <w:sz w:val="22"/>
        </w:rPr>
      </w:pPr>
      <w:r w:rsidRPr="000151BA">
        <w:rPr>
          <w:sz w:val="22"/>
        </w:rPr>
        <w:t>Relevance: How is this project relevant and appropriate in the current context and environment of Australia’s aid priorities?</w:t>
      </w:r>
    </w:p>
    <w:p w14:paraId="2FC74F93" w14:textId="77777777" w:rsidR="00CF4353" w:rsidRPr="000151BA" w:rsidRDefault="00CF4353" w:rsidP="00610CA9">
      <w:pPr>
        <w:pStyle w:val="NormalWeb"/>
        <w:rPr>
          <w:sz w:val="22"/>
        </w:rPr>
      </w:pPr>
      <w:r w:rsidRPr="000151BA">
        <w:rPr>
          <w:sz w:val="22"/>
        </w:rPr>
        <w:t xml:space="preserve">The activity is relevant to trade facilitation and local economic opportunity benefitting women. </w:t>
      </w:r>
    </w:p>
    <w:p w14:paraId="0C447675" w14:textId="77777777" w:rsidR="00CF4353" w:rsidRPr="000151BA" w:rsidRDefault="00CF4353" w:rsidP="00F311EB">
      <w:pPr>
        <w:pStyle w:val="NormalWeb"/>
        <w:rPr>
          <w:sz w:val="22"/>
        </w:rPr>
      </w:pPr>
    </w:p>
    <w:p w14:paraId="39811599" w14:textId="77777777" w:rsidR="00CF4353" w:rsidRPr="000151BA" w:rsidRDefault="00CF4353" w:rsidP="001B449B">
      <w:pPr>
        <w:rPr>
          <w:sz w:val="22"/>
        </w:rPr>
      </w:pPr>
      <w:r w:rsidRPr="000151BA">
        <w:rPr>
          <w:sz w:val="22"/>
        </w:rPr>
        <w:t>Ranked contribution to MTO</w:t>
      </w:r>
      <w:r w:rsidRPr="000151BA">
        <w:rPr>
          <w:rStyle w:val="FootnoteReference"/>
          <w:b/>
          <w:sz w:val="22"/>
        </w:rPr>
        <w:footnoteReference w:id="238"/>
      </w:r>
      <w:r w:rsidRPr="000151BA">
        <w:rPr>
          <w:sz w:val="22"/>
        </w:rPr>
        <w:t xml:space="preserve">:  </w:t>
      </w:r>
    </w:p>
    <w:tbl>
      <w:tblPr>
        <w:tblStyle w:val="TableGrid"/>
        <w:tblW w:w="8925" w:type="dxa"/>
        <w:tblLook w:val="04A0" w:firstRow="1" w:lastRow="0" w:firstColumn="1" w:lastColumn="0" w:noHBand="0" w:noVBand="1"/>
      </w:tblPr>
      <w:tblGrid>
        <w:gridCol w:w="988"/>
        <w:gridCol w:w="6520"/>
        <w:gridCol w:w="1417"/>
      </w:tblGrid>
      <w:tr w:rsidR="00CF4353" w:rsidRPr="00CA4951" w14:paraId="0E2A1596" w14:textId="77777777">
        <w:tc>
          <w:tcPr>
            <w:tcW w:w="988" w:type="dxa"/>
          </w:tcPr>
          <w:p w14:paraId="28265B6C" w14:textId="77777777" w:rsidR="00CF4353" w:rsidRPr="000151BA" w:rsidRDefault="00CF4353">
            <w:pPr>
              <w:rPr>
                <w:sz w:val="22"/>
              </w:rPr>
            </w:pPr>
            <w:r w:rsidRPr="000151BA">
              <w:rPr>
                <w:sz w:val="22"/>
              </w:rPr>
              <w:t>MTOA</w:t>
            </w:r>
          </w:p>
        </w:tc>
        <w:tc>
          <w:tcPr>
            <w:tcW w:w="6520" w:type="dxa"/>
          </w:tcPr>
          <w:p w14:paraId="628E0F4E" w14:textId="77777777" w:rsidR="00CF4353" w:rsidRPr="000151BA" w:rsidRDefault="00CF4353">
            <w:pPr>
              <w:rPr>
                <w:b/>
                <w:sz w:val="22"/>
              </w:rPr>
            </w:pPr>
            <w:r w:rsidRPr="000151BA">
              <w:rPr>
                <w:sz w:val="22"/>
              </w:rPr>
              <w:t>Projects in trade facilitation, cross-border transport connectivity, and local economic opportunity financed by World Bank, DFAT and others, increasingly benefit women</w:t>
            </w:r>
          </w:p>
        </w:tc>
        <w:tc>
          <w:tcPr>
            <w:tcW w:w="1417" w:type="dxa"/>
          </w:tcPr>
          <w:p w14:paraId="7EEE11B4" w14:textId="77777777" w:rsidR="00CF4353" w:rsidRPr="000151BA" w:rsidRDefault="00CF4353">
            <w:pPr>
              <w:rPr>
                <w:sz w:val="22"/>
              </w:rPr>
            </w:pPr>
            <w:r w:rsidRPr="000151BA">
              <w:rPr>
                <w:sz w:val="22"/>
              </w:rPr>
              <w:t>1</w:t>
            </w:r>
          </w:p>
        </w:tc>
      </w:tr>
      <w:tr w:rsidR="00CF4353" w:rsidRPr="00CA4951" w14:paraId="24ABBFC6" w14:textId="77777777">
        <w:tc>
          <w:tcPr>
            <w:tcW w:w="988" w:type="dxa"/>
          </w:tcPr>
          <w:p w14:paraId="7F8AE43E" w14:textId="77777777" w:rsidR="00CF4353" w:rsidRPr="000151BA" w:rsidRDefault="00CF4353" w:rsidP="001A78AF">
            <w:pPr>
              <w:rPr>
                <w:sz w:val="22"/>
              </w:rPr>
            </w:pPr>
            <w:r w:rsidRPr="000151BA">
              <w:rPr>
                <w:sz w:val="22"/>
              </w:rPr>
              <w:lastRenderedPageBreak/>
              <w:t>MTOB</w:t>
            </w:r>
          </w:p>
        </w:tc>
        <w:tc>
          <w:tcPr>
            <w:tcW w:w="6520" w:type="dxa"/>
          </w:tcPr>
          <w:p w14:paraId="0E632D0A" w14:textId="77777777" w:rsidR="00CF4353" w:rsidRPr="000151BA" w:rsidRDefault="00CF4353" w:rsidP="001A78AF">
            <w:pPr>
              <w:rPr>
                <w:b/>
                <w:sz w:val="22"/>
              </w:rPr>
            </w:pPr>
            <w:r w:rsidRPr="000151BA">
              <w:rPr>
                <w:sz w:val="22"/>
              </w:rPr>
              <w:t>Governments in BBIN countries make complementary investments in trade facilitation, cross-border transport connectivity, and local economic opportunity that benefit women</w:t>
            </w:r>
          </w:p>
        </w:tc>
        <w:tc>
          <w:tcPr>
            <w:tcW w:w="1417" w:type="dxa"/>
          </w:tcPr>
          <w:p w14:paraId="0DC39EB2" w14:textId="77777777" w:rsidR="00CF4353" w:rsidRPr="000151BA" w:rsidRDefault="00CF4353" w:rsidP="000B5B50">
            <w:pPr>
              <w:rPr>
                <w:sz w:val="22"/>
              </w:rPr>
            </w:pPr>
            <w:r w:rsidRPr="000151BA">
              <w:rPr>
                <w:sz w:val="22"/>
              </w:rPr>
              <w:t>2</w:t>
            </w:r>
          </w:p>
        </w:tc>
      </w:tr>
      <w:tr w:rsidR="00CF4353" w:rsidRPr="00CA4951" w14:paraId="30620BBA" w14:textId="77777777">
        <w:tc>
          <w:tcPr>
            <w:tcW w:w="988" w:type="dxa"/>
          </w:tcPr>
          <w:p w14:paraId="6BE8CFBE" w14:textId="77777777" w:rsidR="00CF4353" w:rsidRPr="000151BA" w:rsidRDefault="00CF4353" w:rsidP="001A78AF">
            <w:pPr>
              <w:rPr>
                <w:sz w:val="22"/>
              </w:rPr>
            </w:pPr>
            <w:r w:rsidRPr="000151BA">
              <w:rPr>
                <w:sz w:val="22"/>
              </w:rPr>
              <w:t>MTOC</w:t>
            </w:r>
          </w:p>
        </w:tc>
        <w:tc>
          <w:tcPr>
            <w:tcW w:w="6520" w:type="dxa"/>
          </w:tcPr>
          <w:p w14:paraId="5D768A6E" w14:textId="77777777" w:rsidR="00CF4353" w:rsidRPr="000151BA" w:rsidRDefault="00CF4353" w:rsidP="001A78AF">
            <w:pPr>
              <w:rPr>
                <w:b/>
                <w:sz w:val="22"/>
              </w:rPr>
            </w:pPr>
            <w:r w:rsidRPr="000151BA">
              <w:rPr>
                <w:sz w:val="22"/>
              </w:rPr>
              <w:t>Governments in BBIN countries take regulatory and operational measures in trade facilitation, cross-border transport connectivity, and local economic opportunity that benefit women:</w:t>
            </w:r>
          </w:p>
        </w:tc>
        <w:tc>
          <w:tcPr>
            <w:tcW w:w="1417" w:type="dxa"/>
          </w:tcPr>
          <w:p w14:paraId="27A99912" w14:textId="77777777" w:rsidR="00CF4353" w:rsidRPr="000151BA" w:rsidRDefault="00CF4353" w:rsidP="000B5B50">
            <w:pPr>
              <w:rPr>
                <w:sz w:val="22"/>
              </w:rPr>
            </w:pPr>
            <w:r w:rsidRPr="000151BA">
              <w:rPr>
                <w:sz w:val="22"/>
              </w:rPr>
              <w:t>3</w:t>
            </w:r>
          </w:p>
        </w:tc>
      </w:tr>
      <w:tr w:rsidR="00CF4353" w:rsidRPr="00CA4951" w14:paraId="14EC7441" w14:textId="77777777">
        <w:tc>
          <w:tcPr>
            <w:tcW w:w="988" w:type="dxa"/>
          </w:tcPr>
          <w:p w14:paraId="3C689D49" w14:textId="77777777" w:rsidR="00CF4353" w:rsidRPr="000151BA" w:rsidRDefault="00CF4353" w:rsidP="001A78AF">
            <w:pPr>
              <w:rPr>
                <w:sz w:val="22"/>
              </w:rPr>
            </w:pPr>
            <w:r w:rsidRPr="000151BA">
              <w:rPr>
                <w:sz w:val="22"/>
              </w:rPr>
              <w:t>MTOD</w:t>
            </w:r>
          </w:p>
        </w:tc>
        <w:tc>
          <w:tcPr>
            <w:tcW w:w="6520" w:type="dxa"/>
          </w:tcPr>
          <w:p w14:paraId="1466D4A3" w14:textId="77777777" w:rsidR="00CF4353" w:rsidRPr="000151BA" w:rsidRDefault="00CF4353" w:rsidP="001A78AF">
            <w:pPr>
              <w:rPr>
                <w:b/>
                <w:sz w:val="22"/>
              </w:rPr>
            </w:pPr>
            <w:r w:rsidRPr="000151BA">
              <w:rPr>
                <w:sz w:val="22"/>
              </w:rPr>
              <w:t>SARTFP contributes to producing and sharing knowledge on how trade facilitation, cross-border transport connectivity, and local economic opportunity can benefit women:</w:t>
            </w:r>
          </w:p>
        </w:tc>
        <w:tc>
          <w:tcPr>
            <w:tcW w:w="1417" w:type="dxa"/>
          </w:tcPr>
          <w:p w14:paraId="47F81FE5" w14:textId="77777777" w:rsidR="00CF4353" w:rsidRPr="000151BA" w:rsidRDefault="00CF4353" w:rsidP="000B5B50">
            <w:pPr>
              <w:rPr>
                <w:sz w:val="22"/>
              </w:rPr>
            </w:pPr>
            <w:r w:rsidRPr="000151BA">
              <w:rPr>
                <w:sz w:val="22"/>
              </w:rPr>
              <w:t>1</w:t>
            </w:r>
          </w:p>
        </w:tc>
      </w:tr>
      <w:tr w:rsidR="00CF4353" w:rsidRPr="00CA4951" w14:paraId="00C52EDC" w14:textId="77777777">
        <w:tc>
          <w:tcPr>
            <w:tcW w:w="988" w:type="dxa"/>
          </w:tcPr>
          <w:p w14:paraId="4E348FD8" w14:textId="77777777" w:rsidR="00CF4353" w:rsidRPr="000151BA" w:rsidRDefault="00CF4353" w:rsidP="001A78AF">
            <w:pPr>
              <w:rPr>
                <w:sz w:val="22"/>
              </w:rPr>
            </w:pPr>
            <w:r w:rsidRPr="000151BA">
              <w:rPr>
                <w:sz w:val="22"/>
              </w:rPr>
              <w:t>MTOE</w:t>
            </w:r>
          </w:p>
        </w:tc>
        <w:tc>
          <w:tcPr>
            <w:tcW w:w="6520" w:type="dxa"/>
          </w:tcPr>
          <w:p w14:paraId="517F2E14" w14:textId="77777777" w:rsidR="00CF4353" w:rsidRPr="000151BA" w:rsidRDefault="00CF4353" w:rsidP="001A78AF">
            <w:pPr>
              <w:rPr>
                <w:b/>
                <w:sz w:val="22"/>
              </w:rPr>
            </w:pPr>
            <w:r w:rsidRPr="000151BA">
              <w:rPr>
                <w:sz w:val="22"/>
              </w:rPr>
              <w:t>There is improved economic opportunity and livelihood for the poor, especially women, in targeted value chains and corridors:</w:t>
            </w:r>
          </w:p>
        </w:tc>
        <w:tc>
          <w:tcPr>
            <w:tcW w:w="1417" w:type="dxa"/>
          </w:tcPr>
          <w:p w14:paraId="1717A297" w14:textId="77777777" w:rsidR="00CF4353" w:rsidRPr="000151BA" w:rsidRDefault="00CF4353" w:rsidP="000B5B50">
            <w:pPr>
              <w:rPr>
                <w:sz w:val="22"/>
              </w:rPr>
            </w:pPr>
            <w:r w:rsidRPr="000151BA">
              <w:rPr>
                <w:sz w:val="22"/>
              </w:rPr>
              <w:t>1</w:t>
            </w:r>
          </w:p>
        </w:tc>
      </w:tr>
    </w:tbl>
    <w:p w14:paraId="27A363A6" w14:textId="77777777" w:rsidR="00CF4353" w:rsidRPr="000151BA" w:rsidRDefault="00CF4353" w:rsidP="001B449B">
      <w:pPr>
        <w:pStyle w:val="NormalWeb"/>
        <w:rPr>
          <w:sz w:val="22"/>
        </w:rPr>
      </w:pPr>
      <w:r w:rsidRPr="000151BA">
        <w:rPr>
          <w:sz w:val="22"/>
        </w:rPr>
        <w:t>Gender Equality: Has this project made progress against objectives focused on advancing gender equality and women’s empowerment?</w:t>
      </w:r>
    </w:p>
    <w:p w14:paraId="423293D9" w14:textId="77777777" w:rsidR="00CF4353" w:rsidRPr="000151BA" w:rsidRDefault="00CF4353" w:rsidP="001B449B">
      <w:pPr>
        <w:rPr>
          <w:sz w:val="22"/>
        </w:rPr>
      </w:pPr>
      <w:r w:rsidRPr="000151BA">
        <w:rPr>
          <w:sz w:val="22"/>
        </w:rPr>
        <w:t xml:space="preserve">This activity has included a gender focus from inception. </w:t>
      </w:r>
    </w:p>
    <w:p w14:paraId="295EC82F" w14:textId="77777777" w:rsidR="00CF4353" w:rsidRPr="000151BA" w:rsidRDefault="00CF4353">
      <w:pPr>
        <w:rPr>
          <w:sz w:val="22"/>
        </w:rPr>
      </w:pPr>
      <w:r w:rsidRPr="000151BA">
        <w:rPr>
          <w:sz w:val="22"/>
        </w:rPr>
        <w:t>One-day workshop on trade and gender-inclusive IWT in Assam was organised in Guwahati on 6th November, 2017 in collaboration with the Directorate of Assam Inland Waterway Transport (DIWT) and Assam Inland Water Transport Development Society (AIWTDS). Furthermore, Directorate of Assam Inland Waterways Transport has agreed to lend support to the study by providing clearances to conduct surveys in terminals selected for the research and designating a social expert to guide the surveyors. In principal, DIWT has agreed to incorporate the recommendations of the study to the design of the project based on its feasibility</w:t>
      </w:r>
      <w:r w:rsidRPr="000151BA">
        <w:rPr>
          <w:rStyle w:val="FootnoteReference"/>
          <w:i/>
          <w:sz w:val="22"/>
        </w:rPr>
        <w:footnoteReference w:id="239"/>
      </w:r>
      <w:r w:rsidRPr="000151BA">
        <w:rPr>
          <w:sz w:val="22"/>
        </w:rPr>
        <w:t xml:space="preserve">.   </w:t>
      </w:r>
    </w:p>
    <w:p w14:paraId="343274DD" w14:textId="77777777" w:rsidR="00CF4353" w:rsidRDefault="00CF4353"/>
    <w:p w14:paraId="0EBA0832" w14:textId="77777777" w:rsidR="00793289" w:rsidRPr="00CE649B" w:rsidRDefault="00793289" w:rsidP="000151BA">
      <w:pPr>
        <w:pStyle w:val="FootnoteText"/>
        <w:spacing w:before="0" w:after="0"/>
      </w:pPr>
    </w:p>
    <w:sectPr w:rsidR="00793289" w:rsidRPr="00CE649B" w:rsidSect="000151BA">
      <w:headerReference w:type="even" r:id="rId27"/>
      <w:headerReference w:type="default" r:id="rId28"/>
      <w:footerReference w:type="even" r:id="rId29"/>
      <w:footerReference w:type="default" r:id="rId30"/>
      <w:headerReference w:type="first" r:id="rId31"/>
      <w:pgSz w:w="11900" w:h="16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F90F01" w16cid:durableId="1EDA16C7"/>
  <w16cid:commentId w16cid:paraId="53512B54" w16cid:durableId="1EDA16DA"/>
  <w16cid:commentId w16cid:paraId="5070928E" w16cid:durableId="1EDA175F"/>
  <w16cid:commentId w16cid:paraId="3F738CDA" w16cid:durableId="1EDA176C"/>
  <w16cid:commentId w16cid:paraId="7029A212" w16cid:durableId="1EBA7F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8480B" w14:textId="77777777" w:rsidR="000F2BA9" w:rsidRDefault="000F2BA9" w:rsidP="000B5B50">
      <w:r>
        <w:separator/>
      </w:r>
    </w:p>
  </w:endnote>
  <w:endnote w:type="continuationSeparator" w:id="0">
    <w:p w14:paraId="70BEC32D" w14:textId="77777777" w:rsidR="000F2BA9" w:rsidRDefault="000F2BA9" w:rsidP="000B5B50">
      <w:r>
        <w:continuationSeparator/>
      </w:r>
    </w:p>
  </w:endnote>
  <w:endnote w:type="continuationNotice" w:id="1">
    <w:p w14:paraId="37379FDE" w14:textId="77777777" w:rsidR="000F2BA9" w:rsidRDefault="000F2BA9" w:rsidP="000B5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Arial"/>
    <w:charset w:val="00"/>
    <w:family w:val="auto"/>
    <w:pitch w:val="default"/>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7"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6C26F" w14:textId="77777777" w:rsidR="000F2BA9" w:rsidRDefault="000F2BA9" w:rsidP="001B449B">
    <w:pPr>
      <w:pStyle w:val="Footer"/>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95</w:t>
    </w:r>
    <w:r>
      <w:rPr>
        <w:rStyle w:val="PageNumber"/>
      </w:rPr>
      <w:fldChar w:fldCharType="end"/>
    </w:r>
  </w:p>
  <w:p w14:paraId="09BDDC77" w14:textId="77777777" w:rsidR="000F2BA9" w:rsidRDefault="000F2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5F55A" w14:textId="1312B4F3" w:rsidR="000F2BA9" w:rsidRPr="00D34F92" w:rsidRDefault="000F2BA9" w:rsidP="001B449B">
    <w:pPr>
      <w:pStyle w:val="Footer"/>
      <w:rPr>
        <w:rStyle w:val="PageNumber"/>
        <w:sz w:val="24"/>
      </w:rPr>
    </w:pPr>
    <w:r w:rsidRPr="00D34F92">
      <w:rPr>
        <w:rStyle w:val="PageNumber"/>
        <w:color w:val="C00000"/>
        <w:szCs w:val="20"/>
      </w:rPr>
      <w:fldChar w:fldCharType="begin"/>
    </w:r>
    <w:r w:rsidRPr="00D34F92">
      <w:rPr>
        <w:rStyle w:val="PageNumber"/>
        <w:color w:val="C00000"/>
        <w:szCs w:val="20"/>
      </w:rPr>
      <w:instrText xml:space="preserve">PAGE  </w:instrText>
    </w:r>
    <w:r w:rsidRPr="00D34F92">
      <w:rPr>
        <w:rStyle w:val="PageNumber"/>
        <w:color w:val="C00000"/>
        <w:szCs w:val="20"/>
      </w:rPr>
      <w:fldChar w:fldCharType="separate"/>
    </w:r>
    <w:r w:rsidR="00416477">
      <w:rPr>
        <w:rStyle w:val="PageNumber"/>
        <w:noProof/>
        <w:color w:val="C00000"/>
        <w:szCs w:val="20"/>
      </w:rPr>
      <w:t>20</w:t>
    </w:r>
    <w:r w:rsidRPr="00D34F92">
      <w:rPr>
        <w:rStyle w:val="PageNumber"/>
        <w:color w:val="C00000"/>
        <w:szCs w:val="20"/>
      </w:rPr>
      <w:fldChar w:fldCharType="end"/>
    </w:r>
  </w:p>
  <w:p w14:paraId="609264DF" w14:textId="77777777" w:rsidR="000F2BA9" w:rsidRDefault="000F2B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0878814"/>
      <w:docPartObj>
        <w:docPartGallery w:val="Page Numbers (Bottom of Page)"/>
        <w:docPartUnique/>
      </w:docPartObj>
    </w:sdtPr>
    <w:sdtEndPr>
      <w:rPr>
        <w:rStyle w:val="PageNumber"/>
        <w:color w:val="C00000"/>
        <w:szCs w:val="20"/>
      </w:rPr>
    </w:sdtEndPr>
    <w:sdtContent>
      <w:p w14:paraId="5C8AECD9" w14:textId="5F55D2EA" w:rsidR="000F2BA9" w:rsidRPr="00F11D31" w:rsidRDefault="000F2BA9" w:rsidP="00A251FA">
        <w:pPr>
          <w:pStyle w:val="Footer"/>
          <w:rPr>
            <w:rStyle w:val="PageNumber"/>
            <w:sz w:val="24"/>
          </w:rPr>
        </w:pPr>
        <w:r w:rsidRPr="00F11D31">
          <w:rPr>
            <w:rStyle w:val="PageNumber"/>
            <w:color w:val="C00000"/>
            <w:szCs w:val="20"/>
          </w:rPr>
          <w:fldChar w:fldCharType="begin"/>
        </w:r>
        <w:r w:rsidRPr="00F11D31">
          <w:rPr>
            <w:rStyle w:val="PageNumber"/>
            <w:color w:val="C00000"/>
            <w:szCs w:val="20"/>
          </w:rPr>
          <w:instrText xml:space="preserve"> PAGE </w:instrText>
        </w:r>
        <w:r w:rsidRPr="00F11D31">
          <w:rPr>
            <w:rStyle w:val="PageNumber"/>
            <w:color w:val="C00000"/>
            <w:szCs w:val="20"/>
          </w:rPr>
          <w:fldChar w:fldCharType="separate"/>
        </w:r>
        <w:r w:rsidR="00416477">
          <w:rPr>
            <w:rStyle w:val="PageNumber"/>
            <w:noProof/>
            <w:color w:val="C00000"/>
            <w:szCs w:val="20"/>
          </w:rPr>
          <w:t>i</w:t>
        </w:r>
        <w:r w:rsidRPr="00F11D31">
          <w:rPr>
            <w:rStyle w:val="PageNumber"/>
            <w:color w:val="C00000"/>
            <w:szCs w:val="20"/>
          </w:rPr>
          <w:fldChar w:fldCharType="end"/>
        </w:r>
      </w:p>
    </w:sdtContent>
  </w:sdt>
  <w:p w14:paraId="58AD2742" w14:textId="77777777" w:rsidR="000F2BA9" w:rsidRDefault="000F2BA9" w:rsidP="00A251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07CFE" w14:textId="77777777" w:rsidR="000F2BA9" w:rsidRDefault="000F2BA9" w:rsidP="001B449B">
    <w:pPr>
      <w:pStyle w:val="Footer"/>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95</w:t>
    </w:r>
    <w:r>
      <w:rPr>
        <w:rStyle w:val="PageNumber"/>
      </w:rPr>
      <w:fldChar w:fldCharType="end"/>
    </w:r>
  </w:p>
  <w:p w14:paraId="2FA7EC99" w14:textId="77777777" w:rsidR="000F2BA9" w:rsidRDefault="000F2B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CAA88" w14:textId="77777777" w:rsidR="000F2BA9" w:rsidRDefault="000F2BA9" w:rsidP="00015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13916" w14:textId="77777777" w:rsidR="000F2BA9" w:rsidRDefault="000F2BA9" w:rsidP="00F65774">
      <w:r>
        <w:separator/>
      </w:r>
    </w:p>
  </w:footnote>
  <w:footnote w:type="continuationSeparator" w:id="0">
    <w:p w14:paraId="1B35F62F" w14:textId="77777777" w:rsidR="000F2BA9" w:rsidRDefault="000F2BA9" w:rsidP="007D1047">
      <w:r>
        <w:continuationSeparator/>
      </w:r>
    </w:p>
  </w:footnote>
  <w:footnote w:type="continuationNotice" w:id="1">
    <w:p w14:paraId="1DE59A3E" w14:textId="77777777" w:rsidR="000F2BA9" w:rsidRDefault="000F2BA9" w:rsidP="00F65774"/>
  </w:footnote>
  <w:footnote w:id="2">
    <w:p w14:paraId="5A8F8C2E" w14:textId="77777777" w:rsidR="000F2BA9" w:rsidRDefault="000F2BA9" w:rsidP="000151BA">
      <w:pPr>
        <w:pStyle w:val="FootnoteText"/>
        <w:spacing w:before="0" w:after="0"/>
      </w:pPr>
      <w:r>
        <w:rPr>
          <w:rStyle w:val="FootnoteReference"/>
        </w:rPr>
        <w:footnoteRef/>
      </w:r>
      <w:r>
        <w:t xml:space="preserve"> </w:t>
      </w:r>
      <w:hyperlink r:id="rId1" w:history="1">
        <w:r w:rsidRPr="00432F11">
          <w:rPr>
            <w:rStyle w:val="Hyperlink"/>
          </w:rPr>
          <w:t>http://iresearch.worldbank.org/PovcalNet/povDuplicateWB.aspx;</w:t>
        </w:r>
      </w:hyperlink>
      <w:r>
        <w:t xml:space="preserve"> </w:t>
      </w:r>
      <w:r w:rsidRPr="00432F11">
        <w:t>note that Afghanistan not included in information at the link as no data available.</w:t>
      </w:r>
    </w:p>
  </w:footnote>
  <w:footnote w:id="3">
    <w:p w14:paraId="500194EE" w14:textId="77777777" w:rsidR="000F2BA9" w:rsidRDefault="000F2BA9" w:rsidP="000151BA">
      <w:pPr>
        <w:pStyle w:val="FootnoteText"/>
        <w:spacing w:before="0" w:after="0"/>
      </w:pPr>
      <w:r>
        <w:rPr>
          <w:rStyle w:val="FootnoteReference"/>
        </w:rPr>
        <w:footnoteRef/>
      </w:r>
      <w:r>
        <w:t xml:space="preserve"> </w:t>
      </w:r>
      <w:r w:rsidRPr="0000263C">
        <w:t>Barro, Robert J.; Lee, Jong-Wha. 2011. </w:t>
      </w:r>
      <w:r w:rsidRPr="0000263C">
        <w:rPr>
          <w:i/>
          <w:iCs/>
        </w:rPr>
        <w:t>Costs and Benefits of Economic Integration in Asia</w:t>
      </w:r>
      <w:r>
        <w:t xml:space="preserve">. </w:t>
      </w:r>
      <w:r w:rsidRPr="0000263C">
        <w:t>Asian Development Bank. </w:t>
      </w:r>
    </w:p>
  </w:footnote>
  <w:footnote w:id="4">
    <w:p w14:paraId="67BB4E98" w14:textId="77777777" w:rsidR="000F2BA9" w:rsidRPr="00A53706" w:rsidRDefault="000F2BA9" w:rsidP="000151BA">
      <w:pPr>
        <w:spacing w:before="0" w:after="0"/>
      </w:pPr>
      <w:r w:rsidRPr="00A53706">
        <w:rPr>
          <w:rStyle w:val="FootnoteReference"/>
          <w:sz w:val="16"/>
          <w:szCs w:val="16"/>
        </w:rPr>
        <w:footnoteRef/>
      </w:r>
      <w:r w:rsidRPr="00A53706">
        <w:t xml:space="preserve"> </w:t>
      </w:r>
      <w:r w:rsidRPr="00B363EF">
        <w:rPr>
          <w:sz w:val="16"/>
          <w:szCs w:val="16"/>
        </w:rPr>
        <w:t>DFAT 2016 AID Program Performance Report 2015-16, South Asia Regional Development Program, DFAT Australia</w:t>
      </w:r>
    </w:p>
  </w:footnote>
  <w:footnote w:id="5">
    <w:p w14:paraId="17C2F8C9" w14:textId="77777777" w:rsidR="000F2BA9" w:rsidRPr="0012605E" w:rsidRDefault="000F2BA9" w:rsidP="000151BA">
      <w:pPr>
        <w:pStyle w:val="FootnoteText"/>
        <w:spacing w:before="0" w:after="0"/>
      </w:pPr>
      <w:r w:rsidRPr="00A53706">
        <w:rPr>
          <w:rStyle w:val="FootnoteReference"/>
          <w:rFonts w:asciiTheme="minorHAnsi" w:hAnsiTheme="minorHAnsi"/>
        </w:rPr>
        <w:footnoteRef/>
      </w:r>
      <w:r w:rsidRPr="00A53706">
        <w:t xml:space="preserve"> </w:t>
      </w:r>
      <w:r>
        <w:t xml:space="preserve">DFAT 2017 </w:t>
      </w:r>
      <w:r w:rsidRPr="00A53706">
        <w:t>Overview of Australia’s South and W</w:t>
      </w:r>
      <w:r>
        <w:t>est Asia Regional aid program, DFAT Australia</w:t>
      </w:r>
    </w:p>
  </w:footnote>
  <w:footnote w:id="6">
    <w:p w14:paraId="2DCEE926" w14:textId="77777777" w:rsidR="000F2BA9" w:rsidRDefault="000F2BA9" w:rsidP="00A4030D">
      <w:pPr>
        <w:pStyle w:val="FootnoteText"/>
        <w:spacing w:before="0" w:after="0"/>
      </w:pPr>
      <w:r>
        <w:rPr>
          <w:rStyle w:val="FootnoteReference"/>
        </w:rPr>
        <w:footnoteRef/>
      </w:r>
      <w:r>
        <w:t xml:space="preserve"> DFAT 2016, South Asia Regional Trade Facilitation Brochure, DFAT Australia</w:t>
      </w:r>
    </w:p>
  </w:footnote>
  <w:footnote w:id="7">
    <w:p w14:paraId="46867011" w14:textId="7A17C654" w:rsidR="000F2BA9" w:rsidRDefault="000F2BA9" w:rsidP="00A02664">
      <w:pPr>
        <w:pStyle w:val="FootnoteText"/>
        <w:spacing w:before="0"/>
      </w:pPr>
      <w:r>
        <w:rPr>
          <w:rStyle w:val="FootnoteReference"/>
        </w:rPr>
        <w:footnoteRef/>
      </w:r>
      <w:r>
        <w:t xml:space="preserve"> </w:t>
      </w:r>
      <w:hyperlink r:id="rId2" w:history="1">
        <w:r w:rsidRPr="006F2C55">
          <w:rPr>
            <w:rStyle w:val="Hyperlink"/>
          </w:rPr>
          <w:t>http://dfat.gov.au/about-us/publications/Documents/south-asia-regional-aid-investment-plan-2015-19.pdf</w:t>
        </w:r>
      </w:hyperlink>
    </w:p>
  </w:footnote>
  <w:footnote w:id="8">
    <w:p w14:paraId="26190714" w14:textId="5A3BCCF0" w:rsidR="000F2BA9" w:rsidRDefault="000F2BA9" w:rsidP="00A02664">
      <w:pPr>
        <w:pStyle w:val="FootnoteText"/>
        <w:spacing w:before="0" w:after="0"/>
      </w:pPr>
      <w:r>
        <w:rPr>
          <w:rStyle w:val="FootnoteReference"/>
        </w:rPr>
        <w:footnoteRef/>
      </w:r>
      <w:r>
        <w:t xml:space="preserve"> </w:t>
      </w:r>
      <w:r w:rsidRPr="00134A0F">
        <w:t>AusAID formally became part of the Department of Foreign Affairs and Trade</w:t>
      </w:r>
      <w:r>
        <w:t xml:space="preserve"> (DFAT) in November 2013</w:t>
      </w:r>
    </w:p>
  </w:footnote>
  <w:footnote w:id="9">
    <w:p w14:paraId="75D31E22" w14:textId="77777777" w:rsidR="000F2BA9" w:rsidRDefault="000F2BA9" w:rsidP="00A4030D">
      <w:pPr>
        <w:pStyle w:val="FootnoteText"/>
        <w:spacing w:before="0" w:after="0"/>
      </w:pPr>
      <w:r>
        <w:rPr>
          <w:rStyle w:val="FootnoteReference"/>
        </w:rPr>
        <w:footnoteRef/>
      </w:r>
      <w:r>
        <w:t xml:space="preserve"> Independent Evaluation Plan for South Asia Regional Trade Facilitation Program (SARTFP) &amp; Infrastructure for Development (IFG)</w:t>
      </w:r>
    </w:p>
  </w:footnote>
  <w:footnote w:id="10">
    <w:p w14:paraId="3F37FB8F" w14:textId="77777777" w:rsidR="000F2BA9" w:rsidRDefault="000F2BA9" w:rsidP="000151BA">
      <w:pPr>
        <w:pStyle w:val="FootnoteText"/>
        <w:spacing w:before="0" w:after="0"/>
      </w:pPr>
      <w:r>
        <w:rPr>
          <w:rStyle w:val="FootnoteReference"/>
        </w:rPr>
        <w:footnoteRef/>
      </w:r>
      <w:r>
        <w:t xml:space="preserve"> </w:t>
      </w:r>
      <w:r w:rsidRPr="008D3571">
        <w:t xml:space="preserve">The role of DFAT within each program is different. The implementation of IFG is led by the World Bank, with minimal DFAT input. </w:t>
      </w:r>
      <w:r>
        <w:t>In the ToR for this evaluation, DFAT describes this management model as being ‘partner-led’.</w:t>
      </w:r>
      <w:r w:rsidRPr="008D3571">
        <w:t xml:space="preserve"> In the case of SARTFP, DFAT has increased its engagement and appointed a Technical Advisory Facility (TAF) to support its engagement with the program. </w:t>
      </w:r>
      <w:r>
        <w:t>In the ToR DFAT describe this management model as</w:t>
      </w:r>
      <w:r w:rsidRPr="008D3571">
        <w:t xml:space="preserve"> ‘partnership’. For the purposes of this evaluation</w:t>
      </w:r>
      <w:r>
        <w:t xml:space="preserve"> we therefore refer to management models as follows: IFG being ‘partner-led’ and SARTFP being ‘partnership’</w:t>
      </w:r>
    </w:p>
  </w:footnote>
  <w:footnote w:id="11">
    <w:p w14:paraId="61BA6481" w14:textId="77777777" w:rsidR="000F2BA9" w:rsidRDefault="000F2BA9" w:rsidP="000151BA">
      <w:pPr>
        <w:pStyle w:val="FootnoteText"/>
        <w:spacing w:before="0" w:after="0"/>
      </w:pPr>
      <w:r>
        <w:rPr>
          <w:rStyle w:val="FootnoteReference"/>
        </w:rPr>
        <w:footnoteRef/>
      </w:r>
      <w:r>
        <w:t xml:space="preserve"> Independent Evaluation Plan for South Asia Regional Trade Facilitation Program (SARTFP) &amp; Infrastructure for Development (IFG)</w:t>
      </w:r>
    </w:p>
  </w:footnote>
  <w:footnote w:id="12">
    <w:p w14:paraId="46AE949C" w14:textId="33D07F2E" w:rsidR="000F2BA9" w:rsidRPr="00A53706" w:rsidRDefault="000F2BA9" w:rsidP="000151BA">
      <w:pPr>
        <w:pStyle w:val="FootnoteText"/>
        <w:spacing w:before="0" w:after="0"/>
      </w:pPr>
      <w:r w:rsidRPr="00A53706">
        <w:rPr>
          <w:rStyle w:val="FootnoteReference"/>
        </w:rPr>
        <w:footnoteRef/>
      </w:r>
      <w:r w:rsidRPr="00A53706">
        <w:t xml:space="preserve"> Key sources identified in the Evaluation Plan and listed in Annex </w:t>
      </w:r>
      <w:r>
        <w:t>5</w:t>
      </w:r>
    </w:p>
  </w:footnote>
  <w:footnote w:id="13">
    <w:p w14:paraId="02200DA8" w14:textId="77777777" w:rsidR="000F2BA9" w:rsidRDefault="000F2BA9" w:rsidP="00A02664">
      <w:pPr>
        <w:pStyle w:val="FootnoteText"/>
        <w:spacing w:before="0" w:after="0"/>
      </w:pPr>
      <w:r>
        <w:rPr>
          <w:rStyle w:val="FootnoteReference"/>
        </w:rPr>
        <w:footnoteRef/>
      </w:r>
      <w:r>
        <w:t xml:space="preserve"> Literature Review: IFG &amp; SARTFP Independent Evaluation 2018</w:t>
      </w:r>
    </w:p>
  </w:footnote>
  <w:footnote w:id="14">
    <w:p w14:paraId="32880628" w14:textId="60ABD8A2" w:rsidR="000F2BA9" w:rsidRDefault="000F2BA9" w:rsidP="00A4030D">
      <w:pPr>
        <w:pStyle w:val="FootnoteText"/>
        <w:spacing w:before="0" w:after="0"/>
      </w:pPr>
      <w:r w:rsidRPr="000151BA">
        <w:rPr>
          <w:rStyle w:val="FootnoteReference"/>
        </w:rPr>
        <w:footnoteRef/>
      </w:r>
      <w:r w:rsidRPr="000151BA">
        <w:t xml:space="preserve"> </w:t>
      </w:r>
      <w:r>
        <w:t>Ibid</w:t>
      </w:r>
    </w:p>
  </w:footnote>
  <w:footnote w:id="15">
    <w:p w14:paraId="2760EC13" w14:textId="3BA29F49" w:rsidR="000F2BA9" w:rsidRPr="00C85A9D" w:rsidRDefault="000F2BA9" w:rsidP="000151BA">
      <w:pPr>
        <w:spacing w:before="0" w:after="0"/>
        <w:rPr>
          <w:lang w:val="en-US"/>
        </w:rPr>
      </w:pPr>
      <w:r w:rsidRPr="001B449B">
        <w:rPr>
          <w:rStyle w:val="FootnoteReference"/>
          <w:rFonts w:ascii="Calibri" w:eastAsiaTheme="minorEastAsia" w:hAnsi="Calibri"/>
          <w:sz w:val="16"/>
          <w:szCs w:val="16"/>
        </w:rPr>
        <w:footnoteRef/>
      </w:r>
      <w:r>
        <w:t xml:space="preserve"> </w:t>
      </w:r>
      <w:r w:rsidRPr="00B363EF">
        <w:rPr>
          <w:sz w:val="16"/>
          <w:szCs w:val="16"/>
          <w:lang w:val="en-US"/>
        </w:rPr>
        <w:t xml:space="preserve">See annex </w:t>
      </w:r>
      <w:r>
        <w:rPr>
          <w:sz w:val="16"/>
          <w:szCs w:val="16"/>
          <w:lang w:val="en-US"/>
        </w:rPr>
        <w:t>7</w:t>
      </w:r>
      <w:r w:rsidRPr="00B363EF">
        <w:rPr>
          <w:sz w:val="16"/>
          <w:szCs w:val="16"/>
          <w:lang w:val="en-US"/>
        </w:rPr>
        <w:t xml:space="preserve"> for list of interviewees.</w:t>
      </w:r>
      <w:r>
        <w:rPr>
          <w:lang w:val="en-US"/>
        </w:rPr>
        <w:t xml:space="preserve"> </w:t>
      </w:r>
    </w:p>
  </w:footnote>
  <w:footnote w:id="16">
    <w:p w14:paraId="4C4D4994" w14:textId="68C58497" w:rsidR="000F2BA9" w:rsidRDefault="000F2BA9" w:rsidP="000151BA">
      <w:pPr>
        <w:pStyle w:val="FootnoteText"/>
        <w:spacing w:before="0" w:after="0"/>
      </w:pPr>
      <w:r>
        <w:rPr>
          <w:rStyle w:val="FootnoteReference"/>
        </w:rPr>
        <w:footnoteRef/>
      </w:r>
      <w:r>
        <w:t xml:space="preserve"> See annex 8 for schedule of interviews</w:t>
      </w:r>
    </w:p>
  </w:footnote>
  <w:footnote w:id="17">
    <w:p w14:paraId="4C0C80D7" w14:textId="7C7C8339" w:rsidR="000F2BA9" w:rsidRPr="003E1802" w:rsidRDefault="000F2BA9" w:rsidP="000151BA">
      <w:pPr>
        <w:pStyle w:val="FootnoteText"/>
        <w:spacing w:before="0" w:after="0"/>
      </w:pPr>
      <w:r w:rsidRPr="00A53706">
        <w:rPr>
          <w:rStyle w:val="FootnoteReference"/>
        </w:rPr>
        <w:footnoteRef/>
      </w:r>
      <w:r w:rsidRPr="00A53706">
        <w:t xml:space="preserve"> IFG results framework in Annex </w:t>
      </w:r>
      <w:r>
        <w:t>3</w:t>
      </w:r>
    </w:p>
  </w:footnote>
  <w:footnote w:id="18">
    <w:p w14:paraId="16B79C4A" w14:textId="4FC310E6" w:rsidR="000F2BA9" w:rsidRPr="00942E85" w:rsidRDefault="000F2BA9" w:rsidP="000151BA">
      <w:pPr>
        <w:pStyle w:val="FootnoteText"/>
        <w:spacing w:before="0" w:after="0"/>
      </w:pPr>
      <w:r w:rsidRPr="00942E85">
        <w:rPr>
          <w:rStyle w:val="FootnoteReference"/>
        </w:rPr>
        <w:footnoteRef/>
      </w:r>
      <w:r w:rsidRPr="00942E85">
        <w:t xml:space="preserve"> SARTFP results framework in Annex </w:t>
      </w:r>
      <w:r>
        <w:t>4</w:t>
      </w:r>
    </w:p>
  </w:footnote>
  <w:footnote w:id="19">
    <w:p w14:paraId="1CF370BE" w14:textId="096C36AD" w:rsidR="000F2BA9" w:rsidRDefault="000F2BA9" w:rsidP="000151BA">
      <w:pPr>
        <w:pStyle w:val="FootnoteText"/>
        <w:spacing w:before="0" w:after="0"/>
      </w:pPr>
      <w:r>
        <w:rPr>
          <w:rStyle w:val="FootnoteReference"/>
        </w:rPr>
        <w:footnoteRef/>
      </w:r>
      <w:r>
        <w:t xml:space="preserve"> The detailed analysis of the selected projects is in Annex 10</w:t>
      </w:r>
    </w:p>
  </w:footnote>
  <w:footnote w:id="20">
    <w:p w14:paraId="4238E2CB" w14:textId="77777777" w:rsidR="000F2BA9" w:rsidRDefault="000F2BA9" w:rsidP="000151BA">
      <w:pPr>
        <w:pStyle w:val="FootnoteText"/>
        <w:spacing w:before="0" w:after="0"/>
      </w:pPr>
      <w:r>
        <w:rPr>
          <w:rStyle w:val="FootnoteReference"/>
        </w:rPr>
        <w:footnoteRef/>
      </w:r>
      <w:r>
        <w:t xml:space="preserve"> Independent Evaluation Plan for South Asia Regional Trade Facilitation Program (SARTFP) &amp; Infrastructure for Development (IFG)</w:t>
      </w:r>
    </w:p>
  </w:footnote>
  <w:footnote w:id="21">
    <w:p w14:paraId="1B616150" w14:textId="77777777" w:rsidR="000F2BA9" w:rsidRPr="005E0FA7" w:rsidRDefault="000F2BA9" w:rsidP="000151BA">
      <w:pPr>
        <w:pStyle w:val="FootnoteText"/>
        <w:spacing w:before="0" w:after="0"/>
      </w:pPr>
      <w:r w:rsidRPr="003E1802">
        <w:rPr>
          <w:rStyle w:val="FootnoteReference"/>
        </w:rPr>
        <w:footnoteRef/>
      </w:r>
      <w:r w:rsidRPr="003E1802">
        <w:t xml:space="preserve"> To achieve this score, the evaluation team would expect to see the explanation of </w:t>
      </w:r>
      <w:r w:rsidRPr="001B449B">
        <w:rPr>
          <w:vertAlign w:val="superscript"/>
        </w:rPr>
        <w:t>how</w:t>
      </w:r>
      <w:r w:rsidRPr="003E1802">
        <w:t xml:space="preserve"> the hypothesis – for instance a ‘Theory of Change’ - has been tested by emerging evidence and adapted accordingly.</w:t>
      </w:r>
    </w:p>
  </w:footnote>
  <w:footnote w:id="22">
    <w:p w14:paraId="7B796436" w14:textId="77777777" w:rsidR="000F2BA9" w:rsidRDefault="000F2BA9" w:rsidP="00A02664">
      <w:pPr>
        <w:pStyle w:val="FootnoteText"/>
        <w:spacing w:before="0" w:after="0"/>
      </w:pPr>
      <w:r>
        <w:rPr>
          <w:rStyle w:val="FootnoteReference"/>
        </w:rPr>
        <w:footnoteRef/>
      </w:r>
      <w:r>
        <w:t xml:space="preserve"> </w:t>
      </w:r>
      <w:r w:rsidRPr="00A02664">
        <w:rPr>
          <w:rFonts w:asciiTheme="minorHAnsi" w:eastAsia="Times New Roman" w:hAnsiTheme="minorHAnsi"/>
        </w:rPr>
        <w:t>Based on literature review, informant interviews and selected project analysis</w:t>
      </w:r>
    </w:p>
  </w:footnote>
  <w:footnote w:id="23">
    <w:p w14:paraId="01DEEC32" w14:textId="77777777" w:rsidR="000F2BA9" w:rsidRPr="008056B3" w:rsidRDefault="000F2BA9" w:rsidP="00A4030D">
      <w:pPr>
        <w:spacing w:before="0" w:after="0"/>
      </w:pPr>
      <w:r w:rsidRPr="00A02664">
        <w:rPr>
          <w:rStyle w:val="FootnoteReference"/>
          <w:rFonts w:ascii="Calibri" w:eastAsiaTheme="minorEastAsia" w:hAnsi="Calibri"/>
          <w:sz w:val="16"/>
          <w:szCs w:val="16"/>
        </w:rPr>
        <w:footnoteRef/>
      </w:r>
      <w:r w:rsidRPr="00A02664">
        <w:rPr>
          <w:rStyle w:val="FootnoteReference"/>
          <w:rFonts w:ascii="Calibri" w:eastAsiaTheme="minorEastAsia" w:hAnsi="Calibri"/>
          <w:sz w:val="16"/>
          <w:szCs w:val="16"/>
        </w:rPr>
        <w:t xml:space="preserve"> </w:t>
      </w:r>
      <w:r w:rsidRPr="00D25D0F">
        <w:rPr>
          <w:sz w:val="16"/>
          <w:szCs w:val="16"/>
        </w:rPr>
        <w:t>DFAT’s Aid Quality Check for IFG, 2016</w:t>
      </w:r>
    </w:p>
  </w:footnote>
  <w:footnote w:id="24">
    <w:p w14:paraId="0E3E7E33" w14:textId="77777777" w:rsidR="000F2BA9" w:rsidRDefault="000F2BA9" w:rsidP="001B449B">
      <w:pPr>
        <w:pStyle w:val="FootnoteText"/>
        <w:spacing w:before="0" w:after="0"/>
      </w:pPr>
      <w:r>
        <w:rPr>
          <w:rStyle w:val="FootnoteReference"/>
        </w:rPr>
        <w:footnoteRef/>
      </w:r>
      <w:r>
        <w:t xml:space="preserve"> Relevant for </w:t>
      </w:r>
      <w:r w:rsidRPr="00CE4DB1">
        <w:rPr>
          <w:b/>
        </w:rPr>
        <w:t>MTO A:</w:t>
      </w:r>
      <w:r w:rsidRPr="00CE4DB1">
        <w:t xml:space="preserve"> IFG activities support critical policy and reform measures in priority sectors (transport, energy)</w:t>
      </w:r>
    </w:p>
  </w:footnote>
  <w:footnote w:id="25">
    <w:p w14:paraId="0E7C22A7" w14:textId="77777777" w:rsidR="000F2BA9" w:rsidRDefault="000F2BA9" w:rsidP="00A4030D">
      <w:pPr>
        <w:pStyle w:val="FootnoteText"/>
        <w:spacing w:before="0" w:after="0"/>
      </w:pPr>
      <w:r>
        <w:rPr>
          <w:rStyle w:val="FootnoteReference"/>
        </w:rPr>
        <w:footnoteRef/>
      </w:r>
      <w:r>
        <w:t xml:space="preserve"> </w:t>
      </w:r>
      <w:r w:rsidRPr="00C848EB">
        <w:t>Mani, Muthukumara; Bandyopadhyay, Sushenjit; Chonabayashi, Shun; Markandya, Anil; Mosier, Thomas. 2018. South Asia's Hotspots : Impacts of Temperature and Precipitation Changes on Living Standards. South Asia Development Matters</w:t>
      </w:r>
      <w:r>
        <w:t>,</w:t>
      </w:r>
      <w:r w:rsidRPr="00C848EB">
        <w:t> Washington, DC: World Bank. </w:t>
      </w:r>
      <w:hyperlink r:id="rId3" w:history="1">
        <w:r w:rsidRPr="00C848EB">
          <w:rPr>
            <w:rStyle w:val="Hyperlink"/>
            <w:i/>
            <w:iCs/>
          </w:rPr>
          <w:t>https://openknowledge.worldbank.org/handle/10986/28723</w:t>
        </w:r>
      </w:hyperlink>
      <w:r w:rsidRPr="00C848EB">
        <w:t> </w:t>
      </w:r>
    </w:p>
  </w:footnote>
  <w:footnote w:id="26">
    <w:p w14:paraId="45B2EC33" w14:textId="027D1D40" w:rsidR="000F2BA9" w:rsidRDefault="000F2BA9" w:rsidP="00A02664">
      <w:pPr>
        <w:pStyle w:val="FootnoteText"/>
        <w:spacing w:before="0" w:after="0"/>
      </w:pPr>
      <w:r>
        <w:rPr>
          <w:rStyle w:val="FootnoteReference"/>
        </w:rPr>
        <w:footnoteRef/>
      </w:r>
      <w:r>
        <w:t xml:space="preserve"> Based on interviews with multiple members of the </w:t>
      </w:r>
      <w:r w:rsidRPr="008A4A60">
        <w:rPr>
          <w:bCs/>
        </w:rPr>
        <w:t>World Bank’s Chief Economist’s Office of South Asia</w:t>
      </w:r>
    </w:p>
  </w:footnote>
  <w:footnote w:id="27">
    <w:p w14:paraId="1BD87C0D" w14:textId="6371CD24" w:rsidR="000F2BA9" w:rsidRDefault="000F2BA9" w:rsidP="00A02664">
      <w:pPr>
        <w:pStyle w:val="FootnoteText"/>
        <w:spacing w:before="0" w:after="0"/>
      </w:pPr>
      <w:r>
        <w:rPr>
          <w:rStyle w:val="FootnoteReference"/>
        </w:rPr>
        <w:footnoteRef/>
      </w:r>
      <w:r>
        <w:t xml:space="preserve"> Based on interviews with multiple members of the World Bank Transport Team</w:t>
      </w:r>
    </w:p>
  </w:footnote>
  <w:footnote w:id="28">
    <w:p w14:paraId="4B4A1604" w14:textId="77777777" w:rsidR="000F2BA9" w:rsidRDefault="000F2BA9" w:rsidP="001B449B">
      <w:pPr>
        <w:pStyle w:val="FootnoteText"/>
        <w:spacing w:before="0" w:after="0"/>
      </w:pPr>
      <w:r>
        <w:rPr>
          <w:rStyle w:val="FootnoteReference"/>
        </w:rPr>
        <w:footnoteRef/>
      </w:r>
      <w:r>
        <w:t xml:space="preserve"> Relevant for </w:t>
      </w:r>
      <w:r w:rsidRPr="001D1BDD">
        <w:rPr>
          <w:b/>
        </w:rPr>
        <w:t>MTO B:</w:t>
      </w:r>
      <w:r w:rsidRPr="001D1BDD">
        <w:t xml:space="preserve"> Increased quality and volume of Sector investments (transport, energy) unlocked or leveraged from WBG and from external resources (donors, Public Private Partnerships), as a result of IFG work</w:t>
      </w:r>
    </w:p>
  </w:footnote>
  <w:footnote w:id="29">
    <w:p w14:paraId="743B7DE1" w14:textId="77777777" w:rsidR="000F2BA9" w:rsidRDefault="000F2BA9" w:rsidP="001B449B">
      <w:pPr>
        <w:pStyle w:val="FootnoteText"/>
        <w:spacing w:before="0" w:after="0"/>
      </w:pPr>
      <w:r>
        <w:rPr>
          <w:rStyle w:val="FootnoteReference"/>
        </w:rPr>
        <w:footnoteRef/>
      </w:r>
      <w:r>
        <w:t xml:space="preserve"> </w:t>
      </w:r>
      <w:r w:rsidRPr="0043406A">
        <w:t>World Bank-DFAT 2014. Partnership for South Asia Annual Report 2014. World Bank, Washington</w:t>
      </w:r>
    </w:p>
  </w:footnote>
  <w:footnote w:id="30">
    <w:p w14:paraId="29590631" w14:textId="77777777" w:rsidR="000F2BA9" w:rsidRDefault="000F2BA9" w:rsidP="001B449B">
      <w:pPr>
        <w:pStyle w:val="FootnoteText"/>
        <w:spacing w:before="0" w:after="0"/>
      </w:pPr>
      <w:r>
        <w:rPr>
          <w:rStyle w:val="FootnoteReference"/>
        </w:rPr>
        <w:footnoteRef/>
      </w:r>
      <w:r>
        <w:t xml:space="preserve"> Case study sources include: World Bank formal reporting to DFAT, specific project documentation shared by the World Bank, interviews with project Task Team Leader and Practice Manager, follow up emails and phone calls and where possible checking of external links to verify information provided.</w:t>
      </w:r>
    </w:p>
  </w:footnote>
  <w:footnote w:id="31">
    <w:p w14:paraId="574F5D8A" w14:textId="77777777" w:rsidR="000F2BA9" w:rsidRDefault="000F2BA9" w:rsidP="00A4030D">
      <w:pPr>
        <w:pStyle w:val="FootnoteText"/>
        <w:spacing w:before="0" w:after="0"/>
      </w:pPr>
      <w:r>
        <w:rPr>
          <w:rStyle w:val="FootnoteReference"/>
        </w:rPr>
        <w:footnoteRef/>
      </w:r>
      <w:r>
        <w:t xml:space="preserve"> 2015 PFSA Annual Report 2015</w:t>
      </w:r>
    </w:p>
  </w:footnote>
  <w:footnote w:id="32">
    <w:p w14:paraId="42B82FDE" w14:textId="6F827E2F" w:rsidR="000F2BA9" w:rsidRDefault="000F2BA9" w:rsidP="00A02664">
      <w:pPr>
        <w:pStyle w:val="FootnoteText"/>
        <w:spacing w:before="0" w:after="0"/>
      </w:pPr>
      <w:r>
        <w:rPr>
          <w:rStyle w:val="FootnoteReference"/>
        </w:rPr>
        <w:footnoteRef/>
      </w:r>
      <w:r>
        <w:t xml:space="preserve"> </w:t>
      </w:r>
      <w:hyperlink r:id="rId4" w:history="1">
        <w:r w:rsidRPr="009B46D7">
          <w:rPr>
            <w:rStyle w:val="Hyperlink"/>
          </w:rPr>
          <w:t>http://www.imperial.ac.uk/transport-studies/railway-and-transport-strategy</w:t>
        </w:r>
      </w:hyperlink>
    </w:p>
  </w:footnote>
  <w:footnote w:id="33">
    <w:p w14:paraId="1AC46BE0" w14:textId="77777777" w:rsidR="000F2BA9" w:rsidRPr="005B1CE0" w:rsidRDefault="000F2BA9" w:rsidP="001B449B">
      <w:pPr>
        <w:pStyle w:val="FootnoteText"/>
        <w:spacing w:before="0" w:after="0"/>
      </w:pPr>
      <w:r w:rsidRPr="005B1CE0">
        <w:rPr>
          <w:rStyle w:val="FootnoteReference"/>
        </w:rPr>
        <w:footnoteRef/>
      </w:r>
      <w:r w:rsidRPr="005B1CE0">
        <w:t xml:space="preserve"> ITF (2008), The Wider Economic Benefits of Transport: Macro-, Meso- and Micro-Economic Transport Planning and Investment Tools, ITF Round Tables, No. 140, OECD Publishing, Paris</w:t>
      </w:r>
    </w:p>
  </w:footnote>
  <w:footnote w:id="34">
    <w:p w14:paraId="7C6B23B3" w14:textId="15FEBA48" w:rsidR="000F2BA9" w:rsidRPr="0002128C" w:rsidRDefault="000F2BA9" w:rsidP="001B449B">
      <w:pPr>
        <w:pStyle w:val="FootnoteText"/>
        <w:spacing w:before="0" w:after="0"/>
      </w:pPr>
      <w:r w:rsidRPr="0002128C">
        <w:rPr>
          <w:rStyle w:val="FootnoteReference"/>
        </w:rPr>
        <w:footnoteRef/>
      </w:r>
      <w:r w:rsidRPr="0002128C">
        <w:t xml:space="preserve"> Interviews with </w:t>
      </w:r>
      <w:r>
        <w:t xml:space="preserve">Task Team Leader from the </w:t>
      </w:r>
      <w:r w:rsidRPr="0002128C">
        <w:t>World Bank Transport Team</w:t>
      </w:r>
    </w:p>
  </w:footnote>
  <w:footnote w:id="35">
    <w:p w14:paraId="35457420" w14:textId="77777777" w:rsidR="000F2BA9" w:rsidRDefault="000F2BA9" w:rsidP="001B449B">
      <w:pPr>
        <w:pStyle w:val="FootnoteText"/>
        <w:spacing w:before="0" w:after="0"/>
      </w:pPr>
      <w:r>
        <w:rPr>
          <w:rStyle w:val="FootnoteReference"/>
        </w:rPr>
        <w:footnoteRef/>
      </w:r>
      <w:r>
        <w:t xml:space="preserve"> 2016 IFG Annual Report &amp; interviews with World Bank Transport Team</w:t>
      </w:r>
    </w:p>
  </w:footnote>
  <w:footnote w:id="36">
    <w:p w14:paraId="4484D142" w14:textId="77777777" w:rsidR="000F2BA9" w:rsidRPr="00AA1D5D" w:rsidRDefault="000F2BA9" w:rsidP="001B449B">
      <w:pPr>
        <w:pStyle w:val="FootnoteText"/>
        <w:spacing w:before="0" w:after="0"/>
      </w:pPr>
      <w:r w:rsidRPr="00AA1D5D">
        <w:rPr>
          <w:rStyle w:val="FootnoteReference"/>
        </w:rPr>
        <w:footnoteRef/>
      </w:r>
      <w:r w:rsidRPr="00AA1D5D">
        <w:t xml:space="preserve"> </w:t>
      </w:r>
      <w:r w:rsidRPr="00DB36BA">
        <w:rPr>
          <w:b/>
          <w:bCs/>
        </w:rPr>
        <w:t xml:space="preserve">The Operator’s Story, </w:t>
      </w:r>
      <w:r w:rsidRPr="00DB36BA">
        <w:t>Emerging Findings, Railway and Transport Strategy Centre, OECD ITF 2017, Leipzig May 2017</w:t>
      </w:r>
      <w:r w:rsidRPr="00AA1D5D">
        <w:t xml:space="preserve"> </w:t>
      </w:r>
    </w:p>
  </w:footnote>
  <w:footnote w:id="37">
    <w:p w14:paraId="365C9E74" w14:textId="77777777" w:rsidR="000F2BA9" w:rsidRDefault="000F2BA9" w:rsidP="001B449B">
      <w:pPr>
        <w:pStyle w:val="FootnoteText"/>
        <w:spacing w:before="0" w:after="0"/>
      </w:pPr>
      <w:r>
        <w:rPr>
          <w:rStyle w:val="FootnoteReference"/>
        </w:rPr>
        <w:footnoteRef/>
      </w:r>
      <w:r>
        <w:t xml:space="preserve"> Detail provided by informant during interview- no link to news article </w:t>
      </w:r>
    </w:p>
  </w:footnote>
  <w:footnote w:id="38">
    <w:p w14:paraId="1A379AF0" w14:textId="77777777" w:rsidR="000F2BA9" w:rsidRDefault="000F2BA9" w:rsidP="00206CE2">
      <w:pPr>
        <w:pStyle w:val="FootnoteText"/>
        <w:spacing w:before="0" w:after="0"/>
      </w:pPr>
      <w:r>
        <w:rPr>
          <w:rStyle w:val="FootnoteReference"/>
        </w:rPr>
        <w:footnoteRef/>
      </w:r>
      <w:r>
        <w:t xml:space="preserve"> Relevant for </w:t>
      </w:r>
      <w:r w:rsidRPr="00CE4DB1">
        <w:rPr>
          <w:b/>
        </w:rPr>
        <w:t>MTO D:</w:t>
      </w:r>
      <w:r w:rsidRPr="00CE4DB1">
        <w:t xml:space="preserve"> IFG contributes to improved effectiveness of World Bank Operations in transport and energy in South Asia</w:t>
      </w:r>
    </w:p>
  </w:footnote>
  <w:footnote w:id="39">
    <w:p w14:paraId="623FB803" w14:textId="77777777" w:rsidR="000F2BA9" w:rsidRDefault="000F2BA9" w:rsidP="001B449B">
      <w:pPr>
        <w:pStyle w:val="FootnoteText"/>
        <w:spacing w:before="0" w:after="0"/>
      </w:pPr>
      <w:r>
        <w:rPr>
          <w:rStyle w:val="FootnoteReference"/>
        </w:rPr>
        <w:footnoteRef/>
      </w:r>
      <w:r>
        <w:t xml:space="preserve"> Case study sources include: World Bank formal reporting to DFAT, specific project documentation shared by the World Bank, interviews with project Task Team Leader and Practice Manager, follow up emails and phone calls and where possible checking of external links to verify information provided.</w:t>
      </w:r>
    </w:p>
  </w:footnote>
  <w:footnote w:id="40">
    <w:p w14:paraId="4183283A" w14:textId="77777777" w:rsidR="000F2BA9" w:rsidRDefault="000F2BA9" w:rsidP="00C401DA">
      <w:pPr>
        <w:pStyle w:val="FootnoteText"/>
        <w:spacing w:before="0" w:after="0"/>
      </w:pPr>
      <w:r>
        <w:rPr>
          <w:rStyle w:val="FootnoteReference"/>
        </w:rPr>
        <w:footnoteRef/>
      </w:r>
      <w:r>
        <w:t xml:space="preserve"> 2015 PFSA Annual Report 2015</w:t>
      </w:r>
    </w:p>
  </w:footnote>
  <w:footnote w:id="41">
    <w:p w14:paraId="4A354685" w14:textId="72D749D0" w:rsidR="000F2BA9" w:rsidRDefault="000F2BA9" w:rsidP="00A02664">
      <w:pPr>
        <w:pStyle w:val="FootnoteText"/>
        <w:spacing w:before="0" w:after="0"/>
      </w:pPr>
      <w:r>
        <w:rPr>
          <w:rStyle w:val="FootnoteReference"/>
        </w:rPr>
        <w:footnoteRef/>
      </w:r>
      <w:r>
        <w:t xml:space="preserve"> Interview with Task Team Leader from the World Bank Transport Team</w:t>
      </w:r>
    </w:p>
  </w:footnote>
  <w:footnote w:id="42">
    <w:p w14:paraId="67152D0D" w14:textId="14EDA1D8" w:rsidR="000F2BA9" w:rsidRPr="00A02664" w:rsidRDefault="000F2BA9" w:rsidP="00A02664">
      <w:pPr>
        <w:pStyle w:val="FootnoteText"/>
        <w:spacing w:before="0" w:after="0"/>
        <w:rPr>
          <w:lang w:val="en-AU"/>
        </w:rPr>
      </w:pPr>
      <w:r>
        <w:rPr>
          <w:rStyle w:val="FootnoteReference"/>
        </w:rPr>
        <w:footnoteRef/>
      </w:r>
      <w:r>
        <w:t xml:space="preserve"> Interview with Task Team Leader from the World Bank Transport Team</w:t>
      </w:r>
      <w:r w:rsidDel="00AB2290">
        <w:t xml:space="preserve"> </w:t>
      </w:r>
    </w:p>
  </w:footnote>
  <w:footnote w:id="43">
    <w:p w14:paraId="54DF4D1C" w14:textId="7B782EFA" w:rsidR="000F2BA9" w:rsidRDefault="000F2BA9" w:rsidP="00A02664">
      <w:pPr>
        <w:pStyle w:val="FootnoteText"/>
        <w:spacing w:before="0" w:after="0"/>
      </w:pPr>
      <w:r>
        <w:rPr>
          <w:rStyle w:val="FootnoteReference"/>
        </w:rPr>
        <w:footnoteRef/>
      </w:r>
      <w:r>
        <w:t xml:space="preserve"> </w:t>
      </w:r>
      <w:r w:rsidRPr="001F29FC">
        <w:t>https://www.railway-technology.com/projects/eastern-dedicated-freight-corridor-edfc/</w:t>
      </w:r>
    </w:p>
  </w:footnote>
  <w:footnote w:id="44">
    <w:p w14:paraId="5FAB0A71" w14:textId="77777777" w:rsidR="000F2BA9" w:rsidRDefault="000F2BA9" w:rsidP="00C401DA">
      <w:pPr>
        <w:pStyle w:val="FootnoteText"/>
        <w:spacing w:before="0" w:after="0"/>
      </w:pPr>
      <w:r>
        <w:rPr>
          <w:rStyle w:val="FootnoteReference"/>
        </w:rPr>
        <w:footnoteRef/>
      </w:r>
      <w:r>
        <w:t xml:space="preserve"> </w:t>
      </w:r>
      <w:r w:rsidRPr="00150621">
        <w:t>Golden Quadrilateral is a network of highways connecting India’s four top metropolitan cities, namely Delhi, Mumbai, Chennai and Kolkata, thereby, forming a quadrilateral.</w:t>
      </w:r>
      <w:r>
        <w:t xml:space="preserve"> </w:t>
      </w:r>
      <w:r w:rsidRPr="00150621">
        <w:t>The largest highway project in India, the Golden Quadrilateral project was launched in 2001 as part of National Highways Development Project </w:t>
      </w:r>
    </w:p>
  </w:footnote>
  <w:footnote w:id="45">
    <w:p w14:paraId="0F848777" w14:textId="0EE4C3C4" w:rsidR="000F2BA9" w:rsidRDefault="000F2BA9" w:rsidP="00A02664">
      <w:pPr>
        <w:pStyle w:val="FootnoteText"/>
        <w:spacing w:before="0" w:after="0"/>
      </w:pPr>
      <w:r>
        <w:rPr>
          <w:rStyle w:val="FootnoteReference"/>
        </w:rPr>
        <w:footnoteRef/>
      </w:r>
      <w:r>
        <w:t xml:space="preserve"> Examples provided during interviews with World Bank Global Practice Managers and Task Team Leaders</w:t>
      </w:r>
    </w:p>
  </w:footnote>
  <w:footnote w:id="46">
    <w:p w14:paraId="3FBC74EE" w14:textId="77777777" w:rsidR="000F2BA9" w:rsidRDefault="000F2BA9" w:rsidP="00C401DA">
      <w:pPr>
        <w:spacing w:before="0" w:after="0"/>
      </w:pPr>
      <w:r w:rsidRPr="000A64A8">
        <w:rPr>
          <w:rStyle w:val="FootnoteReference"/>
          <w:sz w:val="16"/>
          <w:szCs w:val="16"/>
        </w:rPr>
        <w:footnoteRef/>
      </w:r>
      <w:r w:rsidRPr="001D1BDD">
        <w:t xml:space="preserve"> </w:t>
      </w:r>
      <w:r w:rsidRPr="000A64A8">
        <w:rPr>
          <w:sz w:val="16"/>
          <w:szCs w:val="16"/>
        </w:rPr>
        <w:t xml:space="preserve">Relevant for </w:t>
      </w:r>
      <w:r w:rsidRPr="000A64A8">
        <w:rPr>
          <w:b/>
          <w:sz w:val="16"/>
          <w:szCs w:val="16"/>
        </w:rPr>
        <w:t>MTO B</w:t>
      </w:r>
      <w:r w:rsidRPr="000A64A8">
        <w:rPr>
          <w:sz w:val="16"/>
          <w:szCs w:val="16"/>
        </w:rPr>
        <w:t>- Increased quality and volume of Sector investments (transport, energy) unlocked or leveraged from WBG and from external resources (donors, Public Private Partnerships), as a result of IFG work</w:t>
      </w:r>
    </w:p>
  </w:footnote>
  <w:footnote w:id="47">
    <w:p w14:paraId="3BDEAD2C" w14:textId="77777777" w:rsidR="000F2BA9" w:rsidRPr="00541F9F" w:rsidRDefault="000F2BA9" w:rsidP="001B449B">
      <w:pPr>
        <w:pStyle w:val="FootnoteText"/>
        <w:spacing w:before="0" w:after="0"/>
      </w:pPr>
      <w:r w:rsidRPr="00541F9F">
        <w:rPr>
          <w:rStyle w:val="FootnoteReference"/>
          <w:rFonts w:asciiTheme="minorHAnsi" w:hAnsiTheme="minorHAnsi"/>
        </w:rPr>
        <w:footnoteRef/>
      </w:r>
      <w:r w:rsidRPr="00541F9F">
        <w:t xml:space="preserve"> </w:t>
      </w:r>
      <w:r w:rsidRPr="00541F9F">
        <w:rPr>
          <w:lang w:val="en-US"/>
        </w:rPr>
        <w:t>IFG ANNUAL REVIEW – 2016</w:t>
      </w:r>
      <w:r>
        <w:rPr>
          <w:lang w:val="en-US"/>
        </w:rPr>
        <w:t xml:space="preserve"> &amp; interviews with the World Bank</w:t>
      </w:r>
    </w:p>
  </w:footnote>
  <w:footnote w:id="48">
    <w:p w14:paraId="68A63B3C" w14:textId="77777777" w:rsidR="000F2BA9" w:rsidRDefault="000F2BA9" w:rsidP="001B449B">
      <w:pPr>
        <w:pStyle w:val="FootnoteText"/>
        <w:spacing w:before="0" w:after="0"/>
      </w:pPr>
      <w:r>
        <w:rPr>
          <w:rStyle w:val="FootnoteReference"/>
        </w:rPr>
        <w:footnoteRef/>
      </w:r>
      <w:r>
        <w:t xml:space="preserve"> </w:t>
      </w:r>
      <w:r w:rsidRPr="004C5F15">
        <w:t>World Bank, 2016. IFG Annual Review Report (provided to evaluators by DFAT)</w:t>
      </w:r>
    </w:p>
  </w:footnote>
  <w:footnote w:id="49">
    <w:p w14:paraId="4C3B6D39" w14:textId="0200D681" w:rsidR="000F2BA9" w:rsidRDefault="000F2BA9" w:rsidP="001B449B">
      <w:pPr>
        <w:pStyle w:val="FootnoteText"/>
        <w:spacing w:before="0" w:after="0"/>
      </w:pPr>
      <w:r>
        <w:rPr>
          <w:rStyle w:val="FootnoteReference"/>
        </w:rPr>
        <w:footnoteRef/>
      </w:r>
      <w:r>
        <w:t xml:space="preserve"> Relevant for </w:t>
      </w:r>
      <w:r w:rsidRPr="004555A4">
        <w:rPr>
          <w:b/>
        </w:rPr>
        <w:t>MTO D:</w:t>
      </w:r>
      <w:r w:rsidRPr="004555A4">
        <w:t xml:space="preserve"> </w:t>
      </w:r>
      <w:r w:rsidRPr="00765C92">
        <w:t>IFG contributes to improved effectiveness of World Bank Operations in transport and energy in South Asia</w:t>
      </w:r>
    </w:p>
  </w:footnote>
  <w:footnote w:id="50">
    <w:p w14:paraId="1EDA0A49" w14:textId="77777777" w:rsidR="000F2BA9" w:rsidRPr="006676F6" w:rsidRDefault="000F2BA9" w:rsidP="001B449B">
      <w:pPr>
        <w:pStyle w:val="FootnoteText"/>
        <w:spacing w:before="0" w:after="0"/>
      </w:pPr>
      <w:r w:rsidRPr="00DB36BA">
        <w:rPr>
          <w:rStyle w:val="FootnoteReference"/>
        </w:rPr>
        <w:footnoteRef/>
      </w:r>
      <w:r w:rsidRPr="00DB36BA">
        <w:t xml:space="preserve"> </w:t>
      </w:r>
      <w:r w:rsidRPr="006676F6">
        <w:t xml:space="preserve">Lighting the way in Manipur, Case Study on Institutional Strengthening and Capacity Building Reforms for Manipur State Power Distribution Company Limited, </w:t>
      </w:r>
      <w:r>
        <w:t xml:space="preserve">The World Bank, </w:t>
      </w:r>
      <w:r w:rsidRPr="006676F6">
        <w:t>February 2016</w:t>
      </w:r>
    </w:p>
  </w:footnote>
  <w:footnote w:id="51">
    <w:p w14:paraId="2DC95F8C" w14:textId="77777777" w:rsidR="000F2BA9" w:rsidRPr="006676F6" w:rsidRDefault="000F2BA9" w:rsidP="00C401DA">
      <w:pPr>
        <w:pStyle w:val="FootnoteText"/>
        <w:spacing w:before="0" w:after="0"/>
      </w:pPr>
      <w:r>
        <w:rPr>
          <w:rStyle w:val="FootnoteReference"/>
        </w:rPr>
        <w:footnoteRef/>
      </w:r>
      <w:r>
        <w:t xml:space="preserve"> </w:t>
      </w:r>
      <w:r w:rsidRPr="006676F6">
        <w:t>Gender Analysis of Access to Power</w:t>
      </w:r>
      <w:r w:rsidRPr="00D72ED1">
        <w:t xml:space="preserve">, </w:t>
      </w:r>
      <w:r w:rsidRPr="006676F6">
        <w:t xml:space="preserve">North Eastern Region Power System Improvement Project, </w:t>
      </w:r>
      <w:r>
        <w:t xml:space="preserve">The World Bank, </w:t>
      </w:r>
      <w:r w:rsidRPr="006676F6">
        <w:t>September 2015</w:t>
      </w:r>
      <w:r>
        <w:t xml:space="preserve"> </w:t>
      </w:r>
    </w:p>
  </w:footnote>
  <w:footnote w:id="52">
    <w:p w14:paraId="6760A11C" w14:textId="77777777" w:rsidR="000F2BA9" w:rsidRDefault="000F2BA9" w:rsidP="00A02664">
      <w:pPr>
        <w:pStyle w:val="FootnoteText"/>
        <w:spacing w:before="0" w:after="0"/>
      </w:pPr>
      <w:r>
        <w:rPr>
          <w:rStyle w:val="FootnoteReference"/>
        </w:rPr>
        <w:footnoteRef/>
      </w:r>
      <w:r>
        <w:t xml:space="preserve"> Literature Review: </w:t>
      </w:r>
      <w:r w:rsidRPr="00EA5ECA">
        <w:t>Independent Evaluation of the South Asia Regional Trade Facilitation Program (SARTFP) and Infrastructure For Growth (IFG) Programs</w:t>
      </w:r>
    </w:p>
  </w:footnote>
  <w:footnote w:id="53">
    <w:p w14:paraId="42782E03" w14:textId="597607B5" w:rsidR="000F2BA9" w:rsidRDefault="000F2BA9" w:rsidP="00EE2D21">
      <w:pPr>
        <w:pStyle w:val="FootnoteText"/>
      </w:pPr>
      <w:r>
        <w:rPr>
          <w:rStyle w:val="FootnoteReference"/>
        </w:rPr>
        <w:footnoteRef/>
      </w:r>
      <w:r>
        <w:t xml:space="preserve"> Annex 6: Documents Reviewed</w:t>
      </w:r>
    </w:p>
  </w:footnote>
  <w:footnote w:id="54">
    <w:p w14:paraId="21634D36" w14:textId="77777777" w:rsidR="000F2BA9" w:rsidRDefault="000F2BA9" w:rsidP="00C401DA">
      <w:pPr>
        <w:pStyle w:val="FootnoteText"/>
        <w:spacing w:before="0" w:after="0"/>
      </w:pPr>
      <w:r>
        <w:rPr>
          <w:rStyle w:val="FootnoteReference"/>
        </w:rPr>
        <w:footnoteRef/>
      </w:r>
      <w:r>
        <w:t xml:space="preserve"> </w:t>
      </w:r>
      <w:r w:rsidRPr="00297132">
        <w:t>Freeman, P. 2015. Independent Mid-term Review of the Australian Foreign Affairs and Trade – World Bank Partnership for South Asia</w:t>
      </w:r>
      <w:r>
        <w:t>. Australian Government and World Bank.</w:t>
      </w:r>
    </w:p>
  </w:footnote>
  <w:footnote w:id="55">
    <w:p w14:paraId="49FD34B9" w14:textId="77777777" w:rsidR="000F2BA9" w:rsidRDefault="000F2BA9" w:rsidP="00A02664">
      <w:pPr>
        <w:pStyle w:val="FootnoteText"/>
        <w:spacing w:before="0" w:after="0"/>
      </w:pPr>
      <w:r>
        <w:rPr>
          <w:rStyle w:val="FootnoteReference"/>
        </w:rPr>
        <w:footnoteRef/>
      </w:r>
      <w:r>
        <w:t xml:space="preserve"> Based on written correspondence with the IFG Secretariat to discuss this issue</w:t>
      </w:r>
    </w:p>
  </w:footnote>
  <w:footnote w:id="56">
    <w:p w14:paraId="11DC78C6" w14:textId="77777777" w:rsidR="000F2BA9" w:rsidRDefault="000F2BA9" w:rsidP="00C401DA">
      <w:pPr>
        <w:pStyle w:val="FootnoteText"/>
        <w:spacing w:before="0" w:after="0"/>
      </w:pPr>
      <w:r w:rsidRPr="00A15B7E">
        <w:rPr>
          <w:rStyle w:val="FootnoteReference"/>
        </w:rPr>
        <w:footnoteRef/>
      </w:r>
      <w:r w:rsidRPr="00A15B7E">
        <w:t xml:space="preserve"> Written response from the </w:t>
      </w:r>
      <w:r>
        <w:t>IFG Secretariat</w:t>
      </w:r>
      <w:r w:rsidRPr="00A15B7E">
        <w:t xml:space="preserve"> </w:t>
      </w:r>
      <w:r w:rsidRPr="00715D16">
        <w:t>to disbursement query</w:t>
      </w:r>
      <w:r w:rsidRPr="00A44DD6">
        <w:t xml:space="preserve"> &amp; </w:t>
      </w:r>
      <w:r>
        <w:t xml:space="preserve">review of </w:t>
      </w:r>
      <w:r w:rsidRPr="00A44DD6">
        <w:t>PFSA Administration Manual V2.0-April 2016</w:t>
      </w:r>
    </w:p>
  </w:footnote>
  <w:footnote w:id="57">
    <w:p w14:paraId="26F84A15" w14:textId="2F1B3B93" w:rsidR="000F2BA9" w:rsidRDefault="000F2BA9" w:rsidP="00A02664">
      <w:pPr>
        <w:pStyle w:val="FootnoteText"/>
        <w:spacing w:before="0" w:after="0"/>
      </w:pPr>
      <w:r>
        <w:rPr>
          <w:rStyle w:val="FootnoteReference"/>
        </w:rPr>
        <w:footnoteRef/>
      </w:r>
      <w:r>
        <w:t xml:space="preserve"> Interviews with informants from DFAT, the World Bank and other stakeholders. Literature review: </w:t>
      </w:r>
      <w:r w:rsidRPr="00917DB5">
        <w:t xml:space="preserve">Independent Evaluation of the South Asia Regional Trade Facilitation Program (SARTFP) and Infrastructure </w:t>
      </w:r>
      <w:r>
        <w:t>f</w:t>
      </w:r>
      <w:r w:rsidRPr="00917DB5">
        <w:t>or Growth (IFG) Programs</w:t>
      </w:r>
    </w:p>
  </w:footnote>
  <w:footnote w:id="58">
    <w:p w14:paraId="786EEDC8" w14:textId="77777777" w:rsidR="000F2BA9" w:rsidRDefault="000F2BA9" w:rsidP="001B449B">
      <w:pPr>
        <w:pStyle w:val="FootnoteText"/>
        <w:spacing w:before="0" w:after="0"/>
      </w:pPr>
      <w:r>
        <w:rPr>
          <w:rStyle w:val="FootnoteReference"/>
        </w:rPr>
        <w:footnoteRef/>
      </w:r>
      <w:r>
        <w:t xml:space="preserve"> </w:t>
      </w:r>
      <w:r w:rsidRPr="006904B1">
        <w:t>DFAT, ‘2017 Foreign Policy White Paper’, Canberra</w:t>
      </w:r>
    </w:p>
  </w:footnote>
  <w:footnote w:id="59">
    <w:p w14:paraId="52A5050C" w14:textId="77777777" w:rsidR="000F2BA9" w:rsidRDefault="000F2BA9" w:rsidP="001B449B">
      <w:pPr>
        <w:pStyle w:val="FootnoteText"/>
        <w:spacing w:before="0" w:after="0"/>
      </w:pPr>
      <w:r>
        <w:rPr>
          <w:rStyle w:val="FootnoteReference"/>
        </w:rPr>
        <w:footnoteRef/>
      </w:r>
      <w:r>
        <w:t xml:space="preserve"> Ibid.</w:t>
      </w:r>
    </w:p>
  </w:footnote>
  <w:footnote w:id="60">
    <w:p w14:paraId="1FBF6CB6" w14:textId="77777777" w:rsidR="000F2BA9" w:rsidRDefault="000F2BA9" w:rsidP="001B449B">
      <w:pPr>
        <w:pStyle w:val="FootnoteText"/>
        <w:spacing w:before="0" w:after="0"/>
      </w:pPr>
      <w:r>
        <w:rPr>
          <w:rStyle w:val="FootnoteReference"/>
        </w:rPr>
        <w:footnoteRef/>
      </w:r>
      <w:r>
        <w:t xml:space="preserve"> Ibid, p.42</w:t>
      </w:r>
    </w:p>
  </w:footnote>
  <w:footnote w:id="61">
    <w:p w14:paraId="0DBA434F" w14:textId="77777777" w:rsidR="000F2BA9" w:rsidRDefault="000F2BA9" w:rsidP="001B449B">
      <w:pPr>
        <w:pStyle w:val="FootnoteText"/>
        <w:spacing w:before="0" w:after="0"/>
      </w:pPr>
      <w:r>
        <w:rPr>
          <w:rStyle w:val="FootnoteReference"/>
        </w:rPr>
        <w:footnoteRef/>
      </w:r>
      <w:r>
        <w:t xml:space="preserve"> Interviews held in Delhi with stakeholders outside DFAT and World Bank, Feb 2018 </w:t>
      </w:r>
    </w:p>
  </w:footnote>
  <w:footnote w:id="62">
    <w:p w14:paraId="3DB4E239" w14:textId="77777777" w:rsidR="000F2BA9" w:rsidRPr="0058312C" w:rsidRDefault="000F2BA9" w:rsidP="001B449B">
      <w:pPr>
        <w:pStyle w:val="FootnoteText"/>
        <w:spacing w:before="0" w:after="0"/>
      </w:pPr>
      <w:r w:rsidRPr="0058312C">
        <w:rPr>
          <w:rStyle w:val="FootnoteReference"/>
        </w:rPr>
        <w:footnoteRef/>
      </w:r>
      <w:r w:rsidRPr="0058312C">
        <w:t xml:space="preserve"> IFG Annual Review report (Draft), 2016</w:t>
      </w:r>
    </w:p>
  </w:footnote>
  <w:footnote w:id="63">
    <w:p w14:paraId="3C845CAD" w14:textId="77777777" w:rsidR="000F2BA9" w:rsidRDefault="000F2BA9" w:rsidP="001B449B">
      <w:pPr>
        <w:pStyle w:val="FootnoteText"/>
        <w:spacing w:before="0" w:after="0"/>
      </w:pPr>
      <w:r>
        <w:rPr>
          <w:rStyle w:val="FootnoteReference"/>
        </w:rPr>
        <w:footnoteRef/>
      </w:r>
      <w:r>
        <w:t xml:space="preserve"> </w:t>
      </w:r>
      <w:hyperlink r:id="rId5" w:history="1">
        <w:r w:rsidRPr="00F459A3">
          <w:rPr>
            <w:rStyle w:val="Hyperlink"/>
          </w:rPr>
          <w:t>https://www.hindustantimes.com/analysis/boosting-business-in-the-bangladesh-corridor-is-crucial-to-india-s-act-east-policy/story-QQil8gOEvRPEX6XZshJteP.html</w:t>
        </w:r>
      </w:hyperlink>
      <w:r>
        <w:t>; accessed May 2018</w:t>
      </w:r>
    </w:p>
  </w:footnote>
  <w:footnote w:id="64">
    <w:p w14:paraId="3CE42C51" w14:textId="77777777" w:rsidR="000F2BA9" w:rsidRDefault="000F2BA9" w:rsidP="001B449B">
      <w:pPr>
        <w:pStyle w:val="FootnoteText"/>
        <w:spacing w:before="0" w:after="0"/>
      </w:pPr>
      <w:r w:rsidRPr="00A02664">
        <w:footnoteRef/>
      </w:r>
      <w:r>
        <w:t xml:space="preserve"> Evaluation team’s analysis of disbursement data supplied by World Bank, as at December 2017.</w:t>
      </w:r>
    </w:p>
  </w:footnote>
  <w:footnote w:id="65">
    <w:p w14:paraId="756C0305" w14:textId="177A4CA3" w:rsidR="000F2BA9" w:rsidRDefault="000F2BA9" w:rsidP="00A02664">
      <w:pPr>
        <w:pStyle w:val="FootnoteText"/>
        <w:spacing w:before="0" w:after="0"/>
      </w:pPr>
      <w:r w:rsidRPr="00A02664">
        <w:footnoteRef/>
      </w:r>
      <w:r>
        <w:t xml:space="preserve"> See Annex 5: Documents Reviewed </w:t>
      </w:r>
    </w:p>
  </w:footnote>
  <w:footnote w:id="66">
    <w:p w14:paraId="1885069B" w14:textId="489721C9" w:rsidR="000F2BA9" w:rsidRPr="00FD632A" w:rsidRDefault="000F2BA9" w:rsidP="001B449B">
      <w:pPr>
        <w:pStyle w:val="FootnoteText"/>
        <w:spacing w:before="0" w:after="0"/>
      </w:pPr>
      <w:r w:rsidRPr="00A02664">
        <w:footnoteRef/>
      </w:r>
      <w:r w:rsidRPr="0058312C">
        <w:t xml:space="preserve"> </w:t>
      </w:r>
      <w:r w:rsidRPr="00297132">
        <w:t>Freeman, P. 2015. Independent Mid-term Review of the Australian Foreign Affairs and Trade – World Bank Partnership for South Asia</w:t>
      </w:r>
      <w:r>
        <w:t>. Australian Government and World Bank.</w:t>
      </w:r>
    </w:p>
  </w:footnote>
  <w:footnote w:id="67">
    <w:p w14:paraId="425B205B" w14:textId="77777777" w:rsidR="000F2BA9" w:rsidRDefault="000F2BA9" w:rsidP="001B449B">
      <w:pPr>
        <w:pStyle w:val="FootnoteText"/>
        <w:spacing w:before="0" w:after="0"/>
      </w:pPr>
      <w:r>
        <w:rPr>
          <w:rStyle w:val="FootnoteReference"/>
        </w:rPr>
        <w:footnoteRef/>
      </w:r>
      <w:r>
        <w:t xml:space="preserve"> DFAT, SARTFP and IFG Aid Quality Check, 2017</w:t>
      </w:r>
    </w:p>
  </w:footnote>
  <w:footnote w:id="68">
    <w:p w14:paraId="3CF517CE" w14:textId="77777777" w:rsidR="000F2BA9" w:rsidRDefault="000F2BA9" w:rsidP="001B449B">
      <w:pPr>
        <w:pStyle w:val="FootnoteText"/>
        <w:spacing w:before="0" w:after="0"/>
      </w:pPr>
      <w:r>
        <w:rPr>
          <w:rStyle w:val="FootnoteReference"/>
        </w:rPr>
        <w:footnoteRef/>
      </w:r>
      <w:r>
        <w:t xml:space="preserve"> Sources include: multiple interviewees from DFAT and the World Bank, IFG Aid Quality Check reports, IFG annual reports</w:t>
      </w:r>
    </w:p>
  </w:footnote>
  <w:footnote w:id="69">
    <w:p w14:paraId="219EFE06" w14:textId="77777777" w:rsidR="000F2BA9" w:rsidRPr="00F97CF0" w:rsidRDefault="000F2BA9" w:rsidP="001B449B">
      <w:pPr>
        <w:pStyle w:val="FootnoteText"/>
        <w:spacing w:before="0" w:after="0"/>
      </w:pPr>
      <w:r>
        <w:rPr>
          <w:rStyle w:val="FootnoteReference"/>
        </w:rPr>
        <w:footnoteRef/>
      </w:r>
      <w:r>
        <w:t xml:space="preserve"> Letter from </w:t>
      </w:r>
      <w:r w:rsidRPr="00F97CF0">
        <w:t>World Bank’s Vice President for South Asia region Annette Dixon</w:t>
      </w:r>
      <w:r>
        <w:t xml:space="preserve"> to Indian Envoy, July 2017, reported in</w:t>
      </w:r>
    </w:p>
    <w:p w14:paraId="6B83EAE4" w14:textId="77777777" w:rsidR="000F2BA9" w:rsidRDefault="00416477" w:rsidP="001B449B">
      <w:pPr>
        <w:pStyle w:val="FootnoteText"/>
        <w:spacing w:before="0" w:after="0"/>
      </w:pPr>
      <w:hyperlink r:id="rId6" w:history="1">
        <w:r w:rsidR="000F2BA9" w:rsidRPr="00F459A3">
          <w:rPr>
            <w:rStyle w:val="Hyperlink"/>
          </w:rPr>
          <w:t>https://www.hindustantimes.com/india-news/world-bank-assures-neutrality-in-india-pakistan-talks-over-indus-waters-treaty/story-mjhsABmxPNzQeXQWeDc7UN.html</w:t>
        </w:r>
      </w:hyperlink>
      <w:r w:rsidR="000F2BA9">
        <w:t>; accessed February 2018</w:t>
      </w:r>
    </w:p>
  </w:footnote>
  <w:footnote w:id="70">
    <w:p w14:paraId="3ED72E4E" w14:textId="77777777" w:rsidR="000F2BA9" w:rsidRPr="004E7541" w:rsidRDefault="000F2BA9" w:rsidP="001B449B">
      <w:pPr>
        <w:pStyle w:val="FootnoteText"/>
        <w:spacing w:before="0" w:after="0"/>
      </w:pPr>
      <w:r w:rsidRPr="004E7541">
        <w:rPr>
          <w:rStyle w:val="FootnoteReference"/>
          <w:rFonts w:asciiTheme="minorHAnsi" w:hAnsiTheme="minorHAnsi"/>
        </w:rPr>
        <w:footnoteRef/>
      </w:r>
      <w:r w:rsidRPr="004E7541">
        <w:t xml:space="preserve"> </w:t>
      </w:r>
      <w:r>
        <w:t xml:space="preserve">Notes from interviews with World Bank staff including </w:t>
      </w:r>
      <w:r w:rsidRPr="004E7541">
        <w:t xml:space="preserve">senior World Bank </w:t>
      </w:r>
      <w:r>
        <w:t>informants</w:t>
      </w:r>
    </w:p>
  </w:footnote>
  <w:footnote w:id="71">
    <w:p w14:paraId="60183B61" w14:textId="77777777" w:rsidR="000F2BA9" w:rsidRPr="005A1E47" w:rsidRDefault="000F2BA9" w:rsidP="001B449B">
      <w:pPr>
        <w:pStyle w:val="EndnoteText"/>
        <w:spacing w:before="0" w:after="0"/>
        <w:rPr>
          <w:sz w:val="16"/>
          <w:szCs w:val="16"/>
        </w:rPr>
      </w:pPr>
      <w:r w:rsidRPr="005A1E47">
        <w:rPr>
          <w:rStyle w:val="FootnoteReference"/>
          <w:sz w:val="16"/>
          <w:szCs w:val="16"/>
        </w:rPr>
        <w:footnoteRef/>
      </w:r>
      <w:r w:rsidRPr="005A1E47">
        <w:rPr>
          <w:sz w:val="16"/>
          <w:szCs w:val="16"/>
        </w:rPr>
        <w:t xml:space="preserve"> World Bank Group IEG 2016. Learning from IDA Experience: Lessons from IEG Evaluations. World Bank, Washington</w:t>
      </w:r>
    </w:p>
  </w:footnote>
  <w:footnote w:id="72">
    <w:p w14:paraId="1CAAD84D" w14:textId="77777777" w:rsidR="000F2BA9" w:rsidRDefault="000F2BA9" w:rsidP="001B449B">
      <w:pPr>
        <w:pStyle w:val="FootnoteText"/>
        <w:spacing w:before="0" w:after="0"/>
      </w:pPr>
      <w:r>
        <w:rPr>
          <w:rStyle w:val="FootnoteReference"/>
        </w:rPr>
        <w:footnoteRef/>
      </w:r>
      <w:r>
        <w:t xml:space="preserve"> Based on interviews with World Bank Global Practice teams working on IFG projects: Energy &amp; Extractives, Transport, Trade &amp; Competitiveness</w:t>
      </w:r>
    </w:p>
  </w:footnote>
  <w:footnote w:id="73">
    <w:p w14:paraId="6138B034" w14:textId="77777777" w:rsidR="000F2BA9" w:rsidRDefault="000F2BA9" w:rsidP="001B449B">
      <w:pPr>
        <w:pStyle w:val="FootnoteText"/>
        <w:spacing w:before="0" w:after="0"/>
      </w:pPr>
      <w:r>
        <w:rPr>
          <w:rStyle w:val="FootnoteReference"/>
        </w:rPr>
        <w:footnoteRef/>
      </w:r>
      <w:r>
        <w:t xml:space="preserve"> Based on interviews with members of the World Bank Transport team, Social Development Team and other non-Transport Team World Bank informants</w:t>
      </w:r>
    </w:p>
  </w:footnote>
  <w:footnote w:id="74">
    <w:p w14:paraId="56CC9780" w14:textId="77777777" w:rsidR="000F2BA9" w:rsidRDefault="000F2BA9" w:rsidP="001B449B">
      <w:pPr>
        <w:pStyle w:val="FootnoteText"/>
        <w:spacing w:before="0" w:after="0"/>
      </w:pPr>
      <w:r>
        <w:rPr>
          <w:rStyle w:val="FootnoteReference"/>
        </w:rPr>
        <w:footnoteRef/>
      </w:r>
      <w:r>
        <w:t xml:space="preserve"> Internal World Bank project documentation and emails shared as part of the detailed study in projects selected by the evaluation team</w:t>
      </w:r>
    </w:p>
  </w:footnote>
  <w:footnote w:id="75">
    <w:p w14:paraId="01DCF6D3" w14:textId="77777777" w:rsidR="000F2BA9" w:rsidRPr="00295FCC" w:rsidRDefault="000F2BA9" w:rsidP="001B449B">
      <w:pPr>
        <w:pStyle w:val="FootnoteText"/>
        <w:spacing w:before="0" w:after="0"/>
      </w:pPr>
      <w:r w:rsidRPr="00C73BD7">
        <w:rPr>
          <w:rStyle w:val="FootnoteReference"/>
        </w:rPr>
        <w:footnoteRef/>
      </w:r>
      <w:r w:rsidRPr="00C73BD7">
        <w:t xml:space="preserve"> The Bank's monitoring system ('gender tag") monitors and rates projects on their "depth" of gender integration by assessing whether the project design integrates (1) gender analysis and / or consultation on gender or gender-related issues; (2) specific actions to address the distinct needs of women and girls, or men and boys, or to positively affect gender gaps; and (3) mechanisms to facilitate the monitoring and / or evaluation of gender impacts through the results framework. </w:t>
      </w:r>
      <w:r>
        <w:t>The World Bank Group Gender Strategy (2016-23).</w:t>
      </w:r>
    </w:p>
  </w:footnote>
  <w:footnote w:id="76">
    <w:p w14:paraId="14F5B0A8" w14:textId="77777777" w:rsidR="000F2BA9" w:rsidRDefault="000F2BA9" w:rsidP="001B449B">
      <w:pPr>
        <w:pStyle w:val="FootnoteText"/>
        <w:spacing w:before="0" w:after="0"/>
      </w:pPr>
      <w:r>
        <w:rPr>
          <w:rStyle w:val="FootnoteReference"/>
        </w:rPr>
        <w:footnoteRef/>
      </w:r>
      <w:r>
        <w:t xml:space="preserve"> Based on consensus of interviews with World Bank staff that these sectors are challenging to integrate gender equality</w:t>
      </w:r>
    </w:p>
  </w:footnote>
  <w:footnote w:id="77">
    <w:p w14:paraId="3086D2C2" w14:textId="77777777" w:rsidR="000F2BA9" w:rsidRDefault="000F2BA9" w:rsidP="001B449B">
      <w:pPr>
        <w:pStyle w:val="FootnoteText"/>
        <w:spacing w:before="0" w:after="0"/>
      </w:pPr>
      <w:r>
        <w:rPr>
          <w:rStyle w:val="FootnoteReference"/>
        </w:rPr>
        <w:footnoteRef/>
      </w:r>
      <w:r>
        <w:t xml:space="preserve"> Point consistently raised in interviews with Task Team Leaders and confirmed by some Practice Managers.</w:t>
      </w:r>
    </w:p>
  </w:footnote>
  <w:footnote w:id="78">
    <w:p w14:paraId="1DFF7E2A" w14:textId="11307C13" w:rsidR="000F2BA9" w:rsidRDefault="000F2BA9" w:rsidP="00A02664">
      <w:pPr>
        <w:pStyle w:val="FootnoteText"/>
        <w:spacing w:before="0" w:after="0"/>
      </w:pPr>
      <w:r>
        <w:rPr>
          <w:rStyle w:val="FootnoteReference"/>
        </w:rPr>
        <w:footnoteRef/>
      </w:r>
      <w:r>
        <w:t xml:space="preserve"> Based on informant interviews, the literature review and selected project analysis</w:t>
      </w:r>
    </w:p>
  </w:footnote>
  <w:footnote w:id="79">
    <w:p w14:paraId="3F503006" w14:textId="77777777" w:rsidR="000F2BA9" w:rsidRDefault="000F2BA9" w:rsidP="001B449B">
      <w:pPr>
        <w:pStyle w:val="FootnoteText"/>
        <w:spacing w:before="0" w:after="0"/>
      </w:pPr>
      <w:r>
        <w:rPr>
          <w:rStyle w:val="FootnoteReference"/>
        </w:rPr>
        <w:footnoteRef/>
      </w:r>
      <w:r>
        <w:t xml:space="preserve"> A senior DFAT official explained that SARTFP was more innovative than IFG, but also more “risky”.</w:t>
      </w:r>
    </w:p>
  </w:footnote>
  <w:footnote w:id="80">
    <w:p w14:paraId="024F1DF7" w14:textId="77777777" w:rsidR="000F2BA9" w:rsidRDefault="000F2BA9" w:rsidP="001B449B">
      <w:pPr>
        <w:pStyle w:val="FootnoteText"/>
        <w:spacing w:before="0" w:after="0"/>
      </w:pPr>
      <w:r>
        <w:rPr>
          <w:rStyle w:val="FootnoteReference"/>
        </w:rPr>
        <w:footnoteRef/>
      </w:r>
      <w:r>
        <w:t xml:space="preserve"> </w:t>
      </w:r>
      <w:r w:rsidRPr="00BC375A">
        <w:t xml:space="preserve">Annual Report </w:t>
      </w:r>
      <w:r>
        <w:t>of the Government Chief Scientifi</w:t>
      </w:r>
      <w:r w:rsidRPr="00BC375A">
        <w:t xml:space="preserve">c Adviser </w:t>
      </w:r>
      <w:r>
        <w:t>(</w:t>
      </w:r>
      <w:r w:rsidRPr="00BC375A">
        <w:t>2014</w:t>
      </w:r>
      <w:r>
        <w:t>)</w:t>
      </w:r>
      <w:r w:rsidRPr="00BC375A">
        <w:t xml:space="preserve">. </w:t>
      </w:r>
      <w:r>
        <w:t>‘</w:t>
      </w:r>
      <w:r w:rsidRPr="00BC375A">
        <w:t>Innovation: Managing Risk, No</w:t>
      </w:r>
      <w:r>
        <w:t>t Avoiding It’, The Government Offi</w:t>
      </w:r>
      <w:r w:rsidRPr="00BC375A">
        <w:t xml:space="preserve">ce for Science, London </w:t>
      </w:r>
    </w:p>
  </w:footnote>
  <w:footnote w:id="81">
    <w:p w14:paraId="303D40A8" w14:textId="77777777" w:rsidR="000F2BA9" w:rsidRPr="00BC375A" w:rsidRDefault="000F2BA9" w:rsidP="001B449B">
      <w:pPr>
        <w:pStyle w:val="FootnoteText"/>
        <w:spacing w:before="0" w:after="0"/>
      </w:pPr>
      <w:r>
        <w:rPr>
          <w:rStyle w:val="FootnoteReference"/>
        </w:rPr>
        <w:footnoteRef/>
      </w:r>
      <w:r>
        <w:t xml:space="preserve"> </w:t>
      </w:r>
      <w:r w:rsidRPr="00BC375A">
        <w:t xml:space="preserve">Korten, D. (1992) ‘Rural development programming: The learning process approach’, in Lynton, R. and Pareek, U. (eds) Facilitating Development: Readings for Trainers, Consultants and Policy-makers, London/New Delhi/Newbury Park (CA), Sage, pp. 338–344. </w:t>
      </w:r>
    </w:p>
    <w:p w14:paraId="38E64227" w14:textId="77777777" w:rsidR="000F2BA9" w:rsidRDefault="000F2BA9" w:rsidP="001B449B">
      <w:pPr>
        <w:pStyle w:val="FootnoteText"/>
        <w:spacing w:before="0" w:after="0"/>
      </w:pPr>
    </w:p>
  </w:footnote>
  <w:footnote w:id="82">
    <w:p w14:paraId="7484A9D5" w14:textId="77777777" w:rsidR="000F2BA9" w:rsidRPr="009C2734" w:rsidRDefault="000F2BA9" w:rsidP="001B449B">
      <w:pPr>
        <w:pStyle w:val="FootnoteText"/>
        <w:spacing w:before="0" w:after="0"/>
      </w:pPr>
      <w:r w:rsidRPr="009C2734">
        <w:rPr>
          <w:rStyle w:val="FootnoteReference"/>
        </w:rPr>
        <w:footnoteRef/>
      </w:r>
      <w:r w:rsidRPr="009C2734">
        <w:t xml:space="preserve"> 2015-16 South Asia A</w:t>
      </w:r>
      <w:r>
        <w:t>PPR</w:t>
      </w:r>
    </w:p>
  </w:footnote>
  <w:footnote w:id="83">
    <w:p w14:paraId="20743E27" w14:textId="77777777" w:rsidR="000F2BA9" w:rsidRDefault="000F2BA9" w:rsidP="001B449B">
      <w:pPr>
        <w:pStyle w:val="FootnoteText"/>
        <w:spacing w:before="0" w:after="0"/>
      </w:pPr>
      <w:r>
        <w:rPr>
          <w:rStyle w:val="FootnoteReference"/>
        </w:rPr>
        <w:footnoteRef/>
      </w:r>
      <w:r>
        <w:t xml:space="preserve"> Interview with two senior members of the SARTFP Secretariat</w:t>
      </w:r>
    </w:p>
  </w:footnote>
  <w:footnote w:id="84">
    <w:p w14:paraId="268115B1" w14:textId="77777777" w:rsidR="000F2BA9" w:rsidRDefault="000F2BA9" w:rsidP="001B449B">
      <w:pPr>
        <w:pStyle w:val="FootnoteText"/>
        <w:spacing w:before="0" w:after="0"/>
      </w:pPr>
      <w:r>
        <w:rPr>
          <w:rStyle w:val="FootnoteReference"/>
        </w:rPr>
        <w:footnoteRef/>
      </w:r>
      <w:r>
        <w:t xml:space="preserve"> Based on interviews with DFAT and the World Bank and the literature review, such as minutes from SARFTP Donor Steering Committee meetings.</w:t>
      </w:r>
    </w:p>
  </w:footnote>
  <w:footnote w:id="85">
    <w:p w14:paraId="4129F1A1" w14:textId="77777777" w:rsidR="000F2BA9" w:rsidRDefault="000F2BA9" w:rsidP="001B449B">
      <w:pPr>
        <w:pStyle w:val="FootnoteText"/>
        <w:spacing w:before="0" w:after="0"/>
      </w:pPr>
      <w:r w:rsidRPr="009C2734">
        <w:rPr>
          <w:rStyle w:val="FootnoteReference"/>
        </w:rPr>
        <w:footnoteRef/>
      </w:r>
      <w:r w:rsidRPr="009C2734">
        <w:t xml:space="preserve"> For instance, MAMPU, the women’s empowerment program in Indonesia, has used the ‘performance stories’ approach to good effect.</w:t>
      </w:r>
    </w:p>
  </w:footnote>
  <w:footnote w:id="86">
    <w:p w14:paraId="01278E86" w14:textId="77777777" w:rsidR="000F2BA9" w:rsidRDefault="000F2BA9" w:rsidP="001B449B">
      <w:pPr>
        <w:pStyle w:val="FootnoteText"/>
        <w:spacing w:before="0" w:after="0"/>
      </w:pPr>
      <w:r>
        <w:rPr>
          <w:rStyle w:val="FootnoteReference"/>
        </w:rPr>
        <w:footnoteRef/>
      </w:r>
      <w:r>
        <w:t xml:space="preserve"> Comment made in multiple interviews with World Bank informants</w:t>
      </w:r>
    </w:p>
  </w:footnote>
  <w:footnote w:id="87">
    <w:p w14:paraId="659366C5" w14:textId="77777777" w:rsidR="000F2BA9" w:rsidRPr="00720937" w:rsidRDefault="000F2BA9" w:rsidP="00AB5969">
      <w:pPr>
        <w:pStyle w:val="FootnoteText"/>
        <w:spacing w:before="0" w:after="0"/>
      </w:pPr>
      <w:r w:rsidRPr="00720937">
        <w:rPr>
          <w:rStyle w:val="FootnoteReference"/>
        </w:rPr>
        <w:footnoteRef/>
      </w:r>
      <w:r w:rsidRPr="00720937">
        <w:t xml:space="preserve"> </w:t>
      </w:r>
      <w:r w:rsidRPr="009C2734">
        <w:t>For instance, MAMPU, the women’s empowerment program in Indonesia, has used the ‘performance stories’ approach to good effect.</w:t>
      </w:r>
    </w:p>
  </w:footnote>
  <w:footnote w:id="88">
    <w:p w14:paraId="58313400" w14:textId="072369C8" w:rsidR="000F2BA9" w:rsidRDefault="000F2BA9" w:rsidP="00A02664">
      <w:pPr>
        <w:pStyle w:val="FootnoteText"/>
        <w:spacing w:before="0" w:after="0"/>
      </w:pPr>
      <w:r>
        <w:rPr>
          <w:rStyle w:val="FootnoteReference"/>
        </w:rPr>
        <w:footnoteRef/>
      </w:r>
      <w:r>
        <w:t xml:space="preserve"> Evidence is from interviews with the SARTFP Secretariat, a variety of other World Bank informants, DFAT, and literature review.</w:t>
      </w:r>
    </w:p>
  </w:footnote>
  <w:footnote w:id="89">
    <w:p w14:paraId="62DA8754" w14:textId="77777777" w:rsidR="000F2BA9" w:rsidRDefault="000F2BA9" w:rsidP="00AB5969">
      <w:pPr>
        <w:pStyle w:val="FootnoteText"/>
        <w:spacing w:before="0" w:after="0"/>
      </w:pPr>
      <w:r>
        <w:rPr>
          <w:rStyle w:val="FootnoteReference"/>
        </w:rPr>
        <w:footnoteRef/>
      </w:r>
      <w:r>
        <w:t xml:space="preserve"> Interview with senior SARTFP Secretariat members</w:t>
      </w:r>
    </w:p>
  </w:footnote>
  <w:footnote w:id="90">
    <w:p w14:paraId="74869F2B" w14:textId="77777777" w:rsidR="000F2BA9" w:rsidRDefault="000F2BA9" w:rsidP="001B449B">
      <w:pPr>
        <w:pStyle w:val="FootnoteText"/>
        <w:spacing w:before="0" w:after="0"/>
      </w:pPr>
      <w:r>
        <w:rPr>
          <w:rStyle w:val="FootnoteReference"/>
        </w:rPr>
        <w:footnoteRef/>
      </w:r>
      <w:r>
        <w:t xml:space="preserve"> Interviews with World Bank Practice Managers and senior World Bank staff</w:t>
      </w:r>
    </w:p>
  </w:footnote>
  <w:footnote w:id="91">
    <w:p w14:paraId="6B9525E9" w14:textId="77777777" w:rsidR="000F2BA9" w:rsidRDefault="000F2BA9" w:rsidP="001B449B">
      <w:pPr>
        <w:pStyle w:val="FootnoteText"/>
        <w:spacing w:before="0" w:after="0"/>
      </w:pPr>
      <w:r>
        <w:rPr>
          <w:rStyle w:val="FootnoteReference"/>
        </w:rPr>
        <w:footnoteRef/>
      </w:r>
      <w:r>
        <w:t xml:space="preserve"> Interview with SARTFP Task Team Leader</w:t>
      </w:r>
    </w:p>
  </w:footnote>
  <w:footnote w:id="92">
    <w:p w14:paraId="53DC4E0F" w14:textId="77777777" w:rsidR="000F2BA9" w:rsidRDefault="000F2BA9" w:rsidP="001B449B">
      <w:pPr>
        <w:pStyle w:val="FootnoteText"/>
        <w:spacing w:before="0" w:after="0"/>
      </w:pPr>
      <w:r>
        <w:rPr>
          <w:rStyle w:val="FootnoteReference"/>
        </w:rPr>
        <w:footnoteRef/>
      </w:r>
      <w:r>
        <w:t xml:space="preserve"> Interviews with TAF members and Task Team Leaders</w:t>
      </w:r>
    </w:p>
  </w:footnote>
  <w:footnote w:id="93">
    <w:p w14:paraId="45AB7D60" w14:textId="77777777" w:rsidR="000F2BA9" w:rsidRDefault="000F2BA9" w:rsidP="001B449B">
      <w:pPr>
        <w:pStyle w:val="FootnoteText"/>
        <w:spacing w:before="0" w:after="0"/>
      </w:pPr>
      <w:r>
        <w:rPr>
          <w:rStyle w:val="FootnoteReference"/>
        </w:rPr>
        <w:footnoteRef/>
      </w:r>
      <w:r>
        <w:t xml:space="preserve"> Interview with senior DFAT official with close experience of both programs</w:t>
      </w:r>
    </w:p>
  </w:footnote>
  <w:footnote w:id="94">
    <w:p w14:paraId="5EF5A33D" w14:textId="77777777" w:rsidR="000F2BA9" w:rsidRDefault="000F2BA9" w:rsidP="001B449B">
      <w:pPr>
        <w:pStyle w:val="FootnoteText"/>
        <w:spacing w:before="0" w:after="0"/>
      </w:pPr>
      <w:r>
        <w:rPr>
          <w:rStyle w:val="FootnoteReference"/>
        </w:rPr>
        <w:footnoteRef/>
      </w:r>
      <w:r>
        <w:t xml:space="preserve"> Minutes from World Bank SARTFP Internal Review Committee, 3</w:t>
      </w:r>
      <w:r w:rsidRPr="002749C9">
        <w:rPr>
          <w:vertAlign w:val="superscript"/>
        </w:rPr>
        <w:t>rd</w:t>
      </w:r>
      <w:r>
        <w:t xml:space="preserve"> February 2017</w:t>
      </w:r>
    </w:p>
  </w:footnote>
  <w:footnote w:id="95">
    <w:p w14:paraId="1084536C" w14:textId="77777777" w:rsidR="000F2BA9" w:rsidRDefault="000F2BA9" w:rsidP="001B449B">
      <w:pPr>
        <w:pStyle w:val="FootnoteText"/>
        <w:spacing w:before="0" w:after="0"/>
      </w:pPr>
      <w:r>
        <w:rPr>
          <w:rStyle w:val="FootnoteReference"/>
        </w:rPr>
        <w:footnoteRef/>
      </w:r>
      <w:r>
        <w:t xml:space="preserve"> Relevant for </w:t>
      </w:r>
      <w:r w:rsidRPr="008F6EAD">
        <w:rPr>
          <w:b/>
          <w:bCs/>
        </w:rPr>
        <w:t>MTO B</w:t>
      </w:r>
      <w:r w:rsidRPr="008F6EAD">
        <w:t xml:space="preserve">: Governments in BBIN countries make </w:t>
      </w:r>
      <w:r w:rsidRPr="008F6EAD">
        <w:rPr>
          <w:b/>
          <w:bCs/>
        </w:rPr>
        <w:t xml:space="preserve">complementary investments </w:t>
      </w:r>
      <w:r w:rsidRPr="008F6EAD">
        <w:t>in trade facilitation, cross-border transport connectivity, and local economic opportunity that directly benefit women</w:t>
      </w:r>
    </w:p>
  </w:footnote>
  <w:footnote w:id="96">
    <w:p w14:paraId="3F811E2A" w14:textId="77777777" w:rsidR="000F2BA9" w:rsidRDefault="000F2BA9" w:rsidP="001B449B">
      <w:pPr>
        <w:pStyle w:val="FootnoteText"/>
        <w:spacing w:before="0" w:after="0"/>
      </w:pPr>
      <w:r w:rsidRPr="009C2734">
        <w:rPr>
          <w:rStyle w:val="FootnoteReference"/>
        </w:rPr>
        <w:footnoteRef/>
      </w:r>
      <w:r w:rsidRPr="009C2734">
        <w:t xml:space="preserve"> SARTFP Annual Review, 2016</w:t>
      </w:r>
    </w:p>
  </w:footnote>
  <w:footnote w:id="97">
    <w:p w14:paraId="576F197B" w14:textId="77777777" w:rsidR="000F2BA9" w:rsidRDefault="000F2BA9" w:rsidP="001B449B">
      <w:pPr>
        <w:pStyle w:val="FootnoteText"/>
        <w:spacing w:before="0" w:after="0"/>
      </w:pPr>
      <w:r>
        <w:rPr>
          <w:rStyle w:val="FootnoteReference"/>
        </w:rPr>
        <w:footnoteRef/>
      </w:r>
      <w:r>
        <w:t xml:space="preserve"> Interviews with the World Bank, DFAT and TAF and literature including Internal Review Committee meeting minutes, Donor Steering Committee meeting minutes.</w:t>
      </w:r>
    </w:p>
  </w:footnote>
  <w:footnote w:id="98">
    <w:p w14:paraId="5C3176EC" w14:textId="77777777" w:rsidR="000F2BA9" w:rsidRDefault="000F2BA9" w:rsidP="001B449B">
      <w:pPr>
        <w:pStyle w:val="FootnoteText"/>
        <w:spacing w:before="0" w:after="0"/>
      </w:pPr>
      <w:r>
        <w:rPr>
          <w:rStyle w:val="FootnoteReference"/>
        </w:rPr>
        <w:footnoteRef/>
      </w:r>
      <w:r>
        <w:t xml:space="preserve"> Internal Review Committee meeting minutes, interviews with SARTFP Secretariat and other World Bank informants</w:t>
      </w:r>
    </w:p>
  </w:footnote>
  <w:footnote w:id="99">
    <w:p w14:paraId="70AC2382" w14:textId="77777777" w:rsidR="000F2BA9" w:rsidRPr="007C0624" w:rsidRDefault="000F2BA9" w:rsidP="001B449B">
      <w:pPr>
        <w:pStyle w:val="FootnoteText"/>
        <w:spacing w:before="0" w:after="0"/>
      </w:pPr>
      <w:r w:rsidRPr="007C0624">
        <w:rPr>
          <w:rStyle w:val="FootnoteReference"/>
        </w:rPr>
        <w:footnoteRef/>
      </w:r>
      <w:r w:rsidRPr="007C0624">
        <w:t xml:space="preserve"> </w:t>
      </w:r>
      <w:r w:rsidRPr="007C0624">
        <w:rPr>
          <w:lang w:val="en-AU"/>
        </w:rPr>
        <w:t>INL093 Trade Facilitation and Infrastructure (SARTFP and IFG) Aid Quality Check</w:t>
      </w:r>
    </w:p>
  </w:footnote>
  <w:footnote w:id="100">
    <w:p w14:paraId="16DB2206" w14:textId="77777777" w:rsidR="000F2BA9" w:rsidRPr="007C0624" w:rsidRDefault="000F2BA9" w:rsidP="001B449B">
      <w:pPr>
        <w:pStyle w:val="FootnoteText"/>
        <w:spacing w:before="0" w:after="0"/>
      </w:pPr>
      <w:r w:rsidRPr="007C0624">
        <w:rPr>
          <w:rStyle w:val="FootnoteReference"/>
        </w:rPr>
        <w:footnoteRef/>
      </w:r>
      <w:r w:rsidRPr="007C0624">
        <w:t xml:space="preserve"> SARTFP- DSC meeting minutes Sept 12th 2016</w:t>
      </w:r>
    </w:p>
  </w:footnote>
  <w:footnote w:id="101">
    <w:p w14:paraId="6FB4F3F4" w14:textId="77777777" w:rsidR="000F2BA9" w:rsidRDefault="000F2BA9" w:rsidP="001B449B">
      <w:pPr>
        <w:pStyle w:val="FootnoteText"/>
        <w:spacing w:before="0" w:after="0"/>
      </w:pPr>
      <w:r>
        <w:rPr>
          <w:rStyle w:val="FootnoteReference"/>
        </w:rPr>
        <w:footnoteRef/>
      </w:r>
      <w:r>
        <w:t xml:space="preserve"> Principally an interview with senior DFAT official with close knowledge of the program, but others supported this general claim</w:t>
      </w:r>
    </w:p>
  </w:footnote>
  <w:footnote w:id="102">
    <w:p w14:paraId="0BFFC530" w14:textId="77777777" w:rsidR="000F2BA9" w:rsidRPr="008447A4" w:rsidRDefault="000F2BA9" w:rsidP="001F4257">
      <w:pPr>
        <w:pStyle w:val="FootnoteText"/>
        <w:spacing w:before="0" w:after="0"/>
      </w:pPr>
      <w:r>
        <w:rPr>
          <w:rStyle w:val="FootnoteReference"/>
        </w:rPr>
        <w:footnoteRef/>
      </w:r>
      <w:r>
        <w:t xml:space="preserve"> SARTFP </w:t>
      </w:r>
      <w:r w:rsidRPr="00E5133C">
        <w:t>started with 3 G</w:t>
      </w:r>
      <w:r>
        <w:t xml:space="preserve">lobal </w:t>
      </w:r>
      <w:r w:rsidRPr="00E5133C">
        <w:t>P</w:t>
      </w:r>
      <w:r>
        <w:t>ractice</w:t>
      </w:r>
      <w:r w:rsidRPr="00E5133C">
        <w:t>s</w:t>
      </w:r>
      <w:r>
        <w:t xml:space="preserve"> eligible for funding: </w:t>
      </w:r>
      <w:r w:rsidRPr="00E5133C">
        <w:t xml:space="preserve">Trade and Competitiveness; Social Development; and Transport – </w:t>
      </w:r>
      <w:r>
        <w:t xml:space="preserve">then based on WB request two more GPS were added </w:t>
      </w:r>
      <w:r w:rsidRPr="00E5133C">
        <w:t>(Agriculture and Livelihoods, and Natural Resources</w:t>
      </w:r>
      <w:r>
        <w:t>,</w:t>
      </w:r>
      <w:r w:rsidRPr="00E5133C">
        <w:t>)</w:t>
      </w:r>
    </w:p>
  </w:footnote>
  <w:footnote w:id="103">
    <w:p w14:paraId="6E3C8B7D" w14:textId="77777777" w:rsidR="000F2BA9" w:rsidRDefault="000F2BA9" w:rsidP="001B449B">
      <w:pPr>
        <w:pStyle w:val="FootnoteText"/>
        <w:spacing w:before="0" w:after="0"/>
      </w:pPr>
      <w:r>
        <w:rPr>
          <w:rStyle w:val="FootnoteReference"/>
        </w:rPr>
        <w:footnoteRef/>
      </w:r>
      <w:r>
        <w:t xml:space="preserve"> </w:t>
      </w:r>
      <w:r w:rsidRPr="00021FD5">
        <w:t>DFAT - World Bank SARTFP Framing Paper Feb 2015</w:t>
      </w:r>
    </w:p>
  </w:footnote>
  <w:footnote w:id="104">
    <w:p w14:paraId="23C03E70" w14:textId="77777777" w:rsidR="000F2BA9" w:rsidRDefault="000F2BA9" w:rsidP="001B449B">
      <w:pPr>
        <w:pStyle w:val="FootnoteText"/>
        <w:spacing w:before="0" w:after="0"/>
      </w:pPr>
      <w:r>
        <w:rPr>
          <w:rStyle w:val="FootnoteReference"/>
        </w:rPr>
        <w:footnoteRef/>
      </w:r>
      <w:r>
        <w:t xml:space="preserve"> Inferred from World Bank data spreadsheets showing disbursements, supported by comments made by relevant World Bank informants in the regional offices.</w:t>
      </w:r>
    </w:p>
  </w:footnote>
  <w:footnote w:id="105">
    <w:p w14:paraId="21280443" w14:textId="77777777" w:rsidR="000F2BA9" w:rsidRDefault="000F2BA9" w:rsidP="001B449B">
      <w:pPr>
        <w:pStyle w:val="FootnoteText"/>
        <w:spacing w:before="0" w:after="0"/>
      </w:pPr>
      <w:r>
        <w:rPr>
          <w:rStyle w:val="FootnoteReference"/>
        </w:rPr>
        <w:footnoteRef/>
      </w:r>
      <w:r>
        <w:t xml:space="preserve"> Minutes from World Bank SARTFP Internal Review Committee, 3</w:t>
      </w:r>
      <w:r w:rsidRPr="00BE1131">
        <w:rPr>
          <w:vertAlign w:val="superscript"/>
        </w:rPr>
        <w:t>rd</w:t>
      </w:r>
      <w:r>
        <w:t xml:space="preserve"> February 2017</w:t>
      </w:r>
    </w:p>
  </w:footnote>
  <w:footnote w:id="106">
    <w:p w14:paraId="17385350" w14:textId="77777777" w:rsidR="000F2BA9" w:rsidRDefault="000F2BA9" w:rsidP="001B449B">
      <w:pPr>
        <w:pStyle w:val="FootnoteText"/>
        <w:spacing w:before="0" w:after="0"/>
      </w:pPr>
      <w:r>
        <w:rPr>
          <w:rStyle w:val="FootnoteReference"/>
        </w:rPr>
        <w:footnoteRef/>
      </w:r>
      <w:r>
        <w:t xml:space="preserve"> </w:t>
      </w:r>
      <w:r w:rsidRPr="005B507A">
        <w:t>DFAT, ‘2017 Foreign Policy White Paper’, Canberra.</w:t>
      </w:r>
    </w:p>
  </w:footnote>
  <w:footnote w:id="107">
    <w:p w14:paraId="66E0D6C9" w14:textId="49DACF1F" w:rsidR="000F2BA9" w:rsidRPr="005B507A" w:rsidRDefault="000F2BA9" w:rsidP="001B449B">
      <w:pPr>
        <w:pStyle w:val="FootnoteText"/>
        <w:spacing w:before="0" w:after="0"/>
      </w:pPr>
      <w:r w:rsidRPr="005B507A">
        <w:rPr>
          <w:rStyle w:val="FootnoteReference"/>
        </w:rPr>
        <w:footnoteRef/>
      </w:r>
      <w:r w:rsidRPr="005B507A">
        <w:t xml:space="preserve"> </w:t>
      </w:r>
      <w:r>
        <w:t>Ibid</w:t>
      </w:r>
    </w:p>
  </w:footnote>
  <w:footnote w:id="108">
    <w:p w14:paraId="5A9CDC19" w14:textId="77777777" w:rsidR="000F2BA9" w:rsidRDefault="000F2BA9" w:rsidP="001B449B">
      <w:pPr>
        <w:pStyle w:val="FootnoteText"/>
        <w:spacing w:before="0" w:after="0"/>
      </w:pPr>
      <w:r>
        <w:rPr>
          <w:rStyle w:val="FootnoteReference"/>
        </w:rPr>
        <w:footnoteRef/>
      </w:r>
      <w:r>
        <w:t xml:space="preserve"> </w:t>
      </w:r>
      <w:r w:rsidRPr="001A78AF">
        <w:rPr>
          <w:i/>
          <w:iCs/>
        </w:rPr>
        <w:t xml:space="preserve">World Bank. 2016. South Asia Regional Gender Action Plan, FY16-FY21. </w:t>
      </w:r>
      <w:r w:rsidRPr="00B462A2">
        <w:rPr>
          <w:iCs/>
        </w:rPr>
        <w:t>World Bank</w:t>
      </w:r>
      <w:r>
        <w:rPr>
          <w:i/>
          <w:iCs/>
        </w:rPr>
        <w:t>, Washington, DC.</w:t>
      </w:r>
      <w:r w:rsidRPr="001A78AF">
        <w:rPr>
          <w:i/>
          <w:iCs/>
        </w:rPr>
        <w:t xml:space="preserve"> </w:t>
      </w:r>
    </w:p>
  </w:footnote>
  <w:footnote w:id="109">
    <w:p w14:paraId="4EB48751" w14:textId="77777777" w:rsidR="000F2BA9" w:rsidRDefault="000F2BA9" w:rsidP="001B449B">
      <w:pPr>
        <w:pStyle w:val="FootnoteText"/>
        <w:spacing w:before="0" w:after="0"/>
      </w:pPr>
      <w:r>
        <w:rPr>
          <w:rStyle w:val="FootnoteReference"/>
        </w:rPr>
        <w:footnoteRef/>
      </w:r>
      <w:r>
        <w:t xml:space="preserve"> World Bank country strategies and related documents:  </w:t>
      </w:r>
      <w:r w:rsidRPr="000B5B50">
        <w:t>http://www.worldbank.org/en/region/sar</w:t>
      </w:r>
    </w:p>
  </w:footnote>
  <w:footnote w:id="110">
    <w:p w14:paraId="096E9EC5" w14:textId="104DB58A" w:rsidR="000F2BA9" w:rsidRDefault="000F2BA9" w:rsidP="00A02664">
      <w:pPr>
        <w:pStyle w:val="FootnoteText"/>
        <w:spacing w:before="0" w:after="0"/>
      </w:pPr>
      <w:r w:rsidRPr="00A02664">
        <w:footnoteRef/>
      </w:r>
      <w:r>
        <w:t xml:space="preserve"> </w:t>
      </w:r>
      <w:r w:rsidRPr="00720937">
        <w:t>Prasai, S. and Diya Nag (2017), ‘Expanding the Benefits of Trade to Women in the BBIN Region: A Program Design Primer</w:t>
      </w:r>
      <w:r>
        <w:t>’,</w:t>
      </w:r>
      <w:r w:rsidRPr="00720937">
        <w:t xml:space="preserve"> The Asia Foundation, New Delhi</w:t>
      </w:r>
    </w:p>
  </w:footnote>
  <w:footnote w:id="111">
    <w:p w14:paraId="7EB81F44" w14:textId="281544F1" w:rsidR="000F2BA9" w:rsidRDefault="000F2BA9" w:rsidP="001B449B">
      <w:pPr>
        <w:pStyle w:val="FootnoteText"/>
        <w:spacing w:before="0" w:after="0"/>
      </w:pPr>
      <w:r w:rsidRPr="00A02664">
        <w:footnoteRef/>
      </w:r>
      <w:r>
        <w:t xml:space="preserve"> Ibid</w:t>
      </w:r>
    </w:p>
  </w:footnote>
  <w:footnote w:id="112">
    <w:p w14:paraId="789462AB" w14:textId="77777777" w:rsidR="000F2BA9" w:rsidRPr="00F46A66" w:rsidRDefault="000F2BA9" w:rsidP="001B449B">
      <w:pPr>
        <w:pStyle w:val="FootnoteText"/>
        <w:spacing w:before="0" w:after="0"/>
      </w:pPr>
      <w:r w:rsidRPr="00F46A66">
        <w:rPr>
          <w:rStyle w:val="FootnoteReference"/>
        </w:rPr>
        <w:footnoteRef/>
      </w:r>
      <w:r w:rsidRPr="00F46A66">
        <w:t xml:space="preserve"> Australia-World Bank Partnership for South Asia (PFSA) South Asia Regional Trade Facilitation Program (SARTFP) 2016 Annual Report, released March 2017</w:t>
      </w:r>
    </w:p>
  </w:footnote>
  <w:footnote w:id="113">
    <w:p w14:paraId="6F9A3AC5" w14:textId="77777777" w:rsidR="000F2BA9" w:rsidRDefault="000F2BA9" w:rsidP="001B449B">
      <w:pPr>
        <w:pStyle w:val="FootnoteText"/>
        <w:spacing w:before="0" w:after="0"/>
      </w:pPr>
      <w:r>
        <w:rPr>
          <w:rStyle w:val="FootnoteReference"/>
        </w:rPr>
        <w:footnoteRef/>
      </w:r>
      <w:r>
        <w:t xml:space="preserve"> DFAT</w:t>
      </w:r>
      <w:r w:rsidRPr="00401DBF">
        <w:t xml:space="preserve"> Office of Development E</w:t>
      </w:r>
      <w:r>
        <w:t>ffectiveness</w:t>
      </w:r>
      <w:r w:rsidRPr="00401DBF">
        <w:t xml:space="preserve"> (2014) ‘Smart economics: evaluation of Australian aid support for women’s economic empowerment’</w:t>
      </w:r>
      <w:r>
        <w:t>; see also foreword to DFAT ‘Gender Equality and Empowerment Strategy, February 2016, by Julie Bishop, Minister of Foreign Affairs ‘</w:t>
      </w:r>
      <w:r w:rsidRPr="00894DA7">
        <w:t>Promoting gender equality is smart economics, and the right thing to do</w:t>
      </w:r>
      <w:r>
        <w:t>’</w:t>
      </w:r>
    </w:p>
  </w:footnote>
  <w:footnote w:id="114">
    <w:p w14:paraId="0ACD9320" w14:textId="77777777" w:rsidR="000F2BA9" w:rsidRDefault="000F2BA9" w:rsidP="001B449B">
      <w:pPr>
        <w:pStyle w:val="FootnoteText"/>
        <w:spacing w:before="0" w:after="0"/>
      </w:pPr>
      <w:r>
        <w:rPr>
          <w:rStyle w:val="FootnoteReference"/>
        </w:rPr>
        <w:footnoteRef/>
      </w:r>
      <w:r>
        <w:t xml:space="preserve"> Interviews with World Bank Task Team Leaders and some members of the TAF</w:t>
      </w:r>
    </w:p>
  </w:footnote>
  <w:footnote w:id="115">
    <w:p w14:paraId="0B91FA56" w14:textId="77777777" w:rsidR="000F2BA9" w:rsidRPr="00D14582" w:rsidRDefault="000F2BA9" w:rsidP="001B449B">
      <w:pPr>
        <w:pStyle w:val="FootnoteText"/>
        <w:spacing w:before="0" w:after="0"/>
        <w:rPr>
          <w:sz w:val="18"/>
          <w:szCs w:val="18"/>
        </w:rPr>
      </w:pPr>
      <w:r w:rsidRPr="00D14582">
        <w:rPr>
          <w:rStyle w:val="FootnoteReference"/>
          <w:sz w:val="18"/>
          <w:szCs w:val="18"/>
        </w:rPr>
        <w:footnoteRef/>
      </w:r>
      <w:r w:rsidRPr="00D14582">
        <w:rPr>
          <w:sz w:val="18"/>
          <w:szCs w:val="18"/>
        </w:rPr>
        <w:t xml:space="preserve"> </w:t>
      </w:r>
      <w:hyperlink r:id="rId7" w:history="1">
        <w:r w:rsidRPr="00D14582">
          <w:rPr>
            <w:rStyle w:val="Hyperlink"/>
            <w:sz w:val="18"/>
            <w:szCs w:val="18"/>
          </w:rPr>
          <w:t>https://www.weforum.org/agenda/2017/08/the-growth-paradox-can-tourism-ever-be-sustainable/</w:t>
        </w:r>
      </w:hyperlink>
    </w:p>
  </w:footnote>
  <w:footnote w:id="116">
    <w:p w14:paraId="7A3D6232" w14:textId="77777777" w:rsidR="000F2BA9" w:rsidRDefault="000F2BA9" w:rsidP="001B449B">
      <w:pPr>
        <w:pStyle w:val="FootnoteText"/>
        <w:spacing w:before="0" w:after="0"/>
      </w:pPr>
      <w:r>
        <w:rPr>
          <w:rStyle w:val="FootnoteReference"/>
        </w:rPr>
        <w:footnoteRef/>
      </w:r>
      <w:r>
        <w:t xml:space="preserve"> World Bank blog: </w:t>
      </w:r>
      <w:r w:rsidRPr="004A22A6">
        <w:t>Government and World Bank Sign New Agreement to Unlock Tourism Potential of Uttar Pradesh</w:t>
      </w:r>
      <w:r>
        <w:t>. December 28</w:t>
      </w:r>
      <w:r w:rsidRPr="005B19D5">
        <w:rPr>
          <w:vertAlign w:val="superscript"/>
        </w:rPr>
        <w:t>th</w:t>
      </w:r>
      <w:r>
        <w:t xml:space="preserve"> 2017</w:t>
      </w:r>
    </w:p>
  </w:footnote>
  <w:footnote w:id="117">
    <w:p w14:paraId="1FED17C5" w14:textId="77777777" w:rsidR="000F2BA9" w:rsidRDefault="000F2BA9" w:rsidP="001B449B">
      <w:pPr>
        <w:pStyle w:val="FootnoteText"/>
        <w:spacing w:before="0" w:after="0"/>
      </w:pPr>
      <w:r>
        <w:rPr>
          <w:rStyle w:val="FootnoteReference"/>
        </w:rPr>
        <w:footnoteRef/>
      </w:r>
      <w:r>
        <w:t xml:space="preserve"> </w:t>
      </w:r>
      <w:r w:rsidRPr="00266DC4">
        <w:t>SARTFP Donor Steering Committee Meeting, Activity Updates, December 2017</w:t>
      </w:r>
    </w:p>
  </w:footnote>
  <w:footnote w:id="118">
    <w:p w14:paraId="4EC77AE6" w14:textId="5FBF0092" w:rsidR="000F2BA9" w:rsidRDefault="000F2BA9" w:rsidP="00A02664">
      <w:pPr>
        <w:pStyle w:val="FootnoteText"/>
        <w:spacing w:before="0" w:after="0"/>
      </w:pPr>
      <w:r>
        <w:rPr>
          <w:rStyle w:val="FootnoteReference"/>
        </w:rPr>
        <w:footnoteRef/>
      </w:r>
      <w:r>
        <w:t xml:space="preserve"> Information provided during interviews with World Bank informants working on the project</w:t>
      </w:r>
    </w:p>
  </w:footnote>
  <w:footnote w:id="119">
    <w:p w14:paraId="05E6D45F" w14:textId="530286F9" w:rsidR="000F2BA9" w:rsidRDefault="000F2BA9" w:rsidP="00A02664">
      <w:pPr>
        <w:pStyle w:val="FootnoteText"/>
        <w:spacing w:before="0" w:after="0"/>
      </w:pPr>
      <w:r>
        <w:rPr>
          <w:rStyle w:val="FootnoteReference"/>
        </w:rPr>
        <w:footnoteRef/>
      </w:r>
      <w:r>
        <w:t xml:space="preserve"> Ibid</w:t>
      </w:r>
    </w:p>
  </w:footnote>
  <w:footnote w:id="120">
    <w:p w14:paraId="390A4531" w14:textId="77777777" w:rsidR="000F2BA9" w:rsidRDefault="000F2BA9" w:rsidP="00A02664">
      <w:pPr>
        <w:pStyle w:val="FootnoteText"/>
        <w:spacing w:before="0" w:after="0"/>
      </w:pPr>
      <w:r>
        <w:rPr>
          <w:rStyle w:val="FootnoteReference"/>
        </w:rPr>
        <w:footnoteRef/>
      </w:r>
      <w:r>
        <w:t xml:space="preserve"> Information provided during interview with World Bank informants working on the project and verified during evaluation field visit where evaluator met with male and female groups of street vendors</w:t>
      </w:r>
    </w:p>
  </w:footnote>
  <w:footnote w:id="121">
    <w:p w14:paraId="634C7276" w14:textId="7F075BCD" w:rsidR="000F2BA9" w:rsidRDefault="000F2BA9" w:rsidP="00CC5757">
      <w:pPr>
        <w:pStyle w:val="FootnoteText"/>
        <w:spacing w:before="0" w:after="0"/>
      </w:pPr>
      <w:r>
        <w:rPr>
          <w:rStyle w:val="FootnoteReference"/>
        </w:rPr>
        <w:footnoteRef/>
      </w:r>
      <w:r>
        <w:t xml:space="preserve"> Information provided during interviews with World Bank informants working on the project</w:t>
      </w:r>
    </w:p>
  </w:footnote>
  <w:footnote w:id="122">
    <w:p w14:paraId="03EBA56E" w14:textId="77777777" w:rsidR="000F2BA9" w:rsidRDefault="000F2BA9" w:rsidP="001B449B">
      <w:pPr>
        <w:pStyle w:val="FootnoteText"/>
        <w:spacing w:before="0" w:after="0"/>
      </w:pPr>
      <w:r>
        <w:rPr>
          <w:rStyle w:val="FootnoteReference"/>
        </w:rPr>
        <w:footnoteRef/>
      </w:r>
      <w:r>
        <w:t xml:space="preserve"> </w:t>
      </w:r>
      <w:r w:rsidRPr="001A78AF">
        <w:rPr>
          <w:i/>
          <w:iCs/>
        </w:rPr>
        <w:t xml:space="preserve">World Bank. 2016. South Asia Regional Gender Action Plan, FY16-FY21. </w:t>
      </w:r>
      <w:r w:rsidRPr="009C3268">
        <w:rPr>
          <w:iCs/>
        </w:rPr>
        <w:t>World Bank</w:t>
      </w:r>
      <w:r>
        <w:rPr>
          <w:i/>
          <w:iCs/>
        </w:rPr>
        <w:t xml:space="preserve">, </w:t>
      </w:r>
      <w:r w:rsidRPr="005B19D5">
        <w:rPr>
          <w:iCs/>
        </w:rPr>
        <w:t>Washington, DC</w:t>
      </w:r>
      <w:r>
        <w:rPr>
          <w:i/>
          <w:iCs/>
        </w:rPr>
        <w:t>.</w:t>
      </w:r>
    </w:p>
  </w:footnote>
  <w:footnote w:id="123">
    <w:p w14:paraId="02360DB5" w14:textId="77777777" w:rsidR="000F2BA9" w:rsidRDefault="000F2BA9" w:rsidP="001B449B">
      <w:pPr>
        <w:pStyle w:val="FootnoteText"/>
        <w:spacing w:before="0" w:after="0"/>
      </w:pPr>
      <w:r>
        <w:rPr>
          <w:rStyle w:val="FootnoteReference"/>
        </w:rPr>
        <w:footnoteRef/>
      </w:r>
      <w:r>
        <w:t xml:space="preserve"> Interviews with some Task Team Leaders, Global Practice Managers, SARTFP Secretariat members and TAF members</w:t>
      </w:r>
    </w:p>
  </w:footnote>
  <w:footnote w:id="124">
    <w:p w14:paraId="6EB89AB0" w14:textId="77777777" w:rsidR="000F2BA9" w:rsidRDefault="000F2BA9" w:rsidP="001B449B">
      <w:pPr>
        <w:spacing w:before="0" w:after="0"/>
      </w:pPr>
      <w:r w:rsidRPr="008D3775">
        <w:rPr>
          <w:rStyle w:val="FootnoteReference"/>
          <w:sz w:val="18"/>
          <w:szCs w:val="18"/>
        </w:rPr>
        <w:footnoteRef/>
      </w:r>
      <w:r>
        <w:rPr>
          <w:rFonts w:eastAsia="Calibri"/>
        </w:rPr>
        <w:t xml:space="preserve"> </w:t>
      </w:r>
      <w:r w:rsidRPr="008D3775">
        <w:rPr>
          <w:rStyle w:val="FootnoteReference"/>
          <w:rFonts w:eastAsia="Calibri"/>
          <w:sz w:val="16"/>
          <w:szCs w:val="16"/>
          <w:vertAlign w:val="baseline"/>
        </w:rPr>
        <w:t>Commonwealth of Australia, DFAT, Gender equality and women’s empowerment strategy, February 2016.</w:t>
      </w:r>
    </w:p>
  </w:footnote>
  <w:footnote w:id="125">
    <w:p w14:paraId="3B134C26" w14:textId="77777777" w:rsidR="000F2BA9" w:rsidRDefault="000F2BA9" w:rsidP="001B449B">
      <w:pPr>
        <w:pStyle w:val="FootnoteText"/>
        <w:spacing w:before="0" w:after="0"/>
      </w:pPr>
      <w:r>
        <w:rPr>
          <w:rStyle w:val="FootnoteReference"/>
        </w:rPr>
        <w:footnoteRef/>
      </w:r>
      <w:r>
        <w:t xml:space="preserve"> World Bank Group Gender Strategy (FY16-23) Gender Equality, Poverty Reduction, and Inclusive Growth, p.23</w:t>
      </w:r>
    </w:p>
  </w:footnote>
  <w:footnote w:id="126">
    <w:p w14:paraId="6E5D2219" w14:textId="77777777" w:rsidR="000F2BA9" w:rsidRDefault="000F2BA9" w:rsidP="001B449B">
      <w:pPr>
        <w:pStyle w:val="FootnoteText"/>
        <w:spacing w:before="0" w:after="0"/>
      </w:pPr>
      <w:r>
        <w:rPr>
          <w:rStyle w:val="FootnoteReference"/>
        </w:rPr>
        <w:footnoteRef/>
      </w:r>
      <w:r>
        <w:t xml:space="preserve"> </w:t>
      </w:r>
      <w:r w:rsidRPr="00B17CA6">
        <w:t>Independent Eval</w:t>
      </w:r>
      <w:r>
        <w:t>uation Group (</w:t>
      </w:r>
      <w:r w:rsidRPr="00B17CA6">
        <w:t>2015</w:t>
      </w:r>
      <w:r>
        <w:t>)</w:t>
      </w:r>
      <w:r w:rsidRPr="00B17CA6">
        <w:t> </w:t>
      </w:r>
      <w:r>
        <w:t>‘</w:t>
      </w:r>
      <w:hyperlink r:id="rId8" w:history="1">
        <w:r w:rsidRPr="005B19D5">
          <w:rPr>
            <w:rStyle w:val="Hyperlink"/>
            <w:bCs/>
            <w:iCs/>
          </w:rPr>
          <w:t>Results and performance of the World Bank Group</w:t>
        </w:r>
      </w:hyperlink>
      <w:r>
        <w:t xml:space="preserve">’, concluded </w:t>
      </w:r>
      <w:r w:rsidRPr="00A004B7">
        <w:t xml:space="preserve">that </w:t>
      </w:r>
      <w:r>
        <w:t>the ‘</w:t>
      </w:r>
      <w:r w:rsidRPr="00A004B7">
        <w:t>Bank’s tick-box approach to gender integration did not lead to meaningful and substantial integration</w:t>
      </w:r>
      <w:r>
        <w:t>’</w:t>
      </w:r>
    </w:p>
  </w:footnote>
  <w:footnote w:id="127">
    <w:p w14:paraId="48677BDE" w14:textId="00467FB1" w:rsidR="000F2BA9" w:rsidRDefault="000F2BA9" w:rsidP="00A02664">
      <w:pPr>
        <w:pStyle w:val="FootnoteText"/>
        <w:spacing w:before="0" w:after="0"/>
      </w:pPr>
      <w:r>
        <w:rPr>
          <w:rStyle w:val="FootnoteReference"/>
        </w:rPr>
        <w:footnoteRef/>
      </w:r>
      <w:r>
        <w:t xml:space="preserve"> Based on interviews with the </w:t>
      </w:r>
      <w:r w:rsidRPr="00A2765E">
        <w:t>World Bank’s Gender and Social Development team</w:t>
      </w:r>
    </w:p>
  </w:footnote>
  <w:footnote w:id="128">
    <w:p w14:paraId="05F20030" w14:textId="77777777" w:rsidR="000F2BA9" w:rsidRDefault="000F2BA9" w:rsidP="001B449B">
      <w:pPr>
        <w:pStyle w:val="FootnoteText"/>
        <w:spacing w:before="0" w:after="0"/>
      </w:pPr>
      <w:r>
        <w:rPr>
          <w:rStyle w:val="FootnoteReference"/>
        </w:rPr>
        <w:footnoteRef/>
      </w:r>
      <w:r>
        <w:t xml:space="preserve"> International Finance Corporation (2007), ‘Stakeholder Engagement: </w:t>
      </w:r>
      <w:r w:rsidRPr="00F33717">
        <w:t>A Good Practice Handbook for Companies Doing Business in Emerging Markets</w:t>
      </w:r>
      <w:r>
        <w:t>’, World Bank Group.</w:t>
      </w:r>
    </w:p>
  </w:footnote>
  <w:footnote w:id="129">
    <w:p w14:paraId="2FFDE284" w14:textId="77777777" w:rsidR="000F2BA9" w:rsidRDefault="000F2BA9" w:rsidP="001B449B">
      <w:pPr>
        <w:pStyle w:val="FootnoteText"/>
        <w:spacing w:before="0" w:after="0"/>
      </w:pPr>
      <w:r>
        <w:rPr>
          <w:rStyle w:val="FootnoteReference"/>
        </w:rPr>
        <w:footnoteRef/>
      </w:r>
      <w:r>
        <w:t xml:space="preserve"> This was a view shared by all World Bank interviewees invited to discuss the subject</w:t>
      </w:r>
    </w:p>
  </w:footnote>
  <w:footnote w:id="130">
    <w:p w14:paraId="39E7BAD2" w14:textId="77777777" w:rsidR="000F2BA9" w:rsidRDefault="000F2BA9" w:rsidP="001B449B">
      <w:pPr>
        <w:pStyle w:val="FootnoteText"/>
        <w:spacing w:before="0" w:after="0"/>
      </w:pPr>
      <w:r>
        <w:rPr>
          <w:rStyle w:val="FootnoteReference"/>
        </w:rPr>
        <w:footnoteRef/>
      </w:r>
      <w:r>
        <w:t xml:space="preserve"> Based on interviews with senior World Bank staff and confirmed in interview with senior Canberra based DFAT staff</w:t>
      </w:r>
    </w:p>
  </w:footnote>
  <w:footnote w:id="131">
    <w:p w14:paraId="09F6CE1A" w14:textId="77777777" w:rsidR="000F2BA9" w:rsidRPr="00401DBF" w:rsidRDefault="000F2BA9" w:rsidP="001B449B">
      <w:pPr>
        <w:spacing w:before="0" w:after="0"/>
        <w:rPr>
          <w:lang w:eastAsia="en-GB"/>
        </w:rPr>
      </w:pPr>
      <w:r w:rsidRPr="00401DBF">
        <w:rPr>
          <w:rStyle w:val="FootnoteReference"/>
          <w:sz w:val="16"/>
          <w:szCs w:val="16"/>
        </w:rPr>
        <w:footnoteRef/>
      </w:r>
      <w:r w:rsidRPr="00401DBF">
        <w:t xml:space="preserve"> </w:t>
      </w:r>
      <w:r w:rsidRPr="00401DBF">
        <w:rPr>
          <w:rStyle w:val="FootnoteTextChar"/>
          <w:rFonts w:asciiTheme="minorHAnsi" w:hAnsiTheme="minorHAnsi"/>
        </w:rPr>
        <w:t>2015 PFSA Annual Report</w:t>
      </w:r>
    </w:p>
  </w:footnote>
  <w:footnote w:id="132">
    <w:p w14:paraId="5C4D7DAE" w14:textId="77777777" w:rsidR="000F2BA9" w:rsidRPr="00401DBF" w:rsidRDefault="000F2BA9" w:rsidP="001B449B">
      <w:pPr>
        <w:pStyle w:val="FootnoteText"/>
        <w:spacing w:before="0" w:after="0"/>
      </w:pPr>
      <w:r w:rsidRPr="00401DBF">
        <w:rPr>
          <w:rStyle w:val="FootnoteReference"/>
          <w:rFonts w:asciiTheme="minorHAnsi" w:hAnsiTheme="minorHAnsi"/>
        </w:rPr>
        <w:footnoteRef/>
      </w:r>
      <w:r w:rsidRPr="00401DBF">
        <w:t xml:space="preserve"> </w:t>
      </w:r>
      <w:r>
        <w:t>DFAT</w:t>
      </w:r>
      <w:r w:rsidRPr="00401DBF">
        <w:t xml:space="preserve"> Office of Development E</w:t>
      </w:r>
      <w:r>
        <w:t>ffectiveness</w:t>
      </w:r>
      <w:r w:rsidRPr="00401DBF">
        <w:t xml:space="preserve"> (2014) ‘Smart economics: evaluation of Australian aid support for women’s economic empowerment’</w:t>
      </w:r>
    </w:p>
  </w:footnote>
  <w:footnote w:id="133">
    <w:p w14:paraId="23DB6BEE" w14:textId="77777777" w:rsidR="000F2BA9" w:rsidRPr="00ED619D" w:rsidRDefault="000F2BA9" w:rsidP="001B449B">
      <w:pPr>
        <w:pStyle w:val="FootnoteText"/>
        <w:spacing w:before="0" w:after="0"/>
      </w:pPr>
      <w:r w:rsidRPr="00401DBF">
        <w:rPr>
          <w:rStyle w:val="FootnoteReference"/>
          <w:rFonts w:asciiTheme="minorHAnsi" w:hAnsiTheme="minorHAnsi"/>
        </w:rPr>
        <w:footnoteRef/>
      </w:r>
      <w:r w:rsidRPr="00401DBF">
        <w:t xml:space="preserve"> World Development Report 2012</w:t>
      </w:r>
    </w:p>
  </w:footnote>
  <w:footnote w:id="134">
    <w:p w14:paraId="33C85CA2" w14:textId="77777777" w:rsidR="000F2BA9" w:rsidRDefault="000F2BA9" w:rsidP="0067290E">
      <w:pPr>
        <w:pStyle w:val="FootnoteText"/>
        <w:spacing w:before="0" w:after="0"/>
      </w:pPr>
      <w:r>
        <w:rPr>
          <w:rStyle w:val="FootnoteReference"/>
        </w:rPr>
        <w:footnoteRef/>
      </w:r>
      <w:r>
        <w:t xml:space="preserve"> Raised in interview with senior members of SARTFP Secretariat</w:t>
      </w:r>
    </w:p>
  </w:footnote>
  <w:footnote w:id="135">
    <w:p w14:paraId="28967E28" w14:textId="77777777" w:rsidR="000F2BA9" w:rsidRDefault="000F2BA9" w:rsidP="001B449B">
      <w:pPr>
        <w:pStyle w:val="FootnoteText"/>
        <w:spacing w:before="0" w:after="0"/>
      </w:pPr>
      <w:r>
        <w:rPr>
          <w:rStyle w:val="FootnoteReference"/>
        </w:rPr>
        <w:footnoteRef/>
      </w:r>
      <w:r>
        <w:t xml:space="preserve"> This was a view shared by all interviewees invited to discuss the subject</w:t>
      </w:r>
    </w:p>
  </w:footnote>
  <w:footnote w:id="136">
    <w:p w14:paraId="30728D10" w14:textId="77777777" w:rsidR="000F2BA9" w:rsidRDefault="000F2BA9" w:rsidP="001B449B">
      <w:pPr>
        <w:pStyle w:val="FootnoteText"/>
        <w:spacing w:before="0" w:after="0"/>
      </w:pPr>
      <w:r>
        <w:rPr>
          <w:rStyle w:val="FootnoteReference"/>
        </w:rPr>
        <w:footnoteRef/>
      </w:r>
      <w:r>
        <w:t xml:space="preserve"> Interview with Senior World Bank informant.</w:t>
      </w:r>
    </w:p>
  </w:footnote>
  <w:footnote w:id="137">
    <w:p w14:paraId="359A720F" w14:textId="77777777" w:rsidR="000F2BA9" w:rsidRDefault="000F2BA9" w:rsidP="001B449B">
      <w:pPr>
        <w:pStyle w:val="FootnoteText"/>
        <w:spacing w:before="0" w:after="0"/>
      </w:pPr>
      <w:r>
        <w:rPr>
          <w:rStyle w:val="FootnoteReference"/>
        </w:rPr>
        <w:footnoteRef/>
      </w:r>
      <w:r>
        <w:t xml:space="preserve"> Interview with World Bank informant</w:t>
      </w:r>
    </w:p>
  </w:footnote>
  <w:footnote w:id="138">
    <w:p w14:paraId="01167BBA" w14:textId="77777777" w:rsidR="000F2BA9" w:rsidRPr="00B7196E" w:rsidRDefault="000F2BA9" w:rsidP="001B449B">
      <w:pPr>
        <w:pStyle w:val="FootnoteText"/>
        <w:spacing w:before="0" w:after="0"/>
      </w:pPr>
      <w:r w:rsidRPr="00B7196E">
        <w:rPr>
          <w:rStyle w:val="FootnoteReference"/>
          <w:sz w:val="18"/>
          <w:szCs w:val="18"/>
        </w:rPr>
        <w:footnoteRef/>
      </w:r>
      <w:r w:rsidRPr="00B7196E">
        <w:t xml:space="preserve"> Pillar, F.T., and Antons, D. (2015),'Opening the Black Box of “Not Invented Here”: Attitudes, Decision Biases, and Behavioral Consequences', Academy of Management Executive, DOI 10.5465/amp.2013.0091</w:t>
      </w:r>
    </w:p>
  </w:footnote>
  <w:footnote w:id="139">
    <w:p w14:paraId="56952C9E" w14:textId="77777777" w:rsidR="000F2BA9" w:rsidRDefault="000F2BA9" w:rsidP="001B449B">
      <w:pPr>
        <w:pStyle w:val="FootnoteText"/>
        <w:spacing w:before="0" w:after="0"/>
      </w:pPr>
      <w:r>
        <w:rPr>
          <w:rStyle w:val="FootnoteReference"/>
        </w:rPr>
        <w:footnoteRef/>
      </w:r>
      <w:r>
        <w:t xml:space="preserve"> This was a view shared by all interviewees invited to discuss the subject</w:t>
      </w:r>
    </w:p>
  </w:footnote>
  <w:footnote w:id="140">
    <w:p w14:paraId="33DD7D05" w14:textId="77777777" w:rsidR="000F2BA9" w:rsidRDefault="000F2BA9" w:rsidP="001B449B">
      <w:pPr>
        <w:pStyle w:val="FootnoteText"/>
        <w:spacing w:before="0" w:after="0"/>
      </w:pPr>
      <w:r>
        <w:rPr>
          <w:rStyle w:val="FootnoteReference"/>
        </w:rPr>
        <w:footnoteRef/>
      </w:r>
      <w:r>
        <w:t xml:space="preserve"> See, for example: Huq C.W.,(2010), ‘Analysis of Recipient Executed Trust Funds’,CFP Working </w:t>
      </w:r>
      <w:r w:rsidRPr="004378E9">
        <w:t>Pape</w:t>
      </w:r>
      <w:r>
        <w:t xml:space="preserve">r Series, Washington DC, World </w:t>
      </w:r>
      <w:r w:rsidRPr="004378E9">
        <w:t>Bank</w:t>
      </w:r>
      <w:r>
        <w:t>; Winters, J. and Sridhar, D., ‘</w:t>
      </w:r>
      <w:r w:rsidRPr="004378E9">
        <w:t>Earmarking for global health: benefits and perils of the World Ban</w:t>
      </w:r>
      <w:r>
        <w:t xml:space="preserve">k’s trust fund model’. </w:t>
      </w:r>
      <w:r w:rsidRPr="004378E9">
        <w:t>BMJ 2017;</w:t>
      </w:r>
    </w:p>
  </w:footnote>
  <w:footnote w:id="141">
    <w:p w14:paraId="53120307" w14:textId="77777777" w:rsidR="000F2BA9" w:rsidRPr="009C2734" w:rsidRDefault="000F2BA9" w:rsidP="001B449B">
      <w:pPr>
        <w:pStyle w:val="FootnoteText"/>
        <w:spacing w:before="0" w:after="0"/>
      </w:pPr>
      <w:r w:rsidRPr="009C2734">
        <w:rPr>
          <w:rStyle w:val="FootnoteReference"/>
        </w:rPr>
        <w:footnoteRef/>
      </w:r>
      <w:r w:rsidRPr="009C2734">
        <w:t xml:space="preserve"> Barakat, S.; Rzeszut, K.; Martin, N. What is the track record of multi donor trust funds in improving aid effectiveness? An assessment of the available evidence. EPPI-Centre, Social Science Research Unit, Institute of Education, University of London, London, UK (2012) xii + 129 pp. ISBN 978-1-907345-29-6</w:t>
      </w:r>
    </w:p>
  </w:footnote>
  <w:footnote w:id="142">
    <w:p w14:paraId="750B180E" w14:textId="77777777" w:rsidR="000F2BA9" w:rsidRPr="00AA4125" w:rsidRDefault="000F2BA9" w:rsidP="001B449B">
      <w:pPr>
        <w:spacing w:before="0" w:after="0"/>
      </w:pPr>
      <w:r w:rsidRPr="00AA4125">
        <w:rPr>
          <w:rStyle w:val="FootnoteReference"/>
          <w:sz w:val="16"/>
          <w:szCs w:val="16"/>
        </w:rPr>
        <w:footnoteRef/>
      </w:r>
      <w:r w:rsidRPr="00AA4125">
        <w:rPr>
          <w:color w:val="333333"/>
          <w:shd w:val="clear" w:color="auto" w:fill="FFFFFF"/>
        </w:rPr>
        <w:t xml:space="preserve"> </w:t>
      </w:r>
      <w:r w:rsidRPr="00390B1D">
        <w:rPr>
          <w:color w:val="333333"/>
          <w:sz w:val="16"/>
          <w:szCs w:val="16"/>
          <w:shd w:val="clear" w:color="auto" w:fill="FFFFFF"/>
        </w:rPr>
        <w:t>World Bank trust funds fact sheet</w:t>
      </w:r>
      <w:r>
        <w:rPr>
          <w:color w:val="333333"/>
          <w:shd w:val="clear" w:color="auto" w:fill="FFFFFF"/>
        </w:rPr>
        <w:t xml:space="preserve"> </w:t>
      </w:r>
      <w:hyperlink r:id="rId9" w:history="1">
        <w:r w:rsidRPr="0001646B">
          <w:rPr>
            <w:rStyle w:val="Hyperlink"/>
            <w:sz w:val="16"/>
            <w:szCs w:val="16"/>
          </w:rPr>
          <w:t>http://siteresources.worldbank.org/CFPEXT/Resources/TFfactsheetapril2017.pdf</w:t>
        </w:r>
      </w:hyperlink>
      <w:r w:rsidRPr="00476111">
        <w:rPr>
          <w:color w:val="333333"/>
        </w:rPr>
        <w:t xml:space="preserve"> </w:t>
      </w:r>
    </w:p>
  </w:footnote>
  <w:footnote w:id="143">
    <w:p w14:paraId="45A6BC3C" w14:textId="77777777" w:rsidR="000F2BA9" w:rsidRDefault="000F2BA9" w:rsidP="001B449B">
      <w:pPr>
        <w:pStyle w:val="FootnoteText"/>
        <w:spacing w:before="0" w:after="0"/>
      </w:pPr>
      <w:r>
        <w:rPr>
          <w:rStyle w:val="FootnoteReference"/>
        </w:rPr>
        <w:footnoteRef/>
      </w:r>
      <w:r>
        <w:t xml:space="preserve"> Porter, M.E., (1979), ‘</w:t>
      </w:r>
      <w:r w:rsidRPr="00C4379B">
        <w:t>How Competitive Forces Shape Strategy</w:t>
      </w:r>
      <w:r>
        <w:t>’, in Harvard Business Review (March-April 1979), Harvard College</w:t>
      </w:r>
    </w:p>
  </w:footnote>
  <w:footnote w:id="144">
    <w:p w14:paraId="28901A0C" w14:textId="77777777" w:rsidR="000F2BA9" w:rsidRDefault="000F2BA9" w:rsidP="001B449B">
      <w:pPr>
        <w:pStyle w:val="FootnoteText"/>
        <w:spacing w:before="0" w:after="0"/>
      </w:pPr>
      <w:r>
        <w:rPr>
          <w:rStyle w:val="FootnoteReference"/>
        </w:rPr>
        <w:footnoteRef/>
      </w:r>
      <w:r>
        <w:t xml:space="preserve"> Interviewees from outside DFAT and World Bank</w:t>
      </w:r>
    </w:p>
  </w:footnote>
  <w:footnote w:id="145">
    <w:p w14:paraId="3B440671" w14:textId="77777777" w:rsidR="000F2BA9" w:rsidRDefault="000F2BA9" w:rsidP="001B449B">
      <w:pPr>
        <w:pStyle w:val="FootnoteText"/>
        <w:spacing w:before="0" w:after="0"/>
      </w:pPr>
      <w:r>
        <w:rPr>
          <w:rStyle w:val="FootnoteReference"/>
        </w:rPr>
        <w:footnoteRef/>
      </w:r>
      <w:r>
        <w:t xml:space="preserve"> Interviews with other donors in Delhi, February 2018</w:t>
      </w:r>
    </w:p>
  </w:footnote>
  <w:footnote w:id="146">
    <w:p w14:paraId="3BB7ECDA" w14:textId="77777777" w:rsidR="000F2BA9" w:rsidRDefault="000F2BA9" w:rsidP="001B449B">
      <w:pPr>
        <w:pStyle w:val="FootnoteText"/>
        <w:spacing w:before="0" w:after="0"/>
      </w:pPr>
      <w:r>
        <w:rPr>
          <w:rStyle w:val="FootnoteReference"/>
        </w:rPr>
        <w:footnoteRef/>
      </w:r>
      <w:r>
        <w:t xml:space="preserve"> Interview with TAF member who reported they had extensive regional contacts in civil society</w:t>
      </w:r>
    </w:p>
  </w:footnote>
  <w:footnote w:id="147">
    <w:p w14:paraId="1A062BD5" w14:textId="77777777" w:rsidR="000F2BA9" w:rsidRDefault="000F2BA9" w:rsidP="00DD4282">
      <w:pPr>
        <w:pStyle w:val="FootnoteText"/>
        <w:spacing w:before="0" w:after="0"/>
      </w:pPr>
      <w:r>
        <w:rPr>
          <w:rStyle w:val="FootnoteReference"/>
        </w:rPr>
        <w:footnoteRef/>
      </w:r>
      <w:r>
        <w:t xml:space="preserve"> </w:t>
      </w:r>
      <w:r w:rsidRPr="000563B8">
        <w:t>The Swedish International Development Cooperation Agency (SIDA) defines a challenge fund as ‘a financing mechanism to allocate (donor) funds for specific purposes using competition among organisations as the lead principle’.</w:t>
      </w:r>
      <w:r>
        <w:t>; See Pompa, C, (2013), ‘Understanding Challenge Funds’ ODI, London, UK</w:t>
      </w:r>
    </w:p>
  </w:footnote>
  <w:footnote w:id="148">
    <w:p w14:paraId="79CC4C8A" w14:textId="77777777" w:rsidR="000F2BA9" w:rsidRPr="009C2734" w:rsidRDefault="000F2BA9" w:rsidP="001B449B">
      <w:pPr>
        <w:pStyle w:val="FootnoteText"/>
        <w:spacing w:before="0" w:after="0"/>
      </w:pPr>
      <w:r w:rsidRPr="009C2734">
        <w:rPr>
          <w:rStyle w:val="FootnoteReference"/>
        </w:rPr>
        <w:footnoteRef/>
      </w:r>
      <w:r w:rsidRPr="009C2734">
        <w:t xml:space="preserve"> </w:t>
      </w:r>
      <w:r>
        <w:t xml:space="preserve">2017 </w:t>
      </w:r>
      <w:r w:rsidRPr="009C2734">
        <w:t>Aid Quality Check for INL093-RCI: Trade Facilitation and Infrastructure</w:t>
      </w:r>
    </w:p>
  </w:footnote>
  <w:footnote w:id="149">
    <w:p w14:paraId="2DA132E2" w14:textId="77777777" w:rsidR="000F2BA9" w:rsidRDefault="000F2BA9" w:rsidP="001B449B">
      <w:pPr>
        <w:pStyle w:val="FootnoteText"/>
        <w:spacing w:before="0" w:after="0"/>
      </w:pPr>
      <w:r>
        <w:rPr>
          <w:rStyle w:val="FootnoteReference"/>
        </w:rPr>
        <w:footnoteRef/>
      </w:r>
      <w:r>
        <w:t xml:space="preserve"> Interviews with two senior DFAT staff</w:t>
      </w:r>
    </w:p>
  </w:footnote>
  <w:footnote w:id="150">
    <w:p w14:paraId="1C29DF8C" w14:textId="77777777" w:rsidR="000F2BA9" w:rsidRPr="00E57918" w:rsidRDefault="000F2BA9" w:rsidP="001B449B">
      <w:pPr>
        <w:pStyle w:val="FootnoteText"/>
        <w:spacing w:before="0" w:after="0"/>
      </w:pPr>
      <w:r w:rsidRPr="009C2734">
        <w:rPr>
          <w:rStyle w:val="FootnoteReference"/>
        </w:rPr>
        <w:footnoteRef/>
      </w:r>
      <w:r w:rsidRPr="009C2734">
        <w:t xml:space="preserve"> World Bank Group IEG 2012. Designing a results framework for achieving results: a how-to guide. World Bank Group Washington.</w:t>
      </w:r>
    </w:p>
  </w:footnote>
  <w:footnote w:id="151">
    <w:p w14:paraId="0D71B05D" w14:textId="37981D1A" w:rsidR="000F2BA9" w:rsidRPr="001557B9" w:rsidRDefault="000F2BA9" w:rsidP="00646AEB">
      <w:pPr>
        <w:pStyle w:val="FootnoteText"/>
        <w:spacing w:before="0" w:after="0"/>
      </w:pPr>
      <w:r w:rsidRPr="001557B9">
        <w:rPr>
          <w:rStyle w:val="FootnoteReference"/>
        </w:rPr>
        <w:footnoteRef/>
      </w:r>
      <w:r w:rsidRPr="001557B9">
        <w:t xml:space="preserve"> Mallon, R. and Ernst, S., (2012) South Asia Regional Program Evaluation (ING 236), AusA</w:t>
      </w:r>
      <w:r>
        <w:t>ID</w:t>
      </w:r>
      <w:r w:rsidRPr="001557B9">
        <w:t>, May 2012</w:t>
      </w:r>
    </w:p>
  </w:footnote>
  <w:footnote w:id="152">
    <w:p w14:paraId="5D87A398" w14:textId="77777777" w:rsidR="000F2BA9" w:rsidRPr="001557B9" w:rsidRDefault="000F2BA9" w:rsidP="001B449B">
      <w:pPr>
        <w:pStyle w:val="FootnoteText"/>
        <w:spacing w:before="0" w:after="0"/>
      </w:pPr>
      <w:r w:rsidRPr="001557B9">
        <w:rPr>
          <w:rStyle w:val="FootnoteReference"/>
        </w:rPr>
        <w:footnoteRef/>
      </w:r>
      <w:r w:rsidRPr="001557B9">
        <w:t xml:space="preserve"> DSC Dec 2017 notes</w:t>
      </w:r>
    </w:p>
  </w:footnote>
  <w:footnote w:id="153">
    <w:p w14:paraId="379BE6D2" w14:textId="77777777" w:rsidR="000F2BA9" w:rsidRPr="007650F3" w:rsidRDefault="000F2BA9" w:rsidP="001B449B">
      <w:pPr>
        <w:pStyle w:val="FootnoteText"/>
        <w:spacing w:before="0" w:after="0"/>
      </w:pPr>
      <w:r w:rsidRPr="007650F3">
        <w:rPr>
          <w:rStyle w:val="FootnoteReference"/>
        </w:rPr>
        <w:footnoteRef/>
      </w:r>
      <w:r w:rsidRPr="007650F3">
        <w:t xml:space="preserve"> Interview with senior DFAT staff</w:t>
      </w:r>
    </w:p>
  </w:footnote>
  <w:footnote w:id="154">
    <w:p w14:paraId="72F2CFA4" w14:textId="77777777" w:rsidR="000F2BA9" w:rsidRPr="001557B9" w:rsidRDefault="000F2BA9" w:rsidP="001B449B">
      <w:pPr>
        <w:pStyle w:val="FootnoteText"/>
        <w:spacing w:before="0" w:after="0"/>
      </w:pPr>
      <w:r w:rsidRPr="001557B9">
        <w:rPr>
          <w:rStyle w:val="FootnoteReference"/>
        </w:rPr>
        <w:footnoteRef/>
      </w:r>
      <w:r w:rsidRPr="001557B9">
        <w:t xml:space="preserve"> </w:t>
      </w:r>
      <w:r w:rsidRPr="00646AEB">
        <w:t xml:space="preserve">Donor Steering Committee </w:t>
      </w:r>
      <w:r w:rsidRPr="001557B9">
        <w:t>Dec</w:t>
      </w:r>
      <w:r>
        <w:t>ember</w:t>
      </w:r>
      <w:r w:rsidRPr="001557B9">
        <w:t xml:space="preserve"> 2017 notes</w:t>
      </w:r>
    </w:p>
  </w:footnote>
  <w:footnote w:id="155">
    <w:p w14:paraId="6814C01C" w14:textId="77777777" w:rsidR="000F2BA9" w:rsidRDefault="000F2BA9" w:rsidP="001B449B">
      <w:pPr>
        <w:pStyle w:val="FootnoteText"/>
        <w:spacing w:before="0" w:after="0"/>
      </w:pPr>
      <w:r w:rsidRPr="001557B9">
        <w:rPr>
          <w:rStyle w:val="FootnoteReference"/>
        </w:rPr>
        <w:footnoteRef/>
      </w:r>
      <w:r w:rsidRPr="001557B9">
        <w:t xml:space="preserve"> OECD (2013), ‘The DAC Network on Development Evaluation – 30 years of strengthening learning in development’</w:t>
      </w:r>
      <w:r>
        <w:t>,</w:t>
      </w:r>
      <w:r w:rsidRPr="001557B9">
        <w:t xml:space="preserve"> Paris.</w:t>
      </w:r>
    </w:p>
  </w:footnote>
  <w:footnote w:id="156">
    <w:p w14:paraId="7F1AE3FC" w14:textId="77777777" w:rsidR="000F2BA9" w:rsidRDefault="000F2BA9" w:rsidP="001B449B">
      <w:pPr>
        <w:pStyle w:val="FootnoteText"/>
        <w:spacing w:before="0" w:after="0"/>
      </w:pPr>
      <w:r>
        <w:rPr>
          <w:rStyle w:val="FootnoteReference"/>
        </w:rPr>
        <w:footnoteRef/>
      </w:r>
      <w:r>
        <w:t xml:space="preserve"> Comprising of gender, trade, partnerships and monitoring and evaluation technical advice.</w:t>
      </w:r>
    </w:p>
  </w:footnote>
  <w:footnote w:id="157">
    <w:p w14:paraId="45A93761" w14:textId="77777777" w:rsidR="000F2BA9" w:rsidRDefault="000F2BA9" w:rsidP="001B449B">
      <w:pPr>
        <w:pStyle w:val="FootnoteText"/>
        <w:spacing w:before="0" w:after="0"/>
      </w:pPr>
      <w:r>
        <w:rPr>
          <w:rStyle w:val="FootnoteReference"/>
        </w:rPr>
        <w:footnoteRef/>
      </w:r>
      <w:r>
        <w:t xml:space="preserve"> </w:t>
      </w:r>
      <w:r w:rsidRPr="0039726E">
        <w:t>http://dfat.gov.au/about-us/publications/Pages/dfat-monitoring-and-evaluation-standards.aspx</w:t>
      </w:r>
    </w:p>
  </w:footnote>
  <w:footnote w:id="158">
    <w:p w14:paraId="07BE4F65" w14:textId="77777777" w:rsidR="000F2BA9" w:rsidRPr="00E63F69" w:rsidRDefault="000F2BA9" w:rsidP="001B449B">
      <w:pPr>
        <w:pStyle w:val="FootnoteText"/>
        <w:spacing w:before="0" w:after="0"/>
      </w:pPr>
      <w:r w:rsidRPr="00E63F69">
        <w:rPr>
          <w:rStyle w:val="FootnoteReference"/>
        </w:rPr>
        <w:footnoteRef/>
      </w:r>
      <w:r w:rsidRPr="00E63F69">
        <w:t xml:space="preserve"> SARTFP started with 3 Global Practices eligible: Trade and Competitiveness; Social Development; and Transport – then based on WB request two more GPS were added (Agriculture and Livelihoods, and Natural Resources,) Admin manual SARTFP annex</w:t>
      </w:r>
    </w:p>
  </w:footnote>
  <w:footnote w:id="159">
    <w:p w14:paraId="2AF89049" w14:textId="77777777" w:rsidR="000F2BA9" w:rsidRPr="00E63F69" w:rsidRDefault="000F2BA9" w:rsidP="000151BA">
      <w:pPr>
        <w:pStyle w:val="FootnoteText"/>
        <w:spacing w:before="0" w:after="0"/>
      </w:pPr>
      <w:r w:rsidRPr="000151BA">
        <w:rPr>
          <w:rStyle w:val="FootnoteReference"/>
        </w:rPr>
        <w:footnoteRef/>
      </w:r>
      <w:r w:rsidRPr="000151BA">
        <w:t xml:space="preserve"> Asterisked italic terms appearing in indicators are defined following end of table</w:t>
      </w:r>
    </w:p>
  </w:footnote>
  <w:footnote w:id="160">
    <w:p w14:paraId="1CC41C02" w14:textId="77777777" w:rsidR="000F2BA9" w:rsidRDefault="000F2BA9" w:rsidP="000151BA">
      <w:pPr>
        <w:pStyle w:val="FootnoteText"/>
        <w:spacing w:before="0" w:after="0"/>
      </w:pPr>
      <w:r w:rsidRPr="000151BA">
        <w:rPr>
          <w:rStyle w:val="FootnoteReference"/>
        </w:rPr>
        <w:footnoteRef/>
      </w:r>
      <w:r w:rsidRPr="000151BA">
        <w:t xml:space="preserve"> Transport, Trade &amp; Competitiveness, Social Development, and Agriculture </w:t>
      </w:r>
    </w:p>
  </w:footnote>
  <w:footnote w:id="161">
    <w:p w14:paraId="2A734A40" w14:textId="77777777" w:rsidR="000F2BA9" w:rsidRDefault="000F2BA9" w:rsidP="000151BA">
      <w:pPr>
        <w:pStyle w:val="FootnoteText"/>
        <w:spacing w:before="0" w:after="0"/>
        <w:rPr>
          <w:szCs w:val="20"/>
        </w:rPr>
      </w:pPr>
      <w:r w:rsidRPr="000151BA">
        <w:rPr>
          <w:rStyle w:val="FootnoteReference"/>
        </w:rPr>
        <w:footnoteRef/>
      </w:r>
      <w:r w:rsidRPr="000151BA">
        <w:t xml:space="preserve"> Will include counterpart financing</w:t>
      </w:r>
      <w:r>
        <w:rPr>
          <w:rFonts w:eastAsia="Calibri"/>
          <w:szCs w:val="20"/>
        </w:rPr>
        <w:t xml:space="preserve"> </w:t>
      </w:r>
    </w:p>
  </w:footnote>
  <w:footnote w:id="162">
    <w:p w14:paraId="23F444B4" w14:textId="77777777" w:rsidR="000F2BA9" w:rsidRDefault="000F2BA9" w:rsidP="000151BA">
      <w:pPr>
        <w:pStyle w:val="FootnoteText"/>
        <w:spacing w:before="0" w:after="0"/>
      </w:pPr>
      <w:r w:rsidRPr="000151BA">
        <w:rPr>
          <w:rStyle w:val="FootnoteReference"/>
        </w:rPr>
        <w:footnoteRef/>
      </w:r>
      <w:r w:rsidRPr="000151BA">
        <w:t xml:space="preserve"> E.g. Modernization, simplification and harmonization of customs procedures</w:t>
      </w:r>
    </w:p>
  </w:footnote>
  <w:footnote w:id="163">
    <w:p w14:paraId="6CFC83DB" w14:textId="77777777" w:rsidR="000F2BA9" w:rsidRPr="000151BA" w:rsidRDefault="000F2BA9" w:rsidP="000151BA">
      <w:pPr>
        <w:pStyle w:val="FootnoteText"/>
        <w:spacing w:before="0" w:after="0"/>
      </w:pPr>
      <w:r w:rsidRPr="000151BA">
        <w:rPr>
          <w:rStyle w:val="FootnoteReference"/>
        </w:rPr>
        <w:footnoteRef/>
      </w:r>
      <w:r w:rsidRPr="000151BA">
        <w:rPr>
          <w:rStyle w:val="FootnoteReference"/>
        </w:rPr>
        <w:t xml:space="preserve"> </w:t>
      </w:r>
      <w:r w:rsidRPr="000151BA">
        <w:t xml:space="preserve">E.g. Simplified border post procedures </w:t>
      </w:r>
    </w:p>
  </w:footnote>
  <w:footnote w:id="164">
    <w:p w14:paraId="2E5B59ED" w14:textId="77777777" w:rsidR="000F2BA9" w:rsidRDefault="000F2BA9" w:rsidP="000151BA">
      <w:pPr>
        <w:pStyle w:val="FootnoteText"/>
        <w:spacing w:before="0" w:after="0"/>
      </w:pPr>
      <w:r w:rsidRPr="000151BA">
        <w:rPr>
          <w:rStyle w:val="FootnoteReference"/>
        </w:rPr>
        <w:footnoteRef/>
      </w:r>
      <w:r w:rsidRPr="000151BA">
        <w:rPr>
          <w:rStyle w:val="FootnoteReference"/>
        </w:rPr>
        <w:t xml:space="preserve"> </w:t>
      </w:r>
      <w:r w:rsidRPr="000151BA">
        <w:t>To be disaggregated by MTO if required.</w:t>
      </w:r>
    </w:p>
  </w:footnote>
  <w:footnote w:id="165">
    <w:p w14:paraId="0195AC33" w14:textId="77777777" w:rsidR="000F2BA9" w:rsidRPr="00F42157" w:rsidRDefault="000F2BA9" w:rsidP="000151BA">
      <w:pPr>
        <w:pStyle w:val="FootnoteText"/>
        <w:spacing w:before="0" w:after="0"/>
      </w:pPr>
      <w:r w:rsidRPr="000151BA">
        <w:rPr>
          <w:rStyle w:val="FootnoteReference"/>
        </w:rPr>
        <w:footnoteRef/>
      </w:r>
      <w:r w:rsidRPr="000151BA">
        <w:rPr>
          <w:rStyle w:val="FootnoteReference"/>
        </w:rPr>
        <w:t xml:space="preserve"> </w:t>
      </w:r>
      <w:r w:rsidRPr="000151BA">
        <w:t>Significant impact is more likely to be achieved in the longer term in view of the project cycle time horizon</w:t>
      </w:r>
    </w:p>
  </w:footnote>
  <w:footnote w:id="166">
    <w:p w14:paraId="65FBBE7F" w14:textId="77777777" w:rsidR="000F2BA9" w:rsidRPr="00F42157" w:rsidRDefault="000F2BA9" w:rsidP="000151BA">
      <w:pPr>
        <w:pStyle w:val="FootnoteText"/>
        <w:spacing w:before="0" w:after="0"/>
      </w:pPr>
      <w:r w:rsidRPr="000151BA">
        <w:rPr>
          <w:rStyle w:val="FootnoteReference"/>
        </w:rPr>
        <w:footnoteRef/>
      </w:r>
      <w:r w:rsidRPr="000151BA">
        <w:t xml:space="preserve"> E.g. improved access to roads, inland waterways, etc.; upgraded and women friendly border post infrastructure </w:t>
      </w:r>
    </w:p>
  </w:footnote>
  <w:footnote w:id="167">
    <w:p w14:paraId="05C80128" w14:textId="77777777" w:rsidR="000F2BA9" w:rsidRPr="00F42157" w:rsidRDefault="000F2BA9" w:rsidP="000151BA">
      <w:pPr>
        <w:pStyle w:val="FootnoteText"/>
        <w:spacing w:before="0" w:after="0"/>
      </w:pPr>
      <w:r w:rsidRPr="000151BA">
        <w:rPr>
          <w:rStyle w:val="FootnoteReference"/>
        </w:rPr>
        <w:footnoteRef/>
      </w:r>
      <w:r w:rsidRPr="000151BA">
        <w:t xml:space="preserve"> E.g. simplified border clearance regimes for small-scale trade; improved border post design and procedures</w:t>
      </w:r>
    </w:p>
  </w:footnote>
  <w:footnote w:id="168">
    <w:p w14:paraId="64E11380" w14:textId="77777777" w:rsidR="000F2BA9" w:rsidRPr="00F42157" w:rsidRDefault="000F2BA9" w:rsidP="000151BA">
      <w:pPr>
        <w:pStyle w:val="FootnoteText"/>
        <w:spacing w:before="0" w:after="0"/>
      </w:pPr>
      <w:r w:rsidRPr="000151BA">
        <w:rPr>
          <w:rStyle w:val="FootnoteReference"/>
        </w:rPr>
        <w:footnoteRef/>
      </w:r>
      <w:r w:rsidRPr="000151BA">
        <w:t xml:space="preserve"> Under this indicator, the program will seek to ascertain value of exports facilitated (including new exports) in SARTFP related activities (ADR Indicator)</w:t>
      </w:r>
    </w:p>
  </w:footnote>
  <w:footnote w:id="169">
    <w:p w14:paraId="29B609A4" w14:textId="77777777" w:rsidR="000F2BA9" w:rsidRPr="00F42157" w:rsidRDefault="000F2BA9" w:rsidP="000151BA">
      <w:pPr>
        <w:pStyle w:val="FootnoteText"/>
        <w:spacing w:before="0" w:after="0"/>
      </w:pPr>
      <w:r w:rsidRPr="000151BA">
        <w:rPr>
          <w:rStyle w:val="FootnoteReference"/>
        </w:rPr>
        <w:footnoteRef/>
      </w:r>
      <w:r w:rsidRPr="000151BA">
        <w:t xml:space="preserve"> E.g. increased skills of poor women and men allowing them to fully take advantage of increased economic opportunity</w:t>
      </w:r>
    </w:p>
  </w:footnote>
  <w:footnote w:id="170">
    <w:p w14:paraId="479CA0E2" w14:textId="77777777" w:rsidR="000F2BA9" w:rsidRDefault="000F2BA9" w:rsidP="000151BA">
      <w:pPr>
        <w:pStyle w:val="FootnoteText"/>
        <w:spacing w:before="0" w:after="0"/>
        <w:rPr>
          <w:szCs w:val="20"/>
        </w:rPr>
      </w:pPr>
      <w:r w:rsidRPr="000151BA">
        <w:rPr>
          <w:rStyle w:val="FootnoteReference"/>
        </w:rPr>
        <w:footnoteRef/>
      </w:r>
      <w:r w:rsidRPr="000151BA">
        <w:t xml:space="preserve"> Under this this indicator, the program will seek to ascertain the number of women and men in SARTFP related activities with increased incomes (ADR Indicator)</w:t>
      </w:r>
    </w:p>
  </w:footnote>
  <w:footnote w:id="171">
    <w:p w14:paraId="5ED4E2CE" w14:textId="77777777" w:rsidR="000F2BA9" w:rsidRPr="000E2858" w:rsidRDefault="000F2BA9" w:rsidP="001B449B">
      <w:pPr>
        <w:pStyle w:val="FootnoteText"/>
        <w:spacing w:before="0" w:after="0"/>
      </w:pPr>
      <w:r w:rsidRPr="000E2858">
        <w:rPr>
          <w:rStyle w:val="FootnoteReference"/>
        </w:rPr>
        <w:footnoteRef/>
      </w:r>
      <w:r w:rsidRPr="000E2858">
        <w:t xml:space="preserve"> </w:t>
      </w:r>
      <w:hyperlink r:id="rId10" w:history="1">
        <w:r w:rsidRPr="000E2858">
          <w:rPr>
            <w:rStyle w:val="Hyperlink"/>
          </w:rPr>
          <w:t>http://dfat.gov.au/about-us/publications/documents/gender-equality-and-womens-empowerment-strategy.pdf</w:t>
        </w:r>
      </w:hyperlink>
    </w:p>
  </w:footnote>
  <w:footnote w:id="172">
    <w:p w14:paraId="280DD779" w14:textId="77777777" w:rsidR="000F2BA9" w:rsidRPr="000A059C" w:rsidRDefault="000F2BA9" w:rsidP="001B449B">
      <w:pPr>
        <w:pStyle w:val="FootnoteText"/>
        <w:spacing w:before="0" w:after="0"/>
      </w:pPr>
      <w:r>
        <w:rPr>
          <w:rStyle w:val="FootnoteReference"/>
        </w:rPr>
        <w:footnoteRef/>
      </w:r>
      <w:r>
        <w:t xml:space="preserve"> </w:t>
      </w:r>
      <w:r w:rsidRPr="00820904">
        <w:t>Ibid</w:t>
      </w:r>
      <w:r>
        <w:t>.</w:t>
      </w:r>
    </w:p>
  </w:footnote>
  <w:footnote w:id="173">
    <w:p w14:paraId="3610003E" w14:textId="77777777" w:rsidR="000F2BA9" w:rsidRPr="000C1B28" w:rsidRDefault="000F2BA9" w:rsidP="001B449B">
      <w:pPr>
        <w:pStyle w:val="FootnoteText"/>
        <w:spacing w:before="0" w:after="0"/>
      </w:pPr>
      <w:r w:rsidRPr="000C1B28">
        <w:rPr>
          <w:rStyle w:val="FootnoteReference"/>
        </w:rPr>
        <w:footnoteRef/>
      </w:r>
      <w:r w:rsidRPr="000C1B28">
        <w:t xml:space="preserve"> PFSA Annual Report 2015</w:t>
      </w:r>
    </w:p>
  </w:footnote>
  <w:footnote w:id="174">
    <w:p w14:paraId="1EE628B6" w14:textId="77777777" w:rsidR="000F2BA9" w:rsidRPr="000C1B28" w:rsidRDefault="000F2BA9" w:rsidP="001B449B">
      <w:pPr>
        <w:pStyle w:val="FootnoteText"/>
        <w:spacing w:before="0" w:after="0"/>
      </w:pPr>
      <w:r w:rsidRPr="000C1B28">
        <w:rPr>
          <w:rStyle w:val="FootnoteReference"/>
        </w:rPr>
        <w:footnoteRef/>
      </w:r>
      <w:r w:rsidRPr="000C1B28">
        <w:t xml:space="preserve"> PFSA Annual Report 2016</w:t>
      </w:r>
    </w:p>
  </w:footnote>
  <w:footnote w:id="175">
    <w:p w14:paraId="7EB48DF4" w14:textId="77777777" w:rsidR="000F2BA9" w:rsidRPr="006E6F5F" w:rsidRDefault="000F2BA9" w:rsidP="001B449B">
      <w:pPr>
        <w:pStyle w:val="FootnoteText"/>
        <w:spacing w:before="0" w:after="0"/>
      </w:pPr>
      <w:r w:rsidRPr="000C1B28">
        <w:rPr>
          <w:rStyle w:val="FootnoteReference"/>
        </w:rPr>
        <w:footnoteRef/>
      </w:r>
      <w:r w:rsidRPr="000C1B28">
        <w:t xml:space="preserve"> World Bank IFG Taskforce Overview undated. ‘Business, Enterprise, and Employment Support (BEES) for Women in South Asia’</w:t>
      </w:r>
    </w:p>
  </w:footnote>
  <w:footnote w:id="176">
    <w:p w14:paraId="6FB6C08D" w14:textId="77777777" w:rsidR="000F2BA9" w:rsidRPr="00B87C90" w:rsidRDefault="000F2BA9" w:rsidP="001B449B">
      <w:pPr>
        <w:pStyle w:val="FootnoteText"/>
        <w:spacing w:before="0" w:after="0"/>
      </w:pPr>
      <w:r w:rsidRPr="00B87C90">
        <w:rPr>
          <w:rStyle w:val="FootnoteReference"/>
        </w:rPr>
        <w:footnoteRef/>
      </w:r>
      <w:r w:rsidRPr="00B87C90">
        <w:t xml:space="preserve"> IFG Disbursement Profile Dec 2017 – Excel spreadsheet</w:t>
      </w:r>
    </w:p>
  </w:footnote>
  <w:footnote w:id="177">
    <w:p w14:paraId="5105C540" w14:textId="77777777" w:rsidR="000F2BA9" w:rsidRPr="000C1B28" w:rsidRDefault="000F2BA9" w:rsidP="001B449B">
      <w:pPr>
        <w:pStyle w:val="FootnoteText"/>
        <w:spacing w:before="0" w:after="0"/>
      </w:pPr>
      <w:r w:rsidRPr="000C1B28">
        <w:rPr>
          <w:rStyle w:val="FootnoteReference"/>
          <w:rFonts w:asciiTheme="minorHAnsi" w:hAnsiTheme="minorHAnsi"/>
        </w:rPr>
        <w:footnoteRef/>
      </w:r>
      <w:r w:rsidRPr="000C1B28">
        <w:t xml:space="preserve"> Ref: Interview with Melissa Williams, Washington, Feb 2018</w:t>
      </w:r>
    </w:p>
  </w:footnote>
  <w:footnote w:id="178">
    <w:p w14:paraId="656D14F8" w14:textId="77777777" w:rsidR="000F2BA9" w:rsidRPr="000C1B28" w:rsidRDefault="000F2BA9" w:rsidP="001B449B">
      <w:pPr>
        <w:pStyle w:val="FootnoteText"/>
        <w:spacing w:before="0" w:after="0"/>
      </w:pPr>
      <w:r w:rsidRPr="000C1B28">
        <w:rPr>
          <w:rStyle w:val="FootnoteReference"/>
          <w:rFonts w:asciiTheme="minorHAnsi" w:hAnsiTheme="minorHAnsi"/>
        </w:rPr>
        <w:footnoteRef/>
      </w:r>
      <w:r w:rsidRPr="000C1B28">
        <w:t xml:space="preserve"> World Bank IFG Taskforce Overview undated. ‘Business, Enterprise, and Employment Support (BEES) for Women in South Asia’</w:t>
      </w:r>
    </w:p>
  </w:footnote>
  <w:footnote w:id="179">
    <w:p w14:paraId="24CA5D70" w14:textId="77777777" w:rsidR="000F2BA9" w:rsidRPr="000C1B28" w:rsidRDefault="000F2BA9" w:rsidP="001B449B">
      <w:pPr>
        <w:pStyle w:val="FootnoteText"/>
        <w:spacing w:before="0" w:after="0"/>
      </w:pPr>
      <w:r w:rsidRPr="000C1B28">
        <w:rPr>
          <w:rStyle w:val="FootnoteReference"/>
          <w:rFonts w:asciiTheme="minorHAnsi" w:hAnsiTheme="minorHAnsi"/>
        </w:rPr>
        <w:footnoteRef/>
      </w:r>
      <w:r w:rsidRPr="000C1B28">
        <w:t xml:space="preserve"> PFSA Annual Report 2016.</w:t>
      </w:r>
    </w:p>
  </w:footnote>
  <w:footnote w:id="180">
    <w:p w14:paraId="026F6862" w14:textId="77777777" w:rsidR="000F2BA9" w:rsidRPr="000151BA" w:rsidRDefault="000F2BA9" w:rsidP="000151BA">
      <w:pPr>
        <w:pStyle w:val="FootnoteText"/>
        <w:spacing w:before="0" w:after="0"/>
      </w:pPr>
      <w:r w:rsidRPr="000151BA">
        <w:rPr>
          <w:rStyle w:val="FootnoteReference"/>
          <w:rFonts w:asciiTheme="minorHAnsi" w:hAnsiTheme="minorHAnsi"/>
        </w:rPr>
        <w:footnoteRef/>
      </w:r>
      <w:r w:rsidRPr="000C1B28">
        <w:t xml:space="preserve"> IFG Results Framework (2016-2017)</w:t>
      </w:r>
    </w:p>
  </w:footnote>
  <w:footnote w:id="181">
    <w:p w14:paraId="07043126" w14:textId="77777777" w:rsidR="000F2BA9" w:rsidRPr="000C1B28" w:rsidRDefault="000F2BA9" w:rsidP="001B449B">
      <w:pPr>
        <w:pStyle w:val="FootnoteText"/>
        <w:spacing w:before="0" w:after="0"/>
      </w:pPr>
      <w:r w:rsidRPr="000C1B28">
        <w:rPr>
          <w:rStyle w:val="FootnoteReference"/>
          <w:rFonts w:asciiTheme="minorHAnsi" w:hAnsiTheme="minorHAnsi"/>
        </w:rPr>
        <w:footnoteRef/>
      </w:r>
      <w:r w:rsidRPr="000C1B28">
        <w:t xml:space="preserve"> Ref: Interview with Melissa Williams, Washington, Feb 2018</w:t>
      </w:r>
    </w:p>
  </w:footnote>
  <w:footnote w:id="182">
    <w:p w14:paraId="46DE4577" w14:textId="77777777" w:rsidR="000F2BA9" w:rsidRPr="000151BA" w:rsidRDefault="000F2BA9" w:rsidP="000151BA">
      <w:pPr>
        <w:pStyle w:val="FootnoteText"/>
        <w:spacing w:before="0" w:after="0"/>
      </w:pPr>
      <w:r w:rsidRPr="000151BA">
        <w:rPr>
          <w:rStyle w:val="FootnoteReference"/>
          <w:rFonts w:asciiTheme="minorHAnsi" w:hAnsiTheme="minorHAnsi"/>
        </w:rPr>
        <w:footnoteRef/>
      </w:r>
      <w:r w:rsidRPr="000151BA">
        <w:rPr>
          <w:rStyle w:val="FootnoteReference"/>
        </w:rPr>
        <w:t xml:space="preserve"> </w:t>
      </w:r>
      <w:r w:rsidRPr="000C1B28">
        <w:t>PFSA Infrastructure for Growth Window 2016 Annual Report Annex 24 Mar 2017</w:t>
      </w:r>
    </w:p>
  </w:footnote>
  <w:footnote w:id="183">
    <w:p w14:paraId="581BBBB7" w14:textId="77777777" w:rsidR="000F2BA9" w:rsidRPr="000151BA" w:rsidRDefault="000F2BA9" w:rsidP="000151BA">
      <w:pPr>
        <w:pStyle w:val="FootnoteText"/>
        <w:spacing w:before="0" w:after="0"/>
      </w:pPr>
      <w:r w:rsidRPr="000151BA">
        <w:rPr>
          <w:rStyle w:val="FootnoteReference"/>
          <w:rFonts w:asciiTheme="minorHAnsi" w:hAnsiTheme="minorHAnsi"/>
        </w:rPr>
        <w:footnoteRef/>
      </w:r>
      <w:r w:rsidRPr="000151BA">
        <w:rPr>
          <w:rStyle w:val="FootnoteReference"/>
        </w:rPr>
        <w:t xml:space="preserve"> </w:t>
      </w:r>
      <w:r w:rsidRPr="000C1B28">
        <w:t>PFSA Infrastructure for Growth Window 2016 Annual Report Annex 24 Mar 2017</w:t>
      </w:r>
    </w:p>
  </w:footnote>
  <w:footnote w:id="184">
    <w:p w14:paraId="3AFD2FB3" w14:textId="77777777" w:rsidR="000F2BA9" w:rsidRPr="000C1B28" w:rsidRDefault="000F2BA9" w:rsidP="001B449B">
      <w:pPr>
        <w:pStyle w:val="FootnoteText"/>
        <w:spacing w:before="0" w:after="0"/>
      </w:pPr>
      <w:r w:rsidRPr="000C1B28">
        <w:rPr>
          <w:rStyle w:val="FootnoteReference"/>
          <w:rFonts w:asciiTheme="minorHAnsi" w:hAnsiTheme="minorHAnsi"/>
        </w:rPr>
        <w:footnoteRef/>
      </w:r>
      <w:r w:rsidRPr="000C1B28">
        <w:t xml:space="preserve"> IFG Disbursement Profile Dec 2017 – Excel spreadsheet</w:t>
      </w:r>
    </w:p>
  </w:footnote>
  <w:footnote w:id="185">
    <w:p w14:paraId="1E1BC62A" w14:textId="77777777" w:rsidR="000F2BA9" w:rsidRPr="000C1B28" w:rsidRDefault="000F2BA9" w:rsidP="001B449B">
      <w:pPr>
        <w:pStyle w:val="FootnoteText"/>
        <w:spacing w:before="0" w:after="0"/>
      </w:pPr>
      <w:r w:rsidRPr="000C1B28">
        <w:rPr>
          <w:rStyle w:val="FootnoteReference"/>
          <w:rFonts w:asciiTheme="minorHAnsi" w:hAnsiTheme="minorHAnsi"/>
        </w:rPr>
        <w:footnoteRef/>
      </w:r>
      <w:r w:rsidRPr="000C1B28">
        <w:t xml:space="preserve"> PFSA Annual Report 2015</w:t>
      </w:r>
    </w:p>
  </w:footnote>
  <w:footnote w:id="186">
    <w:p w14:paraId="2A8DEE75" w14:textId="77777777" w:rsidR="000F2BA9" w:rsidRPr="000C1B28" w:rsidRDefault="000F2BA9" w:rsidP="001B449B">
      <w:pPr>
        <w:pStyle w:val="FootnoteText"/>
        <w:spacing w:before="0" w:after="0"/>
      </w:pPr>
      <w:r w:rsidRPr="000C1B28">
        <w:rPr>
          <w:rStyle w:val="FootnoteReference"/>
          <w:rFonts w:asciiTheme="minorHAnsi" w:hAnsiTheme="minorHAnsi"/>
        </w:rPr>
        <w:footnoteRef/>
      </w:r>
      <w:r w:rsidRPr="000C1B28">
        <w:t xml:space="preserve"> Interview notes with Jennifer Solotoff and GSD team Feb 2018</w:t>
      </w:r>
    </w:p>
  </w:footnote>
  <w:footnote w:id="187">
    <w:p w14:paraId="2201D6FF" w14:textId="77777777" w:rsidR="000F2BA9" w:rsidRPr="00DC7CB4" w:rsidRDefault="000F2BA9" w:rsidP="001B449B">
      <w:pPr>
        <w:pStyle w:val="FootnoteText"/>
        <w:spacing w:before="0" w:after="0"/>
      </w:pPr>
      <w:r w:rsidRPr="000C1B28">
        <w:rPr>
          <w:rStyle w:val="FootnoteReference"/>
          <w:rFonts w:asciiTheme="minorHAnsi" w:hAnsiTheme="minorHAnsi"/>
        </w:rPr>
        <w:footnoteRef/>
      </w:r>
      <w:r w:rsidRPr="000C1B28">
        <w:t xml:space="preserve"> PFSA Annual Report 2015</w:t>
      </w:r>
    </w:p>
  </w:footnote>
  <w:footnote w:id="188">
    <w:p w14:paraId="3BA1BBF8" w14:textId="77777777" w:rsidR="000F2BA9" w:rsidRPr="00D705C3" w:rsidRDefault="000F2BA9" w:rsidP="001B449B">
      <w:pPr>
        <w:pStyle w:val="FootnoteText"/>
        <w:spacing w:before="0" w:after="0"/>
      </w:pPr>
      <w:r w:rsidRPr="000151BA">
        <w:rPr>
          <w:rStyle w:val="FootnoteReference"/>
          <w:rFonts w:asciiTheme="minorHAnsi" w:hAnsiTheme="minorHAnsi"/>
        </w:rPr>
        <w:footnoteRef/>
      </w:r>
      <w:r w:rsidRPr="000151BA">
        <w:rPr>
          <w:rStyle w:val="FootnoteReference"/>
          <w:rFonts w:asciiTheme="minorHAnsi" w:hAnsiTheme="minorHAnsi"/>
        </w:rPr>
        <w:t xml:space="preserve"> </w:t>
      </w:r>
      <w:r w:rsidRPr="003A0949">
        <w:t>PFSA 2017. IFG Draft Annual Report 2016.</w:t>
      </w:r>
    </w:p>
  </w:footnote>
  <w:footnote w:id="189">
    <w:p w14:paraId="46B4EFF0" w14:textId="77777777" w:rsidR="000F2BA9" w:rsidRPr="000151BA" w:rsidRDefault="000F2BA9" w:rsidP="000151BA">
      <w:pPr>
        <w:pStyle w:val="FootnoteText"/>
        <w:spacing w:before="0" w:after="0"/>
      </w:pPr>
      <w:r w:rsidRPr="000151BA">
        <w:rPr>
          <w:rStyle w:val="FootnoteReference"/>
          <w:rFonts w:asciiTheme="minorHAnsi" w:hAnsiTheme="minorHAnsi"/>
        </w:rPr>
        <w:footnoteRef/>
      </w:r>
      <w:r w:rsidRPr="000151BA">
        <w:rPr>
          <w:rStyle w:val="FootnoteReference"/>
        </w:rPr>
        <w:t xml:space="preserve"> </w:t>
      </w:r>
      <w:r w:rsidRPr="000C1B28">
        <w:t>PFSA Infrastructure for Growth Window 2016 Annual Report Annex 24 Mar 2017</w:t>
      </w:r>
    </w:p>
  </w:footnote>
  <w:footnote w:id="190">
    <w:p w14:paraId="266591AC" w14:textId="77777777" w:rsidR="000F2BA9" w:rsidRPr="000151BA" w:rsidRDefault="000F2BA9" w:rsidP="000151BA">
      <w:pPr>
        <w:pStyle w:val="FootnoteText"/>
        <w:spacing w:before="0" w:after="0"/>
      </w:pPr>
      <w:r w:rsidRPr="000151BA">
        <w:rPr>
          <w:rStyle w:val="FootnoteReference"/>
          <w:rFonts w:asciiTheme="minorHAnsi" w:hAnsiTheme="minorHAnsi"/>
        </w:rPr>
        <w:footnoteRef/>
      </w:r>
      <w:r w:rsidRPr="000151BA">
        <w:rPr>
          <w:rStyle w:val="FootnoteReference"/>
        </w:rPr>
        <w:t xml:space="preserve"> </w:t>
      </w:r>
      <w:r w:rsidRPr="000C1B28">
        <w:t>PFSA Infrastructure for Growth Window 2016 Annual Report Annex 24 Mar 2017</w:t>
      </w:r>
    </w:p>
  </w:footnote>
  <w:footnote w:id="191">
    <w:p w14:paraId="219231E7" w14:textId="77777777" w:rsidR="000F2BA9" w:rsidRPr="000C1B28" w:rsidRDefault="000F2BA9" w:rsidP="000151BA">
      <w:pPr>
        <w:pStyle w:val="FootnoteText"/>
        <w:spacing w:before="0" w:after="0"/>
      </w:pPr>
      <w:r w:rsidRPr="000151BA">
        <w:rPr>
          <w:rStyle w:val="FootnoteReference"/>
          <w:rFonts w:asciiTheme="minorHAnsi" w:hAnsiTheme="minorHAnsi"/>
        </w:rPr>
        <w:footnoteRef/>
      </w:r>
      <w:r w:rsidRPr="000151BA">
        <w:rPr>
          <w:rStyle w:val="FootnoteReference"/>
        </w:rPr>
        <w:t xml:space="preserve"> </w:t>
      </w:r>
      <w:r w:rsidRPr="000C1B28">
        <w:t>Case Study on Institutional Strengthening and Capacity Building Reforms for Manipur State Power Distribution Company Limited February 2016</w:t>
      </w:r>
    </w:p>
  </w:footnote>
  <w:footnote w:id="192">
    <w:p w14:paraId="00912A29" w14:textId="77777777" w:rsidR="000F2BA9" w:rsidRPr="000C1B28" w:rsidRDefault="000F2BA9" w:rsidP="001B449B">
      <w:pPr>
        <w:pStyle w:val="FootnoteText"/>
        <w:spacing w:before="0" w:after="0"/>
      </w:pPr>
      <w:r w:rsidRPr="000C1B28">
        <w:rPr>
          <w:rStyle w:val="FootnoteReference"/>
          <w:rFonts w:asciiTheme="minorHAnsi" w:hAnsiTheme="minorHAnsi"/>
        </w:rPr>
        <w:footnoteRef/>
      </w:r>
      <w:r w:rsidRPr="000C1B28">
        <w:t xml:space="preserve"> IFG Disbursement Profile Dec 2017 – Excel spreadsheet</w:t>
      </w:r>
    </w:p>
  </w:footnote>
  <w:footnote w:id="193">
    <w:p w14:paraId="5C0B260F" w14:textId="77777777" w:rsidR="000F2BA9" w:rsidRPr="000C1B28" w:rsidRDefault="000F2BA9" w:rsidP="001B449B">
      <w:pPr>
        <w:pStyle w:val="FootnoteText"/>
        <w:spacing w:before="0" w:after="0"/>
      </w:pPr>
      <w:r w:rsidRPr="000C1B28">
        <w:rPr>
          <w:rStyle w:val="FootnoteReference"/>
          <w:rFonts w:asciiTheme="minorHAnsi" w:hAnsiTheme="minorHAnsi"/>
        </w:rPr>
        <w:footnoteRef/>
      </w:r>
      <w:r w:rsidRPr="000C1B28">
        <w:t xml:space="preserve"> Interview Notes World Bank Rohit Mittal February 2018</w:t>
      </w:r>
    </w:p>
  </w:footnote>
  <w:footnote w:id="194">
    <w:p w14:paraId="32BFEC03" w14:textId="77777777" w:rsidR="000F2BA9" w:rsidRPr="00827217" w:rsidRDefault="000F2BA9" w:rsidP="001B449B">
      <w:pPr>
        <w:pStyle w:val="FootnoteText"/>
        <w:spacing w:before="0" w:after="0"/>
      </w:pPr>
      <w:r w:rsidRPr="000C1B28">
        <w:rPr>
          <w:rStyle w:val="FootnoteReference"/>
          <w:rFonts w:asciiTheme="minorHAnsi" w:hAnsiTheme="minorHAnsi"/>
        </w:rPr>
        <w:footnoteRef/>
      </w:r>
      <w:r w:rsidRPr="000C1B28">
        <w:t xml:space="preserve"> PFSA Annual Report 2015</w:t>
      </w:r>
    </w:p>
  </w:footnote>
  <w:footnote w:id="195">
    <w:p w14:paraId="07CDF6E0" w14:textId="77777777" w:rsidR="000F2BA9" w:rsidRPr="00D705C3" w:rsidRDefault="000F2BA9" w:rsidP="001B449B">
      <w:pPr>
        <w:pStyle w:val="FootnoteText"/>
        <w:spacing w:before="0" w:after="0"/>
      </w:pPr>
      <w:r w:rsidRPr="00D705C3">
        <w:rPr>
          <w:rStyle w:val="FootnoteReference"/>
          <w:rFonts w:asciiTheme="minorHAnsi" w:hAnsiTheme="minorHAnsi"/>
        </w:rPr>
        <w:footnoteRef/>
      </w:r>
      <w:r w:rsidRPr="00D705C3">
        <w:t xml:space="preserve"> PFSA Annual Report 2015</w:t>
      </w:r>
    </w:p>
  </w:footnote>
  <w:footnote w:id="196">
    <w:p w14:paraId="0384A34E" w14:textId="77777777" w:rsidR="000F2BA9" w:rsidRPr="00D705C3" w:rsidRDefault="000F2BA9" w:rsidP="001B449B">
      <w:pPr>
        <w:pStyle w:val="FootnoteText"/>
        <w:spacing w:before="0" w:after="0"/>
      </w:pPr>
      <w:r w:rsidRPr="00D705C3">
        <w:rPr>
          <w:rStyle w:val="FootnoteReference"/>
          <w:rFonts w:asciiTheme="minorHAnsi" w:hAnsiTheme="minorHAnsi"/>
        </w:rPr>
        <w:footnoteRef/>
      </w:r>
      <w:r w:rsidRPr="00D705C3">
        <w:t xml:space="preserve"> Interview Notes World Bank Rohit Mittal February 2018</w:t>
      </w:r>
    </w:p>
  </w:footnote>
  <w:footnote w:id="197">
    <w:p w14:paraId="12799618" w14:textId="77777777" w:rsidR="000F2BA9" w:rsidRPr="00D705C3" w:rsidRDefault="000F2BA9" w:rsidP="001B449B">
      <w:pPr>
        <w:pStyle w:val="FootnoteText"/>
        <w:spacing w:before="0" w:after="0"/>
      </w:pPr>
      <w:r w:rsidRPr="00D705C3">
        <w:rPr>
          <w:rStyle w:val="FootnoteReference"/>
          <w:rFonts w:asciiTheme="minorHAnsi" w:hAnsiTheme="minorHAnsi"/>
        </w:rPr>
        <w:footnoteRef/>
      </w:r>
      <w:r w:rsidRPr="00D705C3">
        <w:t xml:space="preserve"> Interview Notes World Bank Rohit Mittal February 2018</w:t>
      </w:r>
    </w:p>
  </w:footnote>
  <w:footnote w:id="198">
    <w:p w14:paraId="5D7FD761" w14:textId="77777777" w:rsidR="000F2BA9" w:rsidRPr="00D705C3" w:rsidRDefault="000F2BA9" w:rsidP="001B449B">
      <w:pPr>
        <w:pStyle w:val="FootnoteText"/>
        <w:spacing w:before="0" w:after="0"/>
      </w:pPr>
      <w:r w:rsidRPr="00D705C3">
        <w:rPr>
          <w:rStyle w:val="FootnoteReference"/>
          <w:rFonts w:asciiTheme="minorHAnsi" w:hAnsiTheme="minorHAnsi"/>
        </w:rPr>
        <w:footnoteRef/>
      </w:r>
      <w:r w:rsidRPr="00D705C3">
        <w:t xml:space="preserve"> PFSA Annual Report 2015</w:t>
      </w:r>
    </w:p>
  </w:footnote>
  <w:footnote w:id="199">
    <w:p w14:paraId="0C769B14" w14:textId="77777777" w:rsidR="000F2BA9" w:rsidRPr="00D705C3" w:rsidRDefault="000F2BA9" w:rsidP="001B449B">
      <w:pPr>
        <w:spacing w:before="0" w:after="0"/>
        <w:rPr>
          <w:b/>
        </w:rPr>
      </w:pPr>
      <w:r w:rsidRPr="00D705C3">
        <w:rPr>
          <w:rStyle w:val="FootnoteReference"/>
          <w:sz w:val="16"/>
          <w:szCs w:val="16"/>
        </w:rPr>
        <w:footnoteRef/>
      </w:r>
      <w:r w:rsidRPr="00D705C3">
        <w:t xml:space="preserve"> </w:t>
      </w:r>
      <w:r w:rsidRPr="000151BA">
        <w:rPr>
          <w:rFonts w:ascii="Calibri" w:eastAsiaTheme="minorEastAsia" w:hAnsi="Calibri"/>
          <w:sz w:val="16"/>
          <w:szCs w:val="16"/>
        </w:rPr>
        <w:t>PFSA Infrastructure for Growth Window 2016 Annual Report Annex 24 Mar 2017</w:t>
      </w:r>
    </w:p>
  </w:footnote>
  <w:footnote w:id="200">
    <w:p w14:paraId="3D2804E4" w14:textId="77777777" w:rsidR="000F2BA9" w:rsidRPr="00D705C3" w:rsidRDefault="000F2BA9" w:rsidP="001B449B">
      <w:pPr>
        <w:spacing w:before="0" w:after="0"/>
        <w:rPr>
          <w:b/>
        </w:rPr>
      </w:pPr>
      <w:r w:rsidRPr="00D705C3">
        <w:rPr>
          <w:rStyle w:val="FootnoteReference"/>
          <w:sz w:val="16"/>
          <w:szCs w:val="16"/>
        </w:rPr>
        <w:footnoteRef/>
      </w:r>
      <w:r w:rsidRPr="00D705C3">
        <w:t xml:space="preserve"> </w:t>
      </w:r>
      <w:r w:rsidRPr="000151BA">
        <w:rPr>
          <w:rFonts w:ascii="Calibri" w:eastAsiaTheme="minorEastAsia" w:hAnsi="Calibri"/>
          <w:sz w:val="16"/>
          <w:szCs w:val="16"/>
        </w:rPr>
        <w:t>PFSA Infrastructure for Growth Window 2016 Annual Report Annex 24 Mar 2017</w:t>
      </w:r>
    </w:p>
  </w:footnote>
  <w:footnote w:id="201">
    <w:p w14:paraId="43506244" w14:textId="77777777" w:rsidR="000F2BA9" w:rsidRPr="001C7002" w:rsidRDefault="000F2BA9" w:rsidP="001B449B">
      <w:pPr>
        <w:pStyle w:val="FootnoteText"/>
        <w:spacing w:before="0" w:after="0"/>
      </w:pPr>
      <w:r w:rsidRPr="00D705C3">
        <w:rPr>
          <w:rStyle w:val="FootnoteReference"/>
          <w:rFonts w:asciiTheme="minorHAnsi" w:hAnsiTheme="minorHAnsi"/>
        </w:rPr>
        <w:footnoteRef/>
      </w:r>
      <w:r w:rsidRPr="00D705C3">
        <w:t xml:space="preserve"> IFG Results Framework (2016-2017)</w:t>
      </w:r>
    </w:p>
  </w:footnote>
  <w:footnote w:id="202">
    <w:p w14:paraId="7DD69075" w14:textId="77777777" w:rsidR="000F2BA9" w:rsidRPr="001E00AE" w:rsidRDefault="000F2BA9" w:rsidP="001B449B">
      <w:pPr>
        <w:pStyle w:val="FootnoteText"/>
        <w:spacing w:before="0" w:after="0"/>
      </w:pPr>
      <w:r>
        <w:rPr>
          <w:rStyle w:val="FootnoteReference"/>
        </w:rPr>
        <w:footnoteRef/>
      </w:r>
      <w:r>
        <w:t xml:space="preserve"> </w:t>
      </w:r>
      <w:r w:rsidRPr="00B87C90">
        <w:t>IFG Disbursement Profile Dec 2017 – Excel spreadsheet</w:t>
      </w:r>
    </w:p>
  </w:footnote>
  <w:footnote w:id="203">
    <w:p w14:paraId="2B70DCD4" w14:textId="77777777" w:rsidR="000F2BA9" w:rsidRPr="001C7002" w:rsidRDefault="000F2BA9" w:rsidP="001B449B">
      <w:pPr>
        <w:pStyle w:val="FootnoteText"/>
        <w:spacing w:before="0" w:after="0"/>
      </w:pPr>
      <w:r>
        <w:rPr>
          <w:rStyle w:val="FootnoteReference"/>
        </w:rPr>
        <w:footnoteRef/>
      </w:r>
      <w:r>
        <w:t xml:space="preserve"> </w:t>
      </w:r>
      <w:r w:rsidRPr="001C7002">
        <w:t>IFG Results Framework (2016-2017)</w:t>
      </w:r>
    </w:p>
  </w:footnote>
  <w:footnote w:id="204">
    <w:p w14:paraId="23D48277" w14:textId="77777777" w:rsidR="000F2BA9" w:rsidRPr="00C25CA2" w:rsidRDefault="000F2BA9" w:rsidP="001B449B">
      <w:pPr>
        <w:pStyle w:val="FootnoteText"/>
        <w:spacing w:before="0" w:after="0"/>
      </w:pPr>
      <w:r>
        <w:rPr>
          <w:rStyle w:val="FootnoteReference"/>
        </w:rPr>
        <w:footnoteRef/>
      </w:r>
      <w:r>
        <w:t xml:space="preserve"> </w:t>
      </w:r>
      <w:r w:rsidRPr="00C25CA2">
        <w:t>DFAT Aid P</w:t>
      </w:r>
      <w:r>
        <w:t xml:space="preserve">rogram Performance Reports for </w:t>
      </w:r>
      <w:r w:rsidRPr="00C25CA2">
        <w:t>2015-16: South Asia Regional Development Program September 2016</w:t>
      </w:r>
      <w:r>
        <w:t xml:space="preserve">; and </w:t>
      </w:r>
      <w:r w:rsidRPr="00C25CA2">
        <w:t>DFAT Aid Program Performance Reports for  201</w:t>
      </w:r>
      <w:r>
        <w:t>6-17</w:t>
      </w:r>
      <w:r w:rsidRPr="00C25CA2">
        <w:t>: South Asia Regional Development Program</w:t>
      </w:r>
    </w:p>
  </w:footnote>
  <w:footnote w:id="205">
    <w:p w14:paraId="2A9DD3B7" w14:textId="77777777" w:rsidR="000F2BA9" w:rsidRPr="00835D5C" w:rsidRDefault="000F2BA9" w:rsidP="001B449B">
      <w:pPr>
        <w:spacing w:before="0" w:after="0"/>
        <w:rPr>
          <w:b/>
        </w:rPr>
      </w:pPr>
      <w:r w:rsidRPr="000151BA">
        <w:rPr>
          <w:rStyle w:val="FootnoteReference"/>
          <w:rFonts w:ascii="Calibri" w:eastAsiaTheme="minorEastAsia" w:hAnsi="Calibri"/>
          <w:sz w:val="16"/>
          <w:szCs w:val="16"/>
        </w:rPr>
        <w:footnoteRef/>
      </w:r>
      <w:r w:rsidRPr="000151BA">
        <w:rPr>
          <w:rStyle w:val="FootnoteReference"/>
          <w:rFonts w:ascii="Calibri" w:eastAsiaTheme="minorEastAsia" w:hAnsi="Calibri"/>
          <w:sz w:val="16"/>
          <w:szCs w:val="16"/>
        </w:rPr>
        <w:t xml:space="preserve"> </w:t>
      </w:r>
      <w:r w:rsidRPr="000151BA">
        <w:rPr>
          <w:rFonts w:ascii="Calibri" w:eastAsiaTheme="minorEastAsia" w:hAnsi="Calibri"/>
          <w:sz w:val="16"/>
          <w:szCs w:val="16"/>
        </w:rPr>
        <w:t>PFSA Infrastructure for Growth Window 2016 Annual Report Annex 24 Mar 2017</w:t>
      </w:r>
    </w:p>
  </w:footnote>
  <w:footnote w:id="206">
    <w:p w14:paraId="03CFEE13" w14:textId="77777777" w:rsidR="000F2BA9" w:rsidRPr="005870F7" w:rsidRDefault="000F2BA9" w:rsidP="001B449B">
      <w:pPr>
        <w:pStyle w:val="FootnoteText"/>
        <w:spacing w:before="0" w:after="0"/>
      </w:pPr>
      <w:r>
        <w:rPr>
          <w:rStyle w:val="FootnoteReference"/>
        </w:rPr>
        <w:footnoteRef/>
      </w:r>
      <w:r>
        <w:t xml:space="preserve"> </w:t>
      </w:r>
      <w:r w:rsidRPr="005870F7">
        <w:t>Interview with Matthias Dappe, Feb 2018</w:t>
      </w:r>
    </w:p>
  </w:footnote>
  <w:footnote w:id="207">
    <w:p w14:paraId="5AECF32B" w14:textId="77777777" w:rsidR="000F2BA9" w:rsidRPr="001E00AE" w:rsidRDefault="000F2BA9" w:rsidP="001B449B">
      <w:pPr>
        <w:pStyle w:val="FootnoteText"/>
        <w:spacing w:before="0" w:after="0"/>
      </w:pPr>
      <w:r>
        <w:rPr>
          <w:rStyle w:val="FootnoteReference"/>
        </w:rPr>
        <w:footnoteRef/>
      </w:r>
      <w:r>
        <w:t xml:space="preserve"> </w:t>
      </w:r>
      <w:r w:rsidRPr="00B87C90">
        <w:t>IFG Disbursement Profile Dec 2017 – Excel spreadsheet</w:t>
      </w:r>
    </w:p>
  </w:footnote>
  <w:footnote w:id="208">
    <w:p w14:paraId="4F398F2A" w14:textId="77777777" w:rsidR="000F2BA9" w:rsidRPr="006A1ED9" w:rsidRDefault="000F2BA9" w:rsidP="001B449B">
      <w:pPr>
        <w:pStyle w:val="FootnoteText"/>
        <w:spacing w:before="0" w:after="0"/>
      </w:pPr>
      <w:r>
        <w:rPr>
          <w:rStyle w:val="FootnoteReference"/>
        </w:rPr>
        <w:footnoteRef/>
      </w:r>
      <w:r>
        <w:t xml:space="preserve"> </w:t>
      </w:r>
      <w:r w:rsidRPr="006A1ED9">
        <w:t>Dappe, M. and Suárez-Alemán, A. 2016. Competitiveness of South Asia’s Container Ports A Comprehensive Assessment of Performance, Drivers, and Costs. World Bank Group Washington</w:t>
      </w:r>
    </w:p>
  </w:footnote>
  <w:footnote w:id="209">
    <w:p w14:paraId="6E36103A" w14:textId="77777777" w:rsidR="000F2BA9" w:rsidRPr="006A1ED9" w:rsidRDefault="000F2BA9" w:rsidP="001B449B">
      <w:pPr>
        <w:pStyle w:val="FootnoteText"/>
        <w:spacing w:before="0" w:after="0"/>
      </w:pPr>
      <w:r>
        <w:rPr>
          <w:rStyle w:val="FootnoteReference"/>
        </w:rPr>
        <w:footnoteRef/>
      </w:r>
      <w:r>
        <w:t xml:space="preserve"> </w:t>
      </w:r>
      <w:r w:rsidRPr="006A1ED9">
        <w:t>Interview with Matthias Dappe, Feb 2018</w:t>
      </w:r>
    </w:p>
  </w:footnote>
  <w:footnote w:id="210">
    <w:p w14:paraId="2B197656" w14:textId="77777777" w:rsidR="000F2BA9" w:rsidRPr="00D77986" w:rsidRDefault="000F2BA9" w:rsidP="001B449B">
      <w:pPr>
        <w:pStyle w:val="FootnoteText"/>
        <w:spacing w:before="0" w:after="0"/>
      </w:pPr>
      <w:r>
        <w:rPr>
          <w:rStyle w:val="FootnoteReference"/>
        </w:rPr>
        <w:footnoteRef/>
      </w:r>
      <w:r>
        <w:t xml:space="preserve"> </w:t>
      </w:r>
      <w:r w:rsidRPr="00D77986">
        <w:t>PFSA Infrastructure for Growth Window 2016 Annual Report Annex 24 Mar 2017</w:t>
      </w:r>
    </w:p>
  </w:footnote>
  <w:footnote w:id="211">
    <w:p w14:paraId="0ADD7F10" w14:textId="77777777" w:rsidR="000F2BA9" w:rsidRPr="001E00AE" w:rsidRDefault="000F2BA9" w:rsidP="001B449B">
      <w:pPr>
        <w:pStyle w:val="FootnoteText"/>
        <w:spacing w:before="0" w:after="0"/>
      </w:pPr>
      <w:r>
        <w:rPr>
          <w:rStyle w:val="FootnoteReference"/>
        </w:rPr>
        <w:footnoteRef/>
      </w:r>
      <w:r>
        <w:t xml:space="preserve"> </w:t>
      </w:r>
      <w:r w:rsidRPr="00B87C90">
        <w:t>IFG Disbursement Profile Dec 2017 – Excel spreadsheet</w:t>
      </w:r>
    </w:p>
  </w:footnote>
  <w:footnote w:id="212">
    <w:p w14:paraId="6E6036AB" w14:textId="77777777" w:rsidR="000F2BA9" w:rsidRPr="006A1ED9" w:rsidRDefault="000F2BA9" w:rsidP="001B449B">
      <w:pPr>
        <w:spacing w:before="0" w:after="0"/>
        <w:rPr>
          <w:b/>
        </w:rPr>
      </w:pPr>
      <w:r w:rsidRPr="006A1ED9">
        <w:rPr>
          <w:rStyle w:val="FootnoteReference"/>
          <w:sz w:val="16"/>
          <w:szCs w:val="16"/>
        </w:rPr>
        <w:footnoteRef/>
      </w:r>
      <w:r w:rsidRPr="006A1ED9">
        <w:t xml:space="preserve"> </w:t>
      </w:r>
      <w:r w:rsidRPr="000151BA">
        <w:rPr>
          <w:rFonts w:ascii="Calibri" w:eastAsiaTheme="minorEastAsia" w:hAnsi="Calibri"/>
          <w:sz w:val="16"/>
          <w:szCs w:val="16"/>
        </w:rPr>
        <w:t>World Bank Institutional Development Routemap (IDR) Handbook</w:t>
      </w:r>
    </w:p>
  </w:footnote>
  <w:footnote w:id="213">
    <w:p w14:paraId="7C1E1E40" w14:textId="77777777" w:rsidR="000F2BA9" w:rsidRPr="00C90B0A" w:rsidRDefault="000F2BA9" w:rsidP="001B449B">
      <w:pPr>
        <w:pStyle w:val="FootnoteText"/>
        <w:spacing w:before="0" w:after="0"/>
      </w:pPr>
      <w:r w:rsidRPr="006A1ED9">
        <w:rPr>
          <w:rStyle w:val="FootnoteReference"/>
          <w:rFonts w:asciiTheme="minorHAnsi" w:hAnsiTheme="minorHAnsi"/>
        </w:rPr>
        <w:footnoteRef/>
      </w:r>
      <w:r w:rsidRPr="006A1ED9">
        <w:t xml:space="preserve"> World Bank Institutional Development Routemap (IDR) Handbook</w:t>
      </w:r>
    </w:p>
  </w:footnote>
  <w:footnote w:id="214">
    <w:p w14:paraId="2A7B7F41" w14:textId="77777777" w:rsidR="000F2BA9" w:rsidRPr="00D01228" w:rsidRDefault="000F2BA9" w:rsidP="001B449B">
      <w:pPr>
        <w:pStyle w:val="FootnoteText"/>
        <w:spacing w:before="0" w:after="0"/>
      </w:pPr>
      <w:r>
        <w:rPr>
          <w:rStyle w:val="FootnoteReference"/>
        </w:rPr>
        <w:footnoteRef/>
      </w:r>
      <w:r>
        <w:t xml:space="preserve"> </w:t>
      </w:r>
      <w:r w:rsidRPr="00D01228">
        <w:t>SARTFP Annual Review 2016.</w:t>
      </w:r>
    </w:p>
  </w:footnote>
  <w:footnote w:id="215">
    <w:p w14:paraId="5ECD99C8" w14:textId="77777777" w:rsidR="000F2BA9" w:rsidRPr="00054CDC" w:rsidRDefault="000F2BA9" w:rsidP="001B449B">
      <w:pPr>
        <w:spacing w:before="0" w:after="0"/>
        <w:rPr>
          <w:b/>
        </w:rPr>
      </w:pPr>
      <w:r w:rsidRPr="000151BA">
        <w:rPr>
          <w:rStyle w:val="FootnoteReference"/>
          <w:rFonts w:ascii="Calibri" w:eastAsiaTheme="minorEastAsia" w:hAnsi="Calibri"/>
          <w:sz w:val="16"/>
          <w:szCs w:val="16"/>
        </w:rPr>
        <w:footnoteRef/>
      </w:r>
      <w:r>
        <w:t xml:space="preserve"> </w:t>
      </w:r>
      <w:r w:rsidRPr="000151BA">
        <w:rPr>
          <w:rFonts w:ascii="Calibri" w:eastAsiaTheme="minorEastAsia" w:hAnsi="Calibri"/>
          <w:sz w:val="16"/>
          <w:szCs w:val="16"/>
        </w:rPr>
        <w:t>PFSA 2017. South Asia Regional Trade Facilitation Program (SARTFP) Donor Steering Committee Meeting Activity Updates  December 2017</w:t>
      </w:r>
    </w:p>
  </w:footnote>
  <w:footnote w:id="216">
    <w:p w14:paraId="10917E34" w14:textId="77777777" w:rsidR="000F2BA9" w:rsidRPr="00D01228" w:rsidRDefault="000F2BA9" w:rsidP="001B449B">
      <w:pPr>
        <w:pStyle w:val="FootnoteText"/>
        <w:spacing w:before="0" w:after="0"/>
      </w:pPr>
      <w:r>
        <w:rPr>
          <w:rStyle w:val="FootnoteReference"/>
        </w:rPr>
        <w:footnoteRef/>
      </w:r>
      <w:r>
        <w:t xml:space="preserve"> </w:t>
      </w:r>
      <w:r w:rsidRPr="00D01228">
        <w:t>DFAT AQC 2017</w:t>
      </w:r>
    </w:p>
  </w:footnote>
  <w:footnote w:id="217">
    <w:p w14:paraId="38A33DA0" w14:textId="77777777" w:rsidR="000F2BA9" w:rsidRPr="00E10727" w:rsidRDefault="000F2BA9" w:rsidP="001B449B">
      <w:pPr>
        <w:pStyle w:val="FootnoteText"/>
        <w:spacing w:before="0" w:after="0"/>
      </w:pPr>
      <w:r>
        <w:rPr>
          <w:rStyle w:val="FootnoteReference"/>
        </w:rPr>
        <w:footnoteRef/>
      </w:r>
      <w:r>
        <w:t xml:space="preserve"> </w:t>
      </w:r>
      <w:r w:rsidRPr="00796390">
        <w:t>PFSA 2017. South Asia Regional Trade Facilitation Program (SARTFP) Donor Steering Committee Meeting Activity Updates  December 2017</w:t>
      </w:r>
    </w:p>
  </w:footnote>
  <w:footnote w:id="218">
    <w:p w14:paraId="697FE775" w14:textId="77777777" w:rsidR="000F2BA9" w:rsidRPr="00054CDC" w:rsidRDefault="000F2BA9" w:rsidP="000151BA">
      <w:pPr>
        <w:pStyle w:val="FootnoteText"/>
        <w:spacing w:before="0" w:after="0"/>
        <w:rPr>
          <w:b/>
        </w:rPr>
      </w:pPr>
      <w:r w:rsidRPr="00715BAB">
        <w:rPr>
          <w:rStyle w:val="FootnoteReference"/>
        </w:rPr>
        <w:footnoteRef/>
      </w:r>
      <w:r w:rsidRPr="000151BA">
        <w:rPr>
          <w:rStyle w:val="FootnoteReference"/>
        </w:rPr>
        <w:t xml:space="preserve"> </w:t>
      </w:r>
      <w:r w:rsidRPr="00796390">
        <w:t>PFSA 2017. South Asia Regional Trade Facilitation Program (SARTFP) Donor Steering Committee Meeting Activity Updates  December 2017</w:t>
      </w:r>
    </w:p>
  </w:footnote>
  <w:footnote w:id="219">
    <w:p w14:paraId="6ADF6684" w14:textId="77777777" w:rsidR="000F2BA9" w:rsidRPr="00B03D8A" w:rsidRDefault="000F2BA9" w:rsidP="001B449B">
      <w:pPr>
        <w:pStyle w:val="FootnoteText"/>
        <w:spacing w:before="0" w:after="0"/>
      </w:pPr>
      <w:r>
        <w:rPr>
          <w:rStyle w:val="FootnoteReference"/>
        </w:rPr>
        <w:footnoteRef/>
      </w:r>
      <w:r>
        <w:t xml:space="preserve"> </w:t>
      </w:r>
      <w:r w:rsidRPr="00B03D8A">
        <w:t>SARTFP Annual Review 2016</w:t>
      </w:r>
    </w:p>
  </w:footnote>
  <w:footnote w:id="220">
    <w:p w14:paraId="176CCF31" w14:textId="77777777" w:rsidR="000F2BA9" w:rsidRPr="00B03D8A" w:rsidRDefault="000F2BA9" w:rsidP="001B449B">
      <w:pPr>
        <w:pStyle w:val="FootnoteText"/>
        <w:spacing w:before="0" w:after="0"/>
      </w:pPr>
      <w:r>
        <w:rPr>
          <w:rStyle w:val="FootnoteReference"/>
        </w:rPr>
        <w:footnoteRef/>
      </w:r>
      <w:r>
        <w:t xml:space="preserve"> </w:t>
      </w:r>
      <w:r w:rsidRPr="00796390">
        <w:t>PFSA 2017. South Asia Regional Trade Facilitation Program (SARTFP) Donor Steering Committee Meeting Activity Updates  December 2017</w:t>
      </w:r>
    </w:p>
  </w:footnote>
  <w:footnote w:id="221">
    <w:p w14:paraId="44553A61" w14:textId="77777777" w:rsidR="000F2BA9" w:rsidRPr="00E10727" w:rsidRDefault="000F2BA9" w:rsidP="001B449B">
      <w:pPr>
        <w:pStyle w:val="FootnoteText"/>
        <w:spacing w:before="0" w:after="0"/>
      </w:pPr>
      <w:r>
        <w:rPr>
          <w:rStyle w:val="FootnoteReference"/>
        </w:rPr>
        <w:footnoteRef/>
      </w:r>
      <w:r>
        <w:t xml:space="preserve"> </w:t>
      </w:r>
      <w:r w:rsidRPr="00796390">
        <w:t>PFSA 2017. South Asia Regional Trade Facilitation Program (SARTFP) Donor Steering Committee Meeting Activity Updates  December 2017</w:t>
      </w:r>
    </w:p>
  </w:footnote>
  <w:footnote w:id="222">
    <w:p w14:paraId="14AD8231" w14:textId="77777777" w:rsidR="000F2BA9" w:rsidRPr="00DB4341" w:rsidRDefault="000F2BA9" w:rsidP="001B449B">
      <w:pPr>
        <w:pStyle w:val="FootnoteText"/>
        <w:spacing w:before="0" w:after="0"/>
      </w:pPr>
      <w:r>
        <w:rPr>
          <w:rStyle w:val="FootnoteReference"/>
        </w:rPr>
        <w:footnoteRef/>
      </w:r>
      <w:r>
        <w:t xml:space="preserve"> </w:t>
      </w:r>
      <w:r w:rsidRPr="00DB4341">
        <w:t>SARTFP Annual Review 2016</w:t>
      </w:r>
    </w:p>
  </w:footnote>
  <w:footnote w:id="223">
    <w:p w14:paraId="5F685B4E" w14:textId="77777777" w:rsidR="000F2BA9" w:rsidRPr="00796390" w:rsidRDefault="000F2BA9" w:rsidP="001B449B">
      <w:pPr>
        <w:pStyle w:val="FootnoteText"/>
        <w:spacing w:before="0" w:after="0"/>
      </w:pPr>
      <w:r>
        <w:rPr>
          <w:rStyle w:val="FootnoteReference"/>
        </w:rPr>
        <w:footnoteRef/>
      </w:r>
      <w:r>
        <w:t xml:space="preserve"> </w:t>
      </w:r>
      <w:r w:rsidRPr="00796390">
        <w:t>PFSA 2017. South Asia Regional Trade Facilitation Program (SARTFP) Donor Steering Committee Meeting Activity Updates  December 2017</w:t>
      </w:r>
    </w:p>
  </w:footnote>
  <w:footnote w:id="224">
    <w:p w14:paraId="4183A071" w14:textId="77777777" w:rsidR="000F2BA9" w:rsidRPr="00E10727" w:rsidRDefault="000F2BA9" w:rsidP="001B449B">
      <w:pPr>
        <w:pStyle w:val="FootnoteText"/>
        <w:spacing w:before="0" w:after="0"/>
      </w:pPr>
      <w:r>
        <w:rPr>
          <w:rStyle w:val="FootnoteReference"/>
        </w:rPr>
        <w:footnoteRef/>
      </w:r>
      <w:r>
        <w:t xml:space="preserve"> </w:t>
      </w:r>
      <w:r w:rsidRPr="00054CDC">
        <w:rPr>
          <w:shd w:val="clear" w:color="auto" w:fill="FFFFFF" w:themeFill="background1"/>
        </w:rPr>
        <w:t>Source: SARTFP Activity Update Dec 2017</w:t>
      </w:r>
    </w:p>
  </w:footnote>
  <w:footnote w:id="225">
    <w:p w14:paraId="71AEF879" w14:textId="77777777" w:rsidR="000F2BA9" w:rsidRPr="004917C9" w:rsidRDefault="000F2BA9" w:rsidP="001B449B">
      <w:pPr>
        <w:pStyle w:val="FootnoteText"/>
        <w:spacing w:before="0" w:after="0"/>
      </w:pPr>
      <w:r>
        <w:rPr>
          <w:rStyle w:val="FootnoteReference"/>
        </w:rPr>
        <w:footnoteRef/>
      </w:r>
      <w:r>
        <w:t xml:space="preserve"> </w:t>
      </w:r>
      <w:r w:rsidRPr="00796390">
        <w:t>PFSA 2017. South Asia Regional Trade Facilitation Program (SARTFP) Donor Steering Committee Meeting Activity Updates  December 2017</w:t>
      </w:r>
    </w:p>
  </w:footnote>
  <w:footnote w:id="226">
    <w:p w14:paraId="607F2999" w14:textId="77777777" w:rsidR="000F2BA9" w:rsidRPr="007664E7" w:rsidRDefault="000F2BA9" w:rsidP="001B449B">
      <w:pPr>
        <w:pStyle w:val="FootnoteText"/>
        <w:spacing w:before="0" w:after="0"/>
      </w:pPr>
      <w:r w:rsidRPr="007664E7">
        <w:rPr>
          <w:rStyle w:val="FootnoteReference"/>
        </w:rPr>
        <w:footnoteRef/>
      </w:r>
      <w:r w:rsidRPr="007664E7">
        <w:t xml:space="preserve"> Presentation 6 December Strengthening Value Chains in North East India</w:t>
      </w:r>
    </w:p>
  </w:footnote>
  <w:footnote w:id="227">
    <w:p w14:paraId="096BC54D" w14:textId="77777777" w:rsidR="000F2BA9" w:rsidRPr="00CC5638" w:rsidRDefault="000F2BA9" w:rsidP="001B449B">
      <w:pPr>
        <w:pStyle w:val="FootnoteText"/>
        <w:spacing w:before="0" w:after="0"/>
      </w:pPr>
      <w:r>
        <w:rPr>
          <w:rStyle w:val="FootnoteReference"/>
        </w:rPr>
        <w:footnoteRef/>
      </w:r>
      <w:r>
        <w:t xml:space="preserve"> </w:t>
      </w:r>
      <w:r w:rsidRPr="00796390">
        <w:t>PFSA 2017. South Asia Regional Trade Facilitation Program (SARTFP) Donor Steering Committee Meeting Activity Updates  December 2017</w:t>
      </w:r>
    </w:p>
  </w:footnote>
  <w:footnote w:id="228">
    <w:p w14:paraId="067CD1F9" w14:textId="77777777" w:rsidR="000F2BA9" w:rsidRPr="00CC5638" w:rsidRDefault="000F2BA9" w:rsidP="001B449B">
      <w:pPr>
        <w:pStyle w:val="FootnoteText"/>
        <w:spacing w:before="0" w:after="0"/>
      </w:pPr>
      <w:r>
        <w:rPr>
          <w:rStyle w:val="FootnoteReference"/>
        </w:rPr>
        <w:footnoteRef/>
      </w:r>
      <w:r>
        <w:t xml:space="preserve"> </w:t>
      </w:r>
      <w:r w:rsidRPr="00CC5638">
        <w:t>Interview, Sanjay Kathuria Feb 2018.</w:t>
      </w:r>
      <w:r>
        <w:t xml:space="preserve"> </w:t>
      </w:r>
    </w:p>
  </w:footnote>
  <w:footnote w:id="229">
    <w:p w14:paraId="7D8FFD5E" w14:textId="77777777" w:rsidR="000F2BA9" w:rsidRPr="00E10727" w:rsidRDefault="000F2BA9" w:rsidP="001B449B">
      <w:pPr>
        <w:pStyle w:val="FootnoteText"/>
        <w:spacing w:before="0" w:after="0"/>
      </w:pPr>
      <w:r>
        <w:rPr>
          <w:rStyle w:val="FootnoteReference"/>
        </w:rPr>
        <w:footnoteRef/>
      </w:r>
      <w:r>
        <w:t xml:space="preserve"> </w:t>
      </w:r>
      <w:r w:rsidRPr="00054CDC">
        <w:rPr>
          <w:shd w:val="clear" w:color="auto" w:fill="FFFFFF" w:themeFill="background1"/>
        </w:rPr>
        <w:t>Source: SARTFP Activity Update Dec 2017</w:t>
      </w:r>
    </w:p>
  </w:footnote>
  <w:footnote w:id="230">
    <w:p w14:paraId="17F7FD08" w14:textId="77777777" w:rsidR="000F2BA9" w:rsidRPr="00AA0B4E" w:rsidRDefault="000F2BA9" w:rsidP="001B449B">
      <w:pPr>
        <w:pStyle w:val="FootnoteText"/>
        <w:spacing w:before="0" w:after="0"/>
      </w:pPr>
      <w:r>
        <w:rPr>
          <w:rStyle w:val="FootnoteReference"/>
        </w:rPr>
        <w:footnoteRef/>
      </w:r>
      <w:r>
        <w:t xml:space="preserve"> </w:t>
      </w:r>
      <w:r w:rsidRPr="00CC5638">
        <w:t>Interview, Sanjay Kathuria Feb 2018.</w:t>
      </w:r>
    </w:p>
  </w:footnote>
  <w:footnote w:id="231">
    <w:p w14:paraId="1FB2D561" w14:textId="77777777" w:rsidR="000F2BA9" w:rsidRPr="00C915C5" w:rsidRDefault="000F2BA9" w:rsidP="001B449B">
      <w:pPr>
        <w:pStyle w:val="FootnoteText"/>
        <w:spacing w:before="0" w:after="0"/>
      </w:pPr>
      <w:r>
        <w:rPr>
          <w:rStyle w:val="FootnoteReference"/>
        </w:rPr>
        <w:footnoteRef/>
      </w:r>
      <w:r>
        <w:t xml:space="preserve"> </w:t>
      </w:r>
      <w:r w:rsidRPr="00796390">
        <w:t>PFSA 2017. South Asia Regional Trade Facilitation Program (SARTFP) Donor Steering Committee Meeting Activity Updates  December 2017</w:t>
      </w:r>
    </w:p>
  </w:footnote>
  <w:footnote w:id="232">
    <w:p w14:paraId="2AB0A9EE" w14:textId="77777777" w:rsidR="000F2BA9" w:rsidRPr="00C72B6A" w:rsidRDefault="000F2BA9" w:rsidP="001B449B">
      <w:pPr>
        <w:pStyle w:val="FootnoteText"/>
        <w:spacing w:before="0" w:after="0"/>
      </w:pPr>
      <w:r>
        <w:rPr>
          <w:rStyle w:val="FootnoteReference"/>
        </w:rPr>
        <w:footnoteRef/>
      </w:r>
      <w:r>
        <w:t xml:space="preserve"> </w:t>
      </w:r>
      <w:r w:rsidRPr="00796390">
        <w:t>PFSA 2017. South Asia Regional Trade Facilitation Program (SARTFP) Donor Steering Committee Meeting Activity Updates  December 2017</w:t>
      </w:r>
    </w:p>
  </w:footnote>
  <w:footnote w:id="233">
    <w:p w14:paraId="5673D212" w14:textId="77777777" w:rsidR="000F2BA9" w:rsidRPr="00E10727" w:rsidRDefault="000F2BA9" w:rsidP="001B449B">
      <w:pPr>
        <w:pStyle w:val="FootnoteText"/>
        <w:spacing w:before="0" w:after="0"/>
      </w:pPr>
      <w:r>
        <w:rPr>
          <w:rStyle w:val="FootnoteReference"/>
        </w:rPr>
        <w:footnoteRef/>
      </w:r>
      <w:r>
        <w:t xml:space="preserve"> </w:t>
      </w:r>
      <w:r w:rsidRPr="00054CDC">
        <w:rPr>
          <w:shd w:val="clear" w:color="auto" w:fill="FFFFFF" w:themeFill="background1"/>
        </w:rPr>
        <w:t>Source: SARTFP Activity Update Dec 2017</w:t>
      </w:r>
    </w:p>
  </w:footnote>
  <w:footnote w:id="234">
    <w:p w14:paraId="344EE8BD" w14:textId="77777777" w:rsidR="000F2BA9" w:rsidRPr="00C72B6A" w:rsidRDefault="000F2BA9" w:rsidP="001B449B">
      <w:pPr>
        <w:pStyle w:val="FootnoteText"/>
        <w:spacing w:before="0" w:after="0"/>
      </w:pPr>
      <w:r>
        <w:rPr>
          <w:rStyle w:val="FootnoteReference"/>
        </w:rPr>
        <w:footnoteRef/>
      </w:r>
      <w:r>
        <w:t xml:space="preserve"> </w:t>
      </w:r>
      <w:r w:rsidRPr="00C72B6A">
        <w:rPr>
          <w:shd w:val="clear" w:color="auto" w:fill="FFFFFF" w:themeFill="background1"/>
        </w:rPr>
        <w:t>Interview Melissa Williams Feb 2018</w:t>
      </w:r>
    </w:p>
  </w:footnote>
  <w:footnote w:id="235">
    <w:p w14:paraId="52435939" w14:textId="77777777" w:rsidR="000F2BA9" w:rsidRPr="00C72B6A" w:rsidRDefault="000F2BA9" w:rsidP="001B449B">
      <w:pPr>
        <w:pStyle w:val="FootnoteText"/>
        <w:spacing w:before="0" w:after="0"/>
      </w:pPr>
      <w:r>
        <w:rPr>
          <w:rStyle w:val="FootnoteReference"/>
        </w:rPr>
        <w:footnoteRef/>
      </w:r>
      <w:r>
        <w:t xml:space="preserve"> </w:t>
      </w:r>
      <w:r w:rsidRPr="00C72B6A">
        <w:t>SARTFP Annual Review 2016</w:t>
      </w:r>
    </w:p>
  </w:footnote>
  <w:footnote w:id="236">
    <w:p w14:paraId="7CC2D33E" w14:textId="77777777" w:rsidR="000F2BA9" w:rsidRPr="00DB208D" w:rsidRDefault="000F2BA9" w:rsidP="001B449B">
      <w:pPr>
        <w:pStyle w:val="FootnoteText"/>
        <w:spacing w:before="0" w:after="0"/>
      </w:pPr>
      <w:r>
        <w:rPr>
          <w:rStyle w:val="FootnoteReference"/>
        </w:rPr>
        <w:footnoteRef/>
      </w:r>
      <w:r>
        <w:t xml:space="preserve"> </w:t>
      </w:r>
      <w:r w:rsidRPr="00DB208D">
        <w:t>SARTFP Annual Review 2016</w:t>
      </w:r>
    </w:p>
  </w:footnote>
  <w:footnote w:id="237">
    <w:p w14:paraId="592EF52C" w14:textId="77777777" w:rsidR="000F2BA9" w:rsidRPr="00DB208D" w:rsidRDefault="000F2BA9" w:rsidP="001B449B">
      <w:pPr>
        <w:pStyle w:val="FootnoteText"/>
        <w:spacing w:before="0" w:after="0"/>
      </w:pPr>
      <w:r w:rsidRPr="00DB208D">
        <w:rPr>
          <w:rStyle w:val="FootnoteReference"/>
        </w:rPr>
        <w:footnoteRef/>
      </w:r>
      <w:r w:rsidRPr="00DB208D">
        <w:t xml:space="preserve"> Slide presentation ASSAM INLANDS WATERWAYS SECTOR STUDY ON GENDER AND TRADE IN ASSAM</w:t>
      </w:r>
    </w:p>
  </w:footnote>
  <w:footnote w:id="238">
    <w:p w14:paraId="7980785D" w14:textId="77777777" w:rsidR="000F2BA9" w:rsidRPr="00E10727" w:rsidRDefault="000F2BA9" w:rsidP="001B449B">
      <w:pPr>
        <w:pStyle w:val="FootnoteText"/>
        <w:spacing w:before="0" w:after="0"/>
      </w:pPr>
      <w:r>
        <w:rPr>
          <w:rStyle w:val="FootnoteReference"/>
        </w:rPr>
        <w:footnoteRef/>
      </w:r>
      <w:r>
        <w:t xml:space="preserve"> </w:t>
      </w:r>
      <w:r w:rsidRPr="00054CDC">
        <w:rPr>
          <w:shd w:val="clear" w:color="auto" w:fill="FFFFFF" w:themeFill="background1"/>
        </w:rPr>
        <w:t>Source: SARTFP Activity Update Dec 2017</w:t>
      </w:r>
    </w:p>
  </w:footnote>
  <w:footnote w:id="239">
    <w:p w14:paraId="509690C1" w14:textId="77777777" w:rsidR="000F2BA9" w:rsidRPr="00DB208D" w:rsidRDefault="000F2BA9" w:rsidP="001B449B">
      <w:pPr>
        <w:pStyle w:val="FootnoteText"/>
        <w:spacing w:before="0" w:after="0"/>
      </w:pPr>
      <w:r>
        <w:rPr>
          <w:rStyle w:val="FootnoteReference"/>
        </w:rPr>
        <w:footnoteRef/>
      </w:r>
      <w:r>
        <w:t xml:space="preserve"> </w:t>
      </w:r>
      <w:r w:rsidRPr="00796390">
        <w:t>PFSA 2017. South Asia Regional Trade Facilitation Program (SARTFP) Donor Steering Committee Meeting Activity Updates  December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0F2BA9" w14:paraId="04B3237E" w14:textId="77777777">
      <w:tc>
        <w:tcPr>
          <w:tcW w:w="4505" w:type="dxa"/>
        </w:tcPr>
        <w:p w14:paraId="1ED53623" w14:textId="77777777" w:rsidR="000F2BA9" w:rsidRDefault="000F2BA9" w:rsidP="001B449B">
          <w:pPr>
            <w:pStyle w:val="Header"/>
          </w:pPr>
          <w:r w:rsidRPr="00D34F92">
            <w:t>Independent Evaluation of IFG and SARTFP</w:t>
          </w:r>
          <w:r>
            <w:t xml:space="preserve"> </w:t>
          </w:r>
        </w:p>
      </w:tc>
      <w:tc>
        <w:tcPr>
          <w:tcW w:w="4505" w:type="dxa"/>
        </w:tcPr>
        <w:p w14:paraId="748A9CED" w14:textId="77777777" w:rsidR="000F2BA9" w:rsidRDefault="000F2BA9">
          <w:pPr>
            <w:pStyle w:val="Header"/>
          </w:pPr>
          <w:r>
            <w:t>May</w:t>
          </w:r>
          <w:r w:rsidRPr="00D34F92">
            <w:t xml:space="preserve"> 2018</w:t>
          </w:r>
        </w:p>
      </w:tc>
    </w:tr>
  </w:tbl>
  <w:p w14:paraId="676541C2" w14:textId="77777777" w:rsidR="000F2BA9" w:rsidRPr="00D34F92" w:rsidRDefault="000F2BA9" w:rsidP="00715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8F78D" w14:textId="77777777" w:rsidR="000F2BA9" w:rsidRDefault="00416477" w:rsidP="001B449B">
    <w:pPr>
      <w:pStyle w:val="Header"/>
    </w:pPr>
    <w:r>
      <w:rPr>
        <w:noProof/>
      </w:rPr>
      <w:pict w14:anchorId="6BF877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F9F1C" w14:textId="77777777" w:rsidR="000F2BA9" w:rsidRDefault="000F2BA9" w:rsidP="000151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F0F82" w14:textId="77777777" w:rsidR="000F2BA9" w:rsidRDefault="00416477" w:rsidP="001B449B">
    <w:pPr>
      <w:pStyle w:val="Header"/>
    </w:pPr>
    <w:r>
      <w:rPr>
        <w:noProof/>
      </w:rPr>
      <w:pict w14:anchorId="4F666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476.9pt;height:158.9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102"/>
    <w:multiLevelType w:val="hybridMultilevel"/>
    <w:tmpl w:val="55506F22"/>
    <w:lvl w:ilvl="0" w:tplc="8A5ED5E0">
      <w:numFmt w:val="bullet"/>
      <w:lvlText w:val="•"/>
      <w:lvlJc w:val="left"/>
      <w:pPr>
        <w:ind w:left="720" w:hanging="360"/>
      </w:pPr>
      <w:rPr>
        <w:rFonts w:ascii="Calibri" w:eastAsiaTheme="minorHAnsi" w:hAnsi="Calibri" w:cs="Calibri" w:hint="default"/>
      </w:rPr>
    </w:lvl>
    <w:lvl w:ilvl="1" w:tplc="DF3C88A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33FA8"/>
    <w:multiLevelType w:val="hybridMultilevel"/>
    <w:tmpl w:val="124891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AB52E1"/>
    <w:multiLevelType w:val="hybridMultilevel"/>
    <w:tmpl w:val="953A7FAC"/>
    <w:lvl w:ilvl="0" w:tplc="0C090017">
      <w:start w:val="1"/>
      <w:numFmt w:val="lowerLetter"/>
      <w:lvlText w:val="%1)"/>
      <w:lvlJc w:val="left"/>
      <w:pPr>
        <w:ind w:left="851" w:hanging="360"/>
      </w:pPr>
      <w:rPr>
        <w:rFonts w:hint="default"/>
      </w:rPr>
    </w:lvl>
    <w:lvl w:ilvl="1" w:tplc="0C090019" w:tentative="1">
      <w:start w:val="1"/>
      <w:numFmt w:val="lowerLetter"/>
      <w:lvlText w:val="%2."/>
      <w:lvlJc w:val="left"/>
      <w:pPr>
        <w:ind w:left="1571" w:hanging="360"/>
      </w:p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3" w15:restartNumberingAfterBreak="0">
    <w:nsid w:val="0C985422"/>
    <w:multiLevelType w:val="hybridMultilevel"/>
    <w:tmpl w:val="B5D09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C7741"/>
    <w:multiLevelType w:val="hybridMultilevel"/>
    <w:tmpl w:val="78A0360C"/>
    <w:lvl w:ilvl="0" w:tplc="DF3C88A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E16E91"/>
    <w:multiLevelType w:val="hybridMultilevel"/>
    <w:tmpl w:val="E96A4A4C"/>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E371E"/>
    <w:multiLevelType w:val="hybridMultilevel"/>
    <w:tmpl w:val="33D4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419CB"/>
    <w:multiLevelType w:val="hybridMultilevel"/>
    <w:tmpl w:val="953A7FAC"/>
    <w:lvl w:ilvl="0" w:tplc="0C090017">
      <w:start w:val="1"/>
      <w:numFmt w:val="lowerLetter"/>
      <w:lvlText w:val="%1)"/>
      <w:lvlJc w:val="left"/>
      <w:pPr>
        <w:ind w:left="851" w:hanging="360"/>
      </w:pPr>
      <w:rPr>
        <w:rFonts w:hint="default"/>
      </w:rPr>
    </w:lvl>
    <w:lvl w:ilvl="1" w:tplc="0C090019" w:tentative="1">
      <w:start w:val="1"/>
      <w:numFmt w:val="lowerLetter"/>
      <w:lvlText w:val="%2."/>
      <w:lvlJc w:val="left"/>
      <w:pPr>
        <w:ind w:left="1571" w:hanging="360"/>
      </w:p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8" w15:restartNumberingAfterBreak="0">
    <w:nsid w:val="12BA1A11"/>
    <w:multiLevelType w:val="hybridMultilevel"/>
    <w:tmpl w:val="953A7FAC"/>
    <w:lvl w:ilvl="0" w:tplc="0C090017">
      <w:start w:val="1"/>
      <w:numFmt w:val="lowerLetter"/>
      <w:lvlText w:val="%1)"/>
      <w:lvlJc w:val="left"/>
      <w:pPr>
        <w:ind w:left="851" w:hanging="360"/>
      </w:pPr>
      <w:rPr>
        <w:rFonts w:hint="default"/>
      </w:rPr>
    </w:lvl>
    <w:lvl w:ilvl="1" w:tplc="0C090019" w:tentative="1">
      <w:start w:val="1"/>
      <w:numFmt w:val="lowerLetter"/>
      <w:lvlText w:val="%2."/>
      <w:lvlJc w:val="left"/>
      <w:pPr>
        <w:ind w:left="1571" w:hanging="360"/>
      </w:p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9" w15:restartNumberingAfterBreak="0">
    <w:nsid w:val="14C755AD"/>
    <w:multiLevelType w:val="hybridMultilevel"/>
    <w:tmpl w:val="CE0ACEAC"/>
    <w:lvl w:ilvl="0" w:tplc="E5860516">
      <w:numFmt w:val="bullet"/>
      <w:lvlText w:val="-"/>
      <w:lvlJc w:val="left"/>
      <w:pPr>
        <w:ind w:left="420" w:hanging="360"/>
      </w:pPr>
      <w:rPr>
        <w:rFonts w:ascii="Times New Roman" w:eastAsiaTheme="minorHAnsi" w:hAnsi="Times New Roman" w:cs="Times New Roman" w:hint="default"/>
      </w:rPr>
    </w:lvl>
    <w:lvl w:ilvl="1" w:tplc="0C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04011"/>
    <w:multiLevelType w:val="hybridMultilevel"/>
    <w:tmpl w:val="8E6EA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D472A1"/>
    <w:multiLevelType w:val="hybridMultilevel"/>
    <w:tmpl w:val="3B6600A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432CB3"/>
    <w:multiLevelType w:val="multilevel"/>
    <w:tmpl w:val="F7F4D6C6"/>
    <w:lvl w:ilvl="0">
      <w:start w:val="1"/>
      <w:numFmt w:val="bullet"/>
      <w:lvlText w:val="•"/>
      <w:lvlJc w:val="left"/>
      <w:pPr>
        <w:ind w:left="360" w:hanging="360"/>
      </w:pPr>
      <w:rPr>
        <w:rFonts w:ascii="Arial" w:hAnsi="Arial" w:hint="default"/>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13" w15:restartNumberingAfterBreak="0">
    <w:nsid w:val="1932395E"/>
    <w:multiLevelType w:val="hybridMultilevel"/>
    <w:tmpl w:val="48B6DCAA"/>
    <w:lvl w:ilvl="0" w:tplc="08090001">
      <w:start w:val="1"/>
      <w:numFmt w:val="bullet"/>
      <w:lvlText w:val=""/>
      <w:lvlJc w:val="left"/>
      <w:pPr>
        <w:ind w:left="720" w:hanging="360"/>
      </w:pPr>
      <w:rPr>
        <w:rFonts w:ascii="Symbol" w:hAnsi="Symbol" w:hint="default"/>
      </w:rPr>
    </w:lvl>
    <w:lvl w:ilvl="1" w:tplc="DF3C88A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C63B34"/>
    <w:multiLevelType w:val="hybridMultilevel"/>
    <w:tmpl w:val="0764D0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CDB3D88"/>
    <w:multiLevelType w:val="hybridMultilevel"/>
    <w:tmpl w:val="7528F59A"/>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DDE7B46"/>
    <w:multiLevelType w:val="hybridMultilevel"/>
    <w:tmpl w:val="4E8A86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4673F3"/>
    <w:multiLevelType w:val="multilevel"/>
    <w:tmpl w:val="1E4C9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F62F34"/>
    <w:multiLevelType w:val="hybridMultilevel"/>
    <w:tmpl w:val="69B82016"/>
    <w:lvl w:ilvl="0" w:tplc="8A5ED5E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995FDE"/>
    <w:multiLevelType w:val="hybridMultilevel"/>
    <w:tmpl w:val="A7304C0C"/>
    <w:lvl w:ilvl="0" w:tplc="8A5ED5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3A526E0"/>
    <w:multiLevelType w:val="hybridMultilevel"/>
    <w:tmpl w:val="990E40D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1" w15:restartNumberingAfterBreak="0">
    <w:nsid w:val="248546F4"/>
    <w:multiLevelType w:val="hybridMultilevel"/>
    <w:tmpl w:val="66C6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1B04AF"/>
    <w:multiLevelType w:val="hybridMultilevel"/>
    <w:tmpl w:val="4860EE32"/>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1021D4"/>
    <w:multiLevelType w:val="hybridMultilevel"/>
    <w:tmpl w:val="265CE264"/>
    <w:lvl w:ilvl="0" w:tplc="20D28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F17159"/>
    <w:multiLevelType w:val="hybridMultilevel"/>
    <w:tmpl w:val="66D20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3E7168"/>
    <w:multiLevelType w:val="hybridMultilevel"/>
    <w:tmpl w:val="A3F80FF2"/>
    <w:lvl w:ilvl="0" w:tplc="8A5ED5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4203F2"/>
    <w:multiLevelType w:val="hybridMultilevel"/>
    <w:tmpl w:val="F7BA5F22"/>
    <w:lvl w:ilvl="0" w:tplc="8A5ED5E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F3790F"/>
    <w:multiLevelType w:val="hybridMultilevel"/>
    <w:tmpl w:val="F4421D5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D72BB9"/>
    <w:multiLevelType w:val="hybridMultilevel"/>
    <w:tmpl w:val="28F6B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93E321C"/>
    <w:multiLevelType w:val="hybridMultilevel"/>
    <w:tmpl w:val="1BA2A04C"/>
    <w:lvl w:ilvl="0" w:tplc="DF3C88A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AED649E"/>
    <w:multiLevelType w:val="hybridMultilevel"/>
    <w:tmpl w:val="0016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F726CA"/>
    <w:multiLevelType w:val="hybridMultilevel"/>
    <w:tmpl w:val="A2D661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0C61C53"/>
    <w:multiLevelType w:val="hybridMultilevel"/>
    <w:tmpl w:val="C898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0B5D7B"/>
    <w:multiLevelType w:val="hybridMultilevel"/>
    <w:tmpl w:val="7B9CA530"/>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C16604"/>
    <w:multiLevelType w:val="multilevel"/>
    <w:tmpl w:val="F7F4D6C6"/>
    <w:lvl w:ilvl="0">
      <w:start w:val="1"/>
      <w:numFmt w:val="bullet"/>
      <w:lvlText w:val="•"/>
      <w:lvlJc w:val="left"/>
      <w:pPr>
        <w:ind w:left="360" w:hanging="360"/>
      </w:pPr>
      <w:rPr>
        <w:rFonts w:ascii="Arial" w:hAnsi="Arial" w:hint="default"/>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35" w15:restartNumberingAfterBreak="0">
    <w:nsid w:val="44DB4698"/>
    <w:multiLevelType w:val="hybridMultilevel"/>
    <w:tmpl w:val="15FCAF28"/>
    <w:lvl w:ilvl="0" w:tplc="E5860516">
      <w:numFmt w:val="bullet"/>
      <w:lvlText w:val="-"/>
      <w:lvlJc w:val="left"/>
      <w:pPr>
        <w:ind w:left="420" w:hanging="360"/>
      </w:pPr>
      <w:rPr>
        <w:rFonts w:ascii="Times New Roman" w:eastAsiaTheme="minorHAnsi" w:hAnsi="Times New Roman" w:cs="Times New Roman" w:hint="default"/>
      </w:rPr>
    </w:lvl>
    <w:lvl w:ilvl="1" w:tplc="75EAEC5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EE4DAB"/>
    <w:multiLevelType w:val="hybridMultilevel"/>
    <w:tmpl w:val="A63E2B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7554E80"/>
    <w:multiLevelType w:val="hybridMultilevel"/>
    <w:tmpl w:val="5210A2AC"/>
    <w:lvl w:ilvl="0" w:tplc="0DF4BD3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9190A9E"/>
    <w:multiLevelType w:val="hybridMultilevel"/>
    <w:tmpl w:val="4230BC8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C79A1"/>
    <w:multiLevelType w:val="hybridMultilevel"/>
    <w:tmpl w:val="1B0AC106"/>
    <w:lvl w:ilvl="0" w:tplc="8A5ED5E0">
      <w:numFmt w:val="bullet"/>
      <w:lvlText w:val="•"/>
      <w:lvlJc w:val="left"/>
      <w:pPr>
        <w:ind w:left="1211" w:hanging="360"/>
      </w:pPr>
      <w:rPr>
        <w:rFonts w:ascii="Calibri" w:eastAsiaTheme="minorHAnsi"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0" w15:restartNumberingAfterBreak="0">
    <w:nsid w:val="4F165268"/>
    <w:multiLevelType w:val="hybridMultilevel"/>
    <w:tmpl w:val="506A7C3E"/>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224F08"/>
    <w:multiLevelType w:val="hybridMultilevel"/>
    <w:tmpl w:val="72CEC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3326E5F"/>
    <w:multiLevelType w:val="hybridMultilevel"/>
    <w:tmpl w:val="75A6F0EC"/>
    <w:lvl w:ilvl="0" w:tplc="5622D89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ED36F7"/>
    <w:multiLevelType w:val="hybridMultilevel"/>
    <w:tmpl w:val="AFA24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6262E7C"/>
    <w:multiLevelType w:val="hybridMultilevel"/>
    <w:tmpl w:val="1FE29E5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A9D00C1"/>
    <w:multiLevelType w:val="hybridMultilevel"/>
    <w:tmpl w:val="845E811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FAE58EF"/>
    <w:multiLevelType w:val="hybridMultilevel"/>
    <w:tmpl w:val="0D20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901989"/>
    <w:multiLevelType w:val="multilevel"/>
    <w:tmpl w:val="90C8EE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619C5891"/>
    <w:multiLevelType w:val="hybridMultilevel"/>
    <w:tmpl w:val="FFD6743A"/>
    <w:lvl w:ilvl="0" w:tplc="E5860516">
      <w:numFmt w:val="bullet"/>
      <w:lvlText w:val="-"/>
      <w:lvlJc w:val="left"/>
      <w:pPr>
        <w:ind w:left="4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D506FA"/>
    <w:multiLevelType w:val="hybridMultilevel"/>
    <w:tmpl w:val="EB0CD9FA"/>
    <w:lvl w:ilvl="0" w:tplc="8A5ED5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032F3B"/>
    <w:multiLevelType w:val="hybridMultilevel"/>
    <w:tmpl w:val="3ECA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67225A"/>
    <w:multiLevelType w:val="hybridMultilevel"/>
    <w:tmpl w:val="FAE01EFA"/>
    <w:lvl w:ilvl="0" w:tplc="E586051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F2670B"/>
    <w:multiLevelType w:val="hybridMultilevel"/>
    <w:tmpl w:val="CDE4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417C6E"/>
    <w:multiLevelType w:val="hybridMultilevel"/>
    <w:tmpl w:val="D226AB4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C6943A1"/>
    <w:multiLevelType w:val="hybridMultilevel"/>
    <w:tmpl w:val="742AE60E"/>
    <w:lvl w:ilvl="0" w:tplc="08090017">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E23050A"/>
    <w:multiLevelType w:val="hybridMultilevel"/>
    <w:tmpl w:val="12B2A892"/>
    <w:lvl w:ilvl="0" w:tplc="E586051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D04E87"/>
    <w:multiLevelType w:val="hybridMultilevel"/>
    <w:tmpl w:val="A112D048"/>
    <w:lvl w:ilvl="0" w:tplc="8A5ED5E0">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71FB0313"/>
    <w:multiLevelType w:val="hybridMultilevel"/>
    <w:tmpl w:val="DFC8A9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2562948"/>
    <w:multiLevelType w:val="hybridMultilevel"/>
    <w:tmpl w:val="F83237FC"/>
    <w:lvl w:ilvl="0" w:tplc="8A5ED5E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C11550"/>
    <w:multiLevelType w:val="hybridMultilevel"/>
    <w:tmpl w:val="8F80B1CE"/>
    <w:lvl w:ilvl="0" w:tplc="75EAEC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39785F"/>
    <w:multiLevelType w:val="hybridMultilevel"/>
    <w:tmpl w:val="36826AD0"/>
    <w:lvl w:ilvl="0" w:tplc="C780214E">
      <w:start w:val="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8E65B72"/>
    <w:multiLevelType w:val="hybridMultilevel"/>
    <w:tmpl w:val="A2B21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A3F1DF1"/>
    <w:multiLevelType w:val="hybridMultilevel"/>
    <w:tmpl w:val="23B4F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E6F4E05"/>
    <w:multiLevelType w:val="hybridMultilevel"/>
    <w:tmpl w:val="014E6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4"/>
  </w:num>
  <w:num w:numId="2">
    <w:abstractNumId w:val="37"/>
  </w:num>
  <w:num w:numId="3">
    <w:abstractNumId w:val="60"/>
  </w:num>
  <w:num w:numId="4">
    <w:abstractNumId w:val="57"/>
  </w:num>
  <w:num w:numId="5">
    <w:abstractNumId w:val="16"/>
  </w:num>
  <w:num w:numId="6">
    <w:abstractNumId w:val="31"/>
  </w:num>
  <w:num w:numId="7">
    <w:abstractNumId w:val="17"/>
  </w:num>
  <w:num w:numId="8">
    <w:abstractNumId w:val="41"/>
  </w:num>
  <w:num w:numId="9">
    <w:abstractNumId w:val="24"/>
  </w:num>
  <w:num w:numId="10">
    <w:abstractNumId w:val="8"/>
  </w:num>
  <w:num w:numId="11">
    <w:abstractNumId w:val="53"/>
  </w:num>
  <w:num w:numId="12">
    <w:abstractNumId w:val="10"/>
  </w:num>
  <w:num w:numId="13">
    <w:abstractNumId w:val="44"/>
  </w:num>
  <w:num w:numId="14">
    <w:abstractNumId w:val="43"/>
  </w:num>
  <w:num w:numId="15">
    <w:abstractNumId w:val="7"/>
  </w:num>
  <w:num w:numId="16">
    <w:abstractNumId w:val="2"/>
  </w:num>
  <w:num w:numId="17">
    <w:abstractNumId w:val="28"/>
  </w:num>
  <w:num w:numId="18">
    <w:abstractNumId w:val="14"/>
  </w:num>
  <w:num w:numId="19">
    <w:abstractNumId w:val="32"/>
  </w:num>
  <w:num w:numId="20">
    <w:abstractNumId w:val="46"/>
  </w:num>
  <w:num w:numId="21">
    <w:abstractNumId w:val="47"/>
  </w:num>
  <w:num w:numId="22">
    <w:abstractNumId w:val="20"/>
  </w:num>
  <w:num w:numId="23">
    <w:abstractNumId w:val="45"/>
  </w:num>
  <w:num w:numId="24">
    <w:abstractNumId w:val="3"/>
  </w:num>
  <w:num w:numId="25">
    <w:abstractNumId w:val="61"/>
  </w:num>
  <w:num w:numId="26">
    <w:abstractNumId w:val="30"/>
  </w:num>
  <w:num w:numId="27">
    <w:abstractNumId w:val="62"/>
  </w:num>
  <w:num w:numId="28">
    <w:abstractNumId w:val="13"/>
  </w:num>
  <w:num w:numId="29">
    <w:abstractNumId w:val="29"/>
  </w:num>
  <w:num w:numId="30">
    <w:abstractNumId w:val="6"/>
  </w:num>
  <w:num w:numId="31">
    <w:abstractNumId w:val="21"/>
  </w:num>
  <w:num w:numId="32">
    <w:abstractNumId w:val="52"/>
  </w:num>
  <w:num w:numId="33">
    <w:abstractNumId w:val="19"/>
  </w:num>
  <w:num w:numId="34">
    <w:abstractNumId w:val="26"/>
  </w:num>
  <w:num w:numId="35">
    <w:abstractNumId w:val="18"/>
  </w:num>
  <w:num w:numId="36">
    <w:abstractNumId w:val="4"/>
  </w:num>
  <w:num w:numId="37">
    <w:abstractNumId w:val="25"/>
  </w:num>
  <w:num w:numId="38">
    <w:abstractNumId w:val="0"/>
  </w:num>
  <w:num w:numId="39">
    <w:abstractNumId w:val="49"/>
  </w:num>
  <w:num w:numId="40">
    <w:abstractNumId w:val="58"/>
  </w:num>
  <w:num w:numId="41">
    <w:abstractNumId w:val="56"/>
  </w:num>
  <w:num w:numId="42">
    <w:abstractNumId w:val="39"/>
  </w:num>
  <w:num w:numId="43">
    <w:abstractNumId w:val="9"/>
  </w:num>
  <w:num w:numId="44">
    <w:abstractNumId w:val="55"/>
  </w:num>
  <w:num w:numId="45">
    <w:abstractNumId w:val="51"/>
  </w:num>
  <w:num w:numId="46">
    <w:abstractNumId w:val="48"/>
  </w:num>
  <w:num w:numId="47">
    <w:abstractNumId w:val="35"/>
  </w:num>
  <w:num w:numId="48">
    <w:abstractNumId w:val="34"/>
  </w:num>
  <w:num w:numId="49">
    <w:abstractNumId w:val="12"/>
  </w:num>
  <w:num w:numId="50">
    <w:abstractNumId w:val="22"/>
  </w:num>
  <w:num w:numId="51">
    <w:abstractNumId w:val="40"/>
  </w:num>
  <w:num w:numId="52">
    <w:abstractNumId w:val="33"/>
  </w:num>
  <w:num w:numId="53">
    <w:abstractNumId w:val="59"/>
  </w:num>
  <w:num w:numId="54">
    <w:abstractNumId w:val="42"/>
  </w:num>
  <w:num w:numId="55">
    <w:abstractNumId w:val="27"/>
  </w:num>
  <w:num w:numId="56">
    <w:abstractNumId w:val="5"/>
  </w:num>
  <w:num w:numId="57">
    <w:abstractNumId w:val="38"/>
  </w:num>
  <w:num w:numId="58">
    <w:abstractNumId w:val="11"/>
  </w:num>
  <w:num w:numId="59">
    <w:abstractNumId w:val="23"/>
  </w:num>
  <w:num w:numId="60">
    <w:abstractNumId w:val="36"/>
  </w:num>
  <w:num w:numId="61">
    <w:abstractNumId w:val="50"/>
  </w:num>
  <w:num w:numId="62">
    <w:abstractNumId w:val="15"/>
  </w:num>
  <w:num w:numId="63">
    <w:abstractNumId w:val="1"/>
  </w:num>
  <w:num w:numId="64">
    <w:abstractNumId w:val="54"/>
  </w:num>
  <w:num w:numId="65">
    <w:abstractNumId w:val="6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88"/>
    <w:rsid w:val="00001F68"/>
    <w:rsid w:val="00002F01"/>
    <w:rsid w:val="000046A3"/>
    <w:rsid w:val="00004CE7"/>
    <w:rsid w:val="00004DE9"/>
    <w:rsid w:val="00007513"/>
    <w:rsid w:val="00007526"/>
    <w:rsid w:val="00010DC5"/>
    <w:rsid w:val="00010EEA"/>
    <w:rsid w:val="0001232E"/>
    <w:rsid w:val="0001371C"/>
    <w:rsid w:val="0001496F"/>
    <w:rsid w:val="000151BA"/>
    <w:rsid w:val="00015385"/>
    <w:rsid w:val="0001628C"/>
    <w:rsid w:val="0001646B"/>
    <w:rsid w:val="0001674B"/>
    <w:rsid w:val="00016BDC"/>
    <w:rsid w:val="00016E8F"/>
    <w:rsid w:val="000174AE"/>
    <w:rsid w:val="000201C2"/>
    <w:rsid w:val="0002128C"/>
    <w:rsid w:val="00021FD5"/>
    <w:rsid w:val="00022653"/>
    <w:rsid w:val="00022FBF"/>
    <w:rsid w:val="000269B1"/>
    <w:rsid w:val="000301B5"/>
    <w:rsid w:val="00030C00"/>
    <w:rsid w:val="00032255"/>
    <w:rsid w:val="00032267"/>
    <w:rsid w:val="0003385F"/>
    <w:rsid w:val="00034A6B"/>
    <w:rsid w:val="00036095"/>
    <w:rsid w:val="0003646F"/>
    <w:rsid w:val="00037178"/>
    <w:rsid w:val="0003730F"/>
    <w:rsid w:val="000409EF"/>
    <w:rsid w:val="000414BC"/>
    <w:rsid w:val="00041807"/>
    <w:rsid w:val="000418DC"/>
    <w:rsid w:val="000420A4"/>
    <w:rsid w:val="00043C50"/>
    <w:rsid w:val="00044EBA"/>
    <w:rsid w:val="00045B34"/>
    <w:rsid w:val="0005125B"/>
    <w:rsid w:val="000530EF"/>
    <w:rsid w:val="000541EB"/>
    <w:rsid w:val="000543B1"/>
    <w:rsid w:val="00054C19"/>
    <w:rsid w:val="00054DC8"/>
    <w:rsid w:val="00054EC8"/>
    <w:rsid w:val="00061DB6"/>
    <w:rsid w:val="00061DE7"/>
    <w:rsid w:val="00063628"/>
    <w:rsid w:val="000644AC"/>
    <w:rsid w:val="000660CB"/>
    <w:rsid w:val="000669E7"/>
    <w:rsid w:val="00067116"/>
    <w:rsid w:val="000679D3"/>
    <w:rsid w:val="00067A99"/>
    <w:rsid w:val="00070127"/>
    <w:rsid w:val="000703D6"/>
    <w:rsid w:val="00070407"/>
    <w:rsid w:val="00070D6F"/>
    <w:rsid w:val="00071DE8"/>
    <w:rsid w:val="00071FAE"/>
    <w:rsid w:val="000733B2"/>
    <w:rsid w:val="00073B41"/>
    <w:rsid w:val="00076DB8"/>
    <w:rsid w:val="00081A91"/>
    <w:rsid w:val="00081DAF"/>
    <w:rsid w:val="00082AB2"/>
    <w:rsid w:val="00082D51"/>
    <w:rsid w:val="000832BA"/>
    <w:rsid w:val="00085AC0"/>
    <w:rsid w:val="00086905"/>
    <w:rsid w:val="0008775F"/>
    <w:rsid w:val="00087E23"/>
    <w:rsid w:val="00090F38"/>
    <w:rsid w:val="00094EF7"/>
    <w:rsid w:val="000963BF"/>
    <w:rsid w:val="00096A53"/>
    <w:rsid w:val="00097449"/>
    <w:rsid w:val="000A19F1"/>
    <w:rsid w:val="000A3332"/>
    <w:rsid w:val="000A335E"/>
    <w:rsid w:val="000A3E8D"/>
    <w:rsid w:val="000A4B64"/>
    <w:rsid w:val="000A4DB5"/>
    <w:rsid w:val="000A5A96"/>
    <w:rsid w:val="000A6188"/>
    <w:rsid w:val="000A64A8"/>
    <w:rsid w:val="000A7811"/>
    <w:rsid w:val="000A7ED2"/>
    <w:rsid w:val="000B081E"/>
    <w:rsid w:val="000B29F7"/>
    <w:rsid w:val="000B45BE"/>
    <w:rsid w:val="000B5164"/>
    <w:rsid w:val="000B5B50"/>
    <w:rsid w:val="000B5FE5"/>
    <w:rsid w:val="000B6045"/>
    <w:rsid w:val="000B6603"/>
    <w:rsid w:val="000B7344"/>
    <w:rsid w:val="000C0ED9"/>
    <w:rsid w:val="000C1066"/>
    <w:rsid w:val="000C1B28"/>
    <w:rsid w:val="000C1D1E"/>
    <w:rsid w:val="000C2540"/>
    <w:rsid w:val="000C34B4"/>
    <w:rsid w:val="000C5633"/>
    <w:rsid w:val="000C5A45"/>
    <w:rsid w:val="000C5E51"/>
    <w:rsid w:val="000C6047"/>
    <w:rsid w:val="000C714A"/>
    <w:rsid w:val="000C7637"/>
    <w:rsid w:val="000D1E6E"/>
    <w:rsid w:val="000D2F69"/>
    <w:rsid w:val="000D481F"/>
    <w:rsid w:val="000D5996"/>
    <w:rsid w:val="000D5CAB"/>
    <w:rsid w:val="000D7B77"/>
    <w:rsid w:val="000E080D"/>
    <w:rsid w:val="000E2003"/>
    <w:rsid w:val="000E2858"/>
    <w:rsid w:val="000E33CE"/>
    <w:rsid w:val="000E4D0A"/>
    <w:rsid w:val="000E57A6"/>
    <w:rsid w:val="000E6F34"/>
    <w:rsid w:val="000E72F1"/>
    <w:rsid w:val="000F1923"/>
    <w:rsid w:val="000F2BA9"/>
    <w:rsid w:val="000F3552"/>
    <w:rsid w:val="000F3E3B"/>
    <w:rsid w:val="000F558E"/>
    <w:rsid w:val="000F5FC4"/>
    <w:rsid w:val="001004F3"/>
    <w:rsid w:val="00101CD2"/>
    <w:rsid w:val="00102598"/>
    <w:rsid w:val="001041B3"/>
    <w:rsid w:val="00105B4A"/>
    <w:rsid w:val="00106AC8"/>
    <w:rsid w:val="00110AC5"/>
    <w:rsid w:val="00111650"/>
    <w:rsid w:val="00111EAE"/>
    <w:rsid w:val="001121E7"/>
    <w:rsid w:val="001127FD"/>
    <w:rsid w:val="0011344E"/>
    <w:rsid w:val="001151BE"/>
    <w:rsid w:val="0011570E"/>
    <w:rsid w:val="0012012B"/>
    <w:rsid w:val="00120BA3"/>
    <w:rsid w:val="001224C4"/>
    <w:rsid w:val="00123829"/>
    <w:rsid w:val="00124115"/>
    <w:rsid w:val="001245A9"/>
    <w:rsid w:val="00125A76"/>
    <w:rsid w:val="0012601D"/>
    <w:rsid w:val="0012605E"/>
    <w:rsid w:val="00131FD9"/>
    <w:rsid w:val="0013229C"/>
    <w:rsid w:val="00132D12"/>
    <w:rsid w:val="001336D4"/>
    <w:rsid w:val="00133F5A"/>
    <w:rsid w:val="00134168"/>
    <w:rsid w:val="00134499"/>
    <w:rsid w:val="00134A0F"/>
    <w:rsid w:val="00135092"/>
    <w:rsid w:val="00135F28"/>
    <w:rsid w:val="00137004"/>
    <w:rsid w:val="001456B4"/>
    <w:rsid w:val="00150508"/>
    <w:rsid w:val="00150621"/>
    <w:rsid w:val="00150F6C"/>
    <w:rsid w:val="00150FA6"/>
    <w:rsid w:val="001510F5"/>
    <w:rsid w:val="001533E5"/>
    <w:rsid w:val="0015348C"/>
    <w:rsid w:val="001546B7"/>
    <w:rsid w:val="00154EA0"/>
    <w:rsid w:val="001553C8"/>
    <w:rsid w:val="001557B9"/>
    <w:rsid w:val="00156F79"/>
    <w:rsid w:val="00157658"/>
    <w:rsid w:val="00157FB3"/>
    <w:rsid w:val="001636F7"/>
    <w:rsid w:val="001641D0"/>
    <w:rsid w:val="0016465F"/>
    <w:rsid w:val="00164DF0"/>
    <w:rsid w:val="00166A23"/>
    <w:rsid w:val="00166B86"/>
    <w:rsid w:val="00167F3B"/>
    <w:rsid w:val="0017131C"/>
    <w:rsid w:val="001716F3"/>
    <w:rsid w:val="00171F78"/>
    <w:rsid w:val="00174481"/>
    <w:rsid w:val="001747ED"/>
    <w:rsid w:val="00174B8B"/>
    <w:rsid w:val="001754C6"/>
    <w:rsid w:val="00175E5C"/>
    <w:rsid w:val="001765DB"/>
    <w:rsid w:val="00180410"/>
    <w:rsid w:val="00182996"/>
    <w:rsid w:val="00182D45"/>
    <w:rsid w:val="001831D5"/>
    <w:rsid w:val="00183BFE"/>
    <w:rsid w:val="00184266"/>
    <w:rsid w:val="001855A1"/>
    <w:rsid w:val="00186443"/>
    <w:rsid w:val="0019042C"/>
    <w:rsid w:val="00190984"/>
    <w:rsid w:val="00190B7B"/>
    <w:rsid w:val="001939DA"/>
    <w:rsid w:val="00195196"/>
    <w:rsid w:val="00195323"/>
    <w:rsid w:val="001953F2"/>
    <w:rsid w:val="0019646F"/>
    <w:rsid w:val="0019698A"/>
    <w:rsid w:val="00197C80"/>
    <w:rsid w:val="001A17C6"/>
    <w:rsid w:val="001A1F85"/>
    <w:rsid w:val="001A3064"/>
    <w:rsid w:val="001A3702"/>
    <w:rsid w:val="001A4574"/>
    <w:rsid w:val="001A58F6"/>
    <w:rsid w:val="001A68A4"/>
    <w:rsid w:val="001A742E"/>
    <w:rsid w:val="001A78AF"/>
    <w:rsid w:val="001A7C3C"/>
    <w:rsid w:val="001B03D0"/>
    <w:rsid w:val="001B17B1"/>
    <w:rsid w:val="001B2883"/>
    <w:rsid w:val="001B3BBE"/>
    <w:rsid w:val="001B3EB4"/>
    <w:rsid w:val="001B4169"/>
    <w:rsid w:val="001B449B"/>
    <w:rsid w:val="001B7342"/>
    <w:rsid w:val="001B77F2"/>
    <w:rsid w:val="001C020B"/>
    <w:rsid w:val="001C1D6E"/>
    <w:rsid w:val="001C2B53"/>
    <w:rsid w:val="001C380B"/>
    <w:rsid w:val="001C435E"/>
    <w:rsid w:val="001C5742"/>
    <w:rsid w:val="001C5756"/>
    <w:rsid w:val="001C6F0D"/>
    <w:rsid w:val="001D03A9"/>
    <w:rsid w:val="001D0DC8"/>
    <w:rsid w:val="001D0F77"/>
    <w:rsid w:val="001D16D2"/>
    <w:rsid w:val="001D1730"/>
    <w:rsid w:val="001D1792"/>
    <w:rsid w:val="001D1BDD"/>
    <w:rsid w:val="001D308F"/>
    <w:rsid w:val="001D3804"/>
    <w:rsid w:val="001D5925"/>
    <w:rsid w:val="001E25A5"/>
    <w:rsid w:val="001E3413"/>
    <w:rsid w:val="001E3D16"/>
    <w:rsid w:val="001E5EE6"/>
    <w:rsid w:val="001E60EC"/>
    <w:rsid w:val="001E6B24"/>
    <w:rsid w:val="001E6C40"/>
    <w:rsid w:val="001E7BE0"/>
    <w:rsid w:val="001F00DD"/>
    <w:rsid w:val="001F0664"/>
    <w:rsid w:val="001F0774"/>
    <w:rsid w:val="001F098D"/>
    <w:rsid w:val="001F1F44"/>
    <w:rsid w:val="001F29FC"/>
    <w:rsid w:val="001F3601"/>
    <w:rsid w:val="001F36E4"/>
    <w:rsid w:val="001F4257"/>
    <w:rsid w:val="001F431B"/>
    <w:rsid w:val="001F545D"/>
    <w:rsid w:val="001F5861"/>
    <w:rsid w:val="001F5F57"/>
    <w:rsid w:val="001F6333"/>
    <w:rsid w:val="001F742F"/>
    <w:rsid w:val="00200913"/>
    <w:rsid w:val="00200D3C"/>
    <w:rsid w:val="002028DC"/>
    <w:rsid w:val="00203852"/>
    <w:rsid w:val="002055AB"/>
    <w:rsid w:val="00206170"/>
    <w:rsid w:val="00206CE2"/>
    <w:rsid w:val="00207609"/>
    <w:rsid w:val="00207DDB"/>
    <w:rsid w:val="002104F6"/>
    <w:rsid w:val="00210806"/>
    <w:rsid w:val="002108F9"/>
    <w:rsid w:val="002115E3"/>
    <w:rsid w:val="002127D3"/>
    <w:rsid w:val="00212FD2"/>
    <w:rsid w:val="0021339F"/>
    <w:rsid w:val="002135A5"/>
    <w:rsid w:val="00213912"/>
    <w:rsid w:val="00214062"/>
    <w:rsid w:val="00214443"/>
    <w:rsid w:val="002153FB"/>
    <w:rsid w:val="00217B1F"/>
    <w:rsid w:val="00220276"/>
    <w:rsid w:val="002204D5"/>
    <w:rsid w:val="002207AB"/>
    <w:rsid w:val="00220F0A"/>
    <w:rsid w:val="0022127A"/>
    <w:rsid w:val="002222FF"/>
    <w:rsid w:val="002230FA"/>
    <w:rsid w:val="00223E2A"/>
    <w:rsid w:val="00224189"/>
    <w:rsid w:val="00224608"/>
    <w:rsid w:val="00225EA8"/>
    <w:rsid w:val="002266B8"/>
    <w:rsid w:val="0022739A"/>
    <w:rsid w:val="00231FD6"/>
    <w:rsid w:val="00234A9D"/>
    <w:rsid w:val="00235B50"/>
    <w:rsid w:val="00240830"/>
    <w:rsid w:val="00241AC8"/>
    <w:rsid w:val="002426E0"/>
    <w:rsid w:val="002479E3"/>
    <w:rsid w:val="00247EB0"/>
    <w:rsid w:val="00251ADB"/>
    <w:rsid w:val="00251B32"/>
    <w:rsid w:val="00252B4D"/>
    <w:rsid w:val="00253A74"/>
    <w:rsid w:val="00253DE0"/>
    <w:rsid w:val="0025427F"/>
    <w:rsid w:val="002548A4"/>
    <w:rsid w:val="00254F68"/>
    <w:rsid w:val="002562C3"/>
    <w:rsid w:val="00262531"/>
    <w:rsid w:val="00262CC4"/>
    <w:rsid w:val="00262D89"/>
    <w:rsid w:val="002633C9"/>
    <w:rsid w:val="00264921"/>
    <w:rsid w:val="00266CCC"/>
    <w:rsid w:val="00266DC4"/>
    <w:rsid w:val="00266F14"/>
    <w:rsid w:val="00267AE4"/>
    <w:rsid w:val="002700EA"/>
    <w:rsid w:val="002723CD"/>
    <w:rsid w:val="00273210"/>
    <w:rsid w:val="002749C9"/>
    <w:rsid w:val="00277047"/>
    <w:rsid w:val="00277590"/>
    <w:rsid w:val="002804CF"/>
    <w:rsid w:val="00282CB4"/>
    <w:rsid w:val="002837F4"/>
    <w:rsid w:val="00285788"/>
    <w:rsid w:val="002877EF"/>
    <w:rsid w:val="00290CAF"/>
    <w:rsid w:val="00290E77"/>
    <w:rsid w:val="00291092"/>
    <w:rsid w:val="00291B63"/>
    <w:rsid w:val="002920B0"/>
    <w:rsid w:val="00294682"/>
    <w:rsid w:val="002949D0"/>
    <w:rsid w:val="00295FCC"/>
    <w:rsid w:val="00296968"/>
    <w:rsid w:val="002975A6"/>
    <w:rsid w:val="002977F2"/>
    <w:rsid w:val="002A0F72"/>
    <w:rsid w:val="002A1403"/>
    <w:rsid w:val="002A1A08"/>
    <w:rsid w:val="002A231B"/>
    <w:rsid w:val="002A3A5C"/>
    <w:rsid w:val="002A3A62"/>
    <w:rsid w:val="002A6A74"/>
    <w:rsid w:val="002B022D"/>
    <w:rsid w:val="002B21A0"/>
    <w:rsid w:val="002B2522"/>
    <w:rsid w:val="002B355E"/>
    <w:rsid w:val="002B449A"/>
    <w:rsid w:val="002B59B2"/>
    <w:rsid w:val="002B64A8"/>
    <w:rsid w:val="002B70BC"/>
    <w:rsid w:val="002B7CF6"/>
    <w:rsid w:val="002C0AAF"/>
    <w:rsid w:val="002C0E21"/>
    <w:rsid w:val="002C1F77"/>
    <w:rsid w:val="002C234E"/>
    <w:rsid w:val="002C34C4"/>
    <w:rsid w:val="002C475D"/>
    <w:rsid w:val="002C5697"/>
    <w:rsid w:val="002C635C"/>
    <w:rsid w:val="002C76AB"/>
    <w:rsid w:val="002D0DB4"/>
    <w:rsid w:val="002D39D1"/>
    <w:rsid w:val="002D49D6"/>
    <w:rsid w:val="002D4F3F"/>
    <w:rsid w:val="002D5AD5"/>
    <w:rsid w:val="002D5BF0"/>
    <w:rsid w:val="002D5E36"/>
    <w:rsid w:val="002D6058"/>
    <w:rsid w:val="002D6B36"/>
    <w:rsid w:val="002D76B1"/>
    <w:rsid w:val="002D7C5C"/>
    <w:rsid w:val="002D7FB2"/>
    <w:rsid w:val="002E1015"/>
    <w:rsid w:val="002E11EA"/>
    <w:rsid w:val="002E225E"/>
    <w:rsid w:val="002E2C4E"/>
    <w:rsid w:val="002E3DE0"/>
    <w:rsid w:val="002E57A8"/>
    <w:rsid w:val="002E5F5B"/>
    <w:rsid w:val="002E612F"/>
    <w:rsid w:val="002E6606"/>
    <w:rsid w:val="002E6E58"/>
    <w:rsid w:val="002F2D8B"/>
    <w:rsid w:val="002F47C0"/>
    <w:rsid w:val="002F4E22"/>
    <w:rsid w:val="002F5552"/>
    <w:rsid w:val="002F5949"/>
    <w:rsid w:val="0030028C"/>
    <w:rsid w:val="0030048A"/>
    <w:rsid w:val="003019A5"/>
    <w:rsid w:val="00302DF0"/>
    <w:rsid w:val="00303247"/>
    <w:rsid w:val="00303BC4"/>
    <w:rsid w:val="003052D4"/>
    <w:rsid w:val="0030630F"/>
    <w:rsid w:val="003065EB"/>
    <w:rsid w:val="00307EB9"/>
    <w:rsid w:val="00310202"/>
    <w:rsid w:val="00310CBC"/>
    <w:rsid w:val="00311363"/>
    <w:rsid w:val="00311BFE"/>
    <w:rsid w:val="00311CB7"/>
    <w:rsid w:val="00312B94"/>
    <w:rsid w:val="00314142"/>
    <w:rsid w:val="0031486C"/>
    <w:rsid w:val="00314C5E"/>
    <w:rsid w:val="003167C9"/>
    <w:rsid w:val="00316BC3"/>
    <w:rsid w:val="00316F75"/>
    <w:rsid w:val="00317360"/>
    <w:rsid w:val="00321DD3"/>
    <w:rsid w:val="00321E73"/>
    <w:rsid w:val="00322AB8"/>
    <w:rsid w:val="003231C6"/>
    <w:rsid w:val="003249A0"/>
    <w:rsid w:val="003259C6"/>
    <w:rsid w:val="00325B82"/>
    <w:rsid w:val="003267B8"/>
    <w:rsid w:val="00327619"/>
    <w:rsid w:val="00330EAA"/>
    <w:rsid w:val="00331554"/>
    <w:rsid w:val="003322EB"/>
    <w:rsid w:val="00332CB1"/>
    <w:rsid w:val="00332CC9"/>
    <w:rsid w:val="00333DC4"/>
    <w:rsid w:val="00334011"/>
    <w:rsid w:val="00335032"/>
    <w:rsid w:val="00336A24"/>
    <w:rsid w:val="0033744E"/>
    <w:rsid w:val="00337CA0"/>
    <w:rsid w:val="00337D43"/>
    <w:rsid w:val="00340688"/>
    <w:rsid w:val="00340AB7"/>
    <w:rsid w:val="00341515"/>
    <w:rsid w:val="00341B19"/>
    <w:rsid w:val="00341CB8"/>
    <w:rsid w:val="00342197"/>
    <w:rsid w:val="0034278C"/>
    <w:rsid w:val="00342A9A"/>
    <w:rsid w:val="00343102"/>
    <w:rsid w:val="00343F9E"/>
    <w:rsid w:val="003461E5"/>
    <w:rsid w:val="003462C9"/>
    <w:rsid w:val="00350512"/>
    <w:rsid w:val="00350E7B"/>
    <w:rsid w:val="00351C84"/>
    <w:rsid w:val="00351D4A"/>
    <w:rsid w:val="00351F16"/>
    <w:rsid w:val="0035221C"/>
    <w:rsid w:val="003526D2"/>
    <w:rsid w:val="00352770"/>
    <w:rsid w:val="003545F3"/>
    <w:rsid w:val="00355CF1"/>
    <w:rsid w:val="00357021"/>
    <w:rsid w:val="00360467"/>
    <w:rsid w:val="003604FC"/>
    <w:rsid w:val="003627AC"/>
    <w:rsid w:val="00362A3C"/>
    <w:rsid w:val="00363974"/>
    <w:rsid w:val="003659CB"/>
    <w:rsid w:val="00365AD0"/>
    <w:rsid w:val="00365AEE"/>
    <w:rsid w:val="00365FD1"/>
    <w:rsid w:val="00366110"/>
    <w:rsid w:val="00367F30"/>
    <w:rsid w:val="00371021"/>
    <w:rsid w:val="00371481"/>
    <w:rsid w:val="003716C3"/>
    <w:rsid w:val="00372D24"/>
    <w:rsid w:val="0037380F"/>
    <w:rsid w:val="00375165"/>
    <w:rsid w:val="003754C9"/>
    <w:rsid w:val="00375958"/>
    <w:rsid w:val="00377A7E"/>
    <w:rsid w:val="00377BB8"/>
    <w:rsid w:val="003804FB"/>
    <w:rsid w:val="00380742"/>
    <w:rsid w:val="0038074B"/>
    <w:rsid w:val="00380E8A"/>
    <w:rsid w:val="003818EC"/>
    <w:rsid w:val="00382BBF"/>
    <w:rsid w:val="00383915"/>
    <w:rsid w:val="0038416B"/>
    <w:rsid w:val="00385ED8"/>
    <w:rsid w:val="00386C82"/>
    <w:rsid w:val="00390B1D"/>
    <w:rsid w:val="00390C1A"/>
    <w:rsid w:val="00390CA7"/>
    <w:rsid w:val="00390DB3"/>
    <w:rsid w:val="0039594C"/>
    <w:rsid w:val="003978DB"/>
    <w:rsid w:val="00397BE0"/>
    <w:rsid w:val="003A2AB5"/>
    <w:rsid w:val="003A2F84"/>
    <w:rsid w:val="003A40AB"/>
    <w:rsid w:val="003A5ADA"/>
    <w:rsid w:val="003A6CA2"/>
    <w:rsid w:val="003B0107"/>
    <w:rsid w:val="003B089D"/>
    <w:rsid w:val="003B2A83"/>
    <w:rsid w:val="003B3DF0"/>
    <w:rsid w:val="003B4D1D"/>
    <w:rsid w:val="003B5914"/>
    <w:rsid w:val="003B65ED"/>
    <w:rsid w:val="003B699E"/>
    <w:rsid w:val="003B6F04"/>
    <w:rsid w:val="003C05F6"/>
    <w:rsid w:val="003C0DF9"/>
    <w:rsid w:val="003C20F7"/>
    <w:rsid w:val="003C2277"/>
    <w:rsid w:val="003C2E75"/>
    <w:rsid w:val="003C3118"/>
    <w:rsid w:val="003C393E"/>
    <w:rsid w:val="003C5F39"/>
    <w:rsid w:val="003C653E"/>
    <w:rsid w:val="003C7791"/>
    <w:rsid w:val="003C77C5"/>
    <w:rsid w:val="003C7E3E"/>
    <w:rsid w:val="003D086F"/>
    <w:rsid w:val="003D0AFC"/>
    <w:rsid w:val="003D14D6"/>
    <w:rsid w:val="003D456C"/>
    <w:rsid w:val="003D4BED"/>
    <w:rsid w:val="003D5242"/>
    <w:rsid w:val="003D5AD7"/>
    <w:rsid w:val="003D7281"/>
    <w:rsid w:val="003E0502"/>
    <w:rsid w:val="003E1802"/>
    <w:rsid w:val="003E437B"/>
    <w:rsid w:val="003E439F"/>
    <w:rsid w:val="003E55C8"/>
    <w:rsid w:val="003E5DEC"/>
    <w:rsid w:val="003E6559"/>
    <w:rsid w:val="003E65B4"/>
    <w:rsid w:val="003E7041"/>
    <w:rsid w:val="003E7231"/>
    <w:rsid w:val="003F0395"/>
    <w:rsid w:val="003F28C3"/>
    <w:rsid w:val="003F421D"/>
    <w:rsid w:val="003F4970"/>
    <w:rsid w:val="003F5DB2"/>
    <w:rsid w:val="003F6694"/>
    <w:rsid w:val="003F7B73"/>
    <w:rsid w:val="0040165C"/>
    <w:rsid w:val="004016A0"/>
    <w:rsid w:val="0040184B"/>
    <w:rsid w:val="00401DBF"/>
    <w:rsid w:val="0040296C"/>
    <w:rsid w:val="004031E3"/>
    <w:rsid w:val="004033E6"/>
    <w:rsid w:val="00404256"/>
    <w:rsid w:val="00404A8A"/>
    <w:rsid w:val="00404C04"/>
    <w:rsid w:val="00405B3A"/>
    <w:rsid w:val="00406AF5"/>
    <w:rsid w:val="00407140"/>
    <w:rsid w:val="0040756F"/>
    <w:rsid w:val="00407C20"/>
    <w:rsid w:val="00407C7A"/>
    <w:rsid w:val="00412C60"/>
    <w:rsid w:val="00412FDD"/>
    <w:rsid w:val="00415184"/>
    <w:rsid w:val="004157E4"/>
    <w:rsid w:val="004161DD"/>
    <w:rsid w:val="00416477"/>
    <w:rsid w:val="00416B54"/>
    <w:rsid w:val="00420A67"/>
    <w:rsid w:val="004224DE"/>
    <w:rsid w:val="00422F12"/>
    <w:rsid w:val="00423BB5"/>
    <w:rsid w:val="0042440E"/>
    <w:rsid w:val="00425C35"/>
    <w:rsid w:val="004273BC"/>
    <w:rsid w:val="00427663"/>
    <w:rsid w:val="00427A9B"/>
    <w:rsid w:val="004304FC"/>
    <w:rsid w:val="004305F5"/>
    <w:rsid w:val="00431938"/>
    <w:rsid w:val="0043289D"/>
    <w:rsid w:val="00432A0E"/>
    <w:rsid w:val="004333EA"/>
    <w:rsid w:val="0043406A"/>
    <w:rsid w:val="00434640"/>
    <w:rsid w:val="0043471E"/>
    <w:rsid w:val="00435638"/>
    <w:rsid w:val="00435C40"/>
    <w:rsid w:val="00435EC7"/>
    <w:rsid w:val="00436B92"/>
    <w:rsid w:val="004378E9"/>
    <w:rsid w:val="00437ED2"/>
    <w:rsid w:val="00440AFC"/>
    <w:rsid w:val="00440F39"/>
    <w:rsid w:val="00441A1E"/>
    <w:rsid w:val="00442596"/>
    <w:rsid w:val="00442CDB"/>
    <w:rsid w:val="00442DBA"/>
    <w:rsid w:val="00442E43"/>
    <w:rsid w:val="0044417C"/>
    <w:rsid w:val="0044597D"/>
    <w:rsid w:val="00446629"/>
    <w:rsid w:val="004473D8"/>
    <w:rsid w:val="0044740B"/>
    <w:rsid w:val="0045035A"/>
    <w:rsid w:val="0045037A"/>
    <w:rsid w:val="004518A4"/>
    <w:rsid w:val="004523B3"/>
    <w:rsid w:val="004535EE"/>
    <w:rsid w:val="0045364C"/>
    <w:rsid w:val="00453911"/>
    <w:rsid w:val="00454597"/>
    <w:rsid w:val="00454AB7"/>
    <w:rsid w:val="00454CDE"/>
    <w:rsid w:val="004555A4"/>
    <w:rsid w:val="00456096"/>
    <w:rsid w:val="00460CDA"/>
    <w:rsid w:val="00461328"/>
    <w:rsid w:val="004614E9"/>
    <w:rsid w:val="00461F21"/>
    <w:rsid w:val="0046342D"/>
    <w:rsid w:val="004637C1"/>
    <w:rsid w:val="00465E28"/>
    <w:rsid w:val="0046614B"/>
    <w:rsid w:val="00466152"/>
    <w:rsid w:val="004668C4"/>
    <w:rsid w:val="00466AF2"/>
    <w:rsid w:val="004670D3"/>
    <w:rsid w:val="0046761B"/>
    <w:rsid w:val="004700FF"/>
    <w:rsid w:val="00471C06"/>
    <w:rsid w:val="00472518"/>
    <w:rsid w:val="004735FB"/>
    <w:rsid w:val="004736B7"/>
    <w:rsid w:val="004748E2"/>
    <w:rsid w:val="004759FF"/>
    <w:rsid w:val="00475B06"/>
    <w:rsid w:val="00476111"/>
    <w:rsid w:val="004764D5"/>
    <w:rsid w:val="00477221"/>
    <w:rsid w:val="00477A55"/>
    <w:rsid w:val="00477F36"/>
    <w:rsid w:val="004801AB"/>
    <w:rsid w:val="00480A76"/>
    <w:rsid w:val="00480F34"/>
    <w:rsid w:val="00482C54"/>
    <w:rsid w:val="00482F7A"/>
    <w:rsid w:val="0048581E"/>
    <w:rsid w:val="00485D89"/>
    <w:rsid w:val="00487F33"/>
    <w:rsid w:val="00491305"/>
    <w:rsid w:val="0049403F"/>
    <w:rsid w:val="00494E02"/>
    <w:rsid w:val="00494EFA"/>
    <w:rsid w:val="00495885"/>
    <w:rsid w:val="00495953"/>
    <w:rsid w:val="004978ED"/>
    <w:rsid w:val="00497B68"/>
    <w:rsid w:val="004A08B3"/>
    <w:rsid w:val="004A0C80"/>
    <w:rsid w:val="004A22A6"/>
    <w:rsid w:val="004A3236"/>
    <w:rsid w:val="004A4EF3"/>
    <w:rsid w:val="004A7190"/>
    <w:rsid w:val="004B0307"/>
    <w:rsid w:val="004B177A"/>
    <w:rsid w:val="004B1DC7"/>
    <w:rsid w:val="004B2D3C"/>
    <w:rsid w:val="004B32FD"/>
    <w:rsid w:val="004B45A1"/>
    <w:rsid w:val="004B6EFE"/>
    <w:rsid w:val="004B7250"/>
    <w:rsid w:val="004B7595"/>
    <w:rsid w:val="004B7DB4"/>
    <w:rsid w:val="004C00BF"/>
    <w:rsid w:val="004C0B11"/>
    <w:rsid w:val="004C1FA0"/>
    <w:rsid w:val="004C1FAC"/>
    <w:rsid w:val="004C3817"/>
    <w:rsid w:val="004C4BA4"/>
    <w:rsid w:val="004C5154"/>
    <w:rsid w:val="004C5A88"/>
    <w:rsid w:val="004C5F15"/>
    <w:rsid w:val="004C5F99"/>
    <w:rsid w:val="004C62AB"/>
    <w:rsid w:val="004C7185"/>
    <w:rsid w:val="004C7C7C"/>
    <w:rsid w:val="004D0527"/>
    <w:rsid w:val="004D0F6E"/>
    <w:rsid w:val="004D191F"/>
    <w:rsid w:val="004D6691"/>
    <w:rsid w:val="004E1BDF"/>
    <w:rsid w:val="004E1E53"/>
    <w:rsid w:val="004E3D8D"/>
    <w:rsid w:val="004E3DB5"/>
    <w:rsid w:val="004E3ED9"/>
    <w:rsid w:val="004E4539"/>
    <w:rsid w:val="004E5CEC"/>
    <w:rsid w:val="004E63CF"/>
    <w:rsid w:val="004E7541"/>
    <w:rsid w:val="004E7854"/>
    <w:rsid w:val="004E7A98"/>
    <w:rsid w:val="004F0DB5"/>
    <w:rsid w:val="004F1D3A"/>
    <w:rsid w:val="004F3073"/>
    <w:rsid w:val="004F53EC"/>
    <w:rsid w:val="004F54C9"/>
    <w:rsid w:val="004F6811"/>
    <w:rsid w:val="004F6877"/>
    <w:rsid w:val="004F7C6D"/>
    <w:rsid w:val="0050074F"/>
    <w:rsid w:val="00500E8B"/>
    <w:rsid w:val="005012F9"/>
    <w:rsid w:val="00501CBB"/>
    <w:rsid w:val="00502187"/>
    <w:rsid w:val="005024D3"/>
    <w:rsid w:val="00503A96"/>
    <w:rsid w:val="00511BA8"/>
    <w:rsid w:val="005120E0"/>
    <w:rsid w:val="00513AFB"/>
    <w:rsid w:val="005143A7"/>
    <w:rsid w:val="005149D9"/>
    <w:rsid w:val="00515045"/>
    <w:rsid w:val="00517738"/>
    <w:rsid w:val="00517766"/>
    <w:rsid w:val="0052044C"/>
    <w:rsid w:val="00520A55"/>
    <w:rsid w:val="0052167D"/>
    <w:rsid w:val="00523622"/>
    <w:rsid w:val="00523951"/>
    <w:rsid w:val="005243C0"/>
    <w:rsid w:val="00525FDA"/>
    <w:rsid w:val="00526D2B"/>
    <w:rsid w:val="00527824"/>
    <w:rsid w:val="0053059E"/>
    <w:rsid w:val="00532777"/>
    <w:rsid w:val="00532E96"/>
    <w:rsid w:val="0053368B"/>
    <w:rsid w:val="00533F88"/>
    <w:rsid w:val="0053420E"/>
    <w:rsid w:val="00534C82"/>
    <w:rsid w:val="00535281"/>
    <w:rsid w:val="005353DF"/>
    <w:rsid w:val="00536553"/>
    <w:rsid w:val="00536744"/>
    <w:rsid w:val="00537319"/>
    <w:rsid w:val="005374F6"/>
    <w:rsid w:val="00537612"/>
    <w:rsid w:val="00537BEE"/>
    <w:rsid w:val="00541F9F"/>
    <w:rsid w:val="005421D1"/>
    <w:rsid w:val="00542993"/>
    <w:rsid w:val="005440E9"/>
    <w:rsid w:val="00544708"/>
    <w:rsid w:val="00550201"/>
    <w:rsid w:val="00551535"/>
    <w:rsid w:val="00551A78"/>
    <w:rsid w:val="005531F4"/>
    <w:rsid w:val="0055320B"/>
    <w:rsid w:val="005533D2"/>
    <w:rsid w:val="00554582"/>
    <w:rsid w:val="00554631"/>
    <w:rsid w:val="00555508"/>
    <w:rsid w:val="00560715"/>
    <w:rsid w:val="00561501"/>
    <w:rsid w:val="0056246F"/>
    <w:rsid w:val="005635AE"/>
    <w:rsid w:val="0056370A"/>
    <w:rsid w:val="00564690"/>
    <w:rsid w:val="00565613"/>
    <w:rsid w:val="005657A0"/>
    <w:rsid w:val="00566B95"/>
    <w:rsid w:val="00567048"/>
    <w:rsid w:val="0057036A"/>
    <w:rsid w:val="00570497"/>
    <w:rsid w:val="005712CE"/>
    <w:rsid w:val="0057442C"/>
    <w:rsid w:val="005801E6"/>
    <w:rsid w:val="0058312C"/>
    <w:rsid w:val="00585A3D"/>
    <w:rsid w:val="00586D31"/>
    <w:rsid w:val="00587C54"/>
    <w:rsid w:val="00590047"/>
    <w:rsid w:val="00590B1C"/>
    <w:rsid w:val="005913BF"/>
    <w:rsid w:val="00591BB6"/>
    <w:rsid w:val="00591D8A"/>
    <w:rsid w:val="00594342"/>
    <w:rsid w:val="005943CC"/>
    <w:rsid w:val="00594941"/>
    <w:rsid w:val="00596A62"/>
    <w:rsid w:val="005A0021"/>
    <w:rsid w:val="005A0252"/>
    <w:rsid w:val="005A0B45"/>
    <w:rsid w:val="005A1894"/>
    <w:rsid w:val="005A1A04"/>
    <w:rsid w:val="005A1E47"/>
    <w:rsid w:val="005A2F42"/>
    <w:rsid w:val="005A3CA1"/>
    <w:rsid w:val="005A50C8"/>
    <w:rsid w:val="005B1445"/>
    <w:rsid w:val="005B19D5"/>
    <w:rsid w:val="005B1CE0"/>
    <w:rsid w:val="005B23C1"/>
    <w:rsid w:val="005B26E0"/>
    <w:rsid w:val="005B33AA"/>
    <w:rsid w:val="005B4BFF"/>
    <w:rsid w:val="005B507A"/>
    <w:rsid w:val="005B5450"/>
    <w:rsid w:val="005C03C3"/>
    <w:rsid w:val="005C2036"/>
    <w:rsid w:val="005C3748"/>
    <w:rsid w:val="005C488B"/>
    <w:rsid w:val="005C48F5"/>
    <w:rsid w:val="005C7B81"/>
    <w:rsid w:val="005D1526"/>
    <w:rsid w:val="005D156B"/>
    <w:rsid w:val="005D2BEC"/>
    <w:rsid w:val="005D2C50"/>
    <w:rsid w:val="005D308F"/>
    <w:rsid w:val="005D3935"/>
    <w:rsid w:val="005D515F"/>
    <w:rsid w:val="005D53C0"/>
    <w:rsid w:val="005D77D9"/>
    <w:rsid w:val="005E01DF"/>
    <w:rsid w:val="005E0899"/>
    <w:rsid w:val="005E0C41"/>
    <w:rsid w:val="005E1DA0"/>
    <w:rsid w:val="005E1DB1"/>
    <w:rsid w:val="005E21D8"/>
    <w:rsid w:val="005E2A14"/>
    <w:rsid w:val="005E38FC"/>
    <w:rsid w:val="005E49DA"/>
    <w:rsid w:val="005E5A06"/>
    <w:rsid w:val="005E6CC6"/>
    <w:rsid w:val="005E6D60"/>
    <w:rsid w:val="005F1E62"/>
    <w:rsid w:val="005F22CF"/>
    <w:rsid w:val="005F2473"/>
    <w:rsid w:val="005F3B5E"/>
    <w:rsid w:val="005F437B"/>
    <w:rsid w:val="005F4E76"/>
    <w:rsid w:val="005F56B4"/>
    <w:rsid w:val="005F59F3"/>
    <w:rsid w:val="005F6D00"/>
    <w:rsid w:val="00600B7C"/>
    <w:rsid w:val="00601813"/>
    <w:rsid w:val="00602EA9"/>
    <w:rsid w:val="00602FD6"/>
    <w:rsid w:val="00603B65"/>
    <w:rsid w:val="00604A3C"/>
    <w:rsid w:val="006050AF"/>
    <w:rsid w:val="00606764"/>
    <w:rsid w:val="00607BEC"/>
    <w:rsid w:val="00607DBD"/>
    <w:rsid w:val="00610CA9"/>
    <w:rsid w:val="006119AE"/>
    <w:rsid w:val="00613BB3"/>
    <w:rsid w:val="00614B72"/>
    <w:rsid w:val="00614BAD"/>
    <w:rsid w:val="006151B9"/>
    <w:rsid w:val="00616958"/>
    <w:rsid w:val="00620DBA"/>
    <w:rsid w:val="006231D3"/>
    <w:rsid w:val="00623285"/>
    <w:rsid w:val="0062374A"/>
    <w:rsid w:val="00623A9B"/>
    <w:rsid w:val="00624BFC"/>
    <w:rsid w:val="00625A3C"/>
    <w:rsid w:val="00625B5F"/>
    <w:rsid w:val="006266FC"/>
    <w:rsid w:val="00626B44"/>
    <w:rsid w:val="00627DFC"/>
    <w:rsid w:val="00633515"/>
    <w:rsid w:val="0063575F"/>
    <w:rsid w:val="00637D88"/>
    <w:rsid w:val="0064189F"/>
    <w:rsid w:val="0064242D"/>
    <w:rsid w:val="00642934"/>
    <w:rsid w:val="0064297B"/>
    <w:rsid w:val="00644B29"/>
    <w:rsid w:val="00644C5F"/>
    <w:rsid w:val="00645D51"/>
    <w:rsid w:val="00646AEB"/>
    <w:rsid w:val="00647B80"/>
    <w:rsid w:val="00647E79"/>
    <w:rsid w:val="006509D2"/>
    <w:rsid w:val="00651150"/>
    <w:rsid w:val="006524A2"/>
    <w:rsid w:val="006526CA"/>
    <w:rsid w:val="00654F03"/>
    <w:rsid w:val="0065511B"/>
    <w:rsid w:val="00655765"/>
    <w:rsid w:val="00655B36"/>
    <w:rsid w:val="00655CD5"/>
    <w:rsid w:val="00656A9E"/>
    <w:rsid w:val="00656BF2"/>
    <w:rsid w:val="00662F81"/>
    <w:rsid w:val="00665DDF"/>
    <w:rsid w:val="0066653F"/>
    <w:rsid w:val="00666C9C"/>
    <w:rsid w:val="00667ABD"/>
    <w:rsid w:val="00670099"/>
    <w:rsid w:val="0067290E"/>
    <w:rsid w:val="00673A69"/>
    <w:rsid w:val="00673ADE"/>
    <w:rsid w:val="00673F0B"/>
    <w:rsid w:val="00675CF8"/>
    <w:rsid w:val="006760B3"/>
    <w:rsid w:val="006761DC"/>
    <w:rsid w:val="006763B3"/>
    <w:rsid w:val="006763B9"/>
    <w:rsid w:val="0068082B"/>
    <w:rsid w:val="0068157B"/>
    <w:rsid w:val="006824B3"/>
    <w:rsid w:val="00682EC5"/>
    <w:rsid w:val="00683D74"/>
    <w:rsid w:val="00685767"/>
    <w:rsid w:val="00687D7C"/>
    <w:rsid w:val="006904B1"/>
    <w:rsid w:val="00690E73"/>
    <w:rsid w:val="0069101A"/>
    <w:rsid w:val="00691D85"/>
    <w:rsid w:val="00691E74"/>
    <w:rsid w:val="00692E5F"/>
    <w:rsid w:val="00693BB6"/>
    <w:rsid w:val="0069409E"/>
    <w:rsid w:val="006945A1"/>
    <w:rsid w:val="006946E4"/>
    <w:rsid w:val="006953F7"/>
    <w:rsid w:val="00695E4D"/>
    <w:rsid w:val="006963E3"/>
    <w:rsid w:val="00696439"/>
    <w:rsid w:val="006A09C1"/>
    <w:rsid w:val="006A0B03"/>
    <w:rsid w:val="006A0C31"/>
    <w:rsid w:val="006A13F4"/>
    <w:rsid w:val="006A1ED9"/>
    <w:rsid w:val="006A24BA"/>
    <w:rsid w:val="006A42C9"/>
    <w:rsid w:val="006A5198"/>
    <w:rsid w:val="006A6587"/>
    <w:rsid w:val="006A683A"/>
    <w:rsid w:val="006A6F99"/>
    <w:rsid w:val="006A7E92"/>
    <w:rsid w:val="006B06E9"/>
    <w:rsid w:val="006B1701"/>
    <w:rsid w:val="006B5426"/>
    <w:rsid w:val="006B58ED"/>
    <w:rsid w:val="006B5EBE"/>
    <w:rsid w:val="006B6092"/>
    <w:rsid w:val="006B686B"/>
    <w:rsid w:val="006B76A2"/>
    <w:rsid w:val="006B7AD1"/>
    <w:rsid w:val="006C0829"/>
    <w:rsid w:val="006C1B8F"/>
    <w:rsid w:val="006C1EFD"/>
    <w:rsid w:val="006C2F68"/>
    <w:rsid w:val="006C3AE1"/>
    <w:rsid w:val="006C4D23"/>
    <w:rsid w:val="006C6363"/>
    <w:rsid w:val="006C6851"/>
    <w:rsid w:val="006C7EF2"/>
    <w:rsid w:val="006D0D92"/>
    <w:rsid w:val="006D2B5A"/>
    <w:rsid w:val="006D2B6E"/>
    <w:rsid w:val="006D2BFD"/>
    <w:rsid w:val="006D4707"/>
    <w:rsid w:val="006D4F99"/>
    <w:rsid w:val="006D5354"/>
    <w:rsid w:val="006D5411"/>
    <w:rsid w:val="006D6431"/>
    <w:rsid w:val="006E22FA"/>
    <w:rsid w:val="006E2A85"/>
    <w:rsid w:val="006E32BC"/>
    <w:rsid w:val="006E38FE"/>
    <w:rsid w:val="006E4511"/>
    <w:rsid w:val="006E46FD"/>
    <w:rsid w:val="006E72B7"/>
    <w:rsid w:val="006F0259"/>
    <w:rsid w:val="006F1D41"/>
    <w:rsid w:val="006F1EE9"/>
    <w:rsid w:val="006F2C55"/>
    <w:rsid w:val="006F4C20"/>
    <w:rsid w:val="006F4DA1"/>
    <w:rsid w:val="006F6F3F"/>
    <w:rsid w:val="006F7D8F"/>
    <w:rsid w:val="007007AC"/>
    <w:rsid w:val="00703339"/>
    <w:rsid w:val="00703CD9"/>
    <w:rsid w:val="00705C81"/>
    <w:rsid w:val="0070783C"/>
    <w:rsid w:val="00707BED"/>
    <w:rsid w:val="00712AA9"/>
    <w:rsid w:val="00712F3F"/>
    <w:rsid w:val="00713181"/>
    <w:rsid w:val="00715BAB"/>
    <w:rsid w:val="00715D16"/>
    <w:rsid w:val="0071637F"/>
    <w:rsid w:val="00716F00"/>
    <w:rsid w:val="00720937"/>
    <w:rsid w:val="00720B72"/>
    <w:rsid w:val="0072153C"/>
    <w:rsid w:val="00721706"/>
    <w:rsid w:val="00725529"/>
    <w:rsid w:val="00725714"/>
    <w:rsid w:val="00725EDD"/>
    <w:rsid w:val="00726D50"/>
    <w:rsid w:val="00727D7A"/>
    <w:rsid w:val="0073004B"/>
    <w:rsid w:val="00732554"/>
    <w:rsid w:val="00732A9F"/>
    <w:rsid w:val="00733416"/>
    <w:rsid w:val="007337D9"/>
    <w:rsid w:val="00733F2B"/>
    <w:rsid w:val="00734056"/>
    <w:rsid w:val="007414D2"/>
    <w:rsid w:val="00741AFA"/>
    <w:rsid w:val="00741C07"/>
    <w:rsid w:val="0074438A"/>
    <w:rsid w:val="00744653"/>
    <w:rsid w:val="00744E24"/>
    <w:rsid w:val="00745EBC"/>
    <w:rsid w:val="00746279"/>
    <w:rsid w:val="00746D7F"/>
    <w:rsid w:val="00750135"/>
    <w:rsid w:val="00750405"/>
    <w:rsid w:val="0075236A"/>
    <w:rsid w:val="00752665"/>
    <w:rsid w:val="00753709"/>
    <w:rsid w:val="00753A29"/>
    <w:rsid w:val="00754172"/>
    <w:rsid w:val="00754A3C"/>
    <w:rsid w:val="00754CFB"/>
    <w:rsid w:val="00755060"/>
    <w:rsid w:val="00756104"/>
    <w:rsid w:val="0075716D"/>
    <w:rsid w:val="00757F9E"/>
    <w:rsid w:val="007613B4"/>
    <w:rsid w:val="007615BA"/>
    <w:rsid w:val="007650F3"/>
    <w:rsid w:val="00765C92"/>
    <w:rsid w:val="00765EE6"/>
    <w:rsid w:val="007714B9"/>
    <w:rsid w:val="00772F6A"/>
    <w:rsid w:val="00773615"/>
    <w:rsid w:val="00773BBA"/>
    <w:rsid w:val="0077618F"/>
    <w:rsid w:val="007771D8"/>
    <w:rsid w:val="00780623"/>
    <w:rsid w:val="00780F18"/>
    <w:rsid w:val="00780FE7"/>
    <w:rsid w:val="007824FE"/>
    <w:rsid w:val="007835C5"/>
    <w:rsid w:val="00783ED9"/>
    <w:rsid w:val="00784845"/>
    <w:rsid w:val="00785983"/>
    <w:rsid w:val="00787B50"/>
    <w:rsid w:val="00790663"/>
    <w:rsid w:val="00790A2D"/>
    <w:rsid w:val="00790DA9"/>
    <w:rsid w:val="0079202F"/>
    <w:rsid w:val="007921F2"/>
    <w:rsid w:val="00792C40"/>
    <w:rsid w:val="00793289"/>
    <w:rsid w:val="00794218"/>
    <w:rsid w:val="00794708"/>
    <w:rsid w:val="0079498B"/>
    <w:rsid w:val="00794E2E"/>
    <w:rsid w:val="00795B31"/>
    <w:rsid w:val="0079607C"/>
    <w:rsid w:val="00796381"/>
    <w:rsid w:val="00796603"/>
    <w:rsid w:val="0079690F"/>
    <w:rsid w:val="007A0379"/>
    <w:rsid w:val="007A056C"/>
    <w:rsid w:val="007A179D"/>
    <w:rsid w:val="007A1F9C"/>
    <w:rsid w:val="007A4160"/>
    <w:rsid w:val="007A5114"/>
    <w:rsid w:val="007A53D0"/>
    <w:rsid w:val="007B0454"/>
    <w:rsid w:val="007B04DA"/>
    <w:rsid w:val="007B2C9F"/>
    <w:rsid w:val="007B3E04"/>
    <w:rsid w:val="007B42AA"/>
    <w:rsid w:val="007B437E"/>
    <w:rsid w:val="007B5242"/>
    <w:rsid w:val="007B58F1"/>
    <w:rsid w:val="007B71E8"/>
    <w:rsid w:val="007B7D8C"/>
    <w:rsid w:val="007C04BD"/>
    <w:rsid w:val="007C0624"/>
    <w:rsid w:val="007C1816"/>
    <w:rsid w:val="007C3BEC"/>
    <w:rsid w:val="007C4866"/>
    <w:rsid w:val="007C6390"/>
    <w:rsid w:val="007C76BD"/>
    <w:rsid w:val="007D0BEF"/>
    <w:rsid w:val="007D1047"/>
    <w:rsid w:val="007D11B4"/>
    <w:rsid w:val="007D15EB"/>
    <w:rsid w:val="007D2EF6"/>
    <w:rsid w:val="007D496D"/>
    <w:rsid w:val="007D4AB0"/>
    <w:rsid w:val="007D5D61"/>
    <w:rsid w:val="007D5DA9"/>
    <w:rsid w:val="007D6AE5"/>
    <w:rsid w:val="007D746B"/>
    <w:rsid w:val="007D787D"/>
    <w:rsid w:val="007E034B"/>
    <w:rsid w:val="007E28D6"/>
    <w:rsid w:val="007E2A8D"/>
    <w:rsid w:val="007E431E"/>
    <w:rsid w:val="007E57CC"/>
    <w:rsid w:val="007E5DC7"/>
    <w:rsid w:val="007E7DFD"/>
    <w:rsid w:val="007F2A4C"/>
    <w:rsid w:val="007F2AAD"/>
    <w:rsid w:val="007F3540"/>
    <w:rsid w:val="007F3849"/>
    <w:rsid w:val="007F38AA"/>
    <w:rsid w:val="007F65A0"/>
    <w:rsid w:val="007F7AC2"/>
    <w:rsid w:val="007F7F32"/>
    <w:rsid w:val="00800BD5"/>
    <w:rsid w:val="00802EE0"/>
    <w:rsid w:val="008037B1"/>
    <w:rsid w:val="00804E96"/>
    <w:rsid w:val="0080531F"/>
    <w:rsid w:val="008056B3"/>
    <w:rsid w:val="00805BC1"/>
    <w:rsid w:val="00805BDE"/>
    <w:rsid w:val="00805D8B"/>
    <w:rsid w:val="008067B9"/>
    <w:rsid w:val="00806A43"/>
    <w:rsid w:val="00806B60"/>
    <w:rsid w:val="008072BC"/>
    <w:rsid w:val="00807AE1"/>
    <w:rsid w:val="0081401E"/>
    <w:rsid w:val="008143CA"/>
    <w:rsid w:val="00814EDF"/>
    <w:rsid w:val="00822097"/>
    <w:rsid w:val="0082356F"/>
    <w:rsid w:val="008250FF"/>
    <w:rsid w:val="008252BB"/>
    <w:rsid w:val="00825B66"/>
    <w:rsid w:val="0082657C"/>
    <w:rsid w:val="008265F4"/>
    <w:rsid w:val="00826AC4"/>
    <w:rsid w:val="0083165F"/>
    <w:rsid w:val="00831B11"/>
    <w:rsid w:val="008324F5"/>
    <w:rsid w:val="00832743"/>
    <w:rsid w:val="00832C27"/>
    <w:rsid w:val="00832C44"/>
    <w:rsid w:val="00832D7C"/>
    <w:rsid w:val="00833E14"/>
    <w:rsid w:val="00834ED8"/>
    <w:rsid w:val="00834F79"/>
    <w:rsid w:val="008360ED"/>
    <w:rsid w:val="008362CC"/>
    <w:rsid w:val="008362DC"/>
    <w:rsid w:val="00836EB4"/>
    <w:rsid w:val="008377E9"/>
    <w:rsid w:val="00842410"/>
    <w:rsid w:val="0084410D"/>
    <w:rsid w:val="008447A4"/>
    <w:rsid w:val="008464F4"/>
    <w:rsid w:val="008467E7"/>
    <w:rsid w:val="00847C7B"/>
    <w:rsid w:val="008509EB"/>
    <w:rsid w:val="0085213C"/>
    <w:rsid w:val="00852D44"/>
    <w:rsid w:val="008534C0"/>
    <w:rsid w:val="00853B48"/>
    <w:rsid w:val="00855B23"/>
    <w:rsid w:val="00855D5E"/>
    <w:rsid w:val="00856265"/>
    <w:rsid w:val="0085670A"/>
    <w:rsid w:val="00860177"/>
    <w:rsid w:val="0086125A"/>
    <w:rsid w:val="00865FC6"/>
    <w:rsid w:val="0086606D"/>
    <w:rsid w:val="0086791C"/>
    <w:rsid w:val="00871953"/>
    <w:rsid w:val="008719BA"/>
    <w:rsid w:val="00871F09"/>
    <w:rsid w:val="008736D9"/>
    <w:rsid w:val="00874066"/>
    <w:rsid w:val="00874204"/>
    <w:rsid w:val="008753FE"/>
    <w:rsid w:val="00875955"/>
    <w:rsid w:val="00876F4B"/>
    <w:rsid w:val="00881335"/>
    <w:rsid w:val="0088135B"/>
    <w:rsid w:val="00882065"/>
    <w:rsid w:val="00882D10"/>
    <w:rsid w:val="00883942"/>
    <w:rsid w:val="00883F38"/>
    <w:rsid w:val="00884062"/>
    <w:rsid w:val="00886CDA"/>
    <w:rsid w:val="00887976"/>
    <w:rsid w:val="00892894"/>
    <w:rsid w:val="008946F1"/>
    <w:rsid w:val="00894DA7"/>
    <w:rsid w:val="00896B3B"/>
    <w:rsid w:val="00897650"/>
    <w:rsid w:val="008A0C54"/>
    <w:rsid w:val="008A1316"/>
    <w:rsid w:val="008A1BF1"/>
    <w:rsid w:val="008A1C25"/>
    <w:rsid w:val="008A2A92"/>
    <w:rsid w:val="008A317A"/>
    <w:rsid w:val="008A37E2"/>
    <w:rsid w:val="008A3F83"/>
    <w:rsid w:val="008A4A60"/>
    <w:rsid w:val="008A53CD"/>
    <w:rsid w:val="008B053C"/>
    <w:rsid w:val="008B0939"/>
    <w:rsid w:val="008B278A"/>
    <w:rsid w:val="008B3174"/>
    <w:rsid w:val="008B4739"/>
    <w:rsid w:val="008B4879"/>
    <w:rsid w:val="008B69B9"/>
    <w:rsid w:val="008B6C22"/>
    <w:rsid w:val="008B7A58"/>
    <w:rsid w:val="008C3FC1"/>
    <w:rsid w:val="008C4B08"/>
    <w:rsid w:val="008C620C"/>
    <w:rsid w:val="008C65F1"/>
    <w:rsid w:val="008C6FE0"/>
    <w:rsid w:val="008D1194"/>
    <w:rsid w:val="008D1F1E"/>
    <w:rsid w:val="008D21DC"/>
    <w:rsid w:val="008D33DA"/>
    <w:rsid w:val="008D3775"/>
    <w:rsid w:val="008D48D6"/>
    <w:rsid w:val="008D4908"/>
    <w:rsid w:val="008D4B32"/>
    <w:rsid w:val="008E018D"/>
    <w:rsid w:val="008E2A26"/>
    <w:rsid w:val="008E3308"/>
    <w:rsid w:val="008E3E5B"/>
    <w:rsid w:val="008E5220"/>
    <w:rsid w:val="008E5A5D"/>
    <w:rsid w:val="008E728A"/>
    <w:rsid w:val="008E7807"/>
    <w:rsid w:val="008F0B4C"/>
    <w:rsid w:val="008F28A6"/>
    <w:rsid w:val="008F36C7"/>
    <w:rsid w:val="008F389D"/>
    <w:rsid w:val="008F3C81"/>
    <w:rsid w:val="008F429E"/>
    <w:rsid w:val="008F4B8E"/>
    <w:rsid w:val="008F56EB"/>
    <w:rsid w:val="008F5B10"/>
    <w:rsid w:val="008F66E1"/>
    <w:rsid w:val="008F6EAD"/>
    <w:rsid w:val="00900444"/>
    <w:rsid w:val="00900F2B"/>
    <w:rsid w:val="00901409"/>
    <w:rsid w:val="00902400"/>
    <w:rsid w:val="00903C0E"/>
    <w:rsid w:val="009067D2"/>
    <w:rsid w:val="009071A4"/>
    <w:rsid w:val="0090736C"/>
    <w:rsid w:val="00910332"/>
    <w:rsid w:val="0091065C"/>
    <w:rsid w:val="00910DAE"/>
    <w:rsid w:val="00911C2A"/>
    <w:rsid w:val="009124E0"/>
    <w:rsid w:val="00913285"/>
    <w:rsid w:val="00913F27"/>
    <w:rsid w:val="00913F78"/>
    <w:rsid w:val="0091551D"/>
    <w:rsid w:val="009161D0"/>
    <w:rsid w:val="00916686"/>
    <w:rsid w:val="00916CAC"/>
    <w:rsid w:val="00917DB5"/>
    <w:rsid w:val="00920671"/>
    <w:rsid w:val="00921398"/>
    <w:rsid w:val="0092235E"/>
    <w:rsid w:val="009225AE"/>
    <w:rsid w:val="00922F94"/>
    <w:rsid w:val="0092451B"/>
    <w:rsid w:val="009267D6"/>
    <w:rsid w:val="00926B8E"/>
    <w:rsid w:val="00927D5C"/>
    <w:rsid w:val="0093139E"/>
    <w:rsid w:val="0093158B"/>
    <w:rsid w:val="009316F8"/>
    <w:rsid w:val="00931B60"/>
    <w:rsid w:val="00932A42"/>
    <w:rsid w:val="00933322"/>
    <w:rsid w:val="009337D7"/>
    <w:rsid w:val="00934CA1"/>
    <w:rsid w:val="00934F44"/>
    <w:rsid w:val="00935617"/>
    <w:rsid w:val="0093573A"/>
    <w:rsid w:val="0093595F"/>
    <w:rsid w:val="0093682C"/>
    <w:rsid w:val="009370CC"/>
    <w:rsid w:val="00937547"/>
    <w:rsid w:val="0094061B"/>
    <w:rsid w:val="00941415"/>
    <w:rsid w:val="009421F4"/>
    <w:rsid w:val="009426BC"/>
    <w:rsid w:val="00942E85"/>
    <w:rsid w:val="0094338F"/>
    <w:rsid w:val="009510EA"/>
    <w:rsid w:val="00951FAA"/>
    <w:rsid w:val="0095282F"/>
    <w:rsid w:val="00954204"/>
    <w:rsid w:val="00954645"/>
    <w:rsid w:val="00957465"/>
    <w:rsid w:val="00957928"/>
    <w:rsid w:val="00960FCB"/>
    <w:rsid w:val="00965506"/>
    <w:rsid w:val="00965DBA"/>
    <w:rsid w:val="0096690C"/>
    <w:rsid w:val="00971C17"/>
    <w:rsid w:val="00972BC1"/>
    <w:rsid w:val="00975536"/>
    <w:rsid w:val="00980561"/>
    <w:rsid w:val="009810E3"/>
    <w:rsid w:val="00981D53"/>
    <w:rsid w:val="00981D99"/>
    <w:rsid w:val="0098212A"/>
    <w:rsid w:val="009827A8"/>
    <w:rsid w:val="00983223"/>
    <w:rsid w:val="0098346B"/>
    <w:rsid w:val="009837F3"/>
    <w:rsid w:val="00983889"/>
    <w:rsid w:val="009838C4"/>
    <w:rsid w:val="009846CC"/>
    <w:rsid w:val="00984A46"/>
    <w:rsid w:val="00984D0C"/>
    <w:rsid w:val="00985A0E"/>
    <w:rsid w:val="00990465"/>
    <w:rsid w:val="00990492"/>
    <w:rsid w:val="0099239E"/>
    <w:rsid w:val="009975B2"/>
    <w:rsid w:val="009977D2"/>
    <w:rsid w:val="00997C06"/>
    <w:rsid w:val="009A1843"/>
    <w:rsid w:val="009A20E3"/>
    <w:rsid w:val="009A279C"/>
    <w:rsid w:val="009A3AE5"/>
    <w:rsid w:val="009A539D"/>
    <w:rsid w:val="009A6240"/>
    <w:rsid w:val="009A6929"/>
    <w:rsid w:val="009B0279"/>
    <w:rsid w:val="009B2A6F"/>
    <w:rsid w:val="009B41E7"/>
    <w:rsid w:val="009B46D7"/>
    <w:rsid w:val="009B4CD4"/>
    <w:rsid w:val="009B55CA"/>
    <w:rsid w:val="009B741D"/>
    <w:rsid w:val="009C0802"/>
    <w:rsid w:val="009C16C3"/>
    <w:rsid w:val="009C1BA9"/>
    <w:rsid w:val="009C251A"/>
    <w:rsid w:val="009C2692"/>
    <w:rsid w:val="009C2734"/>
    <w:rsid w:val="009C3300"/>
    <w:rsid w:val="009C4B37"/>
    <w:rsid w:val="009C4BEB"/>
    <w:rsid w:val="009C6D0A"/>
    <w:rsid w:val="009C74A5"/>
    <w:rsid w:val="009C7516"/>
    <w:rsid w:val="009C786E"/>
    <w:rsid w:val="009D026A"/>
    <w:rsid w:val="009D0C2F"/>
    <w:rsid w:val="009D0F1A"/>
    <w:rsid w:val="009D2AD3"/>
    <w:rsid w:val="009D33A7"/>
    <w:rsid w:val="009D37ED"/>
    <w:rsid w:val="009D47B5"/>
    <w:rsid w:val="009D4C22"/>
    <w:rsid w:val="009D527D"/>
    <w:rsid w:val="009D7E71"/>
    <w:rsid w:val="009E05CA"/>
    <w:rsid w:val="009E41F9"/>
    <w:rsid w:val="009E4A4B"/>
    <w:rsid w:val="009E5D3D"/>
    <w:rsid w:val="009E65D3"/>
    <w:rsid w:val="009F1D7D"/>
    <w:rsid w:val="009F1D9C"/>
    <w:rsid w:val="009F3319"/>
    <w:rsid w:val="009F406D"/>
    <w:rsid w:val="009F42C3"/>
    <w:rsid w:val="009F64BC"/>
    <w:rsid w:val="009F6A3D"/>
    <w:rsid w:val="009F6EB2"/>
    <w:rsid w:val="00A004B7"/>
    <w:rsid w:val="00A01C11"/>
    <w:rsid w:val="00A02180"/>
    <w:rsid w:val="00A02664"/>
    <w:rsid w:val="00A0271D"/>
    <w:rsid w:val="00A02CD1"/>
    <w:rsid w:val="00A031E8"/>
    <w:rsid w:val="00A03ABD"/>
    <w:rsid w:val="00A054F0"/>
    <w:rsid w:val="00A05EC3"/>
    <w:rsid w:val="00A062E7"/>
    <w:rsid w:val="00A068CF"/>
    <w:rsid w:val="00A077A1"/>
    <w:rsid w:val="00A07820"/>
    <w:rsid w:val="00A07F93"/>
    <w:rsid w:val="00A103AB"/>
    <w:rsid w:val="00A10C28"/>
    <w:rsid w:val="00A11253"/>
    <w:rsid w:val="00A130B0"/>
    <w:rsid w:val="00A1368D"/>
    <w:rsid w:val="00A14AF1"/>
    <w:rsid w:val="00A14D94"/>
    <w:rsid w:val="00A15B7E"/>
    <w:rsid w:val="00A15C2B"/>
    <w:rsid w:val="00A17AC7"/>
    <w:rsid w:val="00A23038"/>
    <w:rsid w:val="00A2496B"/>
    <w:rsid w:val="00A25169"/>
    <w:rsid w:val="00A251FA"/>
    <w:rsid w:val="00A2536B"/>
    <w:rsid w:val="00A25377"/>
    <w:rsid w:val="00A26E85"/>
    <w:rsid w:val="00A2765E"/>
    <w:rsid w:val="00A30C26"/>
    <w:rsid w:val="00A30E94"/>
    <w:rsid w:val="00A345A3"/>
    <w:rsid w:val="00A35293"/>
    <w:rsid w:val="00A373D7"/>
    <w:rsid w:val="00A4030D"/>
    <w:rsid w:val="00A4090F"/>
    <w:rsid w:val="00A41DA4"/>
    <w:rsid w:val="00A42581"/>
    <w:rsid w:val="00A42750"/>
    <w:rsid w:val="00A44DD6"/>
    <w:rsid w:val="00A45EC0"/>
    <w:rsid w:val="00A47B1F"/>
    <w:rsid w:val="00A47F05"/>
    <w:rsid w:val="00A50B6B"/>
    <w:rsid w:val="00A51673"/>
    <w:rsid w:val="00A53665"/>
    <w:rsid w:val="00A53706"/>
    <w:rsid w:val="00A53E1B"/>
    <w:rsid w:val="00A54E65"/>
    <w:rsid w:val="00A577AC"/>
    <w:rsid w:val="00A61083"/>
    <w:rsid w:val="00A61102"/>
    <w:rsid w:val="00A616F1"/>
    <w:rsid w:val="00A62234"/>
    <w:rsid w:val="00A6276D"/>
    <w:rsid w:val="00A62C26"/>
    <w:rsid w:val="00A6582B"/>
    <w:rsid w:val="00A6646F"/>
    <w:rsid w:val="00A718FF"/>
    <w:rsid w:val="00A7362C"/>
    <w:rsid w:val="00A74135"/>
    <w:rsid w:val="00A7557C"/>
    <w:rsid w:val="00A76630"/>
    <w:rsid w:val="00A76DC3"/>
    <w:rsid w:val="00A779A9"/>
    <w:rsid w:val="00A82D42"/>
    <w:rsid w:val="00A852C9"/>
    <w:rsid w:val="00A855FD"/>
    <w:rsid w:val="00A859CA"/>
    <w:rsid w:val="00A86E34"/>
    <w:rsid w:val="00A90361"/>
    <w:rsid w:val="00A90730"/>
    <w:rsid w:val="00A90B49"/>
    <w:rsid w:val="00A90E0D"/>
    <w:rsid w:val="00A91578"/>
    <w:rsid w:val="00A91848"/>
    <w:rsid w:val="00A928A0"/>
    <w:rsid w:val="00A928F2"/>
    <w:rsid w:val="00A93A35"/>
    <w:rsid w:val="00A93FE9"/>
    <w:rsid w:val="00AA1BF8"/>
    <w:rsid w:val="00AA1D5F"/>
    <w:rsid w:val="00AA1DCA"/>
    <w:rsid w:val="00AA2557"/>
    <w:rsid w:val="00AA2EE5"/>
    <w:rsid w:val="00AA3400"/>
    <w:rsid w:val="00AA40EC"/>
    <w:rsid w:val="00AA4125"/>
    <w:rsid w:val="00AA42BC"/>
    <w:rsid w:val="00AA43EF"/>
    <w:rsid w:val="00AA4851"/>
    <w:rsid w:val="00AA4AC5"/>
    <w:rsid w:val="00AA4BB6"/>
    <w:rsid w:val="00AA6A5F"/>
    <w:rsid w:val="00AA7B99"/>
    <w:rsid w:val="00AB0983"/>
    <w:rsid w:val="00AB1B1E"/>
    <w:rsid w:val="00AB2290"/>
    <w:rsid w:val="00AB3E7F"/>
    <w:rsid w:val="00AB5969"/>
    <w:rsid w:val="00AB59D0"/>
    <w:rsid w:val="00AC01C0"/>
    <w:rsid w:val="00AC0DBF"/>
    <w:rsid w:val="00AC2556"/>
    <w:rsid w:val="00AC5059"/>
    <w:rsid w:val="00AC673A"/>
    <w:rsid w:val="00AC72A2"/>
    <w:rsid w:val="00AC75C0"/>
    <w:rsid w:val="00AD0923"/>
    <w:rsid w:val="00AD093C"/>
    <w:rsid w:val="00AD23CF"/>
    <w:rsid w:val="00AD4768"/>
    <w:rsid w:val="00AD4BD0"/>
    <w:rsid w:val="00AD4E0F"/>
    <w:rsid w:val="00AD50C0"/>
    <w:rsid w:val="00AD53E2"/>
    <w:rsid w:val="00AD6BBB"/>
    <w:rsid w:val="00AD6D8F"/>
    <w:rsid w:val="00AD757D"/>
    <w:rsid w:val="00AD7EA8"/>
    <w:rsid w:val="00AD7F0F"/>
    <w:rsid w:val="00AE23E0"/>
    <w:rsid w:val="00AE26FF"/>
    <w:rsid w:val="00AE4801"/>
    <w:rsid w:val="00AE5732"/>
    <w:rsid w:val="00AE664E"/>
    <w:rsid w:val="00AE6BC9"/>
    <w:rsid w:val="00AE7544"/>
    <w:rsid w:val="00AF1E92"/>
    <w:rsid w:val="00AF2264"/>
    <w:rsid w:val="00AF3347"/>
    <w:rsid w:val="00AF3489"/>
    <w:rsid w:val="00AF3A0B"/>
    <w:rsid w:val="00AF3AE9"/>
    <w:rsid w:val="00AF4A4A"/>
    <w:rsid w:val="00AF5607"/>
    <w:rsid w:val="00AF6828"/>
    <w:rsid w:val="00AF6F8B"/>
    <w:rsid w:val="00AF7433"/>
    <w:rsid w:val="00AF76B9"/>
    <w:rsid w:val="00AF78D8"/>
    <w:rsid w:val="00AF7A53"/>
    <w:rsid w:val="00AF7C2E"/>
    <w:rsid w:val="00B00BE0"/>
    <w:rsid w:val="00B05616"/>
    <w:rsid w:val="00B07D4E"/>
    <w:rsid w:val="00B121C5"/>
    <w:rsid w:val="00B12AC6"/>
    <w:rsid w:val="00B13B98"/>
    <w:rsid w:val="00B14288"/>
    <w:rsid w:val="00B147B7"/>
    <w:rsid w:val="00B15F37"/>
    <w:rsid w:val="00B16148"/>
    <w:rsid w:val="00B17CA6"/>
    <w:rsid w:val="00B209FB"/>
    <w:rsid w:val="00B21179"/>
    <w:rsid w:val="00B22252"/>
    <w:rsid w:val="00B2333D"/>
    <w:rsid w:val="00B23C01"/>
    <w:rsid w:val="00B23E12"/>
    <w:rsid w:val="00B26B9C"/>
    <w:rsid w:val="00B26C55"/>
    <w:rsid w:val="00B2711A"/>
    <w:rsid w:val="00B271D4"/>
    <w:rsid w:val="00B273B0"/>
    <w:rsid w:val="00B30AA2"/>
    <w:rsid w:val="00B31201"/>
    <w:rsid w:val="00B32332"/>
    <w:rsid w:val="00B32648"/>
    <w:rsid w:val="00B327AF"/>
    <w:rsid w:val="00B328E6"/>
    <w:rsid w:val="00B32D24"/>
    <w:rsid w:val="00B331DD"/>
    <w:rsid w:val="00B33B28"/>
    <w:rsid w:val="00B34503"/>
    <w:rsid w:val="00B34C93"/>
    <w:rsid w:val="00B363EF"/>
    <w:rsid w:val="00B3685A"/>
    <w:rsid w:val="00B371E4"/>
    <w:rsid w:val="00B3744F"/>
    <w:rsid w:val="00B37B9D"/>
    <w:rsid w:val="00B37F5B"/>
    <w:rsid w:val="00B40CFB"/>
    <w:rsid w:val="00B41511"/>
    <w:rsid w:val="00B41E67"/>
    <w:rsid w:val="00B41F7F"/>
    <w:rsid w:val="00B42212"/>
    <w:rsid w:val="00B43DEB"/>
    <w:rsid w:val="00B462A2"/>
    <w:rsid w:val="00B46C39"/>
    <w:rsid w:val="00B472BD"/>
    <w:rsid w:val="00B503CC"/>
    <w:rsid w:val="00B50B9F"/>
    <w:rsid w:val="00B519C7"/>
    <w:rsid w:val="00B56843"/>
    <w:rsid w:val="00B578FD"/>
    <w:rsid w:val="00B606AF"/>
    <w:rsid w:val="00B61D8C"/>
    <w:rsid w:val="00B621A2"/>
    <w:rsid w:val="00B6241E"/>
    <w:rsid w:val="00B62F6C"/>
    <w:rsid w:val="00B64528"/>
    <w:rsid w:val="00B647F5"/>
    <w:rsid w:val="00B7196E"/>
    <w:rsid w:val="00B7207A"/>
    <w:rsid w:val="00B72539"/>
    <w:rsid w:val="00B73859"/>
    <w:rsid w:val="00B73B27"/>
    <w:rsid w:val="00B73D0D"/>
    <w:rsid w:val="00B7438A"/>
    <w:rsid w:val="00B746DD"/>
    <w:rsid w:val="00B74AC1"/>
    <w:rsid w:val="00B76B19"/>
    <w:rsid w:val="00B76F5A"/>
    <w:rsid w:val="00B809DB"/>
    <w:rsid w:val="00B80FB6"/>
    <w:rsid w:val="00B81427"/>
    <w:rsid w:val="00B81D41"/>
    <w:rsid w:val="00B82A9E"/>
    <w:rsid w:val="00B84237"/>
    <w:rsid w:val="00B84672"/>
    <w:rsid w:val="00B84DB2"/>
    <w:rsid w:val="00B85110"/>
    <w:rsid w:val="00B86127"/>
    <w:rsid w:val="00B86DDC"/>
    <w:rsid w:val="00B86F51"/>
    <w:rsid w:val="00B8754D"/>
    <w:rsid w:val="00B876A0"/>
    <w:rsid w:val="00B91A24"/>
    <w:rsid w:val="00B91E4B"/>
    <w:rsid w:val="00B91FA0"/>
    <w:rsid w:val="00B922B0"/>
    <w:rsid w:val="00B949EC"/>
    <w:rsid w:val="00B956CB"/>
    <w:rsid w:val="00B96A3F"/>
    <w:rsid w:val="00B96C4E"/>
    <w:rsid w:val="00B97D4C"/>
    <w:rsid w:val="00BA01D2"/>
    <w:rsid w:val="00BA0C0C"/>
    <w:rsid w:val="00BA121D"/>
    <w:rsid w:val="00BA1DF2"/>
    <w:rsid w:val="00BA2712"/>
    <w:rsid w:val="00BA2A38"/>
    <w:rsid w:val="00BA2EDF"/>
    <w:rsid w:val="00BA4188"/>
    <w:rsid w:val="00BA4A97"/>
    <w:rsid w:val="00BA57A4"/>
    <w:rsid w:val="00BA5DCE"/>
    <w:rsid w:val="00BA740E"/>
    <w:rsid w:val="00BA7857"/>
    <w:rsid w:val="00BA7F09"/>
    <w:rsid w:val="00BB0E26"/>
    <w:rsid w:val="00BB197B"/>
    <w:rsid w:val="00BB4203"/>
    <w:rsid w:val="00BB5064"/>
    <w:rsid w:val="00BB56F4"/>
    <w:rsid w:val="00BB7171"/>
    <w:rsid w:val="00BB77A2"/>
    <w:rsid w:val="00BB7DBB"/>
    <w:rsid w:val="00BB7F3B"/>
    <w:rsid w:val="00BC0443"/>
    <w:rsid w:val="00BC1B5E"/>
    <w:rsid w:val="00BC2989"/>
    <w:rsid w:val="00BC375A"/>
    <w:rsid w:val="00BC5094"/>
    <w:rsid w:val="00BC5BE9"/>
    <w:rsid w:val="00BC5C8B"/>
    <w:rsid w:val="00BC649C"/>
    <w:rsid w:val="00BC64E3"/>
    <w:rsid w:val="00BC7191"/>
    <w:rsid w:val="00BC7D64"/>
    <w:rsid w:val="00BD5B50"/>
    <w:rsid w:val="00BD609A"/>
    <w:rsid w:val="00BD71FB"/>
    <w:rsid w:val="00BD746A"/>
    <w:rsid w:val="00BE0AA1"/>
    <w:rsid w:val="00BE26E5"/>
    <w:rsid w:val="00BE30EA"/>
    <w:rsid w:val="00BE35B4"/>
    <w:rsid w:val="00BE3D83"/>
    <w:rsid w:val="00BE40C9"/>
    <w:rsid w:val="00BE6321"/>
    <w:rsid w:val="00BE6D30"/>
    <w:rsid w:val="00BE7778"/>
    <w:rsid w:val="00BF149E"/>
    <w:rsid w:val="00BF1B80"/>
    <w:rsid w:val="00BF1BA6"/>
    <w:rsid w:val="00BF1BDF"/>
    <w:rsid w:val="00BF3BF9"/>
    <w:rsid w:val="00BF5852"/>
    <w:rsid w:val="00BF5A93"/>
    <w:rsid w:val="00BF634C"/>
    <w:rsid w:val="00BF6C82"/>
    <w:rsid w:val="00BF7795"/>
    <w:rsid w:val="00C01DD2"/>
    <w:rsid w:val="00C01EBE"/>
    <w:rsid w:val="00C038F9"/>
    <w:rsid w:val="00C03DA0"/>
    <w:rsid w:val="00C0664F"/>
    <w:rsid w:val="00C06B73"/>
    <w:rsid w:val="00C11C9F"/>
    <w:rsid w:val="00C11E15"/>
    <w:rsid w:val="00C12A27"/>
    <w:rsid w:val="00C143EC"/>
    <w:rsid w:val="00C14D17"/>
    <w:rsid w:val="00C15456"/>
    <w:rsid w:val="00C17413"/>
    <w:rsid w:val="00C1776A"/>
    <w:rsid w:val="00C17AE6"/>
    <w:rsid w:val="00C17FAA"/>
    <w:rsid w:val="00C20315"/>
    <w:rsid w:val="00C24388"/>
    <w:rsid w:val="00C2514A"/>
    <w:rsid w:val="00C25BB8"/>
    <w:rsid w:val="00C314D4"/>
    <w:rsid w:val="00C31516"/>
    <w:rsid w:val="00C33440"/>
    <w:rsid w:val="00C33B31"/>
    <w:rsid w:val="00C344D5"/>
    <w:rsid w:val="00C34FE2"/>
    <w:rsid w:val="00C35999"/>
    <w:rsid w:val="00C36D62"/>
    <w:rsid w:val="00C36F8A"/>
    <w:rsid w:val="00C374A5"/>
    <w:rsid w:val="00C3797B"/>
    <w:rsid w:val="00C37E47"/>
    <w:rsid w:val="00C401DA"/>
    <w:rsid w:val="00C40A69"/>
    <w:rsid w:val="00C40A82"/>
    <w:rsid w:val="00C424CA"/>
    <w:rsid w:val="00C42A3B"/>
    <w:rsid w:val="00C4379B"/>
    <w:rsid w:val="00C43B81"/>
    <w:rsid w:val="00C43E45"/>
    <w:rsid w:val="00C4730B"/>
    <w:rsid w:val="00C51F74"/>
    <w:rsid w:val="00C5331A"/>
    <w:rsid w:val="00C5357D"/>
    <w:rsid w:val="00C54745"/>
    <w:rsid w:val="00C55511"/>
    <w:rsid w:val="00C56D33"/>
    <w:rsid w:val="00C60B4B"/>
    <w:rsid w:val="00C61479"/>
    <w:rsid w:val="00C62358"/>
    <w:rsid w:val="00C62831"/>
    <w:rsid w:val="00C62E69"/>
    <w:rsid w:val="00C630AB"/>
    <w:rsid w:val="00C63433"/>
    <w:rsid w:val="00C63FB6"/>
    <w:rsid w:val="00C64618"/>
    <w:rsid w:val="00C657F6"/>
    <w:rsid w:val="00C65FC5"/>
    <w:rsid w:val="00C6680A"/>
    <w:rsid w:val="00C71067"/>
    <w:rsid w:val="00C723F0"/>
    <w:rsid w:val="00C72639"/>
    <w:rsid w:val="00C73502"/>
    <w:rsid w:val="00C73847"/>
    <w:rsid w:val="00C73BD7"/>
    <w:rsid w:val="00C74296"/>
    <w:rsid w:val="00C75D30"/>
    <w:rsid w:val="00C80AAB"/>
    <w:rsid w:val="00C848EB"/>
    <w:rsid w:val="00C85479"/>
    <w:rsid w:val="00C85FF1"/>
    <w:rsid w:val="00C868DD"/>
    <w:rsid w:val="00C86F5F"/>
    <w:rsid w:val="00C9155B"/>
    <w:rsid w:val="00C91F73"/>
    <w:rsid w:val="00C92C7D"/>
    <w:rsid w:val="00C93CAB"/>
    <w:rsid w:val="00C94576"/>
    <w:rsid w:val="00C95B2C"/>
    <w:rsid w:val="00C96260"/>
    <w:rsid w:val="00C96417"/>
    <w:rsid w:val="00C96FFF"/>
    <w:rsid w:val="00C970AC"/>
    <w:rsid w:val="00C97B93"/>
    <w:rsid w:val="00C97E0A"/>
    <w:rsid w:val="00CA12E9"/>
    <w:rsid w:val="00CA247E"/>
    <w:rsid w:val="00CA34D6"/>
    <w:rsid w:val="00CA4916"/>
    <w:rsid w:val="00CA4951"/>
    <w:rsid w:val="00CA49B1"/>
    <w:rsid w:val="00CA4F29"/>
    <w:rsid w:val="00CA56E6"/>
    <w:rsid w:val="00CA5836"/>
    <w:rsid w:val="00CA6268"/>
    <w:rsid w:val="00CA6811"/>
    <w:rsid w:val="00CA71C0"/>
    <w:rsid w:val="00CA723E"/>
    <w:rsid w:val="00CB18A7"/>
    <w:rsid w:val="00CB2777"/>
    <w:rsid w:val="00CB2847"/>
    <w:rsid w:val="00CB3161"/>
    <w:rsid w:val="00CB3AB4"/>
    <w:rsid w:val="00CB425E"/>
    <w:rsid w:val="00CB633B"/>
    <w:rsid w:val="00CC07EA"/>
    <w:rsid w:val="00CC19A2"/>
    <w:rsid w:val="00CC1FFB"/>
    <w:rsid w:val="00CC21EE"/>
    <w:rsid w:val="00CC25A6"/>
    <w:rsid w:val="00CC2E8C"/>
    <w:rsid w:val="00CC2F02"/>
    <w:rsid w:val="00CC3302"/>
    <w:rsid w:val="00CC4394"/>
    <w:rsid w:val="00CC4665"/>
    <w:rsid w:val="00CC5757"/>
    <w:rsid w:val="00CC6AE8"/>
    <w:rsid w:val="00CC7931"/>
    <w:rsid w:val="00CD0FCC"/>
    <w:rsid w:val="00CD2E7F"/>
    <w:rsid w:val="00CD3194"/>
    <w:rsid w:val="00CD3E30"/>
    <w:rsid w:val="00CD45BB"/>
    <w:rsid w:val="00CD4C72"/>
    <w:rsid w:val="00CD4FCD"/>
    <w:rsid w:val="00CD71FC"/>
    <w:rsid w:val="00CD7721"/>
    <w:rsid w:val="00CE0131"/>
    <w:rsid w:val="00CE0AB9"/>
    <w:rsid w:val="00CE21F1"/>
    <w:rsid w:val="00CE2551"/>
    <w:rsid w:val="00CE284A"/>
    <w:rsid w:val="00CE2E47"/>
    <w:rsid w:val="00CE3C54"/>
    <w:rsid w:val="00CE4DB1"/>
    <w:rsid w:val="00CE5D95"/>
    <w:rsid w:val="00CE649B"/>
    <w:rsid w:val="00CE6DD4"/>
    <w:rsid w:val="00CE7D11"/>
    <w:rsid w:val="00CF006A"/>
    <w:rsid w:val="00CF021A"/>
    <w:rsid w:val="00CF241C"/>
    <w:rsid w:val="00CF2DF0"/>
    <w:rsid w:val="00CF3260"/>
    <w:rsid w:val="00CF4353"/>
    <w:rsid w:val="00CF4FC6"/>
    <w:rsid w:val="00CF5556"/>
    <w:rsid w:val="00CF579F"/>
    <w:rsid w:val="00CF72C3"/>
    <w:rsid w:val="00CF756E"/>
    <w:rsid w:val="00CF7804"/>
    <w:rsid w:val="00D01A7D"/>
    <w:rsid w:val="00D032C0"/>
    <w:rsid w:val="00D036DD"/>
    <w:rsid w:val="00D03944"/>
    <w:rsid w:val="00D04530"/>
    <w:rsid w:val="00D06349"/>
    <w:rsid w:val="00D06EE1"/>
    <w:rsid w:val="00D0772F"/>
    <w:rsid w:val="00D10048"/>
    <w:rsid w:val="00D10529"/>
    <w:rsid w:val="00D1056F"/>
    <w:rsid w:val="00D107C2"/>
    <w:rsid w:val="00D10D43"/>
    <w:rsid w:val="00D1236C"/>
    <w:rsid w:val="00D127BF"/>
    <w:rsid w:val="00D1318D"/>
    <w:rsid w:val="00D14129"/>
    <w:rsid w:val="00D1455A"/>
    <w:rsid w:val="00D14582"/>
    <w:rsid w:val="00D156BA"/>
    <w:rsid w:val="00D17463"/>
    <w:rsid w:val="00D1799F"/>
    <w:rsid w:val="00D20399"/>
    <w:rsid w:val="00D216C3"/>
    <w:rsid w:val="00D21AB8"/>
    <w:rsid w:val="00D2247D"/>
    <w:rsid w:val="00D236F1"/>
    <w:rsid w:val="00D23C57"/>
    <w:rsid w:val="00D24968"/>
    <w:rsid w:val="00D25A34"/>
    <w:rsid w:val="00D25D0F"/>
    <w:rsid w:val="00D26214"/>
    <w:rsid w:val="00D26674"/>
    <w:rsid w:val="00D278AE"/>
    <w:rsid w:val="00D31F52"/>
    <w:rsid w:val="00D322CA"/>
    <w:rsid w:val="00D32E76"/>
    <w:rsid w:val="00D33D53"/>
    <w:rsid w:val="00D34F92"/>
    <w:rsid w:val="00D3636B"/>
    <w:rsid w:val="00D369F5"/>
    <w:rsid w:val="00D43472"/>
    <w:rsid w:val="00D4395F"/>
    <w:rsid w:val="00D43FA9"/>
    <w:rsid w:val="00D44B55"/>
    <w:rsid w:val="00D450BB"/>
    <w:rsid w:val="00D46A79"/>
    <w:rsid w:val="00D54E0B"/>
    <w:rsid w:val="00D55102"/>
    <w:rsid w:val="00D5666F"/>
    <w:rsid w:val="00D57043"/>
    <w:rsid w:val="00D5740C"/>
    <w:rsid w:val="00D57902"/>
    <w:rsid w:val="00D57D35"/>
    <w:rsid w:val="00D6077B"/>
    <w:rsid w:val="00D61B28"/>
    <w:rsid w:val="00D64386"/>
    <w:rsid w:val="00D705C3"/>
    <w:rsid w:val="00D7060B"/>
    <w:rsid w:val="00D724EC"/>
    <w:rsid w:val="00D72A86"/>
    <w:rsid w:val="00D80937"/>
    <w:rsid w:val="00D82D2B"/>
    <w:rsid w:val="00D83D6B"/>
    <w:rsid w:val="00D84089"/>
    <w:rsid w:val="00D848DA"/>
    <w:rsid w:val="00D851E3"/>
    <w:rsid w:val="00D8652D"/>
    <w:rsid w:val="00D873C3"/>
    <w:rsid w:val="00D87ACB"/>
    <w:rsid w:val="00D90A67"/>
    <w:rsid w:val="00D92254"/>
    <w:rsid w:val="00D92B5E"/>
    <w:rsid w:val="00D93310"/>
    <w:rsid w:val="00D93DA5"/>
    <w:rsid w:val="00D94996"/>
    <w:rsid w:val="00D94E82"/>
    <w:rsid w:val="00D94E9D"/>
    <w:rsid w:val="00D96354"/>
    <w:rsid w:val="00D968AA"/>
    <w:rsid w:val="00D97407"/>
    <w:rsid w:val="00DA195B"/>
    <w:rsid w:val="00DA29BB"/>
    <w:rsid w:val="00DA34DE"/>
    <w:rsid w:val="00DA3A8C"/>
    <w:rsid w:val="00DA3AD0"/>
    <w:rsid w:val="00DA5CE0"/>
    <w:rsid w:val="00DA70C0"/>
    <w:rsid w:val="00DA7CFA"/>
    <w:rsid w:val="00DB07B6"/>
    <w:rsid w:val="00DB0939"/>
    <w:rsid w:val="00DB1C5F"/>
    <w:rsid w:val="00DB20DB"/>
    <w:rsid w:val="00DB2C8F"/>
    <w:rsid w:val="00DB3AAA"/>
    <w:rsid w:val="00DB762E"/>
    <w:rsid w:val="00DB7C3C"/>
    <w:rsid w:val="00DC0568"/>
    <w:rsid w:val="00DC05E5"/>
    <w:rsid w:val="00DC0E61"/>
    <w:rsid w:val="00DC1698"/>
    <w:rsid w:val="00DC1D78"/>
    <w:rsid w:val="00DC1FD3"/>
    <w:rsid w:val="00DC3031"/>
    <w:rsid w:val="00DC3C76"/>
    <w:rsid w:val="00DC4AE5"/>
    <w:rsid w:val="00DD0E92"/>
    <w:rsid w:val="00DD0FAA"/>
    <w:rsid w:val="00DD1E01"/>
    <w:rsid w:val="00DD2D55"/>
    <w:rsid w:val="00DD2D84"/>
    <w:rsid w:val="00DD3DE5"/>
    <w:rsid w:val="00DD4282"/>
    <w:rsid w:val="00DD47D5"/>
    <w:rsid w:val="00DD58B7"/>
    <w:rsid w:val="00DD58E5"/>
    <w:rsid w:val="00DD5D89"/>
    <w:rsid w:val="00DE0BBF"/>
    <w:rsid w:val="00DE0DD5"/>
    <w:rsid w:val="00DE2739"/>
    <w:rsid w:val="00DE343D"/>
    <w:rsid w:val="00DE3462"/>
    <w:rsid w:val="00DE3A6A"/>
    <w:rsid w:val="00DE3DB2"/>
    <w:rsid w:val="00DE5723"/>
    <w:rsid w:val="00DE6BE1"/>
    <w:rsid w:val="00DF0AA5"/>
    <w:rsid w:val="00DF51D2"/>
    <w:rsid w:val="00E00E6F"/>
    <w:rsid w:val="00E01D6B"/>
    <w:rsid w:val="00E02907"/>
    <w:rsid w:val="00E029D6"/>
    <w:rsid w:val="00E03429"/>
    <w:rsid w:val="00E03B96"/>
    <w:rsid w:val="00E04A27"/>
    <w:rsid w:val="00E05A07"/>
    <w:rsid w:val="00E069DF"/>
    <w:rsid w:val="00E0785B"/>
    <w:rsid w:val="00E07CB1"/>
    <w:rsid w:val="00E07D5B"/>
    <w:rsid w:val="00E10FF2"/>
    <w:rsid w:val="00E1160B"/>
    <w:rsid w:val="00E11B05"/>
    <w:rsid w:val="00E121F9"/>
    <w:rsid w:val="00E12590"/>
    <w:rsid w:val="00E12E9B"/>
    <w:rsid w:val="00E162B7"/>
    <w:rsid w:val="00E1790A"/>
    <w:rsid w:val="00E202CB"/>
    <w:rsid w:val="00E20549"/>
    <w:rsid w:val="00E20DFF"/>
    <w:rsid w:val="00E21B04"/>
    <w:rsid w:val="00E22A8E"/>
    <w:rsid w:val="00E23454"/>
    <w:rsid w:val="00E23FBF"/>
    <w:rsid w:val="00E23FDE"/>
    <w:rsid w:val="00E2433C"/>
    <w:rsid w:val="00E244F9"/>
    <w:rsid w:val="00E24FA2"/>
    <w:rsid w:val="00E251EA"/>
    <w:rsid w:val="00E27667"/>
    <w:rsid w:val="00E30915"/>
    <w:rsid w:val="00E33184"/>
    <w:rsid w:val="00E35DEE"/>
    <w:rsid w:val="00E36314"/>
    <w:rsid w:val="00E368AB"/>
    <w:rsid w:val="00E409E2"/>
    <w:rsid w:val="00E40AC4"/>
    <w:rsid w:val="00E41C9C"/>
    <w:rsid w:val="00E45AC4"/>
    <w:rsid w:val="00E4660F"/>
    <w:rsid w:val="00E46791"/>
    <w:rsid w:val="00E4716F"/>
    <w:rsid w:val="00E50C23"/>
    <w:rsid w:val="00E51071"/>
    <w:rsid w:val="00E5133C"/>
    <w:rsid w:val="00E51FF8"/>
    <w:rsid w:val="00E5271E"/>
    <w:rsid w:val="00E528D1"/>
    <w:rsid w:val="00E53177"/>
    <w:rsid w:val="00E546C4"/>
    <w:rsid w:val="00E57918"/>
    <w:rsid w:val="00E6034B"/>
    <w:rsid w:val="00E61473"/>
    <w:rsid w:val="00E620D6"/>
    <w:rsid w:val="00E635F2"/>
    <w:rsid w:val="00E63F69"/>
    <w:rsid w:val="00E67021"/>
    <w:rsid w:val="00E703CF"/>
    <w:rsid w:val="00E71452"/>
    <w:rsid w:val="00E73021"/>
    <w:rsid w:val="00E73854"/>
    <w:rsid w:val="00E739A0"/>
    <w:rsid w:val="00E739EE"/>
    <w:rsid w:val="00E74766"/>
    <w:rsid w:val="00E74DF2"/>
    <w:rsid w:val="00E763BF"/>
    <w:rsid w:val="00E766B4"/>
    <w:rsid w:val="00E76DE0"/>
    <w:rsid w:val="00E80880"/>
    <w:rsid w:val="00E82293"/>
    <w:rsid w:val="00E82A62"/>
    <w:rsid w:val="00E85EC7"/>
    <w:rsid w:val="00E86C27"/>
    <w:rsid w:val="00E900C1"/>
    <w:rsid w:val="00E906AD"/>
    <w:rsid w:val="00E90C6C"/>
    <w:rsid w:val="00E91167"/>
    <w:rsid w:val="00E911B5"/>
    <w:rsid w:val="00E916F8"/>
    <w:rsid w:val="00E91B3E"/>
    <w:rsid w:val="00E94316"/>
    <w:rsid w:val="00E951E5"/>
    <w:rsid w:val="00E96B6C"/>
    <w:rsid w:val="00E96C60"/>
    <w:rsid w:val="00E97FA1"/>
    <w:rsid w:val="00EA1FCA"/>
    <w:rsid w:val="00EA226C"/>
    <w:rsid w:val="00EA5452"/>
    <w:rsid w:val="00EA56CB"/>
    <w:rsid w:val="00EA58DB"/>
    <w:rsid w:val="00EA5AA6"/>
    <w:rsid w:val="00EA5ECA"/>
    <w:rsid w:val="00EB20FA"/>
    <w:rsid w:val="00EB5C4D"/>
    <w:rsid w:val="00EB74D7"/>
    <w:rsid w:val="00EC1B52"/>
    <w:rsid w:val="00EC32D2"/>
    <w:rsid w:val="00EC3C3C"/>
    <w:rsid w:val="00EC4B47"/>
    <w:rsid w:val="00EC5737"/>
    <w:rsid w:val="00EC58A0"/>
    <w:rsid w:val="00EC6F32"/>
    <w:rsid w:val="00ED090A"/>
    <w:rsid w:val="00ED0CBF"/>
    <w:rsid w:val="00ED0E27"/>
    <w:rsid w:val="00ED1BD2"/>
    <w:rsid w:val="00ED3401"/>
    <w:rsid w:val="00EE12ED"/>
    <w:rsid w:val="00EE1B26"/>
    <w:rsid w:val="00EE1FE6"/>
    <w:rsid w:val="00EE22B2"/>
    <w:rsid w:val="00EE2D21"/>
    <w:rsid w:val="00EE465D"/>
    <w:rsid w:val="00EE5425"/>
    <w:rsid w:val="00EE5EF4"/>
    <w:rsid w:val="00EE61AC"/>
    <w:rsid w:val="00EF05D5"/>
    <w:rsid w:val="00EF1B7B"/>
    <w:rsid w:val="00EF1DCF"/>
    <w:rsid w:val="00EF1F46"/>
    <w:rsid w:val="00EF2D70"/>
    <w:rsid w:val="00EF41B5"/>
    <w:rsid w:val="00EF4426"/>
    <w:rsid w:val="00EF49C0"/>
    <w:rsid w:val="00EF4D64"/>
    <w:rsid w:val="00EF5DA0"/>
    <w:rsid w:val="00EF6074"/>
    <w:rsid w:val="00F00B19"/>
    <w:rsid w:val="00F016EF"/>
    <w:rsid w:val="00F032EF"/>
    <w:rsid w:val="00F0525E"/>
    <w:rsid w:val="00F065DF"/>
    <w:rsid w:val="00F11D31"/>
    <w:rsid w:val="00F13300"/>
    <w:rsid w:val="00F1348C"/>
    <w:rsid w:val="00F152CA"/>
    <w:rsid w:val="00F16054"/>
    <w:rsid w:val="00F174FD"/>
    <w:rsid w:val="00F179B7"/>
    <w:rsid w:val="00F20E82"/>
    <w:rsid w:val="00F2128A"/>
    <w:rsid w:val="00F21795"/>
    <w:rsid w:val="00F21843"/>
    <w:rsid w:val="00F22205"/>
    <w:rsid w:val="00F22323"/>
    <w:rsid w:val="00F22AB9"/>
    <w:rsid w:val="00F25423"/>
    <w:rsid w:val="00F2635C"/>
    <w:rsid w:val="00F27CD2"/>
    <w:rsid w:val="00F30ACF"/>
    <w:rsid w:val="00F30F13"/>
    <w:rsid w:val="00F3116A"/>
    <w:rsid w:val="00F311EB"/>
    <w:rsid w:val="00F3230E"/>
    <w:rsid w:val="00F325EC"/>
    <w:rsid w:val="00F32740"/>
    <w:rsid w:val="00F32865"/>
    <w:rsid w:val="00F328A8"/>
    <w:rsid w:val="00F33717"/>
    <w:rsid w:val="00F34936"/>
    <w:rsid w:val="00F34FFD"/>
    <w:rsid w:val="00F356FC"/>
    <w:rsid w:val="00F35892"/>
    <w:rsid w:val="00F37B87"/>
    <w:rsid w:val="00F37F6F"/>
    <w:rsid w:val="00F40E45"/>
    <w:rsid w:val="00F4150E"/>
    <w:rsid w:val="00F41E7C"/>
    <w:rsid w:val="00F42107"/>
    <w:rsid w:val="00F44226"/>
    <w:rsid w:val="00F442DF"/>
    <w:rsid w:val="00F4459B"/>
    <w:rsid w:val="00F45A56"/>
    <w:rsid w:val="00F45C8C"/>
    <w:rsid w:val="00F46A66"/>
    <w:rsid w:val="00F5045C"/>
    <w:rsid w:val="00F52000"/>
    <w:rsid w:val="00F55EDD"/>
    <w:rsid w:val="00F60DC7"/>
    <w:rsid w:val="00F61E98"/>
    <w:rsid w:val="00F65774"/>
    <w:rsid w:val="00F65D2F"/>
    <w:rsid w:val="00F667F2"/>
    <w:rsid w:val="00F70552"/>
    <w:rsid w:val="00F7239B"/>
    <w:rsid w:val="00F7356F"/>
    <w:rsid w:val="00F75E3D"/>
    <w:rsid w:val="00F76099"/>
    <w:rsid w:val="00F76E8D"/>
    <w:rsid w:val="00F77AA7"/>
    <w:rsid w:val="00F8187E"/>
    <w:rsid w:val="00F819D3"/>
    <w:rsid w:val="00F81E72"/>
    <w:rsid w:val="00F84122"/>
    <w:rsid w:val="00F85C6D"/>
    <w:rsid w:val="00F90613"/>
    <w:rsid w:val="00F90B83"/>
    <w:rsid w:val="00F90C07"/>
    <w:rsid w:val="00F93A10"/>
    <w:rsid w:val="00F940BA"/>
    <w:rsid w:val="00F948DF"/>
    <w:rsid w:val="00F94BA8"/>
    <w:rsid w:val="00F95007"/>
    <w:rsid w:val="00F95B1C"/>
    <w:rsid w:val="00F97CF0"/>
    <w:rsid w:val="00F97EB6"/>
    <w:rsid w:val="00F97F5F"/>
    <w:rsid w:val="00F97FE1"/>
    <w:rsid w:val="00FA0216"/>
    <w:rsid w:val="00FA0770"/>
    <w:rsid w:val="00FA0B82"/>
    <w:rsid w:val="00FA181E"/>
    <w:rsid w:val="00FA18B1"/>
    <w:rsid w:val="00FA3304"/>
    <w:rsid w:val="00FA3C35"/>
    <w:rsid w:val="00FA3F01"/>
    <w:rsid w:val="00FA540B"/>
    <w:rsid w:val="00FA63FF"/>
    <w:rsid w:val="00FB11EF"/>
    <w:rsid w:val="00FB21CF"/>
    <w:rsid w:val="00FB2923"/>
    <w:rsid w:val="00FB2B12"/>
    <w:rsid w:val="00FB369D"/>
    <w:rsid w:val="00FB3CD0"/>
    <w:rsid w:val="00FB4F87"/>
    <w:rsid w:val="00FB58E9"/>
    <w:rsid w:val="00FB6FBE"/>
    <w:rsid w:val="00FC0D71"/>
    <w:rsid w:val="00FC1EFE"/>
    <w:rsid w:val="00FC1F5F"/>
    <w:rsid w:val="00FC25F3"/>
    <w:rsid w:val="00FC2B8F"/>
    <w:rsid w:val="00FC39A4"/>
    <w:rsid w:val="00FC43E7"/>
    <w:rsid w:val="00FC4E78"/>
    <w:rsid w:val="00FC59E8"/>
    <w:rsid w:val="00FC6FC1"/>
    <w:rsid w:val="00FD41C1"/>
    <w:rsid w:val="00FD497B"/>
    <w:rsid w:val="00FD5F4E"/>
    <w:rsid w:val="00FD632A"/>
    <w:rsid w:val="00FD69AA"/>
    <w:rsid w:val="00FD6F12"/>
    <w:rsid w:val="00FD75E6"/>
    <w:rsid w:val="00FE0945"/>
    <w:rsid w:val="00FE2DC9"/>
    <w:rsid w:val="00FE31B5"/>
    <w:rsid w:val="00FE3446"/>
    <w:rsid w:val="00FE52A3"/>
    <w:rsid w:val="00FE5342"/>
    <w:rsid w:val="00FE728D"/>
    <w:rsid w:val="00FF3C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BDDCED"/>
  <w15:docId w15:val="{051964C7-8D42-495F-865A-F504E530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774"/>
    <w:pPr>
      <w:spacing w:before="60" w:after="60"/>
    </w:pPr>
    <w:rPr>
      <w:rFonts w:eastAsia="Times New Roman" w:cstheme="minorHAnsi"/>
      <w:color w:val="000000" w:themeColor="text1"/>
      <w:szCs w:val="22"/>
      <w:lang w:val="en-GB"/>
    </w:rPr>
  </w:style>
  <w:style w:type="paragraph" w:styleId="Heading1">
    <w:name w:val="heading 1"/>
    <w:basedOn w:val="Normal"/>
    <w:next w:val="Normal"/>
    <w:link w:val="Heading1Char"/>
    <w:uiPriority w:val="9"/>
    <w:qFormat/>
    <w:rsid w:val="008360ED"/>
    <w:pPr>
      <w:keepNext/>
      <w:keepLines/>
      <w:spacing w:before="240" w:after="240"/>
      <w:outlineLvl w:val="0"/>
    </w:pPr>
    <w:rPr>
      <w:rFonts w:eastAsiaTheme="majorEastAsia" w:cstheme="majorBidi"/>
      <w:b/>
      <w:color w:val="C00000"/>
      <w:sz w:val="32"/>
      <w:szCs w:val="32"/>
    </w:rPr>
  </w:style>
  <w:style w:type="paragraph" w:styleId="Heading2">
    <w:name w:val="heading 2"/>
    <w:basedOn w:val="Normal"/>
    <w:next w:val="Normal"/>
    <w:link w:val="Heading2Char"/>
    <w:uiPriority w:val="9"/>
    <w:unhideWhenUsed/>
    <w:qFormat/>
    <w:rsid w:val="008360ED"/>
    <w:pPr>
      <w:keepNext/>
      <w:keepLines/>
      <w:spacing w:before="120" w:after="120"/>
      <w:outlineLvl w:val="1"/>
    </w:pPr>
    <w:rPr>
      <w:rFonts w:eastAsiaTheme="majorEastAsia" w:cstheme="majorBidi"/>
      <w:b/>
      <w:color w:val="C00000"/>
      <w:sz w:val="22"/>
    </w:rPr>
  </w:style>
  <w:style w:type="paragraph" w:styleId="Heading3">
    <w:name w:val="heading 3"/>
    <w:basedOn w:val="Normal"/>
    <w:next w:val="Normal"/>
    <w:link w:val="Heading3Char"/>
    <w:uiPriority w:val="9"/>
    <w:unhideWhenUsed/>
    <w:qFormat/>
    <w:rsid w:val="008360ED"/>
    <w:pPr>
      <w:keepNext/>
      <w:keepLines/>
      <w:spacing w:before="120"/>
      <w:outlineLvl w:val="2"/>
    </w:pPr>
    <w:rPr>
      <w:rFonts w:ascii="Calibri" w:eastAsiaTheme="majorEastAsia" w:hAnsi="Calibri" w:cs="Calibri"/>
      <w:color w:val="C00000"/>
      <w:sz w:val="20"/>
    </w:rPr>
  </w:style>
  <w:style w:type="paragraph" w:styleId="Heading4">
    <w:name w:val="heading 4"/>
    <w:basedOn w:val="Normal"/>
    <w:next w:val="Normal"/>
    <w:link w:val="Heading4Char"/>
    <w:uiPriority w:val="9"/>
    <w:unhideWhenUsed/>
    <w:qFormat/>
    <w:rsid w:val="00F37F6F"/>
    <w:pPr>
      <w:keepNext/>
      <w:keepLines/>
      <w:spacing w:before="40"/>
      <w:outlineLvl w:val="3"/>
    </w:pPr>
    <w:rPr>
      <w:rFonts w:asciiTheme="majorHAnsi" w:eastAsiaTheme="majorEastAsia" w:hAnsiTheme="majorHAnsi" w:cstheme="majorBidi"/>
      <w:i/>
      <w:iCs/>
      <w:color w:val="FF0000"/>
      <w:sz w:val="20"/>
    </w:rPr>
  </w:style>
  <w:style w:type="paragraph" w:styleId="Heading5">
    <w:name w:val="heading 5"/>
    <w:basedOn w:val="Normal"/>
    <w:next w:val="Normal"/>
    <w:link w:val="Heading5Char"/>
    <w:uiPriority w:val="9"/>
    <w:unhideWhenUsed/>
    <w:qFormat/>
    <w:rsid w:val="00D20399"/>
    <w:pPr>
      <w:keepNext/>
      <w:keepLines/>
      <w:spacing w:before="40"/>
      <w:outlineLvl w:val="4"/>
    </w:pPr>
    <w:rPr>
      <w:rFonts w:asciiTheme="majorHAnsi" w:eastAsiaTheme="majorEastAsia" w:hAnsiTheme="majorHAnsi" w:cstheme="majorBidi"/>
      <w:color w:val="2F5496"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Footnote Text Char Char Char Char,Footnote Text Char Char Char Char Char,Footnote Text Char Char Char Char Char Char Char Char Char,Footnote Text Char Char Char Char Char Char Char Char,ft,fn,Footnote Text Char Char,ft1,ADB,f"/>
    <w:basedOn w:val="Normal"/>
    <w:link w:val="FootnoteTextChar"/>
    <w:unhideWhenUsed/>
    <w:qFormat/>
    <w:rsid w:val="005B1CE0"/>
    <w:rPr>
      <w:rFonts w:ascii="Calibri" w:eastAsiaTheme="minorEastAsia" w:hAnsi="Calibri"/>
      <w:sz w:val="16"/>
      <w:szCs w:val="16"/>
    </w:rPr>
  </w:style>
  <w:style w:type="character" w:customStyle="1" w:styleId="FootnoteTextChar">
    <w:name w:val="Footnote Text Char"/>
    <w:aliases w:val="single space Char,Footnote Text Char Char Char Char Char1,Footnote Text Char Char Char Char Char Char,Footnote Text Char Char Char Char Char Char Char Char Char Char,Footnote Text Char Char Char Char Char Char Char Char Char1,ft Char"/>
    <w:basedOn w:val="DefaultParagraphFont"/>
    <w:link w:val="FootnoteText"/>
    <w:rsid w:val="005B1CE0"/>
    <w:rPr>
      <w:rFonts w:ascii="Calibri" w:eastAsiaTheme="minorEastAsia" w:hAnsi="Calibri" w:cs="Times New Roman"/>
      <w:sz w:val="16"/>
      <w:szCs w:val="16"/>
      <w:lang w:val="en-GB"/>
    </w:rPr>
  </w:style>
  <w:style w:type="character" w:styleId="FootnoteReference">
    <w:name w:val="footnote reference"/>
    <w:aliases w:val="ftref,footnote ref,SUPERS,EN Footnote Reference,16 Point,Superscript 6 Point,Footnote Reference Number,Style 6,(NECG) Footnote Reference,Ref,de nota al pie,4_G,BVI fnr,BVI fnr Car Car,BVI fnr Car,BVI fnr Car Car Car Car,fr"/>
    <w:basedOn w:val="DefaultParagraphFont"/>
    <w:uiPriority w:val="99"/>
    <w:unhideWhenUsed/>
    <w:rsid w:val="00B23E12"/>
    <w:rPr>
      <w:vertAlign w:val="superscript"/>
    </w:rPr>
  </w:style>
  <w:style w:type="paragraph" w:styleId="NormalWeb">
    <w:name w:val="Normal (Web)"/>
    <w:basedOn w:val="Normal"/>
    <w:uiPriority w:val="99"/>
    <w:unhideWhenUsed/>
    <w:rsid w:val="00B23E12"/>
    <w:pPr>
      <w:spacing w:before="100" w:beforeAutospacing="1" w:after="100" w:afterAutospacing="1"/>
    </w:pPr>
    <w:rPr>
      <w:rFonts w:eastAsiaTheme="minorEastAsia"/>
      <w:sz w:val="20"/>
    </w:rPr>
  </w:style>
  <w:style w:type="paragraph" w:styleId="ListParagraph">
    <w:name w:val="List Paragraph"/>
    <w:aliases w:val="List Paragraph (numbered (a)),Use Case List Paragraph,Main numbered paragraph,Numbered List Paragraph,Bullets,List Paragraph1,Akapit z listą BS,List_Paragraph,Multilevel para_II,MC Paragraphe Liste,Colorful List - Accent 11,References,Bod"/>
    <w:basedOn w:val="Normal"/>
    <w:link w:val="ListParagraphChar"/>
    <w:uiPriority w:val="34"/>
    <w:qFormat/>
    <w:rsid w:val="00B23E12"/>
    <w:pPr>
      <w:spacing w:after="160" w:line="259" w:lineRule="auto"/>
      <w:ind w:left="720"/>
      <w:contextualSpacing/>
    </w:pPr>
    <w:rPr>
      <w:rFonts w:ascii="Calibri" w:eastAsiaTheme="minorHAnsi" w:hAnsi="Calibri"/>
      <w:sz w:val="20"/>
    </w:rPr>
  </w:style>
  <w:style w:type="character" w:customStyle="1" w:styleId="ListParagraphChar">
    <w:name w:val="List Paragraph Char"/>
    <w:aliases w:val="List Paragraph (numbered (a)) Char,Use Case List Paragraph Char,Main numbered paragraph Char,Numbered List Paragraph Char,Bullets Char,List Paragraph1 Char,Akapit z listą BS Char,List_Paragraph Char,Multilevel para_II Char,Bod Char"/>
    <w:basedOn w:val="DefaultParagraphFont"/>
    <w:link w:val="ListParagraph"/>
    <w:uiPriority w:val="34"/>
    <w:locked/>
    <w:rsid w:val="00B23E12"/>
    <w:rPr>
      <w:rFonts w:ascii="Calibri" w:hAnsi="Calibri"/>
      <w:sz w:val="20"/>
      <w:lang w:val="en-GB"/>
    </w:rPr>
  </w:style>
  <w:style w:type="character" w:styleId="CommentReference">
    <w:name w:val="annotation reference"/>
    <w:basedOn w:val="DefaultParagraphFont"/>
    <w:uiPriority w:val="99"/>
    <w:semiHidden/>
    <w:unhideWhenUsed/>
    <w:rsid w:val="00B23E12"/>
    <w:rPr>
      <w:sz w:val="18"/>
      <w:szCs w:val="18"/>
    </w:rPr>
  </w:style>
  <w:style w:type="paragraph" w:styleId="CommentText">
    <w:name w:val="annotation text"/>
    <w:basedOn w:val="Normal"/>
    <w:link w:val="CommentTextChar"/>
    <w:uiPriority w:val="99"/>
    <w:unhideWhenUsed/>
    <w:rsid w:val="00B23E12"/>
    <w:rPr>
      <w:rFonts w:eastAsiaTheme="minorHAnsi"/>
      <w:sz w:val="20"/>
    </w:rPr>
  </w:style>
  <w:style w:type="character" w:customStyle="1" w:styleId="CommentTextChar">
    <w:name w:val="Comment Text Char"/>
    <w:basedOn w:val="DefaultParagraphFont"/>
    <w:link w:val="CommentText"/>
    <w:uiPriority w:val="99"/>
    <w:rsid w:val="00B23E12"/>
  </w:style>
  <w:style w:type="paragraph" w:styleId="BalloonText">
    <w:name w:val="Balloon Text"/>
    <w:basedOn w:val="Normal"/>
    <w:link w:val="BalloonTextChar"/>
    <w:uiPriority w:val="99"/>
    <w:semiHidden/>
    <w:unhideWhenUsed/>
    <w:rsid w:val="00B23E12"/>
    <w:rPr>
      <w:rFonts w:eastAsiaTheme="minorHAnsi"/>
      <w:sz w:val="18"/>
      <w:szCs w:val="18"/>
    </w:rPr>
  </w:style>
  <w:style w:type="character" w:customStyle="1" w:styleId="BalloonTextChar">
    <w:name w:val="Balloon Text Char"/>
    <w:basedOn w:val="DefaultParagraphFont"/>
    <w:link w:val="BalloonText"/>
    <w:uiPriority w:val="99"/>
    <w:semiHidden/>
    <w:rsid w:val="00B23E12"/>
    <w:rPr>
      <w:rFonts w:ascii="Times New Roman" w:hAnsi="Times New Roman" w:cs="Times New Roman"/>
      <w:sz w:val="18"/>
      <w:szCs w:val="18"/>
    </w:rPr>
  </w:style>
  <w:style w:type="character" w:styleId="Hyperlink">
    <w:name w:val="Hyperlink"/>
    <w:basedOn w:val="DefaultParagraphFont"/>
    <w:uiPriority w:val="99"/>
    <w:unhideWhenUsed/>
    <w:rsid w:val="00B23E12"/>
    <w:rPr>
      <w:color w:val="0563C1" w:themeColor="hyperlink"/>
      <w:u w:val="single"/>
    </w:rPr>
  </w:style>
  <w:style w:type="paragraph" w:customStyle="1" w:styleId="TableTextEntries">
    <w:name w:val="Table Text Entries"/>
    <w:rsid w:val="00FB6FBE"/>
    <w:pPr>
      <w:keepLines/>
      <w:spacing w:before="40" w:after="40" w:line="200" w:lineRule="atLeast"/>
    </w:pPr>
    <w:rPr>
      <w:rFonts w:ascii="Franklin Gothic Book" w:eastAsia="Times New Roman" w:hAnsi="Franklin Gothic Book" w:cs="Times New Roman"/>
      <w:iCs/>
      <w:sz w:val="17"/>
      <w:szCs w:val="17"/>
      <w:lang w:val="en-AU"/>
    </w:rPr>
  </w:style>
  <w:style w:type="paragraph" w:styleId="CommentSubject">
    <w:name w:val="annotation subject"/>
    <w:basedOn w:val="CommentText"/>
    <w:next w:val="CommentText"/>
    <w:link w:val="CommentSubjectChar"/>
    <w:uiPriority w:val="99"/>
    <w:unhideWhenUsed/>
    <w:rsid w:val="00DB2C8F"/>
    <w:rPr>
      <w:b/>
      <w:bCs/>
      <w:szCs w:val="20"/>
    </w:rPr>
  </w:style>
  <w:style w:type="character" w:customStyle="1" w:styleId="CommentSubjectChar">
    <w:name w:val="Comment Subject Char"/>
    <w:basedOn w:val="CommentTextChar"/>
    <w:link w:val="CommentSubject"/>
    <w:uiPriority w:val="99"/>
    <w:rsid w:val="00DB2C8F"/>
    <w:rPr>
      <w:b/>
      <w:bCs/>
      <w:sz w:val="20"/>
      <w:szCs w:val="20"/>
    </w:rPr>
  </w:style>
  <w:style w:type="paragraph" w:styleId="Footer">
    <w:name w:val="footer"/>
    <w:basedOn w:val="Normal"/>
    <w:link w:val="FooterChar"/>
    <w:uiPriority w:val="99"/>
    <w:unhideWhenUsed/>
    <w:rsid w:val="00981D99"/>
    <w:pPr>
      <w:tabs>
        <w:tab w:val="center" w:pos="4513"/>
        <w:tab w:val="right" w:pos="9026"/>
      </w:tabs>
    </w:pPr>
    <w:rPr>
      <w:rFonts w:eastAsiaTheme="minorHAnsi"/>
      <w:sz w:val="20"/>
    </w:rPr>
  </w:style>
  <w:style w:type="character" w:customStyle="1" w:styleId="FooterChar">
    <w:name w:val="Footer Char"/>
    <w:basedOn w:val="DefaultParagraphFont"/>
    <w:link w:val="Footer"/>
    <w:uiPriority w:val="99"/>
    <w:rsid w:val="00981D99"/>
  </w:style>
  <w:style w:type="character" w:styleId="PageNumber">
    <w:name w:val="page number"/>
    <w:basedOn w:val="DefaultParagraphFont"/>
    <w:uiPriority w:val="99"/>
    <w:semiHidden/>
    <w:unhideWhenUsed/>
    <w:rsid w:val="00981D99"/>
  </w:style>
  <w:style w:type="paragraph" w:styleId="EndnoteText">
    <w:name w:val="endnote text"/>
    <w:basedOn w:val="Normal"/>
    <w:link w:val="EndnoteTextChar"/>
    <w:uiPriority w:val="99"/>
    <w:unhideWhenUsed/>
    <w:rsid w:val="0015348C"/>
    <w:rPr>
      <w:rFonts w:ascii="Calibri" w:eastAsiaTheme="minorEastAsia" w:hAnsi="Calibri"/>
      <w:sz w:val="20"/>
      <w:szCs w:val="20"/>
    </w:rPr>
  </w:style>
  <w:style w:type="character" w:customStyle="1" w:styleId="EndnoteTextChar">
    <w:name w:val="Endnote Text Char"/>
    <w:basedOn w:val="DefaultParagraphFont"/>
    <w:link w:val="EndnoteText"/>
    <w:uiPriority w:val="99"/>
    <w:rsid w:val="0015348C"/>
    <w:rPr>
      <w:rFonts w:ascii="Calibri" w:eastAsiaTheme="minorEastAsia" w:hAnsi="Calibri" w:cs="Times New Roman"/>
      <w:sz w:val="20"/>
      <w:szCs w:val="20"/>
    </w:rPr>
  </w:style>
  <w:style w:type="character" w:styleId="EndnoteReference">
    <w:name w:val="endnote reference"/>
    <w:basedOn w:val="DefaultParagraphFont"/>
    <w:uiPriority w:val="99"/>
    <w:unhideWhenUsed/>
    <w:rsid w:val="0015348C"/>
    <w:rPr>
      <w:vertAlign w:val="superscript"/>
    </w:rPr>
  </w:style>
  <w:style w:type="paragraph" w:styleId="ListBullet">
    <w:name w:val="List Bullet"/>
    <w:basedOn w:val="BodyText"/>
    <w:uiPriority w:val="99"/>
    <w:qFormat/>
    <w:rsid w:val="0015348C"/>
    <w:pPr>
      <w:numPr>
        <w:numId w:val="1"/>
      </w:numPr>
      <w:tabs>
        <w:tab w:val="left" w:pos="284"/>
        <w:tab w:val="num" w:pos="720"/>
      </w:tabs>
      <w:spacing w:line="280" w:lineRule="exact"/>
      <w:ind w:left="720"/>
    </w:pPr>
    <w:rPr>
      <w:rFonts w:ascii="Franklin Gothic Book" w:eastAsia="Times New Roman" w:hAnsi="Franklin Gothic Book"/>
      <w:sz w:val="21"/>
      <w:lang w:val="en-AU" w:eastAsia="en-AU"/>
    </w:rPr>
  </w:style>
  <w:style w:type="paragraph" w:styleId="BodyText">
    <w:name w:val="Body Text"/>
    <w:basedOn w:val="Normal"/>
    <w:link w:val="BodyTextChar"/>
    <w:uiPriority w:val="99"/>
    <w:semiHidden/>
    <w:unhideWhenUsed/>
    <w:rsid w:val="0015348C"/>
    <w:pPr>
      <w:spacing w:after="120"/>
    </w:pPr>
    <w:rPr>
      <w:rFonts w:eastAsiaTheme="minorHAnsi"/>
      <w:sz w:val="20"/>
    </w:rPr>
  </w:style>
  <w:style w:type="character" w:customStyle="1" w:styleId="BodyTextChar">
    <w:name w:val="Body Text Char"/>
    <w:basedOn w:val="DefaultParagraphFont"/>
    <w:link w:val="BodyText"/>
    <w:uiPriority w:val="99"/>
    <w:semiHidden/>
    <w:rsid w:val="0015348C"/>
  </w:style>
  <w:style w:type="table" w:customStyle="1" w:styleId="APPR">
    <w:name w:val="APPR"/>
    <w:basedOn w:val="TableNormal"/>
    <w:uiPriority w:val="99"/>
    <w:rsid w:val="0022739A"/>
    <w:rPr>
      <w:rFonts w:ascii="Franklin Gothic Book" w:hAnsi="Franklin Gothic Book"/>
      <w:sz w:val="17"/>
      <w:szCs w:val="22"/>
      <w:lang w:val="en-AU"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565613"/>
    <w:rPr>
      <w:color w:val="954F72" w:themeColor="followedHyperlink"/>
      <w:u w:val="single"/>
    </w:rPr>
  </w:style>
  <w:style w:type="character" w:customStyle="1" w:styleId="Heading1Char">
    <w:name w:val="Heading 1 Char"/>
    <w:basedOn w:val="DefaultParagraphFont"/>
    <w:link w:val="Heading1"/>
    <w:uiPriority w:val="9"/>
    <w:rsid w:val="008360ED"/>
    <w:rPr>
      <w:rFonts w:eastAsiaTheme="majorEastAsia" w:cstheme="majorBidi"/>
      <w:b/>
      <w:color w:val="C00000"/>
      <w:sz w:val="32"/>
      <w:szCs w:val="32"/>
      <w:lang w:val="en-GB"/>
    </w:rPr>
  </w:style>
  <w:style w:type="paragraph" w:styleId="NoSpacing">
    <w:name w:val="No Spacing"/>
    <w:uiPriority w:val="1"/>
    <w:qFormat/>
    <w:rsid w:val="00DE3A6A"/>
    <w:rPr>
      <w:rFonts w:cs="Times New Roman"/>
      <w:sz w:val="22"/>
      <w:szCs w:val="22"/>
      <w:lang w:val="en-GB"/>
    </w:rPr>
  </w:style>
  <w:style w:type="character" w:customStyle="1" w:styleId="Heading2Char">
    <w:name w:val="Heading 2 Char"/>
    <w:basedOn w:val="DefaultParagraphFont"/>
    <w:link w:val="Heading2"/>
    <w:uiPriority w:val="9"/>
    <w:rsid w:val="008360ED"/>
    <w:rPr>
      <w:rFonts w:eastAsiaTheme="majorEastAsia" w:cstheme="majorBidi"/>
      <w:b/>
      <w:color w:val="C00000"/>
      <w:sz w:val="22"/>
      <w:szCs w:val="22"/>
      <w:lang w:val="en-GB"/>
    </w:rPr>
  </w:style>
  <w:style w:type="paragraph" w:customStyle="1" w:styleId="Table1">
    <w:name w:val="Table 1"/>
    <w:basedOn w:val="NormalWeb"/>
    <w:qFormat/>
    <w:rsid w:val="003E437B"/>
    <w:pPr>
      <w:spacing w:before="120" w:beforeAutospacing="0" w:after="0" w:afterAutospacing="0"/>
    </w:pPr>
    <w:rPr>
      <w:b/>
      <w:szCs w:val="20"/>
    </w:rPr>
  </w:style>
  <w:style w:type="paragraph" w:styleId="Header">
    <w:name w:val="header"/>
    <w:basedOn w:val="Normal"/>
    <w:link w:val="HeaderChar"/>
    <w:uiPriority w:val="99"/>
    <w:unhideWhenUsed/>
    <w:rsid w:val="006A683A"/>
    <w:pPr>
      <w:tabs>
        <w:tab w:val="center" w:pos="4513"/>
        <w:tab w:val="right" w:pos="9026"/>
      </w:tabs>
    </w:pPr>
    <w:rPr>
      <w:rFonts w:eastAsiaTheme="minorHAnsi"/>
      <w:sz w:val="20"/>
    </w:rPr>
  </w:style>
  <w:style w:type="character" w:customStyle="1" w:styleId="HeaderChar">
    <w:name w:val="Header Char"/>
    <w:basedOn w:val="DefaultParagraphFont"/>
    <w:link w:val="Header"/>
    <w:uiPriority w:val="99"/>
    <w:rsid w:val="006A683A"/>
    <w:rPr>
      <w:rFonts w:cs="Times New Roman"/>
      <w:sz w:val="22"/>
      <w:szCs w:val="22"/>
      <w:lang w:val="en-GB"/>
    </w:rPr>
  </w:style>
  <w:style w:type="paragraph" w:customStyle="1" w:styleId="p1">
    <w:name w:val="p1"/>
    <w:basedOn w:val="Normal"/>
    <w:rsid w:val="006A683A"/>
    <w:pPr>
      <w:spacing w:before="75" w:after="75"/>
    </w:pPr>
    <w:rPr>
      <w:rFonts w:ascii="Calibri" w:eastAsiaTheme="minorHAnsi" w:hAnsi="Calibri"/>
      <w:sz w:val="14"/>
      <w:szCs w:val="14"/>
    </w:rPr>
  </w:style>
  <w:style w:type="paragraph" w:styleId="TOCHeading">
    <w:name w:val="TOC Heading"/>
    <w:basedOn w:val="Heading1"/>
    <w:next w:val="Normal"/>
    <w:uiPriority w:val="39"/>
    <w:unhideWhenUsed/>
    <w:qFormat/>
    <w:rsid w:val="00ED0E27"/>
    <w:pPr>
      <w:spacing w:line="259" w:lineRule="auto"/>
      <w:outlineLvl w:val="9"/>
    </w:pPr>
    <w:rPr>
      <w:b w:val="0"/>
      <w:color w:val="2F5496" w:themeColor="accent1" w:themeShade="BF"/>
    </w:rPr>
  </w:style>
  <w:style w:type="paragraph" w:styleId="TOC1">
    <w:name w:val="toc 1"/>
    <w:basedOn w:val="Normal"/>
    <w:next w:val="Normal"/>
    <w:autoRedefine/>
    <w:uiPriority w:val="39"/>
    <w:unhideWhenUsed/>
    <w:rsid w:val="000D5996"/>
    <w:pPr>
      <w:tabs>
        <w:tab w:val="right" w:leader="dot" w:pos="9010"/>
      </w:tabs>
      <w:spacing w:after="100"/>
    </w:pPr>
    <w:rPr>
      <w:rFonts w:eastAsiaTheme="minorHAnsi"/>
      <w:b/>
      <w:sz w:val="20"/>
    </w:rPr>
  </w:style>
  <w:style w:type="paragraph" w:styleId="TOC2">
    <w:name w:val="toc 2"/>
    <w:basedOn w:val="Normal"/>
    <w:next w:val="Normal"/>
    <w:autoRedefine/>
    <w:uiPriority w:val="39"/>
    <w:unhideWhenUsed/>
    <w:rsid w:val="00566B95"/>
    <w:pPr>
      <w:ind w:left="221"/>
    </w:pPr>
    <w:rPr>
      <w:rFonts w:eastAsiaTheme="minorHAnsi"/>
      <w:sz w:val="20"/>
    </w:rPr>
  </w:style>
  <w:style w:type="paragraph" w:styleId="Title">
    <w:name w:val="Title"/>
    <w:basedOn w:val="Normal"/>
    <w:next w:val="Normal"/>
    <w:link w:val="TitleChar"/>
    <w:uiPriority w:val="10"/>
    <w:qFormat/>
    <w:rsid w:val="00B621A2"/>
    <w:pPr>
      <w:contextualSpacing/>
    </w:pPr>
    <w:rPr>
      <w:rFonts w:asciiTheme="majorHAnsi" w:eastAsiaTheme="majorEastAsia" w:hAnsiTheme="majorHAnsi" w:cstheme="majorBidi"/>
      <w:color w:val="C00000"/>
      <w:spacing w:val="-10"/>
      <w:kern w:val="28"/>
      <w:sz w:val="44"/>
      <w:szCs w:val="44"/>
    </w:rPr>
  </w:style>
  <w:style w:type="character" w:customStyle="1" w:styleId="TitleChar">
    <w:name w:val="Title Char"/>
    <w:basedOn w:val="DefaultParagraphFont"/>
    <w:link w:val="Title"/>
    <w:uiPriority w:val="10"/>
    <w:rsid w:val="00B621A2"/>
    <w:rPr>
      <w:rFonts w:asciiTheme="majorHAnsi" w:eastAsiaTheme="majorEastAsia" w:hAnsiTheme="majorHAnsi" w:cstheme="majorBidi"/>
      <w:color w:val="C00000"/>
      <w:spacing w:val="-10"/>
      <w:kern w:val="28"/>
      <w:sz w:val="44"/>
      <w:szCs w:val="44"/>
      <w:lang w:val="en-GB"/>
    </w:rPr>
  </w:style>
  <w:style w:type="character" w:customStyle="1" w:styleId="Heading3Char">
    <w:name w:val="Heading 3 Char"/>
    <w:basedOn w:val="DefaultParagraphFont"/>
    <w:link w:val="Heading3"/>
    <w:uiPriority w:val="9"/>
    <w:rsid w:val="008360ED"/>
    <w:rPr>
      <w:rFonts w:ascii="Calibri" w:eastAsiaTheme="majorEastAsia" w:hAnsi="Calibri" w:cs="Calibri"/>
      <w:color w:val="C00000"/>
      <w:sz w:val="20"/>
      <w:lang w:val="en-GB"/>
    </w:rPr>
  </w:style>
  <w:style w:type="paragraph" w:styleId="TOC3">
    <w:name w:val="toc 3"/>
    <w:basedOn w:val="Normal"/>
    <w:next w:val="Normal"/>
    <w:autoRedefine/>
    <w:uiPriority w:val="39"/>
    <w:unhideWhenUsed/>
    <w:rsid w:val="000E33CE"/>
    <w:pPr>
      <w:spacing w:after="100"/>
      <w:ind w:left="440"/>
    </w:pPr>
    <w:rPr>
      <w:rFonts w:eastAsiaTheme="minorHAnsi"/>
      <w:sz w:val="20"/>
    </w:rPr>
  </w:style>
  <w:style w:type="paragraph" w:styleId="Revision">
    <w:name w:val="Revision"/>
    <w:hidden/>
    <w:uiPriority w:val="99"/>
    <w:semiHidden/>
    <w:rsid w:val="006A24BA"/>
    <w:rPr>
      <w:rFonts w:cs="Times New Roman"/>
      <w:sz w:val="22"/>
      <w:szCs w:val="22"/>
      <w:lang w:val="en-GB"/>
    </w:rPr>
  </w:style>
  <w:style w:type="character" w:customStyle="1" w:styleId="apple-converted-space">
    <w:name w:val="apple-converted-space"/>
    <w:basedOn w:val="DefaultParagraphFont"/>
    <w:rsid w:val="0093573A"/>
  </w:style>
  <w:style w:type="table" w:customStyle="1" w:styleId="GridTable1Light1">
    <w:name w:val="Grid Table 1 Light1"/>
    <w:basedOn w:val="TableNormal"/>
    <w:uiPriority w:val="46"/>
    <w:rsid w:val="00380E8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E5317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E53177"/>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2-Accent51">
    <w:name w:val="Grid Table 2 - Accent 51"/>
    <w:basedOn w:val="TableNormal"/>
    <w:uiPriority w:val="47"/>
    <w:rsid w:val="00E53177"/>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TableNormal"/>
    <w:uiPriority w:val="49"/>
    <w:rsid w:val="00E5317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11">
    <w:name w:val="Grid Table 4 - Accent 11"/>
    <w:basedOn w:val="TableNormal"/>
    <w:uiPriority w:val="49"/>
    <w:rsid w:val="00E5317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3-Accent11">
    <w:name w:val="Grid Table 3 - Accent 11"/>
    <w:basedOn w:val="TableNormal"/>
    <w:uiPriority w:val="48"/>
    <w:rsid w:val="00AF226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DonnasStyle">
    <w:name w:val="Donna's Style"/>
    <w:basedOn w:val="Normal"/>
    <w:rsid w:val="00BA1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rFonts w:eastAsiaTheme="minorEastAsia"/>
      <w:bCs/>
      <w:sz w:val="20"/>
      <w:lang w:eastAsia="en-GB"/>
    </w:rPr>
  </w:style>
  <w:style w:type="character" w:customStyle="1" w:styleId="Heading4Char">
    <w:name w:val="Heading 4 Char"/>
    <w:basedOn w:val="DefaultParagraphFont"/>
    <w:link w:val="Heading4"/>
    <w:uiPriority w:val="9"/>
    <w:rsid w:val="00F37F6F"/>
    <w:rPr>
      <w:rFonts w:asciiTheme="majorHAnsi" w:eastAsiaTheme="majorEastAsia" w:hAnsiTheme="majorHAnsi" w:cstheme="majorBidi"/>
      <w:i/>
      <w:iCs/>
      <w:color w:val="FF0000"/>
    </w:rPr>
  </w:style>
  <w:style w:type="table" w:customStyle="1" w:styleId="GridTable3-Accent51">
    <w:name w:val="Grid Table 3 - Accent 51"/>
    <w:basedOn w:val="TableNormal"/>
    <w:uiPriority w:val="48"/>
    <w:rsid w:val="009F42C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2-Accent11">
    <w:name w:val="Grid Table 2 - Accent 11"/>
    <w:basedOn w:val="TableNormal"/>
    <w:uiPriority w:val="47"/>
    <w:rsid w:val="009F42C3"/>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rsid w:val="009F42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eading5Char">
    <w:name w:val="Heading 5 Char"/>
    <w:basedOn w:val="DefaultParagraphFont"/>
    <w:link w:val="Heading5"/>
    <w:uiPriority w:val="9"/>
    <w:rsid w:val="00D20399"/>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4C7C7C"/>
    <w:rPr>
      <w:b/>
      <w:bCs/>
    </w:rPr>
  </w:style>
  <w:style w:type="character" w:customStyle="1" w:styleId="s1">
    <w:name w:val="s1"/>
    <w:basedOn w:val="DefaultParagraphFont"/>
    <w:rsid w:val="0071637F"/>
  </w:style>
  <w:style w:type="table" w:customStyle="1" w:styleId="GridTable41">
    <w:name w:val="Grid Table 41"/>
    <w:basedOn w:val="TableNormal"/>
    <w:uiPriority w:val="49"/>
    <w:rsid w:val="006D2B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1">
    <w:name w:val="Plain Table 11"/>
    <w:basedOn w:val="TableNormal"/>
    <w:uiPriority w:val="41"/>
    <w:rsid w:val="0092235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BE632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msonormal"/>
    <w:basedOn w:val="Normal"/>
    <w:rsid w:val="00A373D7"/>
    <w:pPr>
      <w:spacing w:before="100" w:beforeAutospacing="1" w:after="100" w:afterAutospacing="1"/>
    </w:pPr>
  </w:style>
  <w:style w:type="character" w:customStyle="1" w:styleId="UnresolvedMention1">
    <w:name w:val="Unresolved Mention1"/>
    <w:basedOn w:val="DefaultParagraphFont"/>
    <w:uiPriority w:val="99"/>
    <w:rsid w:val="009A6240"/>
    <w:rPr>
      <w:color w:val="808080"/>
      <w:shd w:val="clear" w:color="auto" w:fill="E6E6E6"/>
    </w:rPr>
  </w:style>
  <w:style w:type="character" w:customStyle="1" w:styleId="UnresolvedMention2">
    <w:name w:val="Unresolved Mention2"/>
    <w:basedOn w:val="DefaultParagraphFont"/>
    <w:uiPriority w:val="99"/>
    <w:rsid w:val="00C848EB"/>
    <w:rPr>
      <w:color w:val="808080"/>
      <w:shd w:val="clear" w:color="auto" w:fill="E6E6E6"/>
    </w:rPr>
  </w:style>
  <w:style w:type="paragraph" w:customStyle="1" w:styleId="KeyFinding">
    <w:name w:val="Key Finding"/>
    <w:basedOn w:val="Normal"/>
    <w:qFormat/>
    <w:rsid w:val="003E437B"/>
    <w:pPr>
      <w:spacing w:before="120" w:after="120"/>
    </w:pPr>
    <w:rPr>
      <w:rFonts w:eastAsiaTheme="minorHAnsi"/>
      <w:b/>
      <w:i/>
      <w:color w:val="C45911" w:themeColor="accent2" w:themeShade="BF"/>
      <w:sz w:val="22"/>
    </w:rPr>
  </w:style>
  <w:style w:type="paragraph" w:customStyle="1" w:styleId="recommendation">
    <w:name w:val="recommendation"/>
    <w:basedOn w:val="Normal"/>
    <w:qFormat/>
    <w:rsid w:val="004C4BA4"/>
    <w:pPr>
      <w:pBdr>
        <w:left w:val="single" w:sz="8" w:space="4" w:color="767171" w:themeColor="background2" w:themeShade="80"/>
        <w:bottom w:val="single" w:sz="8" w:space="1" w:color="767171" w:themeColor="background2" w:themeShade="80"/>
      </w:pBdr>
    </w:pPr>
    <w:rPr>
      <w:rFonts w:eastAsiaTheme="minorHAnsi"/>
      <w:b/>
      <w:color w:val="3B3838" w:themeColor="background2" w:themeShade="40"/>
      <w:sz w:val="20"/>
    </w:rPr>
  </w:style>
  <w:style w:type="character" w:customStyle="1" w:styleId="UnresolvedMention3">
    <w:name w:val="Unresolved Mention3"/>
    <w:basedOn w:val="DefaultParagraphFont"/>
    <w:uiPriority w:val="99"/>
    <w:semiHidden/>
    <w:unhideWhenUsed/>
    <w:rsid w:val="00E5271E"/>
    <w:rPr>
      <w:color w:val="808080"/>
      <w:shd w:val="clear" w:color="auto" w:fill="E6E6E6"/>
    </w:rPr>
  </w:style>
  <w:style w:type="character" w:customStyle="1" w:styleId="UnresolvedMention4">
    <w:name w:val="Unresolved Mention4"/>
    <w:basedOn w:val="DefaultParagraphFont"/>
    <w:uiPriority w:val="99"/>
    <w:semiHidden/>
    <w:unhideWhenUsed/>
    <w:rsid w:val="006F2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526">
      <w:bodyDiv w:val="1"/>
      <w:marLeft w:val="0"/>
      <w:marRight w:val="0"/>
      <w:marTop w:val="0"/>
      <w:marBottom w:val="0"/>
      <w:divBdr>
        <w:top w:val="none" w:sz="0" w:space="0" w:color="auto"/>
        <w:left w:val="none" w:sz="0" w:space="0" w:color="auto"/>
        <w:bottom w:val="none" w:sz="0" w:space="0" w:color="auto"/>
        <w:right w:val="none" w:sz="0" w:space="0" w:color="auto"/>
      </w:divBdr>
      <w:divsChild>
        <w:div w:id="2126995039">
          <w:marLeft w:val="0"/>
          <w:marRight w:val="0"/>
          <w:marTop w:val="0"/>
          <w:marBottom w:val="0"/>
          <w:divBdr>
            <w:top w:val="none" w:sz="0" w:space="0" w:color="auto"/>
            <w:left w:val="none" w:sz="0" w:space="0" w:color="auto"/>
            <w:bottom w:val="none" w:sz="0" w:space="0" w:color="auto"/>
            <w:right w:val="none" w:sz="0" w:space="0" w:color="auto"/>
          </w:divBdr>
          <w:divsChild>
            <w:div w:id="1123964243">
              <w:marLeft w:val="0"/>
              <w:marRight w:val="0"/>
              <w:marTop w:val="0"/>
              <w:marBottom w:val="0"/>
              <w:divBdr>
                <w:top w:val="none" w:sz="0" w:space="0" w:color="auto"/>
                <w:left w:val="none" w:sz="0" w:space="0" w:color="auto"/>
                <w:bottom w:val="none" w:sz="0" w:space="0" w:color="auto"/>
                <w:right w:val="none" w:sz="0" w:space="0" w:color="auto"/>
              </w:divBdr>
              <w:divsChild>
                <w:div w:id="148442538">
                  <w:marLeft w:val="0"/>
                  <w:marRight w:val="0"/>
                  <w:marTop w:val="0"/>
                  <w:marBottom w:val="0"/>
                  <w:divBdr>
                    <w:top w:val="none" w:sz="0" w:space="0" w:color="auto"/>
                    <w:left w:val="none" w:sz="0" w:space="0" w:color="auto"/>
                    <w:bottom w:val="none" w:sz="0" w:space="0" w:color="auto"/>
                    <w:right w:val="none" w:sz="0" w:space="0" w:color="auto"/>
                  </w:divBdr>
                  <w:divsChild>
                    <w:div w:id="14267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883">
      <w:bodyDiv w:val="1"/>
      <w:marLeft w:val="0"/>
      <w:marRight w:val="0"/>
      <w:marTop w:val="0"/>
      <w:marBottom w:val="0"/>
      <w:divBdr>
        <w:top w:val="none" w:sz="0" w:space="0" w:color="auto"/>
        <w:left w:val="none" w:sz="0" w:space="0" w:color="auto"/>
        <w:bottom w:val="none" w:sz="0" w:space="0" w:color="auto"/>
        <w:right w:val="none" w:sz="0" w:space="0" w:color="auto"/>
      </w:divBdr>
    </w:div>
    <w:div w:id="4795506">
      <w:bodyDiv w:val="1"/>
      <w:marLeft w:val="0"/>
      <w:marRight w:val="0"/>
      <w:marTop w:val="0"/>
      <w:marBottom w:val="0"/>
      <w:divBdr>
        <w:top w:val="none" w:sz="0" w:space="0" w:color="auto"/>
        <w:left w:val="none" w:sz="0" w:space="0" w:color="auto"/>
        <w:bottom w:val="none" w:sz="0" w:space="0" w:color="auto"/>
        <w:right w:val="none" w:sz="0" w:space="0" w:color="auto"/>
      </w:divBdr>
      <w:divsChild>
        <w:div w:id="992443317">
          <w:marLeft w:val="0"/>
          <w:marRight w:val="0"/>
          <w:marTop w:val="0"/>
          <w:marBottom w:val="0"/>
          <w:divBdr>
            <w:top w:val="none" w:sz="0" w:space="0" w:color="auto"/>
            <w:left w:val="none" w:sz="0" w:space="0" w:color="auto"/>
            <w:bottom w:val="none" w:sz="0" w:space="0" w:color="auto"/>
            <w:right w:val="none" w:sz="0" w:space="0" w:color="auto"/>
          </w:divBdr>
          <w:divsChild>
            <w:div w:id="958146708">
              <w:marLeft w:val="0"/>
              <w:marRight w:val="0"/>
              <w:marTop w:val="0"/>
              <w:marBottom w:val="0"/>
              <w:divBdr>
                <w:top w:val="none" w:sz="0" w:space="0" w:color="auto"/>
                <w:left w:val="none" w:sz="0" w:space="0" w:color="auto"/>
                <w:bottom w:val="none" w:sz="0" w:space="0" w:color="auto"/>
                <w:right w:val="none" w:sz="0" w:space="0" w:color="auto"/>
              </w:divBdr>
              <w:divsChild>
                <w:div w:id="12665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900">
      <w:bodyDiv w:val="1"/>
      <w:marLeft w:val="0"/>
      <w:marRight w:val="0"/>
      <w:marTop w:val="0"/>
      <w:marBottom w:val="0"/>
      <w:divBdr>
        <w:top w:val="none" w:sz="0" w:space="0" w:color="auto"/>
        <w:left w:val="none" w:sz="0" w:space="0" w:color="auto"/>
        <w:bottom w:val="none" w:sz="0" w:space="0" w:color="auto"/>
        <w:right w:val="none" w:sz="0" w:space="0" w:color="auto"/>
      </w:divBdr>
    </w:div>
    <w:div w:id="20325229">
      <w:bodyDiv w:val="1"/>
      <w:marLeft w:val="0"/>
      <w:marRight w:val="0"/>
      <w:marTop w:val="0"/>
      <w:marBottom w:val="0"/>
      <w:divBdr>
        <w:top w:val="none" w:sz="0" w:space="0" w:color="auto"/>
        <w:left w:val="none" w:sz="0" w:space="0" w:color="auto"/>
        <w:bottom w:val="none" w:sz="0" w:space="0" w:color="auto"/>
        <w:right w:val="none" w:sz="0" w:space="0" w:color="auto"/>
      </w:divBdr>
    </w:div>
    <w:div w:id="27805530">
      <w:bodyDiv w:val="1"/>
      <w:marLeft w:val="0"/>
      <w:marRight w:val="0"/>
      <w:marTop w:val="0"/>
      <w:marBottom w:val="0"/>
      <w:divBdr>
        <w:top w:val="none" w:sz="0" w:space="0" w:color="auto"/>
        <w:left w:val="none" w:sz="0" w:space="0" w:color="auto"/>
        <w:bottom w:val="none" w:sz="0" w:space="0" w:color="auto"/>
        <w:right w:val="none" w:sz="0" w:space="0" w:color="auto"/>
      </w:divBdr>
    </w:div>
    <w:div w:id="41903621">
      <w:bodyDiv w:val="1"/>
      <w:marLeft w:val="0"/>
      <w:marRight w:val="0"/>
      <w:marTop w:val="0"/>
      <w:marBottom w:val="0"/>
      <w:divBdr>
        <w:top w:val="none" w:sz="0" w:space="0" w:color="auto"/>
        <w:left w:val="none" w:sz="0" w:space="0" w:color="auto"/>
        <w:bottom w:val="none" w:sz="0" w:space="0" w:color="auto"/>
        <w:right w:val="none" w:sz="0" w:space="0" w:color="auto"/>
      </w:divBdr>
      <w:divsChild>
        <w:div w:id="845021991">
          <w:marLeft w:val="0"/>
          <w:marRight w:val="0"/>
          <w:marTop w:val="0"/>
          <w:marBottom w:val="0"/>
          <w:divBdr>
            <w:top w:val="none" w:sz="0" w:space="0" w:color="auto"/>
            <w:left w:val="none" w:sz="0" w:space="0" w:color="auto"/>
            <w:bottom w:val="none" w:sz="0" w:space="0" w:color="auto"/>
            <w:right w:val="none" w:sz="0" w:space="0" w:color="auto"/>
          </w:divBdr>
        </w:div>
        <w:div w:id="2012639882">
          <w:marLeft w:val="0"/>
          <w:marRight w:val="0"/>
          <w:marTop w:val="0"/>
          <w:marBottom w:val="0"/>
          <w:divBdr>
            <w:top w:val="none" w:sz="0" w:space="0" w:color="auto"/>
            <w:left w:val="none" w:sz="0" w:space="0" w:color="auto"/>
            <w:bottom w:val="none" w:sz="0" w:space="0" w:color="auto"/>
            <w:right w:val="none" w:sz="0" w:space="0" w:color="auto"/>
          </w:divBdr>
        </w:div>
      </w:divsChild>
    </w:div>
    <w:div w:id="63727825">
      <w:bodyDiv w:val="1"/>
      <w:marLeft w:val="0"/>
      <w:marRight w:val="0"/>
      <w:marTop w:val="0"/>
      <w:marBottom w:val="0"/>
      <w:divBdr>
        <w:top w:val="none" w:sz="0" w:space="0" w:color="auto"/>
        <w:left w:val="none" w:sz="0" w:space="0" w:color="auto"/>
        <w:bottom w:val="none" w:sz="0" w:space="0" w:color="auto"/>
        <w:right w:val="none" w:sz="0" w:space="0" w:color="auto"/>
      </w:divBdr>
    </w:div>
    <w:div w:id="63843954">
      <w:bodyDiv w:val="1"/>
      <w:marLeft w:val="0"/>
      <w:marRight w:val="0"/>
      <w:marTop w:val="0"/>
      <w:marBottom w:val="0"/>
      <w:divBdr>
        <w:top w:val="none" w:sz="0" w:space="0" w:color="auto"/>
        <w:left w:val="none" w:sz="0" w:space="0" w:color="auto"/>
        <w:bottom w:val="none" w:sz="0" w:space="0" w:color="auto"/>
        <w:right w:val="none" w:sz="0" w:space="0" w:color="auto"/>
      </w:divBdr>
    </w:div>
    <w:div w:id="79714505">
      <w:bodyDiv w:val="1"/>
      <w:marLeft w:val="0"/>
      <w:marRight w:val="0"/>
      <w:marTop w:val="0"/>
      <w:marBottom w:val="0"/>
      <w:divBdr>
        <w:top w:val="none" w:sz="0" w:space="0" w:color="auto"/>
        <w:left w:val="none" w:sz="0" w:space="0" w:color="auto"/>
        <w:bottom w:val="none" w:sz="0" w:space="0" w:color="auto"/>
        <w:right w:val="none" w:sz="0" w:space="0" w:color="auto"/>
      </w:divBdr>
    </w:div>
    <w:div w:id="97333000">
      <w:bodyDiv w:val="1"/>
      <w:marLeft w:val="0"/>
      <w:marRight w:val="0"/>
      <w:marTop w:val="0"/>
      <w:marBottom w:val="0"/>
      <w:divBdr>
        <w:top w:val="none" w:sz="0" w:space="0" w:color="auto"/>
        <w:left w:val="none" w:sz="0" w:space="0" w:color="auto"/>
        <w:bottom w:val="none" w:sz="0" w:space="0" w:color="auto"/>
        <w:right w:val="none" w:sz="0" w:space="0" w:color="auto"/>
      </w:divBdr>
    </w:div>
    <w:div w:id="106196782">
      <w:bodyDiv w:val="1"/>
      <w:marLeft w:val="0"/>
      <w:marRight w:val="0"/>
      <w:marTop w:val="0"/>
      <w:marBottom w:val="0"/>
      <w:divBdr>
        <w:top w:val="none" w:sz="0" w:space="0" w:color="auto"/>
        <w:left w:val="none" w:sz="0" w:space="0" w:color="auto"/>
        <w:bottom w:val="none" w:sz="0" w:space="0" w:color="auto"/>
        <w:right w:val="none" w:sz="0" w:space="0" w:color="auto"/>
      </w:divBdr>
      <w:divsChild>
        <w:div w:id="1053777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737906">
              <w:marLeft w:val="0"/>
              <w:marRight w:val="0"/>
              <w:marTop w:val="0"/>
              <w:marBottom w:val="0"/>
              <w:divBdr>
                <w:top w:val="none" w:sz="0" w:space="0" w:color="auto"/>
                <w:left w:val="none" w:sz="0" w:space="0" w:color="auto"/>
                <w:bottom w:val="none" w:sz="0" w:space="0" w:color="auto"/>
                <w:right w:val="none" w:sz="0" w:space="0" w:color="auto"/>
              </w:divBdr>
              <w:divsChild>
                <w:div w:id="14292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3687">
      <w:bodyDiv w:val="1"/>
      <w:marLeft w:val="0"/>
      <w:marRight w:val="0"/>
      <w:marTop w:val="0"/>
      <w:marBottom w:val="0"/>
      <w:divBdr>
        <w:top w:val="none" w:sz="0" w:space="0" w:color="auto"/>
        <w:left w:val="none" w:sz="0" w:space="0" w:color="auto"/>
        <w:bottom w:val="none" w:sz="0" w:space="0" w:color="auto"/>
        <w:right w:val="none" w:sz="0" w:space="0" w:color="auto"/>
      </w:divBdr>
    </w:div>
    <w:div w:id="122313567">
      <w:bodyDiv w:val="1"/>
      <w:marLeft w:val="0"/>
      <w:marRight w:val="0"/>
      <w:marTop w:val="0"/>
      <w:marBottom w:val="0"/>
      <w:divBdr>
        <w:top w:val="none" w:sz="0" w:space="0" w:color="auto"/>
        <w:left w:val="none" w:sz="0" w:space="0" w:color="auto"/>
        <w:bottom w:val="none" w:sz="0" w:space="0" w:color="auto"/>
        <w:right w:val="none" w:sz="0" w:space="0" w:color="auto"/>
      </w:divBdr>
      <w:divsChild>
        <w:div w:id="1090472178">
          <w:marLeft w:val="0"/>
          <w:marRight w:val="0"/>
          <w:marTop w:val="0"/>
          <w:marBottom w:val="0"/>
          <w:divBdr>
            <w:top w:val="none" w:sz="0" w:space="0" w:color="auto"/>
            <w:left w:val="none" w:sz="0" w:space="0" w:color="auto"/>
            <w:bottom w:val="none" w:sz="0" w:space="0" w:color="auto"/>
            <w:right w:val="none" w:sz="0" w:space="0" w:color="auto"/>
          </w:divBdr>
          <w:divsChild>
            <w:div w:id="1025596878">
              <w:marLeft w:val="0"/>
              <w:marRight w:val="0"/>
              <w:marTop w:val="0"/>
              <w:marBottom w:val="0"/>
              <w:divBdr>
                <w:top w:val="none" w:sz="0" w:space="0" w:color="auto"/>
                <w:left w:val="none" w:sz="0" w:space="0" w:color="auto"/>
                <w:bottom w:val="none" w:sz="0" w:space="0" w:color="auto"/>
                <w:right w:val="none" w:sz="0" w:space="0" w:color="auto"/>
              </w:divBdr>
              <w:divsChild>
                <w:div w:id="1093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2640">
      <w:bodyDiv w:val="1"/>
      <w:marLeft w:val="0"/>
      <w:marRight w:val="0"/>
      <w:marTop w:val="0"/>
      <w:marBottom w:val="0"/>
      <w:divBdr>
        <w:top w:val="none" w:sz="0" w:space="0" w:color="auto"/>
        <w:left w:val="none" w:sz="0" w:space="0" w:color="auto"/>
        <w:bottom w:val="none" w:sz="0" w:space="0" w:color="auto"/>
        <w:right w:val="none" w:sz="0" w:space="0" w:color="auto"/>
      </w:divBdr>
    </w:div>
    <w:div w:id="128983176">
      <w:bodyDiv w:val="1"/>
      <w:marLeft w:val="0"/>
      <w:marRight w:val="0"/>
      <w:marTop w:val="0"/>
      <w:marBottom w:val="0"/>
      <w:divBdr>
        <w:top w:val="none" w:sz="0" w:space="0" w:color="auto"/>
        <w:left w:val="none" w:sz="0" w:space="0" w:color="auto"/>
        <w:bottom w:val="none" w:sz="0" w:space="0" w:color="auto"/>
        <w:right w:val="none" w:sz="0" w:space="0" w:color="auto"/>
      </w:divBdr>
    </w:div>
    <w:div w:id="138422419">
      <w:bodyDiv w:val="1"/>
      <w:marLeft w:val="0"/>
      <w:marRight w:val="0"/>
      <w:marTop w:val="0"/>
      <w:marBottom w:val="0"/>
      <w:divBdr>
        <w:top w:val="none" w:sz="0" w:space="0" w:color="auto"/>
        <w:left w:val="none" w:sz="0" w:space="0" w:color="auto"/>
        <w:bottom w:val="none" w:sz="0" w:space="0" w:color="auto"/>
        <w:right w:val="none" w:sz="0" w:space="0" w:color="auto"/>
      </w:divBdr>
    </w:div>
    <w:div w:id="158349840">
      <w:bodyDiv w:val="1"/>
      <w:marLeft w:val="0"/>
      <w:marRight w:val="0"/>
      <w:marTop w:val="0"/>
      <w:marBottom w:val="0"/>
      <w:divBdr>
        <w:top w:val="none" w:sz="0" w:space="0" w:color="auto"/>
        <w:left w:val="none" w:sz="0" w:space="0" w:color="auto"/>
        <w:bottom w:val="none" w:sz="0" w:space="0" w:color="auto"/>
        <w:right w:val="none" w:sz="0" w:space="0" w:color="auto"/>
      </w:divBdr>
      <w:divsChild>
        <w:div w:id="1177964747">
          <w:marLeft w:val="0"/>
          <w:marRight w:val="0"/>
          <w:marTop w:val="0"/>
          <w:marBottom w:val="0"/>
          <w:divBdr>
            <w:top w:val="none" w:sz="0" w:space="0" w:color="auto"/>
            <w:left w:val="none" w:sz="0" w:space="0" w:color="auto"/>
            <w:bottom w:val="none" w:sz="0" w:space="0" w:color="auto"/>
            <w:right w:val="none" w:sz="0" w:space="0" w:color="auto"/>
          </w:divBdr>
          <w:divsChild>
            <w:div w:id="414278988">
              <w:marLeft w:val="0"/>
              <w:marRight w:val="0"/>
              <w:marTop w:val="0"/>
              <w:marBottom w:val="0"/>
              <w:divBdr>
                <w:top w:val="none" w:sz="0" w:space="0" w:color="auto"/>
                <w:left w:val="none" w:sz="0" w:space="0" w:color="auto"/>
                <w:bottom w:val="none" w:sz="0" w:space="0" w:color="auto"/>
                <w:right w:val="none" w:sz="0" w:space="0" w:color="auto"/>
              </w:divBdr>
              <w:divsChild>
                <w:div w:id="7538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0637">
      <w:bodyDiv w:val="1"/>
      <w:marLeft w:val="0"/>
      <w:marRight w:val="0"/>
      <w:marTop w:val="0"/>
      <w:marBottom w:val="0"/>
      <w:divBdr>
        <w:top w:val="none" w:sz="0" w:space="0" w:color="auto"/>
        <w:left w:val="none" w:sz="0" w:space="0" w:color="auto"/>
        <w:bottom w:val="none" w:sz="0" w:space="0" w:color="auto"/>
        <w:right w:val="none" w:sz="0" w:space="0" w:color="auto"/>
      </w:divBdr>
    </w:div>
    <w:div w:id="180045533">
      <w:bodyDiv w:val="1"/>
      <w:marLeft w:val="0"/>
      <w:marRight w:val="0"/>
      <w:marTop w:val="0"/>
      <w:marBottom w:val="0"/>
      <w:divBdr>
        <w:top w:val="none" w:sz="0" w:space="0" w:color="auto"/>
        <w:left w:val="none" w:sz="0" w:space="0" w:color="auto"/>
        <w:bottom w:val="none" w:sz="0" w:space="0" w:color="auto"/>
        <w:right w:val="none" w:sz="0" w:space="0" w:color="auto"/>
      </w:divBdr>
      <w:divsChild>
        <w:div w:id="1219047921">
          <w:marLeft w:val="0"/>
          <w:marRight w:val="0"/>
          <w:marTop w:val="0"/>
          <w:marBottom w:val="0"/>
          <w:divBdr>
            <w:top w:val="none" w:sz="0" w:space="0" w:color="auto"/>
            <w:left w:val="none" w:sz="0" w:space="0" w:color="auto"/>
            <w:bottom w:val="none" w:sz="0" w:space="0" w:color="auto"/>
            <w:right w:val="none" w:sz="0" w:space="0" w:color="auto"/>
          </w:divBdr>
          <w:divsChild>
            <w:div w:id="1251353484">
              <w:marLeft w:val="0"/>
              <w:marRight w:val="0"/>
              <w:marTop w:val="0"/>
              <w:marBottom w:val="0"/>
              <w:divBdr>
                <w:top w:val="none" w:sz="0" w:space="0" w:color="auto"/>
                <w:left w:val="none" w:sz="0" w:space="0" w:color="auto"/>
                <w:bottom w:val="none" w:sz="0" w:space="0" w:color="auto"/>
                <w:right w:val="none" w:sz="0" w:space="0" w:color="auto"/>
              </w:divBdr>
              <w:divsChild>
                <w:div w:id="1681198923">
                  <w:marLeft w:val="0"/>
                  <w:marRight w:val="0"/>
                  <w:marTop w:val="0"/>
                  <w:marBottom w:val="0"/>
                  <w:divBdr>
                    <w:top w:val="none" w:sz="0" w:space="0" w:color="auto"/>
                    <w:left w:val="none" w:sz="0" w:space="0" w:color="auto"/>
                    <w:bottom w:val="none" w:sz="0" w:space="0" w:color="auto"/>
                    <w:right w:val="none" w:sz="0" w:space="0" w:color="auto"/>
                  </w:divBdr>
                  <w:divsChild>
                    <w:div w:id="3666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2789">
      <w:bodyDiv w:val="1"/>
      <w:marLeft w:val="0"/>
      <w:marRight w:val="0"/>
      <w:marTop w:val="0"/>
      <w:marBottom w:val="0"/>
      <w:divBdr>
        <w:top w:val="none" w:sz="0" w:space="0" w:color="auto"/>
        <w:left w:val="none" w:sz="0" w:space="0" w:color="auto"/>
        <w:bottom w:val="none" w:sz="0" w:space="0" w:color="auto"/>
        <w:right w:val="none" w:sz="0" w:space="0" w:color="auto"/>
      </w:divBdr>
    </w:div>
    <w:div w:id="192807487">
      <w:bodyDiv w:val="1"/>
      <w:marLeft w:val="0"/>
      <w:marRight w:val="0"/>
      <w:marTop w:val="0"/>
      <w:marBottom w:val="0"/>
      <w:divBdr>
        <w:top w:val="none" w:sz="0" w:space="0" w:color="auto"/>
        <w:left w:val="none" w:sz="0" w:space="0" w:color="auto"/>
        <w:bottom w:val="none" w:sz="0" w:space="0" w:color="auto"/>
        <w:right w:val="none" w:sz="0" w:space="0" w:color="auto"/>
      </w:divBdr>
    </w:div>
    <w:div w:id="215826092">
      <w:bodyDiv w:val="1"/>
      <w:marLeft w:val="0"/>
      <w:marRight w:val="0"/>
      <w:marTop w:val="0"/>
      <w:marBottom w:val="0"/>
      <w:divBdr>
        <w:top w:val="none" w:sz="0" w:space="0" w:color="auto"/>
        <w:left w:val="none" w:sz="0" w:space="0" w:color="auto"/>
        <w:bottom w:val="none" w:sz="0" w:space="0" w:color="auto"/>
        <w:right w:val="none" w:sz="0" w:space="0" w:color="auto"/>
      </w:divBdr>
    </w:div>
    <w:div w:id="259024953">
      <w:bodyDiv w:val="1"/>
      <w:marLeft w:val="0"/>
      <w:marRight w:val="0"/>
      <w:marTop w:val="0"/>
      <w:marBottom w:val="0"/>
      <w:divBdr>
        <w:top w:val="none" w:sz="0" w:space="0" w:color="auto"/>
        <w:left w:val="none" w:sz="0" w:space="0" w:color="auto"/>
        <w:bottom w:val="none" w:sz="0" w:space="0" w:color="auto"/>
        <w:right w:val="none" w:sz="0" w:space="0" w:color="auto"/>
      </w:divBdr>
    </w:div>
    <w:div w:id="264964584">
      <w:bodyDiv w:val="1"/>
      <w:marLeft w:val="0"/>
      <w:marRight w:val="0"/>
      <w:marTop w:val="0"/>
      <w:marBottom w:val="0"/>
      <w:divBdr>
        <w:top w:val="none" w:sz="0" w:space="0" w:color="auto"/>
        <w:left w:val="none" w:sz="0" w:space="0" w:color="auto"/>
        <w:bottom w:val="none" w:sz="0" w:space="0" w:color="auto"/>
        <w:right w:val="none" w:sz="0" w:space="0" w:color="auto"/>
      </w:divBdr>
    </w:div>
    <w:div w:id="269968725">
      <w:bodyDiv w:val="1"/>
      <w:marLeft w:val="0"/>
      <w:marRight w:val="0"/>
      <w:marTop w:val="0"/>
      <w:marBottom w:val="0"/>
      <w:divBdr>
        <w:top w:val="none" w:sz="0" w:space="0" w:color="auto"/>
        <w:left w:val="none" w:sz="0" w:space="0" w:color="auto"/>
        <w:bottom w:val="none" w:sz="0" w:space="0" w:color="auto"/>
        <w:right w:val="none" w:sz="0" w:space="0" w:color="auto"/>
      </w:divBdr>
    </w:div>
    <w:div w:id="316035623">
      <w:bodyDiv w:val="1"/>
      <w:marLeft w:val="0"/>
      <w:marRight w:val="0"/>
      <w:marTop w:val="0"/>
      <w:marBottom w:val="0"/>
      <w:divBdr>
        <w:top w:val="none" w:sz="0" w:space="0" w:color="auto"/>
        <w:left w:val="none" w:sz="0" w:space="0" w:color="auto"/>
        <w:bottom w:val="none" w:sz="0" w:space="0" w:color="auto"/>
        <w:right w:val="none" w:sz="0" w:space="0" w:color="auto"/>
      </w:divBdr>
    </w:div>
    <w:div w:id="316811946">
      <w:bodyDiv w:val="1"/>
      <w:marLeft w:val="0"/>
      <w:marRight w:val="0"/>
      <w:marTop w:val="0"/>
      <w:marBottom w:val="0"/>
      <w:divBdr>
        <w:top w:val="none" w:sz="0" w:space="0" w:color="auto"/>
        <w:left w:val="none" w:sz="0" w:space="0" w:color="auto"/>
        <w:bottom w:val="none" w:sz="0" w:space="0" w:color="auto"/>
        <w:right w:val="none" w:sz="0" w:space="0" w:color="auto"/>
      </w:divBdr>
      <w:divsChild>
        <w:div w:id="280496212">
          <w:marLeft w:val="0"/>
          <w:marRight w:val="0"/>
          <w:marTop w:val="0"/>
          <w:marBottom w:val="0"/>
          <w:divBdr>
            <w:top w:val="none" w:sz="0" w:space="0" w:color="auto"/>
            <w:left w:val="none" w:sz="0" w:space="0" w:color="auto"/>
            <w:bottom w:val="none" w:sz="0" w:space="0" w:color="auto"/>
            <w:right w:val="none" w:sz="0" w:space="0" w:color="auto"/>
          </w:divBdr>
        </w:div>
        <w:div w:id="829515711">
          <w:marLeft w:val="0"/>
          <w:marRight w:val="0"/>
          <w:marTop w:val="0"/>
          <w:marBottom w:val="0"/>
          <w:divBdr>
            <w:top w:val="none" w:sz="0" w:space="0" w:color="auto"/>
            <w:left w:val="none" w:sz="0" w:space="0" w:color="auto"/>
            <w:bottom w:val="none" w:sz="0" w:space="0" w:color="auto"/>
            <w:right w:val="none" w:sz="0" w:space="0" w:color="auto"/>
          </w:divBdr>
        </w:div>
        <w:div w:id="1085953097">
          <w:marLeft w:val="0"/>
          <w:marRight w:val="0"/>
          <w:marTop w:val="0"/>
          <w:marBottom w:val="0"/>
          <w:divBdr>
            <w:top w:val="none" w:sz="0" w:space="0" w:color="auto"/>
            <w:left w:val="none" w:sz="0" w:space="0" w:color="auto"/>
            <w:bottom w:val="none" w:sz="0" w:space="0" w:color="auto"/>
            <w:right w:val="none" w:sz="0" w:space="0" w:color="auto"/>
          </w:divBdr>
        </w:div>
      </w:divsChild>
    </w:div>
    <w:div w:id="326399458">
      <w:bodyDiv w:val="1"/>
      <w:marLeft w:val="0"/>
      <w:marRight w:val="0"/>
      <w:marTop w:val="0"/>
      <w:marBottom w:val="0"/>
      <w:divBdr>
        <w:top w:val="none" w:sz="0" w:space="0" w:color="auto"/>
        <w:left w:val="none" w:sz="0" w:space="0" w:color="auto"/>
        <w:bottom w:val="none" w:sz="0" w:space="0" w:color="auto"/>
        <w:right w:val="none" w:sz="0" w:space="0" w:color="auto"/>
      </w:divBdr>
      <w:divsChild>
        <w:div w:id="374237742">
          <w:marLeft w:val="0"/>
          <w:marRight w:val="120"/>
          <w:marTop w:val="0"/>
          <w:marBottom w:val="0"/>
          <w:divBdr>
            <w:top w:val="none" w:sz="0" w:space="0" w:color="auto"/>
            <w:left w:val="none" w:sz="0" w:space="0" w:color="auto"/>
            <w:bottom w:val="none" w:sz="0" w:space="0" w:color="auto"/>
            <w:right w:val="none" w:sz="0" w:space="0" w:color="auto"/>
          </w:divBdr>
        </w:div>
      </w:divsChild>
    </w:div>
    <w:div w:id="332799473">
      <w:bodyDiv w:val="1"/>
      <w:marLeft w:val="0"/>
      <w:marRight w:val="0"/>
      <w:marTop w:val="0"/>
      <w:marBottom w:val="0"/>
      <w:divBdr>
        <w:top w:val="none" w:sz="0" w:space="0" w:color="auto"/>
        <w:left w:val="none" w:sz="0" w:space="0" w:color="auto"/>
        <w:bottom w:val="none" w:sz="0" w:space="0" w:color="auto"/>
        <w:right w:val="none" w:sz="0" w:space="0" w:color="auto"/>
      </w:divBdr>
    </w:div>
    <w:div w:id="341394640">
      <w:bodyDiv w:val="1"/>
      <w:marLeft w:val="0"/>
      <w:marRight w:val="0"/>
      <w:marTop w:val="0"/>
      <w:marBottom w:val="0"/>
      <w:divBdr>
        <w:top w:val="none" w:sz="0" w:space="0" w:color="auto"/>
        <w:left w:val="none" w:sz="0" w:space="0" w:color="auto"/>
        <w:bottom w:val="none" w:sz="0" w:space="0" w:color="auto"/>
        <w:right w:val="none" w:sz="0" w:space="0" w:color="auto"/>
      </w:divBdr>
      <w:divsChild>
        <w:div w:id="171260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282390">
              <w:marLeft w:val="0"/>
              <w:marRight w:val="0"/>
              <w:marTop w:val="0"/>
              <w:marBottom w:val="0"/>
              <w:divBdr>
                <w:top w:val="none" w:sz="0" w:space="0" w:color="auto"/>
                <w:left w:val="none" w:sz="0" w:space="0" w:color="auto"/>
                <w:bottom w:val="none" w:sz="0" w:space="0" w:color="auto"/>
                <w:right w:val="none" w:sz="0" w:space="0" w:color="auto"/>
              </w:divBdr>
              <w:divsChild>
                <w:div w:id="16748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7231">
      <w:bodyDiv w:val="1"/>
      <w:marLeft w:val="0"/>
      <w:marRight w:val="0"/>
      <w:marTop w:val="0"/>
      <w:marBottom w:val="0"/>
      <w:divBdr>
        <w:top w:val="none" w:sz="0" w:space="0" w:color="auto"/>
        <w:left w:val="none" w:sz="0" w:space="0" w:color="auto"/>
        <w:bottom w:val="none" w:sz="0" w:space="0" w:color="auto"/>
        <w:right w:val="none" w:sz="0" w:space="0" w:color="auto"/>
      </w:divBdr>
    </w:div>
    <w:div w:id="380055278">
      <w:bodyDiv w:val="1"/>
      <w:marLeft w:val="0"/>
      <w:marRight w:val="0"/>
      <w:marTop w:val="0"/>
      <w:marBottom w:val="0"/>
      <w:divBdr>
        <w:top w:val="none" w:sz="0" w:space="0" w:color="auto"/>
        <w:left w:val="none" w:sz="0" w:space="0" w:color="auto"/>
        <w:bottom w:val="none" w:sz="0" w:space="0" w:color="auto"/>
        <w:right w:val="none" w:sz="0" w:space="0" w:color="auto"/>
      </w:divBdr>
    </w:div>
    <w:div w:id="391738209">
      <w:bodyDiv w:val="1"/>
      <w:marLeft w:val="0"/>
      <w:marRight w:val="0"/>
      <w:marTop w:val="0"/>
      <w:marBottom w:val="0"/>
      <w:divBdr>
        <w:top w:val="none" w:sz="0" w:space="0" w:color="auto"/>
        <w:left w:val="none" w:sz="0" w:space="0" w:color="auto"/>
        <w:bottom w:val="none" w:sz="0" w:space="0" w:color="auto"/>
        <w:right w:val="none" w:sz="0" w:space="0" w:color="auto"/>
      </w:divBdr>
    </w:div>
    <w:div w:id="434323504">
      <w:bodyDiv w:val="1"/>
      <w:marLeft w:val="0"/>
      <w:marRight w:val="0"/>
      <w:marTop w:val="0"/>
      <w:marBottom w:val="0"/>
      <w:divBdr>
        <w:top w:val="none" w:sz="0" w:space="0" w:color="auto"/>
        <w:left w:val="none" w:sz="0" w:space="0" w:color="auto"/>
        <w:bottom w:val="none" w:sz="0" w:space="0" w:color="auto"/>
        <w:right w:val="none" w:sz="0" w:space="0" w:color="auto"/>
      </w:divBdr>
    </w:div>
    <w:div w:id="457335351">
      <w:bodyDiv w:val="1"/>
      <w:marLeft w:val="0"/>
      <w:marRight w:val="0"/>
      <w:marTop w:val="0"/>
      <w:marBottom w:val="0"/>
      <w:divBdr>
        <w:top w:val="none" w:sz="0" w:space="0" w:color="auto"/>
        <w:left w:val="none" w:sz="0" w:space="0" w:color="auto"/>
        <w:bottom w:val="none" w:sz="0" w:space="0" w:color="auto"/>
        <w:right w:val="none" w:sz="0" w:space="0" w:color="auto"/>
      </w:divBdr>
    </w:div>
    <w:div w:id="463235981">
      <w:bodyDiv w:val="1"/>
      <w:marLeft w:val="0"/>
      <w:marRight w:val="0"/>
      <w:marTop w:val="0"/>
      <w:marBottom w:val="0"/>
      <w:divBdr>
        <w:top w:val="none" w:sz="0" w:space="0" w:color="auto"/>
        <w:left w:val="none" w:sz="0" w:space="0" w:color="auto"/>
        <w:bottom w:val="none" w:sz="0" w:space="0" w:color="auto"/>
        <w:right w:val="none" w:sz="0" w:space="0" w:color="auto"/>
      </w:divBdr>
    </w:div>
    <w:div w:id="472866904">
      <w:bodyDiv w:val="1"/>
      <w:marLeft w:val="0"/>
      <w:marRight w:val="0"/>
      <w:marTop w:val="0"/>
      <w:marBottom w:val="0"/>
      <w:divBdr>
        <w:top w:val="none" w:sz="0" w:space="0" w:color="auto"/>
        <w:left w:val="none" w:sz="0" w:space="0" w:color="auto"/>
        <w:bottom w:val="none" w:sz="0" w:space="0" w:color="auto"/>
        <w:right w:val="none" w:sz="0" w:space="0" w:color="auto"/>
      </w:divBdr>
      <w:divsChild>
        <w:div w:id="1347558803">
          <w:marLeft w:val="0"/>
          <w:marRight w:val="0"/>
          <w:marTop w:val="0"/>
          <w:marBottom w:val="0"/>
          <w:divBdr>
            <w:top w:val="none" w:sz="0" w:space="0" w:color="auto"/>
            <w:left w:val="none" w:sz="0" w:space="0" w:color="auto"/>
            <w:bottom w:val="none" w:sz="0" w:space="0" w:color="auto"/>
            <w:right w:val="none" w:sz="0" w:space="0" w:color="auto"/>
          </w:divBdr>
          <w:divsChild>
            <w:div w:id="103156792">
              <w:marLeft w:val="0"/>
              <w:marRight w:val="0"/>
              <w:marTop w:val="0"/>
              <w:marBottom w:val="0"/>
              <w:divBdr>
                <w:top w:val="none" w:sz="0" w:space="0" w:color="auto"/>
                <w:left w:val="none" w:sz="0" w:space="0" w:color="auto"/>
                <w:bottom w:val="none" w:sz="0" w:space="0" w:color="auto"/>
                <w:right w:val="none" w:sz="0" w:space="0" w:color="auto"/>
              </w:divBdr>
              <w:divsChild>
                <w:div w:id="13079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642765">
      <w:bodyDiv w:val="1"/>
      <w:marLeft w:val="0"/>
      <w:marRight w:val="0"/>
      <w:marTop w:val="0"/>
      <w:marBottom w:val="0"/>
      <w:divBdr>
        <w:top w:val="none" w:sz="0" w:space="0" w:color="auto"/>
        <w:left w:val="none" w:sz="0" w:space="0" w:color="auto"/>
        <w:bottom w:val="none" w:sz="0" w:space="0" w:color="auto"/>
        <w:right w:val="none" w:sz="0" w:space="0" w:color="auto"/>
      </w:divBdr>
      <w:divsChild>
        <w:div w:id="596059314">
          <w:marLeft w:val="0"/>
          <w:marRight w:val="0"/>
          <w:marTop w:val="0"/>
          <w:marBottom w:val="0"/>
          <w:divBdr>
            <w:top w:val="none" w:sz="0" w:space="0" w:color="auto"/>
            <w:left w:val="none" w:sz="0" w:space="0" w:color="auto"/>
            <w:bottom w:val="none" w:sz="0" w:space="0" w:color="auto"/>
            <w:right w:val="none" w:sz="0" w:space="0" w:color="auto"/>
          </w:divBdr>
        </w:div>
        <w:div w:id="1352024927">
          <w:marLeft w:val="0"/>
          <w:marRight w:val="0"/>
          <w:marTop w:val="0"/>
          <w:marBottom w:val="0"/>
          <w:divBdr>
            <w:top w:val="none" w:sz="0" w:space="0" w:color="auto"/>
            <w:left w:val="none" w:sz="0" w:space="0" w:color="auto"/>
            <w:bottom w:val="none" w:sz="0" w:space="0" w:color="auto"/>
            <w:right w:val="none" w:sz="0" w:space="0" w:color="auto"/>
          </w:divBdr>
        </w:div>
        <w:div w:id="1564365625">
          <w:marLeft w:val="0"/>
          <w:marRight w:val="0"/>
          <w:marTop w:val="0"/>
          <w:marBottom w:val="0"/>
          <w:divBdr>
            <w:top w:val="none" w:sz="0" w:space="0" w:color="auto"/>
            <w:left w:val="none" w:sz="0" w:space="0" w:color="auto"/>
            <w:bottom w:val="none" w:sz="0" w:space="0" w:color="auto"/>
            <w:right w:val="none" w:sz="0" w:space="0" w:color="auto"/>
          </w:divBdr>
        </w:div>
      </w:divsChild>
    </w:div>
    <w:div w:id="511847092">
      <w:bodyDiv w:val="1"/>
      <w:marLeft w:val="0"/>
      <w:marRight w:val="0"/>
      <w:marTop w:val="0"/>
      <w:marBottom w:val="0"/>
      <w:divBdr>
        <w:top w:val="none" w:sz="0" w:space="0" w:color="auto"/>
        <w:left w:val="none" w:sz="0" w:space="0" w:color="auto"/>
        <w:bottom w:val="none" w:sz="0" w:space="0" w:color="auto"/>
        <w:right w:val="none" w:sz="0" w:space="0" w:color="auto"/>
      </w:divBdr>
    </w:div>
    <w:div w:id="513806560">
      <w:bodyDiv w:val="1"/>
      <w:marLeft w:val="0"/>
      <w:marRight w:val="0"/>
      <w:marTop w:val="0"/>
      <w:marBottom w:val="0"/>
      <w:divBdr>
        <w:top w:val="none" w:sz="0" w:space="0" w:color="auto"/>
        <w:left w:val="none" w:sz="0" w:space="0" w:color="auto"/>
        <w:bottom w:val="none" w:sz="0" w:space="0" w:color="auto"/>
        <w:right w:val="none" w:sz="0" w:space="0" w:color="auto"/>
      </w:divBdr>
    </w:div>
    <w:div w:id="514222853">
      <w:bodyDiv w:val="1"/>
      <w:marLeft w:val="0"/>
      <w:marRight w:val="0"/>
      <w:marTop w:val="0"/>
      <w:marBottom w:val="0"/>
      <w:divBdr>
        <w:top w:val="none" w:sz="0" w:space="0" w:color="auto"/>
        <w:left w:val="none" w:sz="0" w:space="0" w:color="auto"/>
        <w:bottom w:val="none" w:sz="0" w:space="0" w:color="auto"/>
        <w:right w:val="none" w:sz="0" w:space="0" w:color="auto"/>
      </w:divBdr>
      <w:divsChild>
        <w:div w:id="874540477">
          <w:marLeft w:val="-223"/>
          <w:marRight w:val="0"/>
          <w:marTop w:val="0"/>
          <w:marBottom w:val="0"/>
          <w:divBdr>
            <w:top w:val="none" w:sz="0" w:space="0" w:color="auto"/>
            <w:left w:val="none" w:sz="0" w:space="0" w:color="auto"/>
            <w:bottom w:val="none" w:sz="0" w:space="0" w:color="auto"/>
            <w:right w:val="none" w:sz="0" w:space="0" w:color="auto"/>
          </w:divBdr>
        </w:div>
      </w:divsChild>
    </w:div>
    <w:div w:id="531386057">
      <w:bodyDiv w:val="1"/>
      <w:marLeft w:val="0"/>
      <w:marRight w:val="0"/>
      <w:marTop w:val="0"/>
      <w:marBottom w:val="0"/>
      <w:divBdr>
        <w:top w:val="none" w:sz="0" w:space="0" w:color="auto"/>
        <w:left w:val="none" w:sz="0" w:space="0" w:color="auto"/>
        <w:bottom w:val="none" w:sz="0" w:space="0" w:color="auto"/>
        <w:right w:val="none" w:sz="0" w:space="0" w:color="auto"/>
      </w:divBdr>
      <w:divsChild>
        <w:div w:id="1977907433">
          <w:marLeft w:val="0"/>
          <w:marRight w:val="0"/>
          <w:marTop w:val="0"/>
          <w:marBottom w:val="0"/>
          <w:divBdr>
            <w:top w:val="none" w:sz="0" w:space="0" w:color="auto"/>
            <w:left w:val="none" w:sz="0" w:space="0" w:color="auto"/>
            <w:bottom w:val="none" w:sz="0" w:space="0" w:color="auto"/>
            <w:right w:val="none" w:sz="0" w:space="0" w:color="auto"/>
          </w:divBdr>
          <w:divsChild>
            <w:div w:id="1554002914">
              <w:marLeft w:val="0"/>
              <w:marRight w:val="0"/>
              <w:marTop w:val="0"/>
              <w:marBottom w:val="0"/>
              <w:divBdr>
                <w:top w:val="none" w:sz="0" w:space="0" w:color="auto"/>
                <w:left w:val="none" w:sz="0" w:space="0" w:color="auto"/>
                <w:bottom w:val="none" w:sz="0" w:space="0" w:color="auto"/>
                <w:right w:val="none" w:sz="0" w:space="0" w:color="auto"/>
              </w:divBdr>
              <w:divsChild>
                <w:div w:id="4537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3880">
      <w:bodyDiv w:val="1"/>
      <w:marLeft w:val="0"/>
      <w:marRight w:val="0"/>
      <w:marTop w:val="0"/>
      <w:marBottom w:val="0"/>
      <w:divBdr>
        <w:top w:val="none" w:sz="0" w:space="0" w:color="auto"/>
        <w:left w:val="none" w:sz="0" w:space="0" w:color="auto"/>
        <w:bottom w:val="none" w:sz="0" w:space="0" w:color="auto"/>
        <w:right w:val="none" w:sz="0" w:space="0" w:color="auto"/>
      </w:divBdr>
    </w:div>
    <w:div w:id="540673619">
      <w:bodyDiv w:val="1"/>
      <w:marLeft w:val="0"/>
      <w:marRight w:val="0"/>
      <w:marTop w:val="0"/>
      <w:marBottom w:val="0"/>
      <w:divBdr>
        <w:top w:val="none" w:sz="0" w:space="0" w:color="auto"/>
        <w:left w:val="none" w:sz="0" w:space="0" w:color="auto"/>
        <w:bottom w:val="none" w:sz="0" w:space="0" w:color="auto"/>
        <w:right w:val="none" w:sz="0" w:space="0" w:color="auto"/>
      </w:divBdr>
    </w:div>
    <w:div w:id="550265072">
      <w:bodyDiv w:val="1"/>
      <w:marLeft w:val="0"/>
      <w:marRight w:val="0"/>
      <w:marTop w:val="0"/>
      <w:marBottom w:val="0"/>
      <w:divBdr>
        <w:top w:val="none" w:sz="0" w:space="0" w:color="auto"/>
        <w:left w:val="none" w:sz="0" w:space="0" w:color="auto"/>
        <w:bottom w:val="none" w:sz="0" w:space="0" w:color="auto"/>
        <w:right w:val="none" w:sz="0" w:space="0" w:color="auto"/>
      </w:divBdr>
    </w:div>
    <w:div w:id="568537368">
      <w:bodyDiv w:val="1"/>
      <w:marLeft w:val="0"/>
      <w:marRight w:val="0"/>
      <w:marTop w:val="0"/>
      <w:marBottom w:val="0"/>
      <w:divBdr>
        <w:top w:val="none" w:sz="0" w:space="0" w:color="auto"/>
        <w:left w:val="none" w:sz="0" w:space="0" w:color="auto"/>
        <w:bottom w:val="none" w:sz="0" w:space="0" w:color="auto"/>
        <w:right w:val="none" w:sz="0" w:space="0" w:color="auto"/>
      </w:divBdr>
    </w:div>
    <w:div w:id="571890938">
      <w:bodyDiv w:val="1"/>
      <w:marLeft w:val="0"/>
      <w:marRight w:val="0"/>
      <w:marTop w:val="0"/>
      <w:marBottom w:val="0"/>
      <w:divBdr>
        <w:top w:val="none" w:sz="0" w:space="0" w:color="auto"/>
        <w:left w:val="none" w:sz="0" w:space="0" w:color="auto"/>
        <w:bottom w:val="none" w:sz="0" w:space="0" w:color="auto"/>
        <w:right w:val="none" w:sz="0" w:space="0" w:color="auto"/>
      </w:divBdr>
    </w:div>
    <w:div w:id="571937963">
      <w:bodyDiv w:val="1"/>
      <w:marLeft w:val="0"/>
      <w:marRight w:val="0"/>
      <w:marTop w:val="0"/>
      <w:marBottom w:val="0"/>
      <w:divBdr>
        <w:top w:val="none" w:sz="0" w:space="0" w:color="auto"/>
        <w:left w:val="none" w:sz="0" w:space="0" w:color="auto"/>
        <w:bottom w:val="none" w:sz="0" w:space="0" w:color="auto"/>
        <w:right w:val="none" w:sz="0" w:space="0" w:color="auto"/>
      </w:divBdr>
    </w:div>
    <w:div w:id="582682401">
      <w:bodyDiv w:val="1"/>
      <w:marLeft w:val="0"/>
      <w:marRight w:val="0"/>
      <w:marTop w:val="0"/>
      <w:marBottom w:val="0"/>
      <w:divBdr>
        <w:top w:val="none" w:sz="0" w:space="0" w:color="auto"/>
        <w:left w:val="none" w:sz="0" w:space="0" w:color="auto"/>
        <w:bottom w:val="none" w:sz="0" w:space="0" w:color="auto"/>
        <w:right w:val="none" w:sz="0" w:space="0" w:color="auto"/>
      </w:divBdr>
      <w:divsChild>
        <w:div w:id="1372270476">
          <w:marLeft w:val="0"/>
          <w:marRight w:val="0"/>
          <w:marTop w:val="0"/>
          <w:marBottom w:val="0"/>
          <w:divBdr>
            <w:top w:val="none" w:sz="0" w:space="0" w:color="auto"/>
            <w:left w:val="none" w:sz="0" w:space="0" w:color="auto"/>
            <w:bottom w:val="none" w:sz="0" w:space="0" w:color="auto"/>
            <w:right w:val="none" w:sz="0" w:space="0" w:color="auto"/>
          </w:divBdr>
          <w:divsChild>
            <w:div w:id="1043287097">
              <w:marLeft w:val="0"/>
              <w:marRight w:val="0"/>
              <w:marTop w:val="0"/>
              <w:marBottom w:val="0"/>
              <w:divBdr>
                <w:top w:val="none" w:sz="0" w:space="0" w:color="auto"/>
                <w:left w:val="none" w:sz="0" w:space="0" w:color="auto"/>
                <w:bottom w:val="none" w:sz="0" w:space="0" w:color="auto"/>
                <w:right w:val="none" w:sz="0" w:space="0" w:color="auto"/>
              </w:divBdr>
              <w:divsChild>
                <w:div w:id="183795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10510">
      <w:bodyDiv w:val="1"/>
      <w:marLeft w:val="0"/>
      <w:marRight w:val="0"/>
      <w:marTop w:val="0"/>
      <w:marBottom w:val="0"/>
      <w:divBdr>
        <w:top w:val="none" w:sz="0" w:space="0" w:color="auto"/>
        <w:left w:val="none" w:sz="0" w:space="0" w:color="auto"/>
        <w:bottom w:val="none" w:sz="0" w:space="0" w:color="auto"/>
        <w:right w:val="none" w:sz="0" w:space="0" w:color="auto"/>
      </w:divBdr>
    </w:div>
    <w:div w:id="613099726">
      <w:bodyDiv w:val="1"/>
      <w:marLeft w:val="0"/>
      <w:marRight w:val="0"/>
      <w:marTop w:val="0"/>
      <w:marBottom w:val="0"/>
      <w:divBdr>
        <w:top w:val="none" w:sz="0" w:space="0" w:color="auto"/>
        <w:left w:val="none" w:sz="0" w:space="0" w:color="auto"/>
        <w:bottom w:val="none" w:sz="0" w:space="0" w:color="auto"/>
        <w:right w:val="none" w:sz="0" w:space="0" w:color="auto"/>
      </w:divBdr>
    </w:div>
    <w:div w:id="618534761">
      <w:bodyDiv w:val="1"/>
      <w:marLeft w:val="0"/>
      <w:marRight w:val="0"/>
      <w:marTop w:val="0"/>
      <w:marBottom w:val="0"/>
      <w:divBdr>
        <w:top w:val="none" w:sz="0" w:space="0" w:color="auto"/>
        <w:left w:val="none" w:sz="0" w:space="0" w:color="auto"/>
        <w:bottom w:val="none" w:sz="0" w:space="0" w:color="auto"/>
        <w:right w:val="none" w:sz="0" w:space="0" w:color="auto"/>
      </w:divBdr>
    </w:div>
    <w:div w:id="627248516">
      <w:bodyDiv w:val="1"/>
      <w:marLeft w:val="0"/>
      <w:marRight w:val="0"/>
      <w:marTop w:val="0"/>
      <w:marBottom w:val="0"/>
      <w:divBdr>
        <w:top w:val="none" w:sz="0" w:space="0" w:color="auto"/>
        <w:left w:val="none" w:sz="0" w:space="0" w:color="auto"/>
        <w:bottom w:val="none" w:sz="0" w:space="0" w:color="auto"/>
        <w:right w:val="none" w:sz="0" w:space="0" w:color="auto"/>
      </w:divBdr>
    </w:div>
    <w:div w:id="628241441">
      <w:bodyDiv w:val="1"/>
      <w:marLeft w:val="0"/>
      <w:marRight w:val="0"/>
      <w:marTop w:val="0"/>
      <w:marBottom w:val="0"/>
      <w:divBdr>
        <w:top w:val="none" w:sz="0" w:space="0" w:color="auto"/>
        <w:left w:val="none" w:sz="0" w:space="0" w:color="auto"/>
        <w:bottom w:val="none" w:sz="0" w:space="0" w:color="auto"/>
        <w:right w:val="none" w:sz="0" w:space="0" w:color="auto"/>
      </w:divBdr>
    </w:div>
    <w:div w:id="633874282">
      <w:bodyDiv w:val="1"/>
      <w:marLeft w:val="0"/>
      <w:marRight w:val="0"/>
      <w:marTop w:val="0"/>
      <w:marBottom w:val="0"/>
      <w:divBdr>
        <w:top w:val="none" w:sz="0" w:space="0" w:color="auto"/>
        <w:left w:val="none" w:sz="0" w:space="0" w:color="auto"/>
        <w:bottom w:val="none" w:sz="0" w:space="0" w:color="auto"/>
        <w:right w:val="none" w:sz="0" w:space="0" w:color="auto"/>
      </w:divBdr>
      <w:divsChild>
        <w:div w:id="1259676982">
          <w:marLeft w:val="0"/>
          <w:marRight w:val="0"/>
          <w:marTop w:val="0"/>
          <w:marBottom w:val="0"/>
          <w:divBdr>
            <w:top w:val="none" w:sz="0" w:space="0" w:color="auto"/>
            <w:left w:val="none" w:sz="0" w:space="0" w:color="auto"/>
            <w:bottom w:val="none" w:sz="0" w:space="0" w:color="auto"/>
            <w:right w:val="none" w:sz="0" w:space="0" w:color="auto"/>
          </w:divBdr>
          <w:divsChild>
            <w:div w:id="1594239504">
              <w:marLeft w:val="0"/>
              <w:marRight w:val="0"/>
              <w:marTop w:val="0"/>
              <w:marBottom w:val="0"/>
              <w:divBdr>
                <w:top w:val="none" w:sz="0" w:space="0" w:color="auto"/>
                <w:left w:val="none" w:sz="0" w:space="0" w:color="auto"/>
                <w:bottom w:val="none" w:sz="0" w:space="0" w:color="auto"/>
                <w:right w:val="none" w:sz="0" w:space="0" w:color="auto"/>
              </w:divBdr>
              <w:divsChild>
                <w:div w:id="1680306540">
                  <w:marLeft w:val="0"/>
                  <w:marRight w:val="0"/>
                  <w:marTop w:val="0"/>
                  <w:marBottom w:val="0"/>
                  <w:divBdr>
                    <w:top w:val="none" w:sz="0" w:space="0" w:color="auto"/>
                    <w:left w:val="none" w:sz="0" w:space="0" w:color="auto"/>
                    <w:bottom w:val="none" w:sz="0" w:space="0" w:color="auto"/>
                    <w:right w:val="none" w:sz="0" w:space="0" w:color="auto"/>
                  </w:divBdr>
                  <w:divsChild>
                    <w:div w:id="19388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557054">
      <w:bodyDiv w:val="1"/>
      <w:marLeft w:val="0"/>
      <w:marRight w:val="0"/>
      <w:marTop w:val="0"/>
      <w:marBottom w:val="0"/>
      <w:divBdr>
        <w:top w:val="none" w:sz="0" w:space="0" w:color="auto"/>
        <w:left w:val="none" w:sz="0" w:space="0" w:color="auto"/>
        <w:bottom w:val="none" w:sz="0" w:space="0" w:color="auto"/>
        <w:right w:val="none" w:sz="0" w:space="0" w:color="auto"/>
      </w:divBdr>
    </w:div>
    <w:div w:id="658271365">
      <w:bodyDiv w:val="1"/>
      <w:marLeft w:val="0"/>
      <w:marRight w:val="0"/>
      <w:marTop w:val="0"/>
      <w:marBottom w:val="0"/>
      <w:divBdr>
        <w:top w:val="none" w:sz="0" w:space="0" w:color="auto"/>
        <w:left w:val="none" w:sz="0" w:space="0" w:color="auto"/>
        <w:bottom w:val="none" w:sz="0" w:space="0" w:color="auto"/>
        <w:right w:val="none" w:sz="0" w:space="0" w:color="auto"/>
      </w:divBdr>
    </w:div>
    <w:div w:id="678972158">
      <w:bodyDiv w:val="1"/>
      <w:marLeft w:val="0"/>
      <w:marRight w:val="0"/>
      <w:marTop w:val="0"/>
      <w:marBottom w:val="0"/>
      <w:divBdr>
        <w:top w:val="none" w:sz="0" w:space="0" w:color="auto"/>
        <w:left w:val="none" w:sz="0" w:space="0" w:color="auto"/>
        <w:bottom w:val="none" w:sz="0" w:space="0" w:color="auto"/>
        <w:right w:val="none" w:sz="0" w:space="0" w:color="auto"/>
      </w:divBdr>
    </w:div>
    <w:div w:id="684400839">
      <w:bodyDiv w:val="1"/>
      <w:marLeft w:val="0"/>
      <w:marRight w:val="0"/>
      <w:marTop w:val="0"/>
      <w:marBottom w:val="0"/>
      <w:divBdr>
        <w:top w:val="none" w:sz="0" w:space="0" w:color="auto"/>
        <w:left w:val="none" w:sz="0" w:space="0" w:color="auto"/>
        <w:bottom w:val="none" w:sz="0" w:space="0" w:color="auto"/>
        <w:right w:val="none" w:sz="0" w:space="0" w:color="auto"/>
      </w:divBdr>
    </w:div>
    <w:div w:id="692726698">
      <w:bodyDiv w:val="1"/>
      <w:marLeft w:val="0"/>
      <w:marRight w:val="0"/>
      <w:marTop w:val="0"/>
      <w:marBottom w:val="0"/>
      <w:divBdr>
        <w:top w:val="none" w:sz="0" w:space="0" w:color="auto"/>
        <w:left w:val="none" w:sz="0" w:space="0" w:color="auto"/>
        <w:bottom w:val="none" w:sz="0" w:space="0" w:color="auto"/>
        <w:right w:val="none" w:sz="0" w:space="0" w:color="auto"/>
      </w:divBdr>
    </w:div>
    <w:div w:id="716778968">
      <w:bodyDiv w:val="1"/>
      <w:marLeft w:val="0"/>
      <w:marRight w:val="0"/>
      <w:marTop w:val="0"/>
      <w:marBottom w:val="0"/>
      <w:divBdr>
        <w:top w:val="none" w:sz="0" w:space="0" w:color="auto"/>
        <w:left w:val="none" w:sz="0" w:space="0" w:color="auto"/>
        <w:bottom w:val="none" w:sz="0" w:space="0" w:color="auto"/>
        <w:right w:val="none" w:sz="0" w:space="0" w:color="auto"/>
      </w:divBdr>
    </w:div>
    <w:div w:id="722557559">
      <w:bodyDiv w:val="1"/>
      <w:marLeft w:val="0"/>
      <w:marRight w:val="0"/>
      <w:marTop w:val="0"/>
      <w:marBottom w:val="0"/>
      <w:divBdr>
        <w:top w:val="none" w:sz="0" w:space="0" w:color="auto"/>
        <w:left w:val="none" w:sz="0" w:space="0" w:color="auto"/>
        <w:bottom w:val="none" w:sz="0" w:space="0" w:color="auto"/>
        <w:right w:val="none" w:sz="0" w:space="0" w:color="auto"/>
      </w:divBdr>
    </w:div>
    <w:div w:id="795836367">
      <w:bodyDiv w:val="1"/>
      <w:marLeft w:val="0"/>
      <w:marRight w:val="0"/>
      <w:marTop w:val="0"/>
      <w:marBottom w:val="0"/>
      <w:divBdr>
        <w:top w:val="none" w:sz="0" w:space="0" w:color="auto"/>
        <w:left w:val="none" w:sz="0" w:space="0" w:color="auto"/>
        <w:bottom w:val="none" w:sz="0" w:space="0" w:color="auto"/>
        <w:right w:val="none" w:sz="0" w:space="0" w:color="auto"/>
      </w:divBdr>
    </w:div>
    <w:div w:id="798494074">
      <w:bodyDiv w:val="1"/>
      <w:marLeft w:val="0"/>
      <w:marRight w:val="0"/>
      <w:marTop w:val="0"/>
      <w:marBottom w:val="0"/>
      <w:divBdr>
        <w:top w:val="none" w:sz="0" w:space="0" w:color="auto"/>
        <w:left w:val="none" w:sz="0" w:space="0" w:color="auto"/>
        <w:bottom w:val="none" w:sz="0" w:space="0" w:color="auto"/>
        <w:right w:val="none" w:sz="0" w:space="0" w:color="auto"/>
      </w:divBdr>
    </w:div>
    <w:div w:id="808548596">
      <w:bodyDiv w:val="1"/>
      <w:marLeft w:val="0"/>
      <w:marRight w:val="0"/>
      <w:marTop w:val="0"/>
      <w:marBottom w:val="0"/>
      <w:divBdr>
        <w:top w:val="none" w:sz="0" w:space="0" w:color="auto"/>
        <w:left w:val="none" w:sz="0" w:space="0" w:color="auto"/>
        <w:bottom w:val="none" w:sz="0" w:space="0" w:color="auto"/>
        <w:right w:val="none" w:sz="0" w:space="0" w:color="auto"/>
      </w:divBdr>
    </w:div>
    <w:div w:id="821506248">
      <w:bodyDiv w:val="1"/>
      <w:marLeft w:val="0"/>
      <w:marRight w:val="0"/>
      <w:marTop w:val="0"/>
      <w:marBottom w:val="0"/>
      <w:divBdr>
        <w:top w:val="none" w:sz="0" w:space="0" w:color="auto"/>
        <w:left w:val="none" w:sz="0" w:space="0" w:color="auto"/>
        <w:bottom w:val="none" w:sz="0" w:space="0" w:color="auto"/>
        <w:right w:val="none" w:sz="0" w:space="0" w:color="auto"/>
      </w:divBdr>
    </w:div>
    <w:div w:id="848101704">
      <w:bodyDiv w:val="1"/>
      <w:marLeft w:val="0"/>
      <w:marRight w:val="0"/>
      <w:marTop w:val="0"/>
      <w:marBottom w:val="0"/>
      <w:divBdr>
        <w:top w:val="none" w:sz="0" w:space="0" w:color="auto"/>
        <w:left w:val="none" w:sz="0" w:space="0" w:color="auto"/>
        <w:bottom w:val="none" w:sz="0" w:space="0" w:color="auto"/>
        <w:right w:val="none" w:sz="0" w:space="0" w:color="auto"/>
      </w:divBdr>
    </w:div>
    <w:div w:id="862090864">
      <w:bodyDiv w:val="1"/>
      <w:marLeft w:val="0"/>
      <w:marRight w:val="0"/>
      <w:marTop w:val="0"/>
      <w:marBottom w:val="0"/>
      <w:divBdr>
        <w:top w:val="none" w:sz="0" w:space="0" w:color="auto"/>
        <w:left w:val="none" w:sz="0" w:space="0" w:color="auto"/>
        <w:bottom w:val="none" w:sz="0" w:space="0" w:color="auto"/>
        <w:right w:val="none" w:sz="0" w:space="0" w:color="auto"/>
      </w:divBdr>
    </w:div>
    <w:div w:id="901478092">
      <w:bodyDiv w:val="1"/>
      <w:marLeft w:val="0"/>
      <w:marRight w:val="0"/>
      <w:marTop w:val="0"/>
      <w:marBottom w:val="0"/>
      <w:divBdr>
        <w:top w:val="none" w:sz="0" w:space="0" w:color="auto"/>
        <w:left w:val="none" w:sz="0" w:space="0" w:color="auto"/>
        <w:bottom w:val="none" w:sz="0" w:space="0" w:color="auto"/>
        <w:right w:val="none" w:sz="0" w:space="0" w:color="auto"/>
      </w:divBdr>
    </w:div>
    <w:div w:id="917137003">
      <w:bodyDiv w:val="1"/>
      <w:marLeft w:val="0"/>
      <w:marRight w:val="0"/>
      <w:marTop w:val="0"/>
      <w:marBottom w:val="0"/>
      <w:divBdr>
        <w:top w:val="none" w:sz="0" w:space="0" w:color="auto"/>
        <w:left w:val="none" w:sz="0" w:space="0" w:color="auto"/>
        <w:bottom w:val="none" w:sz="0" w:space="0" w:color="auto"/>
        <w:right w:val="none" w:sz="0" w:space="0" w:color="auto"/>
      </w:divBdr>
    </w:div>
    <w:div w:id="924656332">
      <w:bodyDiv w:val="1"/>
      <w:marLeft w:val="0"/>
      <w:marRight w:val="0"/>
      <w:marTop w:val="0"/>
      <w:marBottom w:val="0"/>
      <w:divBdr>
        <w:top w:val="none" w:sz="0" w:space="0" w:color="auto"/>
        <w:left w:val="none" w:sz="0" w:space="0" w:color="auto"/>
        <w:bottom w:val="none" w:sz="0" w:space="0" w:color="auto"/>
        <w:right w:val="none" w:sz="0" w:space="0" w:color="auto"/>
      </w:divBdr>
    </w:div>
    <w:div w:id="970288674">
      <w:bodyDiv w:val="1"/>
      <w:marLeft w:val="0"/>
      <w:marRight w:val="0"/>
      <w:marTop w:val="0"/>
      <w:marBottom w:val="0"/>
      <w:divBdr>
        <w:top w:val="none" w:sz="0" w:space="0" w:color="auto"/>
        <w:left w:val="none" w:sz="0" w:space="0" w:color="auto"/>
        <w:bottom w:val="none" w:sz="0" w:space="0" w:color="auto"/>
        <w:right w:val="none" w:sz="0" w:space="0" w:color="auto"/>
      </w:divBdr>
    </w:div>
    <w:div w:id="989602202">
      <w:bodyDiv w:val="1"/>
      <w:marLeft w:val="0"/>
      <w:marRight w:val="0"/>
      <w:marTop w:val="0"/>
      <w:marBottom w:val="0"/>
      <w:divBdr>
        <w:top w:val="none" w:sz="0" w:space="0" w:color="auto"/>
        <w:left w:val="none" w:sz="0" w:space="0" w:color="auto"/>
        <w:bottom w:val="none" w:sz="0" w:space="0" w:color="auto"/>
        <w:right w:val="none" w:sz="0" w:space="0" w:color="auto"/>
      </w:divBdr>
      <w:divsChild>
        <w:div w:id="228612677">
          <w:marLeft w:val="0"/>
          <w:marRight w:val="0"/>
          <w:marTop w:val="0"/>
          <w:marBottom w:val="0"/>
          <w:divBdr>
            <w:top w:val="none" w:sz="0" w:space="0" w:color="auto"/>
            <w:left w:val="none" w:sz="0" w:space="0" w:color="auto"/>
            <w:bottom w:val="none" w:sz="0" w:space="0" w:color="auto"/>
            <w:right w:val="none" w:sz="0" w:space="0" w:color="auto"/>
          </w:divBdr>
          <w:divsChild>
            <w:div w:id="1360861306">
              <w:marLeft w:val="0"/>
              <w:marRight w:val="0"/>
              <w:marTop w:val="0"/>
              <w:marBottom w:val="0"/>
              <w:divBdr>
                <w:top w:val="none" w:sz="0" w:space="0" w:color="auto"/>
                <w:left w:val="none" w:sz="0" w:space="0" w:color="auto"/>
                <w:bottom w:val="none" w:sz="0" w:space="0" w:color="auto"/>
                <w:right w:val="none" w:sz="0" w:space="0" w:color="auto"/>
              </w:divBdr>
              <w:divsChild>
                <w:div w:id="561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01113">
      <w:bodyDiv w:val="1"/>
      <w:marLeft w:val="0"/>
      <w:marRight w:val="0"/>
      <w:marTop w:val="0"/>
      <w:marBottom w:val="0"/>
      <w:divBdr>
        <w:top w:val="none" w:sz="0" w:space="0" w:color="auto"/>
        <w:left w:val="none" w:sz="0" w:space="0" w:color="auto"/>
        <w:bottom w:val="none" w:sz="0" w:space="0" w:color="auto"/>
        <w:right w:val="none" w:sz="0" w:space="0" w:color="auto"/>
      </w:divBdr>
    </w:div>
    <w:div w:id="1005133908">
      <w:bodyDiv w:val="1"/>
      <w:marLeft w:val="0"/>
      <w:marRight w:val="0"/>
      <w:marTop w:val="0"/>
      <w:marBottom w:val="0"/>
      <w:divBdr>
        <w:top w:val="none" w:sz="0" w:space="0" w:color="auto"/>
        <w:left w:val="none" w:sz="0" w:space="0" w:color="auto"/>
        <w:bottom w:val="none" w:sz="0" w:space="0" w:color="auto"/>
        <w:right w:val="none" w:sz="0" w:space="0" w:color="auto"/>
      </w:divBdr>
    </w:div>
    <w:div w:id="1028407259">
      <w:bodyDiv w:val="1"/>
      <w:marLeft w:val="0"/>
      <w:marRight w:val="0"/>
      <w:marTop w:val="0"/>
      <w:marBottom w:val="0"/>
      <w:divBdr>
        <w:top w:val="none" w:sz="0" w:space="0" w:color="auto"/>
        <w:left w:val="none" w:sz="0" w:space="0" w:color="auto"/>
        <w:bottom w:val="none" w:sz="0" w:space="0" w:color="auto"/>
        <w:right w:val="none" w:sz="0" w:space="0" w:color="auto"/>
      </w:divBdr>
      <w:divsChild>
        <w:div w:id="1538007631">
          <w:marLeft w:val="0"/>
          <w:marRight w:val="0"/>
          <w:marTop w:val="0"/>
          <w:marBottom w:val="0"/>
          <w:divBdr>
            <w:top w:val="none" w:sz="0" w:space="0" w:color="auto"/>
            <w:left w:val="none" w:sz="0" w:space="0" w:color="auto"/>
            <w:bottom w:val="none" w:sz="0" w:space="0" w:color="auto"/>
            <w:right w:val="none" w:sz="0" w:space="0" w:color="auto"/>
          </w:divBdr>
          <w:divsChild>
            <w:div w:id="754284545">
              <w:marLeft w:val="0"/>
              <w:marRight w:val="0"/>
              <w:marTop w:val="0"/>
              <w:marBottom w:val="0"/>
              <w:divBdr>
                <w:top w:val="none" w:sz="0" w:space="0" w:color="auto"/>
                <w:left w:val="none" w:sz="0" w:space="0" w:color="auto"/>
                <w:bottom w:val="none" w:sz="0" w:space="0" w:color="auto"/>
                <w:right w:val="none" w:sz="0" w:space="0" w:color="auto"/>
              </w:divBdr>
              <w:divsChild>
                <w:div w:id="685252972">
                  <w:marLeft w:val="0"/>
                  <w:marRight w:val="0"/>
                  <w:marTop w:val="0"/>
                  <w:marBottom w:val="0"/>
                  <w:divBdr>
                    <w:top w:val="none" w:sz="0" w:space="0" w:color="auto"/>
                    <w:left w:val="none" w:sz="0" w:space="0" w:color="auto"/>
                    <w:bottom w:val="none" w:sz="0" w:space="0" w:color="auto"/>
                    <w:right w:val="none" w:sz="0" w:space="0" w:color="auto"/>
                  </w:divBdr>
                  <w:divsChild>
                    <w:div w:id="13870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869295">
      <w:bodyDiv w:val="1"/>
      <w:marLeft w:val="0"/>
      <w:marRight w:val="0"/>
      <w:marTop w:val="0"/>
      <w:marBottom w:val="0"/>
      <w:divBdr>
        <w:top w:val="none" w:sz="0" w:space="0" w:color="auto"/>
        <w:left w:val="none" w:sz="0" w:space="0" w:color="auto"/>
        <w:bottom w:val="none" w:sz="0" w:space="0" w:color="auto"/>
        <w:right w:val="none" w:sz="0" w:space="0" w:color="auto"/>
      </w:divBdr>
    </w:div>
    <w:div w:id="1076324511">
      <w:bodyDiv w:val="1"/>
      <w:marLeft w:val="0"/>
      <w:marRight w:val="0"/>
      <w:marTop w:val="0"/>
      <w:marBottom w:val="0"/>
      <w:divBdr>
        <w:top w:val="none" w:sz="0" w:space="0" w:color="auto"/>
        <w:left w:val="none" w:sz="0" w:space="0" w:color="auto"/>
        <w:bottom w:val="none" w:sz="0" w:space="0" w:color="auto"/>
        <w:right w:val="none" w:sz="0" w:space="0" w:color="auto"/>
      </w:divBdr>
    </w:div>
    <w:div w:id="1083453530">
      <w:bodyDiv w:val="1"/>
      <w:marLeft w:val="0"/>
      <w:marRight w:val="0"/>
      <w:marTop w:val="0"/>
      <w:marBottom w:val="0"/>
      <w:divBdr>
        <w:top w:val="none" w:sz="0" w:space="0" w:color="auto"/>
        <w:left w:val="none" w:sz="0" w:space="0" w:color="auto"/>
        <w:bottom w:val="none" w:sz="0" w:space="0" w:color="auto"/>
        <w:right w:val="none" w:sz="0" w:space="0" w:color="auto"/>
      </w:divBdr>
    </w:div>
    <w:div w:id="1117138057">
      <w:bodyDiv w:val="1"/>
      <w:marLeft w:val="0"/>
      <w:marRight w:val="0"/>
      <w:marTop w:val="0"/>
      <w:marBottom w:val="0"/>
      <w:divBdr>
        <w:top w:val="none" w:sz="0" w:space="0" w:color="auto"/>
        <w:left w:val="none" w:sz="0" w:space="0" w:color="auto"/>
        <w:bottom w:val="none" w:sz="0" w:space="0" w:color="auto"/>
        <w:right w:val="none" w:sz="0" w:space="0" w:color="auto"/>
      </w:divBdr>
      <w:divsChild>
        <w:div w:id="2141651559">
          <w:marLeft w:val="0"/>
          <w:marRight w:val="0"/>
          <w:marTop w:val="0"/>
          <w:marBottom w:val="0"/>
          <w:divBdr>
            <w:top w:val="none" w:sz="0" w:space="0" w:color="auto"/>
            <w:left w:val="none" w:sz="0" w:space="0" w:color="auto"/>
            <w:bottom w:val="none" w:sz="0" w:space="0" w:color="auto"/>
            <w:right w:val="none" w:sz="0" w:space="0" w:color="auto"/>
          </w:divBdr>
          <w:divsChild>
            <w:div w:id="1202355158">
              <w:marLeft w:val="0"/>
              <w:marRight w:val="0"/>
              <w:marTop w:val="0"/>
              <w:marBottom w:val="0"/>
              <w:divBdr>
                <w:top w:val="none" w:sz="0" w:space="0" w:color="auto"/>
                <w:left w:val="none" w:sz="0" w:space="0" w:color="auto"/>
                <w:bottom w:val="none" w:sz="0" w:space="0" w:color="auto"/>
                <w:right w:val="none" w:sz="0" w:space="0" w:color="auto"/>
              </w:divBdr>
              <w:divsChild>
                <w:div w:id="89936907">
                  <w:marLeft w:val="0"/>
                  <w:marRight w:val="0"/>
                  <w:marTop w:val="0"/>
                  <w:marBottom w:val="0"/>
                  <w:divBdr>
                    <w:top w:val="none" w:sz="0" w:space="0" w:color="auto"/>
                    <w:left w:val="none" w:sz="0" w:space="0" w:color="auto"/>
                    <w:bottom w:val="none" w:sz="0" w:space="0" w:color="auto"/>
                    <w:right w:val="none" w:sz="0" w:space="0" w:color="auto"/>
                  </w:divBdr>
                  <w:divsChild>
                    <w:div w:id="11846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893142">
      <w:bodyDiv w:val="1"/>
      <w:marLeft w:val="0"/>
      <w:marRight w:val="0"/>
      <w:marTop w:val="0"/>
      <w:marBottom w:val="0"/>
      <w:divBdr>
        <w:top w:val="none" w:sz="0" w:space="0" w:color="auto"/>
        <w:left w:val="none" w:sz="0" w:space="0" w:color="auto"/>
        <w:bottom w:val="none" w:sz="0" w:space="0" w:color="auto"/>
        <w:right w:val="none" w:sz="0" w:space="0" w:color="auto"/>
      </w:divBdr>
    </w:div>
    <w:div w:id="1179545727">
      <w:bodyDiv w:val="1"/>
      <w:marLeft w:val="0"/>
      <w:marRight w:val="0"/>
      <w:marTop w:val="0"/>
      <w:marBottom w:val="0"/>
      <w:divBdr>
        <w:top w:val="none" w:sz="0" w:space="0" w:color="auto"/>
        <w:left w:val="none" w:sz="0" w:space="0" w:color="auto"/>
        <w:bottom w:val="none" w:sz="0" w:space="0" w:color="auto"/>
        <w:right w:val="none" w:sz="0" w:space="0" w:color="auto"/>
      </w:divBdr>
    </w:div>
    <w:div w:id="1180579482">
      <w:bodyDiv w:val="1"/>
      <w:marLeft w:val="0"/>
      <w:marRight w:val="0"/>
      <w:marTop w:val="0"/>
      <w:marBottom w:val="0"/>
      <w:divBdr>
        <w:top w:val="none" w:sz="0" w:space="0" w:color="auto"/>
        <w:left w:val="none" w:sz="0" w:space="0" w:color="auto"/>
        <w:bottom w:val="none" w:sz="0" w:space="0" w:color="auto"/>
        <w:right w:val="none" w:sz="0" w:space="0" w:color="auto"/>
      </w:divBdr>
    </w:div>
    <w:div w:id="1189372350">
      <w:bodyDiv w:val="1"/>
      <w:marLeft w:val="0"/>
      <w:marRight w:val="0"/>
      <w:marTop w:val="0"/>
      <w:marBottom w:val="0"/>
      <w:divBdr>
        <w:top w:val="none" w:sz="0" w:space="0" w:color="auto"/>
        <w:left w:val="none" w:sz="0" w:space="0" w:color="auto"/>
        <w:bottom w:val="none" w:sz="0" w:space="0" w:color="auto"/>
        <w:right w:val="none" w:sz="0" w:space="0" w:color="auto"/>
      </w:divBdr>
    </w:div>
    <w:div w:id="1203597020">
      <w:bodyDiv w:val="1"/>
      <w:marLeft w:val="0"/>
      <w:marRight w:val="0"/>
      <w:marTop w:val="0"/>
      <w:marBottom w:val="0"/>
      <w:divBdr>
        <w:top w:val="none" w:sz="0" w:space="0" w:color="auto"/>
        <w:left w:val="none" w:sz="0" w:space="0" w:color="auto"/>
        <w:bottom w:val="none" w:sz="0" w:space="0" w:color="auto"/>
        <w:right w:val="none" w:sz="0" w:space="0" w:color="auto"/>
      </w:divBdr>
    </w:div>
    <w:div w:id="1214653220">
      <w:bodyDiv w:val="1"/>
      <w:marLeft w:val="0"/>
      <w:marRight w:val="0"/>
      <w:marTop w:val="0"/>
      <w:marBottom w:val="0"/>
      <w:divBdr>
        <w:top w:val="none" w:sz="0" w:space="0" w:color="auto"/>
        <w:left w:val="none" w:sz="0" w:space="0" w:color="auto"/>
        <w:bottom w:val="none" w:sz="0" w:space="0" w:color="auto"/>
        <w:right w:val="none" w:sz="0" w:space="0" w:color="auto"/>
      </w:divBdr>
      <w:divsChild>
        <w:div w:id="244002491">
          <w:marLeft w:val="0"/>
          <w:marRight w:val="0"/>
          <w:marTop w:val="0"/>
          <w:marBottom w:val="0"/>
          <w:divBdr>
            <w:top w:val="none" w:sz="0" w:space="0" w:color="auto"/>
            <w:left w:val="none" w:sz="0" w:space="0" w:color="auto"/>
            <w:bottom w:val="none" w:sz="0" w:space="0" w:color="auto"/>
            <w:right w:val="none" w:sz="0" w:space="0" w:color="auto"/>
          </w:divBdr>
          <w:divsChild>
            <w:div w:id="1546791185">
              <w:marLeft w:val="0"/>
              <w:marRight w:val="0"/>
              <w:marTop w:val="0"/>
              <w:marBottom w:val="0"/>
              <w:divBdr>
                <w:top w:val="none" w:sz="0" w:space="0" w:color="auto"/>
                <w:left w:val="none" w:sz="0" w:space="0" w:color="auto"/>
                <w:bottom w:val="none" w:sz="0" w:space="0" w:color="auto"/>
                <w:right w:val="none" w:sz="0" w:space="0" w:color="auto"/>
              </w:divBdr>
              <w:divsChild>
                <w:div w:id="1062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9796">
      <w:bodyDiv w:val="1"/>
      <w:marLeft w:val="0"/>
      <w:marRight w:val="0"/>
      <w:marTop w:val="0"/>
      <w:marBottom w:val="0"/>
      <w:divBdr>
        <w:top w:val="none" w:sz="0" w:space="0" w:color="auto"/>
        <w:left w:val="none" w:sz="0" w:space="0" w:color="auto"/>
        <w:bottom w:val="none" w:sz="0" w:space="0" w:color="auto"/>
        <w:right w:val="none" w:sz="0" w:space="0" w:color="auto"/>
      </w:divBdr>
    </w:div>
    <w:div w:id="1252423259">
      <w:bodyDiv w:val="1"/>
      <w:marLeft w:val="0"/>
      <w:marRight w:val="0"/>
      <w:marTop w:val="0"/>
      <w:marBottom w:val="0"/>
      <w:divBdr>
        <w:top w:val="none" w:sz="0" w:space="0" w:color="auto"/>
        <w:left w:val="none" w:sz="0" w:space="0" w:color="auto"/>
        <w:bottom w:val="none" w:sz="0" w:space="0" w:color="auto"/>
        <w:right w:val="none" w:sz="0" w:space="0" w:color="auto"/>
      </w:divBdr>
    </w:div>
    <w:div w:id="1259946742">
      <w:bodyDiv w:val="1"/>
      <w:marLeft w:val="0"/>
      <w:marRight w:val="0"/>
      <w:marTop w:val="0"/>
      <w:marBottom w:val="0"/>
      <w:divBdr>
        <w:top w:val="none" w:sz="0" w:space="0" w:color="auto"/>
        <w:left w:val="none" w:sz="0" w:space="0" w:color="auto"/>
        <w:bottom w:val="none" w:sz="0" w:space="0" w:color="auto"/>
        <w:right w:val="none" w:sz="0" w:space="0" w:color="auto"/>
      </w:divBdr>
    </w:div>
    <w:div w:id="1266499702">
      <w:bodyDiv w:val="1"/>
      <w:marLeft w:val="0"/>
      <w:marRight w:val="0"/>
      <w:marTop w:val="0"/>
      <w:marBottom w:val="0"/>
      <w:divBdr>
        <w:top w:val="none" w:sz="0" w:space="0" w:color="auto"/>
        <w:left w:val="none" w:sz="0" w:space="0" w:color="auto"/>
        <w:bottom w:val="none" w:sz="0" w:space="0" w:color="auto"/>
        <w:right w:val="none" w:sz="0" w:space="0" w:color="auto"/>
      </w:divBdr>
    </w:div>
    <w:div w:id="1296764260">
      <w:bodyDiv w:val="1"/>
      <w:marLeft w:val="0"/>
      <w:marRight w:val="0"/>
      <w:marTop w:val="0"/>
      <w:marBottom w:val="0"/>
      <w:divBdr>
        <w:top w:val="none" w:sz="0" w:space="0" w:color="auto"/>
        <w:left w:val="none" w:sz="0" w:space="0" w:color="auto"/>
        <w:bottom w:val="none" w:sz="0" w:space="0" w:color="auto"/>
        <w:right w:val="none" w:sz="0" w:space="0" w:color="auto"/>
      </w:divBdr>
    </w:div>
    <w:div w:id="1299145609">
      <w:bodyDiv w:val="1"/>
      <w:marLeft w:val="0"/>
      <w:marRight w:val="0"/>
      <w:marTop w:val="0"/>
      <w:marBottom w:val="0"/>
      <w:divBdr>
        <w:top w:val="none" w:sz="0" w:space="0" w:color="auto"/>
        <w:left w:val="none" w:sz="0" w:space="0" w:color="auto"/>
        <w:bottom w:val="none" w:sz="0" w:space="0" w:color="auto"/>
        <w:right w:val="none" w:sz="0" w:space="0" w:color="auto"/>
      </w:divBdr>
    </w:div>
    <w:div w:id="1305046136">
      <w:bodyDiv w:val="1"/>
      <w:marLeft w:val="0"/>
      <w:marRight w:val="0"/>
      <w:marTop w:val="0"/>
      <w:marBottom w:val="0"/>
      <w:divBdr>
        <w:top w:val="none" w:sz="0" w:space="0" w:color="auto"/>
        <w:left w:val="none" w:sz="0" w:space="0" w:color="auto"/>
        <w:bottom w:val="none" w:sz="0" w:space="0" w:color="auto"/>
        <w:right w:val="none" w:sz="0" w:space="0" w:color="auto"/>
      </w:divBdr>
    </w:div>
    <w:div w:id="1314219408">
      <w:bodyDiv w:val="1"/>
      <w:marLeft w:val="0"/>
      <w:marRight w:val="0"/>
      <w:marTop w:val="0"/>
      <w:marBottom w:val="0"/>
      <w:divBdr>
        <w:top w:val="none" w:sz="0" w:space="0" w:color="auto"/>
        <w:left w:val="none" w:sz="0" w:space="0" w:color="auto"/>
        <w:bottom w:val="none" w:sz="0" w:space="0" w:color="auto"/>
        <w:right w:val="none" w:sz="0" w:space="0" w:color="auto"/>
      </w:divBdr>
    </w:div>
    <w:div w:id="1323387375">
      <w:bodyDiv w:val="1"/>
      <w:marLeft w:val="0"/>
      <w:marRight w:val="0"/>
      <w:marTop w:val="0"/>
      <w:marBottom w:val="0"/>
      <w:divBdr>
        <w:top w:val="none" w:sz="0" w:space="0" w:color="auto"/>
        <w:left w:val="none" w:sz="0" w:space="0" w:color="auto"/>
        <w:bottom w:val="none" w:sz="0" w:space="0" w:color="auto"/>
        <w:right w:val="none" w:sz="0" w:space="0" w:color="auto"/>
      </w:divBdr>
    </w:div>
    <w:div w:id="1369257347">
      <w:bodyDiv w:val="1"/>
      <w:marLeft w:val="0"/>
      <w:marRight w:val="0"/>
      <w:marTop w:val="0"/>
      <w:marBottom w:val="0"/>
      <w:divBdr>
        <w:top w:val="none" w:sz="0" w:space="0" w:color="auto"/>
        <w:left w:val="none" w:sz="0" w:space="0" w:color="auto"/>
        <w:bottom w:val="none" w:sz="0" w:space="0" w:color="auto"/>
        <w:right w:val="none" w:sz="0" w:space="0" w:color="auto"/>
      </w:divBdr>
    </w:div>
    <w:div w:id="1370455167">
      <w:bodyDiv w:val="1"/>
      <w:marLeft w:val="0"/>
      <w:marRight w:val="0"/>
      <w:marTop w:val="0"/>
      <w:marBottom w:val="0"/>
      <w:divBdr>
        <w:top w:val="none" w:sz="0" w:space="0" w:color="auto"/>
        <w:left w:val="none" w:sz="0" w:space="0" w:color="auto"/>
        <w:bottom w:val="none" w:sz="0" w:space="0" w:color="auto"/>
        <w:right w:val="none" w:sz="0" w:space="0" w:color="auto"/>
      </w:divBdr>
      <w:divsChild>
        <w:div w:id="1371372111">
          <w:marLeft w:val="0"/>
          <w:marRight w:val="0"/>
          <w:marTop w:val="0"/>
          <w:marBottom w:val="0"/>
          <w:divBdr>
            <w:top w:val="none" w:sz="0" w:space="0" w:color="auto"/>
            <w:left w:val="none" w:sz="0" w:space="0" w:color="auto"/>
            <w:bottom w:val="none" w:sz="0" w:space="0" w:color="auto"/>
            <w:right w:val="none" w:sz="0" w:space="0" w:color="auto"/>
          </w:divBdr>
          <w:divsChild>
            <w:div w:id="1549416267">
              <w:marLeft w:val="0"/>
              <w:marRight w:val="0"/>
              <w:marTop w:val="0"/>
              <w:marBottom w:val="0"/>
              <w:divBdr>
                <w:top w:val="none" w:sz="0" w:space="0" w:color="auto"/>
                <w:left w:val="none" w:sz="0" w:space="0" w:color="auto"/>
                <w:bottom w:val="none" w:sz="0" w:space="0" w:color="auto"/>
                <w:right w:val="none" w:sz="0" w:space="0" w:color="auto"/>
              </w:divBdr>
              <w:divsChild>
                <w:div w:id="20873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8169">
      <w:bodyDiv w:val="1"/>
      <w:marLeft w:val="0"/>
      <w:marRight w:val="0"/>
      <w:marTop w:val="0"/>
      <w:marBottom w:val="0"/>
      <w:divBdr>
        <w:top w:val="none" w:sz="0" w:space="0" w:color="auto"/>
        <w:left w:val="none" w:sz="0" w:space="0" w:color="auto"/>
        <w:bottom w:val="none" w:sz="0" w:space="0" w:color="auto"/>
        <w:right w:val="none" w:sz="0" w:space="0" w:color="auto"/>
      </w:divBdr>
      <w:divsChild>
        <w:div w:id="908032378">
          <w:marLeft w:val="-108"/>
          <w:marRight w:val="0"/>
          <w:marTop w:val="0"/>
          <w:marBottom w:val="0"/>
          <w:divBdr>
            <w:top w:val="none" w:sz="0" w:space="0" w:color="auto"/>
            <w:left w:val="none" w:sz="0" w:space="0" w:color="auto"/>
            <w:bottom w:val="none" w:sz="0" w:space="0" w:color="auto"/>
            <w:right w:val="none" w:sz="0" w:space="0" w:color="auto"/>
          </w:divBdr>
        </w:div>
        <w:div w:id="1149514798">
          <w:marLeft w:val="-108"/>
          <w:marRight w:val="0"/>
          <w:marTop w:val="0"/>
          <w:marBottom w:val="0"/>
          <w:divBdr>
            <w:top w:val="none" w:sz="0" w:space="0" w:color="auto"/>
            <w:left w:val="none" w:sz="0" w:space="0" w:color="auto"/>
            <w:bottom w:val="none" w:sz="0" w:space="0" w:color="auto"/>
            <w:right w:val="none" w:sz="0" w:space="0" w:color="auto"/>
          </w:divBdr>
        </w:div>
        <w:div w:id="2096434794">
          <w:marLeft w:val="-108"/>
          <w:marRight w:val="0"/>
          <w:marTop w:val="0"/>
          <w:marBottom w:val="0"/>
          <w:divBdr>
            <w:top w:val="none" w:sz="0" w:space="0" w:color="auto"/>
            <w:left w:val="none" w:sz="0" w:space="0" w:color="auto"/>
            <w:bottom w:val="none" w:sz="0" w:space="0" w:color="auto"/>
            <w:right w:val="none" w:sz="0" w:space="0" w:color="auto"/>
          </w:divBdr>
        </w:div>
      </w:divsChild>
    </w:div>
    <w:div w:id="1391885250">
      <w:bodyDiv w:val="1"/>
      <w:marLeft w:val="0"/>
      <w:marRight w:val="0"/>
      <w:marTop w:val="0"/>
      <w:marBottom w:val="0"/>
      <w:divBdr>
        <w:top w:val="none" w:sz="0" w:space="0" w:color="auto"/>
        <w:left w:val="none" w:sz="0" w:space="0" w:color="auto"/>
        <w:bottom w:val="none" w:sz="0" w:space="0" w:color="auto"/>
        <w:right w:val="none" w:sz="0" w:space="0" w:color="auto"/>
      </w:divBdr>
    </w:div>
    <w:div w:id="1412124508">
      <w:bodyDiv w:val="1"/>
      <w:marLeft w:val="0"/>
      <w:marRight w:val="0"/>
      <w:marTop w:val="0"/>
      <w:marBottom w:val="0"/>
      <w:divBdr>
        <w:top w:val="none" w:sz="0" w:space="0" w:color="auto"/>
        <w:left w:val="none" w:sz="0" w:space="0" w:color="auto"/>
        <w:bottom w:val="none" w:sz="0" w:space="0" w:color="auto"/>
        <w:right w:val="none" w:sz="0" w:space="0" w:color="auto"/>
      </w:divBdr>
    </w:div>
    <w:div w:id="1420129176">
      <w:bodyDiv w:val="1"/>
      <w:marLeft w:val="0"/>
      <w:marRight w:val="0"/>
      <w:marTop w:val="0"/>
      <w:marBottom w:val="0"/>
      <w:divBdr>
        <w:top w:val="none" w:sz="0" w:space="0" w:color="auto"/>
        <w:left w:val="none" w:sz="0" w:space="0" w:color="auto"/>
        <w:bottom w:val="none" w:sz="0" w:space="0" w:color="auto"/>
        <w:right w:val="none" w:sz="0" w:space="0" w:color="auto"/>
      </w:divBdr>
    </w:div>
    <w:div w:id="1424109489">
      <w:bodyDiv w:val="1"/>
      <w:marLeft w:val="0"/>
      <w:marRight w:val="0"/>
      <w:marTop w:val="0"/>
      <w:marBottom w:val="0"/>
      <w:divBdr>
        <w:top w:val="none" w:sz="0" w:space="0" w:color="auto"/>
        <w:left w:val="none" w:sz="0" w:space="0" w:color="auto"/>
        <w:bottom w:val="none" w:sz="0" w:space="0" w:color="auto"/>
        <w:right w:val="none" w:sz="0" w:space="0" w:color="auto"/>
      </w:divBdr>
    </w:div>
    <w:div w:id="1426535973">
      <w:bodyDiv w:val="1"/>
      <w:marLeft w:val="0"/>
      <w:marRight w:val="0"/>
      <w:marTop w:val="0"/>
      <w:marBottom w:val="0"/>
      <w:divBdr>
        <w:top w:val="none" w:sz="0" w:space="0" w:color="auto"/>
        <w:left w:val="none" w:sz="0" w:space="0" w:color="auto"/>
        <w:bottom w:val="none" w:sz="0" w:space="0" w:color="auto"/>
        <w:right w:val="none" w:sz="0" w:space="0" w:color="auto"/>
      </w:divBdr>
    </w:div>
    <w:div w:id="1434471608">
      <w:bodyDiv w:val="1"/>
      <w:marLeft w:val="0"/>
      <w:marRight w:val="0"/>
      <w:marTop w:val="0"/>
      <w:marBottom w:val="0"/>
      <w:divBdr>
        <w:top w:val="none" w:sz="0" w:space="0" w:color="auto"/>
        <w:left w:val="none" w:sz="0" w:space="0" w:color="auto"/>
        <w:bottom w:val="none" w:sz="0" w:space="0" w:color="auto"/>
        <w:right w:val="none" w:sz="0" w:space="0" w:color="auto"/>
      </w:divBdr>
    </w:div>
    <w:div w:id="1440682214">
      <w:bodyDiv w:val="1"/>
      <w:marLeft w:val="0"/>
      <w:marRight w:val="0"/>
      <w:marTop w:val="0"/>
      <w:marBottom w:val="0"/>
      <w:divBdr>
        <w:top w:val="none" w:sz="0" w:space="0" w:color="auto"/>
        <w:left w:val="none" w:sz="0" w:space="0" w:color="auto"/>
        <w:bottom w:val="none" w:sz="0" w:space="0" w:color="auto"/>
        <w:right w:val="none" w:sz="0" w:space="0" w:color="auto"/>
      </w:divBdr>
    </w:div>
    <w:div w:id="1466463488">
      <w:bodyDiv w:val="1"/>
      <w:marLeft w:val="0"/>
      <w:marRight w:val="0"/>
      <w:marTop w:val="0"/>
      <w:marBottom w:val="0"/>
      <w:divBdr>
        <w:top w:val="none" w:sz="0" w:space="0" w:color="auto"/>
        <w:left w:val="none" w:sz="0" w:space="0" w:color="auto"/>
        <w:bottom w:val="none" w:sz="0" w:space="0" w:color="auto"/>
        <w:right w:val="none" w:sz="0" w:space="0" w:color="auto"/>
      </w:divBdr>
      <w:divsChild>
        <w:div w:id="261886536">
          <w:marLeft w:val="0"/>
          <w:marRight w:val="0"/>
          <w:marTop w:val="0"/>
          <w:marBottom w:val="0"/>
          <w:divBdr>
            <w:top w:val="none" w:sz="0" w:space="0" w:color="auto"/>
            <w:left w:val="none" w:sz="0" w:space="0" w:color="auto"/>
            <w:bottom w:val="none" w:sz="0" w:space="0" w:color="auto"/>
            <w:right w:val="none" w:sz="0" w:space="0" w:color="auto"/>
          </w:divBdr>
          <w:divsChild>
            <w:div w:id="1958173990">
              <w:marLeft w:val="0"/>
              <w:marRight w:val="0"/>
              <w:marTop w:val="0"/>
              <w:marBottom w:val="0"/>
              <w:divBdr>
                <w:top w:val="none" w:sz="0" w:space="0" w:color="auto"/>
                <w:left w:val="none" w:sz="0" w:space="0" w:color="auto"/>
                <w:bottom w:val="none" w:sz="0" w:space="0" w:color="auto"/>
                <w:right w:val="none" w:sz="0" w:space="0" w:color="auto"/>
              </w:divBdr>
              <w:divsChild>
                <w:div w:id="19109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5646">
      <w:bodyDiv w:val="1"/>
      <w:marLeft w:val="0"/>
      <w:marRight w:val="0"/>
      <w:marTop w:val="0"/>
      <w:marBottom w:val="0"/>
      <w:divBdr>
        <w:top w:val="none" w:sz="0" w:space="0" w:color="auto"/>
        <w:left w:val="none" w:sz="0" w:space="0" w:color="auto"/>
        <w:bottom w:val="none" w:sz="0" w:space="0" w:color="auto"/>
        <w:right w:val="none" w:sz="0" w:space="0" w:color="auto"/>
      </w:divBdr>
    </w:div>
    <w:div w:id="1504465672">
      <w:bodyDiv w:val="1"/>
      <w:marLeft w:val="0"/>
      <w:marRight w:val="0"/>
      <w:marTop w:val="0"/>
      <w:marBottom w:val="0"/>
      <w:divBdr>
        <w:top w:val="none" w:sz="0" w:space="0" w:color="auto"/>
        <w:left w:val="none" w:sz="0" w:space="0" w:color="auto"/>
        <w:bottom w:val="none" w:sz="0" w:space="0" w:color="auto"/>
        <w:right w:val="none" w:sz="0" w:space="0" w:color="auto"/>
      </w:divBdr>
    </w:div>
    <w:div w:id="1514031991">
      <w:bodyDiv w:val="1"/>
      <w:marLeft w:val="0"/>
      <w:marRight w:val="0"/>
      <w:marTop w:val="0"/>
      <w:marBottom w:val="0"/>
      <w:divBdr>
        <w:top w:val="none" w:sz="0" w:space="0" w:color="auto"/>
        <w:left w:val="none" w:sz="0" w:space="0" w:color="auto"/>
        <w:bottom w:val="none" w:sz="0" w:space="0" w:color="auto"/>
        <w:right w:val="none" w:sz="0" w:space="0" w:color="auto"/>
      </w:divBdr>
    </w:div>
    <w:div w:id="1535263082">
      <w:bodyDiv w:val="1"/>
      <w:marLeft w:val="0"/>
      <w:marRight w:val="0"/>
      <w:marTop w:val="0"/>
      <w:marBottom w:val="0"/>
      <w:divBdr>
        <w:top w:val="none" w:sz="0" w:space="0" w:color="auto"/>
        <w:left w:val="none" w:sz="0" w:space="0" w:color="auto"/>
        <w:bottom w:val="none" w:sz="0" w:space="0" w:color="auto"/>
        <w:right w:val="none" w:sz="0" w:space="0" w:color="auto"/>
      </w:divBdr>
    </w:div>
    <w:div w:id="1545678879">
      <w:bodyDiv w:val="1"/>
      <w:marLeft w:val="0"/>
      <w:marRight w:val="0"/>
      <w:marTop w:val="0"/>
      <w:marBottom w:val="0"/>
      <w:divBdr>
        <w:top w:val="none" w:sz="0" w:space="0" w:color="auto"/>
        <w:left w:val="none" w:sz="0" w:space="0" w:color="auto"/>
        <w:bottom w:val="none" w:sz="0" w:space="0" w:color="auto"/>
        <w:right w:val="none" w:sz="0" w:space="0" w:color="auto"/>
      </w:divBdr>
    </w:div>
    <w:div w:id="1586306792">
      <w:bodyDiv w:val="1"/>
      <w:marLeft w:val="0"/>
      <w:marRight w:val="0"/>
      <w:marTop w:val="0"/>
      <w:marBottom w:val="0"/>
      <w:divBdr>
        <w:top w:val="none" w:sz="0" w:space="0" w:color="auto"/>
        <w:left w:val="none" w:sz="0" w:space="0" w:color="auto"/>
        <w:bottom w:val="none" w:sz="0" w:space="0" w:color="auto"/>
        <w:right w:val="none" w:sz="0" w:space="0" w:color="auto"/>
      </w:divBdr>
    </w:div>
    <w:div w:id="1606384646">
      <w:bodyDiv w:val="1"/>
      <w:marLeft w:val="0"/>
      <w:marRight w:val="0"/>
      <w:marTop w:val="0"/>
      <w:marBottom w:val="0"/>
      <w:divBdr>
        <w:top w:val="none" w:sz="0" w:space="0" w:color="auto"/>
        <w:left w:val="none" w:sz="0" w:space="0" w:color="auto"/>
        <w:bottom w:val="none" w:sz="0" w:space="0" w:color="auto"/>
        <w:right w:val="none" w:sz="0" w:space="0" w:color="auto"/>
      </w:divBdr>
    </w:div>
    <w:div w:id="1610355500">
      <w:bodyDiv w:val="1"/>
      <w:marLeft w:val="0"/>
      <w:marRight w:val="0"/>
      <w:marTop w:val="0"/>
      <w:marBottom w:val="0"/>
      <w:divBdr>
        <w:top w:val="none" w:sz="0" w:space="0" w:color="auto"/>
        <w:left w:val="none" w:sz="0" w:space="0" w:color="auto"/>
        <w:bottom w:val="none" w:sz="0" w:space="0" w:color="auto"/>
        <w:right w:val="none" w:sz="0" w:space="0" w:color="auto"/>
      </w:divBdr>
    </w:div>
    <w:div w:id="1640380357">
      <w:bodyDiv w:val="1"/>
      <w:marLeft w:val="0"/>
      <w:marRight w:val="0"/>
      <w:marTop w:val="0"/>
      <w:marBottom w:val="0"/>
      <w:divBdr>
        <w:top w:val="none" w:sz="0" w:space="0" w:color="auto"/>
        <w:left w:val="none" w:sz="0" w:space="0" w:color="auto"/>
        <w:bottom w:val="none" w:sz="0" w:space="0" w:color="auto"/>
        <w:right w:val="none" w:sz="0" w:space="0" w:color="auto"/>
      </w:divBdr>
    </w:div>
    <w:div w:id="1643120927">
      <w:bodyDiv w:val="1"/>
      <w:marLeft w:val="0"/>
      <w:marRight w:val="0"/>
      <w:marTop w:val="0"/>
      <w:marBottom w:val="0"/>
      <w:divBdr>
        <w:top w:val="none" w:sz="0" w:space="0" w:color="auto"/>
        <w:left w:val="none" w:sz="0" w:space="0" w:color="auto"/>
        <w:bottom w:val="none" w:sz="0" w:space="0" w:color="auto"/>
        <w:right w:val="none" w:sz="0" w:space="0" w:color="auto"/>
      </w:divBdr>
      <w:divsChild>
        <w:div w:id="1419328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936193">
              <w:marLeft w:val="0"/>
              <w:marRight w:val="0"/>
              <w:marTop w:val="0"/>
              <w:marBottom w:val="0"/>
              <w:divBdr>
                <w:top w:val="none" w:sz="0" w:space="0" w:color="auto"/>
                <w:left w:val="none" w:sz="0" w:space="0" w:color="auto"/>
                <w:bottom w:val="none" w:sz="0" w:space="0" w:color="auto"/>
                <w:right w:val="none" w:sz="0" w:space="0" w:color="auto"/>
              </w:divBdr>
              <w:divsChild>
                <w:div w:id="6340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9840">
      <w:bodyDiv w:val="1"/>
      <w:marLeft w:val="0"/>
      <w:marRight w:val="0"/>
      <w:marTop w:val="0"/>
      <w:marBottom w:val="0"/>
      <w:divBdr>
        <w:top w:val="none" w:sz="0" w:space="0" w:color="auto"/>
        <w:left w:val="none" w:sz="0" w:space="0" w:color="auto"/>
        <w:bottom w:val="none" w:sz="0" w:space="0" w:color="auto"/>
        <w:right w:val="none" w:sz="0" w:space="0" w:color="auto"/>
      </w:divBdr>
      <w:divsChild>
        <w:div w:id="1654680476">
          <w:marLeft w:val="0"/>
          <w:marRight w:val="0"/>
          <w:marTop w:val="0"/>
          <w:marBottom w:val="0"/>
          <w:divBdr>
            <w:top w:val="none" w:sz="0" w:space="0" w:color="auto"/>
            <w:left w:val="none" w:sz="0" w:space="0" w:color="auto"/>
            <w:bottom w:val="none" w:sz="0" w:space="0" w:color="auto"/>
            <w:right w:val="none" w:sz="0" w:space="0" w:color="auto"/>
          </w:divBdr>
          <w:divsChild>
            <w:div w:id="931662261">
              <w:marLeft w:val="0"/>
              <w:marRight w:val="0"/>
              <w:marTop w:val="0"/>
              <w:marBottom w:val="0"/>
              <w:divBdr>
                <w:top w:val="none" w:sz="0" w:space="0" w:color="auto"/>
                <w:left w:val="none" w:sz="0" w:space="0" w:color="auto"/>
                <w:bottom w:val="none" w:sz="0" w:space="0" w:color="auto"/>
                <w:right w:val="none" w:sz="0" w:space="0" w:color="auto"/>
              </w:divBdr>
              <w:divsChild>
                <w:div w:id="1877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50655">
      <w:bodyDiv w:val="1"/>
      <w:marLeft w:val="0"/>
      <w:marRight w:val="0"/>
      <w:marTop w:val="0"/>
      <w:marBottom w:val="0"/>
      <w:divBdr>
        <w:top w:val="none" w:sz="0" w:space="0" w:color="auto"/>
        <w:left w:val="none" w:sz="0" w:space="0" w:color="auto"/>
        <w:bottom w:val="none" w:sz="0" w:space="0" w:color="auto"/>
        <w:right w:val="none" w:sz="0" w:space="0" w:color="auto"/>
      </w:divBdr>
    </w:div>
    <w:div w:id="1678732368">
      <w:bodyDiv w:val="1"/>
      <w:marLeft w:val="0"/>
      <w:marRight w:val="0"/>
      <w:marTop w:val="0"/>
      <w:marBottom w:val="0"/>
      <w:divBdr>
        <w:top w:val="none" w:sz="0" w:space="0" w:color="auto"/>
        <w:left w:val="none" w:sz="0" w:space="0" w:color="auto"/>
        <w:bottom w:val="none" w:sz="0" w:space="0" w:color="auto"/>
        <w:right w:val="none" w:sz="0" w:space="0" w:color="auto"/>
      </w:divBdr>
    </w:div>
    <w:div w:id="1728872120">
      <w:bodyDiv w:val="1"/>
      <w:marLeft w:val="0"/>
      <w:marRight w:val="0"/>
      <w:marTop w:val="0"/>
      <w:marBottom w:val="0"/>
      <w:divBdr>
        <w:top w:val="none" w:sz="0" w:space="0" w:color="auto"/>
        <w:left w:val="none" w:sz="0" w:space="0" w:color="auto"/>
        <w:bottom w:val="none" w:sz="0" w:space="0" w:color="auto"/>
        <w:right w:val="none" w:sz="0" w:space="0" w:color="auto"/>
      </w:divBdr>
    </w:div>
    <w:div w:id="1732001450">
      <w:bodyDiv w:val="1"/>
      <w:marLeft w:val="0"/>
      <w:marRight w:val="0"/>
      <w:marTop w:val="0"/>
      <w:marBottom w:val="0"/>
      <w:divBdr>
        <w:top w:val="none" w:sz="0" w:space="0" w:color="auto"/>
        <w:left w:val="none" w:sz="0" w:space="0" w:color="auto"/>
        <w:bottom w:val="none" w:sz="0" w:space="0" w:color="auto"/>
        <w:right w:val="none" w:sz="0" w:space="0" w:color="auto"/>
      </w:divBdr>
    </w:div>
    <w:div w:id="1742485737">
      <w:bodyDiv w:val="1"/>
      <w:marLeft w:val="0"/>
      <w:marRight w:val="0"/>
      <w:marTop w:val="0"/>
      <w:marBottom w:val="0"/>
      <w:divBdr>
        <w:top w:val="none" w:sz="0" w:space="0" w:color="auto"/>
        <w:left w:val="none" w:sz="0" w:space="0" w:color="auto"/>
        <w:bottom w:val="none" w:sz="0" w:space="0" w:color="auto"/>
        <w:right w:val="none" w:sz="0" w:space="0" w:color="auto"/>
      </w:divBdr>
    </w:div>
    <w:div w:id="1809743722">
      <w:bodyDiv w:val="1"/>
      <w:marLeft w:val="0"/>
      <w:marRight w:val="0"/>
      <w:marTop w:val="0"/>
      <w:marBottom w:val="0"/>
      <w:divBdr>
        <w:top w:val="none" w:sz="0" w:space="0" w:color="auto"/>
        <w:left w:val="none" w:sz="0" w:space="0" w:color="auto"/>
        <w:bottom w:val="none" w:sz="0" w:space="0" w:color="auto"/>
        <w:right w:val="none" w:sz="0" w:space="0" w:color="auto"/>
      </w:divBdr>
      <w:divsChild>
        <w:div w:id="1693605834">
          <w:marLeft w:val="0"/>
          <w:marRight w:val="0"/>
          <w:marTop w:val="0"/>
          <w:marBottom w:val="0"/>
          <w:divBdr>
            <w:top w:val="none" w:sz="0" w:space="0" w:color="auto"/>
            <w:left w:val="none" w:sz="0" w:space="0" w:color="auto"/>
            <w:bottom w:val="none" w:sz="0" w:space="0" w:color="auto"/>
            <w:right w:val="none" w:sz="0" w:space="0" w:color="auto"/>
          </w:divBdr>
          <w:divsChild>
            <w:div w:id="119693842">
              <w:marLeft w:val="0"/>
              <w:marRight w:val="0"/>
              <w:marTop w:val="0"/>
              <w:marBottom w:val="0"/>
              <w:divBdr>
                <w:top w:val="none" w:sz="0" w:space="0" w:color="auto"/>
                <w:left w:val="none" w:sz="0" w:space="0" w:color="auto"/>
                <w:bottom w:val="none" w:sz="0" w:space="0" w:color="auto"/>
                <w:right w:val="none" w:sz="0" w:space="0" w:color="auto"/>
              </w:divBdr>
              <w:divsChild>
                <w:div w:id="2614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5119">
      <w:bodyDiv w:val="1"/>
      <w:marLeft w:val="0"/>
      <w:marRight w:val="0"/>
      <w:marTop w:val="0"/>
      <w:marBottom w:val="0"/>
      <w:divBdr>
        <w:top w:val="none" w:sz="0" w:space="0" w:color="auto"/>
        <w:left w:val="none" w:sz="0" w:space="0" w:color="auto"/>
        <w:bottom w:val="none" w:sz="0" w:space="0" w:color="auto"/>
        <w:right w:val="none" w:sz="0" w:space="0" w:color="auto"/>
      </w:divBdr>
      <w:divsChild>
        <w:div w:id="1683164194">
          <w:marLeft w:val="0"/>
          <w:marRight w:val="0"/>
          <w:marTop w:val="0"/>
          <w:marBottom w:val="0"/>
          <w:divBdr>
            <w:top w:val="none" w:sz="0" w:space="0" w:color="auto"/>
            <w:left w:val="none" w:sz="0" w:space="0" w:color="auto"/>
            <w:bottom w:val="none" w:sz="0" w:space="0" w:color="auto"/>
            <w:right w:val="none" w:sz="0" w:space="0" w:color="auto"/>
          </w:divBdr>
          <w:divsChild>
            <w:div w:id="770979142">
              <w:marLeft w:val="0"/>
              <w:marRight w:val="0"/>
              <w:marTop w:val="0"/>
              <w:marBottom w:val="0"/>
              <w:divBdr>
                <w:top w:val="none" w:sz="0" w:space="0" w:color="auto"/>
                <w:left w:val="none" w:sz="0" w:space="0" w:color="auto"/>
                <w:bottom w:val="none" w:sz="0" w:space="0" w:color="auto"/>
                <w:right w:val="none" w:sz="0" w:space="0" w:color="auto"/>
              </w:divBdr>
              <w:divsChild>
                <w:div w:id="981427745">
                  <w:marLeft w:val="0"/>
                  <w:marRight w:val="0"/>
                  <w:marTop w:val="0"/>
                  <w:marBottom w:val="0"/>
                  <w:divBdr>
                    <w:top w:val="none" w:sz="0" w:space="0" w:color="auto"/>
                    <w:left w:val="none" w:sz="0" w:space="0" w:color="auto"/>
                    <w:bottom w:val="none" w:sz="0" w:space="0" w:color="auto"/>
                    <w:right w:val="none" w:sz="0" w:space="0" w:color="auto"/>
                  </w:divBdr>
                  <w:divsChild>
                    <w:div w:id="10343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783008">
      <w:bodyDiv w:val="1"/>
      <w:marLeft w:val="0"/>
      <w:marRight w:val="0"/>
      <w:marTop w:val="0"/>
      <w:marBottom w:val="0"/>
      <w:divBdr>
        <w:top w:val="none" w:sz="0" w:space="0" w:color="auto"/>
        <w:left w:val="none" w:sz="0" w:space="0" w:color="auto"/>
        <w:bottom w:val="none" w:sz="0" w:space="0" w:color="auto"/>
        <w:right w:val="none" w:sz="0" w:space="0" w:color="auto"/>
      </w:divBdr>
    </w:div>
    <w:div w:id="1830713734">
      <w:bodyDiv w:val="1"/>
      <w:marLeft w:val="0"/>
      <w:marRight w:val="0"/>
      <w:marTop w:val="0"/>
      <w:marBottom w:val="0"/>
      <w:divBdr>
        <w:top w:val="none" w:sz="0" w:space="0" w:color="auto"/>
        <w:left w:val="none" w:sz="0" w:space="0" w:color="auto"/>
        <w:bottom w:val="none" w:sz="0" w:space="0" w:color="auto"/>
        <w:right w:val="none" w:sz="0" w:space="0" w:color="auto"/>
      </w:divBdr>
    </w:div>
    <w:div w:id="1833986872">
      <w:bodyDiv w:val="1"/>
      <w:marLeft w:val="0"/>
      <w:marRight w:val="0"/>
      <w:marTop w:val="0"/>
      <w:marBottom w:val="0"/>
      <w:divBdr>
        <w:top w:val="none" w:sz="0" w:space="0" w:color="auto"/>
        <w:left w:val="none" w:sz="0" w:space="0" w:color="auto"/>
        <w:bottom w:val="none" w:sz="0" w:space="0" w:color="auto"/>
        <w:right w:val="none" w:sz="0" w:space="0" w:color="auto"/>
      </w:divBdr>
    </w:div>
    <w:div w:id="1844122387">
      <w:bodyDiv w:val="1"/>
      <w:marLeft w:val="0"/>
      <w:marRight w:val="0"/>
      <w:marTop w:val="0"/>
      <w:marBottom w:val="0"/>
      <w:divBdr>
        <w:top w:val="none" w:sz="0" w:space="0" w:color="auto"/>
        <w:left w:val="none" w:sz="0" w:space="0" w:color="auto"/>
        <w:bottom w:val="none" w:sz="0" w:space="0" w:color="auto"/>
        <w:right w:val="none" w:sz="0" w:space="0" w:color="auto"/>
      </w:divBdr>
    </w:div>
    <w:div w:id="1845705610">
      <w:bodyDiv w:val="1"/>
      <w:marLeft w:val="0"/>
      <w:marRight w:val="0"/>
      <w:marTop w:val="0"/>
      <w:marBottom w:val="0"/>
      <w:divBdr>
        <w:top w:val="none" w:sz="0" w:space="0" w:color="auto"/>
        <w:left w:val="none" w:sz="0" w:space="0" w:color="auto"/>
        <w:bottom w:val="none" w:sz="0" w:space="0" w:color="auto"/>
        <w:right w:val="none" w:sz="0" w:space="0" w:color="auto"/>
      </w:divBdr>
    </w:div>
    <w:div w:id="1851486754">
      <w:bodyDiv w:val="1"/>
      <w:marLeft w:val="0"/>
      <w:marRight w:val="0"/>
      <w:marTop w:val="0"/>
      <w:marBottom w:val="0"/>
      <w:divBdr>
        <w:top w:val="none" w:sz="0" w:space="0" w:color="auto"/>
        <w:left w:val="none" w:sz="0" w:space="0" w:color="auto"/>
        <w:bottom w:val="none" w:sz="0" w:space="0" w:color="auto"/>
        <w:right w:val="none" w:sz="0" w:space="0" w:color="auto"/>
      </w:divBdr>
      <w:divsChild>
        <w:div w:id="743793770">
          <w:marLeft w:val="0"/>
          <w:marRight w:val="0"/>
          <w:marTop w:val="0"/>
          <w:marBottom w:val="0"/>
          <w:divBdr>
            <w:top w:val="none" w:sz="0" w:space="0" w:color="auto"/>
            <w:left w:val="none" w:sz="0" w:space="0" w:color="auto"/>
            <w:bottom w:val="none" w:sz="0" w:space="0" w:color="auto"/>
            <w:right w:val="none" w:sz="0" w:space="0" w:color="auto"/>
          </w:divBdr>
          <w:divsChild>
            <w:div w:id="1400787925">
              <w:marLeft w:val="0"/>
              <w:marRight w:val="0"/>
              <w:marTop w:val="0"/>
              <w:marBottom w:val="0"/>
              <w:divBdr>
                <w:top w:val="none" w:sz="0" w:space="0" w:color="auto"/>
                <w:left w:val="none" w:sz="0" w:space="0" w:color="auto"/>
                <w:bottom w:val="none" w:sz="0" w:space="0" w:color="auto"/>
                <w:right w:val="none" w:sz="0" w:space="0" w:color="auto"/>
              </w:divBdr>
              <w:divsChild>
                <w:div w:id="16983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98713">
      <w:bodyDiv w:val="1"/>
      <w:marLeft w:val="0"/>
      <w:marRight w:val="0"/>
      <w:marTop w:val="0"/>
      <w:marBottom w:val="0"/>
      <w:divBdr>
        <w:top w:val="none" w:sz="0" w:space="0" w:color="auto"/>
        <w:left w:val="none" w:sz="0" w:space="0" w:color="auto"/>
        <w:bottom w:val="none" w:sz="0" w:space="0" w:color="auto"/>
        <w:right w:val="none" w:sz="0" w:space="0" w:color="auto"/>
      </w:divBdr>
    </w:div>
    <w:div w:id="1876577131">
      <w:bodyDiv w:val="1"/>
      <w:marLeft w:val="0"/>
      <w:marRight w:val="0"/>
      <w:marTop w:val="0"/>
      <w:marBottom w:val="0"/>
      <w:divBdr>
        <w:top w:val="none" w:sz="0" w:space="0" w:color="auto"/>
        <w:left w:val="none" w:sz="0" w:space="0" w:color="auto"/>
        <w:bottom w:val="none" w:sz="0" w:space="0" w:color="auto"/>
        <w:right w:val="none" w:sz="0" w:space="0" w:color="auto"/>
      </w:divBdr>
    </w:div>
    <w:div w:id="1904412871">
      <w:bodyDiv w:val="1"/>
      <w:marLeft w:val="0"/>
      <w:marRight w:val="0"/>
      <w:marTop w:val="0"/>
      <w:marBottom w:val="0"/>
      <w:divBdr>
        <w:top w:val="none" w:sz="0" w:space="0" w:color="auto"/>
        <w:left w:val="none" w:sz="0" w:space="0" w:color="auto"/>
        <w:bottom w:val="none" w:sz="0" w:space="0" w:color="auto"/>
        <w:right w:val="none" w:sz="0" w:space="0" w:color="auto"/>
      </w:divBdr>
    </w:div>
    <w:div w:id="1906836007">
      <w:bodyDiv w:val="1"/>
      <w:marLeft w:val="0"/>
      <w:marRight w:val="0"/>
      <w:marTop w:val="0"/>
      <w:marBottom w:val="0"/>
      <w:divBdr>
        <w:top w:val="none" w:sz="0" w:space="0" w:color="auto"/>
        <w:left w:val="none" w:sz="0" w:space="0" w:color="auto"/>
        <w:bottom w:val="none" w:sz="0" w:space="0" w:color="auto"/>
        <w:right w:val="none" w:sz="0" w:space="0" w:color="auto"/>
      </w:divBdr>
    </w:div>
    <w:div w:id="1909458355">
      <w:bodyDiv w:val="1"/>
      <w:marLeft w:val="0"/>
      <w:marRight w:val="0"/>
      <w:marTop w:val="0"/>
      <w:marBottom w:val="0"/>
      <w:divBdr>
        <w:top w:val="none" w:sz="0" w:space="0" w:color="auto"/>
        <w:left w:val="none" w:sz="0" w:space="0" w:color="auto"/>
        <w:bottom w:val="none" w:sz="0" w:space="0" w:color="auto"/>
        <w:right w:val="none" w:sz="0" w:space="0" w:color="auto"/>
      </w:divBdr>
    </w:div>
    <w:div w:id="1914777703">
      <w:bodyDiv w:val="1"/>
      <w:marLeft w:val="0"/>
      <w:marRight w:val="0"/>
      <w:marTop w:val="0"/>
      <w:marBottom w:val="0"/>
      <w:divBdr>
        <w:top w:val="none" w:sz="0" w:space="0" w:color="auto"/>
        <w:left w:val="none" w:sz="0" w:space="0" w:color="auto"/>
        <w:bottom w:val="none" w:sz="0" w:space="0" w:color="auto"/>
        <w:right w:val="none" w:sz="0" w:space="0" w:color="auto"/>
      </w:divBdr>
    </w:div>
    <w:div w:id="1928683426">
      <w:bodyDiv w:val="1"/>
      <w:marLeft w:val="0"/>
      <w:marRight w:val="0"/>
      <w:marTop w:val="0"/>
      <w:marBottom w:val="0"/>
      <w:divBdr>
        <w:top w:val="none" w:sz="0" w:space="0" w:color="auto"/>
        <w:left w:val="none" w:sz="0" w:space="0" w:color="auto"/>
        <w:bottom w:val="none" w:sz="0" w:space="0" w:color="auto"/>
        <w:right w:val="none" w:sz="0" w:space="0" w:color="auto"/>
      </w:divBdr>
    </w:div>
    <w:div w:id="1941522366">
      <w:bodyDiv w:val="1"/>
      <w:marLeft w:val="0"/>
      <w:marRight w:val="0"/>
      <w:marTop w:val="0"/>
      <w:marBottom w:val="0"/>
      <w:divBdr>
        <w:top w:val="none" w:sz="0" w:space="0" w:color="auto"/>
        <w:left w:val="none" w:sz="0" w:space="0" w:color="auto"/>
        <w:bottom w:val="none" w:sz="0" w:space="0" w:color="auto"/>
        <w:right w:val="none" w:sz="0" w:space="0" w:color="auto"/>
      </w:divBdr>
    </w:div>
    <w:div w:id="1944075240">
      <w:bodyDiv w:val="1"/>
      <w:marLeft w:val="0"/>
      <w:marRight w:val="0"/>
      <w:marTop w:val="0"/>
      <w:marBottom w:val="0"/>
      <w:divBdr>
        <w:top w:val="none" w:sz="0" w:space="0" w:color="auto"/>
        <w:left w:val="none" w:sz="0" w:space="0" w:color="auto"/>
        <w:bottom w:val="none" w:sz="0" w:space="0" w:color="auto"/>
        <w:right w:val="none" w:sz="0" w:space="0" w:color="auto"/>
      </w:divBdr>
    </w:div>
    <w:div w:id="1958020075">
      <w:bodyDiv w:val="1"/>
      <w:marLeft w:val="0"/>
      <w:marRight w:val="0"/>
      <w:marTop w:val="0"/>
      <w:marBottom w:val="0"/>
      <w:divBdr>
        <w:top w:val="none" w:sz="0" w:space="0" w:color="auto"/>
        <w:left w:val="none" w:sz="0" w:space="0" w:color="auto"/>
        <w:bottom w:val="none" w:sz="0" w:space="0" w:color="auto"/>
        <w:right w:val="none" w:sz="0" w:space="0" w:color="auto"/>
      </w:divBdr>
    </w:div>
    <w:div w:id="1961302230">
      <w:bodyDiv w:val="1"/>
      <w:marLeft w:val="0"/>
      <w:marRight w:val="0"/>
      <w:marTop w:val="0"/>
      <w:marBottom w:val="0"/>
      <w:divBdr>
        <w:top w:val="none" w:sz="0" w:space="0" w:color="auto"/>
        <w:left w:val="none" w:sz="0" w:space="0" w:color="auto"/>
        <w:bottom w:val="none" w:sz="0" w:space="0" w:color="auto"/>
        <w:right w:val="none" w:sz="0" w:space="0" w:color="auto"/>
      </w:divBdr>
    </w:div>
    <w:div w:id="1964119444">
      <w:bodyDiv w:val="1"/>
      <w:marLeft w:val="0"/>
      <w:marRight w:val="0"/>
      <w:marTop w:val="0"/>
      <w:marBottom w:val="0"/>
      <w:divBdr>
        <w:top w:val="none" w:sz="0" w:space="0" w:color="auto"/>
        <w:left w:val="none" w:sz="0" w:space="0" w:color="auto"/>
        <w:bottom w:val="none" w:sz="0" w:space="0" w:color="auto"/>
        <w:right w:val="none" w:sz="0" w:space="0" w:color="auto"/>
      </w:divBdr>
    </w:div>
    <w:div w:id="1987776700">
      <w:bodyDiv w:val="1"/>
      <w:marLeft w:val="0"/>
      <w:marRight w:val="0"/>
      <w:marTop w:val="0"/>
      <w:marBottom w:val="0"/>
      <w:divBdr>
        <w:top w:val="none" w:sz="0" w:space="0" w:color="auto"/>
        <w:left w:val="none" w:sz="0" w:space="0" w:color="auto"/>
        <w:bottom w:val="none" w:sz="0" w:space="0" w:color="auto"/>
        <w:right w:val="none" w:sz="0" w:space="0" w:color="auto"/>
      </w:divBdr>
    </w:div>
    <w:div w:id="2026322321">
      <w:bodyDiv w:val="1"/>
      <w:marLeft w:val="0"/>
      <w:marRight w:val="0"/>
      <w:marTop w:val="0"/>
      <w:marBottom w:val="0"/>
      <w:divBdr>
        <w:top w:val="none" w:sz="0" w:space="0" w:color="auto"/>
        <w:left w:val="none" w:sz="0" w:space="0" w:color="auto"/>
        <w:bottom w:val="none" w:sz="0" w:space="0" w:color="auto"/>
        <w:right w:val="none" w:sz="0" w:space="0" w:color="auto"/>
      </w:divBdr>
    </w:div>
    <w:div w:id="2029527218">
      <w:bodyDiv w:val="1"/>
      <w:marLeft w:val="0"/>
      <w:marRight w:val="0"/>
      <w:marTop w:val="0"/>
      <w:marBottom w:val="0"/>
      <w:divBdr>
        <w:top w:val="none" w:sz="0" w:space="0" w:color="auto"/>
        <w:left w:val="none" w:sz="0" w:space="0" w:color="auto"/>
        <w:bottom w:val="none" w:sz="0" w:space="0" w:color="auto"/>
        <w:right w:val="none" w:sz="0" w:space="0" w:color="auto"/>
      </w:divBdr>
    </w:div>
    <w:div w:id="2049181380">
      <w:bodyDiv w:val="1"/>
      <w:marLeft w:val="0"/>
      <w:marRight w:val="0"/>
      <w:marTop w:val="0"/>
      <w:marBottom w:val="0"/>
      <w:divBdr>
        <w:top w:val="none" w:sz="0" w:space="0" w:color="auto"/>
        <w:left w:val="none" w:sz="0" w:space="0" w:color="auto"/>
        <w:bottom w:val="none" w:sz="0" w:space="0" w:color="auto"/>
        <w:right w:val="none" w:sz="0" w:space="0" w:color="auto"/>
      </w:divBdr>
    </w:div>
    <w:div w:id="2057579501">
      <w:bodyDiv w:val="1"/>
      <w:marLeft w:val="0"/>
      <w:marRight w:val="0"/>
      <w:marTop w:val="0"/>
      <w:marBottom w:val="0"/>
      <w:divBdr>
        <w:top w:val="none" w:sz="0" w:space="0" w:color="auto"/>
        <w:left w:val="none" w:sz="0" w:space="0" w:color="auto"/>
        <w:bottom w:val="none" w:sz="0" w:space="0" w:color="auto"/>
        <w:right w:val="none" w:sz="0" w:space="0" w:color="auto"/>
      </w:divBdr>
    </w:div>
    <w:div w:id="2089228859">
      <w:bodyDiv w:val="1"/>
      <w:marLeft w:val="0"/>
      <w:marRight w:val="0"/>
      <w:marTop w:val="0"/>
      <w:marBottom w:val="0"/>
      <w:divBdr>
        <w:top w:val="none" w:sz="0" w:space="0" w:color="auto"/>
        <w:left w:val="none" w:sz="0" w:space="0" w:color="auto"/>
        <w:bottom w:val="none" w:sz="0" w:space="0" w:color="auto"/>
        <w:right w:val="none" w:sz="0" w:space="0" w:color="auto"/>
      </w:divBdr>
    </w:div>
    <w:div w:id="2123261323">
      <w:bodyDiv w:val="1"/>
      <w:marLeft w:val="0"/>
      <w:marRight w:val="0"/>
      <w:marTop w:val="0"/>
      <w:marBottom w:val="0"/>
      <w:divBdr>
        <w:top w:val="none" w:sz="0" w:space="0" w:color="auto"/>
        <w:left w:val="none" w:sz="0" w:space="0" w:color="auto"/>
        <w:bottom w:val="none" w:sz="0" w:space="0" w:color="auto"/>
        <w:right w:val="none" w:sz="0" w:space="0" w:color="auto"/>
      </w:divBdr>
    </w:div>
    <w:div w:id="2139639894">
      <w:bodyDiv w:val="1"/>
      <w:marLeft w:val="0"/>
      <w:marRight w:val="0"/>
      <w:marTop w:val="0"/>
      <w:marBottom w:val="0"/>
      <w:divBdr>
        <w:top w:val="none" w:sz="0" w:space="0" w:color="auto"/>
        <w:left w:val="none" w:sz="0" w:space="0" w:color="auto"/>
        <w:bottom w:val="none" w:sz="0" w:space="0" w:color="auto"/>
        <w:right w:val="none" w:sz="0" w:space="0" w:color="auto"/>
      </w:divBdr>
      <w:divsChild>
        <w:div w:id="795296416">
          <w:marLeft w:val="0"/>
          <w:marRight w:val="0"/>
          <w:marTop w:val="0"/>
          <w:marBottom w:val="0"/>
          <w:divBdr>
            <w:top w:val="none" w:sz="0" w:space="0" w:color="auto"/>
            <w:left w:val="none" w:sz="0" w:space="0" w:color="auto"/>
            <w:bottom w:val="none" w:sz="0" w:space="0" w:color="auto"/>
            <w:right w:val="none" w:sz="0" w:space="0" w:color="auto"/>
          </w:divBdr>
        </w:div>
        <w:div w:id="867525844">
          <w:marLeft w:val="0"/>
          <w:marRight w:val="0"/>
          <w:marTop w:val="0"/>
          <w:marBottom w:val="0"/>
          <w:divBdr>
            <w:top w:val="none" w:sz="0" w:space="0" w:color="auto"/>
            <w:left w:val="none" w:sz="0" w:space="0" w:color="auto"/>
            <w:bottom w:val="none" w:sz="0" w:space="0" w:color="auto"/>
            <w:right w:val="none" w:sz="0" w:space="0" w:color="auto"/>
          </w:divBdr>
        </w:div>
        <w:div w:id="908657015">
          <w:marLeft w:val="0"/>
          <w:marRight w:val="0"/>
          <w:marTop w:val="0"/>
          <w:marBottom w:val="0"/>
          <w:divBdr>
            <w:top w:val="none" w:sz="0" w:space="0" w:color="auto"/>
            <w:left w:val="none" w:sz="0" w:space="0" w:color="auto"/>
            <w:bottom w:val="none" w:sz="0" w:space="0" w:color="auto"/>
            <w:right w:val="none" w:sz="0" w:space="0" w:color="auto"/>
          </w:divBdr>
        </w:div>
      </w:divsChild>
    </w:div>
    <w:div w:id="2145193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imperial.ac.uk/transport-studies/railway-and-transport-strategy" TargetMode="External"/><Relationship Id="rId26" Type="http://schemas.openxmlformats.org/officeDocument/2006/relationships/hyperlink" Target="https://www.hindustantimes.com/india-news/world-bank-assures-neutrality-in-india-pakistan-talks-over-indus-waters-treaty/story-mjhsABmxPNzQeXQWeDc7UN.html" TargetMode="External"/><Relationship Id="rId39" Type="http://schemas.openxmlformats.org/officeDocument/2006/relationships/customXml" Target="../customXml/item4.xml"/><Relationship Id="rId21" Type="http://schemas.openxmlformats.org/officeDocument/2006/relationships/hyperlink" Target="http://www.asia-pacific.undp.org/content/rbap/en/home/library/sustainable-development/trade-winds-of-change.html" TargetMode="External"/><Relationship Id="rId7" Type="http://schemas.openxmlformats.org/officeDocument/2006/relationships/endnotes" Target="endnotes.xml"/><Relationship Id="rId12" Type="http://schemas.openxmlformats.org/officeDocument/2006/relationships/hyperlink" Target="http://www.imperial.ac.uk/rtsc" TargetMode="External"/><Relationship Id="rId17" Type="http://schemas.openxmlformats.org/officeDocument/2006/relationships/hyperlink" Target="https://www.railway-technology.com/projects/eastern-dedicated-freight-corridor-edfc/" TargetMode="External"/><Relationship Id="rId25" Type="http://schemas.openxmlformats.org/officeDocument/2006/relationships/hyperlink" Target="https://www.hindustantimes.com/analysis/boosting-business-in-the-bangladesh-corridor-is-crucial-to-india-s-act-east-policy/story-QQil8gOEvRPEX6XZshJteP.html" TargetMode="External"/><Relationship Id="rId33" Type="http://schemas.openxmlformats.org/officeDocument/2006/relationships/theme" Target="theme/theme1.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fpwhitepaper.gov.au/" TargetMode="External"/><Relationship Id="rId20" Type="http://schemas.openxmlformats.org/officeDocument/2006/relationships/hyperlink" Target="http://iresearch.worldbank.org/PovcalNet/povDuplicateWB.aspx;"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iteresources.worldbank.org/CFPEXT/Resources/TFfactsheetapril2017.pdf" TargetMode="External"/><Relationship Id="rId32" Type="http://schemas.openxmlformats.org/officeDocument/2006/relationships/fontTable" Target="fontTable.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ieg.worldbankgroup.org/Data/reports/rap15_fullreport.pdf" TargetMode="External"/><Relationship Id="rId28" Type="http://schemas.openxmlformats.org/officeDocument/2006/relationships/header" Target="header3.xml"/><Relationship Id="rId36" Type="http://schemas.microsoft.com/office/2016/09/relationships/commentsIds" Target="commentsIds.xml"/><Relationship Id="rId10" Type="http://schemas.openxmlformats.org/officeDocument/2006/relationships/footer" Target="footer2.xml"/><Relationship Id="rId19" Type="http://schemas.openxmlformats.org/officeDocument/2006/relationships/hyperlink" Target="https://openknowledge.worldbank.org/handle/10986/28723"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www.weforum.org/agenda/2017/08/the-growth-paradox-can-tourism-ever-be-sustainable/" TargetMode="External"/><Relationship Id="rId27" Type="http://schemas.openxmlformats.org/officeDocument/2006/relationships/header" Target="header2.xml"/><Relationship Id="rId30"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ieg.worldbankgroup.org/Data/reports/rap15_fullreport.pdf" TargetMode="External"/><Relationship Id="rId3" Type="http://schemas.openxmlformats.org/officeDocument/2006/relationships/hyperlink" Target="https://openknowledge.worldbank.org/handle/10986/28723" TargetMode="External"/><Relationship Id="rId7" Type="http://schemas.openxmlformats.org/officeDocument/2006/relationships/hyperlink" Target="https://www.weforum.org/agenda/2017/08/the-growth-paradox-can-tourism-ever-be-sustainable/" TargetMode="External"/><Relationship Id="rId2" Type="http://schemas.openxmlformats.org/officeDocument/2006/relationships/hyperlink" Target="http://dfat.gov.au/about-us/publications/Documents/south-asia-regional-aid-investment-plan-2015-19.pdf" TargetMode="External"/><Relationship Id="rId1" Type="http://schemas.openxmlformats.org/officeDocument/2006/relationships/hyperlink" Target="http://iresearch.worldbank.org/PovcalNet/povDuplicateWB.aspx;" TargetMode="External"/><Relationship Id="rId6" Type="http://schemas.openxmlformats.org/officeDocument/2006/relationships/hyperlink" Target="https://www.hindustantimes.com/india-news/world-bank-assures-neutrality-in-india-pakistan-talks-over-indus-waters-treaty/story-mjhsABmxPNzQeXQWeDc7UN.html" TargetMode="External"/><Relationship Id="rId5" Type="http://schemas.openxmlformats.org/officeDocument/2006/relationships/hyperlink" Target="https://www.hindustantimes.com/analysis/boosting-business-in-the-bangladesh-corridor-is-crucial-to-india-s-act-east-policy/story-QQil8gOEvRPEX6XZshJteP.html" TargetMode="External"/><Relationship Id="rId10" Type="http://schemas.openxmlformats.org/officeDocument/2006/relationships/hyperlink" Target="mailto:http://dfat.gov.au/about-us/publications/documents/gender-equality-and-womens-empowerment-strategy.pdf" TargetMode="External"/><Relationship Id="rId4" Type="http://schemas.openxmlformats.org/officeDocument/2006/relationships/hyperlink" Target="http://www.imperial.ac.uk/transport-studies/railway-and-transport-strategy" TargetMode="External"/><Relationship Id="rId9" Type="http://schemas.openxmlformats.org/officeDocument/2006/relationships/hyperlink" Target="http://siteresources.worldbank.org/CFPEXT/Resources/TFfactsheetapril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665F1A-A161-40C7-8155-3A501DE395B6}"/>
</file>

<file path=customXml/itemProps2.xml><?xml version="1.0" encoding="utf-8"?>
<ds:datastoreItem xmlns:ds="http://schemas.openxmlformats.org/officeDocument/2006/customXml" ds:itemID="{D4EA7D1E-BF39-472D-8488-FC9444A3F2B7}"/>
</file>

<file path=customXml/itemProps3.xml><?xml version="1.0" encoding="utf-8"?>
<ds:datastoreItem xmlns:ds="http://schemas.openxmlformats.org/officeDocument/2006/customXml" ds:itemID="{1940460B-B4D4-43F2-BD89-FAF72A4511E6}"/>
</file>

<file path=customXml/itemProps4.xml><?xml version="1.0" encoding="utf-8"?>
<ds:datastoreItem xmlns:ds="http://schemas.openxmlformats.org/officeDocument/2006/customXml" ds:itemID="{5ED4A0E7-07F2-4773-8A74-A27B955952F5}"/>
</file>

<file path=docProps/app.xml><?xml version="1.0" encoding="utf-8"?>
<Properties xmlns="http://schemas.openxmlformats.org/officeDocument/2006/extended-properties" xmlns:vt="http://schemas.openxmlformats.org/officeDocument/2006/docPropsVTypes">
  <Template>Normal.dotm</Template>
  <TotalTime>2</TotalTime>
  <Pages>103</Pages>
  <Words>37336</Words>
  <Characters>212818</Characters>
  <Application>Microsoft Office Word</Application>
  <DocSecurity>0</DocSecurity>
  <Lines>1773</Lines>
  <Paragraphs>499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Elson</dc:creator>
  <cp:keywords/>
  <dc:description/>
  <cp:lastModifiedBy>D'Ath, Emily K</cp:lastModifiedBy>
  <cp:revision>4</cp:revision>
  <cp:lastPrinted>2018-07-02T22:52:00Z</cp:lastPrinted>
  <dcterms:created xsi:type="dcterms:W3CDTF">2018-07-02T22:50:00Z</dcterms:created>
  <dcterms:modified xsi:type="dcterms:W3CDTF">2018-07-02T22:53:00Z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d882ef89-371e-4ed4-87fb-8f6796010fb7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1179700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