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5D8F" w14:textId="77777777" w:rsidR="00853A5E" w:rsidRDefault="00853A5E" w:rsidP="00853A5E">
      <w:pPr>
        <w:pStyle w:val="H3-Heading3"/>
      </w:pPr>
    </w:p>
    <w:p w14:paraId="12EF6439" w14:textId="77EE98DE" w:rsidR="00853A5E" w:rsidRPr="009A7C96" w:rsidRDefault="00853A5E" w:rsidP="009A7C96">
      <w:pPr>
        <w:pStyle w:val="H1-Heading1"/>
      </w:pPr>
      <w:r w:rsidRPr="009A7C96">
        <w:t>Impact Evaluation of the Market Development Facility in Timor-Leste</w:t>
      </w:r>
    </w:p>
    <w:p w14:paraId="5AC46096" w14:textId="733F1AF6" w:rsidR="00C02DDF" w:rsidRPr="009A7C96" w:rsidRDefault="00853A5E" w:rsidP="009A7C96">
      <w:pPr>
        <w:pStyle w:val="H1-Heading1"/>
      </w:pPr>
      <w:r w:rsidRPr="009A7C96">
        <w:t>DFAT management response</w:t>
      </w:r>
    </w:p>
    <w:p w14:paraId="3ABA542D" w14:textId="42C83623" w:rsidR="00AF7C26" w:rsidRPr="009A7C96" w:rsidRDefault="00853A5E" w:rsidP="009A7C96">
      <w:pPr>
        <w:pStyle w:val="H2-Heading2"/>
        <w:rPr>
          <w:rStyle w:val="Strong"/>
          <w:b/>
          <w:bCs/>
        </w:rPr>
      </w:pPr>
      <w:r w:rsidRPr="009A7C96">
        <w:rPr>
          <w:rStyle w:val="Strong"/>
          <w:b/>
          <w:bCs/>
        </w:rPr>
        <w:t>Background</w:t>
      </w:r>
    </w:p>
    <w:p w14:paraId="73316C7E" w14:textId="62AEA3BB" w:rsidR="00CA6460" w:rsidRPr="00CA6460" w:rsidRDefault="00CA6460" w:rsidP="00CA6460">
      <w:pPr>
        <w:pStyle w:val="BodyCopy"/>
        <w:rPr>
          <w:b/>
          <w:bCs/>
        </w:rPr>
      </w:pPr>
      <w:r w:rsidRPr="00CA6460">
        <w:t>DFAT commissioned an evaluation of the Market Development Facility (MDF) in Timor-Leste to assess the impact of the program from 2012 to 2025 and inform the design of a new private sector development program.</w:t>
      </w:r>
    </w:p>
    <w:p w14:paraId="4A1C0FF7" w14:textId="70F89D88" w:rsidR="00CA6460" w:rsidRPr="00CA6460" w:rsidRDefault="00CA6460" w:rsidP="00CA6460">
      <w:pPr>
        <w:pStyle w:val="BodyCopy"/>
        <w:rPr>
          <w:lang w:val="en-GB"/>
        </w:rPr>
      </w:pPr>
      <w:r w:rsidRPr="00CA6460">
        <w:rPr>
          <w:lang w:val="en-GB"/>
        </w:rPr>
        <w:t>MDF uses a market systems development (MSD) approach seeking to transform priority market systems to deliver sustained benefits to the poor and marginalised</w:t>
      </w:r>
      <w:r w:rsidRPr="00CA6460">
        <w:t>.</w:t>
      </w:r>
      <w:r w:rsidRPr="00CA6460">
        <w:rPr>
          <w:lang w:val="en-GB"/>
        </w:rPr>
        <w:t xml:space="preserve"> MDF is a multi-country program operating in six countries: Fiji, Samoa, Sri Lanka, Timor-Leste, Tonga and Vanuatu. MDF was previously implemented in Pakistan (2013-2020) and Papua New Guinea (2015-2023). In Timor-Leste, the program was established in 2012 and has an overall budget of AUD $29m to 2027.</w:t>
      </w:r>
      <w:r w:rsidRPr="00CA6460">
        <w:rPr>
          <w:b/>
          <w:bCs/>
          <w:lang w:val="en-GB"/>
        </w:rPr>
        <w:t xml:space="preserve"> </w:t>
      </w:r>
    </w:p>
    <w:p w14:paraId="7494F461" w14:textId="01594B4E" w:rsidR="00CA6460" w:rsidRDefault="00CA6460" w:rsidP="009A7C96">
      <w:pPr>
        <w:pStyle w:val="H2-Heading2"/>
      </w:pPr>
      <w:r>
        <w:t>The evaluation</w:t>
      </w:r>
    </w:p>
    <w:p w14:paraId="48862CC9" w14:textId="1CF1C94C" w:rsidR="00AB425C" w:rsidRDefault="00AB425C" w:rsidP="00AB425C">
      <w:pPr>
        <w:pStyle w:val="BodyCopy"/>
      </w:pPr>
      <w:r>
        <w:t xml:space="preserve">The evaluation builds on the recommendations of an evaluability assessment conducted in September 2024 that found an impact evaluation would be plausible, feasible, and have utility. </w:t>
      </w:r>
      <w:r w:rsidR="00910B96">
        <w:t>It</w:t>
      </w:r>
      <w:r>
        <w:t xml:space="preserve"> also builds on a rapid impact assessment conducted over September-November 2024 that provided key findings and lessons from a desk review. </w:t>
      </w:r>
    </w:p>
    <w:p w14:paraId="5E70EF63" w14:textId="7AE973A4" w:rsidR="00AB425C" w:rsidRPr="006C62CA" w:rsidRDefault="00C23D4B" w:rsidP="00AB425C">
      <w:pPr>
        <w:pStyle w:val="BodyCopy"/>
        <w:rPr>
          <w:lang w:val="en-US"/>
        </w:rPr>
      </w:pPr>
      <w:r w:rsidRPr="3DE89C52">
        <w:t xml:space="preserve">This </w:t>
      </w:r>
      <w:r>
        <w:t>is</w:t>
      </w:r>
      <w:r w:rsidRPr="3DE89C52">
        <w:t xml:space="preserve"> the second phase of the larger impact evaluation of MDF</w:t>
      </w:r>
      <w:r>
        <w:t xml:space="preserve"> which is using a</w:t>
      </w:r>
      <w:r w:rsidR="00AB425C">
        <w:t xml:space="preserve"> three-phased approach:</w:t>
      </w:r>
    </w:p>
    <w:p w14:paraId="2D9C9709" w14:textId="77777777" w:rsidR="00AB425C" w:rsidRPr="006C62CA" w:rsidRDefault="00AB425C" w:rsidP="00AB425C">
      <w:pPr>
        <w:pStyle w:val="BodyCopyBullets"/>
        <w:rPr>
          <w:lang w:val="en-US"/>
        </w:rPr>
      </w:pPr>
      <w:r w:rsidRPr="006C62CA">
        <w:t>Phase 1: A rapid impact assessment (September-November 2024)</w:t>
      </w:r>
      <w:r>
        <w:t xml:space="preserve">. This phase </w:t>
      </w:r>
      <w:r>
        <w:rPr>
          <w:lang w:val="en-GB"/>
        </w:rPr>
        <w:t>provided</w:t>
      </w:r>
      <w:r w:rsidRPr="00A15EA7">
        <w:rPr>
          <w:lang w:val="en-GB"/>
        </w:rPr>
        <w:t xml:space="preserve"> preliminary findings</w:t>
      </w:r>
      <w:bookmarkStart w:id="1" w:name="OLE_LINK539"/>
      <w:bookmarkStart w:id="2" w:name="OLE_LINK540"/>
      <w:r>
        <w:rPr>
          <w:lang w:val="en-GB"/>
        </w:rPr>
        <w:t xml:space="preserve"> and key lessons based on desk review and a small number of interviews. </w:t>
      </w:r>
      <w:bookmarkEnd w:id="1"/>
      <w:bookmarkEnd w:id="2"/>
    </w:p>
    <w:p w14:paraId="6B5B0796" w14:textId="0668F012" w:rsidR="00AB425C" w:rsidRPr="006C62CA" w:rsidRDefault="00AB425C" w:rsidP="00AB425C">
      <w:pPr>
        <w:pStyle w:val="BodyCopyBullets"/>
        <w:rPr>
          <w:lang w:val="en-US"/>
        </w:rPr>
      </w:pPr>
      <w:r w:rsidRPr="006C62CA">
        <w:t>Phase 2: Fieldwork and synthesis</w:t>
      </w:r>
      <w:r>
        <w:t xml:space="preserve"> </w:t>
      </w:r>
      <w:r w:rsidRPr="006C62CA">
        <w:t>(January-May 2025)</w:t>
      </w:r>
      <w:r>
        <w:t xml:space="preserve">. </w:t>
      </w:r>
      <w:r>
        <w:rPr>
          <w:lang w:val="en-GB"/>
        </w:rPr>
        <w:t>This phase f</w:t>
      </w:r>
      <w:r w:rsidRPr="00A15EA7">
        <w:rPr>
          <w:lang w:val="en-GB"/>
        </w:rPr>
        <w:t>urth</w:t>
      </w:r>
      <w:r>
        <w:rPr>
          <w:lang w:val="en-GB"/>
        </w:rPr>
        <w:t>er</w:t>
      </w:r>
      <w:r w:rsidRPr="00A15EA7">
        <w:rPr>
          <w:lang w:val="en-GB"/>
        </w:rPr>
        <w:t xml:space="preserve"> test</w:t>
      </w:r>
      <w:r w:rsidR="000833AF">
        <w:rPr>
          <w:lang w:val="en-GB"/>
        </w:rPr>
        <w:t>ed</w:t>
      </w:r>
      <w:r w:rsidRPr="00A15EA7">
        <w:rPr>
          <w:lang w:val="en-GB"/>
        </w:rPr>
        <w:t xml:space="preserve"> and expan</w:t>
      </w:r>
      <w:r>
        <w:rPr>
          <w:lang w:val="en-GB"/>
        </w:rPr>
        <w:t>d</w:t>
      </w:r>
      <w:r w:rsidR="000833AF">
        <w:rPr>
          <w:lang w:val="en-GB"/>
        </w:rPr>
        <w:t>ed</w:t>
      </w:r>
      <w:r>
        <w:rPr>
          <w:lang w:val="en-GB"/>
        </w:rPr>
        <w:t xml:space="preserve"> preliminary findings.</w:t>
      </w:r>
      <w:r w:rsidRPr="006C62CA">
        <w:t xml:space="preserve"> </w:t>
      </w:r>
      <w:r>
        <w:rPr>
          <w:lang w:val="en-GB"/>
        </w:rPr>
        <w:t xml:space="preserve">The focus of this phase </w:t>
      </w:r>
      <w:r w:rsidR="000833AF">
        <w:rPr>
          <w:lang w:val="en-GB"/>
        </w:rPr>
        <w:t>was</w:t>
      </w:r>
      <w:r>
        <w:rPr>
          <w:lang w:val="en-GB"/>
        </w:rPr>
        <w:t xml:space="preserve"> the examination of impact.</w:t>
      </w:r>
    </w:p>
    <w:p w14:paraId="1E3F0519" w14:textId="77777777" w:rsidR="00AB425C" w:rsidRPr="00D73CBF" w:rsidRDefault="00AB425C" w:rsidP="00AB425C">
      <w:pPr>
        <w:pStyle w:val="BodyCopyBullets"/>
        <w:rPr>
          <w:lang w:val="en-US"/>
        </w:rPr>
      </w:pPr>
      <w:r>
        <w:t xml:space="preserve">Phase 3: A post implementation impact assessment (2027). This phase will focus on testing impact after the program has closed. </w:t>
      </w:r>
    </w:p>
    <w:p w14:paraId="200DF589" w14:textId="60CC3065" w:rsidR="00CA6460" w:rsidRDefault="005027E3" w:rsidP="00CA6460">
      <w:pPr>
        <w:pStyle w:val="BodyCopy"/>
      </w:pPr>
      <w:r>
        <w:t>The evaluation</w:t>
      </w:r>
      <w:r w:rsidR="00CA6460" w:rsidRPr="3DE89C52">
        <w:t xml:space="preserve"> addresses the key evaluation questions on impact and lessons</w:t>
      </w:r>
      <w:r w:rsidR="00CA6460">
        <w:t>. In response to the first question, “What impact has MDF achieved in Timor-Leste?”, the evaluation looked at the two market systems where MDF has had most reach – coffee and pigs. The team considered how these market systems have changed, who has benefited and how from these changes, and how (if at all) MDF contributed. The</w:t>
      </w:r>
      <w:r w:rsidR="000F64AD">
        <w:t xml:space="preserve"> team</w:t>
      </w:r>
      <w:r w:rsidR="00CA6460">
        <w:t xml:space="preserve"> examined impact at three levels: market system, business, and individual. </w:t>
      </w:r>
      <w:r w:rsidR="00B6012C">
        <w:t>The</w:t>
      </w:r>
      <w:r w:rsidR="00CA6460">
        <w:t xml:space="preserve"> evaluation</w:t>
      </w:r>
      <w:r w:rsidR="00B6012C">
        <w:t xml:space="preserve"> also</w:t>
      </w:r>
      <w:r w:rsidR="00CA6460">
        <w:t xml:space="preserve"> looked at what can be learned from the overall program in the context of MDF’s planned closure in 2027 and to inform </w:t>
      </w:r>
      <w:r w:rsidR="001D41C0">
        <w:t>DFAT’s</w:t>
      </w:r>
      <w:r w:rsidR="00CA6460">
        <w:t xml:space="preserve"> design of a new private sector </w:t>
      </w:r>
      <w:r w:rsidR="006A5A0D">
        <w:t xml:space="preserve">development investment </w:t>
      </w:r>
      <w:r w:rsidR="00CA6460">
        <w:t xml:space="preserve">in Timor-Leste.  </w:t>
      </w:r>
    </w:p>
    <w:p w14:paraId="54F3976A" w14:textId="77777777" w:rsidR="00CA6460" w:rsidRDefault="00CA6460" w:rsidP="00CA6460">
      <w:pPr>
        <w:pStyle w:val="BodyCopy"/>
      </w:pPr>
      <w:r>
        <w:t>The team employed a theory-based approach to evaluate the impact and lessons of the MDF program, collecting qualitative and quantitative data to test the theories of change.</w:t>
      </w:r>
    </w:p>
    <w:p w14:paraId="7E637CD1" w14:textId="77777777" w:rsidR="001D64F8" w:rsidRDefault="001D64F8" w:rsidP="00CA6460">
      <w:pPr>
        <w:pStyle w:val="H4-Heading4"/>
        <w:sectPr w:rsidR="001D64F8" w:rsidSect="009F5504">
          <w:headerReference w:type="even" r:id="rId8"/>
          <w:headerReference w:type="default" r:id="rId9"/>
          <w:footerReference w:type="even" r:id="rId10"/>
          <w:footerReference w:type="default" r:id="rId11"/>
          <w:headerReference w:type="first" r:id="rId12"/>
          <w:footerReference w:type="first" r:id="rId13"/>
          <w:pgSz w:w="11906" w:h="16838" w:code="9"/>
          <w:pgMar w:top="1418" w:right="1274" w:bottom="284" w:left="1276" w:header="851" w:footer="409" w:gutter="0"/>
          <w:cols w:space="708"/>
          <w:titlePg/>
          <w:docGrid w:linePitch="360"/>
        </w:sectPr>
      </w:pPr>
    </w:p>
    <w:p w14:paraId="712D6F3B" w14:textId="77777777" w:rsidR="005D006A" w:rsidRDefault="005D006A" w:rsidP="009A7C96">
      <w:pPr>
        <w:pStyle w:val="H2-Heading2"/>
      </w:pPr>
      <w:r>
        <w:lastRenderedPageBreak/>
        <w:t>DFAT management response</w:t>
      </w:r>
      <w:r>
        <w:tab/>
      </w:r>
    </w:p>
    <w:p w14:paraId="0C50DBA1" w14:textId="586CE51A" w:rsidR="005D006A" w:rsidRPr="00DB554F" w:rsidRDefault="005D006A" w:rsidP="00DB554F">
      <w:pPr>
        <w:pStyle w:val="TableHeading"/>
        <w:tabs>
          <w:tab w:val="clear" w:pos="4513"/>
          <w:tab w:val="clear" w:pos="9026"/>
          <w:tab w:val="center" w:pos="4801"/>
          <w:tab w:val="right" w:pos="11874"/>
        </w:tabs>
        <w:ind w:left="113"/>
      </w:pPr>
    </w:p>
    <w:tbl>
      <w:tblPr>
        <w:tblStyle w:val="TableGrid"/>
        <w:tblW w:w="0" w:type="auto"/>
        <w:tblLook w:val="04A0" w:firstRow="1" w:lastRow="0" w:firstColumn="1" w:lastColumn="0" w:noHBand="0" w:noVBand="1"/>
      </w:tblPr>
      <w:tblGrid>
        <w:gridCol w:w="4688"/>
        <w:gridCol w:w="7073"/>
        <w:gridCol w:w="2187"/>
      </w:tblGrid>
      <w:tr w:rsidR="0037182F" w:rsidRPr="00DB554F" w14:paraId="7568DF4D" w14:textId="77777777" w:rsidTr="00E01F93">
        <w:trPr>
          <w:tblHeader/>
        </w:trPr>
        <w:tc>
          <w:tcPr>
            <w:tcW w:w="4688" w:type="dxa"/>
          </w:tcPr>
          <w:p w14:paraId="2344A27C" w14:textId="1416201F" w:rsidR="00415CF0" w:rsidRPr="00DB554F" w:rsidRDefault="0037182F" w:rsidP="00DB554F">
            <w:pPr>
              <w:pStyle w:val="TableHeading"/>
            </w:pPr>
            <w:r w:rsidRPr="00DB554F">
              <w:t>RECOMMENDATION</w:t>
            </w:r>
          </w:p>
        </w:tc>
        <w:tc>
          <w:tcPr>
            <w:tcW w:w="7073" w:type="dxa"/>
          </w:tcPr>
          <w:p w14:paraId="1B1A3E79" w14:textId="6CF737FF" w:rsidR="00415CF0" w:rsidRPr="00DB554F" w:rsidRDefault="0037182F" w:rsidP="00DB554F">
            <w:pPr>
              <w:pStyle w:val="TableHeading"/>
            </w:pPr>
            <w:r w:rsidRPr="00DB554F">
              <w:t>RESPONSE</w:t>
            </w:r>
          </w:p>
        </w:tc>
        <w:tc>
          <w:tcPr>
            <w:tcW w:w="2187" w:type="dxa"/>
          </w:tcPr>
          <w:p w14:paraId="58DB701D" w14:textId="0F263E42" w:rsidR="00415CF0" w:rsidRPr="00DB554F" w:rsidRDefault="0037182F" w:rsidP="00DB554F">
            <w:pPr>
              <w:pStyle w:val="TableHeading"/>
            </w:pPr>
            <w:r w:rsidRPr="00DB554F">
              <w:t>RESPONSIBILITY</w:t>
            </w:r>
          </w:p>
        </w:tc>
      </w:tr>
      <w:tr w:rsidR="0037182F" w14:paraId="088DAAD7" w14:textId="77777777" w:rsidTr="0023495A">
        <w:tc>
          <w:tcPr>
            <w:tcW w:w="4688" w:type="dxa"/>
          </w:tcPr>
          <w:p w14:paraId="534B73D9" w14:textId="655F145C" w:rsidR="00415CF0" w:rsidRPr="00AF3E16" w:rsidRDefault="00CD259F" w:rsidP="00DB554F">
            <w:pPr>
              <w:pStyle w:val="BodycopyNumberedBullets"/>
              <w:rPr>
                <w:b/>
                <w:bCs/>
              </w:rPr>
            </w:pPr>
            <w:r w:rsidRPr="00AF3E16">
              <w:rPr>
                <w:b/>
                <w:bCs/>
              </w:rPr>
              <w:t xml:space="preserve">DFAT to consider continuing MSD engagements in agriculture and tourism in the new design.  </w:t>
            </w:r>
          </w:p>
        </w:tc>
        <w:tc>
          <w:tcPr>
            <w:tcW w:w="7073" w:type="dxa"/>
          </w:tcPr>
          <w:p w14:paraId="72FA2BF3" w14:textId="10912FC6" w:rsidR="00225D18" w:rsidRPr="00225D18" w:rsidRDefault="00225D18" w:rsidP="00225D18">
            <w:pPr>
              <w:pStyle w:val="BodyCopy"/>
            </w:pPr>
            <w:r w:rsidRPr="00225D18">
              <w:t xml:space="preserve">The design of the new program </w:t>
            </w:r>
            <w:r w:rsidR="001114EA">
              <w:t>is</w:t>
            </w:r>
            <w:r w:rsidR="001114EA" w:rsidRPr="00225D18">
              <w:t xml:space="preserve"> </w:t>
            </w:r>
            <w:r w:rsidRPr="00225D18">
              <w:t>not sector-specific</w:t>
            </w:r>
            <w:r>
              <w:t>. However, i</w:t>
            </w:r>
            <w:r w:rsidRPr="00225D18">
              <w:t>t is likely these sectors will be a focus noting their growth potential.</w:t>
            </w:r>
          </w:p>
          <w:p w14:paraId="10A834CF" w14:textId="77777777" w:rsidR="00415CF0" w:rsidRPr="0037182F" w:rsidRDefault="00415CF0" w:rsidP="0037182F">
            <w:pPr>
              <w:pStyle w:val="BodyCopy"/>
            </w:pPr>
          </w:p>
        </w:tc>
        <w:tc>
          <w:tcPr>
            <w:tcW w:w="2187" w:type="dxa"/>
          </w:tcPr>
          <w:p w14:paraId="1FFEAF09" w14:textId="1E9A27EF" w:rsidR="00415CF0" w:rsidRPr="0037182F" w:rsidRDefault="0023495A" w:rsidP="0037182F">
            <w:pPr>
              <w:pStyle w:val="BodyCopy"/>
            </w:pPr>
            <w:r>
              <w:t>DFAT</w:t>
            </w:r>
          </w:p>
        </w:tc>
      </w:tr>
      <w:tr w:rsidR="0037182F" w14:paraId="2B96153F" w14:textId="77777777" w:rsidTr="0023495A">
        <w:tc>
          <w:tcPr>
            <w:tcW w:w="4688" w:type="dxa"/>
          </w:tcPr>
          <w:p w14:paraId="3DDFA0EB" w14:textId="5E329DCF" w:rsidR="00415CF0" w:rsidRPr="00AF3E16" w:rsidRDefault="00660BC7" w:rsidP="00DB554F">
            <w:pPr>
              <w:pStyle w:val="BodycopyNumberedBullets"/>
              <w:rPr>
                <w:b/>
                <w:bCs/>
              </w:rPr>
            </w:pPr>
            <w:r w:rsidRPr="00AF3E16">
              <w:rPr>
                <w:b/>
                <w:bCs/>
              </w:rPr>
              <w:t>DFAT to clarify for stakeholders how MSD work will impact gender equality and poverty</w:t>
            </w:r>
            <w:r w:rsidR="00483DE3">
              <w:rPr>
                <w:b/>
                <w:bCs/>
              </w:rPr>
              <w:t>.</w:t>
            </w:r>
          </w:p>
        </w:tc>
        <w:tc>
          <w:tcPr>
            <w:tcW w:w="7073" w:type="dxa"/>
          </w:tcPr>
          <w:p w14:paraId="472D34A8" w14:textId="07C74BE3" w:rsidR="00415CF0" w:rsidRPr="0037182F" w:rsidRDefault="00225D18" w:rsidP="0037182F">
            <w:pPr>
              <w:pStyle w:val="BodyCopy"/>
            </w:pPr>
            <w:r>
              <w:t xml:space="preserve">DFAT will be able to explain to stakeholders how MSD work will impact gender equality and poverty </w:t>
            </w:r>
            <w:r w:rsidR="000179F3">
              <w:t xml:space="preserve">with </w:t>
            </w:r>
            <w:r>
              <w:t xml:space="preserve">the </w:t>
            </w:r>
            <w:r w:rsidR="000179F3">
              <w:t xml:space="preserve">approved </w:t>
            </w:r>
            <w:r>
              <w:t>design of a new private sector development program.</w:t>
            </w:r>
            <w:r w:rsidR="00701A91">
              <w:t xml:space="preserve"> </w:t>
            </w:r>
            <w:r w:rsidR="0072427B">
              <w:t xml:space="preserve">Specifically, DFAT will ensure that impacts on gender equality and poverty are embedded in the MEL and PAF and built into the theory of change for the program. This will enable impacts to be closely tracked at output and outcome level. </w:t>
            </w:r>
          </w:p>
        </w:tc>
        <w:tc>
          <w:tcPr>
            <w:tcW w:w="2187" w:type="dxa"/>
          </w:tcPr>
          <w:p w14:paraId="2C49F057" w14:textId="537BBAB9" w:rsidR="00415CF0" w:rsidRPr="0037182F" w:rsidRDefault="0023495A" w:rsidP="0037182F">
            <w:pPr>
              <w:pStyle w:val="BodyCopy"/>
            </w:pPr>
            <w:r>
              <w:t>DFAT</w:t>
            </w:r>
          </w:p>
        </w:tc>
      </w:tr>
      <w:tr w:rsidR="0037182F" w14:paraId="0E013DA1" w14:textId="77777777" w:rsidTr="0023495A">
        <w:tc>
          <w:tcPr>
            <w:tcW w:w="4688" w:type="dxa"/>
          </w:tcPr>
          <w:p w14:paraId="37B9CAFC" w14:textId="13610F4C" w:rsidR="00415CF0" w:rsidRPr="00AF3E16" w:rsidRDefault="00E14260" w:rsidP="00DB554F">
            <w:pPr>
              <w:pStyle w:val="BodycopyNumberedBullets"/>
              <w:rPr>
                <w:rFonts w:eastAsiaTheme="majorEastAsia" w:cstheme="minorHAnsi"/>
                <w:b/>
                <w:bCs/>
                <w:sz w:val="24"/>
                <w:szCs w:val="24"/>
              </w:rPr>
            </w:pPr>
            <w:r w:rsidRPr="00AF3E16">
              <w:rPr>
                <w:rFonts w:eastAsiaTheme="majorEastAsia" w:cstheme="minorHAnsi"/>
                <w:b/>
                <w:bCs/>
                <w:sz w:val="24"/>
                <w:szCs w:val="24"/>
              </w:rPr>
              <w:t xml:space="preserve">DFAT to develop a stronger and more explicit focus on climate adaptation in the design of the next phase. </w:t>
            </w:r>
          </w:p>
        </w:tc>
        <w:tc>
          <w:tcPr>
            <w:tcW w:w="7073" w:type="dxa"/>
          </w:tcPr>
          <w:p w14:paraId="6DACE8C1" w14:textId="71518398" w:rsidR="00415CF0" w:rsidRPr="0037182F" w:rsidRDefault="00D25731" w:rsidP="0037182F">
            <w:pPr>
              <w:pStyle w:val="BodyCopy"/>
            </w:pPr>
            <w:r>
              <w:t>T</w:t>
            </w:r>
            <w:r w:rsidR="00F41B3C">
              <w:t>he n</w:t>
            </w:r>
            <w:r w:rsidR="00225D18">
              <w:t>ew private sector development program in Timor-Leste</w:t>
            </w:r>
            <w:r w:rsidR="000179F3">
              <w:t xml:space="preserve"> </w:t>
            </w:r>
            <w:r>
              <w:t>includes a</w:t>
            </w:r>
            <w:r w:rsidR="00F41B3C">
              <w:t xml:space="preserve">n end of program outcome </w:t>
            </w:r>
            <w:r w:rsidR="002021DE">
              <w:t xml:space="preserve">that existing businesses in focus sectors have grown in ways that are climate-resilient. This </w:t>
            </w:r>
            <w:r w:rsidR="00DA6571">
              <w:t xml:space="preserve">recognises </w:t>
            </w:r>
            <w:r w:rsidR="00225D18">
              <w:t>climate adaptation</w:t>
            </w:r>
            <w:r w:rsidR="002021DE">
              <w:t xml:space="preserve"> as </w:t>
            </w:r>
            <w:r w:rsidR="0072427B">
              <w:t xml:space="preserve">a key priority of the </w:t>
            </w:r>
            <w:r w:rsidR="00225D18">
              <w:t xml:space="preserve">Government of Timor-Leste </w:t>
            </w:r>
            <w:r w:rsidR="0072427B">
              <w:t xml:space="preserve">as well as </w:t>
            </w:r>
            <w:r w:rsidR="00F066DE">
              <w:t>the Australian Government</w:t>
            </w:r>
            <w:r w:rsidR="00BC477A">
              <w:t xml:space="preserve">. </w:t>
            </w:r>
          </w:p>
        </w:tc>
        <w:tc>
          <w:tcPr>
            <w:tcW w:w="2187" w:type="dxa"/>
          </w:tcPr>
          <w:p w14:paraId="1D6A31B2" w14:textId="3C95376A" w:rsidR="00415CF0" w:rsidRPr="0037182F" w:rsidRDefault="0023495A" w:rsidP="0037182F">
            <w:pPr>
              <w:pStyle w:val="BodyCopy"/>
            </w:pPr>
            <w:r>
              <w:t>DFAT</w:t>
            </w:r>
          </w:p>
        </w:tc>
      </w:tr>
      <w:tr w:rsidR="0037182F" w14:paraId="512CBA44" w14:textId="77777777" w:rsidTr="0023495A">
        <w:tc>
          <w:tcPr>
            <w:tcW w:w="4688" w:type="dxa"/>
          </w:tcPr>
          <w:p w14:paraId="60A5F34C" w14:textId="31F8ED6D" w:rsidR="00415CF0" w:rsidRPr="00AF3E16" w:rsidRDefault="00B073B7" w:rsidP="00DB554F">
            <w:pPr>
              <w:pStyle w:val="BodycopyNumberedBullets"/>
              <w:rPr>
                <w:b/>
                <w:bCs/>
              </w:rPr>
            </w:pPr>
            <w:r w:rsidRPr="00AF3E16">
              <w:rPr>
                <w:b/>
                <w:bCs/>
              </w:rPr>
              <w:t xml:space="preserve">DFAT to ensure the </w:t>
            </w:r>
            <w:r w:rsidR="007A608C">
              <w:rPr>
                <w:b/>
                <w:bCs/>
              </w:rPr>
              <w:t xml:space="preserve">future </w:t>
            </w:r>
            <w:r w:rsidRPr="00AF3E16">
              <w:rPr>
                <w:b/>
                <w:bCs/>
              </w:rPr>
              <w:t>MEL system and Performance Assessment Framework enable stakeholders to assess progress on systemic change as well as the direct benefits from individual activities.</w:t>
            </w:r>
          </w:p>
        </w:tc>
        <w:tc>
          <w:tcPr>
            <w:tcW w:w="7073" w:type="dxa"/>
          </w:tcPr>
          <w:p w14:paraId="59739216" w14:textId="25B15CC8" w:rsidR="00415CF0" w:rsidRPr="0037182F" w:rsidRDefault="00E43065" w:rsidP="0037182F">
            <w:pPr>
              <w:pStyle w:val="BodyCopy"/>
            </w:pPr>
            <w:r>
              <w:t>DFAT is applying this lesson to the new private sector development program.</w:t>
            </w:r>
            <w:r w:rsidR="00890179">
              <w:t xml:space="preserve"> Specifically, the MEL and P</w:t>
            </w:r>
            <w:r w:rsidR="00BE4B5E">
              <w:t xml:space="preserve">erformance </w:t>
            </w:r>
            <w:r w:rsidR="00890179">
              <w:t>A</w:t>
            </w:r>
            <w:r w:rsidR="00BE4B5E">
              <w:t xml:space="preserve">ssessment </w:t>
            </w:r>
            <w:r w:rsidR="00890179">
              <w:t>F</w:t>
            </w:r>
            <w:r w:rsidR="00BE4B5E">
              <w:t>ramework</w:t>
            </w:r>
            <w:r w:rsidR="00890179">
              <w:t xml:space="preserve"> </w:t>
            </w:r>
            <w:r w:rsidR="00B625F8">
              <w:t>are designed</w:t>
            </w:r>
            <w:r w:rsidR="00306697">
              <w:t xml:space="preserve"> according to DFAT standards and</w:t>
            </w:r>
            <w:r w:rsidR="00B625F8">
              <w:t xml:space="preserve"> so that stakeholders can assess the program’s progress on systemic change</w:t>
            </w:r>
            <w:r w:rsidR="00B3294E">
              <w:t>.</w:t>
            </w:r>
          </w:p>
        </w:tc>
        <w:tc>
          <w:tcPr>
            <w:tcW w:w="2187" w:type="dxa"/>
          </w:tcPr>
          <w:p w14:paraId="41B829E9" w14:textId="26B8F23B" w:rsidR="00415CF0" w:rsidRPr="0037182F" w:rsidRDefault="0023495A" w:rsidP="0037182F">
            <w:pPr>
              <w:pStyle w:val="BodyCopy"/>
            </w:pPr>
            <w:r>
              <w:t>DFAT</w:t>
            </w:r>
          </w:p>
        </w:tc>
      </w:tr>
      <w:tr w:rsidR="0037182F" w14:paraId="38380397" w14:textId="77777777" w:rsidTr="0023495A">
        <w:tc>
          <w:tcPr>
            <w:tcW w:w="4688" w:type="dxa"/>
          </w:tcPr>
          <w:p w14:paraId="3BF2AEC0" w14:textId="094B19EF" w:rsidR="00415CF0" w:rsidRPr="00AF3E16" w:rsidRDefault="00810D56" w:rsidP="00DB554F">
            <w:pPr>
              <w:pStyle w:val="BodycopyNumberedBullets"/>
              <w:rPr>
                <w:b/>
                <w:bCs/>
              </w:rPr>
            </w:pPr>
            <w:bookmarkStart w:id="19" w:name="OLE_LINK144"/>
            <w:r w:rsidRPr="00AF3E16">
              <w:rPr>
                <w:b/>
                <w:bCs/>
              </w:rPr>
              <w:t xml:space="preserve">DFAT to note that an MSD program </w:t>
            </w:r>
            <w:r w:rsidR="005C109F">
              <w:rPr>
                <w:b/>
                <w:bCs/>
              </w:rPr>
              <w:t xml:space="preserve">staff are central to the </w:t>
            </w:r>
            <w:r w:rsidRPr="00AF3E16">
              <w:rPr>
                <w:b/>
                <w:bCs/>
              </w:rPr>
              <w:t xml:space="preserve">value </w:t>
            </w:r>
            <w:r w:rsidR="005C109F">
              <w:rPr>
                <w:b/>
                <w:bCs/>
              </w:rPr>
              <w:t xml:space="preserve">the program delivers </w:t>
            </w:r>
            <w:r w:rsidRPr="00AF3E16">
              <w:rPr>
                <w:b/>
                <w:bCs/>
              </w:rPr>
              <w:t xml:space="preserve">through market analysis, systematic learning and adaptation, mentoring, networking and problem solving with partners, and public good </w:t>
            </w:r>
            <w:r w:rsidRPr="00AF3E16">
              <w:rPr>
                <w:b/>
                <w:bCs/>
              </w:rPr>
              <w:lastRenderedPageBreak/>
              <w:t>research accompanying the program’s co-investment with market actors.</w:t>
            </w:r>
            <w:bookmarkEnd w:id="19"/>
          </w:p>
        </w:tc>
        <w:tc>
          <w:tcPr>
            <w:tcW w:w="7073" w:type="dxa"/>
          </w:tcPr>
          <w:p w14:paraId="6826D2BD" w14:textId="01358941" w:rsidR="00415CF0" w:rsidRPr="0037182F" w:rsidRDefault="00225D18" w:rsidP="0037182F">
            <w:pPr>
              <w:pStyle w:val="BodyCopy"/>
            </w:pPr>
            <w:r>
              <w:lastRenderedPageBreak/>
              <w:t>DFAT notes this</w:t>
            </w:r>
            <w:r w:rsidR="00E43065">
              <w:t xml:space="preserve"> and recognises the value of using an MSD approach</w:t>
            </w:r>
            <w:r w:rsidR="00933636">
              <w:t>. DFAT</w:t>
            </w:r>
            <w:r w:rsidR="00E43065">
              <w:t xml:space="preserve"> is applying it to the new </w:t>
            </w:r>
            <w:r w:rsidR="00D17A56">
              <w:t>private sector development program</w:t>
            </w:r>
            <w:r w:rsidR="00A925DA">
              <w:t>, alongside other private sector development approaches</w:t>
            </w:r>
            <w:r w:rsidR="00E43065">
              <w:t>.</w:t>
            </w:r>
          </w:p>
        </w:tc>
        <w:tc>
          <w:tcPr>
            <w:tcW w:w="2187" w:type="dxa"/>
          </w:tcPr>
          <w:p w14:paraId="346F9871" w14:textId="7937501C" w:rsidR="00415CF0" w:rsidRPr="0037182F" w:rsidRDefault="0023495A" w:rsidP="0037182F">
            <w:pPr>
              <w:pStyle w:val="BodyCopy"/>
            </w:pPr>
            <w:r>
              <w:t>DFAT</w:t>
            </w:r>
          </w:p>
        </w:tc>
      </w:tr>
      <w:tr w:rsidR="00810D56" w14:paraId="69E19B42" w14:textId="77777777" w:rsidTr="0023495A">
        <w:tc>
          <w:tcPr>
            <w:tcW w:w="4688" w:type="dxa"/>
          </w:tcPr>
          <w:p w14:paraId="2A90B7FB" w14:textId="7FBF8E00" w:rsidR="00810D56" w:rsidRPr="00AF3E16" w:rsidRDefault="007F1CB4" w:rsidP="00DB554F">
            <w:pPr>
              <w:pStyle w:val="BodycopyNumberedBullets"/>
              <w:rPr>
                <w:b/>
                <w:bCs/>
              </w:rPr>
            </w:pPr>
            <w:r w:rsidRPr="00AF3E16">
              <w:rPr>
                <w:b/>
                <w:bCs/>
              </w:rPr>
              <w:t>DFAT to consider expanding work on access to finance issues</w:t>
            </w:r>
            <w:r w:rsidR="0072427B">
              <w:rPr>
                <w:b/>
                <w:bCs/>
              </w:rPr>
              <w:t xml:space="preserve"> including access to credit </w:t>
            </w:r>
          </w:p>
        </w:tc>
        <w:tc>
          <w:tcPr>
            <w:tcW w:w="7073" w:type="dxa"/>
          </w:tcPr>
          <w:p w14:paraId="0CEEDAF3" w14:textId="7630CD47" w:rsidR="00810D56" w:rsidRPr="0037182F" w:rsidRDefault="00225D18" w:rsidP="0037182F">
            <w:pPr>
              <w:pStyle w:val="BodyCopy"/>
            </w:pPr>
            <w:r>
              <w:t xml:space="preserve">DFAT has </w:t>
            </w:r>
            <w:r w:rsidR="0072427B">
              <w:t xml:space="preserve">requested </w:t>
            </w:r>
            <w:r>
              <w:t xml:space="preserve">MDF to continue identifying opportunities to support greater access to finance. Opportunities to strengthen access to finance </w:t>
            </w:r>
            <w:r w:rsidR="00422348">
              <w:t xml:space="preserve">will be a focus </w:t>
            </w:r>
            <w:r>
              <w:t>for the new private sector development program in Timor-Leste.</w:t>
            </w:r>
          </w:p>
        </w:tc>
        <w:tc>
          <w:tcPr>
            <w:tcW w:w="2187" w:type="dxa"/>
          </w:tcPr>
          <w:p w14:paraId="425249AF" w14:textId="614D9FFC" w:rsidR="00810D56" w:rsidRPr="0037182F" w:rsidRDefault="0023495A" w:rsidP="0037182F">
            <w:pPr>
              <w:pStyle w:val="BodyCopy"/>
            </w:pPr>
            <w:r>
              <w:t>DFAT</w:t>
            </w:r>
          </w:p>
        </w:tc>
      </w:tr>
      <w:tr w:rsidR="00AB3F2D" w14:paraId="79E4BED7" w14:textId="77777777" w:rsidTr="0023495A">
        <w:tc>
          <w:tcPr>
            <w:tcW w:w="4688" w:type="dxa"/>
          </w:tcPr>
          <w:p w14:paraId="5D29322E" w14:textId="028233D9" w:rsidR="00AB3F2D" w:rsidRPr="00AF3E16" w:rsidRDefault="00AB3F2D" w:rsidP="00DB554F">
            <w:pPr>
              <w:pStyle w:val="BodycopyNumberedBullets"/>
              <w:rPr>
                <w:b/>
                <w:bCs/>
              </w:rPr>
            </w:pPr>
            <w:r w:rsidRPr="00AF3E16">
              <w:rPr>
                <w:b/>
                <w:bCs/>
              </w:rPr>
              <w:t>DFAT to consider ways to replicate the enormous benefits that MDF’s program in Timor-Leste received from access to experience of MDF in other countries.</w:t>
            </w:r>
          </w:p>
        </w:tc>
        <w:tc>
          <w:tcPr>
            <w:tcW w:w="7073" w:type="dxa"/>
          </w:tcPr>
          <w:p w14:paraId="1076FCEF" w14:textId="3E47931E" w:rsidR="00AB3F2D" w:rsidRPr="0037182F" w:rsidRDefault="00225D18" w:rsidP="0037182F">
            <w:pPr>
              <w:pStyle w:val="BodyCopy"/>
            </w:pPr>
            <w:r>
              <w:t>DFAT takes into consideration the findings of the report and is actively developing a new private sector development program in Timor-Leste that is considering ways to replicate the successes of MDF and addressing its challenges.</w:t>
            </w:r>
          </w:p>
        </w:tc>
        <w:tc>
          <w:tcPr>
            <w:tcW w:w="2187" w:type="dxa"/>
          </w:tcPr>
          <w:p w14:paraId="3FD217B8" w14:textId="0370542D" w:rsidR="00AB3F2D" w:rsidRPr="0037182F" w:rsidRDefault="0023495A" w:rsidP="0037182F">
            <w:pPr>
              <w:pStyle w:val="BodyCopy"/>
            </w:pPr>
            <w:r>
              <w:t>DFAT</w:t>
            </w:r>
          </w:p>
        </w:tc>
      </w:tr>
      <w:tr w:rsidR="00F54530" w14:paraId="02B180E2" w14:textId="77777777" w:rsidTr="0023495A">
        <w:tc>
          <w:tcPr>
            <w:tcW w:w="4688" w:type="dxa"/>
          </w:tcPr>
          <w:p w14:paraId="09CC8AEC" w14:textId="02678634" w:rsidR="00F54530" w:rsidRPr="00AF3E16" w:rsidRDefault="00F54530" w:rsidP="00DB554F">
            <w:pPr>
              <w:pStyle w:val="BodycopyNumberedBullets"/>
              <w:rPr>
                <w:b/>
                <w:bCs/>
              </w:rPr>
            </w:pPr>
            <w:r w:rsidRPr="00AF3E16">
              <w:rPr>
                <w:b/>
                <w:bCs/>
              </w:rPr>
              <w:t xml:space="preserve">DFAT to </w:t>
            </w:r>
            <w:r w:rsidR="005C109F">
              <w:rPr>
                <w:b/>
                <w:bCs/>
              </w:rPr>
              <w:t>consider</w:t>
            </w:r>
            <w:r w:rsidRPr="00AF3E16">
              <w:rPr>
                <w:b/>
                <w:bCs/>
              </w:rPr>
              <w:t xml:space="preserve"> the implications of the transition from a multi-country to a single country program.</w:t>
            </w:r>
          </w:p>
        </w:tc>
        <w:tc>
          <w:tcPr>
            <w:tcW w:w="7073" w:type="dxa"/>
          </w:tcPr>
          <w:p w14:paraId="06FA2BF2" w14:textId="2CAE844C" w:rsidR="00F54530" w:rsidRPr="0037182F" w:rsidRDefault="00E263B0" w:rsidP="0037182F">
            <w:pPr>
              <w:pStyle w:val="BodyCopy"/>
            </w:pPr>
            <w:r>
              <w:t xml:space="preserve">DFAT </w:t>
            </w:r>
            <w:r w:rsidR="005C684B">
              <w:t xml:space="preserve">has </w:t>
            </w:r>
            <w:r>
              <w:t>actively consider</w:t>
            </w:r>
            <w:r w:rsidR="005C684B">
              <w:t>ed</w:t>
            </w:r>
            <w:r>
              <w:t xml:space="preserve"> the challenges and benefits of moving from a multi-country program to a bilateral-only program </w:t>
            </w:r>
            <w:r w:rsidR="009C2A08">
              <w:t xml:space="preserve">through the design of </w:t>
            </w:r>
            <w:r w:rsidR="00267E39">
              <w:t xml:space="preserve">the </w:t>
            </w:r>
            <w:r w:rsidR="009C2A08">
              <w:t>private sector development program in Timor-Leste.</w:t>
            </w:r>
            <w:r w:rsidR="00674C13">
              <w:t xml:space="preserve"> This is captured in the risk section of the new design process</w:t>
            </w:r>
            <w:r w:rsidR="002605E5">
              <w:t>, with adequate controls,</w:t>
            </w:r>
            <w:r w:rsidR="00423E84">
              <w:t xml:space="preserve"> to ensure a smooth transition.</w:t>
            </w:r>
          </w:p>
        </w:tc>
        <w:tc>
          <w:tcPr>
            <w:tcW w:w="2187" w:type="dxa"/>
          </w:tcPr>
          <w:p w14:paraId="46749CD5" w14:textId="0FB226D8" w:rsidR="00F54530" w:rsidRPr="0037182F" w:rsidRDefault="0023495A" w:rsidP="0037182F">
            <w:pPr>
              <w:pStyle w:val="BodyCopy"/>
            </w:pPr>
            <w:r>
              <w:t>DFAT</w:t>
            </w:r>
          </w:p>
        </w:tc>
      </w:tr>
      <w:tr w:rsidR="0037182F" w14:paraId="5B58700B" w14:textId="77777777" w:rsidTr="0023495A">
        <w:tc>
          <w:tcPr>
            <w:tcW w:w="4688" w:type="dxa"/>
          </w:tcPr>
          <w:p w14:paraId="1B80F3B1" w14:textId="300A7E4C" w:rsidR="0037182F" w:rsidRPr="00AF3E16" w:rsidRDefault="0037182F" w:rsidP="00DB554F">
            <w:pPr>
              <w:pStyle w:val="BodycopyNumberedBullets"/>
              <w:rPr>
                <w:b/>
                <w:bCs/>
              </w:rPr>
            </w:pPr>
            <w:r w:rsidRPr="00AF3E16">
              <w:rPr>
                <w:b/>
                <w:bCs/>
              </w:rPr>
              <w:t>MDF to prepare for closure or transition to new phase.</w:t>
            </w:r>
          </w:p>
        </w:tc>
        <w:tc>
          <w:tcPr>
            <w:tcW w:w="7073" w:type="dxa"/>
          </w:tcPr>
          <w:p w14:paraId="3D118233" w14:textId="6FA056A3" w:rsidR="0037182F" w:rsidRPr="0037182F" w:rsidRDefault="009C2A08" w:rsidP="0037182F">
            <w:pPr>
              <w:pStyle w:val="BodyCopy"/>
            </w:pPr>
            <w:r>
              <w:t>For MDF action.</w:t>
            </w:r>
          </w:p>
        </w:tc>
        <w:tc>
          <w:tcPr>
            <w:tcW w:w="2187" w:type="dxa"/>
          </w:tcPr>
          <w:p w14:paraId="63BCC181" w14:textId="545AAEB3" w:rsidR="0037182F" w:rsidRPr="0037182F" w:rsidRDefault="0023495A" w:rsidP="0037182F">
            <w:pPr>
              <w:pStyle w:val="BodyCopy"/>
            </w:pPr>
            <w:r>
              <w:t>MDF</w:t>
            </w:r>
          </w:p>
        </w:tc>
      </w:tr>
    </w:tbl>
    <w:p w14:paraId="0B49F952" w14:textId="42286A64" w:rsidR="009E50A7" w:rsidRDefault="009E50A7" w:rsidP="005D006A">
      <w:pPr>
        <w:pStyle w:val="BodyCopy"/>
      </w:pPr>
    </w:p>
    <w:sectPr w:rsidR="009E50A7" w:rsidSect="005D006A">
      <w:headerReference w:type="default" r:id="rId14"/>
      <w:headerReference w:type="first" r:id="rId15"/>
      <w:footerReference w:type="first" r:id="rId16"/>
      <w:pgSz w:w="16838" w:h="11906" w:orient="landscape" w:code="9"/>
      <w:pgMar w:top="1440" w:right="1440" w:bottom="1440" w:left="1440" w:header="851"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BACA" w14:textId="77777777" w:rsidR="00CC6256" w:rsidRDefault="00CC6256" w:rsidP="00EE32FE">
      <w:pPr>
        <w:spacing w:after="0"/>
      </w:pPr>
      <w:r>
        <w:separator/>
      </w:r>
    </w:p>
  </w:endnote>
  <w:endnote w:type="continuationSeparator" w:id="0">
    <w:p w14:paraId="6797AC7B" w14:textId="77777777" w:rsidR="00CC6256" w:rsidRDefault="00CC6256" w:rsidP="00EE32FE">
      <w:pPr>
        <w:spacing w:after="0"/>
      </w:pPr>
      <w:r>
        <w:continuationSeparator/>
      </w:r>
    </w:p>
  </w:endnote>
  <w:endnote w:type="continuationNotice" w:id="1">
    <w:p w14:paraId="4181B4D9" w14:textId="77777777" w:rsidR="00CC6256" w:rsidRDefault="00CC62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EED7" w14:textId="77777777" w:rsidR="005074F3" w:rsidRDefault="00507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94C2" w14:textId="77777777" w:rsidR="005074F3" w:rsidRDefault="00507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B8D4" w14:textId="6F1ADCC0" w:rsidR="00F74B5D" w:rsidRPr="007F6492" w:rsidRDefault="002D1742" w:rsidP="00415CF0">
    <w:pPr>
      <w:pStyle w:val="Footer"/>
      <w:tabs>
        <w:tab w:val="clear" w:pos="4513"/>
        <w:tab w:val="clear" w:pos="9026"/>
        <w:tab w:val="left" w:pos="4320"/>
      </w:tabs>
      <w:rPr>
        <w:color w:val="FFFFFF" w:themeColor="background1"/>
      </w:rPr>
    </w:pPr>
    <w:r w:rsidRPr="007F6492">
      <w:rPr>
        <w:noProof/>
        <w:color w:val="FFFFFF" w:themeColor="background1"/>
      </w:rPr>
      <w:drawing>
        <wp:anchor distT="0" distB="0" distL="114300" distR="114300" simplePos="0" relativeHeight="251660291" behindDoc="1" locked="0" layoutInCell="1" allowOverlap="1" wp14:anchorId="15664C3C" wp14:editId="6D02487F">
          <wp:simplePos x="0" y="0"/>
          <wp:positionH relativeFrom="margin">
            <wp:posOffset>-495300</wp:posOffset>
          </wp:positionH>
          <wp:positionV relativeFrom="paragraph">
            <wp:posOffset>-635</wp:posOffset>
          </wp:positionV>
          <wp:extent cx="6962775" cy="365810"/>
          <wp:effectExtent l="0" t="0" r="0" b="0"/>
          <wp:wrapNone/>
          <wp:docPr id="200" name="Picture 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62775" cy="365810"/>
                  </a:xfrm>
                  <a:prstGeom prst="rect">
                    <a:avLst/>
                  </a:prstGeom>
                </pic:spPr>
              </pic:pic>
            </a:graphicData>
          </a:graphic>
          <wp14:sizeRelH relativeFrom="margin">
            <wp14:pctWidth>0</wp14:pctWidth>
          </wp14:sizeRelH>
          <wp14:sizeRelV relativeFrom="margin">
            <wp14:pctHeight>0</wp14:pctHeight>
          </wp14:sizeRelV>
        </wp:anchor>
      </w:drawing>
    </w:r>
    <w:sdt>
      <w:sdtPr>
        <w:id w:val="-1869980232"/>
        <w:docPartObj>
          <w:docPartGallery w:val="Page Numbers (Bottom of Page)"/>
          <w:docPartUnique/>
        </w:docPartObj>
      </w:sdtPr>
      <w:sdtEndPr>
        <w:rPr>
          <w:noProof/>
          <w:color w:val="FFFFFF" w:themeColor="background1"/>
        </w:rPr>
      </w:sdtEndPr>
      <w:sdtContent>
        <w:r w:rsidR="00F74B5D" w:rsidRPr="007F6492">
          <w:rPr>
            <w:color w:val="FFFFFF" w:themeColor="background1"/>
          </w:rPr>
          <w:fldChar w:fldCharType="begin"/>
        </w:r>
        <w:r w:rsidR="00F74B5D" w:rsidRPr="007F6492">
          <w:rPr>
            <w:color w:val="FFFFFF" w:themeColor="background1"/>
          </w:rPr>
          <w:instrText xml:space="preserve"> PAGE   \* MERGEFORMAT </w:instrText>
        </w:r>
        <w:r w:rsidR="00F74B5D" w:rsidRPr="007F6492">
          <w:rPr>
            <w:color w:val="FFFFFF" w:themeColor="background1"/>
          </w:rPr>
          <w:fldChar w:fldCharType="separate"/>
        </w:r>
        <w:r w:rsidR="00F74B5D" w:rsidRPr="007F6492">
          <w:rPr>
            <w:noProof/>
            <w:color w:val="FFFFFF" w:themeColor="background1"/>
          </w:rPr>
          <w:t>2</w:t>
        </w:r>
        <w:r w:rsidR="00F74B5D" w:rsidRPr="007F6492">
          <w:rPr>
            <w:noProof/>
            <w:color w:val="FFFFFF" w:themeColor="background1"/>
          </w:rPr>
          <w:fldChar w:fldCharType="end"/>
        </w:r>
      </w:sdtContent>
    </w:sdt>
    <w:r w:rsidR="007F26D0">
      <w:rPr>
        <w:noProof/>
        <w:color w:val="FFFFFF" w:themeColor="background1"/>
      </w:rPr>
      <w:tab/>
    </w:r>
    <w:r w:rsidR="007F26D0" w:rsidRPr="006615E7">
      <w:rPr>
        <w:noProof/>
        <w:color w:val="FF0000"/>
      </w:rPr>
      <w:t>OFFICIAL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F7A9" w14:textId="1E7B548B" w:rsidR="00415CF0" w:rsidRPr="007F6492" w:rsidRDefault="00415CF0" w:rsidP="005E7BAC">
    <w:pPr>
      <w:pStyle w:val="Footer"/>
      <w:tabs>
        <w:tab w:val="clear" w:pos="4513"/>
        <w:tab w:val="clear" w:pos="9026"/>
        <w:tab w:val="left" w:pos="4320"/>
      </w:tabs>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7A5A" w14:textId="77777777" w:rsidR="00CC6256" w:rsidRDefault="00CC6256" w:rsidP="00EE32FE">
      <w:pPr>
        <w:spacing w:after="0"/>
      </w:pPr>
      <w:bookmarkStart w:id="0" w:name="_Hlk127364773"/>
      <w:bookmarkEnd w:id="0"/>
      <w:r>
        <w:separator/>
      </w:r>
    </w:p>
  </w:footnote>
  <w:footnote w:type="continuationSeparator" w:id="0">
    <w:p w14:paraId="6852DFE3" w14:textId="77777777" w:rsidR="00CC6256" w:rsidRDefault="00CC6256" w:rsidP="00EE32FE">
      <w:pPr>
        <w:spacing w:after="0"/>
      </w:pPr>
      <w:r>
        <w:continuationSeparator/>
      </w:r>
    </w:p>
  </w:footnote>
  <w:footnote w:type="continuationNotice" w:id="1">
    <w:p w14:paraId="6CCC50B5" w14:textId="77777777" w:rsidR="00CC6256" w:rsidRDefault="00CC625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C668" w14:textId="3A381298" w:rsidR="007F26D0" w:rsidRDefault="00D57FF1">
    <w:pPr>
      <w:pStyle w:val="Header"/>
    </w:pPr>
    <w:r>
      <w:rPr>
        <w:noProof/>
      </w:rPr>
      <mc:AlternateContent>
        <mc:Choice Requires="wps">
          <w:drawing>
            <wp:anchor distT="0" distB="0" distL="114300" distR="114300" simplePos="0" relativeHeight="251661315" behindDoc="0" locked="1" layoutInCell="0" allowOverlap="1" wp14:anchorId="142E13E8" wp14:editId="2290E8A2">
              <wp:simplePos x="0" y="0"/>
              <wp:positionH relativeFrom="margin">
                <wp:align>center</wp:align>
              </wp:positionH>
              <wp:positionV relativeFrom="topMargin">
                <wp:align>center</wp:align>
              </wp:positionV>
              <wp:extent cx="892175" cy="273050"/>
              <wp:effectExtent l="0" t="0" r="0" b="0"/>
              <wp:wrapNone/>
              <wp:docPr id="851563011" name="janusSEAL SC H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F7FC3E" w14:textId="6D369613" w:rsidR="00D57FF1" w:rsidRPr="00D57FF1" w:rsidRDefault="00D57FF1" w:rsidP="00D57FF1">
                          <w:pPr>
                            <w:spacing w:before="0" w:after="0"/>
                            <w:jc w:val="center"/>
                            <w:rPr>
                              <w:rFonts w:ascii="Arial" w:hAnsi="Arial" w:cs="Arial"/>
                              <w:b/>
                              <w:color w:val="FF0000"/>
                              <w:sz w:val="24"/>
                            </w:rPr>
                          </w:pPr>
                          <w:r w:rsidRPr="00D57FF1">
                            <w:rPr>
                              <w:rFonts w:ascii="Arial" w:hAnsi="Arial" w:cs="Arial"/>
                              <w:b/>
                              <w:color w:val="FF0000"/>
                              <w:sz w:val="24"/>
                            </w:rPr>
                            <w:fldChar w:fldCharType="begin"/>
                          </w:r>
                          <w:r w:rsidRPr="00D57FF1">
                            <w:rPr>
                              <w:rFonts w:ascii="Arial" w:hAnsi="Arial" w:cs="Arial"/>
                              <w:b/>
                              <w:color w:val="FF0000"/>
                              <w:sz w:val="24"/>
                            </w:rPr>
                            <w:instrText xml:space="preserve"> DOCPROPERTY PM_ProtectiveMarkingValue_Header \* MERGEFORMAT </w:instrText>
                          </w:r>
                          <w:r w:rsidRPr="00D57FF1">
                            <w:rPr>
                              <w:rFonts w:ascii="Arial" w:hAnsi="Arial" w:cs="Arial"/>
                              <w:b/>
                              <w:color w:val="FF0000"/>
                              <w:sz w:val="24"/>
                            </w:rPr>
                            <w:fldChar w:fldCharType="separate"/>
                          </w:r>
                          <w:r w:rsidR="005074F3">
                            <w:rPr>
                              <w:rFonts w:ascii="Arial" w:hAnsi="Arial" w:cs="Arial"/>
                              <w:b/>
                              <w:color w:val="FF0000"/>
                              <w:sz w:val="24"/>
                            </w:rPr>
                            <w:t>OFFICIAL</w:t>
                          </w:r>
                          <w:r w:rsidRPr="00D57FF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2E13E8" id="_x0000_t202" coordsize="21600,21600" o:spt="202" path="m,l,21600r21600,l21600,xe">
              <v:stroke joinstyle="miter"/>
              <v:path gradientshapeok="t" o:connecttype="rect"/>
            </v:shapetype>
            <v:shape id="janusSEAL SC H_EvenPage" o:spid="_x0000_s1026" type="#_x0000_t202" style="position:absolute;margin-left:0;margin-top:0;width:70.25pt;height:21.5pt;z-index:251661315;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" o:allowincell="f" filled="f" stroked="f" strokeweight=".5pt">
              <v:textbox style="mso-fit-shape-to-text:t">
                <w:txbxContent>
                  <w:p w14:paraId="02F7FC3E" w14:textId="6D369613" w:rsidR="00D57FF1" w:rsidRPr="00D57FF1" w:rsidRDefault="00D57FF1" w:rsidP="00D57FF1">
                    <w:pPr>
                      <w:spacing w:before="0" w:after="0"/>
                      <w:jc w:val="center"/>
                      <w:rPr>
                        <w:rFonts w:ascii="Arial" w:hAnsi="Arial" w:cs="Arial"/>
                        <w:b/>
                        <w:color w:val="FF0000"/>
                        <w:sz w:val="24"/>
                      </w:rPr>
                    </w:pPr>
                    <w:r w:rsidRPr="00D57FF1">
                      <w:rPr>
                        <w:rFonts w:ascii="Arial" w:hAnsi="Arial" w:cs="Arial"/>
                        <w:b/>
                        <w:color w:val="FF0000"/>
                        <w:sz w:val="24"/>
                      </w:rPr>
                      <w:fldChar w:fldCharType="begin"/>
                    </w:r>
                    <w:r w:rsidRPr="00D57FF1">
                      <w:rPr>
                        <w:rFonts w:ascii="Arial" w:hAnsi="Arial" w:cs="Arial"/>
                        <w:b/>
                        <w:color w:val="FF0000"/>
                        <w:sz w:val="24"/>
                      </w:rPr>
                      <w:instrText xml:space="preserve"> DOCPROPERTY PM_ProtectiveMarkingValue_Header \* MERGEFORMAT </w:instrText>
                    </w:r>
                    <w:r w:rsidRPr="00D57FF1">
                      <w:rPr>
                        <w:rFonts w:ascii="Arial" w:hAnsi="Arial" w:cs="Arial"/>
                        <w:b/>
                        <w:color w:val="FF0000"/>
                        <w:sz w:val="24"/>
                      </w:rPr>
                      <w:fldChar w:fldCharType="separate"/>
                    </w:r>
                    <w:r w:rsidR="005074F3">
                      <w:rPr>
                        <w:rFonts w:ascii="Arial" w:hAnsi="Arial" w:cs="Arial"/>
                        <w:b/>
                        <w:color w:val="FF0000"/>
                        <w:sz w:val="24"/>
                      </w:rPr>
                      <w:t>OFFICIAL</w:t>
                    </w:r>
                    <w:r w:rsidRPr="00D57FF1">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3DB7" w14:textId="77777777" w:rsidR="001D29C1" w:rsidRDefault="00F74B5D" w:rsidP="004D1D85">
    <w:pPr>
      <w:pStyle w:val="Header"/>
      <w:tabs>
        <w:tab w:val="clear" w:pos="4513"/>
        <w:tab w:val="clear" w:pos="9026"/>
        <w:tab w:val="center" w:pos="5102"/>
      </w:tabs>
    </w:pPr>
    <w:r>
      <w:rPr>
        <w:noProof/>
      </w:rPr>
      <mc:AlternateContent>
        <mc:Choice Requires="wps">
          <w:drawing>
            <wp:anchor distT="0" distB="0" distL="114300" distR="114300" simplePos="0" relativeHeight="251658242" behindDoc="0" locked="1" layoutInCell="0" allowOverlap="1" wp14:anchorId="360D182C" wp14:editId="3A3B0446">
              <wp:simplePos x="0" y="0"/>
              <wp:positionH relativeFrom="margin">
                <wp:align>center</wp:align>
              </wp:positionH>
              <wp:positionV relativeFrom="topMargin">
                <wp:align>center</wp:align>
              </wp:positionV>
              <wp:extent cx="892175" cy="388620"/>
              <wp:effectExtent l="0" t="0" r="0" b="0"/>
              <wp:wrapNone/>
              <wp:docPr id="4" name="janusSEAL SC Head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F9810" w14:textId="3CAD3006" w:rsidR="00F74B5D" w:rsidRPr="007F6492" w:rsidRDefault="007F6492" w:rsidP="007F26D0">
                          <w:pPr>
                            <w:spacing w:before="0"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5074F3">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60D182C" id="_x0000_t202" coordsize="21600,21600" o:spt="202" path="m,l,21600r21600,l21600,xe">
              <v:stroke joinstyle="miter"/>
              <v:path gradientshapeok="t" o:connecttype="rect"/>
            </v:shapetype>
            <v:shape id="janusSEAL SC Header" o:spid="_x0000_s1027" type="#_x0000_t202" alt="&quot;&quot;" style="position:absolute;margin-left:0;margin-top:0;width:70.25pt;height:30.6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8Fw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" o:allowincell="f" filled="f" stroked="f" strokeweight=".5pt">
              <v:textbox style="mso-fit-shape-to-text:t">
                <w:txbxContent>
                  <w:p w14:paraId="7F3F9810" w14:textId="3CAD3006" w:rsidR="00F74B5D" w:rsidRPr="007F6492" w:rsidRDefault="007F6492" w:rsidP="007F26D0">
                    <w:pPr>
                      <w:spacing w:before="0"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5074F3">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07092D">
      <w:rPr>
        <w:noProof/>
      </w:rPr>
      <w:drawing>
        <wp:anchor distT="0" distB="0" distL="114300" distR="114300" simplePos="0" relativeHeight="251658240" behindDoc="0" locked="0" layoutInCell="1" allowOverlap="1" wp14:anchorId="5519AB4F" wp14:editId="54CDD921">
          <wp:simplePos x="0" y="0"/>
          <wp:positionH relativeFrom="margin">
            <wp:align>center</wp:align>
          </wp:positionH>
          <wp:positionV relativeFrom="paragraph">
            <wp:posOffset>-540385</wp:posOffset>
          </wp:positionV>
          <wp:extent cx="7686675" cy="805666"/>
          <wp:effectExtent l="0" t="0" r="0" b="0"/>
          <wp:wrapNone/>
          <wp:docPr id="689598646" name="Picture 6895986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86675" cy="805666"/>
                  </a:xfrm>
                  <a:prstGeom prst="rect">
                    <a:avLst/>
                  </a:prstGeom>
                </pic:spPr>
              </pic:pic>
            </a:graphicData>
          </a:graphic>
          <wp14:sizeRelH relativeFrom="margin">
            <wp14:pctWidth>0</wp14:pctWidth>
          </wp14:sizeRelH>
          <wp14:sizeRelV relativeFrom="margin">
            <wp14:pctHeight>0</wp14:pctHeight>
          </wp14:sizeRelV>
        </wp:anchor>
      </w:drawing>
    </w:r>
    <w:r w:rsidR="004D1D8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A102" w14:textId="77777777" w:rsidR="0007092D" w:rsidRDefault="00F74B5D">
    <w:pPr>
      <w:pStyle w:val="Header"/>
    </w:pPr>
    <w:r>
      <w:rPr>
        <w:noProof/>
      </w:rPr>
      <mc:AlternateContent>
        <mc:Choice Requires="wps">
          <w:drawing>
            <wp:anchor distT="0" distB="0" distL="114300" distR="114300" simplePos="0" relativeHeight="251658243" behindDoc="0" locked="1" layoutInCell="0" allowOverlap="1" wp14:anchorId="753C3352" wp14:editId="4AB08474">
              <wp:simplePos x="0" y="0"/>
              <wp:positionH relativeFrom="margin">
                <wp:align>center</wp:align>
              </wp:positionH>
              <wp:positionV relativeFrom="topMargin">
                <wp:align>center</wp:align>
              </wp:positionV>
              <wp:extent cx="892175" cy="388620"/>
              <wp:effectExtent l="0" t="0" r="0" b="0"/>
              <wp:wrapNone/>
              <wp:docPr id="5" name="janusSEAL SC H_FirstP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bookmarkStart w:id="3" w:name="_Hlk201062702"/>
                        <w:bookmarkStart w:id="4" w:name="_Hlk201062703"/>
                        <w:bookmarkStart w:id="5" w:name="_Hlk201062726"/>
                        <w:bookmarkStart w:id="6" w:name="_Hlk201062727"/>
                        <w:bookmarkStart w:id="7" w:name="_Hlk201062730"/>
                        <w:bookmarkStart w:id="8" w:name="_Hlk201062731"/>
                        <w:bookmarkStart w:id="9" w:name="_Hlk201062732"/>
                        <w:bookmarkStart w:id="10" w:name="_Hlk201062733"/>
                        <w:p w14:paraId="7BC1FEDA" w14:textId="47703E96" w:rsidR="00F74B5D" w:rsidRPr="007F6492" w:rsidRDefault="007F6492" w:rsidP="007F26D0">
                          <w:pPr>
                            <w:spacing w:before="0"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5074F3">
                            <w:rPr>
                              <w:rFonts w:ascii="Arial" w:hAnsi="Arial" w:cs="Arial"/>
                              <w:b/>
                              <w:color w:val="FF0000"/>
                              <w:sz w:val="24"/>
                            </w:rPr>
                            <w:t>OFFICIAL</w:t>
                          </w:r>
                          <w:r>
                            <w:rPr>
                              <w:rFonts w:ascii="Arial" w:hAnsi="Arial" w:cs="Arial"/>
                              <w:b/>
                              <w:color w:val="FF0000"/>
                              <w:sz w:val="24"/>
                            </w:rPr>
                            <w:fldChar w:fldCharType="end"/>
                          </w:r>
                          <w:bookmarkEnd w:id="3"/>
                          <w:bookmarkEnd w:id="4"/>
                          <w:bookmarkEnd w:id="5"/>
                          <w:bookmarkEnd w:id="6"/>
                          <w:bookmarkEnd w:id="7"/>
                          <w:bookmarkEnd w:id="8"/>
                          <w:bookmarkEnd w:id="9"/>
                          <w:bookmarkEnd w:id="1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53C3352" id="_x0000_t202" coordsize="21600,21600" o:spt="202" path="m,l,21600r21600,l21600,xe">
              <v:stroke joinstyle="miter"/>
              <v:path gradientshapeok="t" o:connecttype="rect"/>
            </v:shapetype>
            <v:shape id="janusSEAL SC H_FirstPage" o:spid="_x0000_s1028" type="#_x0000_t202" alt="&quot;&quot;" style="position:absolute;margin-left:0;margin-top:0;width:70.25pt;height:30.6pt;z-index:25165824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2CGQ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" o:allowincell="f" filled="f" stroked="f" strokeweight=".5pt">
              <v:textbox style="mso-fit-shape-to-text:t">
                <w:txbxContent>
                  <w:bookmarkStart w:id="11" w:name="_Hlk201062702"/>
                  <w:bookmarkStart w:id="12" w:name="_Hlk201062703"/>
                  <w:bookmarkStart w:id="13" w:name="_Hlk201062726"/>
                  <w:bookmarkStart w:id="14" w:name="_Hlk201062727"/>
                  <w:bookmarkStart w:id="15" w:name="_Hlk201062730"/>
                  <w:bookmarkStart w:id="16" w:name="_Hlk201062731"/>
                  <w:bookmarkStart w:id="17" w:name="_Hlk201062732"/>
                  <w:bookmarkStart w:id="18" w:name="_Hlk201062733"/>
                  <w:p w14:paraId="7BC1FEDA" w14:textId="47703E96" w:rsidR="00F74B5D" w:rsidRPr="007F6492" w:rsidRDefault="007F6492" w:rsidP="007F26D0">
                    <w:pPr>
                      <w:spacing w:before="0"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5074F3">
                      <w:rPr>
                        <w:rFonts w:ascii="Arial" w:hAnsi="Arial" w:cs="Arial"/>
                        <w:b/>
                        <w:color w:val="FF0000"/>
                        <w:sz w:val="24"/>
                      </w:rPr>
                      <w:t>OFFICIAL</w:t>
                    </w:r>
                    <w:r>
                      <w:rPr>
                        <w:rFonts w:ascii="Arial" w:hAnsi="Arial" w:cs="Arial"/>
                        <w:b/>
                        <w:color w:val="FF0000"/>
                        <w:sz w:val="24"/>
                      </w:rPr>
                      <w:fldChar w:fldCharType="end"/>
                    </w:r>
                    <w:bookmarkEnd w:id="11"/>
                    <w:bookmarkEnd w:id="12"/>
                    <w:bookmarkEnd w:id="13"/>
                    <w:bookmarkEnd w:id="14"/>
                    <w:bookmarkEnd w:id="15"/>
                    <w:bookmarkEnd w:id="16"/>
                    <w:bookmarkEnd w:id="17"/>
                    <w:bookmarkEnd w:id="18"/>
                  </w:p>
                </w:txbxContent>
              </v:textbox>
              <w10:wrap anchorx="margin" anchory="margin"/>
              <w10:anchorlock/>
            </v:shape>
          </w:pict>
        </mc:Fallback>
      </mc:AlternateContent>
    </w:r>
    <w:r w:rsidR="0007092D">
      <w:rPr>
        <w:noProof/>
      </w:rPr>
      <w:drawing>
        <wp:anchor distT="0" distB="0" distL="114300" distR="114300" simplePos="0" relativeHeight="251658241" behindDoc="0" locked="0" layoutInCell="1" allowOverlap="1" wp14:anchorId="3F824DAE" wp14:editId="04EAD0B3">
          <wp:simplePos x="0" y="0"/>
          <wp:positionH relativeFrom="margin">
            <wp:align>center</wp:align>
          </wp:positionH>
          <wp:positionV relativeFrom="paragraph">
            <wp:posOffset>-540385</wp:posOffset>
          </wp:positionV>
          <wp:extent cx="7722821" cy="1285875"/>
          <wp:effectExtent l="0" t="0" r="0" b="0"/>
          <wp:wrapNone/>
          <wp:docPr id="600768556" name="Picture 6007685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22821"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0DEC" w14:textId="1A480EC3" w:rsidR="00415CF0" w:rsidRDefault="00D57FF1" w:rsidP="004D1D85">
    <w:pPr>
      <w:pStyle w:val="Header"/>
      <w:tabs>
        <w:tab w:val="clear" w:pos="4513"/>
        <w:tab w:val="clear" w:pos="9026"/>
        <w:tab w:val="center" w:pos="5102"/>
      </w:tabs>
    </w:pPr>
    <w:r>
      <w:rPr>
        <w:noProof/>
      </w:rPr>
      <mc:AlternateContent>
        <mc:Choice Requires="wps">
          <w:drawing>
            <wp:anchor distT="0" distB="0" distL="114300" distR="114300" simplePos="0" relativeHeight="251662339" behindDoc="0" locked="1" layoutInCell="0" allowOverlap="1" wp14:anchorId="596B180B" wp14:editId="1EC802D7">
              <wp:simplePos x="0" y="0"/>
              <wp:positionH relativeFrom="margin">
                <wp:align>center</wp:align>
              </wp:positionH>
              <wp:positionV relativeFrom="topMargin">
                <wp:align>center</wp:align>
              </wp:positionV>
              <wp:extent cx="892175" cy="273050"/>
              <wp:effectExtent l="0" t="0" r="0" b="0"/>
              <wp:wrapNone/>
              <wp:docPr id="1523209720" name="janusSEAL SC Head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496A10" w14:textId="3C8947D6" w:rsidR="00D57FF1" w:rsidRPr="00D57FF1" w:rsidRDefault="00D57FF1" w:rsidP="00D57FF1">
                          <w:pPr>
                            <w:spacing w:before="0" w:after="0"/>
                            <w:jc w:val="center"/>
                            <w:rPr>
                              <w:rFonts w:ascii="Arial" w:hAnsi="Arial" w:cs="Arial"/>
                              <w:b/>
                              <w:color w:val="FF0000"/>
                              <w:sz w:val="24"/>
                            </w:rPr>
                          </w:pPr>
                          <w:r w:rsidRPr="00D57FF1">
                            <w:rPr>
                              <w:rFonts w:ascii="Arial" w:hAnsi="Arial" w:cs="Arial"/>
                              <w:b/>
                              <w:color w:val="FF0000"/>
                              <w:sz w:val="24"/>
                            </w:rPr>
                            <w:fldChar w:fldCharType="begin"/>
                          </w:r>
                          <w:r w:rsidRPr="00D57FF1">
                            <w:rPr>
                              <w:rFonts w:ascii="Arial" w:hAnsi="Arial" w:cs="Arial"/>
                              <w:b/>
                              <w:color w:val="FF0000"/>
                              <w:sz w:val="24"/>
                            </w:rPr>
                            <w:instrText xml:space="preserve"> DOCPROPERTY PM_ProtectiveMarkingValue_Header \* MERGEFORMAT </w:instrText>
                          </w:r>
                          <w:r w:rsidRPr="00D57FF1">
                            <w:rPr>
                              <w:rFonts w:ascii="Arial" w:hAnsi="Arial" w:cs="Arial"/>
                              <w:b/>
                              <w:color w:val="FF0000"/>
                              <w:sz w:val="24"/>
                            </w:rPr>
                            <w:fldChar w:fldCharType="separate"/>
                          </w:r>
                          <w:r w:rsidR="005074F3">
                            <w:rPr>
                              <w:rFonts w:ascii="Arial" w:hAnsi="Arial" w:cs="Arial"/>
                              <w:b/>
                              <w:color w:val="FF0000"/>
                              <w:sz w:val="24"/>
                            </w:rPr>
                            <w:t>OFFICIAL</w:t>
                          </w:r>
                          <w:r w:rsidRPr="00D57FF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6B180B" id="_x0000_t202" coordsize="21600,21600" o:spt="202" path="m,l,21600r21600,l21600,xe">
              <v:stroke joinstyle="miter"/>
              <v:path gradientshapeok="t" o:connecttype="rect"/>
            </v:shapetype>
            <v:shape id="_x0000_s1029" type="#_x0000_t202" style="position:absolute;margin-left:0;margin-top:0;width:70.25pt;height:21.5pt;z-index:251662339;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MF/0N0YAgAAMAQAAA4AAAAAAAAAAAAAAAAALgIAAGRycy9lMm9Eb2MueG1sUEsBAi0AFAAGAAgA&#10;AAAhAGk6TznbAAAABAEAAA8AAAAAAAAAAAAAAAAAcgQAAGRycy9kb3ducmV2LnhtbFBLBQYAAAAA&#10;BAAEAPMAAAB6BQAAAAA=&#10;" o:allowincell="f" filled="f" stroked="f" strokeweight=".5pt">
              <v:textbox style="mso-fit-shape-to-text:t">
                <w:txbxContent>
                  <w:p w14:paraId="20496A10" w14:textId="3C8947D6" w:rsidR="00D57FF1" w:rsidRPr="00D57FF1" w:rsidRDefault="00D57FF1" w:rsidP="00D57FF1">
                    <w:pPr>
                      <w:spacing w:before="0" w:after="0"/>
                      <w:jc w:val="center"/>
                      <w:rPr>
                        <w:rFonts w:ascii="Arial" w:hAnsi="Arial" w:cs="Arial"/>
                        <w:b/>
                        <w:color w:val="FF0000"/>
                        <w:sz w:val="24"/>
                      </w:rPr>
                    </w:pPr>
                    <w:r w:rsidRPr="00D57FF1">
                      <w:rPr>
                        <w:rFonts w:ascii="Arial" w:hAnsi="Arial" w:cs="Arial"/>
                        <w:b/>
                        <w:color w:val="FF0000"/>
                        <w:sz w:val="24"/>
                      </w:rPr>
                      <w:fldChar w:fldCharType="begin"/>
                    </w:r>
                    <w:r w:rsidRPr="00D57FF1">
                      <w:rPr>
                        <w:rFonts w:ascii="Arial" w:hAnsi="Arial" w:cs="Arial"/>
                        <w:b/>
                        <w:color w:val="FF0000"/>
                        <w:sz w:val="24"/>
                      </w:rPr>
                      <w:instrText xml:space="preserve"> DOCPROPERTY PM_ProtectiveMarkingValue_Header \* MERGEFORMAT </w:instrText>
                    </w:r>
                    <w:r w:rsidRPr="00D57FF1">
                      <w:rPr>
                        <w:rFonts w:ascii="Arial" w:hAnsi="Arial" w:cs="Arial"/>
                        <w:b/>
                        <w:color w:val="FF0000"/>
                        <w:sz w:val="24"/>
                      </w:rPr>
                      <w:fldChar w:fldCharType="separate"/>
                    </w:r>
                    <w:r w:rsidR="005074F3">
                      <w:rPr>
                        <w:rFonts w:ascii="Arial" w:hAnsi="Arial" w:cs="Arial"/>
                        <w:b/>
                        <w:color w:val="FF0000"/>
                        <w:sz w:val="24"/>
                      </w:rPr>
                      <w:t>OFFICIAL</w:t>
                    </w:r>
                    <w:r w:rsidRPr="00D57FF1">
                      <w:rPr>
                        <w:rFonts w:ascii="Arial" w:hAnsi="Arial" w:cs="Arial"/>
                        <w:b/>
                        <w:color w:val="FF0000"/>
                        <w:sz w:val="24"/>
                      </w:rPr>
                      <w:fldChar w:fldCharType="end"/>
                    </w:r>
                  </w:p>
                </w:txbxContent>
              </v:textbox>
              <w10:wrap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B596" w14:textId="5AA97FBC" w:rsidR="007109BB" w:rsidRDefault="00D57FF1">
    <w:pPr>
      <w:pStyle w:val="Header"/>
    </w:pPr>
    <w:r>
      <w:rPr>
        <w:noProof/>
      </w:rPr>
      <mc:AlternateContent>
        <mc:Choice Requires="wps">
          <w:drawing>
            <wp:anchor distT="0" distB="0" distL="114300" distR="114300" simplePos="0" relativeHeight="251663363" behindDoc="0" locked="1" layoutInCell="0" allowOverlap="1" wp14:anchorId="339625D7" wp14:editId="0712DF38">
              <wp:simplePos x="0" y="0"/>
              <wp:positionH relativeFrom="margin">
                <wp:align>center</wp:align>
              </wp:positionH>
              <wp:positionV relativeFrom="topMargin">
                <wp:align>center</wp:align>
              </wp:positionV>
              <wp:extent cx="892175" cy="273050"/>
              <wp:effectExtent l="0" t="0" r="0" b="0"/>
              <wp:wrapNone/>
              <wp:docPr id="362771581" name="janusSEAL SC H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FA985D" w14:textId="7D0380E5" w:rsidR="00D57FF1" w:rsidRPr="00D57FF1" w:rsidRDefault="00D57FF1" w:rsidP="00D57FF1">
                          <w:pPr>
                            <w:spacing w:before="0" w:after="0"/>
                            <w:jc w:val="center"/>
                            <w:rPr>
                              <w:rFonts w:ascii="Arial" w:hAnsi="Arial" w:cs="Arial"/>
                              <w:b/>
                              <w:color w:val="FF0000"/>
                              <w:sz w:val="24"/>
                            </w:rPr>
                          </w:pPr>
                          <w:r w:rsidRPr="00D57FF1">
                            <w:rPr>
                              <w:rFonts w:ascii="Arial" w:hAnsi="Arial" w:cs="Arial"/>
                              <w:b/>
                              <w:color w:val="FF0000"/>
                              <w:sz w:val="24"/>
                            </w:rPr>
                            <w:fldChar w:fldCharType="begin"/>
                          </w:r>
                          <w:r w:rsidRPr="00D57FF1">
                            <w:rPr>
                              <w:rFonts w:ascii="Arial" w:hAnsi="Arial" w:cs="Arial"/>
                              <w:b/>
                              <w:color w:val="FF0000"/>
                              <w:sz w:val="24"/>
                            </w:rPr>
                            <w:instrText xml:space="preserve"> DOCPROPERTY PM_ProtectiveMarkingValue_Header \* MERGEFORMAT </w:instrText>
                          </w:r>
                          <w:r w:rsidRPr="00D57FF1">
                            <w:rPr>
                              <w:rFonts w:ascii="Arial" w:hAnsi="Arial" w:cs="Arial"/>
                              <w:b/>
                              <w:color w:val="FF0000"/>
                              <w:sz w:val="24"/>
                            </w:rPr>
                            <w:fldChar w:fldCharType="separate"/>
                          </w:r>
                          <w:r w:rsidR="005074F3">
                            <w:rPr>
                              <w:rFonts w:ascii="Arial" w:hAnsi="Arial" w:cs="Arial"/>
                              <w:b/>
                              <w:color w:val="FF0000"/>
                              <w:sz w:val="24"/>
                            </w:rPr>
                            <w:t>OFFICIAL</w:t>
                          </w:r>
                          <w:r w:rsidRPr="00D57FF1">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39625D7" id="_x0000_t202" coordsize="21600,21600" o:spt="202" path="m,l,21600r21600,l21600,xe">
              <v:stroke joinstyle="miter"/>
              <v:path gradientshapeok="t" o:connecttype="rect"/>
            </v:shapetype>
            <v:shape id="_x0000_s1030" type="#_x0000_t202" style="position:absolute;margin-left:0;margin-top:0;width:70.25pt;height:21.5pt;z-index:25166336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S9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dBpjDeWepvNwID44uaiph6UI&#10;+Co8MU0DkXrxhRZtgGrB0eKsAv/zb/cxngggL2ctKafglqTNmfluiZj7wWgUhZYOo/FkSAd/7Vlf&#10;e+y2eQSS5oB+iZPJjPFoTqb20LyTxOexJrmElVS54HgyH/GgZvoiUs3nKYik5QQu7crJmDoiF/F9&#10;696Fd0cSkNh7hpPCRP6Bi0NsfBncfIvESCIqonzA9Ag+yTLxd/xCUffX5xR1+eizX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D3CIS9GQIAADAEAAAOAAAAAAAAAAAAAAAAAC4CAABkcnMvZTJvRG9jLnhtbFBLAQItABQABgAI&#10;AAAAIQBpOk852wAAAAQBAAAPAAAAAAAAAAAAAAAAAHMEAABkcnMvZG93bnJldi54bWxQSwUGAAAA&#10;AAQABADzAAAAewUAAAAA&#10;" o:allowincell="f" filled="f" stroked="f" strokeweight=".5pt">
              <v:textbox style="mso-fit-shape-to-text:t">
                <w:txbxContent>
                  <w:p w14:paraId="22FA985D" w14:textId="7D0380E5" w:rsidR="00D57FF1" w:rsidRPr="00D57FF1" w:rsidRDefault="00D57FF1" w:rsidP="00D57FF1">
                    <w:pPr>
                      <w:spacing w:before="0" w:after="0"/>
                      <w:jc w:val="center"/>
                      <w:rPr>
                        <w:rFonts w:ascii="Arial" w:hAnsi="Arial" w:cs="Arial"/>
                        <w:b/>
                        <w:color w:val="FF0000"/>
                        <w:sz w:val="24"/>
                      </w:rPr>
                    </w:pPr>
                    <w:r w:rsidRPr="00D57FF1">
                      <w:rPr>
                        <w:rFonts w:ascii="Arial" w:hAnsi="Arial" w:cs="Arial"/>
                        <w:b/>
                        <w:color w:val="FF0000"/>
                        <w:sz w:val="24"/>
                      </w:rPr>
                      <w:fldChar w:fldCharType="begin"/>
                    </w:r>
                    <w:r w:rsidRPr="00D57FF1">
                      <w:rPr>
                        <w:rFonts w:ascii="Arial" w:hAnsi="Arial" w:cs="Arial"/>
                        <w:b/>
                        <w:color w:val="FF0000"/>
                        <w:sz w:val="24"/>
                      </w:rPr>
                      <w:instrText xml:space="preserve"> DOCPROPERTY PM_ProtectiveMarkingValue_Header \* MERGEFORMAT </w:instrText>
                    </w:r>
                    <w:r w:rsidRPr="00D57FF1">
                      <w:rPr>
                        <w:rFonts w:ascii="Arial" w:hAnsi="Arial" w:cs="Arial"/>
                        <w:b/>
                        <w:color w:val="FF0000"/>
                        <w:sz w:val="24"/>
                      </w:rPr>
                      <w:fldChar w:fldCharType="separate"/>
                    </w:r>
                    <w:r w:rsidR="005074F3">
                      <w:rPr>
                        <w:rFonts w:ascii="Arial" w:hAnsi="Arial" w:cs="Arial"/>
                        <w:b/>
                        <w:color w:val="FF0000"/>
                        <w:sz w:val="24"/>
                      </w:rPr>
                      <w:t>OFFICIAL</w:t>
                    </w:r>
                    <w:r w:rsidRPr="00D57FF1">
                      <w:rPr>
                        <w:rFonts w:ascii="Arial" w:hAnsi="Arial" w:cs="Arial"/>
                        <w:b/>
                        <w:color w:val="FF0000"/>
                        <w:sz w:val="24"/>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DE3"/>
    <w:multiLevelType w:val="hybridMultilevel"/>
    <w:tmpl w:val="7E4EDEA8"/>
    <w:lvl w:ilvl="0" w:tplc="0809000F">
      <w:start w:val="1"/>
      <w:numFmt w:val="decimal"/>
      <w:lvlText w:val="%1."/>
      <w:lvlJc w:val="left"/>
      <w:pPr>
        <w:ind w:left="2444" w:hanging="360"/>
      </w:pPr>
    </w:lvl>
    <w:lvl w:ilvl="1" w:tplc="08090019" w:tentative="1">
      <w:start w:val="1"/>
      <w:numFmt w:val="lowerLetter"/>
      <w:lvlText w:val="%2."/>
      <w:lvlJc w:val="left"/>
      <w:pPr>
        <w:ind w:left="3164" w:hanging="360"/>
      </w:pPr>
    </w:lvl>
    <w:lvl w:ilvl="2" w:tplc="0809001B" w:tentative="1">
      <w:start w:val="1"/>
      <w:numFmt w:val="lowerRoman"/>
      <w:lvlText w:val="%3."/>
      <w:lvlJc w:val="right"/>
      <w:pPr>
        <w:ind w:left="3884" w:hanging="180"/>
      </w:pPr>
    </w:lvl>
    <w:lvl w:ilvl="3" w:tplc="0809000F" w:tentative="1">
      <w:start w:val="1"/>
      <w:numFmt w:val="decimal"/>
      <w:lvlText w:val="%4."/>
      <w:lvlJc w:val="left"/>
      <w:pPr>
        <w:ind w:left="4604" w:hanging="360"/>
      </w:pPr>
    </w:lvl>
    <w:lvl w:ilvl="4" w:tplc="08090019" w:tentative="1">
      <w:start w:val="1"/>
      <w:numFmt w:val="lowerLetter"/>
      <w:lvlText w:val="%5."/>
      <w:lvlJc w:val="left"/>
      <w:pPr>
        <w:ind w:left="5324" w:hanging="360"/>
      </w:pPr>
    </w:lvl>
    <w:lvl w:ilvl="5" w:tplc="0809001B" w:tentative="1">
      <w:start w:val="1"/>
      <w:numFmt w:val="lowerRoman"/>
      <w:lvlText w:val="%6."/>
      <w:lvlJc w:val="right"/>
      <w:pPr>
        <w:ind w:left="6044" w:hanging="180"/>
      </w:pPr>
    </w:lvl>
    <w:lvl w:ilvl="6" w:tplc="0809000F" w:tentative="1">
      <w:start w:val="1"/>
      <w:numFmt w:val="decimal"/>
      <w:lvlText w:val="%7."/>
      <w:lvlJc w:val="left"/>
      <w:pPr>
        <w:ind w:left="6764" w:hanging="360"/>
      </w:pPr>
    </w:lvl>
    <w:lvl w:ilvl="7" w:tplc="08090019" w:tentative="1">
      <w:start w:val="1"/>
      <w:numFmt w:val="lowerLetter"/>
      <w:lvlText w:val="%8."/>
      <w:lvlJc w:val="left"/>
      <w:pPr>
        <w:ind w:left="7484" w:hanging="360"/>
      </w:pPr>
    </w:lvl>
    <w:lvl w:ilvl="8" w:tplc="0809001B" w:tentative="1">
      <w:start w:val="1"/>
      <w:numFmt w:val="lowerRoman"/>
      <w:lvlText w:val="%9."/>
      <w:lvlJc w:val="right"/>
      <w:pPr>
        <w:ind w:left="8204" w:hanging="180"/>
      </w:pPr>
    </w:lvl>
  </w:abstractNum>
  <w:abstractNum w:abstractNumId="1" w15:restartNumberingAfterBreak="0">
    <w:nsid w:val="14C2179E"/>
    <w:multiLevelType w:val="hybridMultilevel"/>
    <w:tmpl w:val="CF06B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E63D02"/>
    <w:multiLevelType w:val="hybridMultilevel"/>
    <w:tmpl w:val="87241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5A464E"/>
    <w:multiLevelType w:val="hybridMultilevel"/>
    <w:tmpl w:val="EB327156"/>
    <w:lvl w:ilvl="0" w:tplc="84BEF222">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F85EFA"/>
    <w:multiLevelType w:val="hybridMultilevel"/>
    <w:tmpl w:val="3976CC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836BC0"/>
    <w:multiLevelType w:val="hybridMultilevel"/>
    <w:tmpl w:val="3D369A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580FB7"/>
    <w:multiLevelType w:val="hybridMultilevel"/>
    <w:tmpl w:val="055ACAB4"/>
    <w:lvl w:ilvl="0" w:tplc="2FE82136">
      <w:start w:val="1"/>
      <w:numFmt w:val="bullet"/>
      <w:pStyle w:val="BodyCopyBullets"/>
      <w:lvlText w:val=""/>
      <w:lvlJc w:val="left"/>
      <w:pPr>
        <w:ind w:left="277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407892"/>
    <w:multiLevelType w:val="hybridMultilevel"/>
    <w:tmpl w:val="7868B5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F4B1A2"/>
    <w:multiLevelType w:val="hybridMultilevel"/>
    <w:tmpl w:val="D396ACE6"/>
    <w:lvl w:ilvl="0" w:tplc="85268870">
      <w:start w:val="1"/>
      <w:numFmt w:val="bullet"/>
      <w:lvlText w:val=""/>
      <w:lvlJc w:val="left"/>
      <w:pPr>
        <w:ind w:left="767" w:hanging="360"/>
      </w:pPr>
      <w:rPr>
        <w:rFonts w:ascii="Symbol" w:hAnsi="Symbol" w:hint="default"/>
      </w:rPr>
    </w:lvl>
    <w:lvl w:ilvl="1" w:tplc="D5743BAE">
      <w:start w:val="1"/>
      <w:numFmt w:val="bullet"/>
      <w:lvlText w:val="o"/>
      <w:lvlJc w:val="left"/>
      <w:pPr>
        <w:ind w:left="1440" w:hanging="360"/>
      </w:pPr>
      <w:rPr>
        <w:rFonts w:ascii="Courier New" w:hAnsi="Courier New" w:hint="default"/>
      </w:rPr>
    </w:lvl>
    <w:lvl w:ilvl="2" w:tplc="FCF01F50">
      <w:start w:val="1"/>
      <w:numFmt w:val="bullet"/>
      <w:lvlText w:val=""/>
      <w:lvlJc w:val="left"/>
      <w:pPr>
        <w:ind w:left="2160" w:hanging="360"/>
      </w:pPr>
      <w:rPr>
        <w:rFonts w:ascii="Wingdings" w:hAnsi="Wingdings" w:hint="default"/>
      </w:rPr>
    </w:lvl>
    <w:lvl w:ilvl="3" w:tplc="96C211E4">
      <w:start w:val="1"/>
      <w:numFmt w:val="bullet"/>
      <w:lvlText w:val=""/>
      <w:lvlJc w:val="left"/>
      <w:pPr>
        <w:ind w:left="2880" w:hanging="360"/>
      </w:pPr>
      <w:rPr>
        <w:rFonts w:ascii="Symbol" w:hAnsi="Symbol" w:hint="default"/>
      </w:rPr>
    </w:lvl>
    <w:lvl w:ilvl="4" w:tplc="DFB6098E">
      <w:start w:val="1"/>
      <w:numFmt w:val="bullet"/>
      <w:lvlText w:val="o"/>
      <w:lvlJc w:val="left"/>
      <w:pPr>
        <w:ind w:left="3600" w:hanging="360"/>
      </w:pPr>
      <w:rPr>
        <w:rFonts w:ascii="Courier New" w:hAnsi="Courier New" w:hint="default"/>
      </w:rPr>
    </w:lvl>
    <w:lvl w:ilvl="5" w:tplc="EB7CB9AE">
      <w:start w:val="1"/>
      <w:numFmt w:val="bullet"/>
      <w:lvlText w:val=""/>
      <w:lvlJc w:val="left"/>
      <w:pPr>
        <w:ind w:left="4320" w:hanging="360"/>
      </w:pPr>
      <w:rPr>
        <w:rFonts w:ascii="Wingdings" w:hAnsi="Wingdings" w:hint="default"/>
      </w:rPr>
    </w:lvl>
    <w:lvl w:ilvl="6" w:tplc="B6CEA498">
      <w:start w:val="1"/>
      <w:numFmt w:val="bullet"/>
      <w:lvlText w:val=""/>
      <w:lvlJc w:val="left"/>
      <w:pPr>
        <w:ind w:left="5040" w:hanging="360"/>
      </w:pPr>
      <w:rPr>
        <w:rFonts w:ascii="Symbol" w:hAnsi="Symbol" w:hint="default"/>
      </w:rPr>
    </w:lvl>
    <w:lvl w:ilvl="7" w:tplc="FB7C4C36">
      <w:start w:val="1"/>
      <w:numFmt w:val="bullet"/>
      <w:lvlText w:val="o"/>
      <w:lvlJc w:val="left"/>
      <w:pPr>
        <w:ind w:left="5760" w:hanging="360"/>
      </w:pPr>
      <w:rPr>
        <w:rFonts w:ascii="Courier New" w:hAnsi="Courier New" w:hint="default"/>
      </w:rPr>
    </w:lvl>
    <w:lvl w:ilvl="8" w:tplc="33DCD8B4">
      <w:start w:val="1"/>
      <w:numFmt w:val="bullet"/>
      <w:lvlText w:val=""/>
      <w:lvlJc w:val="left"/>
      <w:pPr>
        <w:ind w:left="6480" w:hanging="360"/>
      </w:pPr>
      <w:rPr>
        <w:rFonts w:ascii="Wingdings" w:hAnsi="Wingdings" w:hint="default"/>
      </w:rPr>
    </w:lvl>
  </w:abstractNum>
  <w:num w:numId="1" w16cid:durableId="411315745">
    <w:abstractNumId w:val="4"/>
  </w:num>
  <w:num w:numId="2" w16cid:durableId="768818958">
    <w:abstractNumId w:val="4"/>
    <w:lvlOverride w:ilvl="0">
      <w:startOverride w:val="1"/>
    </w:lvlOverride>
  </w:num>
  <w:num w:numId="3" w16cid:durableId="1890258398">
    <w:abstractNumId w:val="4"/>
    <w:lvlOverride w:ilvl="0">
      <w:startOverride w:val="1"/>
    </w:lvlOverride>
  </w:num>
  <w:num w:numId="4" w16cid:durableId="649091149">
    <w:abstractNumId w:val="7"/>
  </w:num>
  <w:num w:numId="5" w16cid:durableId="934098631">
    <w:abstractNumId w:val="2"/>
  </w:num>
  <w:num w:numId="6" w16cid:durableId="151024048">
    <w:abstractNumId w:val="4"/>
    <w:lvlOverride w:ilvl="0">
      <w:startOverride w:val="1"/>
    </w:lvlOverride>
  </w:num>
  <w:num w:numId="7" w16cid:durableId="1836610287">
    <w:abstractNumId w:val="4"/>
    <w:lvlOverride w:ilvl="0">
      <w:startOverride w:val="1"/>
    </w:lvlOverride>
  </w:num>
  <w:num w:numId="8" w16cid:durableId="2006547766">
    <w:abstractNumId w:val="4"/>
    <w:lvlOverride w:ilvl="0">
      <w:startOverride w:val="1"/>
    </w:lvlOverride>
  </w:num>
  <w:num w:numId="9" w16cid:durableId="1802966420">
    <w:abstractNumId w:val="9"/>
  </w:num>
  <w:num w:numId="10" w16cid:durableId="1213343654">
    <w:abstractNumId w:val="3"/>
  </w:num>
  <w:num w:numId="11" w16cid:durableId="1333491372">
    <w:abstractNumId w:val="0"/>
  </w:num>
  <w:num w:numId="12" w16cid:durableId="1399670278">
    <w:abstractNumId w:val="6"/>
  </w:num>
  <w:num w:numId="13" w16cid:durableId="1633515928">
    <w:abstractNumId w:val="1"/>
  </w:num>
  <w:num w:numId="14" w16cid:durableId="1977222651">
    <w:abstractNumId w:val="5"/>
  </w:num>
  <w:num w:numId="15" w16cid:durableId="261651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5E"/>
    <w:rsid w:val="00011147"/>
    <w:rsid w:val="000179F3"/>
    <w:rsid w:val="00025428"/>
    <w:rsid w:val="00030679"/>
    <w:rsid w:val="00052821"/>
    <w:rsid w:val="0007092D"/>
    <w:rsid w:val="000833AF"/>
    <w:rsid w:val="000C1473"/>
    <w:rsid w:val="000F090A"/>
    <w:rsid w:val="000F096D"/>
    <w:rsid w:val="000F1407"/>
    <w:rsid w:val="000F64AD"/>
    <w:rsid w:val="001021E6"/>
    <w:rsid w:val="001114EA"/>
    <w:rsid w:val="001120F0"/>
    <w:rsid w:val="00133BC5"/>
    <w:rsid w:val="0013673E"/>
    <w:rsid w:val="001405B7"/>
    <w:rsid w:val="001433BF"/>
    <w:rsid w:val="00185668"/>
    <w:rsid w:val="001869DB"/>
    <w:rsid w:val="00186C07"/>
    <w:rsid w:val="0019463F"/>
    <w:rsid w:val="001D29C1"/>
    <w:rsid w:val="001D41C0"/>
    <w:rsid w:val="001D64F8"/>
    <w:rsid w:val="001F005B"/>
    <w:rsid w:val="001F194D"/>
    <w:rsid w:val="002021DE"/>
    <w:rsid w:val="0021791D"/>
    <w:rsid w:val="00225D18"/>
    <w:rsid w:val="00230F08"/>
    <w:rsid w:val="0023168B"/>
    <w:rsid w:val="00232F10"/>
    <w:rsid w:val="00233985"/>
    <w:rsid w:val="0023495A"/>
    <w:rsid w:val="00246196"/>
    <w:rsid w:val="002605E5"/>
    <w:rsid w:val="00267E39"/>
    <w:rsid w:val="00286ECD"/>
    <w:rsid w:val="002903BA"/>
    <w:rsid w:val="002923D5"/>
    <w:rsid w:val="00292A6D"/>
    <w:rsid w:val="002965B1"/>
    <w:rsid w:val="002B2861"/>
    <w:rsid w:val="002B2BDF"/>
    <w:rsid w:val="002C1236"/>
    <w:rsid w:val="002C1AF9"/>
    <w:rsid w:val="002D1742"/>
    <w:rsid w:val="002E4D38"/>
    <w:rsid w:val="0030180E"/>
    <w:rsid w:val="00306697"/>
    <w:rsid w:val="00311B74"/>
    <w:rsid w:val="0033178C"/>
    <w:rsid w:val="00343F6F"/>
    <w:rsid w:val="00360D3F"/>
    <w:rsid w:val="00361DF7"/>
    <w:rsid w:val="0037182F"/>
    <w:rsid w:val="00376D8C"/>
    <w:rsid w:val="00377C81"/>
    <w:rsid w:val="00394006"/>
    <w:rsid w:val="003C314E"/>
    <w:rsid w:val="004041C7"/>
    <w:rsid w:val="00410586"/>
    <w:rsid w:val="0041121A"/>
    <w:rsid w:val="00415CF0"/>
    <w:rsid w:val="00422348"/>
    <w:rsid w:val="00423E84"/>
    <w:rsid w:val="0042418D"/>
    <w:rsid w:val="004572FB"/>
    <w:rsid w:val="00483DE3"/>
    <w:rsid w:val="00483FB1"/>
    <w:rsid w:val="004D1D85"/>
    <w:rsid w:val="004E5976"/>
    <w:rsid w:val="005027E3"/>
    <w:rsid w:val="005074F3"/>
    <w:rsid w:val="005225A3"/>
    <w:rsid w:val="00522AB4"/>
    <w:rsid w:val="00592E1A"/>
    <w:rsid w:val="00595180"/>
    <w:rsid w:val="005955C3"/>
    <w:rsid w:val="005A4153"/>
    <w:rsid w:val="005B6039"/>
    <w:rsid w:val="005C0182"/>
    <w:rsid w:val="005C109F"/>
    <w:rsid w:val="005C684B"/>
    <w:rsid w:val="005C7BC6"/>
    <w:rsid w:val="005D006A"/>
    <w:rsid w:val="005E1F6B"/>
    <w:rsid w:val="005E7BAC"/>
    <w:rsid w:val="005F7B84"/>
    <w:rsid w:val="006024D6"/>
    <w:rsid w:val="00660BC7"/>
    <w:rsid w:val="006615E7"/>
    <w:rsid w:val="00661961"/>
    <w:rsid w:val="00662754"/>
    <w:rsid w:val="00671161"/>
    <w:rsid w:val="00674C13"/>
    <w:rsid w:val="0068046A"/>
    <w:rsid w:val="006A5A0D"/>
    <w:rsid w:val="006B1B6F"/>
    <w:rsid w:val="006C13E0"/>
    <w:rsid w:val="006C13E7"/>
    <w:rsid w:val="006C3EAB"/>
    <w:rsid w:val="006E6755"/>
    <w:rsid w:val="006F3E2B"/>
    <w:rsid w:val="00701A91"/>
    <w:rsid w:val="007109BB"/>
    <w:rsid w:val="0072427B"/>
    <w:rsid w:val="007332A4"/>
    <w:rsid w:val="007332ED"/>
    <w:rsid w:val="0075658B"/>
    <w:rsid w:val="00780C7A"/>
    <w:rsid w:val="0078309C"/>
    <w:rsid w:val="00790D67"/>
    <w:rsid w:val="00790F87"/>
    <w:rsid w:val="00791418"/>
    <w:rsid w:val="0079728E"/>
    <w:rsid w:val="007A608C"/>
    <w:rsid w:val="007C5166"/>
    <w:rsid w:val="007E4DEE"/>
    <w:rsid w:val="007F1CB4"/>
    <w:rsid w:val="007F26D0"/>
    <w:rsid w:val="007F6492"/>
    <w:rsid w:val="008062B5"/>
    <w:rsid w:val="00810D56"/>
    <w:rsid w:val="00837A65"/>
    <w:rsid w:val="00845374"/>
    <w:rsid w:val="00853A5E"/>
    <w:rsid w:val="00864E6B"/>
    <w:rsid w:val="00873E20"/>
    <w:rsid w:val="00882FB6"/>
    <w:rsid w:val="00890179"/>
    <w:rsid w:val="008A226C"/>
    <w:rsid w:val="008B78AE"/>
    <w:rsid w:val="008C2772"/>
    <w:rsid w:val="008E2ADD"/>
    <w:rsid w:val="008F5D34"/>
    <w:rsid w:val="009057AE"/>
    <w:rsid w:val="0090767D"/>
    <w:rsid w:val="00910B96"/>
    <w:rsid w:val="009202B5"/>
    <w:rsid w:val="009310D0"/>
    <w:rsid w:val="00933636"/>
    <w:rsid w:val="009340A2"/>
    <w:rsid w:val="0095526D"/>
    <w:rsid w:val="00962A83"/>
    <w:rsid w:val="009634A2"/>
    <w:rsid w:val="0097011C"/>
    <w:rsid w:val="009A7C96"/>
    <w:rsid w:val="009C2A08"/>
    <w:rsid w:val="009E50A7"/>
    <w:rsid w:val="009F5504"/>
    <w:rsid w:val="00A01D6E"/>
    <w:rsid w:val="00A3425E"/>
    <w:rsid w:val="00A4001E"/>
    <w:rsid w:val="00A7550C"/>
    <w:rsid w:val="00A925DA"/>
    <w:rsid w:val="00A947A5"/>
    <w:rsid w:val="00A97D98"/>
    <w:rsid w:val="00AA6ACC"/>
    <w:rsid w:val="00AB3F2D"/>
    <w:rsid w:val="00AB425C"/>
    <w:rsid w:val="00AC1025"/>
    <w:rsid w:val="00AD64FA"/>
    <w:rsid w:val="00AF3E16"/>
    <w:rsid w:val="00AF7C26"/>
    <w:rsid w:val="00B073B7"/>
    <w:rsid w:val="00B1073B"/>
    <w:rsid w:val="00B3294E"/>
    <w:rsid w:val="00B408F8"/>
    <w:rsid w:val="00B47289"/>
    <w:rsid w:val="00B478E8"/>
    <w:rsid w:val="00B6012C"/>
    <w:rsid w:val="00B625F8"/>
    <w:rsid w:val="00B6294D"/>
    <w:rsid w:val="00B83C04"/>
    <w:rsid w:val="00BC477A"/>
    <w:rsid w:val="00BE4B5E"/>
    <w:rsid w:val="00BF22D9"/>
    <w:rsid w:val="00C02DDF"/>
    <w:rsid w:val="00C23D4B"/>
    <w:rsid w:val="00C40760"/>
    <w:rsid w:val="00C5031C"/>
    <w:rsid w:val="00C60EBF"/>
    <w:rsid w:val="00C743D5"/>
    <w:rsid w:val="00C95326"/>
    <w:rsid w:val="00CA6460"/>
    <w:rsid w:val="00CC0AB2"/>
    <w:rsid w:val="00CC6256"/>
    <w:rsid w:val="00CD259F"/>
    <w:rsid w:val="00CF14DB"/>
    <w:rsid w:val="00D17A56"/>
    <w:rsid w:val="00D256E9"/>
    <w:rsid w:val="00D25731"/>
    <w:rsid w:val="00D3043D"/>
    <w:rsid w:val="00D32B6E"/>
    <w:rsid w:val="00D5375C"/>
    <w:rsid w:val="00D57FF1"/>
    <w:rsid w:val="00D65B14"/>
    <w:rsid w:val="00D700C8"/>
    <w:rsid w:val="00D87BA2"/>
    <w:rsid w:val="00D90485"/>
    <w:rsid w:val="00D910AB"/>
    <w:rsid w:val="00DA6024"/>
    <w:rsid w:val="00DA6571"/>
    <w:rsid w:val="00DB06B9"/>
    <w:rsid w:val="00DB554F"/>
    <w:rsid w:val="00DF79EE"/>
    <w:rsid w:val="00E01F93"/>
    <w:rsid w:val="00E022EC"/>
    <w:rsid w:val="00E14168"/>
    <w:rsid w:val="00E14260"/>
    <w:rsid w:val="00E17021"/>
    <w:rsid w:val="00E263B0"/>
    <w:rsid w:val="00E32C67"/>
    <w:rsid w:val="00E363E8"/>
    <w:rsid w:val="00E43065"/>
    <w:rsid w:val="00E579E9"/>
    <w:rsid w:val="00E61853"/>
    <w:rsid w:val="00E97092"/>
    <w:rsid w:val="00EB222A"/>
    <w:rsid w:val="00EC1229"/>
    <w:rsid w:val="00EE32FE"/>
    <w:rsid w:val="00F05A60"/>
    <w:rsid w:val="00F066DE"/>
    <w:rsid w:val="00F119EF"/>
    <w:rsid w:val="00F41B3C"/>
    <w:rsid w:val="00F54530"/>
    <w:rsid w:val="00F63247"/>
    <w:rsid w:val="00F66BA5"/>
    <w:rsid w:val="00F74B5D"/>
    <w:rsid w:val="00F959D5"/>
    <w:rsid w:val="00FB7D54"/>
    <w:rsid w:val="00FE15A0"/>
    <w:rsid w:val="00FE3F03"/>
    <w:rsid w:val="00FF4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0C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C"/>
    <w:pPr>
      <w:spacing w:before="120" w:after="120"/>
    </w:pPr>
    <w:rPr>
      <w:rFonts w:asciiTheme="minorHAnsi" w:eastAsiaTheme="minorHAnsi" w:hAnsiTheme="minorHAnsi" w:cstheme="minorBidi"/>
      <w:sz w:val="21"/>
      <w:szCs w:val="22"/>
      <w:lang w:eastAsia="en-US"/>
    </w:rPr>
  </w:style>
  <w:style w:type="paragraph" w:styleId="Heading1">
    <w:name w:val="heading 1"/>
    <w:basedOn w:val="Normal"/>
    <w:next w:val="Normal"/>
    <w:link w:val="Heading1Char"/>
    <w:uiPriority w:val="9"/>
    <w:qFormat/>
    <w:rsid w:val="004D1D85"/>
    <w:pPr>
      <w:keepNext/>
      <w:keepLines/>
      <w:spacing w:before="240" w:after="0"/>
      <w:outlineLvl w:val="0"/>
    </w:pPr>
    <w:rPr>
      <w:rFonts w:asciiTheme="majorHAnsi" w:eastAsiaTheme="majorEastAsia" w:hAnsiTheme="majorHAnsi" w:cstheme="majorBidi"/>
      <w:color w:val="00615B" w:themeColor="accent1" w:themeShade="BF"/>
      <w:sz w:val="32"/>
      <w:szCs w:val="32"/>
    </w:rPr>
  </w:style>
  <w:style w:type="paragraph" w:styleId="Heading2">
    <w:name w:val="heading 2"/>
    <w:basedOn w:val="Normal"/>
    <w:next w:val="Normal"/>
    <w:link w:val="Heading2Char"/>
    <w:uiPriority w:val="9"/>
    <w:semiHidden/>
    <w:unhideWhenUsed/>
    <w:qFormat/>
    <w:rsid w:val="004D1D85"/>
    <w:pPr>
      <w:keepNext/>
      <w:keepLines/>
      <w:spacing w:before="40" w:after="0"/>
      <w:outlineLvl w:val="1"/>
    </w:pPr>
    <w:rPr>
      <w:rFonts w:asciiTheme="majorHAnsi" w:eastAsiaTheme="majorEastAsia" w:hAnsiTheme="majorHAnsi" w:cstheme="majorBidi"/>
      <w:color w:val="00615B" w:themeColor="accent1" w:themeShade="BF"/>
      <w:sz w:val="26"/>
      <w:szCs w:val="26"/>
    </w:rPr>
  </w:style>
  <w:style w:type="paragraph" w:styleId="Heading3">
    <w:name w:val="heading 3"/>
    <w:basedOn w:val="Normal"/>
    <w:next w:val="Normal"/>
    <w:link w:val="Heading3Char"/>
    <w:uiPriority w:val="9"/>
    <w:semiHidden/>
    <w:unhideWhenUsed/>
    <w:qFormat/>
    <w:rsid w:val="004D1D85"/>
    <w:pPr>
      <w:keepNext/>
      <w:keepLines/>
      <w:spacing w:before="40" w:after="0"/>
      <w:outlineLvl w:val="2"/>
    </w:pPr>
    <w:rPr>
      <w:rFonts w:asciiTheme="majorHAnsi" w:eastAsiaTheme="majorEastAsia" w:hAnsiTheme="majorHAnsi" w:cstheme="majorBidi"/>
      <w:color w:val="00403D" w:themeColor="accent1" w:themeShade="7F"/>
      <w:sz w:val="24"/>
      <w:szCs w:val="24"/>
    </w:rPr>
  </w:style>
  <w:style w:type="paragraph" w:styleId="Heading4">
    <w:name w:val="heading 4"/>
    <w:basedOn w:val="Normal"/>
    <w:next w:val="Normal"/>
    <w:link w:val="Heading4Char"/>
    <w:uiPriority w:val="9"/>
    <w:semiHidden/>
    <w:unhideWhenUsed/>
    <w:qFormat/>
    <w:rsid w:val="004D1D85"/>
    <w:pPr>
      <w:keepNext/>
      <w:keepLines/>
      <w:spacing w:before="40" w:after="0"/>
      <w:outlineLvl w:val="3"/>
    </w:pPr>
    <w:rPr>
      <w:rFonts w:asciiTheme="majorHAnsi" w:eastAsiaTheme="majorEastAsia" w:hAnsiTheme="majorHAnsi" w:cstheme="majorBidi"/>
      <w:i/>
      <w:iCs/>
      <w:color w:val="0061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3-Heading3"/>
    <w:qFormat/>
    <w:rsid w:val="009A7C96"/>
    <w:pPr>
      <w:spacing w:before="0"/>
      <w:jc w:val="center"/>
    </w:pPr>
  </w:style>
  <w:style w:type="paragraph" w:customStyle="1" w:styleId="BodyCopy">
    <w:name w:val="Body Copy"/>
    <w:qFormat/>
    <w:rsid w:val="00790F87"/>
    <w:pPr>
      <w:spacing w:before="40" w:after="120"/>
    </w:pPr>
    <w:rPr>
      <w:rFonts w:ascii="Calibri Light" w:hAnsi="Calibri Light" w:cs="Calibri Light"/>
      <w:color w:val="313E48"/>
      <w:sz w:val="22"/>
      <w:szCs w:val="21"/>
      <w:lang w:eastAsia="en-US"/>
    </w:rPr>
  </w:style>
  <w:style w:type="paragraph" w:customStyle="1" w:styleId="H2-Heading2">
    <w:name w:val="H2 - Heading 2"/>
    <w:basedOn w:val="H4-Heading4"/>
    <w:next w:val="BodyCopy"/>
    <w:qFormat/>
    <w:rsid w:val="009A7C96"/>
  </w:style>
  <w:style w:type="paragraph" w:customStyle="1" w:styleId="H4-Heading4">
    <w:name w:val="H4 - Heading 4"/>
    <w:basedOn w:val="Heading4"/>
    <w:next w:val="BodyCopy"/>
    <w:qFormat/>
    <w:rsid w:val="004D1D85"/>
    <w:pPr>
      <w:spacing w:before="160"/>
    </w:pPr>
    <w:rPr>
      <w:rFonts w:asciiTheme="minorHAnsi" w:hAnsiTheme="minorHAnsi" w:cstheme="minorHAnsi"/>
      <w:b/>
      <w:bCs/>
      <w:i w:val="0"/>
      <w:iCs w:val="0"/>
      <w:color w:val="313E48"/>
      <w:sz w:val="24"/>
      <w:szCs w:val="24"/>
    </w:rPr>
  </w:style>
  <w:style w:type="paragraph" w:customStyle="1" w:styleId="H3-Heading3">
    <w:name w:val="H3 - Heading 3"/>
    <w:basedOn w:val="Heading3"/>
    <w:qFormat/>
    <w:rsid w:val="004D1D85"/>
    <w:pPr>
      <w:spacing w:before="240" w:after="40"/>
    </w:pPr>
    <w:rPr>
      <w:rFonts w:asciiTheme="minorHAnsi" w:hAnsiTheme="minorHAnsi" w:cstheme="minorHAnsi"/>
      <w:b/>
      <w:bCs/>
      <w:color w:val="313E48"/>
      <w:sz w:val="28"/>
      <w:szCs w:val="28"/>
    </w:rPr>
  </w:style>
  <w:style w:type="paragraph" w:customStyle="1" w:styleId="BodycopyNumberedBullets">
    <w:name w:val="Body copy Numbered Bullets"/>
    <w:basedOn w:val="BodyCopy"/>
    <w:qFormat/>
    <w:rsid w:val="00D32B6E"/>
    <w:pPr>
      <w:numPr>
        <w:numId w:val="1"/>
      </w:numPr>
      <w:ind w:left="641" w:hanging="357"/>
    </w:pPr>
  </w:style>
  <w:style w:type="paragraph" w:customStyle="1" w:styleId="BodyCopyPrebulletsandnumberedbullets">
    <w:name w:val="Body Copy Pre bullets and numbered bullets"/>
    <w:basedOn w:val="BodyCopy"/>
    <w:qFormat/>
    <w:rsid w:val="00845374"/>
    <w:pPr>
      <w:spacing w:before="160"/>
    </w:pPr>
  </w:style>
  <w:style w:type="paragraph" w:customStyle="1" w:styleId="BodyCopyBullets">
    <w:name w:val="Body Copy Bullets"/>
    <w:basedOn w:val="BodyCopy"/>
    <w:qFormat/>
    <w:rsid w:val="00D32B6E"/>
    <w:pPr>
      <w:numPr>
        <w:numId w:val="4"/>
      </w:numPr>
      <w:ind w:left="624" w:hanging="340"/>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er"/>
    <w:qFormat/>
    <w:rsid w:val="007332ED"/>
    <w:pPr>
      <w:spacing w:after="40"/>
    </w:pPr>
    <w:rPr>
      <w:rFonts w:cstheme="minorHAnsi"/>
      <w:b/>
      <w:bCs/>
      <w:color w:val="313E48"/>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F63247"/>
    <w:pPr>
      <w:spacing w:before="160" w:after="160"/>
    </w:pPr>
  </w:style>
  <w:style w:type="paragraph" w:styleId="Header">
    <w:name w:val="header"/>
    <w:basedOn w:val="Normal"/>
    <w:link w:val="HeaderChar"/>
    <w:uiPriority w:val="99"/>
    <w:unhideWhenUsed/>
    <w:rsid w:val="001D29C1"/>
    <w:pPr>
      <w:tabs>
        <w:tab w:val="center" w:pos="4513"/>
        <w:tab w:val="right" w:pos="9026"/>
      </w:tabs>
      <w:spacing w:after="0"/>
    </w:pPr>
  </w:style>
  <w:style w:type="character" w:customStyle="1" w:styleId="HeaderChar">
    <w:name w:val="Header Char"/>
    <w:basedOn w:val="DefaultParagraphFont"/>
    <w:link w:val="Header"/>
    <w:uiPriority w:val="99"/>
    <w:rsid w:val="001D29C1"/>
    <w:rPr>
      <w:rFonts w:asciiTheme="minorHAnsi" w:eastAsiaTheme="minorHAnsi" w:hAnsiTheme="minorHAnsi" w:cstheme="minorBidi"/>
      <w:sz w:val="21"/>
      <w:szCs w:val="22"/>
      <w:lang w:eastAsia="en-US"/>
    </w:rPr>
  </w:style>
  <w:style w:type="paragraph" w:styleId="Footer">
    <w:name w:val="footer"/>
    <w:basedOn w:val="Normal"/>
    <w:link w:val="FooterChar"/>
    <w:uiPriority w:val="99"/>
    <w:unhideWhenUsed/>
    <w:rsid w:val="001D29C1"/>
    <w:pPr>
      <w:tabs>
        <w:tab w:val="center" w:pos="4513"/>
        <w:tab w:val="right" w:pos="9026"/>
      </w:tabs>
      <w:spacing w:after="0"/>
    </w:pPr>
  </w:style>
  <w:style w:type="character" w:customStyle="1" w:styleId="FooterChar">
    <w:name w:val="Footer Char"/>
    <w:basedOn w:val="DefaultParagraphFont"/>
    <w:link w:val="Footer"/>
    <w:uiPriority w:val="99"/>
    <w:rsid w:val="001D29C1"/>
    <w:rPr>
      <w:rFonts w:asciiTheme="minorHAnsi" w:eastAsiaTheme="minorHAnsi" w:hAnsiTheme="minorHAnsi" w:cstheme="minorBidi"/>
      <w:sz w:val="21"/>
      <w:szCs w:val="22"/>
      <w:lang w:eastAsia="en-US"/>
    </w:rPr>
  </w:style>
  <w:style w:type="character" w:customStyle="1" w:styleId="Green">
    <w:name w:val="Green"/>
    <w:basedOn w:val="DefaultParagraphFont"/>
    <w:uiPriority w:val="1"/>
    <w:qFormat/>
    <w:rsid w:val="00E363E8"/>
    <w:rPr>
      <w:color w:val="48763B" w:themeColor="accent2"/>
    </w:rPr>
  </w:style>
  <w:style w:type="character" w:styleId="Emphasis">
    <w:name w:val="Emphasis"/>
    <w:basedOn w:val="IntenseEmphasis"/>
    <w:uiPriority w:val="20"/>
    <w:qFormat/>
    <w:rsid w:val="00AF7C26"/>
    <w:rPr>
      <w:rFonts w:asciiTheme="minorHAnsi" w:hAnsiTheme="minorHAnsi" w:cstheme="minorHAnsi"/>
      <w:b/>
      <w:bCs/>
      <w:i w:val="0"/>
      <w:iCs/>
      <w:color w:val="313E48"/>
      <w:sz w:val="22"/>
    </w:rPr>
  </w:style>
  <w:style w:type="character" w:customStyle="1" w:styleId="Heading1Char">
    <w:name w:val="Heading 1 Char"/>
    <w:basedOn w:val="DefaultParagraphFont"/>
    <w:link w:val="Heading1"/>
    <w:uiPriority w:val="9"/>
    <w:rsid w:val="004D1D85"/>
    <w:rPr>
      <w:rFonts w:asciiTheme="majorHAnsi" w:eastAsiaTheme="majorEastAsia" w:hAnsiTheme="majorHAnsi" w:cstheme="majorBidi"/>
      <w:color w:val="00615B" w:themeColor="accent1" w:themeShade="BF"/>
      <w:sz w:val="32"/>
      <w:szCs w:val="32"/>
      <w:lang w:eastAsia="en-US"/>
    </w:rPr>
  </w:style>
  <w:style w:type="character" w:customStyle="1" w:styleId="Heading2Char">
    <w:name w:val="Heading 2 Char"/>
    <w:basedOn w:val="DefaultParagraphFont"/>
    <w:link w:val="Heading2"/>
    <w:uiPriority w:val="9"/>
    <w:semiHidden/>
    <w:rsid w:val="004D1D85"/>
    <w:rPr>
      <w:rFonts w:asciiTheme="majorHAnsi" w:eastAsiaTheme="majorEastAsia" w:hAnsiTheme="majorHAnsi" w:cstheme="majorBidi"/>
      <w:color w:val="00615B" w:themeColor="accent1" w:themeShade="BF"/>
      <w:sz w:val="26"/>
      <w:szCs w:val="26"/>
      <w:lang w:eastAsia="en-US"/>
    </w:rPr>
  </w:style>
  <w:style w:type="character" w:customStyle="1" w:styleId="Heading3Char">
    <w:name w:val="Heading 3 Char"/>
    <w:basedOn w:val="DefaultParagraphFont"/>
    <w:link w:val="Heading3"/>
    <w:uiPriority w:val="9"/>
    <w:semiHidden/>
    <w:rsid w:val="004D1D85"/>
    <w:rPr>
      <w:rFonts w:asciiTheme="majorHAnsi" w:eastAsiaTheme="majorEastAsia" w:hAnsiTheme="majorHAnsi" w:cstheme="majorBidi"/>
      <w:color w:val="00403D" w:themeColor="accent1" w:themeShade="7F"/>
      <w:sz w:val="24"/>
      <w:szCs w:val="24"/>
      <w:lang w:eastAsia="en-US"/>
    </w:rPr>
  </w:style>
  <w:style w:type="character" w:customStyle="1" w:styleId="Heading4Char">
    <w:name w:val="Heading 4 Char"/>
    <w:basedOn w:val="DefaultParagraphFont"/>
    <w:link w:val="Heading4"/>
    <w:uiPriority w:val="9"/>
    <w:semiHidden/>
    <w:rsid w:val="004D1D85"/>
    <w:rPr>
      <w:rFonts w:asciiTheme="majorHAnsi" w:eastAsiaTheme="majorEastAsia" w:hAnsiTheme="majorHAnsi" w:cstheme="majorBidi"/>
      <w:i/>
      <w:iCs/>
      <w:color w:val="00615B" w:themeColor="accent1" w:themeShade="BF"/>
      <w:sz w:val="22"/>
      <w:szCs w:val="22"/>
      <w:lang w:eastAsia="en-US"/>
    </w:rPr>
  </w:style>
  <w:style w:type="character" w:styleId="Strong">
    <w:name w:val="Strong"/>
    <w:aliases w:val="Introduction"/>
    <w:basedOn w:val="DefaultParagraphFont"/>
    <w:uiPriority w:val="22"/>
    <w:qFormat/>
    <w:rsid w:val="00AF7C26"/>
    <w:rPr>
      <w:rFonts w:asciiTheme="minorHAnsi" w:hAnsiTheme="minorHAnsi"/>
      <w:b/>
      <w:bCs/>
    </w:rPr>
  </w:style>
  <w:style w:type="character" w:styleId="IntenseEmphasis">
    <w:name w:val="Intense Emphasis"/>
    <w:basedOn w:val="DefaultParagraphFont"/>
    <w:uiPriority w:val="21"/>
    <w:qFormat/>
    <w:rsid w:val="00AF7C26"/>
    <w:rPr>
      <w:i/>
      <w:iCs/>
      <w:color w:val="00827B" w:themeColor="accent1"/>
    </w:rPr>
  </w:style>
  <w:style w:type="paragraph" w:customStyle="1" w:styleId="Bullets">
    <w:name w:val="Bullets"/>
    <w:basedOn w:val="ListParagraph"/>
    <w:link w:val="BulletsChar"/>
    <w:qFormat/>
    <w:rsid w:val="00AB425C"/>
    <w:pPr>
      <w:numPr>
        <w:numId w:val="10"/>
      </w:numPr>
    </w:pPr>
  </w:style>
  <w:style w:type="character" w:customStyle="1" w:styleId="BulletsChar">
    <w:name w:val="Bullets Char"/>
    <w:basedOn w:val="DefaultParagraphFont"/>
    <w:link w:val="Bullets"/>
    <w:rsid w:val="00AB425C"/>
    <w:rPr>
      <w:rFonts w:asciiTheme="minorHAnsi" w:eastAsiaTheme="minorHAnsi" w:hAnsiTheme="minorHAnsi" w:cstheme="minorBidi"/>
      <w:sz w:val="21"/>
      <w:szCs w:val="22"/>
      <w:lang w:eastAsia="en-US"/>
    </w:rPr>
  </w:style>
  <w:style w:type="paragraph" w:styleId="ListParagraph">
    <w:name w:val="List Paragraph"/>
    <w:basedOn w:val="Normal"/>
    <w:uiPriority w:val="34"/>
    <w:qFormat/>
    <w:rsid w:val="00AB425C"/>
    <w:pPr>
      <w:ind w:left="720"/>
      <w:contextualSpacing/>
    </w:pPr>
  </w:style>
  <w:style w:type="character" w:styleId="CommentReference">
    <w:name w:val="annotation reference"/>
    <w:basedOn w:val="DefaultParagraphFont"/>
    <w:uiPriority w:val="99"/>
    <w:semiHidden/>
    <w:unhideWhenUsed/>
    <w:rsid w:val="00864E6B"/>
    <w:rPr>
      <w:sz w:val="16"/>
      <w:szCs w:val="16"/>
    </w:rPr>
  </w:style>
  <w:style w:type="paragraph" w:styleId="CommentText">
    <w:name w:val="annotation text"/>
    <w:basedOn w:val="Normal"/>
    <w:link w:val="CommentTextChar"/>
    <w:uiPriority w:val="99"/>
    <w:unhideWhenUsed/>
    <w:rsid w:val="00864E6B"/>
    <w:rPr>
      <w:sz w:val="20"/>
      <w:szCs w:val="20"/>
    </w:rPr>
  </w:style>
  <w:style w:type="character" w:customStyle="1" w:styleId="CommentTextChar">
    <w:name w:val="Comment Text Char"/>
    <w:basedOn w:val="DefaultParagraphFont"/>
    <w:link w:val="CommentText"/>
    <w:uiPriority w:val="99"/>
    <w:rsid w:val="00864E6B"/>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64E6B"/>
    <w:rPr>
      <w:b/>
      <w:bCs/>
    </w:rPr>
  </w:style>
  <w:style w:type="character" w:customStyle="1" w:styleId="CommentSubjectChar">
    <w:name w:val="Comment Subject Char"/>
    <w:basedOn w:val="CommentTextChar"/>
    <w:link w:val="CommentSubject"/>
    <w:uiPriority w:val="99"/>
    <w:semiHidden/>
    <w:rsid w:val="00864E6B"/>
    <w:rPr>
      <w:rFonts w:asciiTheme="minorHAnsi" w:eastAsiaTheme="minorHAnsi" w:hAnsiTheme="minorHAnsi" w:cstheme="minorBidi"/>
      <w:b/>
      <w:bCs/>
      <w:lang w:eastAsia="en-US"/>
    </w:rPr>
  </w:style>
  <w:style w:type="paragraph" w:styleId="Revision">
    <w:name w:val="Revision"/>
    <w:hidden/>
    <w:uiPriority w:val="99"/>
    <w:semiHidden/>
    <w:rsid w:val="002C1AF9"/>
    <w:rPr>
      <w:rFonts w:asciiTheme="minorHAnsi" w:eastAsiaTheme="minorHAnsi" w:hAnsiTheme="minorHAnsi" w:cstheme="minorBidi"/>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12250">
      <w:bodyDiv w:val="1"/>
      <w:marLeft w:val="0"/>
      <w:marRight w:val="0"/>
      <w:marTop w:val="0"/>
      <w:marBottom w:val="0"/>
      <w:divBdr>
        <w:top w:val="none" w:sz="0" w:space="0" w:color="auto"/>
        <w:left w:val="none" w:sz="0" w:space="0" w:color="auto"/>
        <w:bottom w:val="none" w:sz="0" w:space="0" w:color="auto"/>
        <w:right w:val="none" w:sz="0" w:space="0" w:color="auto"/>
      </w:divBdr>
    </w:div>
    <w:div w:id="178449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FAT">
      <a:dk1>
        <a:srgbClr val="313E48"/>
      </a:dk1>
      <a:lt1>
        <a:sysClr val="window" lastClr="FFFFFF"/>
      </a:lt1>
      <a:dk2>
        <a:srgbClr val="2E5B73"/>
      </a:dk2>
      <a:lt2>
        <a:srgbClr val="CED2D3"/>
      </a:lt2>
      <a:accent1>
        <a:srgbClr val="00827B"/>
      </a:accent1>
      <a:accent2>
        <a:srgbClr val="48763B"/>
      </a:accent2>
      <a:accent3>
        <a:srgbClr val="993921"/>
      </a:accent3>
      <a:accent4>
        <a:srgbClr val="F4B223"/>
      </a:accent4>
      <a:accent5>
        <a:srgbClr val="124734"/>
      </a:accent5>
      <a:accent6>
        <a:srgbClr val="06515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5011</Characters>
  <Application>Microsoft Office Word</Application>
  <DocSecurity>0</DocSecurity>
  <Lines>117</Lines>
  <Paragraphs>44</Paragraphs>
  <ScaleCrop>false</ScaleCrop>
  <HeadingPairs>
    <vt:vector size="2" baseType="variant">
      <vt:variant>
        <vt:lpstr>Title</vt:lpstr>
      </vt:variant>
      <vt:variant>
        <vt:i4>1</vt:i4>
      </vt:variant>
    </vt:vector>
  </HeadingPairs>
  <TitlesOfParts>
    <vt:vector size="1" baseType="lpstr">
      <vt:lpstr>Impact Evaluation of the Market Development Facility in Timor-Leste</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Evaluation of the Market Development Facility in Timor-Leste</dc:title>
  <dc:subject/>
  <dc:creator/>
  <cp:keywords>[SEC=OFFICIAL]</cp:keywords>
  <dc:description/>
  <cp:lastModifiedBy/>
  <cp:revision>1</cp:revision>
  <dcterms:created xsi:type="dcterms:W3CDTF">2025-12-23T03:45:00Z</dcterms:created>
  <dcterms:modified xsi:type="dcterms:W3CDTF">2025-12-23T03:52:00Z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or_Hash_SHA1">
    <vt:lpwstr>D9F6E5C82DFAF7AB6E3D596D48DD43C72EDFDAB4</vt:lpwstr>
  </property>
  <property fmtid="{D5CDD505-2E9C-101B-9397-08002B2CF9AE}" pid="7" name="PM_Originating_FileId">
    <vt:lpwstr>A04407B03FB3406E91B16F76B50D491D</vt:lpwstr>
  </property>
  <property fmtid="{D5CDD505-2E9C-101B-9397-08002B2CF9AE}" pid="8" name="PM_ProtectiveMarkingValue_Footer">
    <vt:lpwstr>OFFICIAL</vt:lpwstr>
  </property>
  <property fmtid="{D5CDD505-2E9C-101B-9397-08002B2CF9AE}" pid="9" name="PM_OriginationTimeStamp">
    <vt:lpwstr>2023-02-15T22:12:19Z</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Hash_Version">
    <vt:lpwstr>2022.1</vt:lpwstr>
  </property>
  <property fmtid="{D5CDD505-2E9C-101B-9397-08002B2CF9AE}" pid="13" name="PM_Hash_Salt_Prev">
    <vt:lpwstr>84B28F23A06505729BD2BC13F8330E1F</vt:lpwstr>
  </property>
  <property fmtid="{D5CDD505-2E9C-101B-9397-08002B2CF9AE}" pid="14" name="PM_Hash_Salt">
    <vt:lpwstr>97A37148FD39B8190B601BB3ABFA2F2A</vt:lpwstr>
  </property>
  <property fmtid="{D5CDD505-2E9C-101B-9397-08002B2CF9AE}" pid="15" name="PM_Hash_SHA1">
    <vt:lpwstr>DBA5BA79D69F82AC075609C1E3747A84F2031D64</vt:lpwstr>
  </property>
  <property fmtid="{D5CDD505-2E9C-101B-9397-08002B2CF9AE}" pid="16" name="PM_SecurityClassification_Prev">
    <vt:lpwstr>OFFICIAL</vt:lpwstr>
  </property>
  <property fmtid="{D5CDD505-2E9C-101B-9397-08002B2CF9AE}" pid="17" name="PM_Qualifier_Prev">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OriginatorUserAccountName_SHA256">
    <vt:lpwstr>3E9DB5AB808CA91EB3E8EC398CDB7F67B110581D6BB28BC88565729DCE387350</vt:lpwstr>
  </property>
  <property fmtid="{D5CDD505-2E9C-101B-9397-08002B2CF9AE}" pid="21" name="PM_OriginatorDomainName_SHA256">
    <vt:lpwstr>6F3591835F3B2A8A025B00B5BA6418010DA3A17C9C26EA9C049FFD28039489A2</vt:lpwstr>
  </property>
  <property fmtid="{D5CDD505-2E9C-101B-9397-08002B2CF9AE}" pid="22" name="PM_Qualifier">
    <vt:lpwstr/>
  </property>
  <property fmtid="{D5CDD505-2E9C-101B-9397-08002B2CF9AE}" pid="23" name="PMHMAC">
    <vt:lpwstr>v=2022.1;a=SHA256;h=2FAE77A1092E25B7AF2BA3788BE56D64EF7BF616CF37EDDA989760C89370B602</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