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153" w:rsidRDefault="00681FBD" w:rsidP="00857153">
      <w:pPr>
        <w:spacing w:before="240"/>
        <w:jc w:val="center"/>
        <w:rPr>
          <w:b/>
          <w:bCs/>
          <w:spacing w:val="-8"/>
          <w:w w:val="105"/>
          <w:u w:val="single"/>
        </w:rPr>
      </w:pPr>
      <w:bookmarkStart w:id="0" w:name="_GoBack"/>
      <w:bookmarkEnd w:id="0"/>
      <w:r w:rsidRPr="00681FBD">
        <w:rPr>
          <w:b/>
          <w:bCs/>
          <w:spacing w:val="-10"/>
          <w:w w:val="105"/>
          <w:u w:val="single"/>
        </w:rPr>
        <w:t xml:space="preserve">AusAID – World Bank Partnership for South Asia </w:t>
      </w:r>
      <w:r w:rsidRPr="00857153">
        <w:rPr>
          <w:b/>
          <w:bCs/>
          <w:spacing w:val="-10"/>
          <w:w w:val="105"/>
          <w:u w:val="single"/>
        </w:rPr>
        <w:t>(</w:t>
      </w:r>
      <w:r w:rsidRPr="00857153">
        <w:rPr>
          <w:b/>
          <w:u w:val="single"/>
        </w:rPr>
        <w:t>Trust Fund No.TF071677)</w:t>
      </w:r>
      <w:r w:rsidR="009C098C" w:rsidRPr="00681FBD">
        <w:rPr>
          <w:b/>
          <w:bCs/>
          <w:spacing w:val="-10"/>
          <w:w w:val="105"/>
          <w:u w:val="single"/>
        </w:rPr>
        <w:br/>
      </w:r>
      <w:r w:rsidR="009C098C" w:rsidRPr="00681FBD">
        <w:rPr>
          <w:b/>
          <w:bCs/>
          <w:spacing w:val="-4"/>
          <w:w w:val="105"/>
          <w:u w:val="single"/>
        </w:rPr>
        <w:t xml:space="preserve">Infrastructure for Growth Window </w:t>
      </w:r>
      <w:r w:rsidR="009C098C" w:rsidRPr="00681FBD">
        <w:rPr>
          <w:b/>
          <w:bCs/>
          <w:spacing w:val="-4"/>
          <w:w w:val="105"/>
          <w:u w:val="single"/>
        </w:rPr>
        <w:br/>
      </w:r>
      <w:r w:rsidR="009C098C" w:rsidRPr="00681FBD">
        <w:rPr>
          <w:b/>
          <w:bCs/>
          <w:spacing w:val="-8"/>
          <w:w w:val="105"/>
          <w:u w:val="single"/>
        </w:rPr>
        <w:t>Program Description</w:t>
      </w:r>
    </w:p>
    <w:p w:rsidR="00857153" w:rsidRPr="00681FBD" w:rsidRDefault="00857153" w:rsidP="00857153">
      <w:pPr>
        <w:spacing w:before="240"/>
        <w:jc w:val="center"/>
        <w:rPr>
          <w:b/>
          <w:bCs/>
          <w:spacing w:val="-8"/>
          <w:w w:val="105"/>
          <w:u w:val="single"/>
        </w:rPr>
      </w:pPr>
    </w:p>
    <w:p w:rsidR="00857153" w:rsidRPr="00857153" w:rsidRDefault="009C098C" w:rsidP="00857153">
      <w:pPr>
        <w:spacing w:before="120" w:after="120"/>
        <w:ind w:right="49"/>
        <w:jc w:val="both"/>
        <w:rPr>
          <w:spacing w:val="-4"/>
          <w:w w:val="105"/>
        </w:rPr>
      </w:pPr>
      <w:r w:rsidRPr="00681FBD">
        <w:rPr>
          <w:spacing w:val="-2"/>
          <w:w w:val="105"/>
        </w:rPr>
        <w:t xml:space="preserve">As part of its "Infrastructure for Growth Initiative", AusAID intends to provide A$20 million </w:t>
      </w:r>
      <w:r w:rsidRPr="00681FBD">
        <w:rPr>
          <w:spacing w:val="-4"/>
          <w:w w:val="105"/>
        </w:rPr>
        <w:t>over two years (</w:t>
      </w:r>
      <w:r w:rsidR="00B1687C" w:rsidRPr="00681FBD">
        <w:rPr>
          <w:spacing w:val="-4"/>
          <w:w w:val="105"/>
        </w:rPr>
        <w:t>2011/</w:t>
      </w:r>
      <w:r w:rsidRPr="00681FBD">
        <w:rPr>
          <w:spacing w:val="-4"/>
          <w:w w:val="105"/>
        </w:rPr>
        <w:t>12</w:t>
      </w:r>
      <w:r w:rsidR="00B1687C" w:rsidRPr="00681FBD">
        <w:rPr>
          <w:spacing w:val="-4"/>
          <w:w w:val="105"/>
        </w:rPr>
        <w:t xml:space="preserve"> – 2012/</w:t>
      </w:r>
      <w:r w:rsidRPr="00681FBD">
        <w:rPr>
          <w:spacing w:val="-4"/>
          <w:w w:val="105"/>
        </w:rPr>
        <w:t xml:space="preserve">13), for use on infrastructure activities in the countries of South Asia (India, Bangladesh, Pakistan, Afghanistan, Nepal, Bhutan, Sri Lanka and Maldives). </w:t>
      </w:r>
      <w:r w:rsidRPr="00681FBD">
        <w:rPr>
          <w:spacing w:val="-7"/>
          <w:w w:val="105"/>
        </w:rPr>
        <w:t xml:space="preserve">The funds are intended to support the South Asia Region's (SAR) sector strategies in energy, </w:t>
      </w:r>
      <w:r w:rsidRPr="00681FBD">
        <w:rPr>
          <w:spacing w:val="16"/>
          <w:w w:val="105"/>
        </w:rPr>
        <w:t>transport,</w:t>
      </w:r>
      <w:r w:rsidR="00681FBD" w:rsidRPr="00681FBD">
        <w:rPr>
          <w:spacing w:val="16"/>
          <w:w w:val="105"/>
        </w:rPr>
        <w:t xml:space="preserve"> </w:t>
      </w:r>
      <w:r w:rsidRPr="00681FBD">
        <w:rPr>
          <w:spacing w:val="16"/>
          <w:w w:val="105"/>
        </w:rPr>
        <w:t xml:space="preserve">urban development (including water and sanitation), irrigation and </w:t>
      </w:r>
      <w:r w:rsidRPr="00681FBD">
        <w:rPr>
          <w:spacing w:val="-4"/>
          <w:w w:val="105"/>
        </w:rPr>
        <w:t>telecommunications.</w:t>
      </w:r>
    </w:p>
    <w:p w:rsidR="009C098C" w:rsidRPr="00681FBD" w:rsidRDefault="009C098C" w:rsidP="00857153">
      <w:pPr>
        <w:spacing w:before="240" w:after="120"/>
        <w:rPr>
          <w:b/>
          <w:bCs/>
          <w:spacing w:val="-4"/>
          <w:w w:val="105"/>
        </w:rPr>
      </w:pPr>
      <w:r w:rsidRPr="00681FBD">
        <w:rPr>
          <w:b/>
          <w:bCs/>
          <w:spacing w:val="-4"/>
          <w:w w:val="105"/>
        </w:rPr>
        <w:t>Proposed Strategic Partnership and Development Objectives</w:t>
      </w:r>
    </w:p>
    <w:p w:rsidR="009C098C" w:rsidRPr="00681FBD" w:rsidRDefault="009C098C" w:rsidP="00857153">
      <w:pPr>
        <w:tabs>
          <w:tab w:val="left" w:pos="9923"/>
        </w:tabs>
        <w:spacing w:before="120" w:after="120"/>
        <w:ind w:right="49"/>
        <w:jc w:val="both"/>
        <w:rPr>
          <w:spacing w:val="-4"/>
          <w:w w:val="105"/>
        </w:rPr>
      </w:pPr>
      <w:r w:rsidRPr="00681FBD">
        <w:rPr>
          <w:i/>
          <w:iCs/>
          <w:spacing w:val="-2"/>
          <w:w w:val="105"/>
          <w:u w:val="single"/>
        </w:rPr>
        <w:t>Objective:</w:t>
      </w:r>
      <w:r w:rsidRPr="00681FBD">
        <w:rPr>
          <w:spacing w:val="-2"/>
          <w:w w:val="105"/>
        </w:rPr>
        <w:t xml:space="preserve"> With an overarching and higher level goal to contribute to reduced poverty and </w:t>
      </w:r>
      <w:r w:rsidRPr="00681FBD">
        <w:rPr>
          <w:spacing w:val="-6"/>
          <w:w w:val="105"/>
        </w:rPr>
        <w:t xml:space="preserve">sustainable development by accelerating economic growth through improved infrastructure in the </w:t>
      </w:r>
      <w:r w:rsidRPr="00681FBD">
        <w:rPr>
          <w:spacing w:val="-4"/>
          <w:w w:val="105"/>
        </w:rPr>
        <w:t>SAR countries, the specific objectives of the proposed Trust Fund are:</w:t>
      </w:r>
    </w:p>
    <w:p w:rsidR="009C098C" w:rsidRPr="00681FBD" w:rsidRDefault="009C098C" w:rsidP="00857153">
      <w:pPr>
        <w:numPr>
          <w:ilvl w:val="0"/>
          <w:numId w:val="2"/>
        </w:numPr>
        <w:tabs>
          <w:tab w:val="clear" w:pos="720"/>
          <w:tab w:val="num" w:pos="1440"/>
        </w:tabs>
        <w:spacing w:before="120" w:after="120"/>
        <w:ind w:left="1440" w:right="49"/>
        <w:jc w:val="both"/>
        <w:rPr>
          <w:spacing w:val="-4"/>
          <w:w w:val="105"/>
        </w:rPr>
      </w:pPr>
      <w:r w:rsidRPr="00681FBD">
        <w:rPr>
          <w:spacing w:val="-10"/>
          <w:w w:val="105"/>
        </w:rPr>
        <w:t xml:space="preserve">Development Aspects: to foster an enabling environment for infrastructure </w:t>
      </w:r>
      <w:r w:rsidRPr="00681FBD">
        <w:rPr>
          <w:spacing w:val="-4"/>
          <w:w w:val="105"/>
        </w:rPr>
        <w:t>development and facilitating infrastructure service delivery; and</w:t>
      </w:r>
    </w:p>
    <w:p w:rsidR="009C098C" w:rsidRPr="00681FBD" w:rsidRDefault="009C098C" w:rsidP="00857153">
      <w:pPr>
        <w:numPr>
          <w:ilvl w:val="0"/>
          <w:numId w:val="2"/>
        </w:numPr>
        <w:tabs>
          <w:tab w:val="clear" w:pos="720"/>
          <w:tab w:val="num" w:pos="2880"/>
        </w:tabs>
        <w:spacing w:before="120" w:after="120"/>
        <w:ind w:left="1440" w:right="49"/>
        <w:jc w:val="both"/>
        <w:rPr>
          <w:spacing w:val="-4"/>
          <w:w w:val="105"/>
        </w:rPr>
      </w:pPr>
      <w:r w:rsidRPr="00681FBD">
        <w:rPr>
          <w:spacing w:val="-10"/>
          <w:w w:val="105"/>
        </w:rPr>
        <w:t xml:space="preserve">Partnership Aspect: to enhance cooperation between AusAID and the Bank in </w:t>
      </w:r>
      <w:r w:rsidRPr="00681FBD">
        <w:rPr>
          <w:spacing w:val="-4"/>
          <w:w w:val="105"/>
        </w:rPr>
        <w:t>improving aid effectiveness in SAR</w:t>
      </w:r>
      <w:r w:rsidR="00B1687C" w:rsidRPr="00681FBD">
        <w:rPr>
          <w:spacing w:val="-4"/>
          <w:w w:val="105"/>
        </w:rPr>
        <w:t>.</w:t>
      </w:r>
    </w:p>
    <w:p w:rsidR="009C098C" w:rsidRPr="00857153" w:rsidRDefault="009C098C" w:rsidP="00857153">
      <w:pPr>
        <w:tabs>
          <w:tab w:val="left" w:pos="9923"/>
        </w:tabs>
        <w:spacing w:before="120" w:after="120"/>
        <w:ind w:right="49"/>
        <w:jc w:val="both"/>
        <w:rPr>
          <w:spacing w:val="-2"/>
          <w:w w:val="105"/>
        </w:rPr>
      </w:pPr>
      <w:r w:rsidRPr="00857153">
        <w:rPr>
          <w:spacing w:val="-2"/>
          <w:w w:val="105"/>
        </w:rPr>
        <w:t>These objectives are expected to be achieved by:</w:t>
      </w:r>
    </w:p>
    <w:p w:rsidR="002D17EC" w:rsidRPr="00681FBD" w:rsidRDefault="009C098C" w:rsidP="00857153">
      <w:pPr>
        <w:numPr>
          <w:ilvl w:val="0"/>
          <w:numId w:val="9"/>
        </w:numPr>
        <w:tabs>
          <w:tab w:val="clear" w:pos="720"/>
          <w:tab w:val="num" w:pos="-720"/>
        </w:tabs>
        <w:spacing w:before="120" w:after="120"/>
        <w:ind w:left="1440" w:right="49"/>
        <w:jc w:val="both"/>
        <w:rPr>
          <w:spacing w:val="-4"/>
          <w:w w:val="105"/>
        </w:rPr>
      </w:pPr>
      <w:r w:rsidRPr="00857153">
        <w:rPr>
          <w:spacing w:val="-4"/>
          <w:w w:val="105"/>
        </w:rPr>
        <w:t xml:space="preserve">financing activities that will strengthen policy and regulatory environments and </w:t>
      </w:r>
      <w:r w:rsidRPr="00681FBD">
        <w:rPr>
          <w:spacing w:val="-4"/>
          <w:w w:val="105"/>
        </w:rPr>
        <w:t xml:space="preserve">systems for infrastructure management </w:t>
      </w:r>
      <w:r w:rsidR="00F63B01" w:rsidRPr="00681FBD">
        <w:rPr>
          <w:spacing w:val="-4"/>
          <w:w w:val="105"/>
        </w:rPr>
        <w:t xml:space="preserve">and their implementation </w:t>
      </w:r>
      <w:r w:rsidRPr="00681FBD">
        <w:rPr>
          <w:spacing w:val="-4"/>
          <w:w w:val="105"/>
        </w:rPr>
        <w:t xml:space="preserve">in areas including: planning, budgeting and </w:t>
      </w:r>
      <w:r w:rsidR="002D17EC" w:rsidRPr="00857153">
        <w:rPr>
          <w:spacing w:val="-4"/>
          <w:w w:val="105"/>
        </w:rPr>
        <w:t>prioritization</w:t>
      </w:r>
      <w:r w:rsidRPr="00681FBD">
        <w:rPr>
          <w:spacing w:val="-4"/>
          <w:w w:val="105"/>
        </w:rPr>
        <w:t xml:space="preserve"> processes; financing, regulatory systems, private sector </w:t>
      </w:r>
      <w:r w:rsidRPr="00857153">
        <w:rPr>
          <w:spacing w:val="-4"/>
          <w:w w:val="105"/>
        </w:rPr>
        <w:t xml:space="preserve">participation, regional integration, </w:t>
      </w:r>
      <w:r w:rsidR="00B1687C" w:rsidRPr="00681FBD">
        <w:rPr>
          <w:spacing w:val="-4"/>
          <w:w w:val="105"/>
        </w:rPr>
        <w:t>mainstreaming low-carbon and climate change resilient investments,</w:t>
      </w:r>
      <w:r w:rsidRPr="00681FBD">
        <w:rPr>
          <w:spacing w:val="-4"/>
          <w:w w:val="105"/>
        </w:rPr>
        <w:t xml:space="preserve"> and </w:t>
      </w:r>
      <w:r w:rsidR="00B1687C" w:rsidRPr="00681FBD">
        <w:rPr>
          <w:spacing w:val="-4"/>
          <w:w w:val="105"/>
        </w:rPr>
        <w:t xml:space="preserve">mainstreaming </w:t>
      </w:r>
      <w:r w:rsidRPr="00681FBD">
        <w:rPr>
          <w:spacing w:val="-4"/>
          <w:w w:val="105"/>
        </w:rPr>
        <w:t>gender equity;</w:t>
      </w:r>
    </w:p>
    <w:p w:rsidR="009C098C" w:rsidRPr="00857153" w:rsidRDefault="009C098C" w:rsidP="00857153">
      <w:pPr>
        <w:numPr>
          <w:ilvl w:val="0"/>
          <w:numId w:val="9"/>
        </w:numPr>
        <w:spacing w:before="120" w:after="120"/>
        <w:ind w:left="1440" w:right="49"/>
        <w:jc w:val="both"/>
        <w:rPr>
          <w:spacing w:val="-4"/>
          <w:w w:val="105"/>
        </w:rPr>
      </w:pPr>
      <w:r w:rsidRPr="00857153">
        <w:rPr>
          <w:spacing w:val="-4"/>
          <w:w w:val="105"/>
        </w:rPr>
        <w:t>financing activities that lead to investment in priority infrastructure, improved</w:t>
      </w:r>
      <w:r w:rsidR="00857153">
        <w:rPr>
          <w:spacing w:val="-4"/>
          <w:w w:val="105"/>
        </w:rPr>
        <w:t xml:space="preserve"> </w:t>
      </w:r>
      <w:r w:rsidRPr="00857153">
        <w:rPr>
          <w:spacing w:val="-4"/>
          <w:w w:val="105"/>
        </w:rPr>
        <w:t>maintenance of infrastructure, improved operation, quality and reliability of services, enhanced infrastructure planning and management, particularly in fragile states, and fostering infrastructure service provision by the private sector, community participation, and sub-national governments among others;</w:t>
      </w:r>
    </w:p>
    <w:p w:rsidR="00B1687C" w:rsidRPr="00681FBD" w:rsidRDefault="009C098C" w:rsidP="00857153">
      <w:pPr>
        <w:numPr>
          <w:ilvl w:val="0"/>
          <w:numId w:val="3"/>
        </w:numPr>
        <w:tabs>
          <w:tab w:val="clear" w:pos="720"/>
          <w:tab w:val="num" w:pos="2880"/>
        </w:tabs>
        <w:spacing w:before="120" w:after="120"/>
        <w:ind w:left="1440" w:right="49"/>
        <w:jc w:val="both"/>
        <w:rPr>
          <w:spacing w:val="-4"/>
          <w:w w:val="105"/>
        </w:rPr>
      </w:pPr>
      <w:r w:rsidRPr="00681FBD">
        <w:rPr>
          <w:spacing w:val="-6"/>
          <w:w w:val="105"/>
        </w:rPr>
        <w:t xml:space="preserve">strengthening collaboration between AusAID and SAR through staff involvement </w:t>
      </w:r>
      <w:r w:rsidRPr="00681FBD">
        <w:rPr>
          <w:spacing w:val="-9"/>
          <w:w w:val="105"/>
        </w:rPr>
        <w:t xml:space="preserve">in individual or joint activities of both institutions (e.g., as task team member and </w:t>
      </w:r>
      <w:r w:rsidRPr="00681FBD">
        <w:rPr>
          <w:spacing w:val="-1"/>
          <w:w w:val="105"/>
        </w:rPr>
        <w:t xml:space="preserve">peer/technical reviewer) particularly those financed by the TF, information </w:t>
      </w:r>
      <w:r w:rsidRPr="00681FBD">
        <w:rPr>
          <w:spacing w:val="-5"/>
          <w:w w:val="105"/>
        </w:rPr>
        <w:t xml:space="preserve">sharing, working in partnership with clients, other donor agencies and regional </w:t>
      </w:r>
      <w:r w:rsidRPr="00681FBD">
        <w:rPr>
          <w:spacing w:val="-4"/>
          <w:w w:val="105"/>
        </w:rPr>
        <w:t>institutions and stakeholders</w:t>
      </w:r>
      <w:r w:rsidR="00B1687C" w:rsidRPr="00681FBD">
        <w:rPr>
          <w:spacing w:val="-4"/>
          <w:w w:val="105"/>
        </w:rPr>
        <w:t>; and</w:t>
      </w:r>
    </w:p>
    <w:p w:rsidR="002D17EC" w:rsidRPr="00681FBD" w:rsidRDefault="00FF6A7C" w:rsidP="00857153">
      <w:pPr>
        <w:numPr>
          <w:ilvl w:val="0"/>
          <w:numId w:val="3"/>
        </w:numPr>
        <w:tabs>
          <w:tab w:val="clear" w:pos="720"/>
          <w:tab w:val="num" w:pos="2880"/>
        </w:tabs>
        <w:spacing w:before="120" w:after="120"/>
        <w:ind w:left="1440" w:right="49"/>
        <w:jc w:val="both"/>
        <w:rPr>
          <w:i/>
          <w:iCs/>
          <w:spacing w:val="-4"/>
          <w:w w:val="105"/>
          <w:u w:val="single"/>
        </w:rPr>
      </w:pPr>
      <w:r w:rsidRPr="00681FBD">
        <w:rPr>
          <w:spacing w:val="-4"/>
          <w:w w:val="105"/>
        </w:rPr>
        <w:t xml:space="preserve">reporting every six months against a monitoring and results framework that will be developed to guide implementation, make course corrections as needed, measure impact and </w:t>
      </w:r>
      <w:r w:rsidR="00D251C3" w:rsidRPr="00681FBD">
        <w:rPr>
          <w:spacing w:val="-4"/>
          <w:w w:val="105"/>
        </w:rPr>
        <w:t>record</w:t>
      </w:r>
      <w:r w:rsidRPr="00681FBD">
        <w:rPr>
          <w:spacing w:val="-4"/>
          <w:w w:val="105"/>
        </w:rPr>
        <w:t xml:space="preserve"> lessons learned.</w:t>
      </w:r>
    </w:p>
    <w:p w:rsidR="002D17EC" w:rsidRPr="00857153" w:rsidRDefault="009C098C" w:rsidP="00857153">
      <w:pPr>
        <w:spacing w:before="120" w:after="120"/>
        <w:rPr>
          <w:spacing w:val="-4"/>
          <w:w w:val="105"/>
        </w:rPr>
      </w:pPr>
      <w:r w:rsidRPr="00681FBD">
        <w:rPr>
          <w:i/>
          <w:iCs/>
          <w:spacing w:val="-4"/>
          <w:w w:val="105"/>
          <w:u w:val="single"/>
        </w:rPr>
        <w:t>Managing Unit:</w:t>
      </w:r>
      <w:r w:rsidRPr="00681FBD">
        <w:rPr>
          <w:spacing w:val="-4"/>
          <w:w w:val="105"/>
        </w:rPr>
        <w:t xml:space="preserve"> South Asia Sustainable Development Department.</w:t>
      </w:r>
    </w:p>
    <w:p w:rsidR="009C098C" w:rsidRPr="00681FBD" w:rsidRDefault="009C098C" w:rsidP="00857153">
      <w:pPr>
        <w:widowControl/>
        <w:kinsoku/>
        <w:autoSpaceDE w:val="0"/>
        <w:autoSpaceDN w:val="0"/>
        <w:adjustRightInd w:val="0"/>
        <w:spacing w:before="120" w:after="120"/>
      </w:pPr>
      <w:r w:rsidRPr="00681FBD">
        <w:rPr>
          <w:i/>
          <w:iCs/>
          <w:spacing w:val="-6"/>
          <w:w w:val="105"/>
          <w:u w:val="single"/>
        </w:rPr>
        <w:t>Beneficiary:</w:t>
      </w:r>
      <w:r w:rsidRPr="00681FBD">
        <w:rPr>
          <w:spacing w:val="-6"/>
          <w:w w:val="105"/>
        </w:rPr>
        <w:t xml:space="preserve"> The funds may be used for activities which would benefit the countries of the </w:t>
      </w:r>
      <w:r w:rsidRPr="00681FBD">
        <w:rPr>
          <w:spacing w:val="-4"/>
          <w:w w:val="105"/>
        </w:rPr>
        <w:t>South Asia region.</w:t>
      </w:r>
      <w:r w:rsidRPr="00681FBD">
        <w:rPr>
          <w:b/>
          <w:bCs/>
          <w:spacing w:val="-5"/>
          <w:w w:val="105"/>
        </w:rPr>
        <w:t xml:space="preserve"> </w:t>
      </w:r>
      <w:r w:rsidR="002D17EC" w:rsidRPr="00857153">
        <w:rPr>
          <w:spacing w:val="-6"/>
          <w:w w:val="105"/>
        </w:rPr>
        <w:t>Custom fee for meeting administrative and other expenses incurred will be</w:t>
      </w:r>
      <w:r w:rsidR="00B1687C" w:rsidRPr="00857153">
        <w:rPr>
          <w:spacing w:val="-6"/>
          <w:w w:val="105"/>
        </w:rPr>
        <w:t xml:space="preserve"> up to</w:t>
      </w:r>
      <w:r w:rsidR="002D17EC" w:rsidRPr="00857153">
        <w:rPr>
          <w:spacing w:val="-6"/>
          <w:w w:val="105"/>
        </w:rPr>
        <w:t xml:space="preserve"> 10% of the</w:t>
      </w:r>
      <w:r w:rsidR="00857153">
        <w:rPr>
          <w:spacing w:val="-6"/>
          <w:w w:val="105"/>
        </w:rPr>
        <w:t xml:space="preserve"> grant amount.</w:t>
      </w:r>
      <w:r w:rsidR="002D17EC" w:rsidRPr="00857153">
        <w:rPr>
          <w:spacing w:val="-6"/>
          <w:w w:val="105"/>
        </w:rPr>
        <w:t xml:space="preserve"> </w:t>
      </w:r>
      <w:r w:rsidR="001403ED" w:rsidRPr="00857153">
        <w:rPr>
          <w:spacing w:val="-6"/>
          <w:w w:val="105"/>
        </w:rPr>
        <w:t xml:space="preserve">In addition to supporting the currently agreed administrative activities, this custom fee will be used for developing and reporting on the monitoring and results framework, including payment </w:t>
      </w:r>
      <w:r w:rsidR="001403ED" w:rsidRPr="00857153">
        <w:rPr>
          <w:spacing w:val="-6"/>
          <w:w w:val="105"/>
        </w:rPr>
        <w:lastRenderedPageBreak/>
        <w:t>for all travel and logistics of World Bank staff for the purpose, and for payment of all fees, travel and logistics of independent consult</w:t>
      </w:r>
      <w:r w:rsidR="00681FBD" w:rsidRPr="00857153">
        <w:rPr>
          <w:spacing w:val="-6"/>
          <w:w w:val="105"/>
        </w:rPr>
        <w:t>ants contracted for the purpose.</w:t>
      </w:r>
      <w:r w:rsidR="00681FBD" w:rsidRPr="00681FBD">
        <w:t xml:space="preserve"> </w:t>
      </w:r>
    </w:p>
    <w:p w:rsidR="00857153" w:rsidRDefault="00857153" w:rsidP="00857153">
      <w:pPr>
        <w:spacing w:before="120" w:after="120"/>
        <w:rPr>
          <w:b/>
          <w:bCs/>
          <w:spacing w:val="-4"/>
          <w:w w:val="105"/>
        </w:rPr>
      </w:pPr>
    </w:p>
    <w:p w:rsidR="009C098C" w:rsidRPr="00681FBD" w:rsidRDefault="009C098C" w:rsidP="00857153">
      <w:pPr>
        <w:spacing w:before="120" w:after="120"/>
        <w:rPr>
          <w:b/>
          <w:bCs/>
          <w:spacing w:val="-4"/>
          <w:w w:val="105"/>
        </w:rPr>
      </w:pPr>
      <w:r w:rsidRPr="00681FBD">
        <w:rPr>
          <w:b/>
          <w:bCs/>
          <w:spacing w:val="-4"/>
          <w:w w:val="105"/>
        </w:rPr>
        <w:t>Eligible Activities</w:t>
      </w:r>
    </w:p>
    <w:p w:rsidR="009C098C" w:rsidRPr="00681FBD" w:rsidRDefault="009C098C" w:rsidP="00857153">
      <w:pPr>
        <w:spacing w:before="120" w:after="120"/>
        <w:rPr>
          <w:spacing w:val="-4"/>
          <w:w w:val="105"/>
        </w:rPr>
      </w:pPr>
      <w:r w:rsidRPr="00681FBD">
        <w:rPr>
          <w:spacing w:val="-4"/>
          <w:w w:val="105"/>
        </w:rPr>
        <w:t>The work program will include a mix of types of activities, including:</w:t>
      </w:r>
    </w:p>
    <w:p w:rsidR="009C098C" w:rsidRPr="00681FBD" w:rsidRDefault="009C098C" w:rsidP="00857153">
      <w:pPr>
        <w:numPr>
          <w:ilvl w:val="0"/>
          <w:numId w:val="4"/>
        </w:numPr>
        <w:tabs>
          <w:tab w:val="clear" w:pos="360"/>
          <w:tab w:val="num" w:pos="1080"/>
        </w:tabs>
        <w:spacing w:before="120" w:after="120"/>
        <w:ind w:left="720"/>
        <w:rPr>
          <w:spacing w:val="3"/>
          <w:w w:val="105"/>
        </w:rPr>
      </w:pPr>
      <w:r w:rsidRPr="00681FBD">
        <w:rPr>
          <w:spacing w:val="3"/>
          <w:w w:val="105"/>
        </w:rPr>
        <w:t>Bank-executed analytical and advisory assistance</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Bank-executed activities, project appraisal and supervision activities</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Recipient-executed technical assistance including project preparation</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Recipient-executed investments</w:t>
      </w:r>
      <w:r w:rsidR="00857153">
        <w:rPr>
          <w:spacing w:val="3"/>
          <w:w w:val="105"/>
        </w:rPr>
        <w:t>.</w:t>
      </w:r>
    </w:p>
    <w:p w:rsidR="009C098C" w:rsidRPr="00681FBD" w:rsidRDefault="009C098C" w:rsidP="00857153">
      <w:pPr>
        <w:spacing w:before="120" w:after="120"/>
        <w:rPr>
          <w:spacing w:val="-4"/>
          <w:w w:val="105"/>
        </w:rPr>
      </w:pPr>
      <w:r w:rsidRPr="00681FBD">
        <w:rPr>
          <w:spacing w:val="-4"/>
          <w:w w:val="105"/>
        </w:rPr>
        <w:t>Bank-executed grant funds may be used for the following category of expenditures:</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Short term consultant fees</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Contractual services</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Extended term consultants</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Temporary staff costs</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Staff costs (Salary + Benefits + Indirects)</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Staff costs (Salary + Benefits)</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Associated overheads</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Travel Expenses</w:t>
      </w:r>
    </w:p>
    <w:p w:rsidR="00681FBD"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Media and Workshop Costs</w:t>
      </w:r>
    </w:p>
    <w:p w:rsidR="009C098C" w:rsidRPr="00681FBD" w:rsidRDefault="009C098C" w:rsidP="00857153">
      <w:pPr>
        <w:widowControl/>
        <w:kinsoku/>
        <w:autoSpaceDE w:val="0"/>
        <w:autoSpaceDN w:val="0"/>
        <w:adjustRightInd w:val="0"/>
        <w:spacing w:before="120" w:after="120"/>
        <w:rPr>
          <w:spacing w:val="-7"/>
        </w:rPr>
      </w:pPr>
      <w:r w:rsidRPr="00681FBD">
        <w:rPr>
          <w:spacing w:val="-7"/>
        </w:rPr>
        <w:t>Recipient-executed grant funds may be used for the following category of expenditures:</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Consultant services</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Goods and works</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Workshops and training</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Incremental operating costs</w:t>
      </w:r>
      <w:r w:rsidR="00D26465" w:rsidRPr="00857153">
        <w:rPr>
          <w:spacing w:val="3"/>
          <w:w w:val="105"/>
        </w:rPr>
        <w:t>.</w:t>
      </w:r>
    </w:p>
    <w:p w:rsidR="00857153" w:rsidRDefault="00857153" w:rsidP="00857153">
      <w:pPr>
        <w:spacing w:before="120" w:after="120"/>
        <w:rPr>
          <w:b/>
          <w:bCs/>
          <w:spacing w:val="-4"/>
          <w:w w:val="105"/>
        </w:rPr>
      </w:pPr>
    </w:p>
    <w:p w:rsidR="009C098C" w:rsidRPr="00681FBD" w:rsidRDefault="009C098C" w:rsidP="00857153">
      <w:pPr>
        <w:spacing w:before="120" w:after="120"/>
        <w:rPr>
          <w:b/>
          <w:bCs/>
          <w:spacing w:val="-4"/>
          <w:w w:val="105"/>
        </w:rPr>
      </w:pPr>
      <w:r w:rsidRPr="00681FBD">
        <w:rPr>
          <w:b/>
          <w:bCs/>
          <w:spacing w:val="-4"/>
          <w:w w:val="105"/>
        </w:rPr>
        <w:t>Selection Criteria</w:t>
      </w:r>
    </w:p>
    <w:p w:rsidR="009C098C" w:rsidRPr="00681FBD" w:rsidRDefault="009C098C" w:rsidP="00857153">
      <w:pPr>
        <w:tabs>
          <w:tab w:val="left" w:pos="9923"/>
        </w:tabs>
        <w:spacing w:before="120" w:after="120"/>
        <w:ind w:right="49"/>
        <w:rPr>
          <w:spacing w:val="-6"/>
        </w:rPr>
      </w:pPr>
      <w:r w:rsidRPr="00681FBD">
        <w:rPr>
          <w:spacing w:val="-10"/>
        </w:rPr>
        <w:t xml:space="preserve">The funds may be used to support work of benefit to any Bank client country in the South </w:t>
      </w:r>
      <w:r w:rsidRPr="00681FBD">
        <w:rPr>
          <w:spacing w:val="-6"/>
        </w:rPr>
        <w:t>Asia region, through activities in respect of infrastructure, including:</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electricity generation, transmission and distribution</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natural gas transmission and distribution</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piped water and sanitation services</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roads</w:t>
      </w:r>
    </w:p>
    <w:p w:rsidR="009C098C" w:rsidRPr="00857153" w:rsidRDefault="009C098C" w:rsidP="00857153">
      <w:pPr>
        <w:numPr>
          <w:ilvl w:val="0"/>
          <w:numId w:val="4"/>
        </w:numPr>
        <w:tabs>
          <w:tab w:val="clear" w:pos="360"/>
          <w:tab w:val="num" w:pos="1080"/>
        </w:tabs>
        <w:spacing w:before="120" w:after="120"/>
        <w:ind w:left="1134" w:hanging="425"/>
        <w:rPr>
          <w:spacing w:val="3"/>
          <w:w w:val="105"/>
        </w:rPr>
      </w:pPr>
      <w:r w:rsidRPr="00857153">
        <w:rPr>
          <w:spacing w:val="3"/>
          <w:w w:val="105"/>
        </w:rPr>
        <w:t>other transport infrastructure, including airports, ports, railways, and urban mass transit systems</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lastRenderedPageBreak/>
        <w:t>irrigation</w:t>
      </w:r>
    </w:p>
    <w:p w:rsidR="00D26465"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telecommunications</w:t>
      </w:r>
    </w:p>
    <w:p w:rsidR="002D17EC" w:rsidRPr="00857153" w:rsidRDefault="002D17EC" w:rsidP="00857153">
      <w:pPr>
        <w:spacing w:before="120" w:after="120"/>
        <w:ind w:right="49"/>
        <w:jc w:val="both"/>
        <w:rPr>
          <w:spacing w:val="-4"/>
          <w:w w:val="105"/>
        </w:rPr>
      </w:pPr>
      <w:r w:rsidRPr="00857153">
        <w:rPr>
          <w:spacing w:val="-4"/>
          <w:w w:val="105"/>
        </w:rPr>
        <w:t>with specific focus on improving intra</w:t>
      </w:r>
      <w:r w:rsidR="00D26465" w:rsidRPr="00857153">
        <w:rPr>
          <w:spacing w:val="-4"/>
          <w:w w:val="105"/>
        </w:rPr>
        <w:t>-</w:t>
      </w:r>
      <w:r w:rsidRPr="00857153">
        <w:rPr>
          <w:spacing w:val="-4"/>
          <w:w w:val="105"/>
        </w:rPr>
        <w:t>regional trade and investment; facilitating long</w:t>
      </w:r>
      <w:r w:rsidR="00D26465" w:rsidRPr="00857153">
        <w:rPr>
          <w:spacing w:val="-4"/>
          <w:w w:val="105"/>
        </w:rPr>
        <w:t>-</w:t>
      </w:r>
      <w:r w:rsidRPr="00857153">
        <w:rPr>
          <w:spacing w:val="-4"/>
          <w:w w:val="105"/>
        </w:rPr>
        <w:t>term planning and innovations in the area of financing infrastructure investments; and/or implementing public-private partnerships</w:t>
      </w:r>
      <w:r w:rsidR="00D26465" w:rsidRPr="00857153">
        <w:rPr>
          <w:spacing w:val="-4"/>
          <w:w w:val="105"/>
        </w:rPr>
        <w:t>.</w:t>
      </w:r>
    </w:p>
    <w:p w:rsidR="009C098C" w:rsidRPr="00857153" w:rsidRDefault="009C098C" w:rsidP="00857153">
      <w:pPr>
        <w:spacing w:before="120" w:after="120"/>
        <w:ind w:right="49"/>
        <w:jc w:val="both"/>
        <w:rPr>
          <w:spacing w:val="-4"/>
          <w:w w:val="105"/>
        </w:rPr>
      </w:pPr>
      <w:r w:rsidRPr="00857153">
        <w:rPr>
          <w:spacing w:val="-4"/>
          <w:w w:val="105"/>
        </w:rPr>
        <w:t>AusAID and the Bank will agree on a work program in line with the following indicative guidelines:</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analytical activities of regional significance — up to 25 percent of commitments.</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development lending, appraisal and supervision — up to 50 percent.</w:t>
      </w:r>
    </w:p>
    <w:p w:rsidR="009C098C" w:rsidRPr="00857153" w:rsidRDefault="009C098C" w:rsidP="00857153">
      <w:pPr>
        <w:numPr>
          <w:ilvl w:val="0"/>
          <w:numId w:val="4"/>
        </w:numPr>
        <w:tabs>
          <w:tab w:val="clear" w:pos="360"/>
          <w:tab w:val="num" w:pos="1080"/>
        </w:tabs>
        <w:spacing w:before="120" w:after="120"/>
        <w:ind w:left="720"/>
        <w:rPr>
          <w:spacing w:val="3"/>
          <w:w w:val="105"/>
        </w:rPr>
      </w:pPr>
      <w:r w:rsidRPr="00857153">
        <w:rPr>
          <w:spacing w:val="3"/>
          <w:w w:val="105"/>
        </w:rPr>
        <w:t xml:space="preserve">country-specific analytical and policy activities — up to </w:t>
      </w:r>
      <w:r w:rsidR="003C76D4" w:rsidRPr="00857153">
        <w:rPr>
          <w:spacing w:val="3"/>
          <w:w w:val="105"/>
        </w:rPr>
        <w:t xml:space="preserve">25 </w:t>
      </w:r>
      <w:r w:rsidRPr="00857153">
        <w:rPr>
          <w:spacing w:val="3"/>
          <w:w w:val="105"/>
        </w:rPr>
        <w:t>percent.</w:t>
      </w:r>
    </w:p>
    <w:p w:rsidR="009C098C" w:rsidRPr="00857153" w:rsidRDefault="009C098C" w:rsidP="00857153">
      <w:pPr>
        <w:spacing w:before="120" w:after="120"/>
        <w:ind w:right="49"/>
        <w:jc w:val="both"/>
        <w:rPr>
          <w:spacing w:val="-4"/>
          <w:w w:val="105"/>
        </w:rPr>
      </w:pPr>
      <w:r w:rsidRPr="00857153">
        <w:rPr>
          <w:spacing w:val="-4"/>
          <w:w w:val="105"/>
        </w:rPr>
        <w:t>AusAID and the Bank will also agree on a work program in which at least 25 percent of commitments are directed to activities aimed at building capacity in low capacity environments (fragile states and sub-national governments).</w:t>
      </w:r>
    </w:p>
    <w:p w:rsidR="00857153" w:rsidRDefault="00857153" w:rsidP="00857153">
      <w:pPr>
        <w:spacing w:before="120" w:after="120"/>
        <w:rPr>
          <w:b/>
          <w:bCs/>
          <w:spacing w:val="-4"/>
          <w:w w:val="105"/>
        </w:rPr>
      </w:pPr>
    </w:p>
    <w:p w:rsidR="009C098C" w:rsidRPr="00681FBD" w:rsidRDefault="009C098C" w:rsidP="00857153">
      <w:pPr>
        <w:spacing w:before="120" w:after="120"/>
        <w:rPr>
          <w:b/>
          <w:bCs/>
          <w:spacing w:val="-4"/>
          <w:w w:val="105"/>
        </w:rPr>
      </w:pPr>
      <w:r w:rsidRPr="00681FBD">
        <w:rPr>
          <w:b/>
          <w:bCs/>
          <w:spacing w:val="-4"/>
          <w:w w:val="105"/>
        </w:rPr>
        <w:t>Governance Structure</w:t>
      </w:r>
    </w:p>
    <w:p w:rsidR="00681FBD" w:rsidRPr="00857153" w:rsidRDefault="009C098C" w:rsidP="00857153">
      <w:pPr>
        <w:spacing w:before="120" w:after="120"/>
        <w:ind w:right="49"/>
        <w:jc w:val="both"/>
        <w:rPr>
          <w:spacing w:val="-4"/>
          <w:w w:val="105"/>
        </w:rPr>
      </w:pPr>
      <w:r w:rsidRPr="00857153">
        <w:rPr>
          <w:spacing w:val="-4"/>
          <w:w w:val="105"/>
        </w:rPr>
        <w:t xml:space="preserve">The designated Program Manager </w:t>
      </w:r>
      <w:r w:rsidR="001B1854" w:rsidRPr="00857153">
        <w:rPr>
          <w:spacing w:val="-4"/>
          <w:w w:val="105"/>
        </w:rPr>
        <w:t xml:space="preserve">within the Bank, </w:t>
      </w:r>
      <w:r w:rsidRPr="00857153">
        <w:rPr>
          <w:spacing w:val="-4"/>
          <w:w w:val="105"/>
        </w:rPr>
        <w:t xml:space="preserve">will develop the annual work program based on inputs from country and sector management units. The South Asia Sustainable Development Departmental Management Team will provide strategic guidance to the Program Manager in the development of the draft annual work program. </w:t>
      </w:r>
      <w:r w:rsidR="001B1854" w:rsidRPr="00857153">
        <w:rPr>
          <w:spacing w:val="-4"/>
          <w:w w:val="105"/>
        </w:rPr>
        <w:t>T</w:t>
      </w:r>
      <w:r w:rsidRPr="00857153">
        <w:rPr>
          <w:spacing w:val="-4"/>
          <w:w w:val="105"/>
        </w:rPr>
        <w:t>he Director of the South Asia Sustainable Development Department will be responsible for approving activities for inclusion in the list of proposed activities. AusAID will be consulted on the development of the annual work program by the Program Manager. Approval of the annual work program, and any necessary amendment, will be given by exchange of letters/ emails between AusAID and Program Manager on behalf of the SASSD Director.</w:t>
      </w:r>
    </w:p>
    <w:p w:rsidR="009C098C" w:rsidRPr="00857153" w:rsidRDefault="009C098C" w:rsidP="00857153">
      <w:pPr>
        <w:spacing w:before="120" w:after="120"/>
        <w:ind w:right="49"/>
        <w:jc w:val="both"/>
        <w:rPr>
          <w:spacing w:val="-4"/>
          <w:w w:val="105"/>
        </w:rPr>
      </w:pPr>
      <w:r w:rsidRPr="00857153">
        <w:rPr>
          <w:spacing w:val="-4"/>
          <w:w w:val="105"/>
        </w:rPr>
        <w:t>Individual task managers will be assigned to manage each grant-funded activity under the trust fund.</w:t>
      </w:r>
    </w:p>
    <w:p w:rsidR="00857153" w:rsidRDefault="00857153" w:rsidP="00857153">
      <w:pPr>
        <w:spacing w:before="120" w:after="120"/>
        <w:rPr>
          <w:b/>
          <w:bCs/>
          <w:spacing w:val="-6"/>
        </w:rPr>
      </w:pPr>
    </w:p>
    <w:p w:rsidR="009C098C" w:rsidRPr="00681FBD" w:rsidRDefault="009C098C" w:rsidP="00857153">
      <w:pPr>
        <w:spacing w:before="120" w:after="120"/>
        <w:rPr>
          <w:b/>
          <w:bCs/>
          <w:spacing w:val="-6"/>
        </w:rPr>
      </w:pPr>
      <w:r w:rsidRPr="00681FBD">
        <w:rPr>
          <w:b/>
          <w:bCs/>
          <w:spacing w:val="-6"/>
        </w:rPr>
        <w:t>Coordination with AusAID</w:t>
      </w:r>
    </w:p>
    <w:p w:rsidR="009C098C" w:rsidRPr="00857153" w:rsidRDefault="009C098C" w:rsidP="00857153">
      <w:pPr>
        <w:spacing w:before="120" w:after="120"/>
        <w:ind w:right="49"/>
        <w:jc w:val="both"/>
        <w:rPr>
          <w:spacing w:val="-4"/>
          <w:w w:val="105"/>
        </w:rPr>
      </w:pPr>
      <w:r w:rsidRPr="00857153">
        <w:rPr>
          <w:spacing w:val="-4"/>
          <w:w w:val="105"/>
        </w:rPr>
        <w:t>Annual discussions between the Bank and AusAID on the trust fund work program will occur at a time that enables inclusion of activities within annual Bank work programs. The annual discussions will review progress over the past year, and identify areas of focus for the coming year.</w:t>
      </w:r>
    </w:p>
    <w:p w:rsidR="008A7F7D" w:rsidRPr="00681FBD" w:rsidRDefault="008A7F7D" w:rsidP="00681FBD">
      <w:pPr>
        <w:spacing w:before="120" w:after="120"/>
      </w:pPr>
    </w:p>
    <w:sectPr w:rsidR="008A7F7D" w:rsidRPr="00681FBD" w:rsidSect="00857153">
      <w:footerReference w:type="default" r:id="rId9"/>
      <w:pgSz w:w="12240" w:h="15840"/>
      <w:pgMar w:top="1134" w:right="1134" w:bottom="1134" w:left="1134" w:header="720" w:footer="51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153" w:rsidRDefault="00857153" w:rsidP="00857153">
      <w:r>
        <w:separator/>
      </w:r>
    </w:p>
  </w:endnote>
  <w:endnote w:type="continuationSeparator" w:id="0">
    <w:p w:rsidR="00857153" w:rsidRDefault="00857153" w:rsidP="0085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418920"/>
      <w:docPartObj>
        <w:docPartGallery w:val="Page Numbers (Bottom of Page)"/>
        <w:docPartUnique/>
      </w:docPartObj>
    </w:sdtPr>
    <w:sdtEndPr>
      <w:rPr>
        <w:noProof/>
      </w:rPr>
    </w:sdtEndPr>
    <w:sdtContent>
      <w:p w:rsidR="00857153" w:rsidRDefault="00857153">
        <w:pPr>
          <w:pStyle w:val="Footer"/>
          <w:jc w:val="center"/>
        </w:pPr>
        <w:r>
          <w:fldChar w:fldCharType="begin"/>
        </w:r>
        <w:r>
          <w:instrText xml:space="preserve"> PAGE   \* MERGEFORMAT </w:instrText>
        </w:r>
        <w:r>
          <w:fldChar w:fldCharType="separate"/>
        </w:r>
        <w:r w:rsidR="00BE050D">
          <w:rPr>
            <w:noProof/>
          </w:rPr>
          <w:t>1</w:t>
        </w:r>
        <w:r>
          <w:rPr>
            <w:noProof/>
          </w:rPr>
          <w:fldChar w:fldCharType="end"/>
        </w:r>
      </w:p>
    </w:sdtContent>
  </w:sdt>
  <w:p w:rsidR="00857153" w:rsidRDefault="00857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153" w:rsidRDefault="00857153" w:rsidP="00857153">
      <w:r>
        <w:separator/>
      </w:r>
    </w:p>
  </w:footnote>
  <w:footnote w:type="continuationSeparator" w:id="0">
    <w:p w:rsidR="00857153" w:rsidRDefault="00857153" w:rsidP="008571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48F1"/>
    <w:multiLevelType w:val="singleLevel"/>
    <w:tmpl w:val="219DB17A"/>
    <w:lvl w:ilvl="0">
      <w:numFmt w:val="bullet"/>
      <w:lvlText w:val="-"/>
      <w:lvlJc w:val="left"/>
      <w:pPr>
        <w:tabs>
          <w:tab w:val="num" w:pos="360"/>
        </w:tabs>
      </w:pPr>
      <w:rPr>
        <w:rFonts w:ascii="Symbol" w:hAnsi="Symbol" w:cs="Symbol"/>
        <w:snapToGrid/>
        <w:spacing w:val="8"/>
        <w:w w:val="105"/>
        <w:sz w:val="24"/>
        <w:szCs w:val="24"/>
      </w:rPr>
    </w:lvl>
  </w:abstractNum>
  <w:abstractNum w:abstractNumId="1">
    <w:nsid w:val="04F205BF"/>
    <w:multiLevelType w:val="singleLevel"/>
    <w:tmpl w:val="0C8BB6A5"/>
    <w:lvl w:ilvl="0">
      <w:numFmt w:val="bullet"/>
      <w:lvlText w:val="·"/>
      <w:lvlJc w:val="left"/>
      <w:pPr>
        <w:tabs>
          <w:tab w:val="num" w:pos="360"/>
        </w:tabs>
        <w:ind w:left="1728"/>
      </w:pPr>
      <w:rPr>
        <w:rFonts w:ascii="Symbol" w:hAnsi="Symbol" w:cs="Symbol"/>
        <w:snapToGrid/>
        <w:spacing w:val="3"/>
        <w:w w:val="105"/>
        <w:sz w:val="24"/>
        <w:szCs w:val="24"/>
      </w:rPr>
    </w:lvl>
  </w:abstractNum>
  <w:abstractNum w:abstractNumId="2">
    <w:nsid w:val="07B47A97"/>
    <w:multiLevelType w:val="singleLevel"/>
    <w:tmpl w:val="EFAAE168"/>
    <w:lvl w:ilvl="0">
      <w:start w:val="1"/>
      <w:numFmt w:val="lowerRoman"/>
      <w:lvlText w:val="(%1)"/>
      <w:lvlJc w:val="left"/>
      <w:pPr>
        <w:tabs>
          <w:tab w:val="num" w:pos="720"/>
        </w:tabs>
        <w:ind w:left="2880" w:hanging="720"/>
      </w:pPr>
      <w:rPr>
        <w:snapToGrid/>
        <w:spacing w:val="-10"/>
        <w:w w:val="105"/>
        <w:sz w:val="24"/>
        <w:szCs w:val="24"/>
      </w:rPr>
    </w:lvl>
  </w:abstractNum>
  <w:abstractNum w:abstractNumId="3">
    <w:nsid w:val="48B209EA"/>
    <w:multiLevelType w:val="singleLevel"/>
    <w:tmpl w:val="317EB373"/>
    <w:lvl w:ilvl="0">
      <w:start w:val="1"/>
      <w:numFmt w:val="lowerRoman"/>
      <w:lvlText w:val="(%1)"/>
      <w:lvlJc w:val="left"/>
      <w:pPr>
        <w:tabs>
          <w:tab w:val="num" w:pos="720"/>
        </w:tabs>
        <w:ind w:left="2880" w:hanging="720"/>
      </w:pPr>
      <w:rPr>
        <w:snapToGrid/>
        <w:spacing w:val="-10"/>
        <w:w w:val="105"/>
        <w:sz w:val="24"/>
        <w:szCs w:val="24"/>
      </w:rPr>
    </w:lvl>
  </w:abstractNum>
  <w:abstractNum w:abstractNumId="4">
    <w:nsid w:val="756D18A3"/>
    <w:multiLevelType w:val="singleLevel"/>
    <w:tmpl w:val="EFAAE168"/>
    <w:lvl w:ilvl="0">
      <w:start w:val="1"/>
      <w:numFmt w:val="lowerRoman"/>
      <w:lvlText w:val="(%1)"/>
      <w:lvlJc w:val="left"/>
      <w:pPr>
        <w:tabs>
          <w:tab w:val="num" w:pos="720"/>
        </w:tabs>
        <w:ind w:left="2880" w:hanging="720"/>
      </w:pPr>
      <w:rPr>
        <w:snapToGrid/>
        <w:spacing w:val="-10"/>
        <w:w w:val="105"/>
        <w:sz w:val="24"/>
        <w:szCs w:val="24"/>
      </w:rPr>
    </w:lvl>
  </w:abstractNum>
  <w:num w:numId="1">
    <w:abstractNumId w:val="0"/>
  </w:num>
  <w:num w:numId="2">
    <w:abstractNumId w:val="2"/>
  </w:num>
  <w:num w:numId="3">
    <w:abstractNumId w:val="2"/>
    <w:lvlOverride w:ilvl="0">
      <w:lvl w:ilvl="0">
        <w:numFmt w:val="lowerRoman"/>
        <w:lvlText w:val="(%1)"/>
        <w:lvlJc w:val="left"/>
        <w:pPr>
          <w:tabs>
            <w:tab w:val="num" w:pos="720"/>
          </w:tabs>
          <w:ind w:left="2880" w:hanging="720"/>
        </w:pPr>
        <w:rPr>
          <w:i w:val="0"/>
          <w:snapToGrid/>
          <w:spacing w:val="-6"/>
          <w:w w:val="105"/>
          <w:sz w:val="24"/>
          <w:szCs w:val="24"/>
        </w:rPr>
      </w:lvl>
    </w:lvlOverride>
  </w:num>
  <w:num w:numId="4">
    <w:abstractNumId w:val="1"/>
  </w:num>
  <w:num w:numId="5">
    <w:abstractNumId w:val="1"/>
    <w:lvlOverride w:ilvl="0">
      <w:lvl w:ilvl="0">
        <w:numFmt w:val="bullet"/>
        <w:lvlText w:val="·"/>
        <w:lvlJc w:val="left"/>
        <w:pPr>
          <w:tabs>
            <w:tab w:val="num" w:pos="432"/>
          </w:tabs>
          <w:ind w:left="1728"/>
        </w:pPr>
        <w:rPr>
          <w:rFonts w:ascii="Symbol" w:hAnsi="Symbol" w:cs="Symbol"/>
          <w:snapToGrid/>
          <w:spacing w:val="8"/>
          <w:w w:val="105"/>
          <w:sz w:val="24"/>
          <w:szCs w:val="24"/>
        </w:rPr>
      </w:lvl>
    </w:lvlOverride>
  </w:num>
  <w:num w:numId="6">
    <w:abstractNumId w:val="1"/>
    <w:lvlOverride w:ilvl="0">
      <w:lvl w:ilvl="0">
        <w:numFmt w:val="bullet"/>
        <w:lvlText w:val="·"/>
        <w:lvlJc w:val="left"/>
        <w:pPr>
          <w:tabs>
            <w:tab w:val="num" w:pos="432"/>
          </w:tabs>
          <w:ind w:left="1728"/>
        </w:pPr>
        <w:rPr>
          <w:rFonts w:ascii="Symbol" w:hAnsi="Symbol" w:cs="Symbol"/>
          <w:snapToGrid/>
          <w:spacing w:val="10"/>
          <w:sz w:val="27"/>
          <w:szCs w:val="27"/>
        </w:rPr>
      </w:lvl>
    </w:lvlOverride>
  </w:num>
  <w:num w:numId="7">
    <w:abstractNumId w:val="1"/>
    <w:lvlOverride w:ilvl="0">
      <w:lvl w:ilvl="0">
        <w:numFmt w:val="bullet"/>
        <w:lvlText w:val="·"/>
        <w:lvlJc w:val="left"/>
        <w:pPr>
          <w:tabs>
            <w:tab w:val="num" w:pos="360"/>
          </w:tabs>
          <w:ind w:left="1800"/>
        </w:pPr>
        <w:rPr>
          <w:rFonts w:ascii="Symbol" w:hAnsi="Symbol" w:cs="Symbol"/>
          <w:snapToGrid/>
          <w:spacing w:val="1"/>
          <w:sz w:val="27"/>
          <w:szCs w:val="27"/>
        </w:rPr>
      </w:lvl>
    </w:lvlOverride>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098C"/>
    <w:rsid w:val="0000139C"/>
    <w:rsid w:val="00002B20"/>
    <w:rsid w:val="00004172"/>
    <w:rsid w:val="0000737F"/>
    <w:rsid w:val="0000772C"/>
    <w:rsid w:val="00010890"/>
    <w:rsid w:val="0001206E"/>
    <w:rsid w:val="000122F2"/>
    <w:rsid w:val="00012A70"/>
    <w:rsid w:val="00013D29"/>
    <w:rsid w:val="00013E7C"/>
    <w:rsid w:val="00014354"/>
    <w:rsid w:val="00015092"/>
    <w:rsid w:val="0001725B"/>
    <w:rsid w:val="000175D9"/>
    <w:rsid w:val="00017E3E"/>
    <w:rsid w:val="000206CF"/>
    <w:rsid w:val="0002277C"/>
    <w:rsid w:val="000275D3"/>
    <w:rsid w:val="00027CE4"/>
    <w:rsid w:val="00027D4C"/>
    <w:rsid w:val="000304B9"/>
    <w:rsid w:val="00030F1D"/>
    <w:rsid w:val="00031A72"/>
    <w:rsid w:val="00031DB5"/>
    <w:rsid w:val="00032B4E"/>
    <w:rsid w:val="00035543"/>
    <w:rsid w:val="00035CF5"/>
    <w:rsid w:val="00036E94"/>
    <w:rsid w:val="00040558"/>
    <w:rsid w:val="000415FC"/>
    <w:rsid w:val="000434E6"/>
    <w:rsid w:val="000445A0"/>
    <w:rsid w:val="00055345"/>
    <w:rsid w:val="00055738"/>
    <w:rsid w:val="0005580E"/>
    <w:rsid w:val="00057535"/>
    <w:rsid w:val="00062095"/>
    <w:rsid w:val="000648A6"/>
    <w:rsid w:val="00066AFD"/>
    <w:rsid w:val="0007034F"/>
    <w:rsid w:val="00070576"/>
    <w:rsid w:val="0007305A"/>
    <w:rsid w:val="00073EC6"/>
    <w:rsid w:val="00081893"/>
    <w:rsid w:val="00084FAD"/>
    <w:rsid w:val="00085FBB"/>
    <w:rsid w:val="00087230"/>
    <w:rsid w:val="000875D0"/>
    <w:rsid w:val="000876F4"/>
    <w:rsid w:val="00090A76"/>
    <w:rsid w:val="0009138E"/>
    <w:rsid w:val="00092442"/>
    <w:rsid w:val="00094E36"/>
    <w:rsid w:val="000961E3"/>
    <w:rsid w:val="0009686A"/>
    <w:rsid w:val="00097199"/>
    <w:rsid w:val="000972CE"/>
    <w:rsid w:val="000A0719"/>
    <w:rsid w:val="000A20B9"/>
    <w:rsid w:val="000A20E2"/>
    <w:rsid w:val="000A31D7"/>
    <w:rsid w:val="000A37CE"/>
    <w:rsid w:val="000A49F2"/>
    <w:rsid w:val="000A6AF1"/>
    <w:rsid w:val="000B1AD4"/>
    <w:rsid w:val="000B1F38"/>
    <w:rsid w:val="000B2321"/>
    <w:rsid w:val="000B39CD"/>
    <w:rsid w:val="000B6970"/>
    <w:rsid w:val="000C0FF5"/>
    <w:rsid w:val="000C17E1"/>
    <w:rsid w:val="000C1F09"/>
    <w:rsid w:val="000C2C7D"/>
    <w:rsid w:val="000C2F7A"/>
    <w:rsid w:val="000C3A23"/>
    <w:rsid w:val="000C5237"/>
    <w:rsid w:val="000C62B0"/>
    <w:rsid w:val="000C6837"/>
    <w:rsid w:val="000C7093"/>
    <w:rsid w:val="000D1DFF"/>
    <w:rsid w:val="000D2935"/>
    <w:rsid w:val="000D297A"/>
    <w:rsid w:val="000D2AFE"/>
    <w:rsid w:val="000D4884"/>
    <w:rsid w:val="000D6D9D"/>
    <w:rsid w:val="000D6DF5"/>
    <w:rsid w:val="000D70E1"/>
    <w:rsid w:val="000E00ED"/>
    <w:rsid w:val="000E05EA"/>
    <w:rsid w:val="000E41EE"/>
    <w:rsid w:val="000E4282"/>
    <w:rsid w:val="000E47A3"/>
    <w:rsid w:val="000E48C9"/>
    <w:rsid w:val="000E6042"/>
    <w:rsid w:val="000F1C54"/>
    <w:rsid w:val="000F1CD0"/>
    <w:rsid w:val="000F3F29"/>
    <w:rsid w:val="000F49C5"/>
    <w:rsid w:val="000F4B80"/>
    <w:rsid w:val="000F52F1"/>
    <w:rsid w:val="000F5C5E"/>
    <w:rsid w:val="000F635E"/>
    <w:rsid w:val="000F76F7"/>
    <w:rsid w:val="000F78AE"/>
    <w:rsid w:val="001004DB"/>
    <w:rsid w:val="00100D49"/>
    <w:rsid w:val="00101BBB"/>
    <w:rsid w:val="00102937"/>
    <w:rsid w:val="00103232"/>
    <w:rsid w:val="00103BFD"/>
    <w:rsid w:val="0010454C"/>
    <w:rsid w:val="00104B21"/>
    <w:rsid w:val="00105FCC"/>
    <w:rsid w:val="0010785E"/>
    <w:rsid w:val="0011058A"/>
    <w:rsid w:val="00111D63"/>
    <w:rsid w:val="00113702"/>
    <w:rsid w:val="00113AEE"/>
    <w:rsid w:val="0011414D"/>
    <w:rsid w:val="001147C8"/>
    <w:rsid w:val="001157E2"/>
    <w:rsid w:val="00117085"/>
    <w:rsid w:val="00121BC2"/>
    <w:rsid w:val="001254B2"/>
    <w:rsid w:val="001259E4"/>
    <w:rsid w:val="00125A46"/>
    <w:rsid w:val="00125BFE"/>
    <w:rsid w:val="001268A2"/>
    <w:rsid w:val="00131418"/>
    <w:rsid w:val="00132D27"/>
    <w:rsid w:val="001343F3"/>
    <w:rsid w:val="0013527D"/>
    <w:rsid w:val="00135319"/>
    <w:rsid w:val="00135917"/>
    <w:rsid w:val="00135BA1"/>
    <w:rsid w:val="00137AA3"/>
    <w:rsid w:val="00137D37"/>
    <w:rsid w:val="00137D82"/>
    <w:rsid w:val="001403ED"/>
    <w:rsid w:val="001428B7"/>
    <w:rsid w:val="00145A86"/>
    <w:rsid w:val="0014727D"/>
    <w:rsid w:val="0015058F"/>
    <w:rsid w:val="00151588"/>
    <w:rsid w:val="0015190B"/>
    <w:rsid w:val="001526B0"/>
    <w:rsid w:val="00152C7F"/>
    <w:rsid w:val="00153CD6"/>
    <w:rsid w:val="00154750"/>
    <w:rsid w:val="00155C8C"/>
    <w:rsid w:val="00155EC4"/>
    <w:rsid w:val="001564B7"/>
    <w:rsid w:val="001567F7"/>
    <w:rsid w:val="001615CB"/>
    <w:rsid w:val="00162B70"/>
    <w:rsid w:val="00163A64"/>
    <w:rsid w:val="00164140"/>
    <w:rsid w:val="00165961"/>
    <w:rsid w:val="00165A1A"/>
    <w:rsid w:val="0016609E"/>
    <w:rsid w:val="001660A5"/>
    <w:rsid w:val="00167DF2"/>
    <w:rsid w:val="001712A6"/>
    <w:rsid w:val="00172EF5"/>
    <w:rsid w:val="00174BEA"/>
    <w:rsid w:val="001763AB"/>
    <w:rsid w:val="0018059C"/>
    <w:rsid w:val="00182DAF"/>
    <w:rsid w:val="0018447D"/>
    <w:rsid w:val="00184B22"/>
    <w:rsid w:val="00185B3C"/>
    <w:rsid w:val="00186595"/>
    <w:rsid w:val="001867C1"/>
    <w:rsid w:val="00186A46"/>
    <w:rsid w:val="001928C3"/>
    <w:rsid w:val="00193229"/>
    <w:rsid w:val="001A0096"/>
    <w:rsid w:val="001A2A24"/>
    <w:rsid w:val="001A2D61"/>
    <w:rsid w:val="001A4524"/>
    <w:rsid w:val="001A47FA"/>
    <w:rsid w:val="001B1311"/>
    <w:rsid w:val="001B1854"/>
    <w:rsid w:val="001B2265"/>
    <w:rsid w:val="001B3068"/>
    <w:rsid w:val="001B35F2"/>
    <w:rsid w:val="001B3D57"/>
    <w:rsid w:val="001B4422"/>
    <w:rsid w:val="001B58B8"/>
    <w:rsid w:val="001B59DE"/>
    <w:rsid w:val="001B6F69"/>
    <w:rsid w:val="001B7319"/>
    <w:rsid w:val="001C1361"/>
    <w:rsid w:val="001C1528"/>
    <w:rsid w:val="001C3213"/>
    <w:rsid w:val="001C353C"/>
    <w:rsid w:val="001C454C"/>
    <w:rsid w:val="001C5073"/>
    <w:rsid w:val="001C5B37"/>
    <w:rsid w:val="001C6295"/>
    <w:rsid w:val="001D08F6"/>
    <w:rsid w:val="001D1B00"/>
    <w:rsid w:val="001D3079"/>
    <w:rsid w:val="001D403E"/>
    <w:rsid w:val="001D43F9"/>
    <w:rsid w:val="001D4DA5"/>
    <w:rsid w:val="001D4E19"/>
    <w:rsid w:val="001D7EB7"/>
    <w:rsid w:val="001E0463"/>
    <w:rsid w:val="001E0AA6"/>
    <w:rsid w:val="001E10BB"/>
    <w:rsid w:val="001E241C"/>
    <w:rsid w:val="001E2675"/>
    <w:rsid w:val="001E2BDB"/>
    <w:rsid w:val="001E426B"/>
    <w:rsid w:val="001E4FFB"/>
    <w:rsid w:val="001E5CFB"/>
    <w:rsid w:val="001E6754"/>
    <w:rsid w:val="001F0AF0"/>
    <w:rsid w:val="001F0B0C"/>
    <w:rsid w:val="001F0C0A"/>
    <w:rsid w:val="001F1437"/>
    <w:rsid w:val="001F2E58"/>
    <w:rsid w:val="001F2FAD"/>
    <w:rsid w:val="001F4F02"/>
    <w:rsid w:val="001F70A3"/>
    <w:rsid w:val="002009E1"/>
    <w:rsid w:val="00200DA5"/>
    <w:rsid w:val="00201CF6"/>
    <w:rsid w:val="00202148"/>
    <w:rsid w:val="00202341"/>
    <w:rsid w:val="00202B7D"/>
    <w:rsid w:val="00203E05"/>
    <w:rsid w:val="00205469"/>
    <w:rsid w:val="00210437"/>
    <w:rsid w:val="002104D0"/>
    <w:rsid w:val="0021161A"/>
    <w:rsid w:val="00212C80"/>
    <w:rsid w:val="00212FF5"/>
    <w:rsid w:val="0021431D"/>
    <w:rsid w:val="002143CF"/>
    <w:rsid w:val="00215531"/>
    <w:rsid w:val="002229D9"/>
    <w:rsid w:val="00223979"/>
    <w:rsid w:val="00227503"/>
    <w:rsid w:val="00232850"/>
    <w:rsid w:val="002331F9"/>
    <w:rsid w:val="00233728"/>
    <w:rsid w:val="0023598A"/>
    <w:rsid w:val="00236106"/>
    <w:rsid w:val="0023618C"/>
    <w:rsid w:val="0023746B"/>
    <w:rsid w:val="00240106"/>
    <w:rsid w:val="0024056B"/>
    <w:rsid w:val="00241FF8"/>
    <w:rsid w:val="00242287"/>
    <w:rsid w:val="002446D6"/>
    <w:rsid w:val="00244C4A"/>
    <w:rsid w:val="002453B2"/>
    <w:rsid w:val="00245F3E"/>
    <w:rsid w:val="00246232"/>
    <w:rsid w:val="00246910"/>
    <w:rsid w:val="00250100"/>
    <w:rsid w:val="00250D27"/>
    <w:rsid w:val="00250D88"/>
    <w:rsid w:val="002521AB"/>
    <w:rsid w:val="00252DF8"/>
    <w:rsid w:val="00252F53"/>
    <w:rsid w:val="00252FE0"/>
    <w:rsid w:val="0025525C"/>
    <w:rsid w:val="00260AB6"/>
    <w:rsid w:val="002610DD"/>
    <w:rsid w:val="00262F18"/>
    <w:rsid w:val="00263257"/>
    <w:rsid w:val="0026472A"/>
    <w:rsid w:val="0026593D"/>
    <w:rsid w:val="002663E9"/>
    <w:rsid w:val="00270563"/>
    <w:rsid w:val="002708A5"/>
    <w:rsid w:val="00270BE2"/>
    <w:rsid w:val="002711BC"/>
    <w:rsid w:val="0027255E"/>
    <w:rsid w:val="00272570"/>
    <w:rsid w:val="002726E6"/>
    <w:rsid w:val="00276F5D"/>
    <w:rsid w:val="0028271B"/>
    <w:rsid w:val="0028271F"/>
    <w:rsid w:val="00282F8C"/>
    <w:rsid w:val="00285B81"/>
    <w:rsid w:val="00287135"/>
    <w:rsid w:val="00287B89"/>
    <w:rsid w:val="002910A2"/>
    <w:rsid w:val="0029198A"/>
    <w:rsid w:val="00291F38"/>
    <w:rsid w:val="0029371C"/>
    <w:rsid w:val="00294C30"/>
    <w:rsid w:val="0029585B"/>
    <w:rsid w:val="002A26DC"/>
    <w:rsid w:val="002A2D7D"/>
    <w:rsid w:val="002A398E"/>
    <w:rsid w:val="002A45C2"/>
    <w:rsid w:val="002A49A3"/>
    <w:rsid w:val="002A502C"/>
    <w:rsid w:val="002A50AD"/>
    <w:rsid w:val="002A6E52"/>
    <w:rsid w:val="002B0AC6"/>
    <w:rsid w:val="002B1132"/>
    <w:rsid w:val="002B37E0"/>
    <w:rsid w:val="002B53C1"/>
    <w:rsid w:val="002B69AB"/>
    <w:rsid w:val="002C1942"/>
    <w:rsid w:val="002C1B91"/>
    <w:rsid w:val="002C3485"/>
    <w:rsid w:val="002C4A9A"/>
    <w:rsid w:val="002C4C29"/>
    <w:rsid w:val="002C6350"/>
    <w:rsid w:val="002C6356"/>
    <w:rsid w:val="002C698E"/>
    <w:rsid w:val="002D0D35"/>
    <w:rsid w:val="002D17EC"/>
    <w:rsid w:val="002D24BB"/>
    <w:rsid w:val="002D2B01"/>
    <w:rsid w:val="002E4B21"/>
    <w:rsid w:val="002E54B5"/>
    <w:rsid w:val="002E73CF"/>
    <w:rsid w:val="002E7B35"/>
    <w:rsid w:val="002F2A39"/>
    <w:rsid w:val="002F3AE1"/>
    <w:rsid w:val="002F4684"/>
    <w:rsid w:val="002F4E2F"/>
    <w:rsid w:val="002F78C2"/>
    <w:rsid w:val="003003C2"/>
    <w:rsid w:val="0030694D"/>
    <w:rsid w:val="00306C54"/>
    <w:rsid w:val="00313EA0"/>
    <w:rsid w:val="003146B2"/>
    <w:rsid w:val="0031734B"/>
    <w:rsid w:val="0031751A"/>
    <w:rsid w:val="00317812"/>
    <w:rsid w:val="00317E6C"/>
    <w:rsid w:val="00323968"/>
    <w:rsid w:val="003239DB"/>
    <w:rsid w:val="003241E5"/>
    <w:rsid w:val="003260A5"/>
    <w:rsid w:val="00327211"/>
    <w:rsid w:val="00330E70"/>
    <w:rsid w:val="003332D4"/>
    <w:rsid w:val="00333A56"/>
    <w:rsid w:val="0033615A"/>
    <w:rsid w:val="00336589"/>
    <w:rsid w:val="00337C3C"/>
    <w:rsid w:val="00340BB7"/>
    <w:rsid w:val="00341109"/>
    <w:rsid w:val="00342077"/>
    <w:rsid w:val="00343D31"/>
    <w:rsid w:val="00344E24"/>
    <w:rsid w:val="00352107"/>
    <w:rsid w:val="003532B6"/>
    <w:rsid w:val="0035372C"/>
    <w:rsid w:val="00356CCE"/>
    <w:rsid w:val="00356EE4"/>
    <w:rsid w:val="00360102"/>
    <w:rsid w:val="00360121"/>
    <w:rsid w:val="003610B7"/>
    <w:rsid w:val="00361928"/>
    <w:rsid w:val="00361D58"/>
    <w:rsid w:val="003620DC"/>
    <w:rsid w:val="003629A5"/>
    <w:rsid w:val="00363217"/>
    <w:rsid w:val="00363B3B"/>
    <w:rsid w:val="0036607F"/>
    <w:rsid w:val="003714ED"/>
    <w:rsid w:val="00371728"/>
    <w:rsid w:val="003717EE"/>
    <w:rsid w:val="0037294D"/>
    <w:rsid w:val="00375535"/>
    <w:rsid w:val="00376DCF"/>
    <w:rsid w:val="003773CE"/>
    <w:rsid w:val="00377993"/>
    <w:rsid w:val="00380392"/>
    <w:rsid w:val="00380996"/>
    <w:rsid w:val="0038154D"/>
    <w:rsid w:val="00384085"/>
    <w:rsid w:val="003840AA"/>
    <w:rsid w:val="003861A6"/>
    <w:rsid w:val="00387A33"/>
    <w:rsid w:val="00387D2B"/>
    <w:rsid w:val="0039001F"/>
    <w:rsid w:val="00393CD9"/>
    <w:rsid w:val="00394356"/>
    <w:rsid w:val="0039490A"/>
    <w:rsid w:val="00395A6B"/>
    <w:rsid w:val="00396E07"/>
    <w:rsid w:val="00396F8F"/>
    <w:rsid w:val="003A3FD6"/>
    <w:rsid w:val="003A46D7"/>
    <w:rsid w:val="003A6794"/>
    <w:rsid w:val="003A7599"/>
    <w:rsid w:val="003A77C3"/>
    <w:rsid w:val="003B04F1"/>
    <w:rsid w:val="003B06C8"/>
    <w:rsid w:val="003B105B"/>
    <w:rsid w:val="003B1297"/>
    <w:rsid w:val="003B2C6A"/>
    <w:rsid w:val="003B3151"/>
    <w:rsid w:val="003B3794"/>
    <w:rsid w:val="003B679F"/>
    <w:rsid w:val="003B7482"/>
    <w:rsid w:val="003C1704"/>
    <w:rsid w:val="003C2487"/>
    <w:rsid w:val="003C2C68"/>
    <w:rsid w:val="003C2DEB"/>
    <w:rsid w:val="003C345F"/>
    <w:rsid w:val="003C6102"/>
    <w:rsid w:val="003C6201"/>
    <w:rsid w:val="003C6229"/>
    <w:rsid w:val="003C758C"/>
    <w:rsid w:val="003C75BF"/>
    <w:rsid w:val="003C76D4"/>
    <w:rsid w:val="003D1969"/>
    <w:rsid w:val="003D51E3"/>
    <w:rsid w:val="003E5D8C"/>
    <w:rsid w:val="003E5DCA"/>
    <w:rsid w:val="003F4756"/>
    <w:rsid w:val="003F479F"/>
    <w:rsid w:val="003F518C"/>
    <w:rsid w:val="003F54AE"/>
    <w:rsid w:val="003F5900"/>
    <w:rsid w:val="003F5F98"/>
    <w:rsid w:val="003F67B8"/>
    <w:rsid w:val="003F75BF"/>
    <w:rsid w:val="003F7F8C"/>
    <w:rsid w:val="00400BBC"/>
    <w:rsid w:val="00401BD2"/>
    <w:rsid w:val="004057AE"/>
    <w:rsid w:val="00410385"/>
    <w:rsid w:val="00411F26"/>
    <w:rsid w:val="004130AF"/>
    <w:rsid w:val="004131AD"/>
    <w:rsid w:val="00413A90"/>
    <w:rsid w:val="00415F6F"/>
    <w:rsid w:val="00417D96"/>
    <w:rsid w:val="00420350"/>
    <w:rsid w:val="00420AE4"/>
    <w:rsid w:val="00421D14"/>
    <w:rsid w:val="004220F6"/>
    <w:rsid w:val="00424703"/>
    <w:rsid w:val="00424E64"/>
    <w:rsid w:val="00426469"/>
    <w:rsid w:val="0042666B"/>
    <w:rsid w:val="00427336"/>
    <w:rsid w:val="00427F59"/>
    <w:rsid w:val="00432DF9"/>
    <w:rsid w:val="00434B73"/>
    <w:rsid w:val="00436B23"/>
    <w:rsid w:val="00440F93"/>
    <w:rsid w:val="00441C52"/>
    <w:rsid w:val="00444FCE"/>
    <w:rsid w:val="00446270"/>
    <w:rsid w:val="00446497"/>
    <w:rsid w:val="004465DB"/>
    <w:rsid w:val="00446D33"/>
    <w:rsid w:val="00447382"/>
    <w:rsid w:val="00450187"/>
    <w:rsid w:val="00451FA9"/>
    <w:rsid w:val="004524B8"/>
    <w:rsid w:val="004526FA"/>
    <w:rsid w:val="00452A5C"/>
    <w:rsid w:val="004565AD"/>
    <w:rsid w:val="00460928"/>
    <w:rsid w:val="00460B37"/>
    <w:rsid w:val="00463051"/>
    <w:rsid w:val="00463226"/>
    <w:rsid w:val="004646D9"/>
    <w:rsid w:val="004650BE"/>
    <w:rsid w:val="00465833"/>
    <w:rsid w:val="0046766F"/>
    <w:rsid w:val="004678B0"/>
    <w:rsid w:val="004716F2"/>
    <w:rsid w:val="004720F3"/>
    <w:rsid w:val="00472575"/>
    <w:rsid w:val="00473655"/>
    <w:rsid w:val="00473BCD"/>
    <w:rsid w:val="00476879"/>
    <w:rsid w:val="00476E81"/>
    <w:rsid w:val="00476EC6"/>
    <w:rsid w:val="00480E43"/>
    <w:rsid w:val="00481705"/>
    <w:rsid w:val="00481ED5"/>
    <w:rsid w:val="00483C1C"/>
    <w:rsid w:val="004859BB"/>
    <w:rsid w:val="0048739A"/>
    <w:rsid w:val="00490449"/>
    <w:rsid w:val="00491754"/>
    <w:rsid w:val="00492122"/>
    <w:rsid w:val="00492F86"/>
    <w:rsid w:val="004942E0"/>
    <w:rsid w:val="004944FE"/>
    <w:rsid w:val="00496174"/>
    <w:rsid w:val="004A02A0"/>
    <w:rsid w:val="004A1290"/>
    <w:rsid w:val="004A2E44"/>
    <w:rsid w:val="004A37F1"/>
    <w:rsid w:val="004A5373"/>
    <w:rsid w:val="004A7B92"/>
    <w:rsid w:val="004B0222"/>
    <w:rsid w:val="004B0612"/>
    <w:rsid w:val="004B3F72"/>
    <w:rsid w:val="004B4320"/>
    <w:rsid w:val="004B45C1"/>
    <w:rsid w:val="004B4D50"/>
    <w:rsid w:val="004B5B65"/>
    <w:rsid w:val="004C010A"/>
    <w:rsid w:val="004C3147"/>
    <w:rsid w:val="004C6365"/>
    <w:rsid w:val="004C6809"/>
    <w:rsid w:val="004D230E"/>
    <w:rsid w:val="004D244C"/>
    <w:rsid w:val="004D376F"/>
    <w:rsid w:val="004D3CF6"/>
    <w:rsid w:val="004D61F4"/>
    <w:rsid w:val="004D707F"/>
    <w:rsid w:val="004E00E1"/>
    <w:rsid w:val="004E0343"/>
    <w:rsid w:val="004E2A28"/>
    <w:rsid w:val="004E4469"/>
    <w:rsid w:val="004E661A"/>
    <w:rsid w:val="004E66E0"/>
    <w:rsid w:val="004F071D"/>
    <w:rsid w:val="004F153A"/>
    <w:rsid w:val="004F2A62"/>
    <w:rsid w:val="004F3CF4"/>
    <w:rsid w:val="004F55A7"/>
    <w:rsid w:val="004F697C"/>
    <w:rsid w:val="004F6F60"/>
    <w:rsid w:val="004F7F42"/>
    <w:rsid w:val="00500A82"/>
    <w:rsid w:val="005010F5"/>
    <w:rsid w:val="0050125A"/>
    <w:rsid w:val="0050262B"/>
    <w:rsid w:val="00503B60"/>
    <w:rsid w:val="00505E2C"/>
    <w:rsid w:val="00511357"/>
    <w:rsid w:val="0051150A"/>
    <w:rsid w:val="00511C0B"/>
    <w:rsid w:val="0051250C"/>
    <w:rsid w:val="005136D1"/>
    <w:rsid w:val="005139B1"/>
    <w:rsid w:val="005149BF"/>
    <w:rsid w:val="0052039D"/>
    <w:rsid w:val="00521B53"/>
    <w:rsid w:val="00524353"/>
    <w:rsid w:val="005251AA"/>
    <w:rsid w:val="005266B8"/>
    <w:rsid w:val="00526E36"/>
    <w:rsid w:val="00527D60"/>
    <w:rsid w:val="00530014"/>
    <w:rsid w:val="0053278A"/>
    <w:rsid w:val="005335ED"/>
    <w:rsid w:val="0053601F"/>
    <w:rsid w:val="005368CF"/>
    <w:rsid w:val="00536B6A"/>
    <w:rsid w:val="00544EAD"/>
    <w:rsid w:val="00546EE8"/>
    <w:rsid w:val="00550F96"/>
    <w:rsid w:val="005513CF"/>
    <w:rsid w:val="00551564"/>
    <w:rsid w:val="00560037"/>
    <w:rsid w:val="0056260E"/>
    <w:rsid w:val="00563A95"/>
    <w:rsid w:val="00565D61"/>
    <w:rsid w:val="005668CE"/>
    <w:rsid w:val="00566D8E"/>
    <w:rsid w:val="00576140"/>
    <w:rsid w:val="005762D9"/>
    <w:rsid w:val="00576B17"/>
    <w:rsid w:val="005808DA"/>
    <w:rsid w:val="00581A7B"/>
    <w:rsid w:val="00581BB3"/>
    <w:rsid w:val="00581CAA"/>
    <w:rsid w:val="00581D60"/>
    <w:rsid w:val="00584EEE"/>
    <w:rsid w:val="00585128"/>
    <w:rsid w:val="00585A22"/>
    <w:rsid w:val="00590418"/>
    <w:rsid w:val="005933C8"/>
    <w:rsid w:val="00593589"/>
    <w:rsid w:val="005967CE"/>
    <w:rsid w:val="00597677"/>
    <w:rsid w:val="005A104C"/>
    <w:rsid w:val="005A14E0"/>
    <w:rsid w:val="005A1AA0"/>
    <w:rsid w:val="005A1B05"/>
    <w:rsid w:val="005A1DD8"/>
    <w:rsid w:val="005A34B4"/>
    <w:rsid w:val="005A4855"/>
    <w:rsid w:val="005A509F"/>
    <w:rsid w:val="005A6E50"/>
    <w:rsid w:val="005B01CE"/>
    <w:rsid w:val="005B0681"/>
    <w:rsid w:val="005B3241"/>
    <w:rsid w:val="005B5255"/>
    <w:rsid w:val="005C02B4"/>
    <w:rsid w:val="005C04AE"/>
    <w:rsid w:val="005C0A75"/>
    <w:rsid w:val="005C1063"/>
    <w:rsid w:val="005C1662"/>
    <w:rsid w:val="005C32F1"/>
    <w:rsid w:val="005C4B81"/>
    <w:rsid w:val="005C6646"/>
    <w:rsid w:val="005C7538"/>
    <w:rsid w:val="005C7AE4"/>
    <w:rsid w:val="005D28D6"/>
    <w:rsid w:val="005D2CD0"/>
    <w:rsid w:val="005D2D21"/>
    <w:rsid w:val="005D3339"/>
    <w:rsid w:val="005D365F"/>
    <w:rsid w:val="005D38BB"/>
    <w:rsid w:val="005D3C6E"/>
    <w:rsid w:val="005D4C34"/>
    <w:rsid w:val="005D4C97"/>
    <w:rsid w:val="005D60DB"/>
    <w:rsid w:val="005D634D"/>
    <w:rsid w:val="005D746A"/>
    <w:rsid w:val="005D7F8D"/>
    <w:rsid w:val="005E1E78"/>
    <w:rsid w:val="005E3019"/>
    <w:rsid w:val="005E5BCD"/>
    <w:rsid w:val="005E60DA"/>
    <w:rsid w:val="005E6428"/>
    <w:rsid w:val="005E6EDD"/>
    <w:rsid w:val="005E70AD"/>
    <w:rsid w:val="005E78A5"/>
    <w:rsid w:val="005F144E"/>
    <w:rsid w:val="005F2389"/>
    <w:rsid w:val="005F2540"/>
    <w:rsid w:val="005F3A62"/>
    <w:rsid w:val="005F4988"/>
    <w:rsid w:val="005F5F67"/>
    <w:rsid w:val="005F65E2"/>
    <w:rsid w:val="006023E8"/>
    <w:rsid w:val="006026D0"/>
    <w:rsid w:val="00607CD9"/>
    <w:rsid w:val="006106D8"/>
    <w:rsid w:val="00610A23"/>
    <w:rsid w:val="00611DA9"/>
    <w:rsid w:val="00612052"/>
    <w:rsid w:val="00612380"/>
    <w:rsid w:val="00612447"/>
    <w:rsid w:val="0061287B"/>
    <w:rsid w:val="006128FC"/>
    <w:rsid w:val="0061380F"/>
    <w:rsid w:val="00613E45"/>
    <w:rsid w:val="00614A61"/>
    <w:rsid w:val="00617313"/>
    <w:rsid w:val="006217E3"/>
    <w:rsid w:val="00621BDC"/>
    <w:rsid w:val="0062320A"/>
    <w:rsid w:val="0062566E"/>
    <w:rsid w:val="00627154"/>
    <w:rsid w:val="006276E9"/>
    <w:rsid w:val="00627DC5"/>
    <w:rsid w:val="0063020B"/>
    <w:rsid w:val="006337B5"/>
    <w:rsid w:val="00633CA1"/>
    <w:rsid w:val="006348F1"/>
    <w:rsid w:val="00635C28"/>
    <w:rsid w:val="00636CFC"/>
    <w:rsid w:val="0063739D"/>
    <w:rsid w:val="00637CA0"/>
    <w:rsid w:val="0064643A"/>
    <w:rsid w:val="00647926"/>
    <w:rsid w:val="00650315"/>
    <w:rsid w:val="00652C0D"/>
    <w:rsid w:val="006540DB"/>
    <w:rsid w:val="0065596F"/>
    <w:rsid w:val="00656CB9"/>
    <w:rsid w:val="00657373"/>
    <w:rsid w:val="00657F0B"/>
    <w:rsid w:val="00663DC5"/>
    <w:rsid w:val="00663FE5"/>
    <w:rsid w:val="006659F7"/>
    <w:rsid w:val="0066734D"/>
    <w:rsid w:val="00672185"/>
    <w:rsid w:val="00673953"/>
    <w:rsid w:val="00673A08"/>
    <w:rsid w:val="00674B83"/>
    <w:rsid w:val="00674D87"/>
    <w:rsid w:val="00675643"/>
    <w:rsid w:val="0067640E"/>
    <w:rsid w:val="00676FFD"/>
    <w:rsid w:val="00680CF9"/>
    <w:rsid w:val="006810DA"/>
    <w:rsid w:val="00681FBD"/>
    <w:rsid w:val="00683165"/>
    <w:rsid w:val="00685A56"/>
    <w:rsid w:val="00685CE2"/>
    <w:rsid w:val="00695AB5"/>
    <w:rsid w:val="00695ADD"/>
    <w:rsid w:val="0069627E"/>
    <w:rsid w:val="006963F3"/>
    <w:rsid w:val="006A06BF"/>
    <w:rsid w:val="006A135A"/>
    <w:rsid w:val="006A1AB8"/>
    <w:rsid w:val="006A38C4"/>
    <w:rsid w:val="006A44DE"/>
    <w:rsid w:val="006A4646"/>
    <w:rsid w:val="006A51E9"/>
    <w:rsid w:val="006A51FE"/>
    <w:rsid w:val="006B27A4"/>
    <w:rsid w:val="006B5504"/>
    <w:rsid w:val="006B5527"/>
    <w:rsid w:val="006B5E9A"/>
    <w:rsid w:val="006C1377"/>
    <w:rsid w:val="006C1640"/>
    <w:rsid w:val="006C23B6"/>
    <w:rsid w:val="006C2564"/>
    <w:rsid w:val="006C2D1A"/>
    <w:rsid w:val="006C5B33"/>
    <w:rsid w:val="006C6147"/>
    <w:rsid w:val="006C6BAC"/>
    <w:rsid w:val="006D1B53"/>
    <w:rsid w:val="006D42BE"/>
    <w:rsid w:val="006D4657"/>
    <w:rsid w:val="006D59D3"/>
    <w:rsid w:val="006D6B17"/>
    <w:rsid w:val="006D6C83"/>
    <w:rsid w:val="006D71FC"/>
    <w:rsid w:val="006E4B47"/>
    <w:rsid w:val="006E76F0"/>
    <w:rsid w:val="006F0EEC"/>
    <w:rsid w:val="006F155B"/>
    <w:rsid w:val="006F3483"/>
    <w:rsid w:val="006F3D45"/>
    <w:rsid w:val="006F4DE2"/>
    <w:rsid w:val="006F578B"/>
    <w:rsid w:val="006F7444"/>
    <w:rsid w:val="00700045"/>
    <w:rsid w:val="007009D4"/>
    <w:rsid w:val="00700C07"/>
    <w:rsid w:val="00700E60"/>
    <w:rsid w:val="00701B1E"/>
    <w:rsid w:val="00702ABD"/>
    <w:rsid w:val="007036EE"/>
    <w:rsid w:val="00703A91"/>
    <w:rsid w:val="00703F4F"/>
    <w:rsid w:val="007041F4"/>
    <w:rsid w:val="00704FE0"/>
    <w:rsid w:val="007069A1"/>
    <w:rsid w:val="00710461"/>
    <w:rsid w:val="007137F0"/>
    <w:rsid w:val="00713C6A"/>
    <w:rsid w:val="0071496D"/>
    <w:rsid w:val="007149E8"/>
    <w:rsid w:val="00717387"/>
    <w:rsid w:val="00720044"/>
    <w:rsid w:val="0072123C"/>
    <w:rsid w:val="0072278D"/>
    <w:rsid w:val="00722D11"/>
    <w:rsid w:val="00722E4F"/>
    <w:rsid w:val="00724AB5"/>
    <w:rsid w:val="00724DF7"/>
    <w:rsid w:val="00726F4E"/>
    <w:rsid w:val="0072712B"/>
    <w:rsid w:val="00730A16"/>
    <w:rsid w:val="007325AA"/>
    <w:rsid w:val="00733C67"/>
    <w:rsid w:val="007342A6"/>
    <w:rsid w:val="00735528"/>
    <w:rsid w:val="00736577"/>
    <w:rsid w:val="007365E0"/>
    <w:rsid w:val="00737B42"/>
    <w:rsid w:val="00742450"/>
    <w:rsid w:val="00742D70"/>
    <w:rsid w:val="00743E3F"/>
    <w:rsid w:val="00746FF4"/>
    <w:rsid w:val="00751BBE"/>
    <w:rsid w:val="0075366E"/>
    <w:rsid w:val="00755CDA"/>
    <w:rsid w:val="00755ED3"/>
    <w:rsid w:val="007606B6"/>
    <w:rsid w:val="00761E7D"/>
    <w:rsid w:val="007647B3"/>
    <w:rsid w:val="00764820"/>
    <w:rsid w:val="0076513C"/>
    <w:rsid w:val="0076522D"/>
    <w:rsid w:val="007653FB"/>
    <w:rsid w:val="0076638D"/>
    <w:rsid w:val="00771821"/>
    <w:rsid w:val="00772016"/>
    <w:rsid w:val="00772A1A"/>
    <w:rsid w:val="00786130"/>
    <w:rsid w:val="00790C39"/>
    <w:rsid w:val="007915CA"/>
    <w:rsid w:val="00793965"/>
    <w:rsid w:val="00794683"/>
    <w:rsid w:val="007948BC"/>
    <w:rsid w:val="00795FAF"/>
    <w:rsid w:val="007973B2"/>
    <w:rsid w:val="00797F85"/>
    <w:rsid w:val="007A17CE"/>
    <w:rsid w:val="007A489F"/>
    <w:rsid w:val="007A7EA0"/>
    <w:rsid w:val="007B0AA0"/>
    <w:rsid w:val="007B15CF"/>
    <w:rsid w:val="007B1CA0"/>
    <w:rsid w:val="007B3534"/>
    <w:rsid w:val="007B3E57"/>
    <w:rsid w:val="007B511B"/>
    <w:rsid w:val="007B6F59"/>
    <w:rsid w:val="007B7391"/>
    <w:rsid w:val="007B77C2"/>
    <w:rsid w:val="007C11B9"/>
    <w:rsid w:val="007C1E12"/>
    <w:rsid w:val="007C26D6"/>
    <w:rsid w:val="007C3314"/>
    <w:rsid w:val="007C37AE"/>
    <w:rsid w:val="007C6D1E"/>
    <w:rsid w:val="007D1102"/>
    <w:rsid w:val="007D226E"/>
    <w:rsid w:val="007D35D9"/>
    <w:rsid w:val="007D6E1E"/>
    <w:rsid w:val="007D7EEC"/>
    <w:rsid w:val="007E1462"/>
    <w:rsid w:val="007E1EE5"/>
    <w:rsid w:val="007E2706"/>
    <w:rsid w:val="007E3041"/>
    <w:rsid w:val="007E4F43"/>
    <w:rsid w:val="007E6D0F"/>
    <w:rsid w:val="007E79D8"/>
    <w:rsid w:val="007E7B66"/>
    <w:rsid w:val="007F06FD"/>
    <w:rsid w:val="007F0793"/>
    <w:rsid w:val="007F3931"/>
    <w:rsid w:val="007F3F50"/>
    <w:rsid w:val="007F7F71"/>
    <w:rsid w:val="0080109A"/>
    <w:rsid w:val="00802A4D"/>
    <w:rsid w:val="0081064C"/>
    <w:rsid w:val="00811712"/>
    <w:rsid w:val="008122DD"/>
    <w:rsid w:val="00813A0E"/>
    <w:rsid w:val="00813C2B"/>
    <w:rsid w:val="008141B7"/>
    <w:rsid w:val="00814C79"/>
    <w:rsid w:val="00817164"/>
    <w:rsid w:val="0081774E"/>
    <w:rsid w:val="00820354"/>
    <w:rsid w:val="00822457"/>
    <w:rsid w:val="008228B8"/>
    <w:rsid w:val="00822A7F"/>
    <w:rsid w:val="00822CDC"/>
    <w:rsid w:val="00824BBF"/>
    <w:rsid w:val="00826688"/>
    <w:rsid w:val="00826B0B"/>
    <w:rsid w:val="00831E16"/>
    <w:rsid w:val="00832778"/>
    <w:rsid w:val="00832E5A"/>
    <w:rsid w:val="0083529C"/>
    <w:rsid w:val="008418FC"/>
    <w:rsid w:val="00845768"/>
    <w:rsid w:val="00845B13"/>
    <w:rsid w:val="008465B4"/>
    <w:rsid w:val="00847A2A"/>
    <w:rsid w:val="00850851"/>
    <w:rsid w:val="00851C0B"/>
    <w:rsid w:val="00852C75"/>
    <w:rsid w:val="00854B4B"/>
    <w:rsid w:val="00856A15"/>
    <w:rsid w:val="00857153"/>
    <w:rsid w:val="00861AAF"/>
    <w:rsid w:val="00862E35"/>
    <w:rsid w:val="00863F33"/>
    <w:rsid w:val="00876445"/>
    <w:rsid w:val="00877A39"/>
    <w:rsid w:val="0088079D"/>
    <w:rsid w:val="00880B4F"/>
    <w:rsid w:val="00880DDF"/>
    <w:rsid w:val="008813C9"/>
    <w:rsid w:val="00883555"/>
    <w:rsid w:val="008851E3"/>
    <w:rsid w:val="00885D8E"/>
    <w:rsid w:val="00886238"/>
    <w:rsid w:val="00886D34"/>
    <w:rsid w:val="00887259"/>
    <w:rsid w:val="0089020D"/>
    <w:rsid w:val="00890477"/>
    <w:rsid w:val="00891AF8"/>
    <w:rsid w:val="00892E02"/>
    <w:rsid w:val="008A1005"/>
    <w:rsid w:val="008A1E38"/>
    <w:rsid w:val="008A28A0"/>
    <w:rsid w:val="008A4713"/>
    <w:rsid w:val="008A4DE2"/>
    <w:rsid w:val="008A5BFF"/>
    <w:rsid w:val="008A635D"/>
    <w:rsid w:val="008A6443"/>
    <w:rsid w:val="008A7928"/>
    <w:rsid w:val="008A7F7D"/>
    <w:rsid w:val="008B02CD"/>
    <w:rsid w:val="008B12F8"/>
    <w:rsid w:val="008B3E29"/>
    <w:rsid w:val="008B3F8A"/>
    <w:rsid w:val="008B4251"/>
    <w:rsid w:val="008B48A4"/>
    <w:rsid w:val="008B55F8"/>
    <w:rsid w:val="008B7A25"/>
    <w:rsid w:val="008C1032"/>
    <w:rsid w:val="008C211A"/>
    <w:rsid w:val="008C49BE"/>
    <w:rsid w:val="008C6978"/>
    <w:rsid w:val="008C7399"/>
    <w:rsid w:val="008D213E"/>
    <w:rsid w:val="008D2EF9"/>
    <w:rsid w:val="008D49C0"/>
    <w:rsid w:val="008D4F01"/>
    <w:rsid w:val="008D50DA"/>
    <w:rsid w:val="008D71C8"/>
    <w:rsid w:val="008D7654"/>
    <w:rsid w:val="008D7B96"/>
    <w:rsid w:val="008E1AD9"/>
    <w:rsid w:val="008E2752"/>
    <w:rsid w:val="008E41AE"/>
    <w:rsid w:val="008E453C"/>
    <w:rsid w:val="008E484D"/>
    <w:rsid w:val="008E4D68"/>
    <w:rsid w:val="008E6A4D"/>
    <w:rsid w:val="008E7007"/>
    <w:rsid w:val="008F1276"/>
    <w:rsid w:val="008F4316"/>
    <w:rsid w:val="008F4643"/>
    <w:rsid w:val="008F4BB6"/>
    <w:rsid w:val="008F5B84"/>
    <w:rsid w:val="008F75C5"/>
    <w:rsid w:val="009019C0"/>
    <w:rsid w:val="009034CF"/>
    <w:rsid w:val="009051BB"/>
    <w:rsid w:val="00905867"/>
    <w:rsid w:val="00905DC2"/>
    <w:rsid w:val="00907F5D"/>
    <w:rsid w:val="009139E3"/>
    <w:rsid w:val="00913B68"/>
    <w:rsid w:val="00913F40"/>
    <w:rsid w:val="00914787"/>
    <w:rsid w:val="0091484C"/>
    <w:rsid w:val="00914EE9"/>
    <w:rsid w:val="00915991"/>
    <w:rsid w:val="00915C86"/>
    <w:rsid w:val="0091637E"/>
    <w:rsid w:val="0091646B"/>
    <w:rsid w:val="00916D93"/>
    <w:rsid w:val="0091785A"/>
    <w:rsid w:val="00917E16"/>
    <w:rsid w:val="00920CB2"/>
    <w:rsid w:val="00923694"/>
    <w:rsid w:val="00923C8F"/>
    <w:rsid w:val="00925BCD"/>
    <w:rsid w:val="0092772C"/>
    <w:rsid w:val="00930937"/>
    <w:rsid w:val="00930E35"/>
    <w:rsid w:val="00931656"/>
    <w:rsid w:val="00931EA6"/>
    <w:rsid w:val="00932A55"/>
    <w:rsid w:val="00933150"/>
    <w:rsid w:val="0093596A"/>
    <w:rsid w:val="009361CC"/>
    <w:rsid w:val="0094019E"/>
    <w:rsid w:val="00940729"/>
    <w:rsid w:val="0094165F"/>
    <w:rsid w:val="009445A2"/>
    <w:rsid w:val="009454A6"/>
    <w:rsid w:val="0094637E"/>
    <w:rsid w:val="009467AE"/>
    <w:rsid w:val="0095070D"/>
    <w:rsid w:val="00951F8C"/>
    <w:rsid w:val="00953BCF"/>
    <w:rsid w:val="00954E7C"/>
    <w:rsid w:val="00955A8F"/>
    <w:rsid w:val="0095638C"/>
    <w:rsid w:val="0095655B"/>
    <w:rsid w:val="00956A01"/>
    <w:rsid w:val="00956AD2"/>
    <w:rsid w:val="0095705C"/>
    <w:rsid w:val="00957944"/>
    <w:rsid w:val="00957E29"/>
    <w:rsid w:val="00960000"/>
    <w:rsid w:val="00960E61"/>
    <w:rsid w:val="0096214F"/>
    <w:rsid w:val="009624A0"/>
    <w:rsid w:val="0096301C"/>
    <w:rsid w:val="0096303A"/>
    <w:rsid w:val="00963DC3"/>
    <w:rsid w:val="00965F42"/>
    <w:rsid w:val="00966509"/>
    <w:rsid w:val="00966CDB"/>
    <w:rsid w:val="00970F84"/>
    <w:rsid w:val="00971A79"/>
    <w:rsid w:val="00973654"/>
    <w:rsid w:val="00974E5A"/>
    <w:rsid w:val="00976190"/>
    <w:rsid w:val="0097782B"/>
    <w:rsid w:val="00977C23"/>
    <w:rsid w:val="009810BC"/>
    <w:rsid w:val="0098122B"/>
    <w:rsid w:val="00982C9C"/>
    <w:rsid w:val="009859F5"/>
    <w:rsid w:val="00985BD6"/>
    <w:rsid w:val="00985D67"/>
    <w:rsid w:val="00992E20"/>
    <w:rsid w:val="00994B9D"/>
    <w:rsid w:val="00994C99"/>
    <w:rsid w:val="00995704"/>
    <w:rsid w:val="009964B6"/>
    <w:rsid w:val="0099736B"/>
    <w:rsid w:val="0099747E"/>
    <w:rsid w:val="0099785E"/>
    <w:rsid w:val="009A1EA6"/>
    <w:rsid w:val="009A7726"/>
    <w:rsid w:val="009A7C13"/>
    <w:rsid w:val="009B381A"/>
    <w:rsid w:val="009B7467"/>
    <w:rsid w:val="009C06BE"/>
    <w:rsid w:val="009C098C"/>
    <w:rsid w:val="009C19D3"/>
    <w:rsid w:val="009C1B09"/>
    <w:rsid w:val="009C2C93"/>
    <w:rsid w:val="009C3998"/>
    <w:rsid w:val="009C5071"/>
    <w:rsid w:val="009C7AED"/>
    <w:rsid w:val="009D1273"/>
    <w:rsid w:val="009D1E40"/>
    <w:rsid w:val="009D2143"/>
    <w:rsid w:val="009D2175"/>
    <w:rsid w:val="009D2229"/>
    <w:rsid w:val="009D24D8"/>
    <w:rsid w:val="009D2ABF"/>
    <w:rsid w:val="009D4557"/>
    <w:rsid w:val="009D464F"/>
    <w:rsid w:val="009D5CB9"/>
    <w:rsid w:val="009D6D78"/>
    <w:rsid w:val="009E0C76"/>
    <w:rsid w:val="009E4475"/>
    <w:rsid w:val="009E54EE"/>
    <w:rsid w:val="009E666D"/>
    <w:rsid w:val="009E6992"/>
    <w:rsid w:val="009E6FB8"/>
    <w:rsid w:val="009E7088"/>
    <w:rsid w:val="009E74F0"/>
    <w:rsid w:val="009F1E74"/>
    <w:rsid w:val="009F2280"/>
    <w:rsid w:val="009F22F2"/>
    <w:rsid w:val="009F6230"/>
    <w:rsid w:val="009F6903"/>
    <w:rsid w:val="009F7FB8"/>
    <w:rsid w:val="00A0035A"/>
    <w:rsid w:val="00A02CD3"/>
    <w:rsid w:val="00A05D55"/>
    <w:rsid w:val="00A12E19"/>
    <w:rsid w:val="00A1314C"/>
    <w:rsid w:val="00A16D7D"/>
    <w:rsid w:val="00A16FED"/>
    <w:rsid w:val="00A17431"/>
    <w:rsid w:val="00A20A47"/>
    <w:rsid w:val="00A2215D"/>
    <w:rsid w:val="00A22467"/>
    <w:rsid w:val="00A23349"/>
    <w:rsid w:val="00A2370F"/>
    <w:rsid w:val="00A24F31"/>
    <w:rsid w:val="00A252A8"/>
    <w:rsid w:val="00A321F1"/>
    <w:rsid w:val="00A37318"/>
    <w:rsid w:val="00A40B6D"/>
    <w:rsid w:val="00A41B3B"/>
    <w:rsid w:val="00A41C6B"/>
    <w:rsid w:val="00A424D7"/>
    <w:rsid w:val="00A42B79"/>
    <w:rsid w:val="00A42EB6"/>
    <w:rsid w:val="00A436DF"/>
    <w:rsid w:val="00A43DEC"/>
    <w:rsid w:val="00A44E15"/>
    <w:rsid w:val="00A45086"/>
    <w:rsid w:val="00A45320"/>
    <w:rsid w:val="00A47984"/>
    <w:rsid w:val="00A5018D"/>
    <w:rsid w:val="00A526C4"/>
    <w:rsid w:val="00A52AF9"/>
    <w:rsid w:val="00A54025"/>
    <w:rsid w:val="00A55BE4"/>
    <w:rsid w:val="00A62313"/>
    <w:rsid w:val="00A629A0"/>
    <w:rsid w:val="00A63040"/>
    <w:rsid w:val="00A634B0"/>
    <w:rsid w:val="00A672BA"/>
    <w:rsid w:val="00A67809"/>
    <w:rsid w:val="00A71703"/>
    <w:rsid w:val="00A745D8"/>
    <w:rsid w:val="00A7749F"/>
    <w:rsid w:val="00A7779F"/>
    <w:rsid w:val="00A77A78"/>
    <w:rsid w:val="00A77B4E"/>
    <w:rsid w:val="00A80399"/>
    <w:rsid w:val="00A805B0"/>
    <w:rsid w:val="00A80C66"/>
    <w:rsid w:val="00A82CCB"/>
    <w:rsid w:val="00A83A7E"/>
    <w:rsid w:val="00A84C96"/>
    <w:rsid w:val="00A84D6D"/>
    <w:rsid w:val="00A85BAF"/>
    <w:rsid w:val="00A86C00"/>
    <w:rsid w:val="00A87C7E"/>
    <w:rsid w:val="00A90563"/>
    <w:rsid w:val="00A91C4F"/>
    <w:rsid w:val="00A9341B"/>
    <w:rsid w:val="00A944A9"/>
    <w:rsid w:val="00A94E15"/>
    <w:rsid w:val="00A9727A"/>
    <w:rsid w:val="00A97610"/>
    <w:rsid w:val="00A977F7"/>
    <w:rsid w:val="00AA19AD"/>
    <w:rsid w:val="00AA3783"/>
    <w:rsid w:val="00AA52F0"/>
    <w:rsid w:val="00AA56FA"/>
    <w:rsid w:val="00AA67E8"/>
    <w:rsid w:val="00AA7225"/>
    <w:rsid w:val="00AA7D04"/>
    <w:rsid w:val="00AB2292"/>
    <w:rsid w:val="00AB2FB6"/>
    <w:rsid w:val="00AB4978"/>
    <w:rsid w:val="00AB55E1"/>
    <w:rsid w:val="00AB6C48"/>
    <w:rsid w:val="00AB742D"/>
    <w:rsid w:val="00AC0AA8"/>
    <w:rsid w:val="00AC14B0"/>
    <w:rsid w:val="00AC748F"/>
    <w:rsid w:val="00AC78A8"/>
    <w:rsid w:val="00AC7C9F"/>
    <w:rsid w:val="00AC7E04"/>
    <w:rsid w:val="00AD0EA1"/>
    <w:rsid w:val="00AD105D"/>
    <w:rsid w:val="00AD157D"/>
    <w:rsid w:val="00AD17CE"/>
    <w:rsid w:val="00AD45BF"/>
    <w:rsid w:val="00AD7B04"/>
    <w:rsid w:val="00AE050A"/>
    <w:rsid w:val="00AE36DC"/>
    <w:rsid w:val="00AE3E4F"/>
    <w:rsid w:val="00AE46CC"/>
    <w:rsid w:val="00AE4896"/>
    <w:rsid w:val="00AE504C"/>
    <w:rsid w:val="00AF1F0C"/>
    <w:rsid w:val="00AF1F30"/>
    <w:rsid w:val="00AF223E"/>
    <w:rsid w:val="00AF2C08"/>
    <w:rsid w:val="00AF4AFB"/>
    <w:rsid w:val="00AF5159"/>
    <w:rsid w:val="00AF69DA"/>
    <w:rsid w:val="00AF70DA"/>
    <w:rsid w:val="00AF716A"/>
    <w:rsid w:val="00B0268C"/>
    <w:rsid w:val="00B02A82"/>
    <w:rsid w:val="00B05592"/>
    <w:rsid w:val="00B05EA6"/>
    <w:rsid w:val="00B05F19"/>
    <w:rsid w:val="00B063FE"/>
    <w:rsid w:val="00B0668D"/>
    <w:rsid w:val="00B06A79"/>
    <w:rsid w:val="00B06F48"/>
    <w:rsid w:val="00B10124"/>
    <w:rsid w:val="00B10C7D"/>
    <w:rsid w:val="00B11636"/>
    <w:rsid w:val="00B11654"/>
    <w:rsid w:val="00B11B9D"/>
    <w:rsid w:val="00B136AB"/>
    <w:rsid w:val="00B147C1"/>
    <w:rsid w:val="00B14954"/>
    <w:rsid w:val="00B16459"/>
    <w:rsid w:val="00B1687C"/>
    <w:rsid w:val="00B16E2B"/>
    <w:rsid w:val="00B17FD4"/>
    <w:rsid w:val="00B20387"/>
    <w:rsid w:val="00B22ACE"/>
    <w:rsid w:val="00B23A29"/>
    <w:rsid w:val="00B30161"/>
    <w:rsid w:val="00B31B9B"/>
    <w:rsid w:val="00B37A39"/>
    <w:rsid w:val="00B37EC6"/>
    <w:rsid w:val="00B42E86"/>
    <w:rsid w:val="00B4671F"/>
    <w:rsid w:val="00B46E20"/>
    <w:rsid w:val="00B524FF"/>
    <w:rsid w:val="00B53C14"/>
    <w:rsid w:val="00B55ABE"/>
    <w:rsid w:val="00B56A6C"/>
    <w:rsid w:val="00B57EE4"/>
    <w:rsid w:val="00B62D77"/>
    <w:rsid w:val="00B63088"/>
    <w:rsid w:val="00B6538B"/>
    <w:rsid w:val="00B65B38"/>
    <w:rsid w:val="00B66509"/>
    <w:rsid w:val="00B66916"/>
    <w:rsid w:val="00B6716E"/>
    <w:rsid w:val="00B67694"/>
    <w:rsid w:val="00B70D26"/>
    <w:rsid w:val="00B72353"/>
    <w:rsid w:val="00B7274D"/>
    <w:rsid w:val="00B7521F"/>
    <w:rsid w:val="00B752FC"/>
    <w:rsid w:val="00B8044F"/>
    <w:rsid w:val="00B8094B"/>
    <w:rsid w:val="00B814FF"/>
    <w:rsid w:val="00B821CB"/>
    <w:rsid w:val="00B84298"/>
    <w:rsid w:val="00B845FB"/>
    <w:rsid w:val="00B84B85"/>
    <w:rsid w:val="00B85232"/>
    <w:rsid w:val="00B8639D"/>
    <w:rsid w:val="00B8734F"/>
    <w:rsid w:val="00B911ED"/>
    <w:rsid w:val="00B91FBF"/>
    <w:rsid w:val="00B94AA1"/>
    <w:rsid w:val="00B94B5D"/>
    <w:rsid w:val="00B969F4"/>
    <w:rsid w:val="00BA2107"/>
    <w:rsid w:val="00BA3986"/>
    <w:rsid w:val="00BA5A4E"/>
    <w:rsid w:val="00BA6D11"/>
    <w:rsid w:val="00BB3624"/>
    <w:rsid w:val="00BB4DF7"/>
    <w:rsid w:val="00BB69F1"/>
    <w:rsid w:val="00BC03B6"/>
    <w:rsid w:val="00BC119A"/>
    <w:rsid w:val="00BC208E"/>
    <w:rsid w:val="00BC246C"/>
    <w:rsid w:val="00BC2FDC"/>
    <w:rsid w:val="00BC50AA"/>
    <w:rsid w:val="00BC54DE"/>
    <w:rsid w:val="00BC77DC"/>
    <w:rsid w:val="00BD021C"/>
    <w:rsid w:val="00BD05AE"/>
    <w:rsid w:val="00BD1C6E"/>
    <w:rsid w:val="00BE050D"/>
    <w:rsid w:val="00BE0585"/>
    <w:rsid w:val="00BE07DF"/>
    <w:rsid w:val="00BE253B"/>
    <w:rsid w:val="00BE3287"/>
    <w:rsid w:val="00BE3C62"/>
    <w:rsid w:val="00BE4DAF"/>
    <w:rsid w:val="00BE50B8"/>
    <w:rsid w:val="00BE58EC"/>
    <w:rsid w:val="00BE6601"/>
    <w:rsid w:val="00BF04C9"/>
    <w:rsid w:val="00BF1A69"/>
    <w:rsid w:val="00BF32C2"/>
    <w:rsid w:val="00BF5528"/>
    <w:rsid w:val="00BF60B3"/>
    <w:rsid w:val="00BF6AB6"/>
    <w:rsid w:val="00BF7662"/>
    <w:rsid w:val="00C01FCC"/>
    <w:rsid w:val="00C035A2"/>
    <w:rsid w:val="00C077D9"/>
    <w:rsid w:val="00C07CCA"/>
    <w:rsid w:val="00C1114C"/>
    <w:rsid w:val="00C16AB4"/>
    <w:rsid w:val="00C21622"/>
    <w:rsid w:val="00C233C6"/>
    <w:rsid w:val="00C238EB"/>
    <w:rsid w:val="00C25636"/>
    <w:rsid w:val="00C25C7A"/>
    <w:rsid w:val="00C3060E"/>
    <w:rsid w:val="00C32E3C"/>
    <w:rsid w:val="00C33717"/>
    <w:rsid w:val="00C3396A"/>
    <w:rsid w:val="00C34127"/>
    <w:rsid w:val="00C343BD"/>
    <w:rsid w:val="00C34E35"/>
    <w:rsid w:val="00C372B1"/>
    <w:rsid w:val="00C3739F"/>
    <w:rsid w:val="00C42DF2"/>
    <w:rsid w:val="00C4379F"/>
    <w:rsid w:val="00C4581D"/>
    <w:rsid w:val="00C45F94"/>
    <w:rsid w:val="00C522E2"/>
    <w:rsid w:val="00C5419B"/>
    <w:rsid w:val="00C5490A"/>
    <w:rsid w:val="00C56853"/>
    <w:rsid w:val="00C57E1F"/>
    <w:rsid w:val="00C60819"/>
    <w:rsid w:val="00C6126B"/>
    <w:rsid w:val="00C61825"/>
    <w:rsid w:val="00C6189D"/>
    <w:rsid w:val="00C6327C"/>
    <w:rsid w:val="00C639E1"/>
    <w:rsid w:val="00C63AA4"/>
    <w:rsid w:val="00C63DF4"/>
    <w:rsid w:val="00C6716E"/>
    <w:rsid w:val="00C72BC6"/>
    <w:rsid w:val="00C756A7"/>
    <w:rsid w:val="00C76323"/>
    <w:rsid w:val="00C7696B"/>
    <w:rsid w:val="00C77098"/>
    <w:rsid w:val="00C81D23"/>
    <w:rsid w:val="00C837E5"/>
    <w:rsid w:val="00C83C04"/>
    <w:rsid w:val="00C849D5"/>
    <w:rsid w:val="00C84A9C"/>
    <w:rsid w:val="00C84F39"/>
    <w:rsid w:val="00C86B92"/>
    <w:rsid w:val="00C86FAE"/>
    <w:rsid w:val="00C903BA"/>
    <w:rsid w:val="00C9182E"/>
    <w:rsid w:val="00C934D4"/>
    <w:rsid w:val="00C95FD8"/>
    <w:rsid w:val="00C978D6"/>
    <w:rsid w:val="00C97C21"/>
    <w:rsid w:val="00CA19C1"/>
    <w:rsid w:val="00CA300B"/>
    <w:rsid w:val="00CA3660"/>
    <w:rsid w:val="00CA3DA3"/>
    <w:rsid w:val="00CA732F"/>
    <w:rsid w:val="00CB4BB2"/>
    <w:rsid w:val="00CB55D9"/>
    <w:rsid w:val="00CB5F38"/>
    <w:rsid w:val="00CB73C6"/>
    <w:rsid w:val="00CC054E"/>
    <w:rsid w:val="00CC2983"/>
    <w:rsid w:val="00CC33D2"/>
    <w:rsid w:val="00CC3B7A"/>
    <w:rsid w:val="00CC3D8F"/>
    <w:rsid w:val="00CC46DA"/>
    <w:rsid w:val="00CC5224"/>
    <w:rsid w:val="00CC69D5"/>
    <w:rsid w:val="00CD0AAE"/>
    <w:rsid w:val="00CD2DF0"/>
    <w:rsid w:val="00CD2E5E"/>
    <w:rsid w:val="00CD3266"/>
    <w:rsid w:val="00CD3EEF"/>
    <w:rsid w:val="00CD4B81"/>
    <w:rsid w:val="00CD572E"/>
    <w:rsid w:val="00CD611F"/>
    <w:rsid w:val="00CE1A1E"/>
    <w:rsid w:val="00CE2859"/>
    <w:rsid w:val="00CE46E9"/>
    <w:rsid w:val="00CE52BF"/>
    <w:rsid w:val="00CF22A4"/>
    <w:rsid w:val="00CF72F0"/>
    <w:rsid w:val="00CF7BC5"/>
    <w:rsid w:val="00D0024E"/>
    <w:rsid w:val="00D004A8"/>
    <w:rsid w:val="00D02233"/>
    <w:rsid w:val="00D048F2"/>
    <w:rsid w:val="00D0585A"/>
    <w:rsid w:val="00D069A2"/>
    <w:rsid w:val="00D07D84"/>
    <w:rsid w:val="00D1100B"/>
    <w:rsid w:val="00D12F8B"/>
    <w:rsid w:val="00D13D63"/>
    <w:rsid w:val="00D143AA"/>
    <w:rsid w:val="00D170AC"/>
    <w:rsid w:val="00D202D7"/>
    <w:rsid w:val="00D20DE3"/>
    <w:rsid w:val="00D21543"/>
    <w:rsid w:val="00D21A02"/>
    <w:rsid w:val="00D21A05"/>
    <w:rsid w:val="00D21AB9"/>
    <w:rsid w:val="00D22058"/>
    <w:rsid w:val="00D220E5"/>
    <w:rsid w:val="00D22D52"/>
    <w:rsid w:val="00D244C7"/>
    <w:rsid w:val="00D251C3"/>
    <w:rsid w:val="00D25D79"/>
    <w:rsid w:val="00D26465"/>
    <w:rsid w:val="00D27731"/>
    <w:rsid w:val="00D31EBC"/>
    <w:rsid w:val="00D35981"/>
    <w:rsid w:val="00D35C65"/>
    <w:rsid w:val="00D37598"/>
    <w:rsid w:val="00D40738"/>
    <w:rsid w:val="00D41983"/>
    <w:rsid w:val="00D42E2E"/>
    <w:rsid w:val="00D45C1C"/>
    <w:rsid w:val="00D45C80"/>
    <w:rsid w:val="00D51199"/>
    <w:rsid w:val="00D51EE1"/>
    <w:rsid w:val="00D52ABC"/>
    <w:rsid w:val="00D52F27"/>
    <w:rsid w:val="00D536DA"/>
    <w:rsid w:val="00D53872"/>
    <w:rsid w:val="00D55BF5"/>
    <w:rsid w:val="00D55D25"/>
    <w:rsid w:val="00D560BF"/>
    <w:rsid w:val="00D57364"/>
    <w:rsid w:val="00D57CE8"/>
    <w:rsid w:val="00D60A3D"/>
    <w:rsid w:val="00D6107B"/>
    <w:rsid w:val="00D6153A"/>
    <w:rsid w:val="00D644D9"/>
    <w:rsid w:val="00D65087"/>
    <w:rsid w:val="00D654F4"/>
    <w:rsid w:val="00D71CA0"/>
    <w:rsid w:val="00D73468"/>
    <w:rsid w:val="00D73A0E"/>
    <w:rsid w:val="00D74014"/>
    <w:rsid w:val="00D75C7A"/>
    <w:rsid w:val="00D76B01"/>
    <w:rsid w:val="00D77A27"/>
    <w:rsid w:val="00D77F82"/>
    <w:rsid w:val="00D81E5B"/>
    <w:rsid w:val="00D83959"/>
    <w:rsid w:val="00D851D6"/>
    <w:rsid w:val="00D8563C"/>
    <w:rsid w:val="00D86552"/>
    <w:rsid w:val="00D9263B"/>
    <w:rsid w:val="00D9391F"/>
    <w:rsid w:val="00D93CC6"/>
    <w:rsid w:val="00D97908"/>
    <w:rsid w:val="00DA15D6"/>
    <w:rsid w:val="00DA460B"/>
    <w:rsid w:val="00DA4F72"/>
    <w:rsid w:val="00DB170C"/>
    <w:rsid w:val="00DB2768"/>
    <w:rsid w:val="00DB2AC8"/>
    <w:rsid w:val="00DB42BD"/>
    <w:rsid w:val="00DB5F02"/>
    <w:rsid w:val="00DB7013"/>
    <w:rsid w:val="00DC1D76"/>
    <w:rsid w:val="00DC54C3"/>
    <w:rsid w:val="00DC7942"/>
    <w:rsid w:val="00DD12D5"/>
    <w:rsid w:val="00DD3472"/>
    <w:rsid w:val="00DD518A"/>
    <w:rsid w:val="00DD5305"/>
    <w:rsid w:val="00DE0AB7"/>
    <w:rsid w:val="00DE23F3"/>
    <w:rsid w:val="00DE494D"/>
    <w:rsid w:val="00DE7303"/>
    <w:rsid w:val="00DE7628"/>
    <w:rsid w:val="00DF1111"/>
    <w:rsid w:val="00DF16DC"/>
    <w:rsid w:val="00DF1B26"/>
    <w:rsid w:val="00DF6450"/>
    <w:rsid w:val="00DF672B"/>
    <w:rsid w:val="00E00213"/>
    <w:rsid w:val="00E03430"/>
    <w:rsid w:val="00E0383F"/>
    <w:rsid w:val="00E057A9"/>
    <w:rsid w:val="00E06547"/>
    <w:rsid w:val="00E10068"/>
    <w:rsid w:val="00E12300"/>
    <w:rsid w:val="00E144FB"/>
    <w:rsid w:val="00E14E11"/>
    <w:rsid w:val="00E151B9"/>
    <w:rsid w:val="00E153F8"/>
    <w:rsid w:val="00E1561A"/>
    <w:rsid w:val="00E15D8A"/>
    <w:rsid w:val="00E1603B"/>
    <w:rsid w:val="00E1624A"/>
    <w:rsid w:val="00E17555"/>
    <w:rsid w:val="00E21910"/>
    <w:rsid w:val="00E22B8E"/>
    <w:rsid w:val="00E24543"/>
    <w:rsid w:val="00E24B95"/>
    <w:rsid w:val="00E26594"/>
    <w:rsid w:val="00E27121"/>
    <w:rsid w:val="00E277F3"/>
    <w:rsid w:val="00E27CF6"/>
    <w:rsid w:val="00E27F0E"/>
    <w:rsid w:val="00E32345"/>
    <w:rsid w:val="00E34954"/>
    <w:rsid w:val="00E349E5"/>
    <w:rsid w:val="00E36124"/>
    <w:rsid w:val="00E3662A"/>
    <w:rsid w:val="00E373E3"/>
    <w:rsid w:val="00E437B1"/>
    <w:rsid w:val="00E43C66"/>
    <w:rsid w:val="00E468D5"/>
    <w:rsid w:val="00E47A96"/>
    <w:rsid w:val="00E47CB0"/>
    <w:rsid w:val="00E5410D"/>
    <w:rsid w:val="00E54137"/>
    <w:rsid w:val="00E56466"/>
    <w:rsid w:val="00E56781"/>
    <w:rsid w:val="00E6060F"/>
    <w:rsid w:val="00E60946"/>
    <w:rsid w:val="00E60ABC"/>
    <w:rsid w:val="00E637D6"/>
    <w:rsid w:val="00E644B8"/>
    <w:rsid w:val="00E6472A"/>
    <w:rsid w:val="00E6515A"/>
    <w:rsid w:val="00E651D8"/>
    <w:rsid w:val="00E663D9"/>
    <w:rsid w:val="00E70BB0"/>
    <w:rsid w:val="00E70EB5"/>
    <w:rsid w:val="00E71D75"/>
    <w:rsid w:val="00E733CC"/>
    <w:rsid w:val="00E75566"/>
    <w:rsid w:val="00E76E9F"/>
    <w:rsid w:val="00E83E45"/>
    <w:rsid w:val="00E84ED4"/>
    <w:rsid w:val="00E84F88"/>
    <w:rsid w:val="00E8750B"/>
    <w:rsid w:val="00E9280D"/>
    <w:rsid w:val="00E937EE"/>
    <w:rsid w:val="00E946A4"/>
    <w:rsid w:val="00E94F3D"/>
    <w:rsid w:val="00E956D7"/>
    <w:rsid w:val="00E95C37"/>
    <w:rsid w:val="00E9671C"/>
    <w:rsid w:val="00E96D85"/>
    <w:rsid w:val="00E971DD"/>
    <w:rsid w:val="00E979C0"/>
    <w:rsid w:val="00EA046E"/>
    <w:rsid w:val="00EA0B4A"/>
    <w:rsid w:val="00EA1B42"/>
    <w:rsid w:val="00EA4271"/>
    <w:rsid w:val="00EA5611"/>
    <w:rsid w:val="00EB14D1"/>
    <w:rsid w:val="00EB18EB"/>
    <w:rsid w:val="00EB2746"/>
    <w:rsid w:val="00EB287F"/>
    <w:rsid w:val="00EB3E6B"/>
    <w:rsid w:val="00EB4AD8"/>
    <w:rsid w:val="00EB4FF6"/>
    <w:rsid w:val="00EB5B6F"/>
    <w:rsid w:val="00EB78C5"/>
    <w:rsid w:val="00EB7FDD"/>
    <w:rsid w:val="00EC07C4"/>
    <w:rsid w:val="00EC11B1"/>
    <w:rsid w:val="00EC2781"/>
    <w:rsid w:val="00EC3AD7"/>
    <w:rsid w:val="00EC47B9"/>
    <w:rsid w:val="00EC4DD7"/>
    <w:rsid w:val="00EC5088"/>
    <w:rsid w:val="00EC7C01"/>
    <w:rsid w:val="00ED313A"/>
    <w:rsid w:val="00ED391C"/>
    <w:rsid w:val="00ED3CEE"/>
    <w:rsid w:val="00ED6F6E"/>
    <w:rsid w:val="00EE006F"/>
    <w:rsid w:val="00EE031E"/>
    <w:rsid w:val="00EE1002"/>
    <w:rsid w:val="00EE3CB4"/>
    <w:rsid w:val="00EE5063"/>
    <w:rsid w:val="00EE6E37"/>
    <w:rsid w:val="00EF055F"/>
    <w:rsid w:val="00EF3890"/>
    <w:rsid w:val="00EF43D7"/>
    <w:rsid w:val="00EF5A21"/>
    <w:rsid w:val="00EF6A6D"/>
    <w:rsid w:val="00F019C3"/>
    <w:rsid w:val="00F01ACB"/>
    <w:rsid w:val="00F043B2"/>
    <w:rsid w:val="00F04586"/>
    <w:rsid w:val="00F04835"/>
    <w:rsid w:val="00F05EF4"/>
    <w:rsid w:val="00F110D3"/>
    <w:rsid w:val="00F1118A"/>
    <w:rsid w:val="00F1144E"/>
    <w:rsid w:val="00F12168"/>
    <w:rsid w:val="00F1388C"/>
    <w:rsid w:val="00F14259"/>
    <w:rsid w:val="00F157A2"/>
    <w:rsid w:val="00F15902"/>
    <w:rsid w:val="00F17054"/>
    <w:rsid w:val="00F171AD"/>
    <w:rsid w:val="00F17B24"/>
    <w:rsid w:val="00F20948"/>
    <w:rsid w:val="00F20A99"/>
    <w:rsid w:val="00F22471"/>
    <w:rsid w:val="00F23058"/>
    <w:rsid w:val="00F233BB"/>
    <w:rsid w:val="00F236BC"/>
    <w:rsid w:val="00F27397"/>
    <w:rsid w:val="00F30BAC"/>
    <w:rsid w:val="00F319D7"/>
    <w:rsid w:val="00F32463"/>
    <w:rsid w:val="00F363CF"/>
    <w:rsid w:val="00F40841"/>
    <w:rsid w:val="00F4117B"/>
    <w:rsid w:val="00F42214"/>
    <w:rsid w:val="00F44EFA"/>
    <w:rsid w:val="00F462C9"/>
    <w:rsid w:val="00F47BC9"/>
    <w:rsid w:val="00F51784"/>
    <w:rsid w:val="00F51D7A"/>
    <w:rsid w:val="00F5347D"/>
    <w:rsid w:val="00F535FD"/>
    <w:rsid w:val="00F54E45"/>
    <w:rsid w:val="00F606F4"/>
    <w:rsid w:val="00F63B01"/>
    <w:rsid w:val="00F63FCC"/>
    <w:rsid w:val="00F64201"/>
    <w:rsid w:val="00F6729E"/>
    <w:rsid w:val="00F716E9"/>
    <w:rsid w:val="00F722E6"/>
    <w:rsid w:val="00F72EE1"/>
    <w:rsid w:val="00F7413E"/>
    <w:rsid w:val="00F762D9"/>
    <w:rsid w:val="00F77CC7"/>
    <w:rsid w:val="00F80208"/>
    <w:rsid w:val="00F8196E"/>
    <w:rsid w:val="00F81CE5"/>
    <w:rsid w:val="00F81F11"/>
    <w:rsid w:val="00F83357"/>
    <w:rsid w:val="00F83591"/>
    <w:rsid w:val="00F83A58"/>
    <w:rsid w:val="00F84ADB"/>
    <w:rsid w:val="00F8503F"/>
    <w:rsid w:val="00F8508A"/>
    <w:rsid w:val="00F87320"/>
    <w:rsid w:val="00F87903"/>
    <w:rsid w:val="00F9361B"/>
    <w:rsid w:val="00F947C9"/>
    <w:rsid w:val="00F94ACC"/>
    <w:rsid w:val="00F94FB4"/>
    <w:rsid w:val="00F95971"/>
    <w:rsid w:val="00F9694C"/>
    <w:rsid w:val="00F96DF0"/>
    <w:rsid w:val="00F97F8F"/>
    <w:rsid w:val="00FA1A43"/>
    <w:rsid w:val="00FA1D89"/>
    <w:rsid w:val="00FA1E3C"/>
    <w:rsid w:val="00FA242E"/>
    <w:rsid w:val="00FA362B"/>
    <w:rsid w:val="00FA5A99"/>
    <w:rsid w:val="00FA5DC9"/>
    <w:rsid w:val="00FA601A"/>
    <w:rsid w:val="00FA7C1A"/>
    <w:rsid w:val="00FB015A"/>
    <w:rsid w:val="00FB0C69"/>
    <w:rsid w:val="00FB2154"/>
    <w:rsid w:val="00FB31BC"/>
    <w:rsid w:val="00FB5926"/>
    <w:rsid w:val="00FB5FAC"/>
    <w:rsid w:val="00FB683C"/>
    <w:rsid w:val="00FB74B8"/>
    <w:rsid w:val="00FB75D0"/>
    <w:rsid w:val="00FC0689"/>
    <w:rsid w:val="00FC31A6"/>
    <w:rsid w:val="00FC3259"/>
    <w:rsid w:val="00FC4C76"/>
    <w:rsid w:val="00FC5DCB"/>
    <w:rsid w:val="00FD1749"/>
    <w:rsid w:val="00FD1952"/>
    <w:rsid w:val="00FD1DA3"/>
    <w:rsid w:val="00FD3B1D"/>
    <w:rsid w:val="00FD4BB4"/>
    <w:rsid w:val="00FD667C"/>
    <w:rsid w:val="00FD7169"/>
    <w:rsid w:val="00FD774F"/>
    <w:rsid w:val="00FE09B8"/>
    <w:rsid w:val="00FE1B97"/>
    <w:rsid w:val="00FE31D7"/>
    <w:rsid w:val="00FE580E"/>
    <w:rsid w:val="00FF00A5"/>
    <w:rsid w:val="00FF0A4A"/>
    <w:rsid w:val="00FF3832"/>
    <w:rsid w:val="00FF5C96"/>
    <w:rsid w:val="00FF6A7C"/>
    <w:rsid w:val="00FF6DE4"/>
    <w:rsid w:val="00FF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98C"/>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98C"/>
    <w:rPr>
      <w:rFonts w:ascii="Tahoma" w:hAnsi="Tahoma" w:cs="Tahoma"/>
      <w:sz w:val="16"/>
      <w:szCs w:val="16"/>
    </w:rPr>
  </w:style>
  <w:style w:type="character" w:customStyle="1" w:styleId="BalloonTextChar">
    <w:name w:val="Balloon Text Char"/>
    <w:basedOn w:val="DefaultParagraphFont"/>
    <w:link w:val="BalloonText"/>
    <w:uiPriority w:val="99"/>
    <w:semiHidden/>
    <w:rsid w:val="009C098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E006F"/>
    <w:rPr>
      <w:sz w:val="16"/>
      <w:szCs w:val="16"/>
    </w:rPr>
  </w:style>
  <w:style w:type="paragraph" w:styleId="CommentText">
    <w:name w:val="annotation text"/>
    <w:basedOn w:val="Normal"/>
    <w:link w:val="CommentTextChar"/>
    <w:uiPriority w:val="99"/>
    <w:semiHidden/>
    <w:unhideWhenUsed/>
    <w:rsid w:val="00EE006F"/>
    <w:rPr>
      <w:sz w:val="20"/>
      <w:szCs w:val="20"/>
    </w:rPr>
  </w:style>
  <w:style w:type="character" w:customStyle="1" w:styleId="CommentTextChar">
    <w:name w:val="Comment Text Char"/>
    <w:basedOn w:val="DefaultParagraphFont"/>
    <w:link w:val="CommentText"/>
    <w:uiPriority w:val="99"/>
    <w:semiHidden/>
    <w:rsid w:val="00EE00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006F"/>
    <w:rPr>
      <w:b/>
      <w:bCs/>
    </w:rPr>
  </w:style>
  <w:style w:type="character" w:customStyle="1" w:styleId="CommentSubjectChar">
    <w:name w:val="Comment Subject Char"/>
    <w:basedOn w:val="CommentTextChar"/>
    <w:link w:val="CommentSubject"/>
    <w:uiPriority w:val="99"/>
    <w:semiHidden/>
    <w:rsid w:val="00EE006F"/>
    <w:rPr>
      <w:rFonts w:ascii="Times New Roman" w:eastAsia="Times New Roman" w:hAnsi="Times New Roman" w:cs="Times New Roman"/>
      <w:b/>
      <w:bCs/>
      <w:sz w:val="20"/>
      <w:szCs w:val="20"/>
    </w:rPr>
  </w:style>
  <w:style w:type="paragraph" w:styleId="ListParagraph">
    <w:name w:val="List Paragraph"/>
    <w:basedOn w:val="Normal"/>
    <w:uiPriority w:val="34"/>
    <w:qFormat/>
    <w:rsid w:val="003C76D4"/>
    <w:pPr>
      <w:ind w:left="720"/>
      <w:contextualSpacing/>
    </w:pPr>
  </w:style>
  <w:style w:type="paragraph" w:styleId="Header">
    <w:name w:val="header"/>
    <w:basedOn w:val="Normal"/>
    <w:link w:val="HeaderChar"/>
    <w:uiPriority w:val="99"/>
    <w:unhideWhenUsed/>
    <w:rsid w:val="00857153"/>
    <w:pPr>
      <w:tabs>
        <w:tab w:val="center" w:pos="4513"/>
        <w:tab w:val="right" w:pos="9026"/>
      </w:tabs>
    </w:pPr>
  </w:style>
  <w:style w:type="character" w:customStyle="1" w:styleId="HeaderChar">
    <w:name w:val="Header Char"/>
    <w:basedOn w:val="DefaultParagraphFont"/>
    <w:link w:val="Header"/>
    <w:uiPriority w:val="99"/>
    <w:rsid w:val="008571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57153"/>
    <w:pPr>
      <w:tabs>
        <w:tab w:val="center" w:pos="4513"/>
        <w:tab w:val="right" w:pos="9026"/>
      </w:tabs>
    </w:pPr>
  </w:style>
  <w:style w:type="character" w:customStyle="1" w:styleId="FooterChar">
    <w:name w:val="Footer Char"/>
    <w:basedOn w:val="DefaultParagraphFont"/>
    <w:link w:val="Footer"/>
    <w:uiPriority w:val="99"/>
    <w:rsid w:val="0085715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A34FE-3551-41DB-9A28-089BBFB7B2B7}"/>
</file>

<file path=customXml/itemProps2.xml><?xml version="1.0" encoding="utf-8"?>
<ds:datastoreItem xmlns:ds="http://schemas.openxmlformats.org/officeDocument/2006/customXml" ds:itemID="{9ED52B15-5BA7-4319-8410-B926A16088F0}"/>
</file>

<file path=customXml/itemProps3.xml><?xml version="1.0" encoding="utf-8"?>
<ds:datastoreItem xmlns:ds="http://schemas.openxmlformats.org/officeDocument/2006/customXml" ds:itemID="{67B9815D-3D6D-4A53-A6CD-EBACCB01318F}"/>
</file>

<file path=customXml/itemProps4.xml><?xml version="1.0" encoding="utf-8"?>
<ds:datastoreItem xmlns:ds="http://schemas.openxmlformats.org/officeDocument/2006/customXml" ds:itemID="{52A35AE5-E62A-4B83-BCC3-CA61F6C6BF90}"/>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wb223442</dc:creator>
  <cp:lastModifiedBy>Fiona Lord</cp:lastModifiedBy>
  <cp:revision>2</cp:revision>
  <dcterms:created xsi:type="dcterms:W3CDTF">2012-03-28T04:23:00Z</dcterms:created>
  <dcterms:modified xsi:type="dcterms:W3CDTF">2012-03-28T04:23:00Z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