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578" w:rsidRPr="001A7552" w:rsidRDefault="00157578" w:rsidP="00157578">
      <w:pPr>
        <w:tabs>
          <w:tab w:val="left" w:pos="170"/>
        </w:tabs>
        <w:rPr>
          <w:sz w:val="18"/>
          <w:szCs w:val="18"/>
        </w:rPr>
      </w:pPr>
      <w:bookmarkStart w:id="0" w:name="_GoBack"/>
      <w:bookmarkEnd w:id="0"/>
      <w:r w:rsidRPr="001A7552">
        <w:rPr>
          <w:sz w:val="18"/>
          <w:szCs w:val="18"/>
        </w:rPr>
        <w:t>Prepared by:</w:t>
      </w:r>
      <w:r w:rsidRPr="001A7552">
        <w:rPr>
          <w:sz w:val="18"/>
          <w:szCs w:val="18"/>
        </w:rPr>
        <w:tab/>
      </w:r>
      <w:r w:rsidR="00E43356">
        <w:rPr>
          <w:sz w:val="18"/>
          <w:szCs w:val="18"/>
        </w:rPr>
        <w:t>Jane Hardy, Second Secretary, Dhaka Post</w:t>
      </w:r>
    </w:p>
    <w:p w:rsidR="00157578" w:rsidRPr="001A7552" w:rsidRDefault="00157578" w:rsidP="00157578">
      <w:pPr>
        <w:tabs>
          <w:tab w:val="left" w:pos="170"/>
        </w:tabs>
        <w:rPr>
          <w:sz w:val="18"/>
          <w:szCs w:val="18"/>
        </w:rPr>
      </w:pPr>
      <w:r w:rsidRPr="001A7552">
        <w:rPr>
          <w:sz w:val="18"/>
          <w:szCs w:val="18"/>
        </w:rPr>
        <w:t xml:space="preserve">Approved by: </w:t>
      </w:r>
      <w:r w:rsidRPr="001A7552">
        <w:rPr>
          <w:sz w:val="18"/>
          <w:szCs w:val="18"/>
        </w:rPr>
        <w:tab/>
      </w:r>
      <w:r w:rsidR="00C73008" w:rsidRPr="001A7552">
        <w:rPr>
          <w:sz w:val="18"/>
          <w:szCs w:val="18"/>
        </w:rPr>
        <w:t xml:space="preserve">Head of Mission, </w:t>
      </w:r>
      <w:r w:rsidR="00BB00BE">
        <w:rPr>
          <w:sz w:val="18"/>
          <w:szCs w:val="18"/>
        </w:rPr>
        <w:t>Dhaka</w:t>
      </w:r>
      <w:r w:rsidR="00C73008" w:rsidRPr="001A7552">
        <w:rPr>
          <w:sz w:val="18"/>
          <w:szCs w:val="18"/>
        </w:rPr>
        <w:t xml:space="preserve"> Post</w:t>
      </w:r>
    </w:p>
    <w:p w:rsidR="00BB00BE" w:rsidRPr="001A7552" w:rsidRDefault="00BB00BE" w:rsidP="00944BC2">
      <w:pPr>
        <w:tabs>
          <w:tab w:val="left" w:pos="170"/>
        </w:tabs>
        <w:rPr>
          <w:sz w:val="18"/>
          <w:szCs w:val="18"/>
        </w:rPr>
      </w:pPr>
    </w:p>
    <w:p w:rsidR="00C657FB" w:rsidRPr="001A7552" w:rsidRDefault="00DB4F4A"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Independent Evaluation of DFAT’s Investment to the World Food Programme for Supporting Vulnerable Communities in Cox’s Bazar</w:t>
      </w:r>
    </w:p>
    <w:p w:rsidR="00127ACE" w:rsidRPr="00C75EF3" w:rsidRDefault="00F37B61" w:rsidP="00C75EF3">
      <w:pPr>
        <w:pStyle w:val="DocName"/>
        <w:pBdr>
          <w:top w:val="single" w:sz="4" w:space="12" w:color="FF9900"/>
          <w:bottom w:val="single" w:sz="4" w:space="5" w:color="FF9900"/>
        </w:pBdr>
        <w:shd w:val="clear" w:color="auto" w:fill="FFFFCC"/>
        <w:spacing w:line="360" w:lineRule="auto"/>
        <w:rPr>
          <w:sz w:val="24"/>
          <w:lang w:eastAsia="en-AU"/>
        </w:rPr>
      </w:pPr>
      <w:r w:rsidRPr="001A7552">
        <w:rPr>
          <w:sz w:val="24"/>
          <w:lang w:eastAsia="en-AU"/>
        </w:rPr>
        <w:t>MANAGEMENT RESPONSE</w:t>
      </w:r>
    </w:p>
    <w:p w:rsidR="00C657FB" w:rsidRDefault="000B520A" w:rsidP="00683EB4">
      <w:pPr>
        <w:pStyle w:val="Heading2"/>
      </w:pPr>
      <w:r w:rsidRPr="001A7552">
        <w:t xml:space="preserve">Initiative </w:t>
      </w:r>
      <w:r w:rsidR="00C657FB" w:rsidRPr="001A7552">
        <w:t>Summary</w:t>
      </w:r>
    </w:p>
    <w:p w:rsidR="00127ACE" w:rsidRPr="00127ACE" w:rsidRDefault="00127ACE" w:rsidP="00127ACE">
      <w:pPr>
        <w:rPr>
          <w:lang w:eastAsia="en-AU"/>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1A7552" w:rsidTr="00175FFC">
        <w:trPr>
          <w:cantSplit/>
          <w:tblHeader/>
        </w:trPr>
        <w:tc>
          <w:tcPr>
            <w:tcW w:w="2660" w:type="dxa"/>
            <w:shd w:val="clear" w:color="auto" w:fill="E0E0E0"/>
            <w:vAlign w:val="center"/>
          </w:tcPr>
          <w:p w:rsidR="00C657FB" w:rsidRPr="001A7552" w:rsidRDefault="00EF02B3" w:rsidP="00175FFC">
            <w:pPr>
              <w:pStyle w:val="Table-normal-text"/>
              <w:spacing w:before="120" w:after="120"/>
              <w:rPr>
                <w:b/>
              </w:rPr>
            </w:pPr>
            <w:r w:rsidRPr="001A7552">
              <w:rPr>
                <w:b/>
              </w:rPr>
              <w:t>Initiative</w:t>
            </w:r>
            <w:r w:rsidR="00C657FB" w:rsidRPr="001A7552">
              <w:rPr>
                <w:b/>
              </w:rPr>
              <w:t xml:space="preserve"> Name</w:t>
            </w:r>
          </w:p>
        </w:tc>
        <w:tc>
          <w:tcPr>
            <w:tcW w:w="7229" w:type="dxa"/>
            <w:gridSpan w:val="3"/>
            <w:shd w:val="clear" w:color="auto" w:fill="E0E0E0"/>
            <w:vAlign w:val="center"/>
          </w:tcPr>
          <w:p w:rsidR="00C657FB" w:rsidRPr="001A7552" w:rsidRDefault="00BB00BE" w:rsidP="00175FFC">
            <w:pPr>
              <w:pStyle w:val="Table-normal-text"/>
              <w:spacing w:before="120" w:after="120"/>
              <w:rPr>
                <w:b/>
              </w:rPr>
            </w:pPr>
            <w:r w:rsidRPr="00BB00BE">
              <w:rPr>
                <w:b/>
              </w:rPr>
              <w:t>Support to Vulnerable Communities in Cox's Bazar</w:t>
            </w:r>
          </w:p>
        </w:tc>
      </w:tr>
      <w:tr w:rsidR="00C657FB" w:rsidRPr="001A7552" w:rsidTr="00175FFC">
        <w:trPr>
          <w:cantSplit/>
        </w:trPr>
        <w:tc>
          <w:tcPr>
            <w:tcW w:w="2660" w:type="dxa"/>
            <w:shd w:val="clear" w:color="auto" w:fill="auto"/>
          </w:tcPr>
          <w:p w:rsidR="00C657FB" w:rsidRPr="001A7552" w:rsidRDefault="00C657FB" w:rsidP="00175FFC">
            <w:pPr>
              <w:pStyle w:val="Table-normal-text"/>
            </w:pPr>
            <w:r w:rsidRPr="001A7552">
              <w:t>AidWorks initiative number</w:t>
            </w:r>
          </w:p>
        </w:tc>
        <w:tc>
          <w:tcPr>
            <w:tcW w:w="7229" w:type="dxa"/>
            <w:gridSpan w:val="3"/>
            <w:shd w:val="clear" w:color="auto" w:fill="auto"/>
          </w:tcPr>
          <w:p w:rsidR="00C657FB" w:rsidRPr="001A7552" w:rsidRDefault="007A2AA0" w:rsidP="00BB00BE">
            <w:pPr>
              <w:pStyle w:val="Table-normal-text"/>
            </w:pPr>
            <w:r w:rsidRPr="001A7552">
              <w:t>INK</w:t>
            </w:r>
            <w:r w:rsidR="00BB00BE">
              <w:t>969</w:t>
            </w:r>
          </w:p>
        </w:tc>
      </w:tr>
      <w:tr w:rsidR="00C657FB" w:rsidRPr="001A7552" w:rsidTr="00175FFC">
        <w:trPr>
          <w:cantSplit/>
        </w:trPr>
        <w:tc>
          <w:tcPr>
            <w:tcW w:w="2660" w:type="dxa"/>
            <w:shd w:val="clear" w:color="auto" w:fill="auto"/>
          </w:tcPr>
          <w:p w:rsidR="00C657FB" w:rsidRPr="001A7552" w:rsidRDefault="00C657FB" w:rsidP="00175FFC">
            <w:pPr>
              <w:pStyle w:val="Table-normal-text"/>
            </w:pPr>
            <w:r w:rsidRPr="001A7552">
              <w:t>Commencement date</w:t>
            </w:r>
          </w:p>
        </w:tc>
        <w:tc>
          <w:tcPr>
            <w:tcW w:w="2693" w:type="dxa"/>
            <w:shd w:val="clear" w:color="auto" w:fill="auto"/>
          </w:tcPr>
          <w:p w:rsidR="00C657FB" w:rsidRPr="001A7552" w:rsidRDefault="00BB00BE" w:rsidP="00175FFC">
            <w:pPr>
              <w:pStyle w:val="Table-normal-text"/>
            </w:pPr>
            <w:r>
              <w:t>4 April 2013</w:t>
            </w:r>
          </w:p>
        </w:tc>
        <w:tc>
          <w:tcPr>
            <w:tcW w:w="1843" w:type="dxa"/>
            <w:shd w:val="clear" w:color="auto" w:fill="auto"/>
          </w:tcPr>
          <w:p w:rsidR="00C657FB" w:rsidRPr="001A7552" w:rsidRDefault="00C657FB" w:rsidP="00175FFC">
            <w:pPr>
              <w:pStyle w:val="Table-normal-text"/>
            </w:pPr>
            <w:r w:rsidRPr="001A7552">
              <w:t>Completion date</w:t>
            </w:r>
          </w:p>
        </w:tc>
        <w:tc>
          <w:tcPr>
            <w:tcW w:w="2693" w:type="dxa"/>
            <w:shd w:val="clear" w:color="auto" w:fill="auto"/>
          </w:tcPr>
          <w:p w:rsidR="00C657FB" w:rsidRPr="001A7552" w:rsidRDefault="00BB00BE" w:rsidP="00175FFC">
            <w:pPr>
              <w:pStyle w:val="Table-normal-text"/>
            </w:pPr>
            <w:r>
              <w:t>30 April 2018</w:t>
            </w:r>
          </w:p>
        </w:tc>
      </w:tr>
      <w:tr w:rsidR="00C657FB" w:rsidRPr="001A7552" w:rsidTr="00175FFC">
        <w:trPr>
          <w:cantSplit/>
        </w:trPr>
        <w:tc>
          <w:tcPr>
            <w:tcW w:w="2660" w:type="dxa"/>
            <w:shd w:val="clear" w:color="auto" w:fill="auto"/>
          </w:tcPr>
          <w:p w:rsidR="00C657FB" w:rsidRPr="001A7552" w:rsidRDefault="00C657FB" w:rsidP="00175FFC">
            <w:pPr>
              <w:pStyle w:val="Table-normal-text"/>
            </w:pPr>
            <w:r w:rsidRPr="001A7552">
              <w:t>Total Australian $</w:t>
            </w:r>
          </w:p>
        </w:tc>
        <w:tc>
          <w:tcPr>
            <w:tcW w:w="7229" w:type="dxa"/>
            <w:gridSpan w:val="3"/>
            <w:shd w:val="clear" w:color="auto" w:fill="auto"/>
          </w:tcPr>
          <w:p w:rsidR="00C657FB" w:rsidRPr="001A7552" w:rsidRDefault="00BB00BE" w:rsidP="00175FFC">
            <w:pPr>
              <w:pStyle w:val="Table-normal-text"/>
            </w:pPr>
            <w:r>
              <w:t>19,500,000</w:t>
            </w:r>
          </w:p>
        </w:tc>
      </w:tr>
      <w:tr w:rsidR="00C657FB" w:rsidRPr="001A7552" w:rsidTr="00175FFC">
        <w:trPr>
          <w:cantSplit/>
        </w:trPr>
        <w:tc>
          <w:tcPr>
            <w:tcW w:w="2660" w:type="dxa"/>
            <w:shd w:val="clear" w:color="auto" w:fill="auto"/>
          </w:tcPr>
          <w:p w:rsidR="00C657FB" w:rsidRPr="001A7552" w:rsidRDefault="00C657FB" w:rsidP="00175FFC">
            <w:pPr>
              <w:pStyle w:val="Table-normal-text"/>
            </w:pPr>
            <w:r w:rsidRPr="001A7552">
              <w:t>Delivery organisation(s)</w:t>
            </w:r>
          </w:p>
        </w:tc>
        <w:tc>
          <w:tcPr>
            <w:tcW w:w="7229" w:type="dxa"/>
            <w:gridSpan w:val="3"/>
            <w:shd w:val="clear" w:color="auto" w:fill="auto"/>
          </w:tcPr>
          <w:p w:rsidR="00C657FB" w:rsidRPr="001A7552" w:rsidRDefault="00BB00BE" w:rsidP="00175FFC">
            <w:pPr>
              <w:pStyle w:val="Table-normal-text"/>
            </w:pPr>
            <w:r>
              <w:t>World Food Programme (WFP) Bangladesh</w:t>
            </w:r>
          </w:p>
        </w:tc>
      </w:tr>
      <w:tr w:rsidR="00C657FB" w:rsidRPr="001A7552" w:rsidTr="00175FFC">
        <w:trPr>
          <w:cantSplit/>
        </w:trPr>
        <w:tc>
          <w:tcPr>
            <w:tcW w:w="2660" w:type="dxa"/>
            <w:shd w:val="clear" w:color="auto" w:fill="auto"/>
          </w:tcPr>
          <w:p w:rsidR="00C657FB" w:rsidRPr="001A7552" w:rsidRDefault="00C657FB" w:rsidP="00845B17">
            <w:pPr>
              <w:pStyle w:val="Table-normal-text"/>
            </w:pPr>
            <w:r w:rsidRPr="001A7552">
              <w:t xml:space="preserve">Implementing </w:t>
            </w:r>
            <w:r w:rsidR="00845B17" w:rsidRPr="001A7552">
              <w:t>partner</w:t>
            </w:r>
            <w:r w:rsidRPr="001A7552">
              <w:t>(s)</w:t>
            </w:r>
          </w:p>
        </w:tc>
        <w:tc>
          <w:tcPr>
            <w:tcW w:w="7229" w:type="dxa"/>
            <w:gridSpan w:val="3"/>
            <w:shd w:val="clear" w:color="auto" w:fill="auto"/>
          </w:tcPr>
          <w:p w:rsidR="00C657FB" w:rsidRPr="001A7552" w:rsidRDefault="00A907D7" w:rsidP="00350675">
            <w:pPr>
              <w:pStyle w:val="Table-normal-text"/>
            </w:pPr>
            <w:r>
              <w:t>WFP Bangladesh</w:t>
            </w:r>
          </w:p>
        </w:tc>
      </w:tr>
      <w:tr w:rsidR="00C657FB" w:rsidRPr="001A7552" w:rsidTr="00175FFC">
        <w:trPr>
          <w:cantSplit/>
        </w:trPr>
        <w:tc>
          <w:tcPr>
            <w:tcW w:w="2660" w:type="dxa"/>
            <w:shd w:val="clear" w:color="auto" w:fill="auto"/>
          </w:tcPr>
          <w:p w:rsidR="00C657FB" w:rsidRPr="001A7552" w:rsidRDefault="00C657FB" w:rsidP="00175FFC">
            <w:pPr>
              <w:pStyle w:val="Table-normal-text"/>
            </w:pPr>
            <w:r w:rsidRPr="001A7552">
              <w:t>Country/Region</w:t>
            </w:r>
          </w:p>
        </w:tc>
        <w:tc>
          <w:tcPr>
            <w:tcW w:w="7229" w:type="dxa"/>
            <w:gridSpan w:val="3"/>
            <w:shd w:val="clear" w:color="auto" w:fill="auto"/>
          </w:tcPr>
          <w:p w:rsidR="00C657FB" w:rsidRPr="001A7552" w:rsidRDefault="00BB00BE" w:rsidP="00175FFC">
            <w:pPr>
              <w:pStyle w:val="Table-normal-text"/>
            </w:pPr>
            <w:r>
              <w:t>Bangladesh</w:t>
            </w:r>
            <w:r w:rsidR="007A2AA0" w:rsidRPr="001A7552">
              <w:t xml:space="preserve"> </w:t>
            </w:r>
          </w:p>
        </w:tc>
      </w:tr>
      <w:tr w:rsidR="00C657FB" w:rsidRPr="001A7552" w:rsidTr="00175FFC">
        <w:trPr>
          <w:cantSplit/>
        </w:trPr>
        <w:tc>
          <w:tcPr>
            <w:tcW w:w="2660" w:type="dxa"/>
            <w:shd w:val="clear" w:color="auto" w:fill="auto"/>
          </w:tcPr>
          <w:p w:rsidR="00C657FB" w:rsidRPr="001A7552" w:rsidRDefault="00C657FB" w:rsidP="00845B17">
            <w:pPr>
              <w:pStyle w:val="Table-normal-text"/>
            </w:pPr>
            <w:r w:rsidRPr="001A7552">
              <w:t xml:space="preserve">Primary </w:t>
            </w:r>
            <w:r w:rsidR="00845B17" w:rsidRPr="001A7552">
              <w:t>sector</w:t>
            </w:r>
          </w:p>
        </w:tc>
        <w:tc>
          <w:tcPr>
            <w:tcW w:w="7229" w:type="dxa"/>
            <w:gridSpan w:val="3"/>
            <w:shd w:val="clear" w:color="auto" w:fill="auto"/>
          </w:tcPr>
          <w:p w:rsidR="00C657FB" w:rsidRPr="001A7552" w:rsidRDefault="00BB00BE" w:rsidP="00175FFC">
            <w:pPr>
              <w:pStyle w:val="Table-normal-text"/>
            </w:pPr>
            <w:r>
              <w:t>Food security</w:t>
            </w:r>
          </w:p>
        </w:tc>
      </w:tr>
      <w:tr w:rsidR="00C657FB" w:rsidRPr="001A7552" w:rsidTr="00175FFC">
        <w:trPr>
          <w:cantSplit/>
        </w:trPr>
        <w:tc>
          <w:tcPr>
            <w:tcW w:w="2660" w:type="dxa"/>
            <w:shd w:val="clear" w:color="auto" w:fill="auto"/>
          </w:tcPr>
          <w:p w:rsidR="00C657FB" w:rsidRPr="001A7552" w:rsidRDefault="00390A59" w:rsidP="00175FFC">
            <w:pPr>
              <w:pStyle w:val="Table-normal-text"/>
            </w:pPr>
            <w:r w:rsidRPr="001A7552">
              <w:t>Initiative</w:t>
            </w:r>
            <w:r w:rsidR="00C657FB" w:rsidRPr="001A7552">
              <w:t xml:space="preserve"> objective</w:t>
            </w:r>
            <w:r w:rsidR="00614E79" w:rsidRPr="001A7552">
              <w:t>/s</w:t>
            </w:r>
          </w:p>
        </w:tc>
        <w:tc>
          <w:tcPr>
            <w:tcW w:w="7229" w:type="dxa"/>
            <w:gridSpan w:val="3"/>
            <w:shd w:val="clear" w:color="auto" w:fill="auto"/>
          </w:tcPr>
          <w:p w:rsidR="00EE3E31" w:rsidRPr="00447529" w:rsidRDefault="00933453" w:rsidP="00BB00BE">
            <w:pPr>
              <w:jc w:val="both"/>
              <w:rPr>
                <w:rFonts w:cs="Arial"/>
                <w:szCs w:val="20"/>
              </w:rPr>
            </w:pPr>
            <w:r w:rsidRPr="00447529">
              <w:rPr>
                <w:rFonts w:cs="Arial"/>
                <w:szCs w:val="20"/>
                <w:lang w:eastAsia="en-AU"/>
              </w:rPr>
              <w:t xml:space="preserve">Australia provides flexible, un-earmarked funding support to WFP in Cox's Bazar, which is aligned with Australia's global partnership with WFP and DFAT's Humanitarian Strategy. </w:t>
            </w:r>
            <w:r w:rsidR="00EE3E31" w:rsidRPr="00447529">
              <w:rPr>
                <w:rFonts w:cs="Arial"/>
                <w:szCs w:val="20"/>
              </w:rPr>
              <w:t xml:space="preserve">Australia has partnered with WFP since 2011. </w:t>
            </w:r>
          </w:p>
          <w:p w:rsidR="00EE3E31" w:rsidRPr="00447529" w:rsidRDefault="00EE3E31" w:rsidP="00BB00BE">
            <w:pPr>
              <w:jc w:val="both"/>
              <w:rPr>
                <w:rFonts w:cs="Arial"/>
                <w:szCs w:val="20"/>
              </w:rPr>
            </w:pPr>
            <w:r w:rsidRPr="00447529">
              <w:rPr>
                <w:rFonts w:cs="Arial"/>
                <w:szCs w:val="20"/>
              </w:rPr>
              <w:t>WFP’s assistance in Cox’s Bazar is provided through two distinct yet complementary channels:</w:t>
            </w:r>
          </w:p>
          <w:p w:rsidR="00EE3E31" w:rsidRPr="00447529" w:rsidRDefault="00EE3E31" w:rsidP="00EE3E31">
            <w:pPr>
              <w:numPr>
                <w:ilvl w:val="0"/>
                <w:numId w:val="43"/>
              </w:numPr>
              <w:jc w:val="both"/>
              <w:rPr>
                <w:rFonts w:cs="Arial"/>
                <w:szCs w:val="20"/>
              </w:rPr>
            </w:pPr>
            <w:r w:rsidRPr="00A346E9">
              <w:rPr>
                <w:rFonts w:cs="Arial"/>
                <w:b/>
                <w:szCs w:val="20"/>
              </w:rPr>
              <w:t>Protracted Relief and Recovery Operations</w:t>
            </w:r>
            <w:r w:rsidRPr="00447529">
              <w:rPr>
                <w:rFonts w:cs="Arial"/>
                <w:szCs w:val="20"/>
              </w:rPr>
              <w:t xml:space="preserve"> (PRRO): Food security and nutrition interventions to registered refugee camps in order to improve food security and nutrition.</w:t>
            </w:r>
          </w:p>
          <w:p w:rsidR="00EE3E31" w:rsidRPr="00447529" w:rsidRDefault="00EE3E31" w:rsidP="00EE3E31">
            <w:pPr>
              <w:numPr>
                <w:ilvl w:val="0"/>
                <w:numId w:val="43"/>
              </w:numPr>
              <w:jc w:val="both"/>
              <w:rPr>
                <w:rFonts w:cs="Arial"/>
                <w:szCs w:val="20"/>
              </w:rPr>
            </w:pPr>
            <w:r w:rsidRPr="00A346E9">
              <w:rPr>
                <w:rFonts w:cs="Arial"/>
                <w:b/>
                <w:szCs w:val="20"/>
              </w:rPr>
              <w:t>Enhancing Food Security and Nutrition</w:t>
            </w:r>
            <w:r w:rsidRPr="00447529">
              <w:rPr>
                <w:rFonts w:cs="Arial"/>
                <w:szCs w:val="20"/>
              </w:rPr>
              <w:t xml:space="preserve"> (EFSN): Economic and social empowerment and food security support to ultra-poor households in three disadvantaged and refugee-hosting sub-districts.</w:t>
            </w:r>
          </w:p>
          <w:p w:rsidR="00933453" w:rsidRPr="00447529" w:rsidRDefault="00933453" w:rsidP="00BB00BE">
            <w:pPr>
              <w:jc w:val="both"/>
              <w:rPr>
                <w:rFonts w:cs="Arial"/>
                <w:szCs w:val="20"/>
              </w:rPr>
            </w:pPr>
            <w:r w:rsidRPr="00447529">
              <w:rPr>
                <w:rFonts w:cs="Arial"/>
                <w:szCs w:val="20"/>
                <w:lang w:eastAsia="en-AU"/>
              </w:rPr>
              <w:t xml:space="preserve">Consistent with Australia's aid delivery approach in Bangladesh, this is a partner-led investment with WFP leading on all aspects of implementation. Post </w:t>
            </w:r>
            <w:r w:rsidR="00A907D7">
              <w:rPr>
                <w:rFonts w:cs="Arial"/>
                <w:szCs w:val="20"/>
                <w:lang w:eastAsia="en-AU"/>
              </w:rPr>
              <w:t xml:space="preserve">is </w:t>
            </w:r>
            <w:r w:rsidRPr="00447529">
              <w:rPr>
                <w:rFonts w:cs="Arial"/>
                <w:szCs w:val="20"/>
                <w:lang w:eastAsia="en-AU"/>
              </w:rPr>
              <w:t>focused on monitoring key management actions identified during the investment design and annual reviews; harmonising engagement with other development partners; engaging bilaterally with the Government of Bangladesh (GoB) on Rohingya issues; and conducting field visits.</w:t>
            </w:r>
          </w:p>
          <w:p w:rsidR="00CD4D55" w:rsidRPr="00447529" w:rsidRDefault="00CD4D55" w:rsidP="00BB00BE">
            <w:pPr>
              <w:jc w:val="both"/>
              <w:rPr>
                <w:rFonts w:cs="Arial"/>
                <w:szCs w:val="20"/>
              </w:rPr>
            </w:pPr>
          </w:p>
        </w:tc>
      </w:tr>
    </w:tbl>
    <w:p w:rsidR="00C75EF3" w:rsidRDefault="00C75EF3" w:rsidP="00C657FB">
      <w:pPr>
        <w:pStyle w:val="Heading2"/>
      </w:pPr>
    </w:p>
    <w:p w:rsidR="00C657FB" w:rsidRPr="001A7552" w:rsidRDefault="00C75EF3" w:rsidP="00C657FB">
      <w:pPr>
        <w:pStyle w:val="Heading2"/>
      </w:pPr>
      <w:r>
        <w:br w:type="page"/>
      </w:r>
      <w:r w:rsidR="00C657FB" w:rsidRPr="001A7552">
        <w:lastRenderedPageBreak/>
        <w:t>Evaluation Summary</w:t>
      </w:r>
    </w:p>
    <w:p w:rsidR="00683EB4" w:rsidRPr="001A7552" w:rsidRDefault="00683EB4" w:rsidP="00C657FB">
      <w:pPr>
        <w:rPr>
          <w:b/>
        </w:rPr>
      </w:pPr>
    </w:p>
    <w:p w:rsidR="001F3BA0" w:rsidRPr="001A7552" w:rsidRDefault="00C657FB" w:rsidP="00C657FB">
      <w:pPr>
        <w:rPr>
          <w:b/>
        </w:rPr>
      </w:pPr>
      <w:r w:rsidRPr="001A7552">
        <w:rPr>
          <w:b/>
        </w:rPr>
        <w:t xml:space="preserve">Evaluation Objective: </w:t>
      </w:r>
    </w:p>
    <w:p w:rsidR="008A39FA" w:rsidRDefault="001A7552" w:rsidP="001A7552">
      <w:pPr>
        <w:jc w:val="both"/>
        <w:rPr>
          <w:rFonts w:cs="Arial"/>
          <w:szCs w:val="20"/>
        </w:rPr>
      </w:pPr>
      <w:r w:rsidRPr="001A7552">
        <w:rPr>
          <w:rFonts w:cs="Arial"/>
          <w:szCs w:val="20"/>
        </w:rPr>
        <w:t>The</w:t>
      </w:r>
      <w:r w:rsidR="008A39FA">
        <w:rPr>
          <w:rFonts w:cs="Arial"/>
          <w:szCs w:val="20"/>
        </w:rPr>
        <w:t xml:space="preserve"> Australian Government has a requirement to undertake an</w:t>
      </w:r>
      <w:r w:rsidRPr="001A7552">
        <w:rPr>
          <w:rFonts w:cs="Arial"/>
          <w:szCs w:val="20"/>
        </w:rPr>
        <w:t xml:space="preserve"> </w:t>
      </w:r>
      <w:r w:rsidR="008A39FA">
        <w:rPr>
          <w:rFonts w:cs="Arial"/>
          <w:szCs w:val="20"/>
        </w:rPr>
        <w:t>Independent Evaluat</w:t>
      </w:r>
      <w:r w:rsidR="00670B32">
        <w:rPr>
          <w:rFonts w:cs="Arial"/>
          <w:szCs w:val="20"/>
        </w:rPr>
        <w:t>ion of DFAT’s bilateral investment to WFP Bangladesh</w:t>
      </w:r>
      <w:r w:rsidR="008A39FA">
        <w:rPr>
          <w:rFonts w:cs="Arial"/>
          <w:szCs w:val="20"/>
        </w:rPr>
        <w:t xml:space="preserve"> for its Cox’s Bazar </w:t>
      </w:r>
      <w:r w:rsidR="00457C14">
        <w:rPr>
          <w:rFonts w:cs="Arial"/>
          <w:szCs w:val="20"/>
        </w:rPr>
        <w:t>program</w:t>
      </w:r>
      <w:r w:rsidR="00B40A93">
        <w:rPr>
          <w:rFonts w:cs="Arial"/>
          <w:szCs w:val="20"/>
        </w:rPr>
        <w:t xml:space="preserve">. </w:t>
      </w:r>
      <w:r w:rsidR="008A39FA">
        <w:rPr>
          <w:rFonts w:cs="Arial"/>
          <w:szCs w:val="20"/>
        </w:rPr>
        <w:t>The</w:t>
      </w:r>
      <w:r w:rsidR="00670B32">
        <w:rPr>
          <w:rFonts w:cs="Arial"/>
          <w:szCs w:val="20"/>
        </w:rPr>
        <w:t xml:space="preserve"> purpose of this evaluation is to assess the effectiveness of WFP country operations focussing on the </w:t>
      </w:r>
      <w:r w:rsidR="00A346E9">
        <w:t>Enhanced Food Security and Nutrition (</w:t>
      </w:r>
      <w:r w:rsidR="00670B32">
        <w:rPr>
          <w:rFonts w:cs="Arial"/>
          <w:szCs w:val="20"/>
        </w:rPr>
        <w:t>EFSN</w:t>
      </w:r>
      <w:r w:rsidR="00A346E9">
        <w:rPr>
          <w:rFonts w:cs="Arial"/>
          <w:szCs w:val="20"/>
        </w:rPr>
        <w:t>)</w:t>
      </w:r>
      <w:r w:rsidR="00670B32">
        <w:rPr>
          <w:rFonts w:cs="Arial"/>
          <w:szCs w:val="20"/>
        </w:rPr>
        <w:t xml:space="preserve"> component of operations in Cox’s Bazar, to assess the effectiveness of the operation to date and inform future funding and partnership management decisions between DFAT and WFP at the country level</w:t>
      </w:r>
      <w:r w:rsidR="0019521C">
        <w:rPr>
          <w:rFonts w:cs="Arial"/>
          <w:szCs w:val="20"/>
        </w:rPr>
        <w:t>.</w:t>
      </w:r>
      <w:r w:rsidR="00B40A93">
        <w:rPr>
          <w:rFonts w:cs="Arial"/>
          <w:szCs w:val="20"/>
        </w:rPr>
        <w:t xml:space="preserve"> </w:t>
      </w:r>
      <w:r w:rsidR="008A39FA">
        <w:rPr>
          <w:rFonts w:cs="Arial"/>
          <w:szCs w:val="20"/>
        </w:rPr>
        <w:t xml:space="preserve">DFAT, WFP and WFP’s implementing partners are primary stakeholders of this </w:t>
      </w:r>
      <w:r w:rsidR="00457C14">
        <w:rPr>
          <w:rFonts w:cs="Arial"/>
          <w:szCs w:val="20"/>
        </w:rPr>
        <w:t>evaluation.  The evaluation took place in Bangladesh, specifically in the program locations in Cox’s Bazar and Dhaka.  The evaluation recommendation</w:t>
      </w:r>
      <w:r w:rsidR="004F708B">
        <w:rPr>
          <w:rFonts w:cs="Arial"/>
          <w:szCs w:val="20"/>
        </w:rPr>
        <w:t>s</w:t>
      </w:r>
      <w:r w:rsidR="00457C14">
        <w:rPr>
          <w:rFonts w:cs="Arial"/>
          <w:szCs w:val="20"/>
        </w:rPr>
        <w:t xml:space="preserve"> will inform DFAT’s future progra</w:t>
      </w:r>
      <w:r w:rsidR="00A907D7">
        <w:rPr>
          <w:rFonts w:cs="Arial"/>
          <w:szCs w:val="20"/>
        </w:rPr>
        <w:t>mming support to WFP Bangladesh.</w:t>
      </w:r>
    </w:p>
    <w:p w:rsidR="001A7552" w:rsidRPr="001A7552" w:rsidRDefault="00D4391D" w:rsidP="001A7552">
      <w:pPr>
        <w:jc w:val="both"/>
        <w:rPr>
          <w:rFonts w:cs="Arial"/>
          <w:szCs w:val="20"/>
        </w:rPr>
      </w:pPr>
      <w:r>
        <w:rPr>
          <w:rFonts w:cs="Arial"/>
          <w:szCs w:val="20"/>
        </w:rPr>
        <w:t>T</w:t>
      </w:r>
      <w:r w:rsidR="001A7552" w:rsidRPr="001A7552">
        <w:rPr>
          <w:rFonts w:cs="Arial"/>
          <w:szCs w:val="20"/>
        </w:rPr>
        <w:t xml:space="preserve">he </w:t>
      </w:r>
      <w:r w:rsidR="00457C14">
        <w:rPr>
          <w:rFonts w:cs="Arial"/>
          <w:szCs w:val="20"/>
        </w:rPr>
        <w:t xml:space="preserve">evaluation </w:t>
      </w:r>
      <w:r w:rsidR="001A7552" w:rsidRPr="001A7552">
        <w:rPr>
          <w:rFonts w:cs="Arial"/>
          <w:szCs w:val="20"/>
        </w:rPr>
        <w:t>provide</w:t>
      </w:r>
      <w:r w:rsidR="00457C14">
        <w:rPr>
          <w:rFonts w:cs="Arial"/>
          <w:szCs w:val="20"/>
        </w:rPr>
        <w:t>s</w:t>
      </w:r>
      <w:r w:rsidR="001A7552" w:rsidRPr="001A7552">
        <w:rPr>
          <w:rFonts w:cs="Arial"/>
          <w:szCs w:val="20"/>
        </w:rPr>
        <w:t xml:space="preserve"> an opportunity to ascertain</w:t>
      </w:r>
      <w:r>
        <w:rPr>
          <w:rFonts w:cs="Arial"/>
          <w:szCs w:val="20"/>
        </w:rPr>
        <w:t xml:space="preserve"> whether</w:t>
      </w:r>
      <w:r w:rsidR="001A7552" w:rsidRPr="001A7552">
        <w:rPr>
          <w:rFonts w:cs="Arial"/>
          <w:szCs w:val="20"/>
        </w:rPr>
        <w:t xml:space="preserve"> the interventions are still coherent and useful to key stakeholders, coherent to DFAT and </w:t>
      </w:r>
      <w:r w:rsidR="00457C14">
        <w:rPr>
          <w:rFonts w:cs="Arial"/>
          <w:szCs w:val="20"/>
        </w:rPr>
        <w:t>WFP</w:t>
      </w:r>
      <w:r w:rsidR="001A7552" w:rsidRPr="001A7552">
        <w:rPr>
          <w:rFonts w:cs="Arial"/>
          <w:szCs w:val="20"/>
        </w:rPr>
        <w:t xml:space="preserve">’s strategic objectives and to assess whether the </w:t>
      </w:r>
      <w:r w:rsidR="00A872B1">
        <w:rPr>
          <w:rFonts w:cs="Arial"/>
          <w:szCs w:val="20"/>
        </w:rPr>
        <w:t>activities</w:t>
      </w:r>
      <w:r w:rsidR="001A7552" w:rsidRPr="001A7552">
        <w:rPr>
          <w:rFonts w:cs="Arial"/>
          <w:szCs w:val="20"/>
        </w:rPr>
        <w:t xml:space="preserve"> are being conducted in an efficient manner as per DFAT and </w:t>
      </w:r>
      <w:r w:rsidR="00457C14">
        <w:rPr>
          <w:rFonts w:cs="Arial"/>
          <w:szCs w:val="20"/>
        </w:rPr>
        <w:t>WFP</w:t>
      </w:r>
      <w:r w:rsidR="001A7552" w:rsidRPr="001A7552">
        <w:rPr>
          <w:rFonts w:cs="Arial"/>
          <w:szCs w:val="20"/>
        </w:rPr>
        <w:t xml:space="preserve"> standards </w:t>
      </w:r>
      <w:r w:rsidR="00457C14">
        <w:rPr>
          <w:rFonts w:cs="Arial"/>
          <w:szCs w:val="20"/>
        </w:rPr>
        <w:t>and aligned with the partnership objectives</w:t>
      </w:r>
      <w:r w:rsidR="001A7552" w:rsidRPr="001A7552">
        <w:rPr>
          <w:rFonts w:cs="Arial"/>
          <w:szCs w:val="20"/>
        </w:rPr>
        <w:t xml:space="preserve">. </w:t>
      </w:r>
    </w:p>
    <w:p w:rsidR="00A346E9" w:rsidRDefault="00A346E9" w:rsidP="005E3939">
      <w:pPr>
        <w:rPr>
          <w:b/>
        </w:rPr>
      </w:pPr>
    </w:p>
    <w:p w:rsidR="00C73008" w:rsidRPr="001A7552" w:rsidRDefault="00C657FB" w:rsidP="005E3939">
      <w:r w:rsidRPr="001A7552">
        <w:rPr>
          <w:b/>
        </w:rPr>
        <w:t xml:space="preserve">Evaluation Completion Date: </w:t>
      </w:r>
      <w:r w:rsidR="008331CE">
        <w:t xml:space="preserve">April </w:t>
      </w:r>
      <w:r w:rsidR="00457C14" w:rsidRPr="00457C14">
        <w:t>2018</w:t>
      </w:r>
    </w:p>
    <w:p w:rsidR="00C73008" w:rsidRPr="001A7552" w:rsidRDefault="00C73008" w:rsidP="005E3939"/>
    <w:p w:rsidR="00367DA3" w:rsidRPr="001A7552" w:rsidRDefault="00C657FB" w:rsidP="005E3939">
      <w:r w:rsidRPr="001A7552">
        <w:rPr>
          <w:b/>
        </w:rPr>
        <w:t xml:space="preserve">Evaluation Team: </w:t>
      </w:r>
    </w:p>
    <w:p w:rsidR="00C73008" w:rsidRDefault="00706041" w:rsidP="005E3939">
      <w:r>
        <w:t>John Winter</w:t>
      </w:r>
      <w:r w:rsidR="00C73008" w:rsidRPr="001A7552">
        <w:t xml:space="preserve"> - Team Leader/Monitoring and Evaluation Specialist</w:t>
      </w:r>
    </w:p>
    <w:p w:rsidR="00DB4F4A" w:rsidRPr="001A7552" w:rsidRDefault="00DB4F4A" w:rsidP="005E3939">
      <w:r>
        <w:t>Jennifer Anne Mudge – Gende</w:t>
      </w:r>
      <w:r w:rsidR="00B92650">
        <w:t>r S</w:t>
      </w:r>
      <w:r>
        <w:t>pecialist</w:t>
      </w:r>
    </w:p>
    <w:p w:rsidR="001F3BA0" w:rsidRPr="0019521C" w:rsidRDefault="001F3BA0" w:rsidP="000D316D">
      <w:pPr>
        <w:rPr>
          <w:rFonts w:cs="Arial"/>
          <w:szCs w:val="20"/>
        </w:rPr>
      </w:pPr>
    </w:p>
    <w:p w:rsidR="0019521C" w:rsidRDefault="0019521C" w:rsidP="000D316D">
      <w:pPr>
        <w:rPr>
          <w:b/>
          <w:sz w:val="22"/>
          <w:szCs w:val="22"/>
          <w:lang w:eastAsia="en-AU"/>
        </w:rPr>
      </w:pPr>
      <w:r w:rsidRPr="0019521C">
        <w:rPr>
          <w:rFonts w:cs="Arial"/>
          <w:szCs w:val="20"/>
        </w:rPr>
        <w:t>This management response was prepared by DFAT.</w:t>
      </w:r>
    </w:p>
    <w:p w:rsidR="0019521C" w:rsidRPr="001A7552" w:rsidRDefault="0019521C" w:rsidP="000D316D">
      <w:pPr>
        <w:rPr>
          <w:b/>
          <w:sz w:val="22"/>
          <w:szCs w:val="22"/>
          <w:lang w:eastAsia="en-AU"/>
        </w:rPr>
      </w:pPr>
    </w:p>
    <w:p w:rsidR="005E3939" w:rsidRPr="001A7552" w:rsidRDefault="001A7552" w:rsidP="000D316D">
      <w:pPr>
        <w:rPr>
          <w:b/>
          <w:sz w:val="22"/>
          <w:szCs w:val="22"/>
          <w:lang w:eastAsia="en-AU"/>
        </w:rPr>
      </w:pPr>
      <w:r w:rsidRPr="001A7552">
        <w:rPr>
          <w:b/>
          <w:sz w:val="22"/>
          <w:szCs w:val="22"/>
          <w:lang w:eastAsia="en-AU"/>
        </w:rPr>
        <w:t>DFAT’s</w:t>
      </w:r>
      <w:r w:rsidR="00367DA3" w:rsidRPr="001A7552">
        <w:rPr>
          <w:b/>
          <w:sz w:val="22"/>
          <w:szCs w:val="22"/>
          <w:lang w:eastAsia="en-AU"/>
        </w:rPr>
        <w:t xml:space="preserve"> response to the evaluation report</w:t>
      </w:r>
    </w:p>
    <w:p w:rsidR="000F500F" w:rsidRPr="00DA7E8A" w:rsidRDefault="0019521C" w:rsidP="001A7552">
      <w:pPr>
        <w:jc w:val="both"/>
        <w:rPr>
          <w:rFonts w:cs="Arial"/>
        </w:rPr>
      </w:pPr>
      <w:r>
        <w:rPr>
          <w:rFonts w:cs="Arial"/>
        </w:rPr>
        <w:t>The Evaluation was intended to be an opportunity to assess DFAT’s partnership with WFP Bangladesh and identify gaps and areas for improve</w:t>
      </w:r>
      <w:r w:rsidR="00D4391D">
        <w:rPr>
          <w:rFonts w:cs="Arial"/>
        </w:rPr>
        <w:t>ment</w:t>
      </w:r>
      <w:r>
        <w:rPr>
          <w:rFonts w:cs="Arial"/>
        </w:rPr>
        <w:t xml:space="preserve"> for the next phase of the partnership.  </w:t>
      </w:r>
      <w:r w:rsidR="000F500F" w:rsidRPr="007E287E">
        <w:rPr>
          <w:rFonts w:cs="Arial"/>
        </w:rPr>
        <w:t>DFAT considers the review to be of a good quality</w:t>
      </w:r>
      <w:r w:rsidR="004C4E57">
        <w:rPr>
          <w:rFonts w:cs="Arial"/>
        </w:rPr>
        <w:t>;</w:t>
      </w:r>
      <w:r w:rsidR="000F500F" w:rsidRPr="007E287E">
        <w:rPr>
          <w:rFonts w:cs="Arial"/>
        </w:rPr>
        <w:t xml:space="preserve"> that it sufficiently addressed the questions in the Terms of Reference and </w:t>
      </w:r>
      <w:r>
        <w:rPr>
          <w:rFonts w:cs="Arial"/>
        </w:rPr>
        <w:t xml:space="preserve">the </w:t>
      </w:r>
      <w:r w:rsidR="004C4E57">
        <w:rPr>
          <w:rFonts w:cs="Arial"/>
        </w:rPr>
        <w:t>Evaluation Plan and that it meets</w:t>
      </w:r>
      <w:r>
        <w:rPr>
          <w:rFonts w:cs="Arial"/>
        </w:rPr>
        <w:t xml:space="preserve"> DFAT’s monitoring and evaluation standards.  It provides practical recommendations to strengthen the DFAT-WFP partnership </w:t>
      </w:r>
      <w:r w:rsidR="004C4E57">
        <w:rPr>
          <w:rFonts w:cs="Arial"/>
        </w:rPr>
        <w:t>as well as to continue to inform</w:t>
      </w:r>
      <w:r>
        <w:rPr>
          <w:rFonts w:cs="Arial"/>
        </w:rPr>
        <w:t xml:space="preserve"> the quality of WFP’</w:t>
      </w:r>
      <w:r w:rsidR="004C4E57">
        <w:rPr>
          <w:rFonts w:cs="Arial"/>
        </w:rPr>
        <w:t>s program</w:t>
      </w:r>
      <w:r>
        <w:rPr>
          <w:rFonts w:cs="Arial"/>
        </w:rPr>
        <w:t xml:space="preserve"> in Bangladesh.</w:t>
      </w:r>
      <w:r w:rsidR="004F708B">
        <w:rPr>
          <w:rFonts w:cs="Arial"/>
        </w:rPr>
        <w:t xml:space="preserve">  </w:t>
      </w:r>
      <w:r w:rsidR="000F500F" w:rsidRPr="007E287E">
        <w:rPr>
          <w:rFonts w:cs="Arial"/>
        </w:rPr>
        <w:t xml:space="preserve">The recommendations proposed in the review are based on the </w:t>
      </w:r>
      <w:r w:rsidR="004F708B">
        <w:rPr>
          <w:rFonts w:cs="Arial"/>
        </w:rPr>
        <w:t>Evaluation team’s</w:t>
      </w:r>
      <w:r w:rsidR="000F500F" w:rsidRPr="007E287E">
        <w:rPr>
          <w:rFonts w:cs="Arial"/>
        </w:rPr>
        <w:t xml:space="preserve"> discussions</w:t>
      </w:r>
      <w:r w:rsidR="004F708B">
        <w:rPr>
          <w:rFonts w:cs="Arial"/>
        </w:rPr>
        <w:t xml:space="preserve"> with WFP staff in Dhaka and Cox’s Bazar and analysis of WFP reporting over the duration of the Initiative</w:t>
      </w:r>
      <w:r w:rsidR="000F500F" w:rsidRPr="007E287E">
        <w:rPr>
          <w:rFonts w:cs="Arial"/>
        </w:rPr>
        <w:t xml:space="preserve">. They relate to </w:t>
      </w:r>
      <w:r w:rsidR="004F708B">
        <w:rPr>
          <w:rFonts w:cs="Arial"/>
        </w:rPr>
        <w:t xml:space="preserve">suggestions for the future direction of </w:t>
      </w:r>
      <w:r w:rsidR="00A907D7">
        <w:rPr>
          <w:rFonts w:cs="Arial"/>
        </w:rPr>
        <w:t xml:space="preserve">DFAT’s partnership with WFP. </w:t>
      </w:r>
    </w:p>
    <w:p w:rsidR="00591AF1" w:rsidRDefault="00591AF1" w:rsidP="00C657FB">
      <w:pPr>
        <w:rPr>
          <w:rFonts w:cs="Arial"/>
        </w:rPr>
      </w:pPr>
    </w:p>
    <w:p w:rsidR="00417957" w:rsidRPr="00417957" w:rsidRDefault="00417957" w:rsidP="00C657FB">
      <w:pPr>
        <w:rPr>
          <w:b/>
          <w:sz w:val="22"/>
          <w:szCs w:val="22"/>
          <w:lang w:eastAsia="en-AU"/>
        </w:rPr>
      </w:pPr>
      <w:r w:rsidRPr="00417957">
        <w:rPr>
          <w:b/>
          <w:sz w:val="22"/>
          <w:szCs w:val="22"/>
          <w:lang w:eastAsia="en-AU"/>
        </w:rPr>
        <w:t>Key findings of and responses to the report</w:t>
      </w:r>
    </w:p>
    <w:p w:rsidR="00417957" w:rsidRDefault="00417957" w:rsidP="00C657FB">
      <w:pPr>
        <w:rPr>
          <w:rFonts w:cs="Arial"/>
        </w:rPr>
      </w:pPr>
      <w:r>
        <w:rPr>
          <w:rFonts w:cs="Arial"/>
        </w:rPr>
        <w:t>The evaluation provides evidence that support to WFP in Bangladesh remains highly relevant to Australia’s interests in Bangladesh.  It is clear the EFSN component is making a difference at the household and village level, with evidence of effective outcomes f</w:t>
      </w:r>
      <w:r w:rsidR="00B31C91">
        <w:rPr>
          <w:rFonts w:cs="Arial"/>
        </w:rPr>
        <w:t xml:space="preserve">or the target population, particularly </w:t>
      </w:r>
      <w:r>
        <w:rPr>
          <w:rFonts w:cs="Arial"/>
        </w:rPr>
        <w:t>with the income generation/</w:t>
      </w:r>
      <w:r w:rsidR="00B31C91">
        <w:rPr>
          <w:rFonts w:cs="Arial"/>
        </w:rPr>
        <w:t>behaviour</w:t>
      </w:r>
      <w:r>
        <w:rPr>
          <w:rFonts w:cs="Arial"/>
        </w:rPr>
        <w:t xml:space="preserve"> change communication component of the program for ultra-poor women</w:t>
      </w:r>
      <w:r w:rsidR="00B31C91">
        <w:rPr>
          <w:rFonts w:cs="Arial"/>
        </w:rPr>
        <w:t>.</w:t>
      </w:r>
    </w:p>
    <w:p w:rsidR="00B31C91" w:rsidRDefault="00B31C91" w:rsidP="00C657FB">
      <w:pPr>
        <w:rPr>
          <w:rFonts w:cs="Arial"/>
        </w:rPr>
      </w:pPr>
    </w:p>
    <w:p w:rsidR="00B31C91" w:rsidRDefault="00461286" w:rsidP="00C657FB">
      <w:pPr>
        <w:rPr>
          <w:rFonts w:cs="Arial"/>
        </w:rPr>
      </w:pPr>
      <w:r>
        <w:rPr>
          <w:rFonts w:cs="Arial"/>
        </w:rPr>
        <w:t xml:space="preserve">It is also clear the partnership with WFP at the country level reaffirms the </w:t>
      </w:r>
      <w:r w:rsidR="004C4E57">
        <w:rPr>
          <w:rFonts w:cs="Arial"/>
        </w:rPr>
        <w:t>decision</w:t>
      </w:r>
      <w:r>
        <w:rPr>
          <w:rFonts w:cs="Arial"/>
        </w:rPr>
        <w:t xml:space="preserve"> of the DFAT bilateral program to work with a limited number of trusted partners.  The knowledge and relationships developed through the partnership allowed Australia to make additional contributions to the Rohingya crisis </w:t>
      </w:r>
      <w:r w:rsidR="004C4E57">
        <w:rPr>
          <w:rFonts w:cs="Arial"/>
        </w:rPr>
        <w:t xml:space="preserve">that commencing in August 2017 </w:t>
      </w:r>
      <w:r>
        <w:rPr>
          <w:rFonts w:cs="Arial"/>
        </w:rPr>
        <w:t>quickly and with confidence.</w:t>
      </w:r>
    </w:p>
    <w:p w:rsidR="00417957" w:rsidRPr="00417957" w:rsidRDefault="004C4E57" w:rsidP="00C657FB">
      <w:pPr>
        <w:rPr>
          <w:b/>
          <w:sz w:val="22"/>
          <w:szCs w:val="22"/>
          <w:lang w:eastAsia="en-AU"/>
        </w:rPr>
      </w:pPr>
      <w:r>
        <w:rPr>
          <w:rFonts w:cs="Arial"/>
        </w:rPr>
        <w:br w:type="page"/>
      </w:r>
      <w:r w:rsidR="00417957" w:rsidRPr="00417957">
        <w:rPr>
          <w:b/>
          <w:sz w:val="22"/>
          <w:szCs w:val="22"/>
          <w:lang w:eastAsia="en-AU"/>
        </w:rPr>
        <w:lastRenderedPageBreak/>
        <w:t>Future directions of the partnership</w:t>
      </w:r>
    </w:p>
    <w:p w:rsidR="000218D7" w:rsidRDefault="004C4E57" w:rsidP="00C657FB">
      <w:pPr>
        <w:rPr>
          <w:rFonts w:cs="Arial"/>
        </w:rPr>
      </w:pPr>
      <w:r>
        <w:rPr>
          <w:rFonts w:cs="Arial"/>
        </w:rPr>
        <w:t xml:space="preserve">The Evaluation is timely at this </w:t>
      </w:r>
      <w:r w:rsidR="00F659EE">
        <w:rPr>
          <w:rFonts w:cs="Arial"/>
        </w:rPr>
        <w:t>point</w:t>
      </w:r>
      <w:r>
        <w:rPr>
          <w:rFonts w:cs="Arial"/>
        </w:rPr>
        <w:t xml:space="preserve"> in the program.  In late 2017, DFAT entered into a three-year strategic partnership arrangement with WFP Bangladesh.  This new partnership aligns with WFP’s Country Strategic Plan </w:t>
      </w:r>
      <w:r w:rsidR="00F659EE">
        <w:rPr>
          <w:rFonts w:cs="Arial"/>
        </w:rPr>
        <w:t xml:space="preserve">(CSP) </w:t>
      </w:r>
      <w:r>
        <w:rPr>
          <w:rFonts w:cs="Arial"/>
        </w:rPr>
        <w:t>for Bangladesh which shifts WFP’</w:t>
      </w:r>
      <w:r w:rsidR="00F659EE">
        <w:rPr>
          <w:rFonts w:cs="Arial"/>
        </w:rPr>
        <w:t>s focus from direct</w:t>
      </w:r>
      <w:r>
        <w:rPr>
          <w:rFonts w:cs="Arial"/>
        </w:rPr>
        <w:t xml:space="preserve"> implementation to capacity develop</w:t>
      </w:r>
      <w:r w:rsidR="00F659EE">
        <w:rPr>
          <w:rFonts w:cs="Arial"/>
        </w:rPr>
        <w:t xml:space="preserve">ment and technical assistance to the Government of Bangladesh.  Through the CSP, </w:t>
      </w:r>
      <w:r w:rsidR="00F659EE" w:rsidRPr="00F659EE">
        <w:rPr>
          <w:rFonts w:cs="Arial"/>
        </w:rPr>
        <w:t>WFP plans to transition from blanket to targeted food assistance while maintaining its aim of supporting the most vulnerable households including Rohingya camps and host communities</w:t>
      </w:r>
      <w:r w:rsidR="00F659EE">
        <w:rPr>
          <w:rFonts w:cs="Arial"/>
        </w:rPr>
        <w:t xml:space="preserve">. </w:t>
      </w:r>
      <w:r w:rsidR="00F659EE" w:rsidRPr="00F659EE">
        <w:rPr>
          <w:rFonts w:cs="Arial"/>
        </w:rPr>
        <w:t>Cox's Bazar operations will remain a special focus for WFP and DFAT</w:t>
      </w:r>
      <w:r w:rsidR="00F659EE">
        <w:rPr>
          <w:rFonts w:cs="Arial"/>
        </w:rPr>
        <w:t xml:space="preserve"> under the partnership</w:t>
      </w:r>
      <w:r w:rsidR="00F659EE" w:rsidRPr="00F659EE">
        <w:rPr>
          <w:rFonts w:cs="Arial"/>
        </w:rPr>
        <w:t xml:space="preserve">.  </w:t>
      </w:r>
    </w:p>
    <w:p w:rsidR="000218D7" w:rsidRDefault="000218D7" w:rsidP="000218D7">
      <w:pPr>
        <w:autoSpaceDE w:val="0"/>
        <w:autoSpaceDN w:val="0"/>
        <w:adjustRightInd w:val="0"/>
        <w:spacing w:before="0"/>
        <w:rPr>
          <w:rFonts w:ascii="FranklinGothicBook" w:hAnsi="FranklinGothicBook" w:cs="FranklinGothicBook"/>
          <w:szCs w:val="20"/>
          <w:lang w:eastAsia="en-AU"/>
        </w:rPr>
      </w:pPr>
    </w:p>
    <w:p w:rsidR="000218D7" w:rsidRDefault="000218D7" w:rsidP="000218D7">
      <w:pPr>
        <w:autoSpaceDE w:val="0"/>
        <w:autoSpaceDN w:val="0"/>
        <w:adjustRightInd w:val="0"/>
        <w:spacing w:before="0"/>
        <w:rPr>
          <w:rFonts w:ascii="FranklinGothicBook" w:hAnsi="FranklinGothicBook" w:cs="FranklinGothicBook"/>
          <w:szCs w:val="20"/>
          <w:lang w:eastAsia="en-AU"/>
        </w:rPr>
      </w:pPr>
      <w:r>
        <w:rPr>
          <w:rFonts w:ascii="FranklinGothicBook" w:hAnsi="FranklinGothicBook" w:cs="FranklinGothicBook"/>
          <w:szCs w:val="20"/>
          <w:lang w:eastAsia="en-AU"/>
        </w:rPr>
        <w:t>DFAT will track the actions set out in the recommendations below to ensure progress is achieved in</w:t>
      </w:r>
    </w:p>
    <w:p w:rsidR="00417957" w:rsidRPr="000218D7" w:rsidRDefault="000218D7" w:rsidP="000218D7">
      <w:pPr>
        <w:autoSpaceDE w:val="0"/>
        <w:autoSpaceDN w:val="0"/>
        <w:adjustRightInd w:val="0"/>
        <w:spacing w:before="0"/>
        <w:rPr>
          <w:rFonts w:ascii="FranklinGothicBook" w:hAnsi="FranklinGothicBook" w:cs="FranklinGothicBook"/>
          <w:szCs w:val="20"/>
          <w:lang w:eastAsia="en-AU"/>
        </w:rPr>
      </w:pPr>
      <w:r>
        <w:rPr>
          <w:rFonts w:ascii="FranklinGothicBook" w:hAnsi="FranklinGothicBook" w:cs="FranklinGothicBook"/>
          <w:szCs w:val="20"/>
          <w:lang w:eastAsia="en-AU"/>
        </w:rPr>
        <w:t>line with the recommendations.  Despite the strong outcomes being achieved through the EFS and EFSN, more could be done to document the successes and lessons involved in piloting t</w:t>
      </w:r>
      <w:r w:rsidR="00BB228A">
        <w:rPr>
          <w:rFonts w:ascii="FranklinGothicBook" w:hAnsi="FranklinGothicBook" w:cs="FranklinGothicBook"/>
          <w:szCs w:val="20"/>
          <w:lang w:eastAsia="en-AU"/>
        </w:rPr>
        <w:t>hese</w:t>
      </w:r>
      <w:r>
        <w:rPr>
          <w:rFonts w:ascii="FranklinGothicBook" w:hAnsi="FranklinGothicBook" w:cs="FranklinGothicBook"/>
          <w:szCs w:val="20"/>
          <w:lang w:eastAsia="en-AU"/>
        </w:rPr>
        <w:t xml:space="preserve"> new and unique approaches. </w:t>
      </w:r>
      <w:r w:rsidR="00F659EE" w:rsidRPr="00F659EE">
        <w:rPr>
          <w:rFonts w:cs="Arial"/>
        </w:rPr>
        <w:t>Through the strategic partnership, Post will continue to: provide expertise and other support to WFP to define an approach to people with disabil</w:t>
      </w:r>
      <w:r>
        <w:rPr>
          <w:rFonts w:cs="Arial"/>
        </w:rPr>
        <w:t>ity in the new programs of WFP;</w:t>
      </w:r>
      <w:r w:rsidR="00F659EE">
        <w:rPr>
          <w:rFonts w:cs="Arial"/>
        </w:rPr>
        <w:t xml:space="preserve"> </w:t>
      </w:r>
      <w:r w:rsidR="00F659EE" w:rsidRPr="00F659EE">
        <w:rPr>
          <w:rFonts w:cs="Arial"/>
        </w:rPr>
        <w:t>will maintain a dialogue with WFP and the Government on the value of school feeding and appropriate measures of success; encourage and support WFP's continued development of robust M&amp;E framework to better capture results.</w:t>
      </w:r>
    </w:p>
    <w:p w:rsidR="00F659EE" w:rsidRDefault="00F659EE" w:rsidP="00C657FB">
      <w:pPr>
        <w:rPr>
          <w:rFonts w:cs="Arial"/>
        </w:rPr>
      </w:pPr>
    </w:p>
    <w:p w:rsidR="00A346E9" w:rsidRPr="00A346E9" w:rsidRDefault="00A346E9" w:rsidP="00A346E9">
      <w:pPr>
        <w:pStyle w:val="ListParagraph"/>
        <w:ind w:left="0"/>
        <w:jc w:val="both"/>
        <w:rPr>
          <w:rFonts w:ascii="Arial" w:eastAsia="Times New Roman" w:hAnsi="Arial" w:cs="Arial"/>
          <w:sz w:val="20"/>
          <w:lang w:val="en-AU" w:eastAsia="en-US"/>
        </w:rPr>
      </w:pPr>
      <w:r w:rsidRPr="00A346E9">
        <w:rPr>
          <w:rFonts w:ascii="Arial" w:eastAsia="Times New Roman" w:hAnsi="Arial" w:cs="Arial"/>
          <w:b/>
          <w:sz w:val="20"/>
          <w:lang w:val="en-AU" w:eastAsia="en-US"/>
        </w:rPr>
        <w:t>*Note on Nomenclature:</w:t>
      </w:r>
      <w:r w:rsidRPr="00A346E9">
        <w:rPr>
          <w:rFonts w:ascii="Arial" w:eastAsia="Times New Roman" w:hAnsi="Arial" w:cs="Arial"/>
          <w:sz w:val="20"/>
          <w:lang w:val="en-AU" w:eastAsia="en-US"/>
        </w:rPr>
        <w:t xml:space="preserve"> The provision of livelihoods grants and monthly support allowance, with a package of behaviour change communication activities is referred to as the </w:t>
      </w:r>
      <w:r>
        <w:rPr>
          <w:rFonts w:ascii="Arial" w:eastAsia="Times New Roman" w:hAnsi="Arial" w:cs="Arial"/>
          <w:sz w:val="20"/>
          <w:lang w:val="en-AU" w:eastAsia="en-US"/>
        </w:rPr>
        <w:t xml:space="preserve">Enhancing Food Security – EFS </w:t>
      </w:r>
      <w:r w:rsidRPr="00A346E9">
        <w:rPr>
          <w:rFonts w:ascii="Arial" w:eastAsia="Times New Roman" w:hAnsi="Arial" w:cs="Arial"/>
          <w:sz w:val="20"/>
          <w:lang w:val="en-AU" w:eastAsia="en-US"/>
        </w:rPr>
        <w:t xml:space="preserve">component of EFSN, and this usage is adopted in this report. </w:t>
      </w:r>
    </w:p>
    <w:p w:rsidR="00A346E9" w:rsidRDefault="00A346E9" w:rsidP="00C657FB">
      <w:pPr>
        <w:rPr>
          <w:rFonts w:cs="Arial"/>
        </w:rPr>
      </w:pPr>
    </w:p>
    <w:p w:rsidR="002F6F55" w:rsidRPr="00127ACE" w:rsidRDefault="001A7552" w:rsidP="00127ACE">
      <w:pPr>
        <w:jc w:val="both"/>
        <w:rPr>
          <w:b/>
          <w:sz w:val="22"/>
          <w:szCs w:val="22"/>
          <w:lang w:eastAsia="en-AU"/>
        </w:rPr>
      </w:pPr>
      <w:r w:rsidRPr="00127ACE">
        <w:rPr>
          <w:b/>
          <w:sz w:val="22"/>
          <w:szCs w:val="22"/>
          <w:lang w:eastAsia="en-AU"/>
        </w:rPr>
        <w:t>DFAT’s</w:t>
      </w:r>
      <w:r w:rsidR="00F63B43" w:rsidRPr="00127ACE">
        <w:rPr>
          <w:b/>
          <w:sz w:val="22"/>
          <w:szCs w:val="22"/>
          <w:lang w:eastAsia="en-AU"/>
        </w:rPr>
        <w:t xml:space="preserve"> r</w:t>
      </w:r>
      <w:r w:rsidR="00C657FB" w:rsidRPr="00127ACE">
        <w:rPr>
          <w:b/>
          <w:sz w:val="22"/>
          <w:szCs w:val="22"/>
          <w:lang w:eastAsia="en-AU"/>
        </w:rPr>
        <w:t>esponse to the specific rec</w:t>
      </w:r>
      <w:r w:rsidR="00367DA3" w:rsidRPr="00127ACE">
        <w:rPr>
          <w:b/>
          <w:sz w:val="22"/>
          <w:szCs w:val="22"/>
          <w:lang w:eastAsia="en-AU"/>
        </w:rPr>
        <w:t>ommendations made in the report</w:t>
      </w:r>
    </w:p>
    <w:p w:rsidR="004F34D4" w:rsidRPr="00127ACE" w:rsidRDefault="004F34D4" w:rsidP="00127ACE">
      <w:pPr>
        <w:jc w:val="both"/>
        <w:rPr>
          <w:b/>
          <w:sz w:val="22"/>
          <w:szCs w:val="22"/>
          <w:lang w:eastAsia="en-AU"/>
        </w:rPr>
      </w:pPr>
    </w:p>
    <w:p w:rsidR="00C657FB" w:rsidRDefault="00157578" w:rsidP="00127ACE">
      <w:pPr>
        <w:jc w:val="both"/>
        <w:rPr>
          <w:rFonts w:cs="Arial"/>
          <w:b/>
        </w:rPr>
      </w:pPr>
      <w:r w:rsidRPr="00127ACE">
        <w:rPr>
          <w:rFonts w:cs="Arial"/>
          <w:b/>
        </w:rPr>
        <w:t>Recommendation One</w:t>
      </w:r>
    </w:p>
    <w:p w:rsidR="00457C14" w:rsidRPr="00FA12BE" w:rsidRDefault="00457C14" w:rsidP="00FA12BE">
      <w:pPr>
        <w:jc w:val="both"/>
        <w:rPr>
          <w:rFonts w:cs="Arial"/>
        </w:rPr>
      </w:pPr>
      <w:r w:rsidRPr="00FD5A69">
        <w:rPr>
          <w:rFonts w:cs="Arial"/>
        </w:rPr>
        <w:t xml:space="preserve">The Australian High Commission should maintain a dialogue with WFP over the new EFSN design as part of the new partnership based on </w:t>
      </w:r>
      <w:r w:rsidR="00FA12BE">
        <w:rPr>
          <w:rFonts w:cs="Arial"/>
        </w:rPr>
        <w:t>the conclusions of this review.</w:t>
      </w:r>
    </w:p>
    <w:p w:rsidR="00457C14" w:rsidRPr="00127ACE" w:rsidRDefault="00457C14" w:rsidP="00457C14">
      <w:pPr>
        <w:jc w:val="both"/>
        <w:rPr>
          <w:rFonts w:cs="Arial"/>
        </w:rPr>
      </w:pPr>
      <w:r w:rsidRPr="00127ACE">
        <w:rPr>
          <w:rFonts w:cs="Arial"/>
          <w:b/>
        </w:rPr>
        <w:t>Response</w:t>
      </w:r>
      <w:r w:rsidRPr="00127ACE">
        <w:rPr>
          <w:rFonts w:cs="Arial"/>
        </w:rPr>
        <w:t xml:space="preserve">: </w:t>
      </w:r>
      <w:r w:rsidRPr="00127ACE">
        <w:t>Agree</w:t>
      </w:r>
    </w:p>
    <w:p w:rsidR="000E2FF3" w:rsidRDefault="00457C14" w:rsidP="00457C14">
      <w:pPr>
        <w:jc w:val="both"/>
        <w:rPr>
          <w:rFonts w:cs="Arial"/>
        </w:rPr>
      </w:pPr>
      <w:r w:rsidRPr="00127ACE">
        <w:rPr>
          <w:rFonts w:cs="Arial"/>
          <w:b/>
        </w:rPr>
        <w:t>Actions</w:t>
      </w:r>
      <w:r w:rsidR="007D3466">
        <w:rPr>
          <w:rFonts w:cs="Arial"/>
        </w:rPr>
        <w:t>: Continue to focus on maintaining frequent and constructive dialogue with WFP on the new EFSN design</w:t>
      </w:r>
      <w:r w:rsidR="00F11378">
        <w:rPr>
          <w:rFonts w:cs="Arial"/>
        </w:rPr>
        <w:t>, particularly how it fits within the framework of the new strategic partnership.</w:t>
      </w:r>
      <w:r w:rsidR="0056774F">
        <w:rPr>
          <w:rFonts w:cs="Arial"/>
        </w:rPr>
        <w:t xml:space="preserve">  This will be </w:t>
      </w:r>
      <w:r w:rsidR="001D264A">
        <w:rPr>
          <w:rFonts w:cs="Arial"/>
        </w:rPr>
        <w:t>actioned</w:t>
      </w:r>
      <w:r w:rsidR="0056774F">
        <w:rPr>
          <w:rFonts w:cs="Arial"/>
        </w:rPr>
        <w:t xml:space="preserve"> </w:t>
      </w:r>
      <w:r w:rsidR="008331CE">
        <w:rPr>
          <w:rFonts w:cs="Arial"/>
        </w:rPr>
        <w:t xml:space="preserve">by the partnership managers at </w:t>
      </w:r>
      <w:r w:rsidR="0056774F">
        <w:rPr>
          <w:rFonts w:cs="Arial"/>
        </w:rPr>
        <w:t>DFAT and WFP</w:t>
      </w:r>
      <w:r w:rsidR="001D264A">
        <w:rPr>
          <w:rFonts w:cs="Arial"/>
        </w:rPr>
        <w:t xml:space="preserve"> through monthly meetings</w:t>
      </w:r>
      <w:r w:rsidR="000E2FF3">
        <w:rPr>
          <w:rFonts w:cs="Arial"/>
        </w:rPr>
        <w:t xml:space="preserve"> to ensure DFAT is fully briefed on the EFSN design</w:t>
      </w:r>
      <w:r w:rsidR="00436970">
        <w:rPr>
          <w:rFonts w:cs="Arial"/>
        </w:rPr>
        <w:t xml:space="preserve"> and its role within the broader WFP-DFAT partnership.</w:t>
      </w:r>
    </w:p>
    <w:p w:rsidR="00457C14" w:rsidRPr="00127ACE" w:rsidRDefault="00457C14" w:rsidP="00457C14">
      <w:pPr>
        <w:jc w:val="both"/>
        <w:rPr>
          <w:rFonts w:cs="Arial"/>
        </w:rPr>
      </w:pPr>
      <w:r w:rsidRPr="00127ACE">
        <w:rPr>
          <w:rFonts w:cs="Arial"/>
          <w:b/>
        </w:rPr>
        <w:t>Responsibility</w:t>
      </w:r>
      <w:r w:rsidRPr="00127ACE">
        <w:rPr>
          <w:rFonts w:cs="Arial"/>
        </w:rPr>
        <w:t xml:space="preserve">: </w:t>
      </w:r>
      <w:r w:rsidR="00F11378">
        <w:rPr>
          <w:rFonts w:cs="Arial"/>
        </w:rPr>
        <w:t>DFAT and WFP</w:t>
      </w:r>
      <w:r w:rsidR="008331CE">
        <w:rPr>
          <w:rFonts w:cs="Arial"/>
        </w:rPr>
        <w:t xml:space="preserve"> partnership managers</w:t>
      </w:r>
    </w:p>
    <w:p w:rsidR="00D76981" w:rsidRDefault="00D76981" w:rsidP="00D76981">
      <w:pPr>
        <w:jc w:val="both"/>
        <w:rPr>
          <w:rFonts w:cs="Arial"/>
          <w:b/>
        </w:rPr>
      </w:pPr>
    </w:p>
    <w:p w:rsidR="00A907D7" w:rsidRDefault="00D76981" w:rsidP="00D76981">
      <w:pPr>
        <w:jc w:val="both"/>
        <w:rPr>
          <w:rFonts w:cs="Arial"/>
          <w:b/>
        </w:rPr>
      </w:pPr>
      <w:r w:rsidRPr="00127ACE">
        <w:rPr>
          <w:rFonts w:cs="Arial"/>
          <w:b/>
        </w:rPr>
        <w:t xml:space="preserve">Recommendation </w:t>
      </w:r>
      <w:r w:rsidR="00A907D7">
        <w:rPr>
          <w:rFonts w:cs="Arial"/>
          <w:b/>
        </w:rPr>
        <w:t>Two</w:t>
      </w:r>
    </w:p>
    <w:p w:rsidR="00D76981" w:rsidRPr="00FA12BE" w:rsidRDefault="00D76981" w:rsidP="00FA12BE">
      <w:pPr>
        <w:jc w:val="both"/>
        <w:rPr>
          <w:rFonts w:cs="Arial"/>
          <w:b/>
        </w:rPr>
      </w:pPr>
      <w:r w:rsidRPr="00D76981">
        <w:rPr>
          <w:rFonts w:cs="Arial"/>
        </w:rPr>
        <w:t>The Australian High Commission should work with WFP to ensure that the sustainability of EFS self-help groups is tracked (perhaps through the HKI contract) and lessons drawn for future interventions.</w:t>
      </w:r>
    </w:p>
    <w:p w:rsidR="00D76981" w:rsidRPr="00127ACE" w:rsidRDefault="00D76981" w:rsidP="00D76981">
      <w:pPr>
        <w:jc w:val="both"/>
        <w:rPr>
          <w:rFonts w:cs="Arial"/>
        </w:rPr>
      </w:pPr>
      <w:r w:rsidRPr="00127ACE">
        <w:rPr>
          <w:rFonts w:cs="Arial"/>
          <w:b/>
        </w:rPr>
        <w:t>Response</w:t>
      </w:r>
      <w:r w:rsidRPr="00127ACE">
        <w:rPr>
          <w:rFonts w:cs="Arial"/>
        </w:rPr>
        <w:t xml:space="preserve">: </w:t>
      </w:r>
      <w:r w:rsidRPr="00127ACE">
        <w:t>Agree</w:t>
      </w:r>
    </w:p>
    <w:p w:rsidR="00D76981" w:rsidRDefault="00D76981" w:rsidP="00D76981">
      <w:pPr>
        <w:jc w:val="both"/>
        <w:rPr>
          <w:rFonts w:cs="Arial"/>
        </w:rPr>
      </w:pPr>
      <w:r w:rsidRPr="00127ACE">
        <w:rPr>
          <w:rFonts w:cs="Arial"/>
          <w:b/>
        </w:rPr>
        <w:t>Actions</w:t>
      </w:r>
      <w:r>
        <w:rPr>
          <w:rFonts w:cs="Arial"/>
        </w:rPr>
        <w:t xml:space="preserve">: Utilise frequent </w:t>
      </w:r>
      <w:r w:rsidR="00F92F66">
        <w:rPr>
          <w:rFonts w:cs="Arial"/>
        </w:rPr>
        <w:t>(monthly) program-level meetings</w:t>
      </w:r>
      <w:r w:rsidR="008331CE">
        <w:rPr>
          <w:rFonts w:cs="Arial"/>
        </w:rPr>
        <w:t xml:space="preserve"> between partnership managers</w:t>
      </w:r>
      <w:r w:rsidR="00F92F66">
        <w:rPr>
          <w:rFonts w:cs="Arial"/>
        </w:rPr>
        <w:t xml:space="preserve"> </w:t>
      </w:r>
      <w:r>
        <w:rPr>
          <w:rFonts w:cs="Arial"/>
        </w:rPr>
        <w:t xml:space="preserve">and formal </w:t>
      </w:r>
      <w:r w:rsidR="00F92F66">
        <w:rPr>
          <w:rFonts w:cs="Arial"/>
        </w:rPr>
        <w:t xml:space="preserve">(biannual) </w:t>
      </w:r>
      <w:r>
        <w:rPr>
          <w:rFonts w:cs="Arial"/>
        </w:rPr>
        <w:t xml:space="preserve">partnership discussions </w:t>
      </w:r>
      <w:r w:rsidR="008331CE">
        <w:rPr>
          <w:rFonts w:cs="Arial"/>
        </w:rPr>
        <w:t>between DFAT and</w:t>
      </w:r>
      <w:r>
        <w:rPr>
          <w:rFonts w:cs="Arial"/>
        </w:rPr>
        <w:t xml:space="preserve"> WFP to ensure WFP is monitoring the sustainability of EFS self-help groups and drawing lessons to inform future programming.</w:t>
      </w:r>
    </w:p>
    <w:p w:rsidR="00D76981" w:rsidRPr="00127ACE" w:rsidRDefault="00D76981" w:rsidP="00D76981">
      <w:pPr>
        <w:jc w:val="both"/>
        <w:rPr>
          <w:rFonts w:cs="Arial"/>
        </w:rPr>
      </w:pPr>
      <w:r w:rsidRPr="00127ACE">
        <w:rPr>
          <w:rFonts w:cs="Arial"/>
          <w:b/>
        </w:rPr>
        <w:t>Responsibility</w:t>
      </w:r>
      <w:r w:rsidRPr="00127ACE">
        <w:rPr>
          <w:rFonts w:cs="Arial"/>
        </w:rPr>
        <w:t xml:space="preserve">: </w:t>
      </w:r>
      <w:r>
        <w:rPr>
          <w:rFonts w:cs="Arial"/>
        </w:rPr>
        <w:t>DFAT and WFP</w:t>
      </w:r>
      <w:r w:rsidR="008331CE">
        <w:rPr>
          <w:rFonts w:cs="Arial"/>
        </w:rPr>
        <w:t xml:space="preserve"> partnership managers</w:t>
      </w:r>
    </w:p>
    <w:p w:rsidR="00D76981" w:rsidRPr="00FA12BE" w:rsidRDefault="00457C14" w:rsidP="00FA12BE">
      <w:pPr>
        <w:jc w:val="both"/>
        <w:rPr>
          <w:rFonts w:cs="Arial"/>
        </w:rPr>
      </w:pPr>
      <w:r w:rsidRPr="008E05AB">
        <w:rPr>
          <w:rFonts w:cs="Arial"/>
        </w:rPr>
        <w:t>The Australian High Commission, drawing on DFAT resources where necessary, should continue to provide expertise and other support to WFP to define an approach to people with d</w:t>
      </w:r>
      <w:r w:rsidR="00FA12BE">
        <w:rPr>
          <w:rFonts w:cs="Arial"/>
        </w:rPr>
        <w:t>isability in the new programme.</w:t>
      </w:r>
    </w:p>
    <w:p w:rsidR="00D76981" w:rsidRPr="00127ACE" w:rsidRDefault="00D76981" w:rsidP="00D76981">
      <w:pPr>
        <w:jc w:val="both"/>
        <w:rPr>
          <w:rFonts w:cs="Arial"/>
        </w:rPr>
      </w:pPr>
      <w:r w:rsidRPr="00127ACE">
        <w:rPr>
          <w:rFonts w:cs="Arial"/>
          <w:b/>
        </w:rPr>
        <w:t>Response</w:t>
      </w:r>
      <w:r w:rsidRPr="00127ACE">
        <w:rPr>
          <w:rFonts w:cs="Arial"/>
        </w:rPr>
        <w:t xml:space="preserve">: </w:t>
      </w:r>
      <w:r w:rsidRPr="00127ACE">
        <w:t>Agree</w:t>
      </w:r>
    </w:p>
    <w:p w:rsidR="00D76981" w:rsidRDefault="00D76981" w:rsidP="00D76981">
      <w:pPr>
        <w:jc w:val="both"/>
        <w:rPr>
          <w:rFonts w:cs="Arial"/>
        </w:rPr>
      </w:pPr>
      <w:r w:rsidRPr="00127ACE">
        <w:rPr>
          <w:rFonts w:cs="Arial"/>
          <w:b/>
        </w:rPr>
        <w:t>Actions</w:t>
      </w:r>
      <w:r>
        <w:rPr>
          <w:rFonts w:cs="Arial"/>
        </w:rPr>
        <w:t>: Ensure on</w:t>
      </w:r>
      <w:r w:rsidR="008E05AB">
        <w:rPr>
          <w:rFonts w:cs="Arial"/>
        </w:rPr>
        <w:t>going dialogue with WFP on their disability strategy and operational work, and continue to provide expertise</w:t>
      </w:r>
      <w:r w:rsidR="00F92F66">
        <w:rPr>
          <w:rFonts w:cs="Arial"/>
        </w:rPr>
        <w:t xml:space="preserve"> from DFAT’s Disability Inclusive team</w:t>
      </w:r>
      <w:r w:rsidR="008E05AB">
        <w:rPr>
          <w:rFonts w:cs="Arial"/>
        </w:rPr>
        <w:t xml:space="preserve"> to further support disability inclusion</w:t>
      </w:r>
      <w:r w:rsidR="00F92F66">
        <w:rPr>
          <w:rFonts w:cs="Arial"/>
        </w:rPr>
        <w:t xml:space="preserve"> in WFP programming</w:t>
      </w:r>
      <w:r w:rsidR="001B2B0D">
        <w:rPr>
          <w:rFonts w:cs="Arial"/>
        </w:rPr>
        <w:t>.</w:t>
      </w:r>
      <w:r w:rsidR="00F92F66">
        <w:rPr>
          <w:rFonts w:cs="Arial"/>
        </w:rPr>
        <w:t xml:space="preserve">  This will include incorporating disability inclusive programming updates as a mandatory agenda item on monthly partnership meetings and at the biannual partnership dialogue.</w:t>
      </w:r>
    </w:p>
    <w:p w:rsidR="00D76981" w:rsidRPr="00127ACE" w:rsidRDefault="00D76981" w:rsidP="00D76981">
      <w:pPr>
        <w:jc w:val="both"/>
        <w:rPr>
          <w:rFonts w:cs="Arial"/>
        </w:rPr>
      </w:pPr>
      <w:r w:rsidRPr="00127ACE">
        <w:rPr>
          <w:rFonts w:cs="Arial"/>
          <w:b/>
        </w:rPr>
        <w:t>Responsibility</w:t>
      </w:r>
      <w:r w:rsidRPr="00127ACE">
        <w:rPr>
          <w:rFonts w:cs="Arial"/>
        </w:rPr>
        <w:t xml:space="preserve">: </w:t>
      </w:r>
      <w:r>
        <w:rPr>
          <w:rFonts w:cs="Arial"/>
        </w:rPr>
        <w:t>DFAT and WFP</w:t>
      </w:r>
      <w:r w:rsidR="008331CE">
        <w:rPr>
          <w:rFonts w:cs="Arial"/>
        </w:rPr>
        <w:t xml:space="preserve"> partnership managers</w:t>
      </w:r>
    </w:p>
    <w:p w:rsidR="00457C14" w:rsidRDefault="00457C14" w:rsidP="00FA12BE">
      <w:pPr>
        <w:jc w:val="both"/>
      </w:pPr>
    </w:p>
    <w:p w:rsidR="00FA12BE" w:rsidRDefault="00FA12BE" w:rsidP="001B2B0D">
      <w:pPr>
        <w:jc w:val="both"/>
        <w:rPr>
          <w:rFonts w:cs="Arial"/>
          <w:b/>
        </w:rPr>
      </w:pPr>
      <w:r>
        <w:rPr>
          <w:rFonts w:cs="Arial"/>
          <w:b/>
        </w:rPr>
        <w:t>Recommendation Four</w:t>
      </w:r>
    </w:p>
    <w:p w:rsidR="00457C14" w:rsidRPr="001B2B0D" w:rsidRDefault="00FA12BE" w:rsidP="001B2B0D">
      <w:pPr>
        <w:jc w:val="both"/>
        <w:rPr>
          <w:rFonts w:cs="Arial"/>
          <w:b/>
        </w:rPr>
      </w:pPr>
      <w:r>
        <w:rPr>
          <w:rFonts w:cs="Arial"/>
        </w:rPr>
        <w:t>T</w:t>
      </w:r>
      <w:r w:rsidR="00457C14" w:rsidRPr="001B2B0D">
        <w:rPr>
          <w:rFonts w:cs="Arial"/>
        </w:rPr>
        <w:t>he Australian High Commission, should maintain a dialogue with WFP and the Government of Bangladesh on the value of school feeding in Bangladesh and appropriate measures of success.</w:t>
      </w:r>
    </w:p>
    <w:p w:rsidR="001B2B0D" w:rsidRPr="00127ACE" w:rsidRDefault="001B2B0D" w:rsidP="001B2B0D">
      <w:pPr>
        <w:jc w:val="both"/>
        <w:rPr>
          <w:rFonts w:cs="Arial"/>
        </w:rPr>
      </w:pPr>
      <w:r w:rsidRPr="00127ACE">
        <w:rPr>
          <w:rFonts w:cs="Arial"/>
          <w:b/>
        </w:rPr>
        <w:t>Response</w:t>
      </w:r>
      <w:r w:rsidRPr="00127ACE">
        <w:rPr>
          <w:rFonts w:cs="Arial"/>
        </w:rPr>
        <w:t xml:space="preserve">: </w:t>
      </w:r>
      <w:r w:rsidR="00C75EF3">
        <w:t>Agree</w:t>
      </w:r>
    </w:p>
    <w:p w:rsidR="001B2B0D" w:rsidRDefault="001B2B0D" w:rsidP="001B2B0D">
      <w:pPr>
        <w:jc w:val="both"/>
        <w:rPr>
          <w:rFonts w:cs="Arial"/>
        </w:rPr>
      </w:pPr>
      <w:r w:rsidRPr="00127ACE">
        <w:rPr>
          <w:rFonts w:cs="Arial"/>
          <w:b/>
        </w:rPr>
        <w:t>Actions</w:t>
      </w:r>
      <w:r>
        <w:rPr>
          <w:rFonts w:cs="Arial"/>
        </w:rPr>
        <w:t xml:space="preserve">: </w:t>
      </w:r>
      <w:r w:rsidR="00C75EF3">
        <w:rPr>
          <w:rFonts w:cs="Arial"/>
        </w:rPr>
        <w:t>DFAT supports this recommendation and will maintain dialogue with both WFP and the Government of Bangladesh on the value of school feeding and the most appropriate measures of success.</w:t>
      </w:r>
    </w:p>
    <w:p w:rsidR="001B2B0D" w:rsidRPr="00127ACE" w:rsidRDefault="001B2B0D" w:rsidP="001B2B0D">
      <w:pPr>
        <w:jc w:val="both"/>
        <w:rPr>
          <w:rFonts w:cs="Arial"/>
        </w:rPr>
      </w:pPr>
      <w:r w:rsidRPr="00127ACE">
        <w:rPr>
          <w:rFonts w:cs="Arial"/>
          <w:b/>
        </w:rPr>
        <w:t>Responsibility</w:t>
      </w:r>
      <w:r w:rsidRPr="00127ACE">
        <w:rPr>
          <w:rFonts w:cs="Arial"/>
        </w:rPr>
        <w:t xml:space="preserve">: </w:t>
      </w:r>
      <w:r>
        <w:rPr>
          <w:rFonts w:cs="Arial"/>
        </w:rPr>
        <w:t xml:space="preserve">DFAT </w:t>
      </w:r>
    </w:p>
    <w:p w:rsidR="00457C14" w:rsidRDefault="00457C14" w:rsidP="00AF029E">
      <w:pPr>
        <w:jc w:val="both"/>
      </w:pPr>
    </w:p>
    <w:p w:rsidR="00AF029E" w:rsidRDefault="00AF029E" w:rsidP="00457C14">
      <w:pPr>
        <w:pStyle w:val="ListParagraph"/>
        <w:ind w:left="0"/>
        <w:jc w:val="both"/>
        <w:rPr>
          <w:rFonts w:ascii="Arial" w:eastAsia="Times New Roman" w:hAnsi="Arial" w:cs="Arial"/>
          <w:b/>
          <w:sz w:val="20"/>
          <w:lang w:val="en-AU" w:eastAsia="en-US"/>
        </w:rPr>
      </w:pPr>
      <w:r>
        <w:rPr>
          <w:rFonts w:ascii="Arial" w:eastAsia="Times New Roman" w:hAnsi="Arial" w:cs="Arial"/>
          <w:b/>
          <w:sz w:val="20"/>
          <w:lang w:val="en-AU" w:eastAsia="en-US"/>
        </w:rPr>
        <w:t>Recommendation Five</w:t>
      </w:r>
    </w:p>
    <w:p w:rsidR="00457C14" w:rsidRPr="00AF029E" w:rsidRDefault="00457C14" w:rsidP="00AF029E">
      <w:pPr>
        <w:pStyle w:val="ListParagraph"/>
        <w:ind w:left="0"/>
        <w:jc w:val="both"/>
        <w:rPr>
          <w:rFonts w:ascii="Arial" w:eastAsia="Times New Roman" w:hAnsi="Arial" w:cs="Arial"/>
          <w:b/>
          <w:sz w:val="20"/>
          <w:lang w:val="en-AU" w:eastAsia="en-US"/>
        </w:rPr>
      </w:pPr>
      <w:r w:rsidRPr="001B2B0D">
        <w:rPr>
          <w:rFonts w:ascii="Arial" w:eastAsia="Times New Roman" w:hAnsi="Arial" w:cs="Arial"/>
          <w:sz w:val="20"/>
          <w:lang w:val="en-AU" w:eastAsia="en-US"/>
        </w:rPr>
        <w:t>The Australian High Commission should encourage and support, as part of its regular dialogue with WFP, WFP’s continuing development of monitoring and evaluation systems and reporting practices that are appropriate for tracking and accounting for the outcomes of the country programme.</w:t>
      </w:r>
      <w:r w:rsidR="00AF029E">
        <w:rPr>
          <w:rFonts w:ascii="Arial" w:eastAsia="Times New Roman" w:hAnsi="Arial" w:cs="Arial"/>
          <w:b/>
          <w:sz w:val="20"/>
          <w:lang w:val="en-AU" w:eastAsia="en-US"/>
        </w:rPr>
        <w:t xml:space="preserve"> </w:t>
      </w:r>
    </w:p>
    <w:p w:rsidR="00961CC4" w:rsidRPr="00127ACE" w:rsidRDefault="00961CC4" w:rsidP="00961CC4">
      <w:pPr>
        <w:jc w:val="both"/>
        <w:rPr>
          <w:rFonts w:cs="Arial"/>
        </w:rPr>
      </w:pPr>
      <w:r w:rsidRPr="00127ACE">
        <w:rPr>
          <w:rFonts w:cs="Arial"/>
          <w:b/>
        </w:rPr>
        <w:t>Response</w:t>
      </w:r>
      <w:r w:rsidRPr="00127ACE">
        <w:rPr>
          <w:rFonts w:cs="Arial"/>
        </w:rPr>
        <w:t xml:space="preserve">: </w:t>
      </w:r>
      <w:r w:rsidRPr="00127ACE">
        <w:t>Agree</w:t>
      </w:r>
    </w:p>
    <w:p w:rsidR="00F92F66" w:rsidRDefault="00961CC4" w:rsidP="00F92F66">
      <w:pPr>
        <w:jc w:val="both"/>
        <w:rPr>
          <w:rFonts w:cs="Arial"/>
        </w:rPr>
      </w:pPr>
      <w:r w:rsidRPr="00127ACE">
        <w:rPr>
          <w:rFonts w:cs="Arial"/>
          <w:b/>
        </w:rPr>
        <w:t>Actions</w:t>
      </w:r>
      <w:r>
        <w:rPr>
          <w:rFonts w:cs="Arial"/>
        </w:rPr>
        <w:t>: Encourage continued development of WFP’s M&amp;E systems at the country program level, with a particular focus on being able to articulate outcomes of complex interventions.</w:t>
      </w:r>
      <w:r w:rsidR="00F92F66">
        <w:rPr>
          <w:rFonts w:cs="Arial"/>
        </w:rPr>
        <w:t xml:space="preserve">  This will include ensuring M&amp;E update</w:t>
      </w:r>
      <w:r w:rsidR="00C75EF3">
        <w:rPr>
          <w:rFonts w:cs="Arial"/>
        </w:rPr>
        <w:t>s</w:t>
      </w:r>
      <w:r w:rsidR="00F92F66">
        <w:rPr>
          <w:rFonts w:cs="Arial"/>
        </w:rPr>
        <w:t xml:space="preserve"> as a mandatory agenda item on monthly partnership meetings and at the biannual partnership dialogue.</w:t>
      </w:r>
    </w:p>
    <w:p w:rsidR="00961CC4" w:rsidRPr="00127ACE" w:rsidRDefault="00961CC4" w:rsidP="00961CC4">
      <w:pPr>
        <w:jc w:val="both"/>
        <w:rPr>
          <w:rFonts w:cs="Arial"/>
        </w:rPr>
      </w:pPr>
      <w:r w:rsidRPr="00127ACE">
        <w:rPr>
          <w:rFonts w:cs="Arial"/>
          <w:b/>
        </w:rPr>
        <w:t>Responsibility</w:t>
      </w:r>
      <w:r w:rsidRPr="00127ACE">
        <w:rPr>
          <w:rFonts w:cs="Arial"/>
        </w:rPr>
        <w:t xml:space="preserve">: </w:t>
      </w:r>
      <w:r>
        <w:rPr>
          <w:rFonts w:cs="Arial"/>
        </w:rPr>
        <w:t xml:space="preserve">DFAT </w:t>
      </w:r>
    </w:p>
    <w:p w:rsidR="00961CC4" w:rsidRDefault="00961CC4" w:rsidP="00127ACE">
      <w:pPr>
        <w:jc w:val="both"/>
        <w:rPr>
          <w:rFonts w:cs="Arial"/>
          <w:szCs w:val="20"/>
        </w:rPr>
      </w:pPr>
    </w:p>
    <w:sectPr w:rsidR="00961CC4" w:rsidSect="007139AA">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DA3" w:rsidRDefault="00DC0DA3">
      <w:pPr>
        <w:pStyle w:val="Table-list-number"/>
      </w:pPr>
      <w:r>
        <w:separator/>
      </w:r>
    </w:p>
  </w:endnote>
  <w:endnote w:type="continuationSeparator" w:id="0">
    <w:p w:rsidR="00DC0DA3" w:rsidRDefault="00DC0DA3">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FranklinGothicBoo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4D" w:rsidRDefault="004F1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9FA" w:rsidRPr="00AE52D5" w:rsidRDefault="008A39FA" w:rsidP="00AE52D5">
    <w:pPr>
      <w:pStyle w:val="Footer"/>
      <w:pBdr>
        <w:top w:val="single" w:sz="4" w:space="7" w:color="333333"/>
      </w:pBdr>
      <w:tabs>
        <w:tab w:val="clear" w:pos="4153"/>
        <w:tab w:val="clear" w:pos="8306"/>
        <w:tab w:val="right" w:pos="9639"/>
      </w:tabs>
      <w:rPr>
        <w:rStyle w:val="PageNumber"/>
      </w:rPr>
    </w:pP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866F5C">
      <w:rPr>
        <w:rStyle w:val="PageNumber"/>
        <w:noProof/>
      </w:rPr>
      <w:t>4</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866F5C">
      <w:rPr>
        <w:rStyle w:val="PageNumber"/>
        <w:noProof/>
      </w:rPr>
      <w:t>4</w:t>
    </w:r>
    <w:r w:rsidRPr="00AE52D5">
      <w:rPr>
        <w:rStyle w:val="PageNumber"/>
      </w:rPr>
      <w:fldChar w:fldCharType="end"/>
    </w:r>
  </w:p>
  <w:p w:rsidR="008A39FA" w:rsidRPr="00AE52D5" w:rsidRDefault="008A39FA" w:rsidP="00AE52D5">
    <w:pPr>
      <w:pStyle w:val="Footer"/>
      <w:pBdr>
        <w:top w:val="single" w:sz="4" w:space="7" w:color="333333"/>
      </w:pBdr>
      <w:tabs>
        <w:tab w:val="clear" w:pos="4153"/>
        <w:tab w:val="clear" w:pos="8306"/>
        <w:tab w:val="right" w:pos="9639"/>
      </w:tabs>
    </w:pPr>
    <w:r w:rsidRPr="00AE52D5">
      <w:tab/>
    </w:r>
  </w:p>
  <w:p w:rsidR="008A39FA" w:rsidRPr="000815FC" w:rsidRDefault="008A39FA" w:rsidP="00887304">
    <w:pPr>
      <w:pStyle w:val="Footer"/>
      <w:pBdr>
        <w:top w:val="single" w:sz="4" w:space="8" w:color="999999"/>
      </w:pBdr>
      <w:tabs>
        <w:tab w:val="clear" w:pos="4153"/>
        <w:tab w:val="clear" w:pos="8306"/>
        <w:tab w:val="right" w:pos="9639"/>
      </w:tabs>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4D" w:rsidRDefault="004F1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DA3" w:rsidRDefault="00DC0DA3">
      <w:pPr>
        <w:pStyle w:val="Table-list-number"/>
      </w:pPr>
      <w:r>
        <w:separator/>
      </w:r>
    </w:p>
  </w:footnote>
  <w:footnote w:type="continuationSeparator" w:id="0">
    <w:p w:rsidR="00DC0DA3" w:rsidRDefault="00DC0DA3">
      <w:pPr>
        <w:pStyle w:val="Table-list-numb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4D" w:rsidRDefault="004F1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4D" w:rsidRDefault="004F1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4D" w:rsidRDefault="004F1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6A10"/>
    <w:multiLevelType w:val="multilevel"/>
    <w:tmpl w:val="5EC8BC40"/>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644581"/>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75D85"/>
    <w:multiLevelType w:val="hybridMultilevel"/>
    <w:tmpl w:val="A0A6AAD8"/>
    <w:lvl w:ilvl="0" w:tplc="7F402E40">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856708"/>
    <w:multiLevelType w:val="hybridMultilevel"/>
    <w:tmpl w:val="BD005BE8"/>
    <w:lvl w:ilvl="0" w:tplc="03B0FA2A">
      <w:numFmt w:val="bullet"/>
      <w:lvlText w:val="-"/>
      <w:lvlJc w:val="left"/>
      <w:pPr>
        <w:tabs>
          <w:tab w:val="num" w:pos="397"/>
        </w:tabs>
        <w:ind w:left="39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E6952"/>
    <w:multiLevelType w:val="hybridMultilevel"/>
    <w:tmpl w:val="5BD0A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517EE7"/>
    <w:multiLevelType w:val="hybridMultilevel"/>
    <w:tmpl w:val="540851C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7" w15:restartNumberingAfterBreak="0">
    <w:nsid w:val="20BF696C"/>
    <w:multiLevelType w:val="hybridMultilevel"/>
    <w:tmpl w:val="44EA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703D64"/>
    <w:multiLevelType w:val="hybridMultilevel"/>
    <w:tmpl w:val="B8AAF53A"/>
    <w:lvl w:ilvl="0" w:tplc="B2806932">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2A8D1296"/>
    <w:multiLevelType w:val="hybridMultilevel"/>
    <w:tmpl w:val="5EC8BC40"/>
    <w:lvl w:ilvl="0" w:tplc="3F200F0E">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EA0839"/>
    <w:multiLevelType w:val="hybridMultilevel"/>
    <w:tmpl w:val="4042B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4006C"/>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2345DD"/>
    <w:multiLevelType w:val="hybridMultilevel"/>
    <w:tmpl w:val="F06E71B4"/>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4" w15:restartNumberingAfterBreak="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FBF66C4"/>
    <w:multiLevelType w:val="hybridMultilevel"/>
    <w:tmpl w:val="960244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C2392D"/>
    <w:multiLevelType w:val="hybridMultilevel"/>
    <w:tmpl w:val="5694FF50"/>
    <w:lvl w:ilvl="0" w:tplc="AF9A3AE6">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8" w15:restartNumberingAfterBreak="0">
    <w:nsid w:val="3C64032D"/>
    <w:multiLevelType w:val="hybridMultilevel"/>
    <w:tmpl w:val="FE4430FC"/>
    <w:lvl w:ilvl="0" w:tplc="EA8229C4">
      <w:numFmt w:val="bullet"/>
      <w:lvlText w:val=""/>
      <w:lvlJc w:val="left"/>
      <w:pPr>
        <w:tabs>
          <w:tab w:val="num" w:pos="720"/>
        </w:tabs>
        <w:ind w:left="720" w:hanging="360"/>
      </w:pPr>
      <w:rPr>
        <w:rFonts w:ascii="Wingdings" w:hAnsi="Wingdings" w:cs="Times New Roman"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85E20"/>
    <w:multiLevelType w:val="hybridMultilevel"/>
    <w:tmpl w:val="6548178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8C56684"/>
    <w:multiLevelType w:val="hybridMultilevel"/>
    <w:tmpl w:val="BC8A9B00"/>
    <w:lvl w:ilvl="0" w:tplc="0409000F">
      <w:start w:val="1"/>
      <w:numFmt w:val="decimal"/>
      <w:lvlText w:val="%1."/>
      <w:lvlJc w:val="left"/>
      <w:pPr>
        <w:tabs>
          <w:tab w:val="num" w:pos="720"/>
        </w:tabs>
        <w:ind w:left="720" w:hanging="360"/>
      </w:pPr>
    </w:lvl>
    <w:lvl w:ilvl="1" w:tplc="D3E0EC3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CF4F7B"/>
    <w:multiLevelType w:val="multilevel"/>
    <w:tmpl w:val="FE4430FC"/>
    <w:lvl w:ilvl="0">
      <w:numFmt w:val="bullet"/>
      <w:lvlText w:val=""/>
      <w:lvlJc w:val="left"/>
      <w:pPr>
        <w:tabs>
          <w:tab w:val="num" w:pos="720"/>
        </w:tabs>
        <w:ind w:left="720" w:hanging="360"/>
      </w:pPr>
      <w:rPr>
        <w:rFonts w:ascii="Wingdings" w:hAnsi="Wingdings" w:cs="Times New Roman" w:hint="default"/>
        <w:b w:val="0"/>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7E6638"/>
    <w:multiLevelType w:val="hybridMultilevel"/>
    <w:tmpl w:val="CC32436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06C1419"/>
    <w:multiLevelType w:val="multilevel"/>
    <w:tmpl w:val="2A240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A16312"/>
    <w:multiLevelType w:val="hybridMultilevel"/>
    <w:tmpl w:val="0248FFAE"/>
    <w:lvl w:ilvl="0" w:tplc="3C888874">
      <w:numFmt w:val="bullet"/>
      <w:lvlText w:val=""/>
      <w:lvlJc w:val="left"/>
      <w:pPr>
        <w:tabs>
          <w:tab w:val="num" w:pos="717"/>
        </w:tabs>
        <w:ind w:left="717" w:hanging="360"/>
      </w:pPr>
      <w:rPr>
        <w:rFonts w:ascii="Wingdings" w:hAnsi="Wingdings" w:cs="Times New Roman"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990D16"/>
    <w:multiLevelType w:val="multilevel"/>
    <w:tmpl w:val="B8AAF53A"/>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E65D90"/>
    <w:multiLevelType w:val="hybridMultilevel"/>
    <w:tmpl w:val="56686C2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8247B9"/>
    <w:multiLevelType w:val="hybridMultilevel"/>
    <w:tmpl w:val="B4F22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1B3406"/>
    <w:multiLevelType w:val="hybridMultilevel"/>
    <w:tmpl w:val="973A3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7D395E"/>
    <w:multiLevelType w:val="hybridMultilevel"/>
    <w:tmpl w:val="F0C69608"/>
    <w:lvl w:ilvl="0" w:tplc="234ECC50">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CC66FC"/>
    <w:multiLevelType w:val="multilevel"/>
    <w:tmpl w:val="5694FF50"/>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3" w15:restartNumberingAfterBreak="0">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471930"/>
    <w:multiLevelType w:val="hybridMultilevel"/>
    <w:tmpl w:val="D368F730"/>
    <w:lvl w:ilvl="0" w:tplc="CFB4EBF4">
      <w:numFmt w:val="bullet"/>
      <w:lvlText w:val=""/>
      <w:lvlJc w:val="left"/>
      <w:pPr>
        <w:tabs>
          <w:tab w:val="num" w:pos="284"/>
        </w:tabs>
        <w:ind w:left="284" w:hanging="284"/>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CE4871"/>
    <w:multiLevelType w:val="hybridMultilevel"/>
    <w:tmpl w:val="C44E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20"/>
  </w:num>
  <w:num w:numId="4">
    <w:abstractNumId w:val="14"/>
  </w:num>
  <w:num w:numId="5">
    <w:abstractNumId w:val="32"/>
  </w:num>
  <w:num w:numId="6">
    <w:abstractNumId w:val="33"/>
  </w:num>
  <w:num w:numId="7">
    <w:abstractNumId w:val="1"/>
  </w:num>
  <w:num w:numId="8">
    <w:abstractNumId w:val="28"/>
  </w:num>
  <w:num w:numId="9">
    <w:abstractNumId w:val="3"/>
  </w:num>
  <w:num w:numId="10">
    <w:abstractNumId w:val="32"/>
  </w:num>
  <w:num w:numId="11">
    <w:abstractNumId w:val="32"/>
  </w:num>
  <w:num w:numId="12">
    <w:abstractNumId w:val="9"/>
  </w:num>
  <w:num w:numId="13">
    <w:abstractNumId w:val="20"/>
  </w:num>
  <w:num w:numId="14">
    <w:abstractNumId w:val="14"/>
  </w:num>
  <w:num w:numId="15">
    <w:abstractNumId w:val="14"/>
  </w:num>
  <w:num w:numId="16">
    <w:abstractNumId w:val="32"/>
  </w:num>
  <w:num w:numId="17">
    <w:abstractNumId w:val="33"/>
  </w:num>
  <w:num w:numId="18">
    <w:abstractNumId w:val="1"/>
  </w:num>
  <w:num w:numId="19">
    <w:abstractNumId w:val="2"/>
  </w:num>
  <w:num w:numId="20">
    <w:abstractNumId w:val="16"/>
  </w:num>
  <w:num w:numId="21">
    <w:abstractNumId w:val="31"/>
  </w:num>
  <w:num w:numId="22">
    <w:abstractNumId w:val="10"/>
  </w:num>
  <w:num w:numId="23">
    <w:abstractNumId w:val="0"/>
  </w:num>
  <w:num w:numId="24">
    <w:abstractNumId w:val="8"/>
  </w:num>
  <w:num w:numId="25">
    <w:abstractNumId w:val="26"/>
  </w:num>
  <w:num w:numId="26">
    <w:abstractNumId w:val="18"/>
  </w:num>
  <w:num w:numId="27">
    <w:abstractNumId w:val="12"/>
  </w:num>
  <w:num w:numId="28">
    <w:abstractNumId w:val="25"/>
  </w:num>
  <w:num w:numId="29">
    <w:abstractNumId w:val="22"/>
  </w:num>
  <w:num w:numId="30">
    <w:abstractNumId w:val="30"/>
  </w:num>
  <w:num w:numId="31">
    <w:abstractNumId w:val="27"/>
  </w:num>
  <w:num w:numId="32">
    <w:abstractNumId w:val="13"/>
  </w:num>
  <w:num w:numId="33">
    <w:abstractNumId w:val="23"/>
  </w:num>
  <w:num w:numId="34">
    <w:abstractNumId w:val="21"/>
  </w:num>
  <w:num w:numId="35">
    <w:abstractNumId w:val="17"/>
  </w:num>
  <w:num w:numId="36">
    <w:abstractNumId w:val="4"/>
  </w:num>
  <w:num w:numId="37">
    <w:abstractNumId w:val="35"/>
  </w:num>
  <w:num w:numId="38">
    <w:abstractNumId w:val="29"/>
  </w:num>
  <w:num w:numId="39">
    <w:abstractNumId w:val="5"/>
  </w:num>
  <w:num w:numId="40">
    <w:abstractNumId w:val="6"/>
  </w:num>
  <w:num w:numId="41">
    <w:abstractNumId w:val="7"/>
  </w:num>
  <w:num w:numId="42">
    <w:abstractNumId w:val="11"/>
  </w:num>
  <w:num w:numId="43">
    <w:abstractNumId w:val="19"/>
  </w:num>
  <w:num w:numId="44">
    <w:abstractNumId w:val="24"/>
  </w:num>
  <w:num w:numId="4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35"/>
    <w:rsid w:val="00012070"/>
    <w:rsid w:val="00012E96"/>
    <w:rsid w:val="000135D5"/>
    <w:rsid w:val="00015371"/>
    <w:rsid w:val="000163BD"/>
    <w:rsid w:val="000218D7"/>
    <w:rsid w:val="0002698E"/>
    <w:rsid w:val="000272E0"/>
    <w:rsid w:val="00031779"/>
    <w:rsid w:val="000412DD"/>
    <w:rsid w:val="00046E33"/>
    <w:rsid w:val="00052316"/>
    <w:rsid w:val="00054700"/>
    <w:rsid w:val="00066919"/>
    <w:rsid w:val="00067C95"/>
    <w:rsid w:val="0007162A"/>
    <w:rsid w:val="00071CEC"/>
    <w:rsid w:val="000728D3"/>
    <w:rsid w:val="000733A7"/>
    <w:rsid w:val="000765F5"/>
    <w:rsid w:val="00077243"/>
    <w:rsid w:val="000815FC"/>
    <w:rsid w:val="000869CE"/>
    <w:rsid w:val="00091FA2"/>
    <w:rsid w:val="00094CE2"/>
    <w:rsid w:val="000A77DB"/>
    <w:rsid w:val="000B520A"/>
    <w:rsid w:val="000B7AFD"/>
    <w:rsid w:val="000C4574"/>
    <w:rsid w:val="000C6EB7"/>
    <w:rsid w:val="000C7D96"/>
    <w:rsid w:val="000D316D"/>
    <w:rsid w:val="000D38AE"/>
    <w:rsid w:val="000E1475"/>
    <w:rsid w:val="000E1958"/>
    <w:rsid w:val="000E2FF3"/>
    <w:rsid w:val="000F0738"/>
    <w:rsid w:val="000F500F"/>
    <w:rsid w:val="000F51D5"/>
    <w:rsid w:val="000F5FF5"/>
    <w:rsid w:val="0010006D"/>
    <w:rsid w:val="00102362"/>
    <w:rsid w:val="00104963"/>
    <w:rsid w:val="001077BF"/>
    <w:rsid w:val="00113C84"/>
    <w:rsid w:val="00116D39"/>
    <w:rsid w:val="00121F43"/>
    <w:rsid w:val="001236CF"/>
    <w:rsid w:val="00123C3E"/>
    <w:rsid w:val="0012582F"/>
    <w:rsid w:val="00127ACE"/>
    <w:rsid w:val="00134B6C"/>
    <w:rsid w:val="001378B7"/>
    <w:rsid w:val="00140289"/>
    <w:rsid w:val="00144AF1"/>
    <w:rsid w:val="001461C8"/>
    <w:rsid w:val="001467C6"/>
    <w:rsid w:val="00151891"/>
    <w:rsid w:val="00153F2A"/>
    <w:rsid w:val="00157578"/>
    <w:rsid w:val="001614B0"/>
    <w:rsid w:val="00164231"/>
    <w:rsid w:val="0016457C"/>
    <w:rsid w:val="00173632"/>
    <w:rsid w:val="00175FFC"/>
    <w:rsid w:val="001779DA"/>
    <w:rsid w:val="00177AC0"/>
    <w:rsid w:val="00177B62"/>
    <w:rsid w:val="00184728"/>
    <w:rsid w:val="001874BC"/>
    <w:rsid w:val="001917F6"/>
    <w:rsid w:val="0019521C"/>
    <w:rsid w:val="001A08E7"/>
    <w:rsid w:val="001A7552"/>
    <w:rsid w:val="001B1EE4"/>
    <w:rsid w:val="001B2B0D"/>
    <w:rsid w:val="001B5DEE"/>
    <w:rsid w:val="001D264A"/>
    <w:rsid w:val="001D4DE1"/>
    <w:rsid w:val="001D7353"/>
    <w:rsid w:val="001E3D24"/>
    <w:rsid w:val="001E4372"/>
    <w:rsid w:val="001E4FCC"/>
    <w:rsid w:val="001F3BA0"/>
    <w:rsid w:val="001F548E"/>
    <w:rsid w:val="001F6035"/>
    <w:rsid w:val="00201759"/>
    <w:rsid w:val="00206132"/>
    <w:rsid w:val="00214F7F"/>
    <w:rsid w:val="00221D53"/>
    <w:rsid w:val="00223581"/>
    <w:rsid w:val="00232239"/>
    <w:rsid w:val="002425E0"/>
    <w:rsid w:val="00245265"/>
    <w:rsid w:val="00250414"/>
    <w:rsid w:val="00250CB9"/>
    <w:rsid w:val="002524DA"/>
    <w:rsid w:val="002546B7"/>
    <w:rsid w:val="00255DF0"/>
    <w:rsid w:val="00257DD7"/>
    <w:rsid w:val="00264366"/>
    <w:rsid w:val="00276F45"/>
    <w:rsid w:val="002824B7"/>
    <w:rsid w:val="002839B9"/>
    <w:rsid w:val="002958A3"/>
    <w:rsid w:val="0029717D"/>
    <w:rsid w:val="002B2279"/>
    <w:rsid w:val="002B2BA6"/>
    <w:rsid w:val="002B5216"/>
    <w:rsid w:val="002B741C"/>
    <w:rsid w:val="002C3E93"/>
    <w:rsid w:val="002D1173"/>
    <w:rsid w:val="002D2290"/>
    <w:rsid w:val="002D4C96"/>
    <w:rsid w:val="002E0EA2"/>
    <w:rsid w:val="002E7065"/>
    <w:rsid w:val="002E7124"/>
    <w:rsid w:val="002E7A09"/>
    <w:rsid w:val="002F001E"/>
    <w:rsid w:val="002F13CD"/>
    <w:rsid w:val="002F3803"/>
    <w:rsid w:val="002F6F55"/>
    <w:rsid w:val="0030264B"/>
    <w:rsid w:val="00310523"/>
    <w:rsid w:val="00310FA6"/>
    <w:rsid w:val="00316C8A"/>
    <w:rsid w:val="00326D2A"/>
    <w:rsid w:val="00334E51"/>
    <w:rsid w:val="00342870"/>
    <w:rsid w:val="00345F77"/>
    <w:rsid w:val="00350675"/>
    <w:rsid w:val="00350917"/>
    <w:rsid w:val="00355A3E"/>
    <w:rsid w:val="0035724B"/>
    <w:rsid w:val="00367DA3"/>
    <w:rsid w:val="003719DB"/>
    <w:rsid w:val="00371B8D"/>
    <w:rsid w:val="00373EB2"/>
    <w:rsid w:val="0037535E"/>
    <w:rsid w:val="0039002F"/>
    <w:rsid w:val="00390A59"/>
    <w:rsid w:val="00394C72"/>
    <w:rsid w:val="00395728"/>
    <w:rsid w:val="00397F85"/>
    <w:rsid w:val="003A09AD"/>
    <w:rsid w:val="003A273C"/>
    <w:rsid w:val="003A332C"/>
    <w:rsid w:val="003A36D5"/>
    <w:rsid w:val="003A47D6"/>
    <w:rsid w:val="003A4D26"/>
    <w:rsid w:val="003B518A"/>
    <w:rsid w:val="003C0A67"/>
    <w:rsid w:val="003C24EC"/>
    <w:rsid w:val="003C25ED"/>
    <w:rsid w:val="003D0C24"/>
    <w:rsid w:val="003D236A"/>
    <w:rsid w:val="003D4CAC"/>
    <w:rsid w:val="003D548A"/>
    <w:rsid w:val="003D5CFC"/>
    <w:rsid w:val="003D6E0A"/>
    <w:rsid w:val="003D7317"/>
    <w:rsid w:val="003D73A9"/>
    <w:rsid w:val="003E0DFE"/>
    <w:rsid w:val="003E2603"/>
    <w:rsid w:val="003E3E3E"/>
    <w:rsid w:val="003E6561"/>
    <w:rsid w:val="003E7BC4"/>
    <w:rsid w:val="003F0F7E"/>
    <w:rsid w:val="003F2997"/>
    <w:rsid w:val="003F43CF"/>
    <w:rsid w:val="003F43F9"/>
    <w:rsid w:val="003F72E3"/>
    <w:rsid w:val="003F7486"/>
    <w:rsid w:val="003F7C64"/>
    <w:rsid w:val="0040239B"/>
    <w:rsid w:val="004032D0"/>
    <w:rsid w:val="00406563"/>
    <w:rsid w:val="00406867"/>
    <w:rsid w:val="00406CD2"/>
    <w:rsid w:val="00411862"/>
    <w:rsid w:val="004135C6"/>
    <w:rsid w:val="00416565"/>
    <w:rsid w:val="00417957"/>
    <w:rsid w:val="004221A5"/>
    <w:rsid w:val="00434134"/>
    <w:rsid w:val="00436970"/>
    <w:rsid w:val="00444D45"/>
    <w:rsid w:val="00447529"/>
    <w:rsid w:val="00454766"/>
    <w:rsid w:val="004555E2"/>
    <w:rsid w:val="00455F94"/>
    <w:rsid w:val="00456E9B"/>
    <w:rsid w:val="00457C14"/>
    <w:rsid w:val="00461286"/>
    <w:rsid w:val="00461D80"/>
    <w:rsid w:val="00466CDA"/>
    <w:rsid w:val="004707CB"/>
    <w:rsid w:val="00472EBA"/>
    <w:rsid w:val="00473AA7"/>
    <w:rsid w:val="00476FDC"/>
    <w:rsid w:val="0047719C"/>
    <w:rsid w:val="00492276"/>
    <w:rsid w:val="00496DB3"/>
    <w:rsid w:val="004A100E"/>
    <w:rsid w:val="004A56A0"/>
    <w:rsid w:val="004A6B90"/>
    <w:rsid w:val="004C00C0"/>
    <w:rsid w:val="004C39F4"/>
    <w:rsid w:val="004C429D"/>
    <w:rsid w:val="004C4E57"/>
    <w:rsid w:val="004C675F"/>
    <w:rsid w:val="004D31A0"/>
    <w:rsid w:val="004D3454"/>
    <w:rsid w:val="004E0A16"/>
    <w:rsid w:val="004E150A"/>
    <w:rsid w:val="004E37BD"/>
    <w:rsid w:val="004F1E4D"/>
    <w:rsid w:val="004F34D4"/>
    <w:rsid w:val="004F5F17"/>
    <w:rsid w:val="004F708B"/>
    <w:rsid w:val="00504689"/>
    <w:rsid w:val="005077AB"/>
    <w:rsid w:val="005149FE"/>
    <w:rsid w:val="005154F9"/>
    <w:rsid w:val="0052010E"/>
    <w:rsid w:val="00522766"/>
    <w:rsid w:val="00523BBF"/>
    <w:rsid w:val="0052786E"/>
    <w:rsid w:val="00530283"/>
    <w:rsid w:val="00533CE7"/>
    <w:rsid w:val="005477B9"/>
    <w:rsid w:val="00550E26"/>
    <w:rsid w:val="005566F8"/>
    <w:rsid w:val="005672CB"/>
    <w:rsid w:val="0056774F"/>
    <w:rsid w:val="005720B5"/>
    <w:rsid w:val="00576EED"/>
    <w:rsid w:val="005829CA"/>
    <w:rsid w:val="00585863"/>
    <w:rsid w:val="00586B72"/>
    <w:rsid w:val="0059065C"/>
    <w:rsid w:val="00591AF1"/>
    <w:rsid w:val="005928E6"/>
    <w:rsid w:val="00593DB7"/>
    <w:rsid w:val="0059519C"/>
    <w:rsid w:val="00595F6A"/>
    <w:rsid w:val="00596949"/>
    <w:rsid w:val="005A4455"/>
    <w:rsid w:val="005A47C3"/>
    <w:rsid w:val="005A6B4A"/>
    <w:rsid w:val="005A7156"/>
    <w:rsid w:val="005A7776"/>
    <w:rsid w:val="005D008B"/>
    <w:rsid w:val="005D3F4B"/>
    <w:rsid w:val="005E0F91"/>
    <w:rsid w:val="005E3939"/>
    <w:rsid w:val="005F5FB8"/>
    <w:rsid w:val="005F7EA9"/>
    <w:rsid w:val="00611E1D"/>
    <w:rsid w:val="0061231E"/>
    <w:rsid w:val="006144ED"/>
    <w:rsid w:val="00614E79"/>
    <w:rsid w:val="00614EC8"/>
    <w:rsid w:val="006153BC"/>
    <w:rsid w:val="006157B9"/>
    <w:rsid w:val="00630522"/>
    <w:rsid w:val="00632378"/>
    <w:rsid w:val="00632714"/>
    <w:rsid w:val="00636F15"/>
    <w:rsid w:val="00642F53"/>
    <w:rsid w:val="00654BC0"/>
    <w:rsid w:val="00656E2F"/>
    <w:rsid w:val="00670B32"/>
    <w:rsid w:val="00670D9D"/>
    <w:rsid w:val="00672083"/>
    <w:rsid w:val="00677BF8"/>
    <w:rsid w:val="00681953"/>
    <w:rsid w:val="00681FC6"/>
    <w:rsid w:val="00683EB4"/>
    <w:rsid w:val="00691182"/>
    <w:rsid w:val="0069196B"/>
    <w:rsid w:val="00696A03"/>
    <w:rsid w:val="006A069A"/>
    <w:rsid w:val="006A33F8"/>
    <w:rsid w:val="006A6864"/>
    <w:rsid w:val="006B0754"/>
    <w:rsid w:val="006B0F3C"/>
    <w:rsid w:val="006B204D"/>
    <w:rsid w:val="006B4A7A"/>
    <w:rsid w:val="006B5E30"/>
    <w:rsid w:val="006B7BFE"/>
    <w:rsid w:val="006C2142"/>
    <w:rsid w:val="006D31BA"/>
    <w:rsid w:val="006D7297"/>
    <w:rsid w:val="006E0843"/>
    <w:rsid w:val="006E08F6"/>
    <w:rsid w:val="00706041"/>
    <w:rsid w:val="007104C5"/>
    <w:rsid w:val="007139AA"/>
    <w:rsid w:val="0072064D"/>
    <w:rsid w:val="007336DD"/>
    <w:rsid w:val="00743FDA"/>
    <w:rsid w:val="00744139"/>
    <w:rsid w:val="007478C2"/>
    <w:rsid w:val="00747B90"/>
    <w:rsid w:val="00755ECE"/>
    <w:rsid w:val="007617BD"/>
    <w:rsid w:val="00762F7B"/>
    <w:rsid w:val="0076336B"/>
    <w:rsid w:val="00767EB4"/>
    <w:rsid w:val="007717B2"/>
    <w:rsid w:val="0077265D"/>
    <w:rsid w:val="00773746"/>
    <w:rsid w:val="0077790F"/>
    <w:rsid w:val="007820D0"/>
    <w:rsid w:val="00783EFE"/>
    <w:rsid w:val="00783F58"/>
    <w:rsid w:val="007A2AA0"/>
    <w:rsid w:val="007B042E"/>
    <w:rsid w:val="007C0E48"/>
    <w:rsid w:val="007C5FAB"/>
    <w:rsid w:val="007C7DA6"/>
    <w:rsid w:val="007D2631"/>
    <w:rsid w:val="007D3466"/>
    <w:rsid w:val="007E287E"/>
    <w:rsid w:val="007E37A6"/>
    <w:rsid w:val="007E4E22"/>
    <w:rsid w:val="007E4FE8"/>
    <w:rsid w:val="007E60A1"/>
    <w:rsid w:val="007E694D"/>
    <w:rsid w:val="007F112A"/>
    <w:rsid w:val="007F3EE5"/>
    <w:rsid w:val="00800650"/>
    <w:rsid w:val="00802A54"/>
    <w:rsid w:val="00804AEF"/>
    <w:rsid w:val="00804D49"/>
    <w:rsid w:val="008055DC"/>
    <w:rsid w:val="00806888"/>
    <w:rsid w:val="00814D47"/>
    <w:rsid w:val="0081654C"/>
    <w:rsid w:val="00816584"/>
    <w:rsid w:val="00817570"/>
    <w:rsid w:val="00831FE2"/>
    <w:rsid w:val="008331CE"/>
    <w:rsid w:val="00843412"/>
    <w:rsid w:val="00843D42"/>
    <w:rsid w:val="00845B17"/>
    <w:rsid w:val="00847FA2"/>
    <w:rsid w:val="00854EAF"/>
    <w:rsid w:val="00864A76"/>
    <w:rsid w:val="00865EB2"/>
    <w:rsid w:val="00866F5C"/>
    <w:rsid w:val="0087604D"/>
    <w:rsid w:val="00885DE5"/>
    <w:rsid w:val="00886689"/>
    <w:rsid w:val="00887304"/>
    <w:rsid w:val="00893A26"/>
    <w:rsid w:val="00894472"/>
    <w:rsid w:val="008A39FA"/>
    <w:rsid w:val="008B3156"/>
    <w:rsid w:val="008B7666"/>
    <w:rsid w:val="008D105C"/>
    <w:rsid w:val="008D68D2"/>
    <w:rsid w:val="008D6B75"/>
    <w:rsid w:val="008D716B"/>
    <w:rsid w:val="008D7666"/>
    <w:rsid w:val="008E05AB"/>
    <w:rsid w:val="008E0C4C"/>
    <w:rsid w:val="008F36C7"/>
    <w:rsid w:val="0091135C"/>
    <w:rsid w:val="00913F5E"/>
    <w:rsid w:val="00921CBF"/>
    <w:rsid w:val="00923B0C"/>
    <w:rsid w:val="009247FD"/>
    <w:rsid w:val="00933453"/>
    <w:rsid w:val="00933765"/>
    <w:rsid w:val="00936948"/>
    <w:rsid w:val="0094057D"/>
    <w:rsid w:val="00944BC2"/>
    <w:rsid w:val="009466AC"/>
    <w:rsid w:val="009526A3"/>
    <w:rsid w:val="00953FAD"/>
    <w:rsid w:val="0095688C"/>
    <w:rsid w:val="00961CC4"/>
    <w:rsid w:val="00963C76"/>
    <w:rsid w:val="00963FE5"/>
    <w:rsid w:val="00975EFF"/>
    <w:rsid w:val="00982318"/>
    <w:rsid w:val="00983442"/>
    <w:rsid w:val="00986BD0"/>
    <w:rsid w:val="00993D41"/>
    <w:rsid w:val="009A38BE"/>
    <w:rsid w:val="009A4B0D"/>
    <w:rsid w:val="009B1EDE"/>
    <w:rsid w:val="009B4B2D"/>
    <w:rsid w:val="009B6244"/>
    <w:rsid w:val="009B6A20"/>
    <w:rsid w:val="009C235A"/>
    <w:rsid w:val="009C34DA"/>
    <w:rsid w:val="009C73C2"/>
    <w:rsid w:val="009D62FF"/>
    <w:rsid w:val="009D6DE1"/>
    <w:rsid w:val="009D7187"/>
    <w:rsid w:val="009E74C0"/>
    <w:rsid w:val="00A02130"/>
    <w:rsid w:val="00A04888"/>
    <w:rsid w:val="00A236A7"/>
    <w:rsid w:val="00A2540E"/>
    <w:rsid w:val="00A268C7"/>
    <w:rsid w:val="00A32596"/>
    <w:rsid w:val="00A33696"/>
    <w:rsid w:val="00A346E9"/>
    <w:rsid w:val="00A36EBD"/>
    <w:rsid w:val="00A435F6"/>
    <w:rsid w:val="00A44E49"/>
    <w:rsid w:val="00A5059C"/>
    <w:rsid w:val="00A519CC"/>
    <w:rsid w:val="00A5273A"/>
    <w:rsid w:val="00A53647"/>
    <w:rsid w:val="00A558C5"/>
    <w:rsid w:val="00A55C90"/>
    <w:rsid w:val="00A71362"/>
    <w:rsid w:val="00A75B48"/>
    <w:rsid w:val="00A85757"/>
    <w:rsid w:val="00A872B1"/>
    <w:rsid w:val="00A907D7"/>
    <w:rsid w:val="00A91D3A"/>
    <w:rsid w:val="00A94B71"/>
    <w:rsid w:val="00AA4991"/>
    <w:rsid w:val="00AB6960"/>
    <w:rsid w:val="00AC1842"/>
    <w:rsid w:val="00AC3332"/>
    <w:rsid w:val="00AD1B8A"/>
    <w:rsid w:val="00AE250D"/>
    <w:rsid w:val="00AE52D5"/>
    <w:rsid w:val="00AE5F85"/>
    <w:rsid w:val="00AE7561"/>
    <w:rsid w:val="00AE7D1D"/>
    <w:rsid w:val="00AF029E"/>
    <w:rsid w:val="00AF1433"/>
    <w:rsid w:val="00AF367C"/>
    <w:rsid w:val="00AF4FCA"/>
    <w:rsid w:val="00AF6052"/>
    <w:rsid w:val="00B008B4"/>
    <w:rsid w:val="00B02148"/>
    <w:rsid w:val="00B04101"/>
    <w:rsid w:val="00B045C1"/>
    <w:rsid w:val="00B06A1E"/>
    <w:rsid w:val="00B07AD5"/>
    <w:rsid w:val="00B11A4D"/>
    <w:rsid w:val="00B1222C"/>
    <w:rsid w:val="00B2593F"/>
    <w:rsid w:val="00B31C91"/>
    <w:rsid w:val="00B33A1F"/>
    <w:rsid w:val="00B35F23"/>
    <w:rsid w:val="00B362C7"/>
    <w:rsid w:val="00B369D1"/>
    <w:rsid w:val="00B40A93"/>
    <w:rsid w:val="00B41A17"/>
    <w:rsid w:val="00B432DE"/>
    <w:rsid w:val="00B4437C"/>
    <w:rsid w:val="00B67F3E"/>
    <w:rsid w:val="00B72C64"/>
    <w:rsid w:val="00B75863"/>
    <w:rsid w:val="00B766F4"/>
    <w:rsid w:val="00B8200C"/>
    <w:rsid w:val="00B84249"/>
    <w:rsid w:val="00B86E2F"/>
    <w:rsid w:val="00B91940"/>
    <w:rsid w:val="00B92650"/>
    <w:rsid w:val="00B93E67"/>
    <w:rsid w:val="00B9551F"/>
    <w:rsid w:val="00BA3C47"/>
    <w:rsid w:val="00BB00BE"/>
    <w:rsid w:val="00BB228A"/>
    <w:rsid w:val="00BB53D4"/>
    <w:rsid w:val="00BC2C84"/>
    <w:rsid w:val="00BC5D5C"/>
    <w:rsid w:val="00BD1EF6"/>
    <w:rsid w:val="00BD5BBA"/>
    <w:rsid w:val="00BF3562"/>
    <w:rsid w:val="00BF3735"/>
    <w:rsid w:val="00C00080"/>
    <w:rsid w:val="00C00100"/>
    <w:rsid w:val="00C01019"/>
    <w:rsid w:val="00C0509D"/>
    <w:rsid w:val="00C0520A"/>
    <w:rsid w:val="00C13229"/>
    <w:rsid w:val="00C16B9D"/>
    <w:rsid w:val="00C20446"/>
    <w:rsid w:val="00C263B2"/>
    <w:rsid w:val="00C30DF5"/>
    <w:rsid w:val="00C42279"/>
    <w:rsid w:val="00C441FE"/>
    <w:rsid w:val="00C4776D"/>
    <w:rsid w:val="00C51434"/>
    <w:rsid w:val="00C53398"/>
    <w:rsid w:val="00C6299D"/>
    <w:rsid w:val="00C64683"/>
    <w:rsid w:val="00C64B11"/>
    <w:rsid w:val="00C65145"/>
    <w:rsid w:val="00C657FB"/>
    <w:rsid w:val="00C65A25"/>
    <w:rsid w:val="00C65DDC"/>
    <w:rsid w:val="00C66DAE"/>
    <w:rsid w:val="00C679C9"/>
    <w:rsid w:val="00C700FD"/>
    <w:rsid w:val="00C73008"/>
    <w:rsid w:val="00C75EF3"/>
    <w:rsid w:val="00C77C7A"/>
    <w:rsid w:val="00C8100B"/>
    <w:rsid w:val="00C8709B"/>
    <w:rsid w:val="00C903D8"/>
    <w:rsid w:val="00CA2397"/>
    <w:rsid w:val="00CA5583"/>
    <w:rsid w:val="00CA5F98"/>
    <w:rsid w:val="00CB0D9F"/>
    <w:rsid w:val="00CB13C6"/>
    <w:rsid w:val="00CB24A3"/>
    <w:rsid w:val="00CC30D7"/>
    <w:rsid w:val="00CC4C19"/>
    <w:rsid w:val="00CC5199"/>
    <w:rsid w:val="00CC7AE9"/>
    <w:rsid w:val="00CD0227"/>
    <w:rsid w:val="00CD4D55"/>
    <w:rsid w:val="00CE0C47"/>
    <w:rsid w:val="00CE3D12"/>
    <w:rsid w:val="00CF08F0"/>
    <w:rsid w:val="00CF3AB0"/>
    <w:rsid w:val="00D02F70"/>
    <w:rsid w:val="00D106B7"/>
    <w:rsid w:val="00D17961"/>
    <w:rsid w:val="00D273CD"/>
    <w:rsid w:val="00D34617"/>
    <w:rsid w:val="00D34B08"/>
    <w:rsid w:val="00D35C20"/>
    <w:rsid w:val="00D4391D"/>
    <w:rsid w:val="00D4711F"/>
    <w:rsid w:val="00D65A5F"/>
    <w:rsid w:val="00D66ACD"/>
    <w:rsid w:val="00D709F8"/>
    <w:rsid w:val="00D721A2"/>
    <w:rsid w:val="00D72611"/>
    <w:rsid w:val="00D76981"/>
    <w:rsid w:val="00D81AE0"/>
    <w:rsid w:val="00D82FCE"/>
    <w:rsid w:val="00D91610"/>
    <w:rsid w:val="00D9527A"/>
    <w:rsid w:val="00D95EB1"/>
    <w:rsid w:val="00D97C41"/>
    <w:rsid w:val="00DA7E8A"/>
    <w:rsid w:val="00DB1297"/>
    <w:rsid w:val="00DB20B2"/>
    <w:rsid w:val="00DB4BCC"/>
    <w:rsid w:val="00DB4F4A"/>
    <w:rsid w:val="00DC06C0"/>
    <w:rsid w:val="00DC0DA3"/>
    <w:rsid w:val="00DC4205"/>
    <w:rsid w:val="00DC5878"/>
    <w:rsid w:val="00DC73A5"/>
    <w:rsid w:val="00DC7D35"/>
    <w:rsid w:val="00DE11A9"/>
    <w:rsid w:val="00DE11AB"/>
    <w:rsid w:val="00DE2470"/>
    <w:rsid w:val="00DF24BB"/>
    <w:rsid w:val="00DF62D0"/>
    <w:rsid w:val="00E10870"/>
    <w:rsid w:val="00E12A1C"/>
    <w:rsid w:val="00E12F7B"/>
    <w:rsid w:val="00E20030"/>
    <w:rsid w:val="00E245E4"/>
    <w:rsid w:val="00E27F4A"/>
    <w:rsid w:val="00E30F79"/>
    <w:rsid w:val="00E33C87"/>
    <w:rsid w:val="00E33E4E"/>
    <w:rsid w:val="00E36400"/>
    <w:rsid w:val="00E36F74"/>
    <w:rsid w:val="00E401F6"/>
    <w:rsid w:val="00E43356"/>
    <w:rsid w:val="00E44075"/>
    <w:rsid w:val="00E50AA1"/>
    <w:rsid w:val="00E5268B"/>
    <w:rsid w:val="00E57B1B"/>
    <w:rsid w:val="00E605EE"/>
    <w:rsid w:val="00E6298A"/>
    <w:rsid w:val="00E67963"/>
    <w:rsid w:val="00E77EAF"/>
    <w:rsid w:val="00E854B4"/>
    <w:rsid w:val="00E86F3D"/>
    <w:rsid w:val="00E879FB"/>
    <w:rsid w:val="00E9095B"/>
    <w:rsid w:val="00E9260F"/>
    <w:rsid w:val="00E9448D"/>
    <w:rsid w:val="00EA1AA0"/>
    <w:rsid w:val="00EA4966"/>
    <w:rsid w:val="00EA5124"/>
    <w:rsid w:val="00EA6987"/>
    <w:rsid w:val="00EA6FCD"/>
    <w:rsid w:val="00EB3E0E"/>
    <w:rsid w:val="00EB3F2D"/>
    <w:rsid w:val="00EB5E76"/>
    <w:rsid w:val="00EB74F2"/>
    <w:rsid w:val="00EC262F"/>
    <w:rsid w:val="00EC54C2"/>
    <w:rsid w:val="00EC6A26"/>
    <w:rsid w:val="00EE26AB"/>
    <w:rsid w:val="00EE3E31"/>
    <w:rsid w:val="00EF02B3"/>
    <w:rsid w:val="00EF116F"/>
    <w:rsid w:val="00EF51DB"/>
    <w:rsid w:val="00F00F21"/>
    <w:rsid w:val="00F01177"/>
    <w:rsid w:val="00F0610B"/>
    <w:rsid w:val="00F11378"/>
    <w:rsid w:val="00F13AF9"/>
    <w:rsid w:val="00F22FFA"/>
    <w:rsid w:val="00F307A7"/>
    <w:rsid w:val="00F31F3B"/>
    <w:rsid w:val="00F36188"/>
    <w:rsid w:val="00F36FD6"/>
    <w:rsid w:val="00F3700D"/>
    <w:rsid w:val="00F37B61"/>
    <w:rsid w:val="00F37DD4"/>
    <w:rsid w:val="00F4512D"/>
    <w:rsid w:val="00F52AAB"/>
    <w:rsid w:val="00F52EA1"/>
    <w:rsid w:val="00F570DB"/>
    <w:rsid w:val="00F63B43"/>
    <w:rsid w:val="00F659EE"/>
    <w:rsid w:val="00F67830"/>
    <w:rsid w:val="00F92F66"/>
    <w:rsid w:val="00F931EC"/>
    <w:rsid w:val="00F9533A"/>
    <w:rsid w:val="00FA12BE"/>
    <w:rsid w:val="00FA2BD3"/>
    <w:rsid w:val="00FA5AC3"/>
    <w:rsid w:val="00FB4715"/>
    <w:rsid w:val="00FC2C9C"/>
    <w:rsid w:val="00FC2E73"/>
    <w:rsid w:val="00FC32FD"/>
    <w:rsid w:val="00FD5A69"/>
    <w:rsid w:val="00FE16B3"/>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rsid w:val="00077243"/>
    <w:rPr>
      <w:color w:val="800080"/>
      <w:u w:val="single"/>
    </w:rPr>
  </w:style>
  <w:style w:type="paragraph" w:styleId="HTMLPreformatted">
    <w:name w:val="HTML Preformatted"/>
    <w:basedOn w:val="Normal"/>
    <w:link w:val="HTMLPreformattedChar"/>
    <w:uiPriority w:val="99"/>
    <w:unhideWhenUsed/>
    <w:rsid w:val="00D6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Cs w:val="20"/>
      <w:lang w:eastAsia="en-AU"/>
    </w:rPr>
  </w:style>
  <w:style w:type="character" w:customStyle="1" w:styleId="HTMLPreformattedChar">
    <w:name w:val="HTML Preformatted Char"/>
    <w:link w:val="HTMLPreformatted"/>
    <w:uiPriority w:val="99"/>
    <w:rsid w:val="00D65A5F"/>
    <w:rPr>
      <w:rFonts w:ascii="Courier New" w:hAnsi="Courier New" w:cs="Courier New"/>
    </w:rPr>
  </w:style>
  <w:style w:type="paragraph" w:styleId="FootnoteText">
    <w:name w:val="footnote text"/>
    <w:basedOn w:val="Normal"/>
    <w:link w:val="FootnoteTextChar"/>
    <w:uiPriority w:val="99"/>
    <w:unhideWhenUsed/>
    <w:rsid w:val="00DB4BCC"/>
    <w:pPr>
      <w:spacing w:before="0"/>
    </w:pPr>
    <w:rPr>
      <w:rFonts w:ascii="Times New Roman" w:eastAsia="Batang" w:hAnsi="Times New Roman"/>
      <w:szCs w:val="20"/>
      <w:lang w:val="en-US" w:eastAsia="ko-KR"/>
    </w:rPr>
  </w:style>
  <w:style w:type="character" w:customStyle="1" w:styleId="FootnoteTextChar">
    <w:name w:val="Footnote Text Char"/>
    <w:link w:val="FootnoteText"/>
    <w:uiPriority w:val="99"/>
    <w:rsid w:val="00DB4BCC"/>
    <w:rPr>
      <w:rFonts w:eastAsia="Batang"/>
      <w:lang w:val="en-US" w:eastAsia="ko-KR"/>
    </w:rPr>
  </w:style>
  <w:style w:type="character" w:styleId="FootnoteReference">
    <w:name w:val="footnote reference"/>
    <w:uiPriority w:val="99"/>
    <w:unhideWhenUsed/>
    <w:rsid w:val="00DB4BCC"/>
    <w:rPr>
      <w:vertAlign w:val="superscript"/>
    </w:rPr>
  </w:style>
  <w:style w:type="paragraph" w:styleId="ListParagraph">
    <w:name w:val="List Paragraph"/>
    <w:aliases w:val="MCHIP_list paragraph,List Paragraph1,Recommendation,Bullet List,FooterText"/>
    <w:basedOn w:val="Normal"/>
    <w:link w:val="ListParagraphChar"/>
    <w:uiPriority w:val="34"/>
    <w:qFormat/>
    <w:rsid w:val="00457C14"/>
    <w:pPr>
      <w:spacing w:before="0"/>
      <w:ind w:left="720"/>
      <w:contextualSpacing/>
    </w:pPr>
    <w:rPr>
      <w:rFonts w:ascii="Calibri" w:eastAsia="MS Mincho" w:hAnsi="Calibri"/>
      <w:sz w:val="24"/>
      <w:lang w:val="en-GB" w:eastAsia="ja-JP"/>
    </w:rPr>
  </w:style>
  <w:style w:type="character" w:customStyle="1" w:styleId="ListParagraphChar">
    <w:name w:val="List Paragraph Char"/>
    <w:aliases w:val="MCHIP_list paragraph Char,List Paragraph1 Char,Recommendation Char,Bullet List Char,FooterText Char"/>
    <w:link w:val="ListParagraph"/>
    <w:uiPriority w:val="34"/>
    <w:locked/>
    <w:rsid w:val="00457C14"/>
    <w:rPr>
      <w:rFonts w:ascii="Calibri" w:eastAsia="MS Mincho" w:hAnsi="Calibri"/>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0616">
      <w:bodyDiv w:val="1"/>
      <w:marLeft w:val="0"/>
      <w:marRight w:val="0"/>
      <w:marTop w:val="0"/>
      <w:marBottom w:val="0"/>
      <w:divBdr>
        <w:top w:val="none" w:sz="0" w:space="0" w:color="auto"/>
        <w:left w:val="none" w:sz="0" w:space="0" w:color="auto"/>
        <w:bottom w:val="none" w:sz="0" w:space="0" w:color="auto"/>
        <w:right w:val="none" w:sz="0" w:space="0" w:color="auto"/>
      </w:divBdr>
      <w:divsChild>
        <w:div w:id="881868992">
          <w:marLeft w:val="0"/>
          <w:marRight w:val="0"/>
          <w:marTop w:val="0"/>
          <w:marBottom w:val="0"/>
          <w:divBdr>
            <w:top w:val="none" w:sz="0" w:space="0" w:color="auto"/>
            <w:left w:val="none" w:sz="0" w:space="0" w:color="auto"/>
            <w:bottom w:val="none" w:sz="0" w:space="0" w:color="auto"/>
            <w:right w:val="none" w:sz="0" w:space="0" w:color="auto"/>
          </w:divBdr>
          <w:divsChild>
            <w:div w:id="2140108666">
              <w:marLeft w:val="0"/>
              <w:marRight w:val="0"/>
              <w:marTop w:val="0"/>
              <w:marBottom w:val="0"/>
              <w:divBdr>
                <w:top w:val="none" w:sz="0" w:space="0" w:color="auto"/>
                <w:left w:val="none" w:sz="0" w:space="0" w:color="auto"/>
                <w:bottom w:val="none" w:sz="0" w:space="0" w:color="auto"/>
                <w:right w:val="none" w:sz="0" w:space="0" w:color="auto"/>
              </w:divBdr>
              <w:divsChild>
                <w:div w:id="1004698439">
                  <w:marLeft w:val="-15"/>
                  <w:marRight w:val="0"/>
                  <w:marTop w:val="0"/>
                  <w:marBottom w:val="0"/>
                  <w:divBdr>
                    <w:top w:val="none" w:sz="0" w:space="0" w:color="auto"/>
                    <w:left w:val="single" w:sz="6" w:space="0" w:color="919B9C"/>
                    <w:bottom w:val="single" w:sz="6" w:space="15" w:color="919B9C"/>
                    <w:right w:val="none" w:sz="0" w:space="0" w:color="auto"/>
                  </w:divBdr>
                  <w:divsChild>
                    <w:div w:id="551163253">
                      <w:marLeft w:val="0"/>
                      <w:marRight w:val="0"/>
                      <w:marTop w:val="0"/>
                      <w:marBottom w:val="0"/>
                      <w:divBdr>
                        <w:top w:val="single" w:sz="6" w:space="6" w:color="919B9C"/>
                        <w:left w:val="single" w:sz="6" w:space="6" w:color="919B9C"/>
                        <w:bottom w:val="single" w:sz="6" w:space="6" w:color="919B9C"/>
                        <w:right w:val="single" w:sz="6" w:space="0" w:color="919B9C"/>
                      </w:divBdr>
                    </w:div>
                  </w:divsChild>
                </w:div>
              </w:divsChild>
            </w:div>
          </w:divsChild>
        </w:div>
      </w:divsChild>
    </w:div>
    <w:div w:id="2069986827">
      <w:bodyDiv w:val="1"/>
      <w:marLeft w:val="0"/>
      <w:marRight w:val="0"/>
      <w:marTop w:val="0"/>
      <w:marBottom w:val="0"/>
      <w:divBdr>
        <w:top w:val="none" w:sz="0" w:space="0" w:color="auto"/>
        <w:left w:val="none" w:sz="0" w:space="0" w:color="auto"/>
        <w:bottom w:val="none" w:sz="0" w:space="0" w:color="auto"/>
        <w:right w:val="none" w:sz="0" w:space="0" w:color="auto"/>
      </w:divBdr>
      <w:divsChild>
        <w:div w:id="2020352656">
          <w:marLeft w:val="0"/>
          <w:marRight w:val="0"/>
          <w:marTop w:val="0"/>
          <w:marBottom w:val="0"/>
          <w:divBdr>
            <w:top w:val="none" w:sz="0" w:space="0" w:color="auto"/>
            <w:left w:val="none" w:sz="0" w:space="0" w:color="auto"/>
            <w:bottom w:val="none" w:sz="0" w:space="0" w:color="auto"/>
            <w:right w:val="none" w:sz="0" w:space="0" w:color="auto"/>
          </w:divBdr>
          <w:divsChild>
            <w:div w:id="1844009303">
              <w:marLeft w:val="0"/>
              <w:marRight w:val="0"/>
              <w:marTop w:val="0"/>
              <w:marBottom w:val="0"/>
              <w:divBdr>
                <w:top w:val="none" w:sz="0" w:space="0" w:color="auto"/>
                <w:left w:val="none" w:sz="0" w:space="0" w:color="auto"/>
                <w:bottom w:val="none" w:sz="0" w:space="0" w:color="auto"/>
                <w:right w:val="none" w:sz="0" w:space="0" w:color="auto"/>
              </w:divBdr>
              <w:divsChild>
                <w:div w:id="1128353477">
                  <w:marLeft w:val="-15"/>
                  <w:marRight w:val="0"/>
                  <w:marTop w:val="0"/>
                  <w:marBottom w:val="0"/>
                  <w:divBdr>
                    <w:top w:val="none" w:sz="0" w:space="0" w:color="auto"/>
                    <w:left w:val="single" w:sz="6" w:space="0" w:color="919B9C"/>
                    <w:bottom w:val="single" w:sz="6" w:space="15" w:color="919B9C"/>
                    <w:right w:val="none" w:sz="0" w:space="0" w:color="auto"/>
                  </w:divBdr>
                  <w:divsChild>
                    <w:div w:id="1879707574">
                      <w:marLeft w:val="0"/>
                      <w:marRight w:val="0"/>
                      <w:marTop w:val="0"/>
                      <w:marBottom w:val="0"/>
                      <w:divBdr>
                        <w:top w:val="single" w:sz="6" w:space="6" w:color="919B9C"/>
                        <w:left w:val="single" w:sz="6" w:space="6" w:color="919B9C"/>
                        <w:bottom w:val="single" w:sz="6" w:space="6" w:color="919B9C"/>
                        <w:right w:val="single" w:sz="6" w:space="0" w:color="919B9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F901A4-6A2C-44A7-ACBA-B54ED9C03BBC}"/>
</file>

<file path=customXml/itemProps2.xml><?xml version="1.0" encoding="utf-8"?>
<ds:datastoreItem xmlns:ds="http://schemas.openxmlformats.org/officeDocument/2006/customXml" ds:itemID="{C717E3E3-FBEF-4D7C-BCD3-59C34AD4DBE9}"/>
</file>

<file path=customXml/itemProps3.xml><?xml version="1.0" encoding="utf-8"?>
<ds:datastoreItem xmlns:ds="http://schemas.openxmlformats.org/officeDocument/2006/customXml" ds:itemID="{CDE78ED6-01A1-4B25-848E-7D8AE77AF05A}"/>
</file>

<file path=customXml/itemProps4.xml><?xml version="1.0" encoding="utf-8"?>
<ds:datastoreItem xmlns:ds="http://schemas.openxmlformats.org/officeDocument/2006/customXml" ds:itemID="{B9EFBE0C-FD76-4FE6-B453-92255A3AAD02}"/>
</file>

<file path=customXml/itemProps5.xml><?xml version="1.0" encoding="utf-8"?>
<ds:datastoreItem xmlns:ds="http://schemas.openxmlformats.org/officeDocument/2006/customXml" ds:itemID="{DF874A67-15E2-46E5-9CA8-7B0B90239824}"/>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2018-08-13T06:39:00Z</dcterms:created>
  <dcterms:modified xsi:type="dcterms:W3CDTF">2018-08-13T06:39:00Z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ad963daa-6272-4e78-83db-cc46b6899b5e</vt:lpwstr>
  </property>
  <property fmtid="{D5CDD505-2E9C-101B-9397-08002B2CF9AE}" pid="3" name="ContentTypeId">
    <vt:lpwstr>0x01010050F19AC2165D2E47A5E6B7F563E4CF00</vt:lpwstr>
  </property>
  <property fmtid="{D5CDD505-2E9C-101B-9397-08002B2CF9AE}" pid="4" name="SEC">
    <vt:lpwstr>UNCLASSIFIED</vt:lpwstr>
  </property>
  <property fmtid="{D5CDD505-2E9C-101B-9397-08002B2CF9AE}" pid="5" name="DLM">
    <vt:lpwstr>No DLM</vt:lpwstr>
  </property>
  <property fmtid="{D5CDD505-2E9C-101B-9397-08002B2CF9AE}" pid="6" name="Order">
    <vt:r8>1181600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