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ACB2A" w14:textId="77777777" w:rsidR="00EF1878" w:rsidRPr="002B6625" w:rsidRDefault="00EF1878" w:rsidP="00EF1878">
      <w:pPr>
        <w:pStyle w:val="Title"/>
      </w:pPr>
      <w:bookmarkStart w:id="0" w:name="_GoBack"/>
      <w:r w:rsidRPr="002B6625">
        <w:t>Operational Procedures for Chapter 2 (Trade in Goods) and Chapter 3 (Non-Tariff Measures) of the Indonesia-Australia Comprehensive Economic Partnership Agreement</w:t>
      </w:r>
    </w:p>
    <w:bookmarkEnd w:id="0"/>
    <w:p w14:paraId="2FEEF4C5" w14:textId="77777777" w:rsidR="00EF1878" w:rsidRDefault="00EF1878" w:rsidP="00443994">
      <w:pPr>
        <w:spacing w:after="0" w:line="240" w:lineRule="auto"/>
        <w:jc w:val="both"/>
        <w:rPr>
          <w:rFonts w:ascii="Times New Roman" w:hAnsi="Times New Roman"/>
          <w:sz w:val="24"/>
          <w:szCs w:val="24"/>
        </w:rPr>
      </w:pPr>
    </w:p>
    <w:p w14:paraId="4510935F" w14:textId="77777777" w:rsidR="00EF1878" w:rsidRDefault="00EF1878" w:rsidP="00443994">
      <w:pPr>
        <w:spacing w:after="0" w:line="240" w:lineRule="auto"/>
        <w:jc w:val="both"/>
        <w:rPr>
          <w:rFonts w:ascii="Times New Roman" w:hAnsi="Times New Roman"/>
          <w:sz w:val="24"/>
          <w:szCs w:val="24"/>
        </w:rPr>
      </w:pPr>
    </w:p>
    <w:p w14:paraId="2C4587AA" w14:textId="3027B14F" w:rsidR="00B57B22" w:rsidRPr="009806ED" w:rsidRDefault="00B57B22" w:rsidP="009806ED">
      <w:pPr>
        <w:spacing w:after="0" w:line="240" w:lineRule="auto"/>
        <w:jc w:val="both"/>
        <w:rPr>
          <w:rFonts w:ascii="Times New Roman" w:hAnsi="Times New Roman"/>
          <w:sz w:val="24"/>
          <w:szCs w:val="24"/>
        </w:rPr>
      </w:pPr>
      <w:r w:rsidRPr="00BF078E">
        <w:rPr>
          <w:rFonts w:ascii="Times New Roman" w:hAnsi="Times New Roman"/>
          <w:sz w:val="24"/>
          <w:szCs w:val="24"/>
        </w:rPr>
        <w:t>These Operational Procedures prescribe the administration of tariff rate quotas (TRQs) and the automatic issu</w:t>
      </w:r>
      <w:r w:rsidR="005735C4">
        <w:rPr>
          <w:rFonts w:ascii="Times New Roman" w:hAnsi="Times New Roman"/>
          <w:sz w:val="24"/>
          <w:szCs w:val="24"/>
        </w:rPr>
        <w:t>ance</w:t>
      </w:r>
      <w:r w:rsidRPr="00BF078E">
        <w:rPr>
          <w:rFonts w:ascii="Times New Roman" w:hAnsi="Times New Roman"/>
          <w:sz w:val="24"/>
          <w:szCs w:val="24"/>
        </w:rPr>
        <w:t xml:space="preserve"> of import </w:t>
      </w:r>
      <w:r w:rsidR="008578C0">
        <w:rPr>
          <w:rFonts w:ascii="Times New Roman" w:hAnsi="Times New Roman"/>
          <w:sz w:val="24"/>
          <w:szCs w:val="24"/>
        </w:rPr>
        <w:t xml:space="preserve">permits </w:t>
      </w:r>
      <w:r w:rsidRPr="00BF078E">
        <w:rPr>
          <w:rFonts w:ascii="Times New Roman" w:hAnsi="Times New Roman"/>
          <w:sz w:val="24"/>
          <w:szCs w:val="24"/>
        </w:rPr>
        <w:t>for the products under Appendix 2</w:t>
      </w:r>
      <w:r w:rsidR="00663FA2">
        <w:rPr>
          <w:rFonts w:ascii="Times New Roman" w:hAnsi="Times New Roman"/>
          <w:sz w:val="24"/>
          <w:szCs w:val="24"/>
        </w:rPr>
        <w:t>-</w:t>
      </w:r>
      <w:r w:rsidRPr="00BF078E">
        <w:rPr>
          <w:rFonts w:ascii="Times New Roman" w:hAnsi="Times New Roman"/>
          <w:sz w:val="24"/>
          <w:szCs w:val="24"/>
        </w:rPr>
        <w:t xml:space="preserve">A.1 </w:t>
      </w:r>
      <w:r w:rsidR="006F044E">
        <w:rPr>
          <w:rFonts w:ascii="Times New Roman" w:hAnsi="Times New Roman"/>
          <w:sz w:val="24"/>
          <w:szCs w:val="24"/>
        </w:rPr>
        <w:t>(</w:t>
      </w:r>
      <w:r w:rsidR="006F044E" w:rsidRPr="00C156A9">
        <w:rPr>
          <w:rFonts w:ascii="Times New Roman" w:hAnsi="Times New Roman"/>
          <w:i/>
          <w:sz w:val="24"/>
          <w:szCs w:val="24"/>
        </w:rPr>
        <w:t>Tariff Rate Quotas)</w:t>
      </w:r>
      <w:r w:rsidR="00443994">
        <w:rPr>
          <w:rFonts w:ascii="Times New Roman" w:hAnsi="Times New Roman"/>
          <w:i/>
          <w:sz w:val="24"/>
          <w:szCs w:val="24"/>
        </w:rPr>
        <w:t xml:space="preserve"> </w:t>
      </w:r>
      <w:r w:rsidRPr="00BF078E">
        <w:rPr>
          <w:rFonts w:ascii="Times New Roman" w:hAnsi="Times New Roman"/>
          <w:sz w:val="24"/>
          <w:szCs w:val="24"/>
        </w:rPr>
        <w:t>and Chapter 3 (Non-Tariff Measures) under the Indonesia-Australia Comprehensive Economic Partnership Agreement (“the Agreement”).</w:t>
      </w:r>
      <w:r>
        <w:rPr>
          <w:rFonts w:ascii="Times New Roman" w:hAnsi="Times New Roman"/>
          <w:sz w:val="24"/>
          <w:szCs w:val="24"/>
        </w:rPr>
        <w:t xml:space="preserve"> </w:t>
      </w:r>
    </w:p>
    <w:p w14:paraId="75FAA3E7" w14:textId="11E36F8A" w:rsidR="00A43CA9" w:rsidRPr="004B53BF" w:rsidRDefault="00160C57" w:rsidP="004B53BF">
      <w:pPr>
        <w:pStyle w:val="Heading2"/>
      </w:pPr>
      <w:r w:rsidRPr="004B53BF">
        <w:t>TRQ Administration and automatic issu</w:t>
      </w:r>
      <w:r w:rsidR="005735C4" w:rsidRPr="004B53BF">
        <w:t>ance</w:t>
      </w:r>
      <w:r w:rsidRPr="004B53BF">
        <w:t xml:space="preserve"> of import </w:t>
      </w:r>
      <w:r w:rsidR="005B4DB5" w:rsidRPr="004B53BF">
        <w:t xml:space="preserve">permits </w:t>
      </w:r>
      <w:r w:rsidRPr="004B53BF">
        <w:t>without seasonality</w:t>
      </w:r>
    </w:p>
    <w:p w14:paraId="2B6EBFEB" w14:textId="51372151" w:rsidR="00B57B22" w:rsidRDefault="00A43CA9" w:rsidP="00443994">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B57B22" w:rsidRPr="00BF078E">
        <w:rPr>
          <w:rFonts w:ascii="Times New Roman" w:hAnsi="Times New Roman"/>
          <w:sz w:val="24"/>
          <w:szCs w:val="24"/>
        </w:rPr>
        <w:t>The Government of Australia and the Government of Indonesia (“the Parties”) agree that the Government of Australia will administer the tariff rate quotas (TRQs</w:t>
      </w:r>
      <w:r w:rsidR="00AF291E">
        <w:rPr>
          <w:rFonts w:ascii="Times New Roman" w:hAnsi="Times New Roman"/>
          <w:sz w:val="24"/>
          <w:szCs w:val="24"/>
        </w:rPr>
        <w:t>)</w:t>
      </w:r>
      <w:r w:rsidR="00AF291E">
        <w:rPr>
          <w:rStyle w:val="FootnoteReference"/>
          <w:rFonts w:ascii="Times New Roman" w:hAnsi="Times New Roman"/>
          <w:sz w:val="24"/>
          <w:szCs w:val="24"/>
        </w:rPr>
        <w:footnoteReference w:id="1"/>
      </w:r>
      <w:r w:rsidR="00B57B22" w:rsidRPr="00BF078E">
        <w:rPr>
          <w:rFonts w:ascii="Times New Roman" w:hAnsi="Times New Roman"/>
          <w:sz w:val="24"/>
          <w:szCs w:val="24"/>
        </w:rPr>
        <w:t xml:space="preserve">in </w:t>
      </w:r>
      <w:r w:rsidR="00B57B22" w:rsidRPr="00BF078E">
        <w:rPr>
          <w:rFonts w:ascii="Times New Roman" w:hAnsi="Times New Roman"/>
          <w:i/>
          <w:sz w:val="24"/>
          <w:szCs w:val="24"/>
        </w:rPr>
        <w:t>Article 2.3 (Tariff Rate Quotas)</w:t>
      </w:r>
      <w:r w:rsidR="00B57B22" w:rsidRPr="00BF078E">
        <w:rPr>
          <w:rFonts w:ascii="Times New Roman" w:hAnsi="Times New Roman"/>
          <w:sz w:val="24"/>
          <w:szCs w:val="24"/>
        </w:rPr>
        <w:t xml:space="preserve"> and </w:t>
      </w:r>
      <w:r w:rsidR="00B57B22" w:rsidRPr="00BF078E">
        <w:rPr>
          <w:rFonts w:ascii="Times New Roman" w:hAnsi="Times New Roman"/>
          <w:i/>
          <w:sz w:val="24"/>
          <w:szCs w:val="24"/>
        </w:rPr>
        <w:t>Appendix 2-A.1 (Tariff Rate Quotas)</w:t>
      </w:r>
      <w:r w:rsidR="00B57B22" w:rsidRPr="00BF078E">
        <w:rPr>
          <w:rFonts w:ascii="Times New Roman" w:hAnsi="Times New Roman"/>
          <w:sz w:val="24"/>
          <w:szCs w:val="24"/>
        </w:rPr>
        <w:t xml:space="preserve"> of the Agreement and the Government of Indonesia will issue import permits, or equivalent instruments used for import authorisation</w:t>
      </w:r>
      <w:r w:rsidR="00096DC8">
        <w:rPr>
          <w:rFonts w:ascii="Times New Roman" w:hAnsi="Times New Roman"/>
          <w:sz w:val="24"/>
          <w:szCs w:val="24"/>
        </w:rPr>
        <w:t xml:space="preserve"> (“import permits”)</w:t>
      </w:r>
      <w:r w:rsidR="00B57B22" w:rsidRPr="00BF078E">
        <w:rPr>
          <w:rStyle w:val="FootnoteReference"/>
          <w:rFonts w:ascii="Times New Roman" w:hAnsi="Times New Roman"/>
          <w:sz w:val="24"/>
          <w:szCs w:val="24"/>
        </w:rPr>
        <w:footnoteReference w:id="2"/>
      </w:r>
      <w:r w:rsidR="00B57B22" w:rsidRPr="00BF078E">
        <w:rPr>
          <w:rFonts w:ascii="Times New Roman" w:hAnsi="Times New Roman"/>
          <w:sz w:val="24"/>
          <w:szCs w:val="24"/>
        </w:rPr>
        <w:t>, automatically and on an annual basis without seasonality</w:t>
      </w:r>
      <w:r w:rsidR="00711EB7">
        <w:rPr>
          <w:rFonts w:ascii="Times New Roman" w:hAnsi="Times New Roman"/>
          <w:sz w:val="24"/>
          <w:szCs w:val="24"/>
        </w:rPr>
        <w:t xml:space="preserve"> for the TRQs contained </w:t>
      </w:r>
      <w:r w:rsidR="009F0DF4">
        <w:rPr>
          <w:rFonts w:ascii="Times New Roman" w:hAnsi="Times New Roman"/>
          <w:sz w:val="24"/>
          <w:szCs w:val="24"/>
        </w:rPr>
        <w:t xml:space="preserve">in </w:t>
      </w:r>
      <w:r w:rsidR="009F0DF4" w:rsidRPr="006553DF">
        <w:rPr>
          <w:rFonts w:ascii="Times New Roman" w:hAnsi="Times New Roman"/>
          <w:i/>
          <w:sz w:val="24"/>
          <w:szCs w:val="24"/>
        </w:rPr>
        <w:t>Appendix 2-A.1 (Tariff Rate Quotas)</w:t>
      </w:r>
      <w:r>
        <w:rPr>
          <w:rFonts w:ascii="Times New Roman" w:hAnsi="Times New Roman"/>
          <w:i/>
          <w:sz w:val="24"/>
          <w:szCs w:val="24"/>
        </w:rPr>
        <w:t>.</w:t>
      </w:r>
      <w:r w:rsidR="00B57B22" w:rsidRPr="002B6625">
        <w:rPr>
          <w:rFonts w:ascii="Times New Roman" w:hAnsi="Times New Roman"/>
          <w:sz w:val="24"/>
          <w:szCs w:val="24"/>
        </w:rPr>
        <w:t xml:space="preserve"> </w:t>
      </w:r>
    </w:p>
    <w:p w14:paraId="52C5739C" w14:textId="77777777" w:rsidR="004E0955" w:rsidRDefault="004E0955" w:rsidP="00B57B22">
      <w:pPr>
        <w:spacing w:after="0" w:line="240" w:lineRule="auto"/>
        <w:rPr>
          <w:rFonts w:ascii="Times New Roman" w:hAnsi="Times New Roman"/>
          <w:sz w:val="24"/>
          <w:szCs w:val="24"/>
        </w:rPr>
      </w:pPr>
    </w:p>
    <w:p w14:paraId="7BF10E52" w14:textId="6BE9B7F7" w:rsidR="004E0955" w:rsidRDefault="004E0955" w:rsidP="00443994">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On receipt of an application </w:t>
      </w:r>
      <w:r w:rsidR="008578C0">
        <w:rPr>
          <w:rFonts w:ascii="Times New Roman" w:hAnsi="Times New Roman"/>
          <w:sz w:val="24"/>
          <w:szCs w:val="24"/>
        </w:rPr>
        <w:t>in appropriate and complete</w:t>
      </w:r>
      <w:r w:rsidR="00B37704">
        <w:rPr>
          <w:rFonts w:ascii="Times New Roman" w:hAnsi="Times New Roman"/>
          <w:sz w:val="24"/>
          <w:szCs w:val="24"/>
        </w:rPr>
        <w:t xml:space="preserve"> </w:t>
      </w:r>
      <w:r w:rsidR="008578C0" w:rsidRPr="00B37704">
        <w:rPr>
          <w:rFonts w:ascii="Times New Roman" w:hAnsi="Times New Roman"/>
          <w:sz w:val="24"/>
          <w:szCs w:val="24"/>
        </w:rPr>
        <w:t>form</w:t>
      </w:r>
      <w:r w:rsidR="008578C0">
        <w:rPr>
          <w:rFonts w:ascii="Times New Roman" w:hAnsi="Times New Roman"/>
          <w:sz w:val="24"/>
          <w:szCs w:val="24"/>
        </w:rPr>
        <w:t xml:space="preserve"> </w:t>
      </w:r>
      <w:r>
        <w:rPr>
          <w:rFonts w:ascii="Times New Roman" w:hAnsi="Times New Roman"/>
          <w:sz w:val="24"/>
          <w:szCs w:val="24"/>
        </w:rPr>
        <w:t>by an importer seeking to import goods from Australia,</w:t>
      </w:r>
      <w:r w:rsidR="006553DF">
        <w:rPr>
          <w:rFonts w:ascii="Times New Roman" w:hAnsi="Times New Roman"/>
          <w:sz w:val="24"/>
          <w:szCs w:val="24"/>
        </w:rPr>
        <w:t xml:space="preserve"> in all cases</w:t>
      </w:r>
      <w:r w:rsidR="006553DF" w:rsidRPr="00443994">
        <w:rPr>
          <w:rFonts w:ascii="Times New Roman" w:hAnsi="Times New Roman"/>
          <w:sz w:val="24"/>
          <w:szCs w:val="24"/>
        </w:rPr>
        <w:t>,</w:t>
      </w:r>
      <w:r>
        <w:rPr>
          <w:rFonts w:ascii="Times New Roman" w:hAnsi="Times New Roman"/>
          <w:sz w:val="24"/>
          <w:szCs w:val="24"/>
        </w:rPr>
        <w:t xml:space="preserve"> </w:t>
      </w:r>
      <w:r w:rsidR="00FA3031">
        <w:rPr>
          <w:rFonts w:ascii="Times New Roman" w:hAnsi="Times New Roman"/>
          <w:sz w:val="24"/>
          <w:szCs w:val="24"/>
        </w:rPr>
        <w:t xml:space="preserve">the </w:t>
      </w:r>
      <w:r>
        <w:rPr>
          <w:rFonts w:ascii="Times New Roman" w:hAnsi="Times New Roman"/>
          <w:sz w:val="24"/>
          <w:szCs w:val="24"/>
        </w:rPr>
        <w:t>relevant Indonesian agencies shall issue</w:t>
      </w:r>
      <w:r w:rsidR="001A0B67">
        <w:rPr>
          <w:rFonts w:ascii="Times New Roman" w:hAnsi="Times New Roman"/>
          <w:sz w:val="24"/>
          <w:szCs w:val="24"/>
        </w:rPr>
        <w:t xml:space="preserve"> all documents required for import, including</w:t>
      </w:r>
      <w:r>
        <w:rPr>
          <w:rFonts w:ascii="Times New Roman" w:hAnsi="Times New Roman"/>
          <w:sz w:val="24"/>
          <w:szCs w:val="24"/>
        </w:rPr>
        <w:t xml:space="preserve"> import recommendations</w:t>
      </w:r>
      <w:r w:rsidR="001A0B67">
        <w:rPr>
          <w:rFonts w:ascii="Times New Roman" w:hAnsi="Times New Roman"/>
          <w:sz w:val="24"/>
          <w:szCs w:val="24"/>
        </w:rPr>
        <w:t xml:space="preserve"> and</w:t>
      </w:r>
      <w:r>
        <w:rPr>
          <w:rFonts w:ascii="Times New Roman" w:hAnsi="Times New Roman"/>
          <w:sz w:val="24"/>
          <w:szCs w:val="24"/>
        </w:rPr>
        <w:t xml:space="preserve"> import </w:t>
      </w:r>
      <w:r w:rsidR="001717CA">
        <w:rPr>
          <w:rFonts w:ascii="Times New Roman" w:hAnsi="Times New Roman"/>
          <w:sz w:val="24"/>
          <w:szCs w:val="24"/>
        </w:rPr>
        <w:t>permits</w:t>
      </w:r>
      <w:r>
        <w:rPr>
          <w:rFonts w:ascii="Times New Roman" w:hAnsi="Times New Roman"/>
          <w:sz w:val="24"/>
          <w:szCs w:val="24"/>
        </w:rPr>
        <w:t>,</w:t>
      </w:r>
      <w:r w:rsidR="002B0400" w:rsidRPr="002B0400">
        <w:rPr>
          <w:rFonts w:ascii="Times New Roman" w:hAnsi="Times New Roman"/>
          <w:sz w:val="24"/>
          <w:szCs w:val="24"/>
        </w:rPr>
        <w:t xml:space="preserve"> </w:t>
      </w:r>
      <w:r w:rsidR="002B0400" w:rsidRPr="002B6625">
        <w:rPr>
          <w:rFonts w:ascii="Times New Roman" w:hAnsi="Times New Roman"/>
          <w:sz w:val="24"/>
          <w:szCs w:val="24"/>
        </w:rPr>
        <w:t>automatically and on an annual basis without seasonality</w:t>
      </w:r>
      <w:r>
        <w:rPr>
          <w:rFonts w:ascii="Times New Roman" w:hAnsi="Times New Roman"/>
          <w:sz w:val="24"/>
          <w:szCs w:val="24"/>
        </w:rPr>
        <w:t xml:space="preserve">. </w:t>
      </w:r>
      <w:r w:rsidR="00FA3031">
        <w:rPr>
          <w:rFonts w:ascii="Times New Roman" w:hAnsi="Times New Roman"/>
          <w:sz w:val="24"/>
          <w:szCs w:val="24"/>
        </w:rPr>
        <w:t xml:space="preserve">Once the </w:t>
      </w:r>
      <w:r w:rsidR="00096DC8">
        <w:rPr>
          <w:rFonts w:ascii="Times New Roman" w:hAnsi="Times New Roman"/>
          <w:sz w:val="24"/>
          <w:szCs w:val="24"/>
        </w:rPr>
        <w:t>import permit is</w:t>
      </w:r>
      <w:r w:rsidR="00FA3031">
        <w:rPr>
          <w:rFonts w:ascii="Times New Roman" w:hAnsi="Times New Roman"/>
          <w:sz w:val="24"/>
          <w:szCs w:val="24"/>
        </w:rPr>
        <w:t xml:space="preserve"> issued, this information will be transmitted to the importer and will be available from the Indonesia National Single Window</w:t>
      </w:r>
      <w:r w:rsidR="00C10C11">
        <w:rPr>
          <w:rFonts w:ascii="Times New Roman" w:hAnsi="Times New Roman"/>
          <w:sz w:val="24"/>
          <w:szCs w:val="24"/>
        </w:rPr>
        <w:t xml:space="preserve"> (INSW)</w:t>
      </w:r>
      <w:r w:rsidR="00FA3031">
        <w:rPr>
          <w:rFonts w:ascii="Times New Roman" w:hAnsi="Times New Roman"/>
          <w:sz w:val="24"/>
          <w:szCs w:val="24"/>
        </w:rPr>
        <w:t>.</w:t>
      </w:r>
    </w:p>
    <w:p w14:paraId="22060DB4" w14:textId="24C1F3F7" w:rsidR="00FA3031" w:rsidRDefault="00F310DC" w:rsidP="00F310DC">
      <w:pPr>
        <w:rPr>
          <w:rFonts w:ascii="Times New Roman" w:hAnsi="Times New Roman"/>
          <w:sz w:val="24"/>
          <w:szCs w:val="24"/>
        </w:rPr>
      </w:pPr>
      <w:r>
        <w:rPr>
          <w:rFonts w:ascii="Times New Roman" w:hAnsi="Times New Roman"/>
          <w:sz w:val="24"/>
          <w:szCs w:val="24"/>
        </w:rPr>
        <w:br w:type="page"/>
      </w:r>
    </w:p>
    <w:p w14:paraId="423B907C" w14:textId="1915674F" w:rsidR="00B57B22" w:rsidRDefault="00AA45D7" w:rsidP="00925FE2">
      <w:pPr>
        <w:spacing w:after="0" w:line="240" w:lineRule="auto"/>
        <w:jc w:val="both"/>
        <w:rPr>
          <w:rFonts w:ascii="Times New Roman" w:hAnsi="Times New Roman"/>
          <w:sz w:val="24"/>
          <w:szCs w:val="24"/>
        </w:rPr>
      </w:pPr>
      <w:r>
        <w:rPr>
          <w:rFonts w:ascii="Times New Roman" w:hAnsi="Times New Roman"/>
          <w:sz w:val="24"/>
          <w:szCs w:val="24"/>
        </w:rPr>
        <w:lastRenderedPageBreak/>
        <w:t>3</w:t>
      </w:r>
      <w:r w:rsidR="00FA3031">
        <w:rPr>
          <w:rFonts w:ascii="Times New Roman" w:hAnsi="Times New Roman"/>
          <w:sz w:val="24"/>
          <w:szCs w:val="24"/>
        </w:rPr>
        <w:t>.</w:t>
      </w:r>
      <w:r w:rsidR="00FA3031">
        <w:rPr>
          <w:rFonts w:ascii="Times New Roman" w:hAnsi="Times New Roman"/>
          <w:sz w:val="24"/>
          <w:szCs w:val="24"/>
        </w:rPr>
        <w:tab/>
      </w:r>
      <w:r w:rsidR="00C10C11">
        <w:rPr>
          <w:rFonts w:ascii="Times New Roman" w:hAnsi="Times New Roman"/>
          <w:sz w:val="24"/>
          <w:szCs w:val="24"/>
        </w:rPr>
        <w:t>Australian exporters of IA-CEPA TRQ goods will apply for a TRQ certificate from the competent governmental authority</w:t>
      </w:r>
      <w:r w:rsidR="00C9456E">
        <w:rPr>
          <w:rStyle w:val="FootnoteReference"/>
          <w:rFonts w:ascii="Times New Roman" w:hAnsi="Times New Roman"/>
          <w:sz w:val="24"/>
          <w:szCs w:val="24"/>
        </w:rPr>
        <w:footnoteReference w:id="3"/>
      </w:r>
      <w:r w:rsidR="00C57A71">
        <w:rPr>
          <w:rFonts w:ascii="Times New Roman" w:hAnsi="Times New Roman"/>
          <w:sz w:val="24"/>
          <w:szCs w:val="24"/>
        </w:rPr>
        <w:t xml:space="preserve"> of Australia</w:t>
      </w:r>
      <w:r w:rsidR="00C10C11">
        <w:rPr>
          <w:rFonts w:ascii="Times New Roman" w:hAnsi="Times New Roman"/>
          <w:sz w:val="24"/>
          <w:szCs w:val="24"/>
        </w:rPr>
        <w:t>. The competent governmental authority</w:t>
      </w:r>
      <w:r w:rsidR="00C10C11" w:rsidRPr="00C10C11">
        <w:rPr>
          <w:rFonts w:ascii="Times New Roman" w:hAnsi="Times New Roman"/>
          <w:sz w:val="24"/>
          <w:szCs w:val="24"/>
        </w:rPr>
        <w:t xml:space="preserve"> </w:t>
      </w:r>
      <w:r w:rsidR="00C57A71">
        <w:rPr>
          <w:rFonts w:ascii="Times New Roman" w:hAnsi="Times New Roman"/>
          <w:sz w:val="24"/>
          <w:szCs w:val="24"/>
        </w:rPr>
        <w:t xml:space="preserve">of Australia </w:t>
      </w:r>
      <w:r w:rsidR="00C10C11" w:rsidRPr="00C10C11">
        <w:rPr>
          <w:rFonts w:ascii="Times New Roman" w:hAnsi="Times New Roman"/>
          <w:sz w:val="24"/>
          <w:szCs w:val="24"/>
        </w:rPr>
        <w:t xml:space="preserve">will issue </w:t>
      </w:r>
      <w:r w:rsidR="00C10C11">
        <w:rPr>
          <w:rFonts w:ascii="Times New Roman" w:hAnsi="Times New Roman"/>
          <w:sz w:val="24"/>
          <w:szCs w:val="24"/>
        </w:rPr>
        <w:t xml:space="preserve">TRQ certificates </w:t>
      </w:r>
      <w:r w:rsidR="00C10C11" w:rsidRPr="007D19C7">
        <w:rPr>
          <w:rFonts w:ascii="Times New Roman" w:hAnsi="Times New Roman"/>
          <w:sz w:val="24"/>
          <w:szCs w:val="24"/>
        </w:rPr>
        <w:t xml:space="preserve">and </w:t>
      </w:r>
      <w:r w:rsidR="00C57A71" w:rsidRPr="007D19C7">
        <w:rPr>
          <w:rFonts w:ascii="Times New Roman" w:hAnsi="Times New Roman"/>
          <w:sz w:val="24"/>
          <w:szCs w:val="24"/>
        </w:rPr>
        <w:t xml:space="preserve">make those </w:t>
      </w:r>
      <w:r w:rsidR="00B421BF">
        <w:rPr>
          <w:rFonts w:ascii="Times New Roman" w:hAnsi="Times New Roman"/>
          <w:sz w:val="24"/>
          <w:szCs w:val="24"/>
        </w:rPr>
        <w:t xml:space="preserve">TRQ </w:t>
      </w:r>
      <w:r w:rsidR="00C57A71" w:rsidRPr="007D19C7">
        <w:rPr>
          <w:rFonts w:ascii="Times New Roman" w:hAnsi="Times New Roman"/>
          <w:sz w:val="24"/>
          <w:szCs w:val="24"/>
        </w:rPr>
        <w:t xml:space="preserve">certificates available </w:t>
      </w:r>
      <w:r w:rsidR="00C10C11" w:rsidRPr="007D19C7">
        <w:rPr>
          <w:rFonts w:ascii="Times New Roman" w:hAnsi="Times New Roman"/>
          <w:sz w:val="24"/>
          <w:szCs w:val="24"/>
        </w:rPr>
        <w:t>to Indonesia via the e</w:t>
      </w:r>
      <w:r w:rsidR="00B729EB" w:rsidRPr="007D19C7">
        <w:rPr>
          <w:rFonts w:ascii="Times New Roman" w:hAnsi="Times New Roman"/>
          <w:sz w:val="24"/>
          <w:szCs w:val="24"/>
        </w:rPr>
        <w:t>QuotaCert system</w:t>
      </w:r>
      <w:r w:rsidR="00690A3E" w:rsidRPr="007D19C7">
        <w:rPr>
          <w:rFonts w:ascii="Times New Roman" w:hAnsi="Times New Roman"/>
          <w:sz w:val="24"/>
          <w:szCs w:val="24"/>
        </w:rPr>
        <w:t>,</w:t>
      </w:r>
      <w:r w:rsidR="00C10C11" w:rsidRPr="007D19C7">
        <w:rPr>
          <w:rFonts w:ascii="Times New Roman" w:hAnsi="Times New Roman"/>
          <w:sz w:val="24"/>
          <w:szCs w:val="24"/>
        </w:rPr>
        <w:t xml:space="preserve"> </w:t>
      </w:r>
      <w:r w:rsidR="00C10C11" w:rsidRPr="00C10C11">
        <w:rPr>
          <w:rFonts w:ascii="Times New Roman" w:hAnsi="Times New Roman"/>
          <w:sz w:val="24"/>
          <w:szCs w:val="24"/>
        </w:rPr>
        <w:t>and provide copies of TRQ certificates to Australian exporters.</w:t>
      </w:r>
    </w:p>
    <w:p w14:paraId="65290F8C" w14:textId="77777777" w:rsidR="00925FE2" w:rsidRDefault="00925FE2" w:rsidP="00925FE2">
      <w:pPr>
        <w:spacing w:after="0" w:line="240" w:lineRule="auto"/>
        <w:jc w:val="both"/>
        <w:rPr>
          <w:rFonts w:ascii="Times New Roman" w:hAnsi="Times New Roman"/>
          <w:sz w:val="24"/>
          <w:szCs w:val="24"/>
        </w:rPr>
      </w:pPr>
    </w:p>
    <w:p w14:paraId="0222CFD3" w14:textId="50308034" w:rsidR="00C10C11" w:rsidRDefault="00AA45D7" w:rsidP="0041619A">
      <w:pPr>
        <w:spacing w:line="240" w:lineRule="auto"/>
        <w:jc w:val="both"/>
        <w:rPr>
          <w:rFonts w:ascii="Times New Roman" w:hAnsi="Times New Roman"/>
          <w:sz w:val="24"/>
          <w:szCs w:val="24"/>
        </w:rPr>
      </w:pPr>
      <w:r>
        <w:rPr>
          <w:rFonts w:ascii="Times New Roman" w:hAnsi="Times New Roman"/>
          <w:sz w:val="24"/>
          <w:szCs w:val="24"/>
        </w:rPr>
        <w:t>4</w:t>
      </w:r>
      <w:r w:rsidR="00C10C11">
        <w:rPr>
          <w:rFonts w:ascii="Times New Roman" w:hAnsi="Times New Roman"/>
          <w:sz w:val="24"/>
          <w:szCs w:val="24"/>
        </w:rPr>
        <w:t>.</w:t>
      </w:r>
      <w:r w:rsidR="00C10C11">
        <w:rPr>
          <w:rFonts w:ascii="Times New Roman" w:hAnsi="Times New Roman"/>
          <w:sz w:val="24"/>
          <w:szCs w:val="24"/>
        </w:rPr>
        <w:tab/>
        <w:t>T</w:t>
      </w:r>
      <w:r w:rsidR="002D4FC9">
        <w:rPr>
          <w:rFonts w:ascii="Times New Roman" w:hAnsi="Times New Roman"/>
          <w:sz w:val="24"/>
          <w:szCs w:val="24"/>
        </w:rPr>
        <w:t>he</w:t>
      </w:r>
      <w:r w:rsidR="00C10C11">
        <w:rPr>
          <w:rFonts w:ascii="Times New Roman" w:hAnsi="Times New Roman"/>
          <w:sz w:val="24"/>
          <w:szCs w:val="24"/>
        </w:rPr>
        <w:t xml:space="preserve"> Australian exporter </w:t>
      </w:r>
      <w:r w:rsidR="002D4FC9">
        <w:rPr>
          <w:rFonts w:ascii="Times New Roman" w:hAnsi="Times New Roman"/>
          <w:sz w:val="24"/>
          <w:szCs w:val="24"/>
        </w:rPr>
        <w:t xml:space="preserve">may </w:t>
      </w:r>
      <w:r w:rsidR="00C10C11">
        <w:rPr>
          <w:rFonts w:ascii="Times New Roman" w:hAnsi="Times New Roman"/>
          <w:sz w:val="24"/>
          <w:szCs w:val="24"/>
        </w:rPr>
        <w:t xml:space="preserve">provide a copy of the TRQ certificate to the Indonesian importer. The Indonesian importer will submit </w:t>
      </w:r>
      <w:r w:rsidR="0088425D">
        <w:rPr>
          <w:rFonts w:ascii="Times New Roman" w:hAnsi="Times New Roman"/>
          <w:sz w:val="24"/>
          <w:szCs w:val="24"/>
        </w:rPr>
        <w:t>an import declaration</w:t>
      </w:r>
      <w:r w:rsidR="0040076B" w:rsidRPr="00690A3E">
        <w:rPr>
          <w:rFonts w:ascii="Times New Roman" w:hAnsi="Times New Roman"/>
          <w:sz w:val="24"/>
          <w:szCs w:val="24"/>
        </w:rPr>
        <w:t xml:space="preserve"> that contains the TRQ</w:t>
      </w:r>
      <w:r w:rsidR="004D6690">
        <w:rPr>
          <w:rFonts w:ascii="Times New Roman" w:hAnsi="Times New Roman"/>
          <w:sz w:val="24"/>
          <w:szCs w:val="24"/>
        </w:rPr>
        <w:t xml:space="preserve"> certificate </w:t>
      </w:r>
      <w:r w:rsidR="0040076B" w:rsidRPr="00A757C0">
        <w:rPr>
          <w:rFonts w:ascii="Times New Roman" w:hAnsi="Times New Roman"/>
          <w:sz w:val="24"/>
          <w:szCs w:val="24"/>
        </w:rPr>
        <w:t>number</w:t>
      </w:r>
      <w:r w:rsidR="0040076B" w:rsidRPr="00690A3E">
        <w:rPr>
          <w:rFonts w:ascii="Times New Roman" w:hAnsi="Times New Roman"/>
          <w:sz w:val="24"/>
          <w:szCs w:val="24"/>
        </w:rPr>
        <w:t xml:space="preserve"> to INSW</w:t>
      </w:r>
      <w:r w:rsidR="00690A3E" w:rsidRPr="009A46E9">
        <w:rPr>
          <w:rFonts w:ascii="Times New Roman" w:hAnsi="Times New Roman"/>
          <w:sz w:val="24"/>
          <w:szCs w:val="24"/>
        </w:rPr>
        <w:t>.</w:t>
      </w:r>
    </w:p>
    <w:p w14:paraId="5E907F65" w14:textId="41263008" w:rsidR="002B032B" w:rsidRDefault="00AA45D7" w:rsidP="00364015">
      <w:pPr>
        <w:jc w:val="both"/>
        <w:rPr>
          <w:rFonts w:ascii="Times New Roman" w:hAnsi="Times New Roman"/>
          <w:sz w:val="24"/>
          <w:szCs w:val="24"/>
        </w:rPr>
      </w:pPr>
      <w:r>
        <w:rPr>
          <w:rFonts w:ascii="Times New Roman" w:hAnsi="Times New Roman"/>
          <w:sz w:val="24"/>
          <w:szCs w:val="24"/>
        </w:rPr>
        <w:t>5</w:t>
      </w:r>
      <w:r w:rsidR="0088425D">
        <w:rPr>
          <w:rFonts w:ascii="Times New Roman" w:hAnsi="Times New Roman"/>
          <w:sz w:val="24"/>
          <w:szCs w:val="24"/>
        </w:rPr>
        <w:t>.</w:t>
      </w:r>
      <w:r w:rsidR="0088425D">
        <w:rPr>
          <w:rFonts w:ascii="Times New Roman" w:hAnsi="Times New Roman"/>
          <w:sz w:val="24"/>
          <w:szCs w:val="24"/>
        </w:rPr>
        <w:tab/>
      </w:r>
      <w:r w:rsidR="00C10C11">
        <w:rPr>
          <w:rFonts w:ascii="Times New Roman" w:hAnsi="Times New Roman"/>
          <w:sz w:val="24"/>
          <w:szCs w:val="24"/>
        </w:rPr>
        <w:t xml:space="preserve">INSW will reconcile the import </w:t>
      </w:r>
      <w:r w:rsidR="0088425D">
        <w:rPr>
          <w:rFonts w:ascii="Times New Roman" w:hAnsi="Times New Roman"/>
          <w:sz w:val="24"/>
          <w:szCs w:val="24"/>
        </w:rPr>
        <w:t xml:space="preserve">declaration </w:t>
      </w:r>
      <w:r w:rsidR="00C10C11">
        <w:rPr>
          <w:rFonts w:ascii="Times New Roman" w:hAnsi="Times New Roman"/>
          <w:sz w:val="24"/>
          <w:szCs w:val="24"/>
        </w:rPr>
        <w:t>with the TRQ certificate</w:t>
      </w:r>
      <w:r w:rsidR="00885972">
        <w:rPr>
          <w:rFonts w:ascii="Times New Roman" w:hAnsi="Times New Roman"/>
          <w:sz w:val="24"/>
          <w:szCs w:val="24"/>
        </w:rPr>
        <w:t xml:space="preserve"> received from the competent </w:t>
      </w:r>
      <w:r w:rsidR="005735C4">
        <w:rPr>
          <w:rFonts w:ascii="Times New Roman" w:hAnsi="Times New Roman"/>
          <w:sz w:val="24"/>
          <w:szCs w:val="24"/>
        </w:rPr>
        <w:t>g</w:t>
      </w:r>
      <w:r w:rsidR="00885972">
        <w:rPr>
          <w:rFonts w:ascii="Times New Roman" w:hAnsi="Times New Roman"/>
          <w:sz w:val="24"/>
          <w:szCs w:val="24"/>
        </w:rPr>
        <w:t>overnment</w:t>
      </w:r>
      <w:r w:rsidR="005735C4">
        <w:rPr>
          <w:rFonts w:ascii="Times New Roman" w:hAnsi="Times New Roman"/>
          <w:sz w:val="24"/>
          <w:szCs w:val="24"/>
        </w:rPr>
        <w:t>al</w:t>
      </w:r>
      <w:r w:rsidR="00885972">
        <w:rPr>
          <w:rFonts w:ascii="Times New Roman" w:hAnsi="Times New Roman"/>
          <w:sz w:val="24"/>
          <w:szCs w:val="24"/>
        </w:rPr>
        <w:t xml:space="preserve"> authority of Australia</w:t>
      </w:r>
      <w:r w:rsidR="002F32E2">
        <w:rPr>
          <w:rFonts w:ascii="Times New Roman" w:hAnsi="Times New Roman"/>
          <w:sz w:val="24"/>
          <w:szCs w:val="24"/>
        </w:rPr>
        <w:t xml:space="preserve"> </w:t>
      </w:r>
      <w:r w:rsidR="002F32E2" w:rsidRPr="00832310">
        <w:rPr>
          <w:rFonts w:ascii="Times New Roman" w:hAnsi="Times New Roman"/>
          <w:sz w:val="24"/>
          <w:szCs w:val="24"/>
        </w:rPr>
        <w:t xml:space="preserve">and submit the import declaration to Customs. </w:t>
      </w:r>
      <w:r w:rsidR="00690A3E" w:rsidRPr="00832310" w:rsidDel="00690A3E">
        <w:rPr>
          <w:rFonts w:ascii="Times New Roman" w:hAnsi="Times New Roman"/>
          <w:sz w:val="24"/>
          <w:szCs w:val="24"/>
        </w:rPr>
        <w:t xml:space="preserve"> </w:t>
      </w:r>
      <w:r w:rsidR="00A4663D" w:rsidRPr="00832310">
        <w:rPr>
          <w:rFonts w:ascii="Times New Roman" w:hAnsi="Times New Roman"/>
          <w:sz w:val="24"/>
          <w:szCs w:val="24"/>
        </w:rPr>
        <w:t xml:space="preserve">In the event of any inconsistency between </w:t>
      </w:r>
      <w:r w:rsidR="003504F7" w:rsidRPr="00832310">
        <w:rPr>
          <w:rFonts w:ascii="Times New Roman" w:hAnsi="Times New Roman"/>
          <w:sz w:val="24"/>
          <w:szCs w:val="24"/>
        </w:rPr>
        <w:t xml:space="preserve">the volume on </w:t>
      </w:r>
      <w:r w:rsidR="00A4663D" w:rsidRPr="00832310">
        <w:rPr>
          <w:rFonts w:ascii="Times New Roman" w:hAnsi="Times New Roman"/>
          <w:sz w:val="24"/>
          <w:szCs w:val="24"/>
        </w:rPr>
        <w:t xml:space="preserve">the </w:t>
      </w:r>
      <w:r w:rsidR="002F32E2" w:rsidRPr="00832310">
        <w:rPr>
          <w:rFonts w:ascii="Times New Roman" w:hAnsi="Times New Roman"/>
          <w:sz w:val="24"/>
          <w:szCs w:val="24"/>
        </w:rPr>
        <w:t xml:space="preserve">import declaration </w:t>
      </w:r>
      <w:r w:rsidR="004D6690" w:rsidRPr="00832310">
        <w:rPr>
          <w:rFonts w:ascii="Times New Roman" w:hAnsi="Times New Roman"/>
          <w:sz w:val="24"/>
          <w:szCs w:val="24"/>
        </w:rPr>
        <w:t xml:space="preserve">provided by INSW to Customs </w:t>
      </w:r>
      <w:r w:rsidR="00A4663D" w:rsidRPr="00832310">
        <w:rPr>
          <w:rFonts w:ascii="Times New Roman" w:hAnsi="Times New Roman"/>
          <w:sz w:val="24"/>
          <w:szCs w:val="24"/>
        </w:rPr>
        <w:t xml:space="preserve">and </w:t>
      </w:r>
      <w:r w:rsidR="002F32E2" w:rsidRPr="00832310">
        <w:rPr>
          <w:rFonts w:ascii="Times New Roman" w:hAnsi="Times New Roman"/>
          <w:sz w:val="24"/>
          <w:szCs w:val="24"/>
        </w:rPr>
        <w:t xml:space="preserve">the </w:t>
      </w:r>
      <w:r w:rsidR="003504F7" w:rsidRPr="00832310">
        <w:rPr>
          <w:rFonts w:ascii="Times New Roman" w:hAnsi="Times New Roman"/>
          <w:sz w:val="24"/>
          <w:szCs w:val="24"/>
        </w:rPr>
        <w:t xml:space="preserve">volume on the </w:t>
      </w:r>
      <w:r w:rsidR="002F32E2" w:rsidRPr="00832310">
        <w:rPr>
          <w:rFonts w:ascii="Times New Roman" w:hAnsi="Times New Roman"/>
          <w:sz w:val="24"/>
          <w:szCs w:val="24"/>
        </w:rPr>
        <w:t>TRQ Certificate</w:t>
      </w:r>
      <w:r w:rsidR="00A4663D" w:rsidRPr="00832310">
        <w:rPr>
          <w:rFonts w:ascii="Times New Roman" w:hAnsi="Times New Roman"/>
          <w:sz w:val="24"/>
          <w:szCs w:val="24"/>
        </w:rPr>
        <w:t>, the latter shall prevail</w:t>
      </w:r>
      <w:r w:rsidR="004763AD" w:rsidRPr="00832310">
        <w:rPr>
          <w:rFonts w:ascii="Times New Roman" w:hAnsi="Times New Roman"/>
          <w:sz w:val="24"/>
          <w:szCs w:val="24"/>
        </w:rPr>
        <w:t>.</w:t>
      </w:r>
      <w:r w:rsidR="005D5B68" w:rsidRPr="00832310">
        <w:rPr>
          <w:rStyle w:val="FootnoteReference"/>
          <w:rFonts w:ascii="Times New Roman" w:hAnsi="Times New Roman"/>
          <w:sz w:val="24"/>
          <w:szCs w:val="24"/>
        </w:rPr>
        <w:footnoteReference w:id="4"/>
      </w:r>
    </w:p>
    <w:p w14:paraId="4CCFB8B3" w14:textId="232A2B53" w:rsidR="00C57A71" w:rsidRPr="002B6625" w:rsidRDefault="007869ED" w:rsidP="005C7E43">
      <w:pPr>
        <w:spacing w:line="240" w:lineRule="auto"/>
        <w:jc w:val="both"/>
        <w:rPr>
          <w:rFonts w:ascii="Times New Roman" w:hAnsi="Times New Roman"/>
          <w:sz w:val="24"/>
          <w:szCs w:val="24"/>
        </w:rPr>
      </w:pPr>
      <w:r>
        <w:rPr>
          <w:rFonts w:ascii="Times New Roman" w:hAnsi="Times New Roman"/>
          <w:sz w:val="24"/>
          <w:szCs w:val="24"/>
        </w:rPr>
        <w:t>6</w:t>
      </w:r>
      <w:r w:rsidR="00C57A71">
        <w:rPr>
          <w:rFonts w:ascii="Times New Roman" w:hAnsi="Times New Roman"/>
          <w:sz w:val="24"/>
          <w:szCs w:val="24"/>
        </w:rPr>
        <w:t>.</w:t>
      </w:r>
      <w:r w:rsidR="00C57A71">
        <w:rPr>
          <w:rFonts w:ascii="Times New Roman" w:hAnsi="Times New Roman"/>
          <w:sz w:val="24"/>
          <w:szCs w:val="24"/>
        </w:rPr>
        <w:tab/>
        <w:t>On receipt of the import declaration and</w:t>
      </w:r>
      <w:r w:rsidR="005735C4">
        <w:rPr>
          <w:rFonts w:ascii="Times New Roman" w:hAnsi="Times New Roman"/>
          <w:sz w:val="24"/>
          <w:szCs w:val="24"/>
        </w:rPr>
        <w:t xml:space="preserve"> provided</w:t>
      </w:r>
      <w:r w:rsidR="00C57A71">
        <w:rPr>
          <w:rFonts w:ascii="Times New Roman" w:hAnsi="Times New Roman"/>
          <w:sz w:val="24"/>
          <w:szCs w:val="24"/>
        </w:rPr>
        <w:t xml:space="preserve"> </w:t>
      </w:r>
      <w:r w:rsidR="00C42E0F" w:rsidRPr="00BC5185">
        <w:rPr>
          <w:rFonts w:ascii="Times New Roman" w:hAnsi="Times New Roman"/>
          <w:sz w:val="24"/>
          <w:szCs w:val="24"/>
        </w:rPr>
        <w:t xml:space="preserve">the goods meet all </w:t>
      </w:r>
      <w:r w:rsidR="0071244D" w:rsidRPr="00BC5185">
        <w:rPr>
          <w:rFonts w:ascii="Times New Roman" w:hAnsi="Times New Roman"/>
          <w:sz w:val="24"/>
          <w:szCs w:val="24"/>
        </w:rPr>
        <w:t xml:space="preserve">applicable </w:t>
      </w:r>
      <w:r w:rsidR="00C42E0F" w:rsidRPr="00BC5185">
        <w:rPr>
          <w:rFonts w:ascii="Times New Roman" w:hAnsi="Times New Roman"/>
          <w:sz w:val="24"/>
          <w:szCs w:val="24"/>
        </w:rPr>
        <w:t xml:space="preserve">requirements of </w:t>
      </w:r>
      <w:r w:rsidR="00BC5185" w:rsidRPr="00BC5185">
        <w:rPr>
          <w:rFonts w:ascii="Times New Roman" w:hAnsi="Times New Roman"/>
          <w:sz w:val="24"/>
          <w:szCs w:val="24"/>
        </w:rPr>
        <w:t>C</w:t>
      </w:r>
      <w:r w:rsidR="00C42E0F" w:rsidRPr="00BC5185">
        <w:rPr>
          <w:rFonts w:ascii="Times New Roman" w:hAnsi="Times New Roman"/>
          <w:sz w:val="24"/>
          <w:szCs w:val="24"/>
        </w:rPr>
        <w:t xml:space="preserve">hapter 4 (Rules of Origin) </w:t>
      </w:r>
      <w:r w:rsidR="00BC5185" w:rsidRPr="00BC5185">
        <w:rPr>
          <w:rFonts w:ascii="Times New Roman" w:hAnsi="Times New Roman"/>
          <w:sz w:val="24"/>
          <w:szCs w:val="24"/>
        </w:rPr>
        <w:t>of the Agreement</w:t>
      </w:r>
      <w:r w:rsidR="00C57A71" w:rsidRPr="00BC5185">
        <w:rPr>
          <w:rFonts w:ascii="Times New Roman" w:hAnsi="Times New Roman"/>
          <w:sz w:val="24"/>
          <w:szCs w:val="24"/>
        </w:rPr>
        <w:t xml:space="preserve">, </w:t>
      </w:r>
      <w:r w:rsidR="00C57A71">
        <w:rPr>
          <w:rFonts w:ascii="Times New Roman" w:hAnsi="Times New Roman"/>
          <w:sz w:val="24"/>
          <w:szCs w:val="24"/>
        </w:rPr>
        <w:t xml:space="preserve">Customs will </w:t>
      </w:r>
      <w:r w:rsidR="006C0D86">
        <w:rPr>
          <w:rFonts w:ascii="Times New Roman" w:hAnsi="Times New Roman"/>
          <w:sz w:val="24"/>
          <w:szCs w:val="24"/>
        </w:rPr>
        <w:t>apply</w:t>
      </w:r>
      <w:r w:rsidR="00C57A71">
        <w:rPr>
          <w:rFonts w:ascii="Times New Roman" w:hAnsi="Times New Roman"/>
          <w:sz w:val="24"/>
          <w:szCs w:val="24"/>
        </w:rPr>
        <w:t xml:space="preserve"> the appropriate tariff </w:t>
      </w:r>
      <w:r w:rsidR="006C0D86">
        <w:rPr>
          <w:rFonts w:ascii="Times New Roman" w:hAnsi="Times New Roman"/>
          <w:sz w:val="24"/>
          <w:szCs w:val="24"/>
        </w:rPr>
        <w:t xml:space="preserve">rate </w:t>
      </w:r>
      <w:r w:rsidR="00C57A71">
        <w:rPr>
          <w:rFonts w:ascii="Times New Roman" w:hAnsi="Times New Roman"/>
          <w:sz w:val="24"/>
          <w:szCs w:val="24"/>
        </w:rPr>
        <w:t xml:space="preserve">and </w:t>
      </w:r>
      <w:r w:rsidR="00331770">
        <w:rPr>
          <w:rFonts w:ascii="Times New Roman" w:hAnsi="Times New Roman"/>
          <w:sz w:val="24"/>
          <w:szCs w:val="24"/>
        </w:rPr>
        <w:t>undertake procedures for the release of</w:t>
      </w:r>
      <w:r w:rsidR="00C57A71">
        <w:rPr>
          <w:rFonts w:ascii="Times New Roman" w:hAnsi="Times New Roman"/>
          <w:sz w:val="24"/>
          <w:szCs w:val="24"/>
        </w:rPr>
        <w:t xml:space="preserve"> the goods.  </w:t>
      </w:r>
    </w:p>
    <w:p w14:paraId="4F50FBD6" w14:textId="22D55A82" w:rsidR="00F436F2" w:rsidRPr="009806ED" w:rsidRDefault="007869ED" w:rsidP="009806ED">
      <w:pPr>
        <w:spacing w:after="0" w:line="240" w:lineRule="auto"/>
        <w:jc w:val="both"/>
        <w:rPr>
          <w:rFonts w:ascii="Times New Roman" w:hAnsi="Times New Roman"/>
          <w:sz w:val="24"/>
          <w:szCs w:val="24"/>
        </w:rPr>
      </w:pPr>
      <w:r>
        <w:rPr>
          <w:rFonts w:ascii="Times New Roman" w:hAnsi="Times New Roman"/>
          <w:sz w:val="24"/>
          <w:szCs w:val="24"/>
        </w:rPr>
        <w:t>7</w:t>
      </w:r>
      <w:r w:rsidR="00D80D8B" w:rsidRPr="00375CC8">
        <w:rPr>
          <w:rFonts w:ascii="Times New Roman" w:hAnsi="Times New Roman"/>
          <w:sz w:val="24"/>
          <w:szCs w:val="24"/>
        </w:rPr>
        <w:t>.</w:t>
      </w:r>
      <w:r w:rsidR="00D80D8B" w:rsidRPr="00375CC8">
        <w:rPr>
          <w:rFonts w:ascii="Times New Roman" w:hAnsi="Times New Roman"/>
          <w:sz w:val="24"/>
          <w:szCs w:val="24"/>
        </w:rPr>
        <w:tab/>
        <w:t xml:space="preserve">In accordance with </w:t>
      </w:r>
      <w:r w:rsidR="00D80D8B" w:rsidRPr="00375CC8">
        <w:rPr>
          <w:rFonts w:ascii="Times New Roman" w:hAnsi="Times New Roman"/>
          <w:i/>
          <w:sz w:val="24"/>
          <w:szCs w:val="24"/>
        </w:rPr>
        <w:t>Appendix 2-A.1 (Tariff Rate Quotas)</w:t>
      </w:r>
      <w:r w:rsidR="00D80D8B" w:rsidRPr="00375CC8">
        <w:rPr>
          <w:rFonts w:ascii="Times New Roman" w:hAnsi="Times New Roman"/>
          <w:sz w:val="24"/>
          <w:szCs w:val="24"/>
        </w:rPr>
        <w:t>, where the TRQ for a product</w:t>
      </w:r>
      <w:r w:rsidR="00CA2980">
        <w:rPr>
          <w:rFonts w:ascii="Times New Roman" w:hAnsi="Times New Roman"/>
          <w:sz w:val="24"/>
          <w:szCs w:val="24"/>
        </w:rPr>
        <w:t xml:space="preserve"> is filled</w:t>
      </w:r>
      <w:r w:rsidR="003D2EFF">
        <w:rPr>
          <w:rFonts w:ascii="Times New Roman" w:hAnsi="Times New Roman"/>
          <w:sz w:val="24"/>
          <w:szCs w:val="24"/>
        </w:rPr>
        <w:t>,</w:t>
      </w:r>
      <w:r w:rsidR="00D80D8B" w:rsidRPr="00375CC8">
        <w:rPr>
          <w:rFonts w:ascii="Times New Roman" w:hAnsi="Times New Roman"/>
          <w:sz w:val="24"/>
          <w:szCs w:val="24"/>
        </w:rPr>
        <w:t xml:space="preserve"> additional product beyond the TRQ volume may enter Indonesia upon payment of the out-of-quota tariff.</w:t>
      </w:r>
      <w:r w:rsidR="008D4F1B">
        <w:rPr>
          <w:rStyle w:val="FootnoteReference"/>
          <w:rFonts w:ascii="Times New Roman" w:hAnsi="Times New Roman"/>
          <w:sz w:val="24"/>
          <w:szCs w:val="24"/>
        </w:rPr>
        <w:footnoteReference w:id="5"/>
      </w:r>
    </w:p>
    <w:p w14:paraId="79FB5AA5" w14:textId="352BA040" w:rsidR="00E47731" w:rsidRPr="00842EFA" w:rsidRDefault="00C46D26" w:rsidP="004B53BF">
      <w:pPr>
        <w:pStyle w:val="Heading2"/>
      </w:pPr>
      <w:r w:rsidRPr="002B6625">
        <w:t>Operational Procedures</w:t>
      </w:r>
    </w:p>
    <w:p w14:paraId="3AD15345" w14:textId="7AC932EE" w:rsidR="00C46D26" w:rsidRPr="00B040F5" w:rsidRDefault="000022B8" w:rsidP="005C7E43">
      <w:pPr>
        <w:spacing w:after="0" w:line="240" w:lineRule="auto"/>
        <w:jc w:val="both"/>
        <w:rPr>
          <w:rFonts w:ascii="Times New Roman" w:hAnsi="Times New Roman"/>
          <w:sz w:val="24"/>
          <w:szCs w:val="24"/>
        </w:rPr>
      </w:pPr>
      <w:r>
        <w:rPr>
          <w:rFonts w:ascii="Times New Roman" w:hAnsi="Times New Roman"/>
          <w:sz w:val="24"/>
          <w:szCs w:val="24"/>
        </w:rPr>
        <w:t>8</w:t>
      </w:r>
      <w:r w:rsidR="00C46D26" w:rsidRPr="00B040F5">
        <w:rPr>
          <w:rFonts w:ascii="Times New Roman" w:hAnsi="Times New Roman"/>
          <w:sz w:val="24"/>
          <w:szCs w:val="24"/>
        </w:rPr>
        <w:t>.</w:t>
      </w:r>
      <w:r w:rsidR="00C46D26" w:rsidRPr="00B040F5">
        <w:rPr>
          <w:rFonts w:ascii="Times New Roman" w:hAnsi="Times New Roman"/>
          <w:sz w:val="24"/>
          <w:szCs w:val="24"/>
        </w:rPr>
        <w:tab/>
        <w:t xml:space="preserve">An electronic </w:t>
      </w:r>
      <w:r w:rsidR="00B421BF">
        <w:rPr>
          <w:rFonts w:ascii="Times New Roman" w:hAnsi="Times New Roman"/>
          <w:sz w:val="24"/>
          <w:szCs w:val="24"/>
        </w:rPr>
        <w:t xml:space="preserve">TRQ </w:t>
      </w:r>
      <w:r w:rsidR="00C46D26" w:rsidRPr="00B040F5">
        <w:rPr>
          <w:rFonts w:ascii="Times New Roman" w:hAnsi="Times New Roman"/>
          <w:sz w:val="24"/>
          <w:szCs w:val="24"/>
        </w:rPr>
        <w:t>certificate system (eQuotaCert) will be established to share data between countries pertaining to TRQ eligible consignments.  The eQuotaCert system, or any successor system, will comply with the UN/CEFACT XML schemas for SPSCertificate and SPSAcknowledgement.</w:t>
      </w:r>
    </w:p>
    <w:p w14:paraId="543CD2B4" w14:textId="1829D29B" w:rsidR="004924A5" w:rsidRPr="00C57B62" w:rsidRDefault="004924A5" w:rsidP="00C57B62">
      <w:pPr>
        <w:spacing w:after="0" w:line="240" w:lineRule="auto"/>
        <w:rPr>
          <w:rFonts w:ascii="Times New Roman" w:hAnsi="Times New Roman"/>
          <w:sz w:val="24"/>
          <w:szCs w:val="24"/>
        </w:rPr>
      </w:pPr>
    </w:p>
    <w:p w14:paraId="015AC840" w14:textId="1AF4F481" w:rsidR="00AD3A7E" w:rsidRDefault="000022B8" w:rsidP="0028207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9</w:t>
      </w:r>
      <w:r w:rsidR="004924A5" w:rsidRPr="002B6625">
        <w:rPr>
          <w:rFonts w:ascii="Times New Roman" w:hAnsi="Times New Roman"/>
          <w:sz w:val="24"/>
          <w:szCs w:val="24"/>
        </w:rPr>
        <w:t>.</w:t>
      </w:r>
      <w:r w:rsidR="004924A5" w:rsidRPr="002B6625">
        <w:rPr>
          <w:rFonts w:ascii="Times New Roman" w:hAnsi="Times New Roman"/>
          <w:sz w:val="24"/>
          <w:szCs w:val="24"/>
        </w:rPr>
        <w:tab/>
        <w:t>The competent governmental authority</w:t>
      </w:r>
      <w:r w:rsidR="007D6723">
        <w:rPr>
          <w:rFonts w:ascii="Times New Roman" w:hAnsi="Times New Roman"/>
          <w:sz w:val="24"/>
          <w:szCs w:val="24"/>
        </w:rPr>
        <w:t xml:space="preserve"> </w:t>
      </w:r>
      <w:r w:rsidR="004924A5" w:rsidRPr="002B6625">
        <w:rPr>
          <w:rFonts w:ascii="Times New Roman" w:hAnsi="Times New Roman"/>
          <w:sz w:val="24"/>
          <w:szCs w:val="24"/>
        </w:rPr>
        <w:t xml:space="preserve">of Australia will issue eQuotaCert data (a TRQ certificate) for each eligible export, upon request of exporters, in accordance with procedures established </w:t>
      </w:r>
      <w:r w:rsidR="004924A5" w:rsidRPr="004775BE">
        <w:rPr>
          <w:rFonts w:ascii="Times New Roman" w:hAnsi="Times New Roman"/>
          <w:sz w:val="24"/>
          <w:szCs w:val="24"/>
        </w:rPr>
        <w:t>by</w:t>
      </w:r>
      <w:r w:rsidR="004924A5" w:rsidRPr="002B6625">
        <w:rPr>
          <w:rFonts w:ascii="Times New Roman" w:hAnsi="Times New Roman"/>
          <w:sz w:val="24"/>
          <w:szCs w:val="24"/>
        </w:rPr>
        <w:t xml:space="preserve"> the competent governmental authority of Australia.</w:t>
      </w:r>
    </w:p>
    <w:p w14:paraId="1B98C760" w14:textId="77777777" w:rsidR="002A781F" w:rsidRDefault="002A781F" w:rsidP="00435F39">
      <w:pPr>
        <w:spacing w:after="0" w:line="240" w:lineRule="auto"/>
        <w:rPr>
          <w:rFonts w:ascii="Times New Roman" w:hAnsi="Times New Roman"/>
          <w:sz w:val="24"/>
          <w:szCs w:val="24"/>
        </w:rPr>
      </w:pPr>
    </w:p>
    <w:p w14:paraId="4F25641F" w14:textId="4254BE52" w:rsidR="00B040F5" w:rsidRPr="002B6625" w:rsidRDefault="000022B8" w:rsidP="00282076">
      <w:pPr>
        <w:spacing w:after="0" w:line="240" w:lineRule="auto"/>
        <w:jc w:val="both"/>
        <w:rPr>
          <w:rFonts w:ascii="Times New Roman" w:hAnsi="Times New Roman"/>
          <w:sz w:val="24"/>
          <w:szCs w:val="24"/>
        </w:rPr>
      </w:pPr>
      <w:r>
        <w:rPr>
          <w:rFonts w:ascii="Times New Roman" w:hAnsi="Times New Roman"/>
          <w:sz w:val="24"/>
          <w:szCs w:val="24"/>
        </w:rPr>
        <w:t>10</w:t>
      </w:r>
      <w:r w:rsidR="00B040F5">
        <w:rPr>
          <w:rFonts w:ascii="Times New Roman" w:hAnsi="Times New Roman"/>
          <w:sz w:val="24"/>
          <w:szCs w:val="24"/>
        </w:rPr>
        <w:t>.</w:t>
      </w:r>
      <w:r w:rsidR="00B040F5">
        <w:rPr>
          <w:rFonts w:ascii="Times New Roman" w:hAnsi="Times New Roman"/>
          <w:sz w:val="24"/>
          <w:szCs w:val="24"/>
        </w:rPr>
        <w:tab/>
      </w:r>
      <w:r w:rsidR="007E168E">
        <w:rPr>
          <w:rFonts w:ascii="Times New Roman" w:hAnsi="Times New Roman"/>
          <w:sz w:val="24"/>
          <w:szCs w:val="24"/>
        </w:rPr>
        <w:t>The competent governmental authority of Australia will transmit the eQuotaCert data through the eQuotaCert system, which can be retrieved by the eC</w:t>
      </w:r>
      <w:r w:rsidR="00C60A04">
        <w:rPr>
          <w:rFonts w:ascii="Times New Roman" w:hAnsi="Times New Roman"/>
          <w:sz w:val="24"/>
          <w:szCs w:val="24"/>
        </w:rPr>
        <w:t xml:space="preserve">ERTs </w:t>
      </w:r>
      <w:r w:rsidR="007E168E">
        <w:rPr>
          <w:rFonts w:ascii="Times New Roman" w:hAnsi="Times New Roman"/>
          <w:sz w:val="24"/>
          <w:szCs w:val="24"/>
        </w:rPr>
        <w:t>Courier system. The eCERTs Courier system will transmit the eQuotaCert data to the INSW Gateway</w:t>
      </w:r>
      <w:r w:rsidR="00EE5C99">
        <w:rPr>
          <w:rFonts w:ascii="Times New Roman" w:hAnsi="Times New Roman"/>
          <w:sz w:val="24"/>
          <w:szCs w:val="24"/>
        </w:rPr>
        <w:t>.</w:t>
      </w:r>
      <w:r w:rsidR="007E168E">
        <w:rPr>
          <w:rFonts w:ascii="Times New Roman" w:hAnsi="Times New Roman"/>
          <w:sz w:val="24"/>
          <w:szCs w:val="24"/>
        </w:rPr>
        <w:t xml:space="preserve"> </w:t>
      </w:r>
    </w:p>
    <w:p w14:paraId="687EE694" w14:textId="764C5689" w:rsidR="004924A5" w:rsidRDefault="004924A5" w:rsidP="00435F39">
      <w:pPr>
        <w:pStyle w:val="ListParagraph"/>
        <w:spacing w:after="0" w:line="240" w:lineRule="auto"/>
        <w:ind w:left="0"/>
      </w:pPr>
    </w:p>
    <w:p w14:paraId="6760BC7E" w14:textId="6DAC0138" w:rsidR="00B040F5" w:rsidRPr="00F310DC" w:rsidRDefault="00F310DC" w:rsidP="00F310DC">
      <w:pPr>
        <w:rPr>
          <w:rFonts w:asciiTheme="minorHAnsi" w:eastAsiaTheme="minorHAnsi" w:hAnsiTheme="minorHAnsi" w:cstheme="minorBidi"/>
        </w:rPr>
      </w:pPr>
      <w:r>
        <w:br w:type="page"/>
      </w:r>
    </w:p>
    <w:p w14:paraId="052C09DD" w14:textId="17785DF2" w:rsidR="004924A5" w:rsidRPr="002B6625" w:rsidRDefault="000022B8" w:rsidP="002B6625">
      <w:pPr>
        <w:spacing w:after="0" w:line="240" w:lineRule="auto"/>
        <w:rPr>
          <w:rFonts w:ascii="Times New Roman" w:hAnsi="Times New Roman"/>
          <w:sz w:val="24"/>
          <w:szCs w:val="24"/>
        </w:rPr>
      </w:pPr>
      <w:r>
        <w:rPr>
          <w:rFonts w:ascii="Times New Roman" w:hAnsi="Times New Roman"/>
          <w:sz w:val="24"/>
          <w:szCs w:val="24"/>
        </w:rPr>
        <w:lastRenderedPageBreak/>
        <w:t>11</w:t>
      </w:r>
      <w:r w:rsidR="004924A5" w:rsidRPr="002B6625">
        <w:rPr>
          <w:rFonts w:ascii="Times New Roman" w:hAnsi="Times New Roman"/>
          <w:sz w:val="24"/>
          <w:szCs w:val="24"/>
        </w:rPr>
        <w:t>.</w:t>
      </w:r>
      <w:r w:rsidR="004924A5" w:rsidRPr="002B6625">
        <w:rPr>
          <w:rFonts w:ascii="Times New Roman" w:hAnsi="Times New Roman"/>
          <w:sz w:val="24"/>
          <w:szCs w:val="24"/>
        </w:rPr>
        <w:tab/>
        <w:t>The eQuotaCert system will include the following minimum data:</w:t>
      </w:r>
    </w:p>
    <w:p w14:paraId="05831FD5" w14:textId="77777777" w:rsidR="004924A5" w:rsidRPr="002B6625" w:rsidRDefault="004924A5" w:rsidP="002B6625">
      <w:pPr>
        <w:tabs>
          <w:tab w:val="left" w:pos="567"/>
        </w:tabs>
        <w:autoSpaceDE w:val="0"/>
        <w:autoSpaceDN w:val="0"/>
        <w:adjustRightInd w:val="0"/>
        <w:spacing w:after="0" w:line="240" w:lineRule="auto"/>
        <w:ind w:left="567"/>
        <w:rPr>
          <w:rFonts w:ascii="Times New Roman" w:hAnsi="Times New Roman"/>
          <w:sz w:val="24"/>
          <w:szCs w:val="24"/>
        </w:rPr>
      </w:pPr>
      <w:r w:rsidRPr="002B6625">
        <w:rPr>
          <w:rFonts w:ascii="Times New Roman" w:hAnsi="Times New Roman"/>
          <w:sz w:val="24"/>
          <w:szCs w:val="24"/>
        </w:rPr>
        <w:tab/>
      </w:r>
      <w:r w:rsidRPr="002B6625">
        <w:rPr>
          <w:rFonts w:ascii="Times New Roman" w:hAnsi="Times New Roman"/>
          <w:sz w:val="24"/>
          <w:szCs w:val="24"/>
        </w:rPr>
        <w:tab/>
        <w:t>Exporter’s Name and Address;</w:t>
      </w:r>
    </w:p>
    <w:p w14:paraId="1268D8DE" w14:textId="691DBAB8" w:rsidR="004924A5" w:rsidRPr="002B6625" w:rsidRDefault="004924A5" w:rsidP="002B6625">
      <w:pPr>
        <w:tabs>
          <w:tab w:val="left" w:pos="567"/>
        </w:tabs>
        <w:autoSpaceDE w:val="0"/>
        <w:autoSpaceDN w:val="0"/>
        <w:adjustRightInd w:val="0"/>
        <w:spacing w:after="0" w:line="240" w:lineRule="auto"/>
        <w:ind w:left="567"/>
        <w:rPr>
          <w:rFonts w:ascii="Times New Roman" w:hAnsi="Times New Roman"/>
          <w:sz w:val="24"/>
          <w:szCs w:val="24"/>
        </w:rPr>
      </w:pPr>
      <w:r w:rsidRPr="002B6625">
        <w:rPr>
          <w:rFonts w:ascii="Times New Roman" w:hAnsi="Times New Roman"/>
          <w:sz w:val="24"/>
          <w:szCs w:val="24"/>
        </w:rPr>
        <w:tab/>
      </w:r>
      <w:r w:rsidRPr="002B6625">
        <w:rPr>
          <w:rFonts w:ascii="Times New Roman" w:hAnsi="Times New Roman"/>
          <w:sz w:val="24"/>
          <w:szCs w:val="24"/>
        </w:rPr>
        <w:tab/>
      </w:r>
      <w:r w:rsidR="00B421BF">
        <w:rPr>
          <w:rFonts w:ascii="Times New Roman" w:hAnsi="Times New Roman"/>
          <w:sz w:val="24"/>
          <w:szCs w:val="24"/>
        </w:rPr>
        <w:t xml:space="preserve">TRQ </w:t>
      </w:r>
      <w:r w:rsidRPr="002B6625">
        <w:rPr>
          <w:rFonts w:ascii="Times New Roman" w:hAnsi="Times New Roman"/>
          <w:sz w:val="24"/>
          <w:szCs w:val="24"/>
        </w:rPr>
        <w:t>Certificate Number;</w:t>
      </w:r>
    </w:p>
    <w:p w14:paraId="5B546FC0" w14:textId="77777777" w:rsidR="004924A5" w:rsidRPr="002B6625" w:rsidRDefault="004924A5" w:rsidP="002B6625">
      <w:pPr>
        <w:tabs>
          <w:tab w:val="left" w:pos="567"/>
        </w:tabs>
        <w:autoSpaceDE w:val="0"/>
        <w:autoSpaceDN w:val="0"/>
        <w:adjustRightInd w:val="0"/>
        <w:spacing w:after="0" w:line="240" w:lineRule="auto"/>
        <w:ind w:left="567"/>
        <w:rPr>
          <w:rFonts w:ascii="Times New Roman" w:hAnsi="Times New Roman"/>
          <w:sz w:val="24"/>
          <w:szCs w:val="24"/>
        </w:rPr>
      </w:pPr>
      <w:r w:rsidRPr="002B6625">
        <w:rPr>
          <w:rFonts w:ascii="Times New Roman" w:hAnsi="Times New Roman"/>
          <w:sz w:val="24"/>
          <w:szCs w:val="24"/>
        </w:rPr>
        <w:tab/>
      </w:r>
      <w:r w:rsidRPr="002B6625">
        <w:rPr>
          <w:rFonts w:ascii="Times New Roman" w:hAnsi="Times New Roman"/>
          <w:sz w:val="24"/>
          <w:szCs w:val="24"/>
        </w:rPr>
        <w:tab/>
        <w:t>Importer’s Name and Address;</w:t>
      </w:r>
    </w:p>
    <w:p w14:paraId="514FEDF1" w14:textId="44AEDE86" w:rsidR="004924A5" w:rsidRPr="00D754C3" w:rsidRDefault="004924A5" w:rsidP="002B6625">
      <w:pPr>
        <w:tabs>
          <w:tab w:val="left" w:pos="567"/>
        </w:tabs>
        <w:autoSpaceDE w:val="0"/>
        <w:autoSpaceDN w:val="0"/>
        <w:adjustRightInd w:val="0"/>
        <w:spacing w:after="0" w:line="240" w:lineRule="auto"/>
        <w:ind w:left="567"/>
        <w:rPr>
          <w:rFonts w:ascii="Times New Roman" w:hAnsi="Times New Roman"/>
          <w:color w:val="00B050"/>
          <w:sz w:val="24"/>
          <w:szCs w:val="24"/>
        </w:rPr>
      </w:pPr>
      <w:r w:rsidRPr="002B6625">
        <w:rPr>
          <w:rFonts w:ascii="Times New Roman" w:hAnsi="Times New Roman"/>
          <w:sz w:val="24"/>
          <w:szCs w:val="24"/>
        </w:rPr>
        <w:tab/>
      </w:r>
      <w:r w:rsidRPr="002B6625">
        <w:rPr>
          <w:rFonts w:ascii="Times New Roman" w:hAnsi="Times New Roman"/>
          <w:sz w:val="24"/>
          <w:szCs w:val="24"/>
        </w:rPr>
        <w:tab/>
      </w:r>
      <w:r w:rsidR="007B12C6">
        <w:rPr>
          <w:rFonts w:ascii="Times New Roman" w:hAnsi="Times New Roman"/>
          <w:sz w:val="24"/>
          <w:szCs w:val="24"/>
        </w:rPr>
        <w:t>Business Identi</w:t>
      </w:r>
      <w:r w:rsidR="00795C54">
        <w:rPr>
          <w:rFonts w:ascii="Times New Roman" w:hAnsi="Times New Roman"/>
          <w:sz w:val="24"/>
          <w:szCs w:val="24"/>
        </w:rPr>
        <w:t>fication</w:t>
      </w:r>
      <w:r w:rsidRPr="007B12C6">
        <w:rPr>
          <w:rFonts w:ascii="Times New Roman" w:hAnsi="Times New Roman"/>
          <w:sz w:val="24"/>
          <w:szCs w:val="24"/>
        </w:rPr>
        <w:t xml:space="preserve"> Number</w:t>
      </w:r>
      <w:r w:rsidR="00D754C3" w:rsidRPr="007B12C6">
        <w:rPr>
          <w:rFonts w:ascii="Times New Roman" w:hAnsi="Times New Roman"/>
          <w:sz w:val="24"/>
          <w:szCs w:val="24"/>
        </w:rPr>
        <w:t xml:space="preserve"> </w:t>
      </w:r>
      <w:r w:rsidR="00BB72F6" w:rsidRPr="007B12C6">
        <w:rPr>
          <w:rFonts w:ascii="Times New Roman" w:hAnsi="Times New Roman"/>
          <w:sz w:val="24"/>
          <w:szCs w:val="24"/>
        </w:rPr>
        <w:t>(</w:t>
      </w:r>
      <w:r w:rsidR="00500C83" w:rsidRPr="007B12C6">
        <w:rPr>
          <w:rFonts w:ascii="Times New Roman" w:hAnsi="Times New Roman"/>
          <w:sz w:val="24"/>
          <w:szCs w:val="24"/>
        </w:rPr>
        <w:t>NIB</w:t>
      </w:r>
      <w:r w:rsidR="00CA18F7" w:rsidRPr="007B12C6">
        <w:rPr>
          <w:rFonts w:ascii="Times New Roman" w:hAnsi="Times New Roman"/>
          <w:sz w:val="24"/>
          <w:szCs w:val="24"/>
        </w:rPr>
        <w:t>)</w:t>
      </w:r>
    </w:p>
    <w:p w14:paraId="104131CF" w14:textId="77777777" w:rsidR="00925FE2" w:rsidRDefault="00925FE2" w:rsidP="00925FE2">
      <w:pPr>
        <w:tabs>
          <w:tab w:val="left" w:pos="567"/>
        </w:tabs>
        <w:autoSpaceDE w:val="0"/>
        <w:autoSpaceDN w:val="0"/>
        <w:adjustRightInd w:val="0"/>
        <w:spacing w:after="0" w:line="240" w:lineRule="auto"/>
        <w:ind w:left="567"/>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Importer’s Tax ID;</w:t>
      </w:r>
    </w:p>
    <w:p w14:paraId="704EDB35" w14:textId="1EE10726" w:rsidR="004924A5" w:rsidRPr="002B6625" w:rsidRDefault="00925FE2" w:rsidP="00925FE2">
      <w:pPr>
        <w:tabs>
          <w:tab w:val="left" w:pos="567"/>
        </w:tabs>
        <w:autoSpaceDE w:val="0"/>
        <w:autoSpaceDN w:val="0"/>
        <w:adjustRightInd w:val="0"/>
        <w:spacing w:after="0" w:line="240" w:lineRule="auto"/>
        <w:ind w:left="567"/>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4924A5" w:rsidRPr="002B6625">
        <w:rPr>
          <w:rFonts w:ascii="Times New Roman" w:hAnsi="Times New Roman"/>
          <w:sz w:val="24"/>
          <w:szCs w:val="24"/>
        </w:rPr>
        <w:t>Description of Good(s);</w:t>
      </w:r>
    </w:p>
    <w:p w14:paraId="1C3C83FC" w14:textId="77777777" w:rsidR="004924A5" w:rsidRPr="002B6625" w:rsidRDefault="004924A5" w:rsidP="002B6625">
      <w:pPr>
        <w:tabs>
          <w:tab w:val="left" w:pos="567"/>
        </w:tabs>
        <w:autoSpaceDE w:val="0"/>
        <w:autoSpaceDN w:val="0"/>
        <w:adjustRightInd w:val="0"/>
        <w:spacing w:after="0" w:line="240" w:lineRule="auto"/>
        <w:ind w:left="567"/>
        <w:rPr>
          <w:rFonts w:ascii="Times New Roman" w:hAnsi="Times New Roman"/>
          <w:sz w:val="24"/>
          <w:szCs w:val="24"/>
        </w:rPr>
      </w:pPr>
      <w:r w:rsidRPr="002B6625">
        <w:rPr>
          <w:rFonts w:ascii="Times New Roman" w:hAnsi="Times New Roman"/>
          <w:sz w:val="24"/>
          <w:szCs w:val="24"/>
        </w:rPr>
        <w:tab/>
      </w:r>
      <w:r w:rsidRPr="002B6625">
        <w:rPr>
          <w:rFonts w:ascii="Times New Roman" w:hAnsi="Times New Roman"/>
          <w:sz w:val="24"/>
          <w:szCs w:val="24"/>
        </w:rPr>
        <w:tab/>
        <w:t>HS Tariff Classification Number;</w:t>
      </w:r>
    </w:p>
    <w:p w14:paraId="58A00B2D" w14:textId="77777777" w:rsidR="004924A5" w:rsidRPr="002B6625" w:rsidRDefault="004924A5" w:rsidP="002B6625">
      <w:pPr>
        <w:tabs>
          <w:tab w:val="left" w:pos="567"/>
        </w:tabs>
        <w:autoSpaceDE w:val="0"/>
        <w:autoSpaceDN w:val="0"/>
        <w:adjustRightInd w:val="0"/>
        <w:spacing w:after="0" w:line="240" w:lineRule="auto"/>
        <w:ind w:left="567"/>
        <w:rPr>
          <w:rFonts w:ascii="Times New Roman" w:hAnsi="Times New Roman"/>
          <w:sz w:val="24"/>
          <w:szCs w:val="24"/>
        </w:rPr>
      </w:pPr>
      <w:r w:rsidRPr="002B6625">
        <w:rPr>
          <w:rFonts w:ascii="Times New Roman" w:hAnsi="Times New Roman"/>
          <w:sz w:val="24"/>
          <w:szCs w:val="24"/>
        </w:rPr>
        <w:tab/>
      </w:r>
      <w:r w:rsidRPr="002B6625">
        <w:rPr>
          <w:rFonts w:ascii="Times New Roman" w:hAnsi="Times New Roman"/>
          <w:sz w:val="24"/>
          <w:szCs w:val="24"/>
        </w:rPr>
        <w:tab/>
        <w:t>Quantity (with unit of measure); and</w:t>
      </w:r>
    </w:p>
    <w:p w14:paraId="5ED8B970" w14:textId="1CB1D83B" w:rsidR="00925FE2" w:rsidRDefault="004924A5" w:rsidP="00925FE2">
      <w:pPr>
        <w:tabs>
          <w:tab w:val="left" w:pos="567"/>
        </w:tabs>
        <w:autoSpaceDE w:val="0"/>
        <w:autoSpaceDN w:val="0"/>
        <w:adjustRightInd w:val="0"/>
        <w:spacing w:after="0" w:line="240" w:lineRule="auto"/>
        <w:ind w:left="567"/>
        <w:rPr>
          <w:rFonts w:ascii="Times New Roman" w:hAnsi="Times New Roman"/>
          <w:sz w:val="24"/>
          <w:szCs w:val="24"/>
        </w:rPr>
      </w:pPr>
      <w:r w:rsidRPr="002B6625">
        <w:rPr>
          <w:rFonts w:ascii="Times New Roman" w:hAnsi="Times New Roman"/>
          <w:sz w:val="24"/>
          <w:szCs w:val="24"/>
        </w:rPr>
        <w:tab/>
      </w:r>
      <w:r w:rsidRPr="002B6625">
        <w:rPr>
          <w:rFonts w:ascii="Times New Roman" w:hAnsi="Times New Roman"/>
          <w:sz w:val="24"/>
          <w:szCs w:val="24"/>
        </w:rPr>
        <w:tab/>
        <w:t xml:space="preserve">Validity of </w:t>
      </w:r>
      <w:r w:rsidR="00B421BF">
        <w:rPr>
          <w:rFonts w:ascii="Times New Roman" w:hAnsi="Times New Roman"/>
          <w:sz w:val="24"/>
          <w:szCs w:val="24"/>
        </w:rPr>
        <w:t xml:space="preserve">TRQ </w:t>
      </w:r>
      <w:r w:rsidR="00925FE2">
        <w:rPr>
          <w:rFonts w:ascii="Times New Roman" w:hAnsi="Times New Roman"/>
          <w:sz w:val="24"/>
          <w:szCs w:val="24"/>
        </w:rPr>
        <w:t>Certificate (commence/expire).</w:t>
      </w:r>
    </w:p>
    <w:p w14:paraId="6DC10801" w14:textId="77777777" w:rsidR="00925FE2" w:rsidRPr="002B6625" w:rsidRDefault="00925FE2" w:rsidP="00925FE2">
      <w:pPr>
        <w:tabs>
          <w:tab w:val="left" w:pos="567"/>
        </w:tabs>
        <w:autoSpaceDE w:val="0"/>
        <w:autoSpaceDN w:val="0"/>
        <w:adjustRightInd w:val="0"/>
        <w:spacing w:after="0" w:line="240" w:lineRule="auto"/>
        <w:ind w:left="567"/>
        <w:rPr>
          <w:rFonts w:ascii="Times New Roman" w:hAnsi="Times New Roman"/>
          <w:sz w:val="24"/>
          <w:szCs w:val="24"/>
        </w:rPr>
      </w:pPr>
    </w:p>
    <w:p w14:paraId="38843393" w14:textId="149C5004" w:rsidR="00F436F2" w:rsidRDefault="000022B8" w:rsidP="002B6625">
      <w:pPr>
        <w:spacing w:after="0" w:line="240" w:lineRule="auto"/>
        <w:jc w:val="both"/>
        <w:rPr>
          <w:rFonts w:ascii="Times New Roman" w:hAnsi="Times New Roman"/>
          <w:bCs/>
          <w:sz w:val="24"/>
          <w:szCs w:val="24"/>
        </w:rPr>
      </w:pPr>
      <w:r>
        <w:rPr>
          <w:rFonts w:ascii="Times New Roman" w:hAnsi="Times New Roman"/>
          <w:bCs/>
          <w:sz w:val="24"/>
          <w:szCs w:val="24"/>
        </w:rPr>
        <w:t>12</w:t>
      </w:r>
      <w:r w:rsidR="00F436F2" w:rsidRPr="002B6625">
        <w:rPr>
          <w:rFonts w:ascii="Times New Roman" w:hAnsi="Times New Roman"/>
          <w:bCs/>
          <w:sz w:val="24"/>
          <w:szCs w:val="24"/>
        </w:rPr>
        <w:t>.</w:t>
      </w:r>
      <w:r w:rsidR="00F436F2" w:rsidRPr="002B6625">
        <w:rPr>
          <w:rFonts w:ascii="Times New Roman" w:hAnsi="Times New Roman"/>
          <w:bCs/>
          <w:sz w:val="24"/>
          <w:szCs w:val="24"/>
        </w:rPr>
        <w:tab/>
        <w:t>The competent governmental authorities</w:t>
      </w:r>
      <w:r w:rsidR="00F436F2" w:rsidRPr="002B6625" w:rsidDel="00904AEC">
        <w:rPr>
          <w:rFonts w:ascii="Times New Roman" w:hAnsi="Times New Roman"/>
          <w:bCs/>
          <w:sz w:val="24"/>
          <w:szCs w:val="24"/>
        </w:rPr>
        <w:t xml:space="preserve"> </w:t>
      </w:r>
      <w:r w:rsidR="006C1845">
        <w:rPr>
          <w:rFonts w:ascii="Times New Roman" w:hAnsi="Times New Roman"/>
          <w:bCs/>
          <w:sz w:val="24"/>
          <w:szCs w:val="24"/>
        </w:rPr>
        <w:t xml:space="preserve">of Australia and Indonesia </w:t>
      </w:r>
      <w:r w:rsidR="00F436F2" w:rsidRPr="002B6625">
        <w:rPr>
          <w:rFonts w:ascii="Times New Roman" w:hAnsi="Times New Roman"/>
          <w:bCs/>
          <w:sz w:val="24"/>
          <w:szCs w:val="24"/>
        </w:rPr>
        <w:t>will exchange information regarding the fill rates for each TRQ at the conclusion of each month</w:t>
      </w:r>
      <w:r w:rsidR="000547DD">
        <w:rPr>
          <w:rFonts w:ascii="Times New Roman" w:hAnsi="Times New Roman"/>
          <w:bCs/>
          <w:sz w:val="24"/>
          <w:szCs w:val="24"/>
        </w:rPr>
        <w:t xml:space="preserve"> via the contact points provided</w:t>
      </w:r>
      <w:r w:rsidR="00D21FBC">
        <w:rPr>
          <w:rFonts w:ascii="Times New Roman" w:hAnsi="Times New Roman"/>
          <w:bCs/>
          <w:sz w:val="24"/>
          <w:szCs w:val="24"/>
        </w:rPr>
        <w:t>.</w:t>
      </w:r>
      <w:r w:rsidR="005B791B">
        <w:rPr>
          <w:rFonts w:ascii="Times New Roman" w:hAnsi="Times New Roman"/>
          <w:bCs/>
          <w:sz w:val="24"/>
          <w:szCs w:val="24"/>
        </w:rPr>
        <w:t xml:space="preserve"> </w:t>
      </w:r>
      <w:r w:rsidR="00D21FBC">
        <w:rPr>
          <w:rFonts w:ascii="Times New Roman" w:hAnsi="Times New Roman"/>
          <w:bCs/>
          <w:sz w:val="24"/>
          <w:szCs w:val="24"/>
        </w:rPr>
        <w:t>T</w:t>
      </w:r>
      <w:r w:rsidR="00925FE2">
        <w:rPr>
          <w:rFonts w:ascii="Times New Roman" w:hAnsi="Times New Roman"/>
          <w:bCs/>
          <w:sz w:val="24"/>
          <w:szCs w:val="24"/>
        </w:rPr>
        <w:t>his may be done via email</w:t>
      </w:r>
    </w:p>
    <w:p w14:paraId="4BB65AFB" w14:textId="77777777" w:rsidR="00925FE2" w:rsidRPr="005B791B" w:rsidRDefault="00925FE2" w:rsidP="002B6625">
      <w:pPr>
        <w:spacing w:after="0" w:line="240" w:lineRule="auto"/>
        <w:jc w:val="both"/>
        <w:rPr>
          <w:rFonts w:ascii="Times New Roman" w:hAnsi="Times New Roman"/>
          <w:bCs/>
          <w:sz w:val="24"/>
          <w:szCs w:val="24"/>
        </w:rPr>
      </w:pPr>
    </w:p>
    <w:p w14:paraId="42BB6A31" w14:textId="529DB8B6" w:rsidR="00F436F2" w:rsidRPr="00D21FBC" w:rsidRDefault="000022B8" w:rsidP="002B6625">
      <w:pPr>
        <w:spacing w:after="0" w:line="240" w:lineRule="auto"/>
        <w:jc w:val="both"/>
        <w:rPr>
          <w:rFonts w:ascii="Times New Roman" w:hAnsi="Times New Roman"/>
          <w:bCs/>
          <w:sz w:val="24"/>
          <w:szCs w:val="24"/>
        </w:rPr>
      </w:pPr>
      <w:r w:rsidRPr="005B791B">
        <w:rPr>
          <w:rFonts w:ascii="Times New Roman" w:hAnsi="Times New Roman"/>
          <w:bCs/>
          <w:sz w:val="24"/>
          <w:szCs w:val="24"/>
        </w:rPr>
        <w:t>1</w:t>
      </w:r>
      <w:r>
        <w:rPr>
          <w:rFonts w:ascii="Times New Roman" w:hAnsi="Times New Roman"/>
          <w:bCs/>
          <w:sz w:val="24"/>
          <w:szCs w:val="24"/>
        </w:rPr>
        <w:t>3</w:t>
      </w:r>
      <w:r w:rsidR="00AA45D7" w:rsidRPr="005B791B">
        <w:rPr>
          <w:rFonts w:ascii="Times New Roman" w:hAnsi="Times New Roman"/>
          <w:bCs/>
          <w:sz w:val="24"/>
          <w:szCs w:val="24"/>
        </w:rPr>
        <w:t>.</w:t>
      </w:r>
      <w:r w:rsidR="00AA45D7" w:rsidRPr="005B791B">
        <w:rPr>
          <w:rFonts w:ascii="Times New Roman" w:hAnsi="Times New Roman"/>
          <w:bCs/>
          <w:sz w:val="24"/>
          <w:szCs w:val="24"/>
        </w:rPr>
        <w:tab/>
      </w:r>
      <w:r w:rsidR="00F436F2" w:rsidRPr="00D21FBC">
        <w:rPr>
          <w:rFonts w:ascii="Times New Roman" w:hAnsi="Times New Roman"/>
          <w:bCs/>
          <w:sz w:val="24"/>
          <w:szCs w:val="24"/>
        </w:rPr>
        <w:t xml:space="preserve">Monthly reports from the competent governmental authority of Australia will contain the following minimum information for each TRQ: </w:t>
      </w:r>
    </w:p>
    <w:p w14:paraId="2AE5A0D6" w14:textId="2DA29B3B" w:rsidR="00F436F2" w:rsidRPr="00D21FBC" w:rsidRDefault="00B421BF" w:rsidP="002B6625">
      <w:pPr>
        <w:pStyle w:val="ListParagraph"/>
        <w:spacing w:after="0" w:line="240" w:lineRule="auto"/>
        <w:ind w:left="1440"/>
        <w:jc w:val="both"/>
        <w:rPr>
          <w:rFonts w:ascii="Times New Roman" w:hAnsi="Times New Roman" w:cs="Times New Roman"/>
          <w:bCs/>
          <w:sz w:val="24"/>
          <w:szCs w:val="24"/>
        </w:rPr>
      </w:pPr>
      <w:r>
        <w:rPr>
          <w:rFonts w:ascii="Times New Roman" w:hAnsi="Times New Roman" w:cs="Times New Roman"/>
          <w:bCs/>
          <w:sz w:val="24"/>
          <w:szCs w:val="24"/>
        </w:rPr>
        <w:t xml:space="preserve">TRQ </w:t>
      </w:r>
      <w:r w:rsidR="00F436F2" w:rsidRPr="00D21FBC">
        <w:rPr>
          <w:rFonts w:ascii="Times New Roman" w:hAnsi="Times New Roman" w:cs="Times New Roman"/>
          <w:bCs/>
          <w:sz w:val="24"/>
          <w:szCs w:val="24"/>
        </w:rPr>
        <w:t>Certificates issued for the month</w:t>
      </w:r>
    </w:p>
    <w:p w14:paraId="4657ECB6" w14:textId="770CB84D" w:rsidR="00F436F2" w:rsidRPr="00D21FBC" w:rsidRDefault="00B421BF" w:rsidP="002B6625">
      <w:pPr>
        <w:pStyle w:val="ListParagraph"/>
        <w:spacing w:after="0" w:line="240" w:lineRule="auto"/>
        <w:ind w:left="1440"/>
        <w:jc w:val="both"/>
        <w:rPr>
          <w:rFonts w:ascii="Times New Roman" w:hAnsi="Times New Roman" w:cs="Times New Roman"/>
          <w:bCs/>
          <w:sz w:val="24"/>
          <w:szCs w:val="24"/>
        </w:rPr>
      </w:pPr>
      <w:r>
        <w:rPr>
          <w:rFonts w:ascii="Times New Roman" w:hAnsi="Times New Roman" w:cs="Times New Roman"/>
          <w:bCs/>
          <w:sz w:val="24"/>
          <w:szCs w:val="24"/>
        </w:rPr>
        <w:t xml:space="preserve">TRQ </w:t>
      </w:r>
      <w:r w:rsidR="00F436F2" w:rsidRPr="00D21FBC">
        <w:rPr>
          <w:rFonts w:ascii="Times New Roman" w:hAnsi="Times New Roman" w:cs="Times New Roman"/>
          <w:bCs/>
          <w:sz w:val="24"/>
          <w:szCs w:val="24"/>
        </w:rPr>
        <w:t>Certificates cancelled for the month</w:t>
      </w:r>
    </w:p>
    <w:p w14:paraId="3620DA15" w14:textId="77777777" w:rsidR="00F436F2" w:rsidRPr="00D21FBC" w:rsidRDefault="00F436F2" w:rsidP="002B6625">
      <w:pPr>
        <w:pStyle w:val="ListParagraph"/>
        <w:spacing w:after="0" w:line="240" w:lineRule="auto"/>
        <w:ind w:left="1440"/>
        <w:jc w:val="both"/>
        <w:rPr>
          <w:rFonts w:ascii="Times New Roman" w:hAnsi="Times New Roman" w:cs="Times New Roman"/>
          <w:bCs/>
          <w:sz w:val="24"/>
          <w:szCs w:val="24"/>
        </w:rPr>
      </w:pPr>
      <w:r w:rsidRPr="00D21FBC">
        <w:rPr>
          <w:rFonts w:ascii="Times New Roman" w:hAnsi="Times New Roman" w:cs="Times New Roman"/>
          <w:bCs/>
          <w:sz w:val="24"/>
          <w:szCs w:val="24"/>
        </w:rPr>
        <w:t xml:space="preserve">TRQ utilised for the month </w:t>
      </w:r>
    </w:p>
    <w:p w14:paraId="255B3AE9" w14:textId="77777777" w:rsidR="00F436F2" w:rsidRPr="005B791B" w:rsidRDefault="00F436F2" w:rsidP="002B6625">
      <w:pPr>
        <w:pStyle w:val="ListParagraph"/>
        <w:spacing w:after="0" w:line="240" w:lineRule="auto"/>
        <w:ind w:firstLine="698"/>
        <w:jc w:val="both"/>
        <w:rPr>
          <w:rFonts w:ascii="Times New Roman" w:hAnsi="Times New Roman" w:cs="Times New Roman"/>
          <w:bCs/>
          <w:sz w:val="24"/>
          <w:szCs w:val="24"/>
        </w:rPr>
      </w:pPr>
      <w:r w:rsidRPr="00D21FBC">
        <w:rPr>
          <w:rFonts w:ascii="Times New Roman" w:hAnsi="Times New Roman" w:cs="Times New Roman"/>
          <w:bCs/>
          <w:sz w:val="24"/>
          <w:szCs w:val="24"/>
        </w:rPr>
        <w:t>TRQ utilised for the year</w:t>
      </w:r>
    </w:p>
    <w:p w14:paraId="37EFC9F9" w14:textId="77777777" w:rsidR="00F436F2" w:rsidRPr="005B791B" w:rsidRDefault="00F436F2" w:rsidP="002B6625">
      <w:pPr>
        <w:pStyle w:val="ListParagraph"/>
        <w:spacing w:after="0" w:line="240" w:lineRule="auto"/>
        <w:ind w:firstLine="698"/>
        <w:jc w:val="both"/>
        <w:rPr>
          <w:rFonts w:ascii="Times New Roman" w:hAnsi="Times New Roman" w:cs="Times New Roman"/>
          <w:sz w:val="24"/>
          <w:szCs w:val="24"/>
        </w:rPr>
      </w:pPr>
    </w:p>
    <w:p w14:paraId="05241A52" w14:textId="07C3FCD5" w:rsidR="00F436F2" w:rsidRPr="00D21FBC" w:rsidRDefault="000022B8" w:rsidP="002B6625">
      <w:pPr>
        <w:spacing w:after="0" w:line="240" w:lineRule="auto"/>
        <w:jc w:val="both"/>
        <w:rPr>
          <w:rFonts w:ascii="Times New Roman" w:hAnsi="Times New Roman"/>
          <w:bCs/>
          <w:sz w:val="24"/>
          <w:szCs w:val="24"/>
        </w:rPr>
      </w:pPr>
      <w:r w:rsidRPr="005B791B">
        <w:rPr>
          <w:rFonts w:ascii="Times New Roman" w:hAnsi="Times New Roman"/>
          <w:bCs/>
          <w:sz w:val="24"/>
          <w:szCs w:val="24"/>
        </w:rPr>
        <w:t>1</w:t>
      </w:r>
      <w:r>
        <w:rPr>
          <w:rFonts w:ascii="Times New Roman" w:hAnsi="Times New Roman"/>
          <w:bCs/>
          <w:sz w:val="24"/>
          <w:szCs w:val="24"/>
        </w:rPr>
        <w:t>4</w:t>
      </w:r>
      <w:r w:rsidR="00AA45D7" w:rsidRPr="005B791B">
        <w:rPr>
          <w:rFonts w:ascii="Times New Roman" w:hAnsi="Times New Roman"/>
          <w:bCs/>
          <w:sz w:val="24"/>
          <w:szCs w:val="24"/>
        </w:rPr>
        <w:t>.</w:t>
      </w:r>
      <w:r w:rsidR="00AA45D7" w:rsidRPr="005B791B">
        <w:rPr>
          <w:rFonts w:ascii="Times New Roman" w:hAnsi="Times New Roman"/>
          <w:bCs/>
          <w:sz w:val="24"/>
          <w:szCs w:val="24"/>
        </w:rPr>
        <w:tab/>
      </w:r>
      <w:r w:rsidR="00F436F2" w:rsidRPr="00D21FBC">
        <w:rPr>
          <w:rFonts w:ascii="Times New Roman" w:hAnsi="Times New Roman"/>
          <w:bCs/>
          <w:sz w:val="24"/>
          <w:szCs w:val="24"/>
        </w:rPr>
        <w:t xml:space="preserve">Monthly reports from the competent governmental authority of Indonesia will contain the following minimum information for each TRQ: </w:t>
      </w:r>
    </w:p>
    <w:p w14:paraId="55126C7E" w14:textId="1A54810B" w:rsidR="00F436F2" w:rsidRPr="00D21FBC" w:rsidRDefault="00B421BF" w:rsidP="002B6625">
      <w:pPr>
        <w:pStyle w:val="ListParagraph"/>
        <w:spacing w:after="0" w:line="240" w:lineRule="auto"/>
        <w:ind w:left="1440"/>
        <w:jc w:val="both"/>
        <w:rPr>
          <w:rFonts w:ascii="Times New Roman" w:hAnsi="Times New Roman" w:cs="Times New Roman"/>
          <w:bCs/>
          <w:sz w:val="24"/>
          <w:szCs w:val="24"/>
        </w:rPr>
      </w:pPr>
      <w:r>
        <w:rPr>
          <w:rFonts w:ascii="Times New Roman" w:hAnsi="Times New Roman" w:cs="Times New Roman"/>
          <w:bCs/>
          <w:sz w:val="24"/>
          <w:szCs w:val="24"/>
        </w:rPr>
        <w:t xml:space="preserve">TRQ </w:t>
      </w:r>
      <w:r w:rsidR="00F436F2" w:rsidRPr="00D21FBC">
        <w:rPr>
          <w:rFonts w:ascii="Times New Roman" w:hAnsi="Times New Roman" w:cs="Times New Roman"/>
          <w:bCs/>
          <w:sz w:val="24"/>
          <w:szCs w:val="24"/>
        </w:rPr>
        <w:t>Certificates [entered/cleared by customs] for the month</w:t>
      </w:r>
    </w:p>
    <w:p w14:paraId="3ED8FA29" w14:textId="77777777" w:rsidR="00F436F2" w:rsidRPr="00D21FBC" w:rsidRDefault="00F436F2" w:rsidP="002B6625">
      <w:pPr>
        <w:spacing w:after="0" w:line="240" w:lineRule="auto"/>
        <w:ind w:firstLine="1418"/>
        <w:jc w:val="both"/>
        <w:rPr>
          <w:rFonts w:ascii="Times New Roman" w:hAnsi="Times New Roman"/>
          <w:bCs/>
          <w:sz w:val="24"/>
          <w:szCs w:val="24"/>
        </w:rPr>
      </w:pPr>
      <w:r w:rsidRPr="00D21FBC">
        <w:rPr>
          <w:rFonts w:ascii="Times New Roman" w:hAnsi="Times New Roman"/>
          <w:bCs/>
          <w:sz w:val="24"/>
          <w:szCs w:val="24"/>
        </w:rPr>
        <w:t xml:space="preserve"> TRQ quantity [entered/ cleared by customs] for the month</w:t>
      </w:r>
    </w:p>
    <w:p w14:paraId="2501CF50" w14:textId="77777777" w:rsidR="00F436F2" w:rsidRPr="00D21FBC" w:rsidRDefault="00F436F2" w:rsidP="002B6625">
      <w:pPr>
        <w:pStyle w:val="ListParagraph"/>
        <w:spacing w:after="0" w:line="240" w:lineRule="auto"/>
        <w:ind w:left="1440"/>
        <w:jc w:val="both"/>
        <w:rPr>
          <w:rFonts w:ascii="Times New Roman" w:hAnsi="Times New Roman" w:cs="Times New Roman"/>
          <w:bCs/>
          <w:sz w:val="24"/>
          <w:szCs w:val="24"/>
        </w:rPr>
      </w:pPr>
      <w:r w:rsidRPr="00D21FBC">
        <w:rPr>
          <w:rFonts w:ascii="Times New Roman" w:hAnsi="Times New Roman" w:cs="Times New Roman"/>
          <w:bCs/>
          <w:sz w:val="24"/>
          <w:szCs w:val="24"/>
        </w:rPr>
        <w:t>TRQ quantity [entered/ cleared by customs] for the year</w:t>
      </w:r>
    </w:p>
    <w:p w14:paraId="517AF06D" w14:textId="77777777" w:rsidR="005E2E25" w:rsidRDefault="005E2E25" w:rsidP="002B6625">
      <w:pPr>
        <w:spacing w:after="0" w:line="240" w:lineRule="auto"/>
        <w:jc w:val="both"/>
        <w:rPr>
          <w:rFonts w:ascii="Times New Roman" w:hAnsi="Times New Roman"/>
          <w:bCs/>
          <w:sz w:val="24"/>
          <w:szCs w:val="24"/>
        </w:rPr>
      </w:pPr>
    </w:p>
    <w:p w14:paraId="7466608F" w14:textId="04C71B46" w:rsidR="00A250DC" w:rsidRDefault="000022B8" w:rsidP="002B6625">
      <w:pPr>
        <w:spacing w:after="0" w:line="240" w:lineRule="auto"/>
        <w:jc w:val="both"/>
        <w:rPr>
          <w:rFonts w:ascii="Times New Roman" w:hAnsi="Times New Roman"/>
          <w:bCs/>
          <w:sz w:val="24"/>
          <w:szCs w:val="24"/>
        </w:rPr>
      </w:pPr>
      <w:r>
        <w:rPr>
          <w:rFonts w:ascii="Times New Roman" w:hAnsi="Times New Roman"/>
          <w:bCs/>
          <w:sz w:val="24"/>
          <w:szCs w:val="24"/>
        </w:rPr>
        <w:t>15</w:t>
      </w:r>
      <w:r w:rsidR="00505E87">
        <w:rPr>
          <w:rFonts w:ascii="Times New Roman" w:hAnsi="Times New Roman"/>
          <w:bCs/>
          <w:sz w:val="24"/>
          <w:szCs w:val="24"/>
        </w:rPr>
        <w:t>.</w:t>
      </w:r>
      <w:r w:rsidR="00505E87">
        <w:rPr>
          <w:rFonts w:ascii="Times New Roman" w:hAnsi="Times New Roman"/>
          <w:bCs/>
          <w:sz w:val="24"/>
          <w:szCs w:val="24"/>
        </w:rPr>
        <w:tab/>
        <w:t xml:space="preserve">The Parties will give positive consideration to the use of Indonesia’s dashboard system for reporting and monitoring the utilisation of TRQs at the first meeting of the Committee on Trade in Goods. </w:t>
      </w:r>
    </w:p>
    <w:p w14:paraId="4F98F670" w14:textId="77777777" w:rsidR="00B37704" w:rsidRDefault="00B37704" w:rsidP="002B6625">
      <w:pPr>
        <w:spacing w:after="0" w:line="240" w:lineRule="auto"/>
        <w:jc w:val="both"/>
        <w:rPr>
          <w:rFonts w:ascii="Times New Roman" w:hAnsi="Times New Roman"/>
          <w:bCs/>
          <w:sz w:val="24"/>
          <w:szCs w:val="24"/>
        </w:rPr>
      </w:pPr>
    </w:p>
    <w:p w14:paraId="4F86166B" w14:textId="656E0021" w:rsidR="00F436F2" w:rsidRDefault="000022B8" w:rsidP="002B6625">
      <w:pPr>
        <w:spacing w:after="0" w:line="240" w:lineRule="auto"/>
        <w:jc w:val="both"/>
        <w:rPr>
          <w:rFonts w:ascii="Times New Roman" w:hAnsi="Times New Roman"/>
          <w:bCs/>
          <w:sz w:val="24"/>
          <w:szCs w:val="24"/>
        </w:rPr>
      </w:pPr>
      <w:r>
        <w:rPr>
          <w:rFonts w:ascii="Times New Roman" w:hAnsi="Times New Roman"/>
          <w:bCs/>
          <w:sz w:val="24"/>
          <w:szCs w:val="24"/>
        </w:rPr>
        <w:t>16</w:t>
      </w:r>
      <w:r w:rsidR="00F436F2" w:rsidRPr="002B6625">
        <w:rPr>
          <w:rFonts w:ascii="Times New Roman" w:hAnsi="Times New Roman"/>
          <w:bCs/>
          <w:sz w:val="24"/>
          <w:szCs w:val="24"/>
        </w:rPr>
        <w:t>.</w:t>
      </w:r>
      <w:r w:rsidR="00F436F2" w:rsidRPr="002B6625">
        <w:rPr>
          <w:rFonts w:ascii="Times New Roman" w:hAnsi="Times New Roman"/>
          <w:bCs/>
          <w:sz w:val="24"/>
          <w:szCs w:val="24"/>
        </w:rPr>
        <w:tab/>
        <w:t xml:space="preserve">The competent governmental authorities will take all necessary measures to avoid any counterfeiting of </w:t>
      </w:r>
      <w:r w:rsidR="00B421BF">
        <w:rPr>
          <w:rFonts w:ascii="Times New Roman" w:hAnsi="Times New Roman"/>
          <w:bCs/>
          <w:sz w:val="24"/>
          <w:szCs w:val="24"/>
        </w:rPr>
        <w:t xml:space="preserve">TRQ </w:t>
      </w:r>
      <w:r w:rsidR="00F436F2" w:rsidRPr="002B6625">
        <w:rPr>
          <w:rFonts w:ascii="Times New Roman" w:hAnsi="Times New Roman"/>
          <w:bCs/>
          <w:sz w:val="24"/>
          <w:szCs w:val="24"/>
        </w:rPr>
        <w:t>certificates, including electronic certification.</w:t>
      </w:r>
    </w:p>
    <w:p w14:paraId="2F6759B2" w14:textId="77777777" w:rsidR="00BB72F6" w:rsidRDefault="00BB72F6" w:rsidP="002B6625">
      <w:pPr>
        <w:spacing w:after="0" w:line="240" w:lineRule="auto"/>
        <w:jc w:val="both"/>
        <w:rPr>
          <w:rFonts w:ascii="Times New Roman" w:hAnsi="Times New Roman"/>
          <w:bCs/>
          <w:sz w:val="24"/>
          <w:szCs w:val="24"/>
        </w:rPr>
      </w:pPr>
    </w:p>
    <w:p w14:paraId="14EC7EE0" w14:textId="20A3D5A2" w:rsidR="00374BAA" w:rsidRPr="00C57B62" w:rsidRDefault="000022B8" w:rsidP="002B6625">
      <w:pPr>
        <w:spacing w:after="0" w:line="240" w:lineRule="auto"/>
        <w:jc w:val="both"/>
        <w:rPr>
          <w:rFonts w:ascii="Times New Roman" w:hAnsi="Times New Roman"/>
          <w:color w:val="FF0000"/>
          <w:sz w:val="24"/>
          <w:szCs w:val="24"/>
        </w:rPr>
      </w:pPr>
      <w:r>
        <w:rPr>
          <w:rFonts w:ascii="Times New Roman" w:hAnsi="Times New Roman"/>
          <w:bCs/>
          <w:sz w:val="24"/>
          <w:szCs w:val="24"/>
        </w:rPr>
        <w:t>17</w:t>
      </w:r>
      <w:r w:rsidR="002263A1" w:rsidRPr="000022B8">
        <w:rPr>
          <w:rFonts w:ascii="Times New Roman" w:hAnsi="Times New Roman"/>
          <w:bCs/>
          <w:sz w:val="24"/>
          <w:szCs w:val="24"/>
        </w:rPr>
        <w:t>.</w:t>
      </w:r>
      <w:r w:rsidR="002263A1" w:rsidRPr="000022B8">
        <w:rPr>
          <w:rFonts w:ascii="Times New Roman" w:hAnsi="Times New Roman"/>
          <w:bCs/>
          <w:sz w:val="24"/>
          <w:szCs w:val="24"/>
        </w:rPr>
        <w:tab/>
        <w:t>In the event that the</w:t>
      </w:r>
      <w:r w:rsidR="00957083" w:rsidRPr="000022B8">
        <w:rPr>
          <w:rFonts w:ascii="Times New Roman" w:hAnsi="Times New Roman"/>
          <w:sz w:val="24"/>
          <w:szCs w:val="24"/>
        </w:rPr>
        <w:t xml:space="preserve"> </w:t>
      </w:r>
      <w:r w:rsidR="00AA45D7" w:rsidRPr="000022B8">
        <w:rPr>
          <w:rFonts w:ascii="Times New Roman" w:hAnsi="Times New Roman"/>
          <w:sz w:val="24"/>
          <w:szCs w:val="24"/>
        </w:rPr>
        <w:t xml:space="preserve">eCERTs Courier system </w:t>
      </w:r>
      <w:r w:rsidR="002263A1" w:rsidRPr="000022B8">
        <w:rPr>
          <w:rFonts w:ascii="Times New Roman" w:hAnsi="Times New Roman"/>
          <w:sz w:val="24"/>
          <w:szCs w:val="24"/>
        </w:rPr>
        <w:t xml:space="preserve">is not in place upon entry into force of the Agreement, or should the </w:t>
      </w:r>
      <w:r w:rsidR="0086356D" w:rsidRPr="000022B8">
        <w:rPr>
          <w:rFonts w:ascii="Times New Roman" w:hAnsi="Times New Roman"/>
          <w:sz w:val="24"/>
          <w:szCs w:val="24"/>
        </w:rPr>
        <w:t xml:space="preserve">eCERTs Courier </w:t>
      </w:r>
      <w:r w:rsidR="002263A1" w:rsidRPr="00772DC4">
        <w:rPr>
          <w:rFonts w:ascii="Times New Roman" w:hAnsi="Times New Roman"/>
          <w:sz w:val="24"/>
          <w:szCs w:val="24"/>
        </w:rPr>
        <w:t>system experie</w:t>
      </w:r>
      <w:r w:rsidR="002263A1" w:rsidRPr="00AD3A7E">
        <w:rPr>
          <w:rFonts w:ascii="Times New Roman" w:hAnsi="Times New Roman"/>
          <w:sz w:val="24"/>
          <w:szCs w:val="24"/>
        </w:rPr>
        <w:t xml:space="preserve">nce technical difficulties at any point, the Parties shall </w:t>
      </w:r>
      <w:r w:rsidR="00763656" w:rsidRPr="000022B8">
        <w:rPr>
          <w:rFonts w:ascii="Times New Roman" w:hAnsi="Times New Roman"/>
          <w:sz w:val="24"/>
          <w:szCs w:val="24"/>
        </w:rPr>
        <w:t>follow the fol</w:t>
      </w:r>
      <w:r w:rsidR="00D56DB2" w:rsidRPr="000022B8">
        <w:rPr>
          <w:rFonts w:ascii="Times New Roman" w:hAnsi="Times New Roman"/>
          <w:sz w:val="24"/>
          <w:szCs w:val="24"/>
        </w:rPr>
        <w:t>lowing business continuity plan.</w:t>
      </w:r>
      <w:r w:rsidR="007D4924" w:rsidRPr="000022B8">
        <w:rPr>
          <w:rFonts w:ascii="Times New Roman" w:hAnsi="Times New Roman"/>
          <w:sz w:val="24"/>
          <w:szCs w:val="24"/>
        </w:rPr>
        <w:t xml:space="preserve"> </w:t>
      </w:r>
    </w:p>
    <w:p w14:paraId="4016E435" w14:textId="0AD198EC" w:rsidR="00763656" w:rsidRDefault="00763656" w:rsidP="002B6625">
      <w:pPr>
        <w:spacing w:after="0" w:line="240" w:lineRule="auto"/>
        <w:jc w:val="both"/>
        <w:rPr>
          <w:rFonts w:ascii="Times New Roman" w:hAnsi="Times New Roman"/>
          <w:sz w:val="24"/>
          <w:szCs w:val="24"/>
        </w:rPr>
      </w:pPr>
    </w:p>
    <w:p w14:paraId="77A3DA5C" w14:textId="4B7E7267" w:rsidR="00F310DC" w:rsidRDefault="00F310DC" w:rsidP="00F310DC">
      <w:pPr>
        <w:rPr>
          <w:rFonts w:ascii="Times New Roman" w:hAnsi="Times New Roman"/>
          <w:sz w:val="24"/>
          <w:szCs w:val="24"/>
        </w:rPr>
      </w:pPr>
      <w:r>
        <w:rPr>
          <w:rFonts w:ascii="Times New Roman" w:hAnsi="Times New Roman"/>
          <w:sz w:val="24"/>
          <w:szCs w:val="24"/>
        </w:rPr>
        <w:br w:type="page"/>
      </w:r>
    </w:p>
    <w:p w14:paraId="493D8F5C" w14:textId="3D05E760" w:rsidR="00D56DB2" w:rsidRPr="00D56DB2" w:rsidRDefault="000022B8" w:rsidP="00D56DB2">
      <w:pPr>
        <w:spacing w:after="0" w:line="240" w:lineRule="auto"/>
        <w:jc w:val="both"/>
        <w:rPr>
          <w:rFonts w:ascii="Times New Roman" w:hAnsi="Times New Roman"/>
          <w:sz w:val="24"/>
          <w:szCs w:val="24"/>
        </w:rPr>
      </w:pPr>
      <w:r>
        <w:rPr>
          <w:rFonts w:ascii="Times New Roman" w:hAnsi="Times New Roman"/>
          <w:sz w:val="24"/>
          <w:szCs w:val="24"/>
        </w:rPr>
        <w:lastRenderedPageBreak/>
        <w:t>18</w:t>
      </w:r>
      <w:r w:rsidR="006C6C93">
        <w:rPr>
          <w:rFonts w:ascii="Times New Roman" w:hAnsi="Times New Roman"/>
          <w:sz w:val="24"/>
          <w:szCs w:val="24"/>
        </w:rPr>
        <w:t>.</w:t>
      </w:r>
      <w:r w:rsidR="00763656">
        <w:rPr>
          <w:rFonts w:ascii="Times New Roman" w:hAnsi="Times New Roman"/>
          <w:sz w:val="24"/>
          <w:szCs w:val="24"/>
        </w:rPr>
        <w:tab/>
        <w:t>The competent governmental authority of Australia will email a PDF version of the TRQ certificate to the competent governmental authority of Indonesia</w:t>
      </w:r>
      <w:r w:rsidR="00D56DB2">
        <w:rPr>
          <w:rFonts w:ascii="Times New Roman" w:hAnsi="Times New Roman"/>
          <w:sz w:val="24"/>
          <w:szCs w:val="24"/>
        </w:rPr>
        <w:t xml:space="preserve">. </w:t>
      </w:r>
      <w:r w:rsidR="00D56DB2" w:rsidRPr="00D56DB2">
        <w:rPr>
          <w:rFonts w:ascii="Times New Roman" w:hAnsi="Times New Roman"/>
          <w:sz w:val="24"/>
          <w:szCs w:val="24"/>
        </w:rPr>
        <w:t xml:space="preserve">This PDF </w:t>
      </w:r>
      <w:r w:rsidR="00B421BF">
        <w:rPr>
          <w:rFonts w:ascii="Times New Roman" w:hAnsi="Times New Roman"/>
          <w:sz w:val="24"/>
          <w:szCs w:val="24"/>
        </w:rPr>
        <w:t xml:space="preserve">TRQ </w:t>
      </w:r>
      <w:r w:rsidR="00D56DB2" w:rsidRPr="00D56DB2">
        <w:rPr>
          <w:rFonts w:ascii="Times New Roman" w:hAnsi="Times New Roman"/>
          <w:sz w:val="24"/>
          <w:szCs w:val="24"/>
        </w:rPr>
        <w:t>certificate will contain the following data fields:</w:t>
      </w:r>
    </w:p>
    <w:p w14:paraId="59B1888C" w14:textId="77777777" w:rsidR="00D56DB2" w:rsidRPr="00D56DB2" w:rsidRDefault="00D56DB2" w:rsidP="00D56DB2">
      <w:pPr>
        <w:pStyle w:val="ListParagraph"/>
        <w:numPr>
          <w:ilvl w:val="0"/>
          <w:numId w:val="6"/>
        </w:numPr>
        <w:spacing w:after="0" w:line="240" w:lineRule="auto"/>
        <w:jc w:val="both"/>
        <w:rPr>
          <w:rFonts w:ascii="Times New Roman" w:hAnsi="Times New Roman"/>
          <w:sz w:val="24"/>
          <w:szCs w:val="24"/>
        </w:rPr>
      </w:pPr>
      <w:r w:rsidRPr="00D56DB2">
        <w:rPr>
          <w:rFonts w:ascii="Times New Roman" w:hAnsi="Times New Roman"/>
          <w:sz w:val="24"/>
          <w:szCs w:val="24"/>
        </w:rPr>
        <w:t>Exporter’s Name and Address;</w:t>
      </w:r>
    </w:p>
    <w:p w14:paraId="0AD051AF" w14:textId="6FBA61A2" w:rsidR="00D56DB2" w:rsidRPr="00D56DB2" w:rsidRDefault="00B421BF" w:rsidP="00D56DB2">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TRQ </w:t>
      </w:r>
      <w:r w:rsidR="00D56DB2" w:rsidRPr="00D56DB2">
        <w:rPr>
          <w:rFonts w:ascii="Times New Roman" w:hAnsi="Times New Roman"/>
          <w:sz w:val="24"/>
          <w:szCs w:val="24"/>
        </w:rPr>
        <w:t>Certificate Number;</w:t>
      </w:r>
    </w:p>
    <w:p w14:paraId="74DA4C7C" w14:textId="77777777" w:rsidR="00D56DB2" w:rsidRPr="00D56DB2" w:rsidRDefault="00D56DB2" w:rsidP="00D56DB2">
      <w:pPr>
        <w:pStyle w:val="ListParagraph"/>
        <w:numPr>
          <w:ilvl w:val="0"/>
          <w:numId w:val="6"/>
        </w:numPr>
        <w:spacing w:after="0" w:line="240" w:lineRule="auto"/>
        <w:jc w:val="both"/>
        <w:rPr>
          <w:rFonts w:ascii="Times New Roman" w:hAnsi="Times New Roman"/>
          <w:sz w:val="24"/>
          <w:szCs w:val="24"/>
        </w:rPr>
      </w:pPr>
      <w:r w:rsidRPr="00D56DB2">
        <w:rPr>
          <w:rFonts w:ascii="Times New Roman" w:hAnsi="Times New Roman"/>
          <w:sz w:val="24"/>
          <w:szCs w:val="24"/>
        </w:rPr>
        <w:t>Importer’s Name and Address;</w:t>
      </w:r>
    </w:p>
    <w:p w14:paraId="75B52DCD" w14:textId="28025C0F" w:rsidR="00D56DB2" w:rsidRPr="0030288E" w:rsidRDefault="00795C54" w:rsidP="00D56DB2">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Business </w:t>
      </w:r>
      <w:r w:rsidR="00574E81">
        <w:rPr>
          <w:rFonts w:ascii="Times New Roman" w:hAnsi="Times New Roman"/>
          <w:sz w:val="24"/>
          <w:szCs w:val="24"/>
        </w:rPr>
        <w:t>Identification</w:t>
      </w:r>
      <w:r w:rsidR="00F14568" w:rsidRPr="007B12C6">
        <w:rPr>
          <w:rFonts w:ascii="Times New Roman" w:hAnsi="Times New Roman"/>
          <w:sz w:val="24"/>
          <w:szCs w:val="24"/>
        </w:rPr>
        <w:t xml:space="preserve"> </w:t>
      </w:r>
      <w:r w:rsidR="00D56DB2" w:rsidRPr="0030288E">
        <w:rPr>
          <w:rFonts w:ascii="Times New Roman" w:hAnsi="Times New Roman"/>
          <w:sz w:val="24"/>
          <w:szCs w:val="24"/>
        </w:rPr>
        <w:t xml:space="preserve">Number </w:t>
      </w:r>
      <w:r w:rsidR="005B7ADC" w:rsidRPr="0030288E">
        <w:rPr>
          <w:rFonts w:ascii="Times New Roman" w:hAnsi="Times New Roman"/>
          <w:sz w:val="24"/>
          <w:szCs w:val="24"/>
        </w:rPr>
        <w:t>(</w:t>
      </w:r>
      <w:r w:rsidR="00CA18F7" w:rsidRPr="0030288E">
        <w:rPr>
          <w:rFonts w:ascii="Times New Roman" w:hAnsi="Times New Roman"/>
          <w:sz w:val="24"/>
          <w:szCs w:val="24"/>
        </w:rPr>
        <w:t>NIB)</w:t>
      </w:r>
    </w:p>
    <w:p w14:paraId="42AAFBF2" w14:textId="77777777" w:rsidR="00373F54" w:rsidRPr="00A65DE2" w:rsidRDefault="00373F54" w:rsidP="00D56DB2">
      <w:pPr>
        <w:pStyle w:val="ListParagraph"/>
        <w:numPr>
          <w:ilvl w:val="0"/>
          <w:numId w:val="6"/>
        </w:numPr>
        <w:spacing w:after="0" w:line="240" w:lineRule="auto"/>
        <w:jc w:val="both"/>
        <w:rPr>
          <w:rFonts w:ascii="Times New Roman" w:hAnsi="Times New Roman"/>
          <w:sz w:val="24"/>
          <w:szCs w:val="24"/>
        </w:rPr>
      </w:pPr>
      <w:r w:rsidRPr="00A65DE2">
        <w:rPr>
          <w:rFonts w:ascii="Times New Roman" w:hAnsi="Times New Roman"/>
          <w:sz w:val="24"/>
          <w:szCs w:val="24"/>
        </w:rPr>
        <w:t>Importer’s Tax ID;</w:t>
      </w:r>
    </w:p>
    <w:p w14:paraId="3490511A" w14:textId="77777777" w:rsidR="00D56DB2" w:rsidRPr="00D56DB2" w:rsidRDefault="00D56DB2" w:rsidP="00D56DB2">
      <w:pPr>
        <w:pStyle w:val="ListParagraph"/>
        <w:numPr>
          <w:ilvl w:val="0"/>
          <w:numId w:val="6"/>
        </w:numPr>
        <w:spacing w:after="0" w:line="240" w:lineRule="auto"/>
        <w:jc w:val="both"/>
        <w:rPr>
          <w:rFonts w:ascii="Times New Roman" w:hAnsi="Times New Roman"/>
          <w:sz w:val="24"/>
          <w:szCs w:val="24"/>
        </w:rPr>
      </w:pPr>
      <w:r w:rsidRPr="00D56DB2">
        <w:rPr>
          <w:rFonts w:ascii="Times New Roman" w:hAnsi="Times New Roman"/>
          <w:sz w:val="24"/>
          <w:szCs w:val="24"/>
        </w:rPr>
        <w:t>Description of Good(s);</w:t>
      </w:r>
    </w:p>
    <w:p w14:paraId="791C1FD9" w14:textId="4A3BB2A0" w:rsidR="00F310DC" w:rsidRPr="00F310DC" w:rsidRDefault="00D56DB2" w:rsidP="00F310DC">
      <w:pPr>
        <w:pStyle w:val="ListParagraph"/>
        <w:numPr>
          <w:ilvl w:val="0"/>
          <w:numId w:val="6"/>
        </w:numPr>
        <w:spacing w:after="0" w:line="240" w:lineRule="auto"/>
        <w:jc w:val="both"/>
        <w:rPr>
          <w:rFonts w:ascii="Times New Roman" w:hAnsi="Times New Roman"/>
          <w:sz w:val="24"/>
          <w:szCs w:val="24"/>
        </w:rPr>
      </w:pPr>
      <w:r w:rsidRPr="00D56DB2">
        <w:rPr>
          <w:rFonts w:ascii="Times New Roman" w:hAnsi="Times New Roman"/>
          <w:sz w:val="24"/>
          <w:szCs w:val="24"/>
        </w:rPr>
        <w:t>HS Tariff Classification Number;</w:t>
      </w:r>
    </w:p>
    <w:p w14:paraId="28BE4B12" w14:textId="77777777" w:rsidR="00D56DB2" w:rsidRPr="00D56DB2" w:rsidRDefault="00D56DB2" w:rsidP="00D56DB2">
      <w:pPr>
        <w:pStyle w:val="ListParagraph"/>
        <w:numPr>
          <w:ilvl w:val="0"/>
          <w:numId w:val="6"/>
        </w:numPr>
        <w:spacing w:after="0" w:line="240" w:lineRule="auto"/>
        <w:jc w:val="both"/>
        <w:rPr>
          <w:rFonts w:ascii="Times New Roman" w:hAnsi="Times New Roman"/>
          <w:sz w:val="24"/>
          <w:szCs w:val="24"/>
        </w:rPr>
      </w:pPr>
      <w:r w:rsidRPr="00D56DB2">
        <w:rPr>
          <w:rFonts w:ascii="Times New Roman" w:hAnsi="Times New Roman"/>
          <w:sz w:val="24"/>
          <w:szCs w:val="24"/>
        </w:rPr>
        <w:t>Quantity (with unit of measure); and</w:t>
      </w:r>
    </w:p>
    <w:p w14:paraId="2752AF22" w14:textId="4F675422" w:rsidR="00D56DB2" w:rsidRPr="00D56DB2" w:rsidRDefault="00D56DB2" w:rsidP="00D56DB2">
      <w:pPr>
        <w:pStyle w:val="ListParagraph"/>
        <w:numPr>
          <w:ilvl w:val="0"/>
          <w:numId w:val="6"/>
        </w:numPr>
        <w:spacing w:after="0" w:line="240" w:lineRule="auto"/>
        <w:jc w:val="both"/>
        <w:rPr>
          <w:rFonts w:ascii="Times New Roman" w:hAnsi="Times New Roman"/>
          <w:sz w:val="24"/>
          <w:szCs w:val="24"/>
        </w:rPr>
      </w:pPr>
      <w:r w:rsidRPr="00D56DB2">
        <w:rPr>
          <w:rFonts w:ascii="Times New Roman" w:hAnsi="Times New Roman"/>
          <w:sz w:val="24"/>
          <w:szCs w:val="24"/>
        </w:rPr>
        <w:t xml:space="preserve">Validity of </w:t>
      </w:r>
      <w:r w:rsidR="00B421BF">
        <w:rPr>
          <w:rFonts w:ascii="Times New Roman" w:hAnsi="Times New Roman"/>
          <w:sz w:val="24"/>
          <w:szCs w:val="24"/>
        </w:rPr>
        <w:t xml:space="preserve">TRQ </w:t>
      </w:r>
      <w:r w:rsidRPr="00D56DB2">
        <w:rPr>
          <w:rFonts w:ascii="Times New Roman" w:hAnsi="Times New Roman"/>
          <w:sz w:val="24"/>
          <w:szCs w:val="24"/>
        </w:rPr>
        <w:t xml:space="preserve">Certificate (commence/expire). </w:t>
      </w:r>
    </w:p>
    <w:p w14:paraId="2A156AAB" w14:textId="77777777" w:rsidR="00D56DB2" w:rsidRPr="00D56DB2" w:rsidRDefault="00D56DB2" w:rsidP="00D56DB2">
      <w:pPr>
        <w:spacing w:after="0" w:line="240" w:lineRule="auto"/>
        <w:jc w:val="both"/>
        <w:rPr>
          <w:rFonts w:ascii="Times New Roman" w:hAnsi="Times New Roman"/>
          <w:sz w:val="24"/>
          <w:szCs w:val="24"/>
        </w:rPr>
      </w:pPr>
    </w:p>
    <w:p w14:paraId="12A9E842" w14:textId="545051B2" w:rsidR="00D56DB2" w:rsidRPr="00D56DB2" w:rsidRDefault="000022B8" w:rsidP="00D56DB2">
      <w:pPr>
        <w:spacing w:after="0" w:line="240" w:lineRule="auto"/>
        <w:jc w:val="both"/>
        <w:rPr>
          <w:rFonts w:ascii="Times New Roman" w:hAnsi="Times New Roman"/>
          <w:sz w:val="24"/>
          <w:szCs w:val="24"/>
        </w:rPr>
      </w:pPr>
      <w:r>
        <w:rPr>
          <w:rFonts w:ascii="Times New Roman" w:hAnsi="Times New Roman"/>
          <w:sz w:val="24"/>
          <w:szCs w:val="24"/>
        </w:rPr>
        <w:t>19</w:t>
      </w:r>
      <w:r w:rsidR="006C6C93">
        <w:rPr>
          <w:rFonts w:ascii="Times New Roman" w:hAnsi="Times New Roman"/>
          <w:sz w:val="24"/>
          <w:szCs w:val="24"/>
        </w:rPr>
        <w:t xml:space="preserve">. </w:t>
      </w:r>
      <w:r w:rsidR="006B0BED">
        <w:rPr>
          <w:rFonts w:ascii="Times New Roman" w:hAnsi="Times New Roman"/>
          <w:sz w:val="24"/>
          <w:szCs w:val="24"/>
        </w:rPr>
        <w:tab/>
      </w:r>
      <w:r w:rsidR="00D56DB2" w:rsidRPr="00D56DB2">
        <w:rPr>
          <w:rFonts w:ascii="Times New Roman" w:hAnsi="Times New Roman"/>
          <w:sz w:val="24"/>
          <w:szCs w:val="24"/>
        </w:rPr>
        <w:t xml:space="preserve">The PDF </w:t>
      </w:r>
      <w:r w:rsidR="00B421BF">
        <w:rPr>
          <w:rFonts w:ascii="Times New Roman" w:hAnsi="Times New Roman"/>
          <w:sz w:val="24"/>
          <w:szCs w:val="24"/>
        </w:rPr>
        <w:t xml:space="preserve">TRQ </w:t>
      </w:r>
      <w:r w:rsidR="00D56DB2" w:rsidRPr="00D56DB2">
        <w:rPr>
          <w:rFonts w:ascii="Times New Roman" w:hAnsi="Times New Roman"/>
          <w:sz w:val="24"/>
          <w:szCs w:val="24"/>
        </w:rPr>
        <w:t>certificate will be emailed to Indonesia. The email header will contain:</w:t>
      </w:r>
    </w:p>
    <w:p w14:paraId="1B3FE00E" w14:textId="77777777" w:rsidR="00D56DB2" w:rsidRPr="001807DE" w:rsidRDefault="00D56DB2" w:rsidP="001807DE">
      <w:pPr>
        <w:pStyle w:val="ListParagraph"/>
        <w:numPr>
          <w:ilvl w:val="0"/>
          <w:numId w:val="15"/>
        </w:numPr>
        <w:spacing w:after="0" w:line="240" w:lineRule="auto"/>
        <w:rPr>
          <w:rFonts w:ascii="Times New Roman" w:hAnsi="Times New Roman"/>
          <w:sz w:val="24"/>
          <w:szCs w:val="24"/>
        </w:rPr>
      </w:pPr>
      <w:r w:rsidRPr="001807DE">
        <w:rPr>
          <w:rFonts w:ascii="Times New Roman" w:hAnsi="Times New Roman"/>
          <w:sz w:val="24"/>
          <w:szCs w:val="24"/>
        </w:rPr>
        <w:t>TRQ type</w:t>
      </w:r>
    </w:p>
    <w:p w14:paraId="7C8335C6" w14:textId="1D8F4F3E" w:rsidR="00D56DB2" w:rsidRPr="001807DE" w:rsidRDefault="00B421BF" w:rsidP="001807DE">
      <w:pPr>
        <w:pStyle w:val="ListParagraph"/>
        <w:numPr>
          <w:ilvl w:val="0"/>
          <w:numId w:val="15"/>
        </w:numPr>
        <w:spacing w:after="0" w:line="240" w:lineRule="auto"/>
        <w:rPr>
          <w:rFonts w:ascii="Times New Roman" w:hAnsi="Times New Roman"/>
          <w:sz w:val="24"/>
          <w:szCs w:val="24"/>
        </w:rPr>
      </w:pPr>
      <w:r w:rsidRPr="001807DE">
        <w:rPr>
          <w:rFonts w:ascii="Times New Roman" w:hAnsi="Times New Roman"/>
          <w:sz w:val="24"/>
          <w:szCs w:val="24"/>
        </w:rPr>
        <w:t xml:space="preserve">TRQ </w:t>
      </w:r>
      <w:r w:rsidR="00D56DB2" w:rsidRPr="001807DE">
        <w:rPr>
          <w:rFonts w:ascii="Times New Roman" w:hAnsi="Times New Roman"/>
          <w:sz w:val="24"/>
          <w:szCs w:val="24"/>
        </w:rPr>
        <w:t>Certificate number</w:t>
      </w:r>
    </w:p>
    <w:p w14:paraId="50B2F214" w14:textId="1F9F23D4" w:rsidR="00D56DB2" w:rsidRPr="001807DE" w:rsidRDefault="00D56DB2" w:rsidP="001807DE">
      <w:pPr>
        <w:pStyle w:val="ListParagraph"/>
        <w:numPr>
          <w:ilvl w:val="0"/>
          <w:numId w:val="15"/>
        </w:numPr>
        <w:spacing w:after="0" w:line="240" w:lineRule="auto"/>
        <w:rPr>
          <w:rFonts w:ascii="Times New Roman" w:hAnsi="Times New Roman"/>
          <w:sz w:val="24"/>
          <w:szCs w:val="24"/>
        </w:rPr>
      </w:pPr>
      <w:r w:rsidRPr="001807DE">
        <w:rPr>
          <w:rFonts w:ascii="Times New Roman" w:hAnsi="Times New Roman"/>
          <w:sz w:val="24"/>
          <w:szCs w:val="24"/>
        </w:rPr>
        <w:t>Importer</w:t>
      </w:r>
      <w:r w:rsidR="003A09A0" w:rsidRPr="001807DE">
        <w:rPr>
          <w:rFonts w:ascii="Times New Roman" w:hAnsi="Times New Roman"/>
          <w:sz w:val="24"/>
          <w:szCs w:val="24"/>
        </w:rPr>
        <w:t>’s Ta</w:t>
      </w:r>
      <w:r w:rsidR="007F2F7E" w:rsidRPr="001807DE">
        <w:rPr>
          <w:rFonts w:ascii="Times New Roman" w:hAnsi="Times New Roman"/>
          <w:sz w:val="24"/>
          <w:szCs w:val="24"/>
        </w:rPr>
        <w:t>x</w:t>
      </w:r>
      <w:r w:rsidR="003A09A0" w:rsidRPr="001807DE">
        <w:rPr>
          <w:rFonts w:ascii="Times New Roman" w:hAnsi="Times New Roman"/>
          <w:sz w:val="24"/>
          <w:szCs w:val="24"/>
        </w:rPr>
        <w:t xml:space="preserve"> ID</w:t>
      </w:r>
      <w:r w:rsidRPr="001807DE">
        <w:rPr>
          <w:rFonts w:ascii="Times New Roman" w:hAnsi="Times New Roman"/>
          <w:sz w:val="24"/>
          <w:szCs w:val="24"/>
        </w:rPr>
        <w:t xml:space="preserve"> </w:t>
      </w:r>
    </w:p>
    <w:p w14:paraId="7BFDBA8F" w14:textId="77777777" w:rsidR="00D56DB2" w:rsidRPr="001807DE" w:rsidRDefault="00D56DB2" w:rsidP="001807DE">
      <w:pPr>
        <w:pStyle w:val="ListParagraph"/>
        <w:numPr>
          <w:ilvl w:val="0"/>
          <w:numId w:val="15"/>
        </w:numPr>
        <w:spacing w:after="0" w:line="240" w:lineRule="auto"/>
        <w:rPr>
          <w:rFonts w:ascii="Times New Roman" w:hAnsi="Times New Roman"/>
          <w:sz w:val="24"/>
          <w:szCs w:val="24"/>
        </w:rPr>
      </w:pPr>
      <w:r w:rsidRPr="001807DE">
        <w:rPr>
          <w:rFonts w:ascii="Times New Roman" w:hAnsi="Times New Roman"/>
          <w:sz w:val="24"/>
          <w:szCs w:val="24"/>
        </w:rPr>
        <w:t>This email header will be displayed in the following format:</w:t>
      </w:r>
    </w:p>
    <w:p w14:paraId="4FEB0339" w14:textId="7D9276F9" w:rsidR="00D56DB2" w:rsidRPr="001807DE" w:rsidRDefault="00D56DB2" w:rsidP="001807DE">
      <w:pPr>
        <w:pStyle w:val="ListParagraph"/>
        <w:numPr>
          <w:ilvl w:val="0"/>
          <w:numId w:val="15"/>
        </w:numPr>
        <w:spacing w:after="0" w:line="240" w:lineRule="auto"/>
        <w:rPr>
          <w:rFonts w:ascii="Times New Roman" w:hAnsi="Times New Roman"/>
          <w:sz w:val="24"/>
          <w:szCs w:val="24"/>
        </w:rPr>
      </w:pPr>
      <w:r w:rsidRPr="001807DE">
        <w:rPr>
          <w:rFonts w:ascii="Times New Roman" w:hAnsi="Times New Roman"/>
          <w:sz w:val="24"/>
          <w:szCs w:val="24"/>
        </w:rPr>
        <w:t>[TRQ type]: [</w:t>
      </w:r>
      <w:r w:rsidR="0020577A" w:rsidRPr="001807DE">
        <w:rPr>
          <w:rFonts w:ascii="Times New Roman" w:hAnsi="Times New Roman"/>
          <w:sz w:val="24"/>
          <w:szCs w:val="24"/>
        </w:rPr>
        <w:t xml:space="preserve">TRQ </w:t>
      </w:r>
      <w:r w:rsidRPr="001807DE">
        <w:rPr>
          <w:rFonts w:ascii="Times New Roman" w:hAnsi="Times New Roman"/>
          <w:sz w:val="24"/>
          <w:szCs w:val="24"/>
        </w:rPr>
        <w:t>Certificate Number]: [Importer</w:t>
      </w:r>
      <w:r w:rsidR="0020577A" w:rsidRPr="001807DE">
        <w:rPr>
          <w:rFonts w:ascii="Times New Roman" w:hAnsi="Times New Roman"/>
          <w:sz w:val="24"/>
          <w:szCs w:val="24"/>
        </w:rPr>
        <w:t>’s Tax ID</w:t>
      </w:r>
      <w:r w:rsidRPr="001807DE">
        <w:rPr>
          <w:rFonts w:ascii="Times New Roman" w:hAnsi="Times New Roman"/>
          <w:sz w:val="24"/>
          <w:szCs w:val="24"/>
        </w:rPr>
        <w:t>]</w:t>
      </w:r>
    </w:p>
    <w:p w14:paraId="05E7848B" w14:textId="77777777" w:rsidR="00D56DB2" w:rsidRDefault="00D56DB2" w:rsidP="00D56DB2">
      <w:pPr>
        <w:spacing w:after="0" w:line="240" w:lineRule="auto"/>
        <w:jc w:val="both"/>
        <w:rPr>
          <w:rFonts w:ascii="Times New Roman" w:hAnsi="Times New Roman"/>
          <w:sz w:val="24"/>
          <w:szCs w:val="24"/>
        </w:rPr>
      </w:pPr>
    </w:p>
    <w:p w14:paraId="3EE4E7DC" w14:textId="4D7B8D8F" w:rsidR="00BB72F6" w:rsidRPr="00D56DB2" w:rsidRDefault="000022B8" w:rsidP="00D56DB2">
      <w:pPr>
        <w:spacing w:after="0" w:line="240" w:lineRule="auto"/>
        <w:jc w:val="both"/>
        <w:rPr>
          <w:rFonts w:ascii="Times New Roman" w:hAnsi="Times New Roman"/>
          <w:bCs/>
          <w:sz w:val="24"/>
          <w:szCs w:val="24"/>
        </w:rPr>
      </w:pPr>
      <w:r>
        <w:rPr>
          <w:rFonts w:ascii="Times New Roman" w:hAnsi="Times New Roman"/>
          <w:sz w:val="24"/>
          <w:szCs w:val="24"/>
        </w:rPr>
        <w:t>20</w:t>
      </w:r>
      <w:r w:rsidR="00D56DB2">
        <w:rPr>
          <w:rFonts w:ascii="Times New Roman" w:hAnsi="Times New Roman"/>
          <w:sz w:val="24"/>
          <w:szCs w:val="24"/>
        </w:rPr>
        <w:t>.</w:t>
      </w:r>
      <w:r w:rsidR="00D56DB2">
        <w:rPr>
          <w:rFonts w:ascii="Times New Roman" w:hAnsi="Times New Roman"/>
          <w:sz w:val="24"/>
          <w:szCs w:val="24"/>
        </w:rPr>
        <w:tab/>
      </w:r>
      <w:r w:rsidR="00D56DB2" w:rsidRPr="00D56DB2">
        <w:rPr>
          <w:rFonts w:ascii="Times New Roman" w:hAnsi="Times New Roman"/>
          <w:sz w:val="24"/>
          <w:szCs w:val="24"/>
        </w:rPr>
        <w:t>The PDF certificate can be emailed to a single email address or multiple email addresses or different addresses for each commodity</w:t>
      </w:r>
      <w:r w:rsidR="008823D2" w:rsidRPr="00531AD3">
        <w:rPr>
          <w:rFonts w:ascii="Times New Roman" w:hAnsi="Times New Roman"/>
          <w:sz w:val="24"/>
          <w:szCs w:val="24"/>
        </w:rPr>
        <w:t>,</w:t>
      </w:r>
      <w:r w:rsidR="00BB72F6" w:rsidRPr="00531AD3">
        <w:rPr>
          <w:rFonts w:ascii="Times New Roman" w:hAnsi="Times New Roman"/>
          <w:sz w:val="24"/>
          <w:szCs w:val="24"/>
        </w:rPr>
        <w:t xml:space="preserve"> </w:t>
      </w:r>
      <w:r w:rsidR="008823D2" w:rsidRPr="00531AD3">
        <w:rPr>
          <w:rFonts w:ascii="Times New Roman" w:hAnsi="Times New Roman"/>
          <w:sz w:val="24"/>
          <w:szCs w:val="24"/>
        </w:rPr>
        <w:t>as agreed between the P</w:t>
      </w:r>
      <w:r w:rsidR="003C251E" w:rsidRPr="00531AD3">
        <w:rPr>
          <w:rFonts w:ascii="Times New Roman" w:hAnsi="Times New Roman"/>
          <w:sz w:val="24"/>
          <w:szCs w:val="24"/>
        </w:rPr>
        <w:t>arties.</w:t>
      </w:r>
      <w:r w:rsidR="00623DB2" w:rsidRPr="00623DB2">
        <w:t xml:space="preserve"> </w:t>
      </w:r>
      <w:r w:rsidR="00923E7F" w:rsidRPr="00923E7F">
        <w:rPr>
          <w:rFonts w:ascii="Times New Roman" w:hAnsi="Times New Roman"/>
          <w:sz w:val="24"/>
          <w:szCs w:val="24"/>
        </w:rPr>
        <w:t>As for Indonesia, the email address is trq-iacepa@customs.go.id</w:t>
      </w:r>
      <w:r w:rsidR="00923E7F">
        <w:rPr>
          <w:rFonts w:ascii="Times New Roman" w:hAnsi="Times New Roman"/>
          <w:sz w:val="24"/>
          <w:szCs w:val="24"/>
        </w:rPr>
        <w:t>.</w:t>
      </w:r>
    </w:p>
    <w:p w14:paraId="79408CAC" w14:textId="77777777" w:rsidR="00C57A71" w:rsidRDefault="00C57A71" w:rsidP="002B6625">
      <w:pPr>
        <w:spacing w:after="0" w:line="240" w:lineRule="auto"/>
        <w:jc w:val="both"/>
        <w:rPr>
          <w:rFonts w:ascii="Times New Roman" w:hAnsi="Times New Roman"/>
          <w:bCs/>
          <w:sz w:val="24"/>
          <w:szCs w:val="24"/>
        </w:rPr>
      </w:pPr>
    </w:p>
    <w:p w14:paraId="3C619DAB" w14:textId="7EC1C01F" w:rsidR="00D56DB2" w:rsidRDefault="000022B8" w:rsidP="00D56DB2">
      <w:pPr>
        <w:spacing w:after="0" w:line="240" w:lineRule="auto"/>
        <w:jc w:val="both"/>
        <w:rPr>
          <w:rFonts w:ascii="Times New Roman" w:hAnsi="Times New Roman"/>
          <w:bCs/>
          <w:sz w:val="24"/>
          <w:szCs w:val="24"/>
        </w:rPr>
      </w:pPr>
      <w:r>
        <w:rPr>
          <w:rFonts w:ascii="Times New Roman" w:hAnsi="Times New Roman"/>
          <w:bCs/>
          <w:sz w:val="24"/>
          <w:szCs w:val="24"/>
        </w:rPr>
        <w:t>21</w:t>
      </w:r>
      <w:r w:rsidR="006C6C93">
        <w:rPr>
          <w:rFonts w:ascii="Times New Roman" w:hAnsi="Times New Roman"/>
          <w:bCs/>
          <w:sz w:val="24"/>
          <w:szCs w:val="24"/>
        </w:rPr>
        <w:t>.</w:t>
      </w:r>
      <w:r w:rsidR="006C6C93">
        <w:rPr>
          <w:rFonts w:ascii="Times New Roman" w:hAnsi="Times New Roman"/>
          <w:bCs/>
          <w:sz w:val="24"/>
          <w:szCs w:val="24"/>
        </w:rPr>
        <w:tab/>
      </w:r>
      <w:r w:rsidR="00D56DB2" w:rsidRPr="00D56DB2">
        <w:rPr>
          <w:rFonts w:ascii="Times New Roman" w:hAnsi="Times New Roman"/>
          <w:bCs/>
          <w:sz w:val="24"/>
          <w:szCs w:val="24"/>
        </w:rPr>
        <w:t xml:space="preserve">From time to time, information on a consignment </w:t>
      </w:r>
      <w:r w:rsidR="0012759C">
        <w:rPr>
          <w:rFonts w:ascii="Times New Roman" w:hAnsi="Times New Roman"/>
          <w:bCs/>
          <w:sz w:val="24"/>
          <w:szCs w:val="24"/>
        </w:rPr>
        <w:t xml:space="preserve">may </w:t>
      </w:r>
      <w:r w:rsidR="00D56DB2" w:rsidRPr="00D56DB2">
        <w:rPr>
          <w:rFonts w:ascii="Times New Roman" w:hAnsi="Times New Roman"/>
          <w:bCs/>
          <w:sz w:val="24"/>
          <w:szCs w:val="24"/>
        </w:rPr>
        <w:t xml:space="preserve">need to be changed or a consignment cancelled outright. In the event of such a change, Australia may be required to cancel a TRQ certificate. If Australia cancels a </w:t>
      </w:r>
      <w:r w:rsidR="00B421BF">
        <w:rPr>
          <w:rFonts w:ascii="Times New Roman" w:hAnsi="Times New Roman"/>
          <w:bCs/>
          <w:sz w:val="24"/>
          <w:szCs w:val="24"/>
        </w:rPr>
        <w:t xml:space="preserve">TRQ </w:t>
      </w:r>
      <w:r w:rsidR="00D56DB2" w:rsidRPr="00D56DB2">
        <w:rPr>
          <w:rFonts w:ascii="Times New Roman" w:hAnsi="Times New Roman"/>
          <w:bCs/>
          <w:sz w:val="24"/>
          <w:szCs w:val="24"/>
        </w:rPr>
        <w:t xml:space="preserve">certificate then the PDF version should be considered null and void and should not be used to apply tariff rates. If a </w:t>
      </w:r>
      <w:r w:rsidR="00B421BF">
        <w:rPr>
          <w:rFonts w:ascii="Times New Roman" w:hAnsi="Times New Roman"/>
          <w:bCs/>
          <w:sz w:val="24"/>
          <w:szCs w:val="24"/>
        </w:rPr>
        <w:t xml:space="preserve">TRQ </w:t>
      </w:r>
      <w:r w:rsidR="00D56DB2" w:rsidRPr="00D56DB2">
        <w:rPr>
          <w:rFonts w:ascii="Times New Roman" w:hAnsi="Times New Roman"/>
          <w:bCs/>
          <w:sz w:val="24"/>
          <w:szCs w:val="24"/>
        </w:rPr>
        <w:t xml:space="preserve">certificate is cancelled and the consignment is still proceeding, it means that the data on the PDF </w:t>
      </w:r>
      <w:r w:rsidR="00B421BF">
        <w:rPr>
          <w:rFonts w:ascii="Times New Roman" w:hAnsi="Times New Roman"/>
          <w:bCs/>
          <w:sz w:val="24"/>
          <w:szCs w:val="24"/>
        </w:rPr>
        <w:t xml:space="preserve">TRQ </w:t>
      </w:r>
      <w:r w:rsidR="00D56DB2" w:rsidRPr="00D56DB2">
        <w:rPr>
          <w:rFonts w:ascii="Times New Roman" w:hAnsi="Times New Roman"/>
          <w:bCs/>
          <w:sz w:val="24"/>
          <w:szCs w:val="24"/>
        </w:rPr>
        <w:t xml:space="preserve">certificate is no longer correct and a new </w:t>
      </w:r>
      <w:r w:rsidR="00B421BF">
        <w:rPr>
          <w:rFonts w:ascii="Times New Roman" w:hAnsi="Times New Roman"/>
          <w:bCs/>
          <w:sz w:val="24"/>
          <w:szCs w:val="24"/>
        </w:rPr>
        <w:t xml:space="preserve">TRQ </w:t>
      </w:r>
      <w:r w:rsidR="00D56DB2" w:rsidRPr="00D56DB2">
        <w:rPr>
          <w:rFonts w:ascii="Times New Roman" w:hAnsi="Times New Roman"/>
          <w:bCs/>
          <w:sz w:val="24"/>
          <w:szCs w:val="24"/>
        </w:rPr>
        <w:t>certificate with the correct information will be issued. When cancelling a</w:t>
      </w:r>
      <w:r w:rsidR="00B421BF">
        <w:rPr>
          <w:rFonts w:ascii="Times New Roman" w:hAnsi="Times New Roman"/>
          <w:bCs/>
          <w:sz w:val="24"/>
          <w:szCs w:val="24"/>
        </w:rPr>
        <w:t xml:space="preserve"> TRQ</w:t>
      </w:r>
      <w:r w:rsidR="00D56DB2" w:rsidRPr="00D56DB2">
        <w:rPr>
          <w:rFonts w:ascii="Times New Roman" w:hAnsi="Times New Roman"/>
          <w:bCs/>
          <w:sz w:val="24"/>
          <w:szCs w:val="24"/>
        </w:rPr>
        <w:t xml:space="preserve"> certificate Australia will email a PDF of the incorrect </w:t>
      </w:r>
      <w:r w:rsidR="00B421BF">
        <w:rPr>
          <w:rFonts w:ascii="Times New Roman" w:hAnsi="Times New Roman"/>
          <w:bCs/>
          <w:sz w:val="24"/>
          <w:szCs w:val="24"/>
        </w:rPr>
        <w:t xml:space="preserve">TRQ </w:t>
      </w:r>
      <w:r w:rsidR="00D56DB2" w:rsidRPr="00D56DB2">
        <w:rPr>
          <w:rFonts w:ascii="Times New Roman" w:hAnsi="Times New Roman"/>
          <w:bCs/>
          <w:sz w:val="24"/>
          <w:szCs w:val="24"/>
        </w:rPr>
        <w:t xml:space="preserve">certificate with a ‘Cancelled’ watermark and with cancelled displayed in the header of the email. </w:t>
      </w:r>
    </w:p>
    <w:p w14:paraId="07EA7447" w14:textId="77777777" w:rsidR="00D56DB2" w:rsidRPr="00D56DB2" w:rsidRDefault="00D56DB2" w:rsidP="00D56DB2">
      <w:pPr>
        <w:spacing w:after="0" w:line="240" w:lineRule="auto"/>
        <w:jc w:val="both"/>
        <w:rPr>
          <w:rFonts w:ascii="Times New Roman" w:hAnsi="Times New Roman"/>
          <w:bCs/>
          <w:sz w:val="24"/>
          <w:szCs w:val="24"/>
        </w:rPr>
      </w:pPr>
    </w:p>
    <w:p w14:paraId="487B8263" w14:textId="5D5BB534" w:rsidR="00D56DB2" w:rsidRPr="00D56DB2" w:rsidRDefault="000022B8" w:rsidP="00D56DB2">
      <w:pPr>
        <w:spacing w:after="0" w:line="240" w:lineRule="auto"/>
        <w:jc w:val="both"/>
        <w:rPr>
          <w:rFonts w:ascii="Times New Roman" w:hAnsi="Times New Roman"/>
          <w:bCs/>
          <w:sz w:val="24"/>
          <w:szCs w:val="24"/>
        </w:rPr>
      </w:pPr>
      <w:r>
        <w:rPr>
          <w:rFonts w:ascii="Times New Roman" w:hAnsi="Times New Roman"/>
          <w:bCs/>
          <w:sz w:val="24"/>
          <w:szCs w:val="24"/>
        </w:rPr>
        <w:t>22</w:t>
      </w:r>
      <w:r w:rsidR="006C6C93">
        <w:rPr>
          <w:rFonts w:ascii="Times New Roman" w:hAnsi="Times New Roman"/>
          <w:bCs/>
          <w:sz w:val="24"/>
          <w:szCs w:val="24"/>
        </w:rPr>
        <w:t>.</w:t>
      </w:r>
      <w:r w:rsidR="006C6C93">
        <w:rPr>
          <w:rFonts w:ascii="Times New Roman" w:hAnsi="Times New Roman"/>
          <w:bCs/>
          <w:sz w:val="24"/>
          <w:szCs w:val="24"/>
        </w:rPr>
        <w:tab/>
      </w:r>
      <w:r w:rsidR="00D56DB2" w:rsidRPr="00D56DB2">
        <w:rPr>
          <w:rFonts w:ascii="Times New Roman" w:hAnsi="Times New Roman"/>
          <w:bCs/>
          <w:sz w:val="24"/>
          <w:szCs w:val="24"/>
        </w:rPr>
        <w:t>This email header will be displayed in the following format:</w:t>
      </w:r>
    </w:p>
    <w:p w14:paraId="4545EB74" w14:textId="35C9CACA" w:rsidR="00D56DB2" w:rsidRPr="00D56DB2" w:rsidRDefault="00D56DB2" w:rsidP="00D56DB2">
      <w:pPr>
        <w:spacing w:after="0" w:line="240" w:lineRule="auto"/>
        <w:jc w:val="both"/>
        <w:rPr>
          <w:rFonts w:ascii="Times New Roman" w:hAnsi="Times New Roman"/>
          <w:bCs/>
          <w:sz w:val="24"/>
          <w:szCs w:val="24"/>
        </w:rPr>
      </w:pPr>
      <w:r w:rsidRPr="00D56DB2">
        <w:rPr>
          <w:rFonts w:ascii="Times New Roman" w:hAnsi="Times New Roman"/>
          <w:bCs/>
          <w:sz w:val="24"/>
          <w:szCs w:val="24"/>
        </w:rPr>
        <w:t>[CANCELLED]: [TRQ type]: [</w:t>
      </w:r>
      <w:r w:rsidR="00B421BF">
        <w:rPr>
          <w:rFonts w:ascii="Times New Roman" w:hAnsi="Times New Roman"/>
          <w:bCs/>
          <w:sz w:val="24"/>
          <w:szCs w:val="24"/>
        </w:rPr>
        <w:t xml:space="preserve">TRQ </w:t>
      </w:r>
      <w:r w:rsidRPr="00D56DB2">
        <w:rPr>
          <w:rFonts w:ascii="Times New Roman" w:hAnsi="Times New Roman"/>
          <w:bCs/>
          <w:sz w:val="24"/>
          <w:szCs w:val="24"/>
        </w:rPr>
        <w:t xml:space="preserve">Certificate Number]: </w:t>
      </w:r>
      <w:r w:rsidR="003A09A0">
        <w:rPr>
          <w:rFonts w:ascii="Times New Roman" w:hAnsi="Times New Roman"/>
          <w:bCs/>
          <w:sz w:val="24"/>
          <w:szCs w:val="24"/>
        </w:rPr>
        <w:t xml:space="preserve">[ID: </w:t>
      </w:r>
      <w:r w:rsidRPr="00D56DB2">
        <w:rPr>
          <w:rFonts w:ascii="Times New Roman" w:hAnsi="Times New Roman"/>
          <w:bCs/>
          <w:sz w:val="24"/>
          <w:szCs w:val="24"/>
        </w:rPr>
        <w:t>[Importer</w:t>
      </w:r>
      <w:r w:rsidR="003A09A0">
        <w:rPr>
          <w:rFonts w:ascii="Times New Roman" w:hAnsi="Times New Roman"/>
          <w:bCs/>
          <w:sz w:val="24"/>
          <w:szCs w:val="24"/>
        </w:rPr>
        <w:t>’s Tax ID]</w:t>
      </w:r>
      <w:r w:rsidRPr="00D56DB2">
        <w:rPr>
          <w:rFonts w:ascii="Times New Roman" w:hAnsi="Times New Roman"/>
          <w:bCs/>
          <w:sz w:val="24"/>
          <w:szCs w:val="24"/>
        </w:rPr>
        <w:t xml:space="preserve"> </w:t>
      </w:r>
    </w:p>
    <w:p w14:paraId="266692AA" w14:textId="77777777" w:rsidR="00D56DB2" w:rsidRPr="00D56DB2" w:rsidRDefault="00D56DB2" w:rsidP="00D56DB2">
      <w:pPr>
        <w:spacing w:after="0" w:line="240" w:lineRule="auto"/>
        <w:jc w:val="both"/>
        <w:rPr>
          <w:rFonts w:ascii="Times New Roman" w:hAnsi="Times New Roman"/>
          <w:bCs/>
          <w:sz w:val="24"/>
          <w:szCs w:val="24"/>
        </w:rPr>
      </w:pPr>
    </w:p>
    <w:p w14:paraId="4F64F858" w14:textId="77777777" w:rsidR="00925FE2" w:rsidRDefault="000022B8" w:rsidP="002B6625">
      <w:pPr>
        <w:spacing w:after="0" w:line="240" w:lineRule="auto"/>
        <w:jc w:val="both"/>
        <w:rPr>
          <w:rFonts w:ascii="Times New Roman" w:hAnsi="Times New Roman"/>
          <w:bCs/>
          <w:sz w:val="24"/>
          <w:szCs w:val="24"/>
        </w:rPr>
      </w:pPr>
      <w:r>
        <w:rPr>
          <w:rFonts w:ascii="Times New Roman" w:hAnsi="Times New Roman"/>
          <w:bCs/>
          <w:sz w:val="24"/>
          <w:szCs w:val="24"/>
        </w:rPr>
        <w:t>23</w:t>
      </w:r>
      <w:r w:rsidR="006C6C93">
        <w:rPr>
          <w:rFonts w:ascii="Times New Roman" w:hAnsi="Times New Roman"/>
          <w:bCs/>
          <w:sz w:val="24"/>
          <w:szCs w:val="24"/>
        </w:rPr>
        <w:t>.</w:t>
      </w:r>
      <w:r w:rsidR="006C6C93">
        <w:rPr>
          <w:rFonts w:ascii="Times New Roman" w:hAnsi="Times New Roman"/>
          <w:bCs/>
          <w:sz w:val="24"/>
          <w:szCs w:val="24"/>
        </w:rPr>
        <w:tab/>
      </w:r>
      <w:r w:rsidR="0012759C">
        <w:rPr>
          <w:rFonts w:ascii="Times New Roman" w:hAnsi="Times New Roman"/>
          <w:bCs/>
          <w:sz w:val="24"/>
          <w:szCs w:val="24"/>
        </w:rPr>
        <w:t>The volume set out on a c</w:t>
      </w:r>
      <w:r w:rsidR="00D56DB2" w:rsidRPr="00D56DB2">
        <w:rPr>
          <w:rFonts w:ascii="Times New Roman" w:hAnsi="Times New Roman"/>
          <w:bCs/>
          <w:sz w:val="24"/>
          <w:szCs w:val="24"/>
        </w:rPr>
        <w:t xml:space="preserve">ancelled </w:t>
      </w:r>
      <w:r w:rsidR="00B421BF">
        <w:rPr>
          <w:rFonts w:ascii="Times New Roman" w:hAnsi="Times New Roman"/>
          <w:bCs/>
          <w:sz w:val="24"/>
          <w:szCs w:val="24"/>
        </w:rPr>
        <w:t xml:space="preserve">TRQ </w:t>
      </w:r>
      <w:r w:rsidR="00D56DB2" w:rsidRPr="00D56DB2">
        <w:rPr>
          <w:rFonts w:ascii="Times New Roman" w:hAnsi="Times New Roman"/>
          <w:bCs/>
          <w:sz w:val="24"/>
          <w:szCs w:val="24"/>
        </w:rPr>
        <w:t>certificate will not count against the total tariff rate quota volume.</w:t>
      </w:r>
    </w:p>
    <w:p w14:paraId="748CA115" w14:textId="558AF850" w:rsidR="00D56DB2" w:rsidRDefault="00925FE2" w:rsidP="002B6625">
      <w:pPr>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520C93FF" w14:textId="740E7210" w:rsidR="007D4924" w:rsidRDefault="000022B8" w:rsidP="002B6625">
      <w:pPr>
        <w:spacing w:after="0" w:line="240" w:lineRule="auto"/>
        <w:jc w:val="both"/>
        <w:rPr>
          <w:rFonts w:ascii="Times New Roman" w:hAnsi="Times New Roman"/>
          <w:bCs/>
          <w:sz w:val="24"/>
          <w:szCs w:val="24"/>
        </w:rPr>
      </w:pPr>
      <w:r>
        <w:rPr>
          <w:rFonts w:ascii="Times New Roman" w:hAnsi="Times New Roman"/>
          <w:bCs/>
          <w:sz w:val="24"/>
          <w:szCs w:val="24"/>
        </w:rPr>
        <w:t>24</w:t>
      </w:r>
      <w:r w:rsidR="006C6C93">
        <w:rPr>
          <w:rFonts w:ascii="Times New Roman" w:hAnsi="Times New Roman"/>
          <w:bCs/>
          <w:sz w:val="24"/>
          <w:szCs w:val="24"/>
        </w:rPr>
        <w:t>.</w:t>
      </w:r>
      <w:r w:rsidR="006C6C93">
        <w:rPr>
          <w:rFonts w:ascii="Times New Roman" w:hAnsi="Times New Roman"/>
          <w:bCs/>
          <w:sz w:val="24"/>
          <w:szCs w:val="24"/>
        </w:rPr>
        <w:tab/>
      </w:r>
      <w:r w:rsidR="00D56DB2">
        <w:rPr>
          <w:rFonts w:ascii="Times New Roman" w:hAnsi="Times New Roman"/>
          <w:bCs/>
          <w:sz w:val="24"/>
          <w:szCs w:val="24"/>
        </w:rPr>
        <w:t>Parties will continue to meet their reporting requirements under these Operational Procedures during any period for which th</w:t>
      </w:r>
      <w:r w:rsidR="00957083">
        <w:rPr>
          <w:rFonts w:ascii="Times New Roman" w:hAnsi="Times New Roman"/>
          <w:bCs/>
          <w:sz w:val="24"/>
          <w:szCs w:val="24"/>
        </w:rPr>
        <w:t xml:space="preserve">e arrangements in paragraphs </w:t>
      </w:r>
      <w:r w:rsidR="00D63D48">
        <w:rPr>
          <w:rFonts w:ascii="Times New Roman" w:hAnsi="Times New Roman"/>
          <w:bCs/>
          <w:sz w:val="24"/>
          <w:szCs w:val="24"/>
        </w:rPr>
        <w:t>1</w:t>
      </w:r>
      <w:r w:rsidR="00DF18EA">
        <w:rPr>
          <w:rFonts w:ascii="Times New Roman" w:hAnsi="Times New Roman"/>
          <w:bCs/>
          <w:sz w:val="24"/>
          <w:szCs w:val="24"/>
        </w:rPr>
        <w:t>8</w:t>
      </w:r>
      <w:r w:rsidR="00D63D48">
        <w:rPr>
          <w:rFonts w:ascii="Times New Roman" w:hAnsi="Times New Roman"/>
          <w:bCs/>
          <w:sz w:val="24"/>
          <w:szCs w:val="24"/>
        </w:rPr>
        <w:t>-2</w:t>
      </w:r>
      <w:r w:rsidR="00DF18EA">
        <w:rPr>
          <w:rFonts w:ascii="Times New Roman" w:hAnsi="Times New Roman"/>
          <w:bCs/>
          <w:sz w:val="24"/>
          <w:szCs w:val="24"/>
        </w:rPr>
        <w:t>4</w:t>
      </w:r>
      <w:r w:rsidR="00D63D48">
        <w:rPr>
          <w:rFonts w:ascii="Times New Roman" w:hAnsi="Times New Roman"/>
          <w:bCs/>
          <w:sz w:val="24"/>
          <w:szCs w:val="24"/>
        </w:rPr>
        <w:t xml:space="preserve"> </w:t>
      </w:r>
      <w:r w:rsidR="00957083">
        <w:rPr>
          <w:rFonts w:ascii="Times New Roman" w:hAnsi="Times New Roman"/>
          <w:bCs/>
          <w:sz w:val="24"/>
          <w:szCs w:val="24"/>
        </w:rPr>
        <w:t>are</w:t>
      </w:r>
      <w:r w:rsidR="00D56DB2">
        <w:rPr>
          <w:rFonts w:ascii="Times New Roman" w:hAnsi="Times New Roman"/>
          <w:bCs/>
          <w:sz w:val="24"/>
          <w:szCs w:val="24"/>
        </w:rPr>
        <w:t xml:space="preserve"> in place.</w:t>
      </w:r>
    </w:p>
    <w:p w14:paraId="479670BB" w14:textId="77777777" w:rsidR="007D4924" w:rsidRDefault="007D4924" w:rsidP="002B6625">
      <w:pPr>
        <w:spacing w:after="0" w:line="240" w:lineRule="auto"/>
        <w:jc w:val="both"/>
        <w:rPr>
          <w:rFonts w:ascii="Times New Roman" w:hAnsi="Times New Roman"/>
          <w:bCs/>
          <w:sz w:val="24"/>
          <w:szCs w:val="24"/>
        </w:rPr>
      </w:pPr>
    </w:p>
    <w:p w14:paraId="716FA0A1" w14:textId="693AB976" w:rsidR="00A757C0" w:rsidRDefault="000022B8" w:rsidP="002B6625">
      <w:pPr>
        <w:spacing w:after="0" w:line="240" w:lineRule="auto"/>
        <w:jc w:val="both"/>
        <w:rPr>
          <w:rFonts w:ascii="Times New Roman" w:hAnsi="Times New Roman"/>
          <w:bCs/>
          <w:sz w:val="24"/>
          <w:szCs w:val="24"/>
        </w:rPr>
      </w:pPr>
      <w:r>
        <w:rPr>
          <w:rFonts w:ascii="Times New Roman" w:hAnsi="Times New Roman"/>
          <w:bCs/>
          <w:sz w:val="24"/>
          <w:szCs w:val="24"/>
        </w:rPr>
        <w:t>25</w:t>
      </w:r>
      <w:r w:rsidR="007D4924">
        <w:rPr>
          <w:rFonts w:ascii="Times New Roman" w:hAnsi="Times New Roman"/>
          <w:bCs/>
          <w:sz w:val="24"/>
          <w:szCs w:val="24"/>
        </w:rPr>
        <w:t>.</w:t>
      </w:r>
      <w:r w:rsidR="007D4924">
        <w:rPr>
          <w:rFonts w:ascii="Times New Roman" w:hAnsi="Times New Roman"/>
          <w:bCs/>
          <w:sz w:val="24"/>
          <w:szCs w:val="24"/>
        </w:rPr>
        <w:tab/>
      </w:r>
      <w:r w:rsidR="00A757C0">
        <w:rPr>
          <w:rFonts w:ascii="Times New Roman" w:hAnsi="Times New Roman"/>
          <w:sz w:val="24"/>
          <w:szCs w:val="24"/>
        </w:rPr>
        <w:t xml:space="preserve">This business continuity plan will also be followed in the event that a Party experiences a technical difficulty with </w:t>
      </w:r>
      <w:r w:rsidR="003D2EFF">
        <w:rPr>
          <w:rFonts w:ascii="Times New Roman" w:hAnsi="Times New Roman"/>
          <w:sz w:val="24"/>
          <w:szCs w:val="24"/>
        </w:rPr>
        <w:t xml:space="preserve">its </w:t>
      </w:r>
      <w:r w:rsidR="00A757C0">
        <w:rPr>
          <w:rFonts w:ascii="Times New Roman" w:hAnsi="Times New Roman"/>
          <w:sz w:val="24"/>
          <w:szCs w:val="24"/>
        </w:rPr>
        <w:t xml:space="preserve">own domestic IT systems in a manner that </w:t>
      </w:r>
      <w:r w:rsidR="003D2EFF">
        <w:rPr>
          <w:rFonts w:ascii="Times New Roman" w:hAnsi="Times New Roman"/>
          <w:sz w:val="24"/>
          <w:szCs w:val="24"/>
        </w:rPr>
        <w:t>a</w:t>
      </w:r>
      <w:r w:rsidR="00A757C0">
        <w:rPr>
          <w:rFonts w:ascii="Times New Roman" w:hAnsi="Times New Roman"/>
          <w:sz w:val="24"/>
          <w:szCs w:val="24"/>
        </w:rPr>
        <w:t xml:space="preserve">ffects the functioning of the </w:t>
      </w:r>
      <w:r w:rsidR="00AA45D7">
        <w:rPr>
          <w:rFonts w:ascii="Times New Roman" w:hAnsi="Times New Roman"/>
          <w:sz w:val="24"/>
          <w:szCs w:val="24"/>
        </w:rPr>
        <w:t>eCERTs Courier system</w:t>
      </w:r>
      <w:r w:rsidR="00A757C0">
        <w:rPr>
          <w:rFonts w:ascii="Times New Roman" w:hAnsi="Times New Roman"/>
          <w:sz w:val="24"/>
          <w:szCs w:val="24"/>
        </w:rPr>
        <w:t>, or the administration of quota under these Operational Procedures.</w:t>
      </w:r>
    </w:p>
    <w:p w14:paraId="62723380" w14:textId="21073E51" w:rsidR="00A757C0" w:rsidRDefault="00A757C0" w:rsidP="002B6625">
      <w:pPr>
        <w:spacing w:after="0" w:line="240" w:lineRule="auto"/>
        <w:jc w:val="both"/>
        <w:rPr>
          <w:rFonts w:ascii="Times New Roman" w:hAnsi="Times New Roman"/>
          <w:bCs/>
          <w:sz w:val="24"/>
          <w:szCs w:val="24"/>
        </w:rPr>
      </w:pPr>
    </w:p>
    <w:p w14:paraId="696FC1DB" w14:textId="569B2F17" w:rsidR="00F310DC" w:rsidRDefault="00F310DC" w:rsidP="00F310DC">
      <w:pPr>
        <w:rPr>
          <w:rFonts w:ascii="Times New Roman" w:hAnsi="Times New Roman"/>
          <w:bCs/>
          <w:sz w:val="24"/>
          <w:szCs w:val="24"/>
        </w:rPr>
      </w:pPr>
      <w:r>
        <w:rPr>
          <w:rFonts w:ascii="Times New Roman" w:hAnsi="Times New Roman"/>
          <w:bCs/>
          <w:sz w:val="24"/>
          <w:szCs w:val="24"/>
        </w:rPr>
        <w:br w:type="page"/>
      </w:r>
    </w:p>
    <w:p w14:paraId="522EAECF" w14:textId="74F73694" w:rsidR="00A757C0" w:rsidRDefault="000022B8" w:rsidP="002B6625">
      <w:pPr>
        <w:spacing w:after="0" w:line="240" w:lineRule="auto"/>
        <w:jc w:val="both"/>
        <w:rPr>
          <w:rFonts w:ascii="Times New Roman" w:hAnsi="Times New Roman"/>
          <w:bCs/>
          <w:sz w:val="24"/>
          <w:szCs w:val="24"/>
        </w:rPr>
      </w:pPr>
      <w:r>
        <w:rPr>
          <w:rFonts w:ascii="Times New Roman" w:hAnsi="Times New Roman"/>
          <w:bCs/>
          <w:sz w:val="24"/>
          <w:szCs w:val="24"/>
        </w:rPr>
        <w:lastRenderedPageBreak/>
        <w:t>26</w:t>
      </w:r>
      <w:r w:rsidR="00A757C0">
        <w:rPr>
          <w:rFonts w:ascii="Times New Roman" w:hAnsi="Times New Roman"/>
          <w:bCs/>
          <w:sz w:val="24"/>
          <w:szCs w:val="24"/>
        </w:rPr>
        <w:t>.</w:t>
      </w:r>
      <w:r w:rsidR="00A757C0">
        <w:rPr>
          <w:rFonts w:ascii="Times New Roman" w:hAnsi="Times New Roman"/>
          <w:bCs/>
          <w:sz w:val="24"/>
          <w:szCs w:val="24"/>
        </w:rPr>
        <w:tab/>
      </w:r>
      <w:r w:rsidR="007D4924">
        <w:rPr>
          <w:rFonts w:ascii="Times New Roman" w:hAnsi="Times New Roman"/>
          <w:bCs/>
          <w:sz w:val="24"/>
          <w:szCs w:val="24"/>
        </w:rPr>
        <w:t>If the arrangements in paragraph</w:t>
      </w:r>
      <w:r w:rsidR="002A47F9">
        <w:rPr>
          <w:rFonts w:ascii="Times New Roman" w:hAnsi="Times New Roman"/>
          <w:bCs/>
          <w:sz w:val="24"/>
          <w:szCs w:val="24"/>
        </w:rPr>
        <w:t>s</w:t>
      </w:r>
      <w:r w:rsidR="007D4924">
        <w:rPr>
          <w:rFonts w:ascii="Times New Roman" w:hAnsi="Times New Roman"/>
          <w:bCs/>
          <w:sz w:val="24"/>
          <w:szCs w:val="24"/>
        </w:rPr>
        <w:t xml:space="preserve"> </w:t>
      </w:r>
      <w:r w:rsidR="00D63D48">
        <w:rPr>
          <w:rFonts w:ascii="Times New Roman" w:hAnsi="Times New Roman"/>
          <w:bCs/>
          <w:sz w:val="24"/>
          <w:szCs w:val="24"/>
        </w:rPr>
        <w:t>1</w:t>
      </w:r>
      <w:r w:rsidR="00DF18EA">
        <w:rPr>
          <w:rFonts w:ascii="Times New Roman" w:hAnsi="Times New Roman"/>
          <w:bCs/>
          <w:sz w:val="24"/>
          <w:szCs w:val="24"/>
        </w:rPr>
        <w:t>8</w:t>
      </w:r>
      <w:r w:rsidR="00D63D48">
        <w:rPr>
          <w:rFonts w:ascii="Times New Roman" w:hAnsi="Times New Roman"/>
          <w:bCs/>
          <w:sz w:val="24"/>
          <w:szCs w:val="24"/>
        </w:rPr>
        <w:t>-2</w:t>
      </w:r>
      <w:r w:rsidR="00DF18EA">
        <w:rPr>
          <w:rFonts w:ascii="Times New Roman" w:hAnsi="Times New Roman"/>
          <w:bCs/>
          <w:sz w:val="24"/>
          <w:szCs w:val="24"/>
        </w:rPr>
        <w:t>4</w:t>
      </w:r>
      <w:r w:rsidR="00D63D48">
        <w:rPr>
          <w:rFonts w:ascii="Times New Roman" w:hAnsi="Times New Roman"/>
          <w:bCs/>
          <w:sz w:val="24"/>
          <w:szCs w:val="24"/>
        </w:rPr>
        <w:t xml:space="preserve"> </w:t>
      </w:r>
      <w:r w:rsidR="007D4924">
        <w:rPr>
          <w:rFonts w:ascii="Times New Roman" w:hAnsi="Times New Roman"/>
          <w:bCs/>
          <w:sz w:val="24"/>
          <w:szCs w:val="24"/>
        </w:rPr>
        <w:t xml:space="preserve">are invoked due to </w:t>
      </w:r>
      <w:r w:rsidR="009B28CC">
        <w:rPr>
          <w:rFonts w:ascii="Times New Roman" w:hAnsi="Times New Roman"/>
          <w:bCs/>
          <w:sz w:val="24"/>
          <w:szCs w:val="24"/>
        </w:rPr>
        <w:t xml:space="preserve">the </w:t>
      </w:r>
      <w:r w:rsidR="00AA45D7">
        <w:rPr>
          <w:rFonts w:ascii="Times New Roman" w:hAnsi="Times New Roman"/>
          <w:bCs/>
          <w:sz w:val="24"/>
          <w:szCs w:val="24"/>
        </w:rPr>
        <w:t xml:space="preserve">eCERTs Courier </w:t>
      </w:r>
      <w:r w:rsidR="009B28CC">
        <w:rPr>
          <w:rFonts w:ascii="Times New Roman" w:hAnsi="Times New Roman"/>
          <w:bCs/>
          <w:sz w:val="24"/>
          <w:szCs w:val="24"/>
        </w:rPr>
        <w:t xml:space="preserve">system experiencing </w:t>
      </w:r>
      <w:r w:rsidR="007D4924">
        <w:rPr>
          <w:rFonts w:ascii="Times New Roman" w:hAnsi="Times New Roman"/>
          <w:bCs/>
          <w:sz w:val="24"/>
          <w:szCs w:val="24"/>
        </w:rPr>
        <w:t xml:space="preserve">technical difficulties, the arrangements will remain in place until both Parties agree the difficulties have been resolved, and the standard arrangements (paragraphs </w:t>
      </w:r>
      <w:r w:rsidR="00772DC4">
        <w:rPr>
          <w:rFonts w:ascii="Times New Roman" w:hAnsi="Times New Roman"/>
          <w:bCs/>
          <w:sz w:val="24"/>
          <w:szCs w:val="24"/>
        </w:rPr>
        <w:t xml:space="preserve">8 </w:t>
      </w:r>
      <w:r w:rsidR="007D4924">
        <w:rPr>
          <w:rFonts w:ascii="Times New Roman" w:hAnsi="Times New Roman"/>
          <w:bCs/>
          <w:sz w:val="24"/>
          <w:szCs w:val="24"/>
        </w:rPr>
        <w:t xml:space="preserve">to </w:t>
      </w:r>
      <w:r w:rsidR="00772DC4">
        <w:rPr>
          <w:rFonts w:ascii="Times New Roman" w:hAnsi="Times New Roman"/>
          <w:bCs/>
          <w:sz w:val="24"/>
          <w:szCs w:val="24"/>
        </w:rPr>
        <w:t>16</w:t>
      </w:r>
      <w:r w:rsidR="007D4924">
        <w:rPr>
          <w:rFonts w:ascii="Times New Roman" w:hAnsi="Times New Roman"/>
          <w:bCs/>
          <w:sz w:val="24"/>
          <w:szCs w:val="24"/>
        </w:rPr>
        <w:t xml:space="preserve">) will resume. </w:t>
      </w:r>
    </w:p>
    <w:p w14:paraId="63F517F5" w14:textId="77777777" w:rsidR="00A757C0" w:rsidRDefault="00A757C0" w:rsidP="002B6625">
      <w:pPr>
        <w:spacing w:after="0" w:line="240" w:lineRule="auto"/>
        <w:jc w:val="both"/>
        <w:rPr>
          <w:rFonts w:ascii="Times New Roman" w:hAnsi="Times New Roman"/>
          <w:bCs/>
          <w:sz w:val="24"/>
          <w:szCs w:val="24"/>
        </w:rPr>
      </w:pPr>
    </w:p>
    <w:p w14:paraId="4CA50D43" w14:textId="03C14737" w:rsidR="009B28CC" w:rsidRDefault="000022B8" w:rsidP="002B6625">
      <w:pPr>
        <w:spacing w:after="0" w:line="240" w:lineRule="auto"/>
        <w:jc w:val="both"/>
        <w:rPr>
          <w:rFonts w:ascii="Times New Roman" w:hAnsi="Times New Roman"/>
          <w:sz w:val="24"/>
          <w:szCs w:val="24"/>
        </w:rPr>
      </w:pPr>
      <w:r>
        <w:rPr>
          <w:rFonts w:ascii="Times New Roman" w:hAnsi="Times New Roman"/>
          <w:bCs/>
          <w:sz w:val="24"/>
          <w:szCs w:val="24"/>
        </w:rPr>
        <w:t>27</w:t>
      </w:r>
      <w:r w:rsidR="00A757C0">
        <w:rPr>
          <w:rFonts w:ascii="Times New Roman" w:hAnsi="Times New Roman"/>
          <w:bCs/>
          <w:sz w:val="24"/>
          <w:szCs w:val="24"/>
        </w:rPr>
        <w:t>.</w:t>
      </w:r>
      <w:r w:rsidR="00A757C0">
        <w:rPr>
          <w:rFonts w:ascii="Times New Roman" w:hAnsi="Times New Roman"/>
          <w:bCs/>
          <w:sz w:val="24"/>
          <w:szCs w:val="24"/>
        </w:rPr>
        <w:tab/>
      </w:r>
      <w:r w:rsidR="009B28CC">
        <w:rPr>
          <w:rFonts w:ascii="Times New Roman" w:hAnsi="Times New Roman"/>
          <w:bCs/>
          <w:sz w:val="24"/>
          <w:szCs w:val="24"/>
        </w:rPr>
        <w:t xml:space="preserve">Parties will notify each other as soon as practicable and, where possible, in advance, of any technical difficulties </w:t>
      </w:r>
      <w:r w:rsidR="00A757C0">
        <w:rPr>
          <w:rFonts w:ascii="Times New Roman" w:hAnsi="Times New Roman"/>
          <w:sz w:val="24"/>
          <w:szCs w:val="24"/>
        </w:rPr>
        <w:t xml:space="preserve">with their own domestic IT systems that may affect the functioning of the </w:t>
      </w:r>
      <w:r w:rsidR="00AA45D7">
        <w:rPr>
          <w:rFonts w:ascii="Times New Roman" w:hAnsi="Times New Roman"/>
          <w:bCs/>
          <w:sz w:val="24"/>
          <w:szCs w:val="24"/>
        </w:rPr>
        <w:t xml:space="preserve">eCERTs Courier </w:t>
      </w:r>
      <w:r w:rsidR="00A757C0">
        <w:rPr>
          <w:rFonts w:ascii="Times New Roman" w:hAnsi="Times New Roman"/>
          <w:sz w:val="24"/>
          <w:szCs w:val="24"/>
        </w:rPr>
        <w:t xml:space="preserve">system, or the administration of quota under these Operational Procedures. The arrangements in paragraphs </w:t>
      </w:r>
      <w:r>
        <w:rPr>
          <w:rFonts w:ascii="Times New Roman" w:hAnsi="Times New Roman"/>
          <w:sz w:val="24"/>
          <w:szCs w:val="24"/>
        </w:rPr>
        <w:t>18</w:t>
      </w:r>
      <w:r w:rsidR="00D63D48">
        <w:rPr>
          <w:rFonts w:ascii="Times New Roman" w:hAnsi="Times New Roman"/>
          <w:sz w:val="24"/>
          <w:szCs w:val="24"/>
        </w:rPr>
        <w:t>-</w:t>
      </w:r>
      <w:r>
        <w:rPr>
          <w:rFonts w:ascii="Times New Roman" w:hAnsi="Times New Roman"/>
          <w:sz w:val="24"/>
          <w:szCs w:val="24"/>
        </w:rPr>
        <w:t>24</w:t>
      </w:r>
      <w:r w:rsidR="00A757C0">
        <w:rPr>
          <w:rFonts w:ascii="Times New Roman" w:hAnsi="Times New Roman"/>
          <w:sz w:val="24"/>
          <w:szCs w:val="24"/>
        </w:rPr>
        <w:t xml:space="preserve"> shall remain in place until the Party experiencing the technical difficulty advises the other Party that it has remedied the issue, which shall be done as soon as practicable. </w:t>
      </w:r>
    </w:p>
    <w:p w14:paraId="72FA9575" w14:textId="29511EF6" w:rsidR="009B28CC" w:rsidRDefault="009B28CC" w:rsidP="002B6625">
      <w:pPr>
        <w:spacing w:after="0" w:line="240" w:lineRule="auto"/>
        <w:jc w:val="both"/>
        <w:rPr>
          <w:rFonts w:ascii="Times New Roman" w:hAnsi="Times New Roman"/>
          <w:bCs/>
          <w:sz w:val="24"/>
          <w:szCs w:val="24"/>
        </w:rPr>
      </w:pPr>
    </w:p>
    <w:p w14:paraId="1A41504A" w14:textId="77777777" w:rsidR="00925FE2" w:rsidRDefault="000022B8" w:rsidP="002B6625">
      <w:pPr>
        <w:spacing w:after="0" w:line="240" w:lineRule="auto"/>
        <w:jc w:val="both"/>
        <w:rPr>
          <w:rFonts w:ascii="Times New Roman" w:hAnsi="Times New Roman"/>
          <w:bCs/>
          <w:sz w:val="24"/>
          <w:szCs w:val="24"/>
        </w:rPr>
      </w:pPr>
      <w:r>
        <w:rPr>
          <w:rFonts w:ascii="Times New Roman" w:hAnsi="Times New Roman"/>
          <w:bCs/>
          <w:sz w:val="24"/>
          <w:szCs w:val="24"/>
        </w:rPr>
        <w:t>28</w:t>
      </w:r>
      <w:r w:rsidR="009B28CC">
        <w:rPr>
          <w:rFonts w:ascii="Times New Roman" w:hAnsi="Times New Roman"/>
          <w:bCs/>
          <w:sz w:val="24"/>
          <w:szCs w:val="24"/>
        </w:rPr>
        <w:t>.</w:t>
      </w:r>
      <w:r w:rsidR="009B28CC">
        <w:rPr>
          <w:rFonts w:ascii="Times New Roman" w:hAnsi="Times New Roman"/>
          <w:bCs/>
          <w:sz w:val="24"/>
          <w:szCs w:val="24"/>
        </w:rPr>
        <w:tab/>
      </w:r>
      <w:r w:rsidR="0088042F">
        <w:rPr>
          <w:rFonts w:ascii="Times New Roman" w:hAnsi="Times New Roman"/>
          <w:bCs/>
          <w:sz w:val="24"/>
          <w:szCs w:val="24"/>
        </w:rPr>
        <w:t>Subject to paragraph 2</w:t>
      </w:r>
      <w:r>
        <w:rPr>
          <w:rFonts w:ascii="Times New Roman" w:hAnsi="Times New Roman"/>
          <w:bCs/>
          <w:sz w:val="24"/>
          <w:szCs w:val="24"/>
        </w:rPr>
        <w:t>6</w:t>
      </w:r>
      <w:r w:rsidR="0088042F">
        <w:rPr>
          <w:rFonts w:ascii="Times New Roman" w:hAnsi="Times New Roman"/>
          <w:bCs/>
          <w:sz w:val="24"/>
          <w:szCs w:val="24"/>
        </w:rPr>
        <w:t>, i</w:t>
      </w:r>
      <w:r w:rsidR="007D4924">
        <w:rPr>
          <w:rFonts w:ascii="Times New Roman" w:hAnsi="Times New Roman"/>
          <w:bCs/>
          <w:sz w:val="24"/>
          <w:szCs w:val="24"/>
        </w:rPr>
        <w:t xml:space="preserve">f the arrangements in paragraphs </w:t>
      </w:r>
      <w:r w:rsidR="00D63D48">
        <w:rPr>
          <w:rFonts w:ascii="Times New Roman" w:hAnsi="Times New Roman"/>
          <w:bCs/>
          <w:sz w:val="24"/>
          <w:szCs w:val="24"/>
        </w:rPr>
        <w:t>1</w:t>
      </w:r>
      <w:r w:rsidR="00772DC4">
        <w:rPr>
          <w:rFonts w:ascii="Times New Roman" w:hAnsi="Times New Roman"/>
          <w:bCs/>
          <w:sz w:val="24"/>
          <w:szCs w:val="24"/>
        </w:rPr>
        <w:t>8</w:t>
      </w:r>
      <w:r w:rsidR="00D63D48">
        <w:rPr>
          <w:rFonts w:ascii="Times New Roman" w:hAnsi="Times New Roman"/>
          <w:bCs/>
          <w:sz w:val="24"/>
          <w:szCs w:val="24"/>
        </w:rPr>
        <w:t>-2</w:t>
      </w:r>
      <w:r w:rsidR="00772DC4">
        <w:rPr>
          <w:rFonts w:ascii="Times New Roman" w:hAnsi="Times New Roman"/>
          <w:bCs/>
          <w:sz w:val="24"/>
          <w:szCs w:val="24"/>
        </w:rPr>
        <w:t>4</w:t>
      </w:r>
      <w:r w:rsidR="00D63D48">
        <w:rPr>
          <w:rFonts w:ascii="Times New Roman" w:hAnsi="Times New Roman"/>
          <w:bCs/>
          <w:sz w:val="24"/>
          <w:szCs w:val="24"/>
        </w:rPr>
        <w:t xml:space="preserve"> </w:t>
      </w:r>
      <w:r w:rsidR="007D4924">
        <w:rPr>
          <w:rFonts w:ascii="Times New Roman" w:hAnsi="Times New Roman"/>
          <w:bCs/>
          <w:sz w:val="24"/>
          <w:szCs w:val="24"/>
        </w:rPr>
        <w:t xml:space="preserve">are in place on </w:t>
      </w:r>
      <w:r w:rsidR="009B28CC">
        <w:rPr>
          <w:rFonts w:ascii="Times New Roman" w:hAnsi="Times New Roman"/>
          <w:bCs/>
          <w:sz w:val="24"/>
          <w:szCs w:val="24"/>
        </w:rPr>
        <w:t>e</w:t>
      </w:r>
      <w:r w:rsidR="007D4924">
        <w:rPr>
          <w:rFonts w:ascii="Times New Roman" w:hAnsi="Times New Roman"/>
          <w:bCs/>
          <w:sz w:val="24"/>
          <w:szCs w:val="24"/>
        </w:rPr>
        <w:t>ntry into</w:t>
      </w:r>
      <w:r w:rsidR="00B65B01">
        <w:rPr>
          <w:rFonts w:ascii="Times New Roman" w:hAnsi="Times New Roman"/>
          <w:bCs/>
          <w:sz w:val="24"/>
          <w:szCs w:val="24"/>
        </w:rPr>
        <w:t xml:space="preserve"> </w:t>
      </w:r>
      <w:r w:rsidR="009B28CC">
        <w:rPr>
          <w:rFonts w:ascii="Times New Roman" w:hAnsi="Times New Roman"/>
          <w:bCs/>
          <w:sz w:val="24"/>
          <w:szCs w:val="24"/>
        </w:rPr>
        <w:t>f</w:t>
      </w:r>
      <w:r w:rsidR="007D4924">
        <w:rPr>
          <w:rFonts w:ascii="Times New Roman" w:hAnsi="Times New Roman"/>
          <w:bCs/>
          <w:sz w:val="24"/>
          <w:szCs w:val="24"/>
        </w:rPr>
        <w:t xml:space="preserve">orce of this Agreement, they shall cease to be in place when the </w:t>
      </w:r>
      <w:r w:rsidR="00AA45D7">
        <w:rPr>
          <w:rFonts w:ascii="Times New Roman" w:hAnsi="Times New Roman"/>
          <w:bCs/>
          <w:sz w:val="24"/>
          <w:szCs w:val="24"/>
        </w:rPr>
        <w:t>eCERTs Courier</w:t>
      </w:r>
      <w:r w:rsidR="007D4924">
        <w:rPr>
          <w:rFonts w:ascii="Times New Roman" w:hAnsi="Times New Roman"/>
          <w:bCs/>
          <w:sz w:val="24"/>
          <w:szCs w:val="24"/>
        </w:rPr>
        <w:t xml:space="preserve"> system becomes functional.</w:t>
      </w:r>
    </w:p>
    <w:p w14:paraId="6FA25153" w14:textId="323AF121" w:rsidR="00F436F2" w:rsidRDefault="00925FE2" w:rsidP="002B6625">
      <w:pPr>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4116D87C" w14:textId="476F9DC9" w:rsidR="0038404F" w:rsidRPr="003234BE" w:rsidRDefault="000022B8" w:rsidP="00E37A06">
      <w:pPr>
        <w:spacing w:after="0" w:line="240" w:lineRule="auto"/>
        <w:jc w:val="both"/>
        <w:rPr>
          <w:rFonts w:ascii="Times New Roman" w:hAnsi="Times New Roman"/>
          <w:strike/>
          <w:sz w:val="24"/>
          <w:szCs w:val="24"/>
        </w:rPr>
      </w:pPr>
      <w:r w:rsidRPr="00531AD3">
        <w:rPr>
          <w:rFonts w:ascii="Times New Roman" w:hAnsi="Times New Roman"/>
          <w:bCs/>
          <w:sz w:val="24"/>
          <w:szCs w:val="24"/>
        </w:rPr>
        <w:t>29</w:t>
      </w:r>
      <w:r w:rsidR="00F436F2" w:rsidRPr="000022B8">
        <w:rPr>
          <w:rFonts w:ascii="Times New Roman" w:hAnsi="Times New Roman"/>
          <w:sz w:val="24"/>
          <w:szCs w:val="24"/>
        </w:rPr>
        <w:t>.</w:t>
      </w:r>
      <w:r w:rsidR="00F436F2" w:rsidRPr="000022B8">
        <w:rPr>
          <w:rFonts w:ascii="Times New Roman" w:hAnsi="Times New Roman"/>
          <w:sz w:val="24"/>
          <w:szCs w:val="24"/>
        </w:rPr>
        <w:tab/>
      </w:r>
      <w:r w:rsidR="00F436F2" w:rsidRPr="002B6625">
        <w:rPr>
          <w:rFonts w:ascii="Times New Roman" w:hAnsi="Times New Roman"/>
          <w:sz w:val="24"/>
          <w:szCs w:val="24"/>
        </w:rPr>
        <w:t>In a</w:t>
      </w:r>
      <w:r w:rsidR="006E2417">
        <w:rPr>
          <w:rFonts w:ascii="Times New Roman" w:hAnsi="Times New Roman"/>
          <w:sz w:val="24"/>
          <w:szCs w:val="24"/>
        </w:rPr>
        <w:t>ccordance with the Agreement</w:t>
      </w:r>
      <w:r w:rsidR="005C7A87">
        <w:rPr>
          <w:rFonts w:ascii="Times New Roman" w:hAnsi="Times New Roman"/>
          <w:sz w:val="24"/>
          <w:szCs w:val="24"/>
        </w:rPr>
        <w:t>,</w:t>
      </w:r>
      <w:r w:rsidR="006E2417">
        <w:rPr>
          <w:rFonts w:ascii="Times New Roman" w:hAnsi="Times New Roman"/>
          <w:sz w:val="24"/>
          <w:szCs w:val="24"/>
        </w:rPr>
        <w:t xml:space="preserve"> t</w:t>
      </w:r>
      <w:r w:rsidR="00F436F2" w:rsidRPr="002B6625">
        <w:rPr>
          <w:rFonts w:ascii="Times New Roman" w:hAnsi="Times New Roman"/>
          <w:sz w:val="24"/>
          <w:szCs w:val="24"/>
        </w:rPr>
        <w:t>he Government of Indonesia will issue import permits, or equivalent instruments used for import authorisation, automatically and on an annual basis without seasonality for Australia</w:t>
      </w:r>
      <w:r w:rsidR="00B65B01">
        <w:rPr>
          <w:rFonts w:ascii="Times New Roman" w:hAnsi="Times New Roman"/>
          <w:sz w:val="24"/>
          <w:szCs w:val="24"/>
        </w:rPr>
        <w:t>n</w:t>
      </w:r>
      <w:r w:rsidR="00F436F2" w:rsidRPr="002B6625">
        <w:rPr>
          <w:rFonts w:ascii="Times New Roman" w:hAnsi="Times New Roman"/>
          <w:sz w:val="24"/>
          <w:szCs w:val="24"/>
        </w:rPr>
        <w:t xml:space="preserve"> exports to Indonesia of </w:t>
      </w:r>
      <w:r w:rsidR="00F436F2" w:rsidRPr="002B6625">
        <w:rPr>
          <w:rFonts w:ascii="Times New Roman" w:hAnsi="Times New Roman"/>
          <w:bCs/>
          <w:sz w:val="24"/>
          <w:szCs w:val="24"/>
        </w:rPr>
        <w:t>live female cattle (HS 0102.29.90), frozen beef (HS 0202.20.00) and sheep meat and goat meat (HS 0204.41.00; 0204.42.00; 0204.43.00; 0204.50.00) (“the Chapter Three Goods”)</w:t>
      </w:r>
      <w:r w:rsidR="00F700EF">
        <w:rPr>
          <w:rFonts w:ascii="Times New Roman" w:hAnsi="Times New Roman"/>
          <w:bCs/>
          <w:sz w:val="24"/>
          <w:szCs w:val="24"/>
        </w:rPr>
        <w:t>.</w:t>
      </w:r>
      <w:r w:rsidR="0038404F" w:rsidRPr="003234BE">
        <w:rPr>
          <w:rFonts w:ascii="Times New Roman" w:hAnsi="Times New Roman"/>
          <w:strike/>
          <w:sz w:val="24"/>
          <w:szCs w:val="24"/>
        </w:rPr>
        <w:t xml:space="preserve"> </w:t>
      </w:r>
    </w:p>
    <w:p w14:paraId="247BE64A" w14:textId="77777777" w:rsidR="00AD59DB" w:rsidRDefault="00AD59DB" w:rsidP="002B6625">
      <w:pPr>
        <w:spacing w:after="0" w:line="240" w:lineRule="auto"/>
        <w:rPr>
          <w:rFonts w:ascii="Times New Roman" w:hAnsi="Times New Roman"/>
          <w:sz w:val="24"/>
          <w:szCs w:val="24"/>
        </w:rPr>
      </w:pPr>
    </w:p>
    <w:p w14:paraId="403E652C" w14:textId="3B5E2634" w:rsidR="009F0DF4" w:rsidRDefault="00D63D48" w:rsidP="00E37A06">
      <w:pPr>
        <w:spacing w:after="0" w:line="240" w:lineRule="auto"/>
        <w:jc w:val="both"/>
        <w:rPr>
          <w:rFonts w:ascii="Times New Roman" w:hAnsi="Times New Roman"/>
          <w:sz w:val="24"/>
          <w:szCs w:val="24"/>
        </w:rPr>
      </w:pPr>
      <w:r>
        <w:rPr>
          <w:rFonts w:ascii="Times New Roman" w:hAnsi="Times New Roman"/>
          <w:sz w:val="24"/>
          <w:szCs w:val="24"/>
        </w:rPr>
        <w:t>3</w:t>
      </w:r>
      <w:r w:rsidR="000022B8">
        <w:rPr>
          <w:rFonts w:ascii="Times New Roman" w:hAnsi="Times New Roman"/>
          <w:sz w:val="24"/>
          <w:szCs w:val="24"/>
        </w:rPr>
        <w:t>0</w:t>
      </w:r>
      <w:r w:rsidR="00AD59DB">
        <w:rPr>
          <w:rFonts w:ascii="Times New Roman" w:hAnsi="Times New Roman"/>
          <w:sz w:val="24"/>
          <w:szCs w:val="24"/>
        </w:rPr>
        <w:t>.</w:t>
      </w:r>
      <w:r w:rsidR="00AD59DB">
        <w:rPr>
          <w:rFonts w:ascii="Times New Roman" w:hAnsi="Times New Roman"/>
          <w:sz w:val="24"/>
          <w:szCs w:val="24"/>
        </w:rPr>
        <w:tab/>
      </w:r>
      <w:r w:rsidR="003234BE">
        <w:rPr>
          <w:rFonts w:ascii="Times New Roman" w:hAnsi="Times New Roman"/>
          <w:sz w:val="24"/>
          <w:szCs w:val="24"/>
        </w:rPr>
        <w:t>I</w:t>
      </w:r>
      <w:r w:rsidR="00AD59DB">
        <w:rPr>
          <w:rFonts w:ascii="Times New Roman" w:hAnsi="Times New Roman"/>
          <w:sz w:val="24"/>
          <w:szCs w:val="24"/>
        </w:rPr>
        <w:t xml:space="preserve">n relation to the </w:t>
      </w:r>
      <w:r w:rsidR="00AD59DB" w:rsidRPr="00AD59DB">
        <w:rPr>
          <w:rFonts w:ascii="Times New Roman" w:hAnsi="Times New Roman"/>
          <w:sz w:val="24"/>
          <w:szCs w:val="24"/>
        </w:rPr>
        <w:t xml:space="preserve">Chapter </w:t>
      </w:r>
      <w:r w:rsidR="00B65B01">
        <w:rPr>
          <w:rFonts w:ascii="Times New Roman" w:hAnsi="Times New Roman"/>
          <w:sz w:val="24"/>
          <w:szCs w:val="24"/>
        </w:rPr>
        <w:t>Three</w:t>
      </w:r>
      <w:r w:rsidR="00AD59DB" w:rsidRPr="00AD59DB">
        <w:rPr>
          <w:rFonts w:ascii="Times New Roman" w:hAnsi="Times New Roman"/>
          <w:sz w:val="24"/>
          <w:szCs w:val="24"/>
        </w:rPr>
        <w:t xml:space="preserve"> Goods,</w:t>
      </w:r>
      <w:r w:rsidR="00AD59DB">
        <w:rPr>
          <w:rFonts w:ascii="Times New Roman" w:hAnsi="Times New Roman"/>
          <w:sz w:val="24"/>
          <w:szCs w:val="24"/>
        </w:rPr>
        <w:t xml:space="preserve"> the importer will receive electronic information from </w:t>
      </w:r>
      <w:r w:rsidR="00B65B01">
        <w:rPr>
          <w:rFonts w:ascii="Times New Roman" w:hAnsi="Times New Roman"/>
          <w:sz w:val="24"/>
          <w:szCs w:val="24"/>
        </w:rPr>
        <w:t xml:space="preserve">the </w:t>
      </w:r>
      <w:r w:rsidR="003234BE">
        <w:rPr>
          <w:rFonts w:ascii="Times New Roman" w:hAnsi="Times New Roman"/>
          <w:sz w:val="24"/>
          <w:szCs w:val="24"/>
        </w:rPr>
        <w:t>Government of Indonesia</w:t>
      </w:r>
      <w:r w:rsidR="00AD59DB">
        <w:rPr>
          <w:rFonts w:ascii="Times New Roman" w:hAnsi="Times New Roman"/>
          <w:sz w:val="24"/>
          <w:szCs w:val="24"/>
        </w:rPr>
        <w:t xml:space="preserve"> confirming that the </w:t>
      </w:r>
      <w:r w:rsidR="0059054C">
        <w:rPr>
          <w:rFonts w:ascii="Times New Roman" w:hAnsi="Times New Roman"/>
          <w:sz w:val="24"/>
          <w:szCs w:val="24"/>
        </w:rPr>
        <w:t xml:space="preserve">import </w:t>
      </w:r>
      <w:r w:rsidR="00AD59DB">
        <w:rPr>
          <w:rFonts w:ascii="Times New Roman" w:hAnsi="Times New Roman"/>
          <w:sz w:val="24"/>
          <w:szCs w:val="24"/>
        </w:rPr>
        <w:t>permit ha</w:t>
      </w:r>
      <w:r w:rsidR="003234BE">
        <w:rPr>
          <w:rFonts w:ascii="Times New Roman" w:hAnsi="Times New Roman"/>
          <w:sz w:val="24"/>
          <w:szCs w:val="24"/>
        </w:rPr>
        <w:t>s</w:t>
      </w:r>
      <w:r w:rsidR="00AD59DB">
        <w:rPr>
          <w:rFonts w:ascii="Times New Roman" w:hAnsi="Times New Roman"/>
          <w:sz w:val="24"/>
          <w:szCs w:val="24"/>
        </w:rPr>
        <w:t xml:space="preserve"> been issued. That information will be available on the </w:t>
      </w:r>
      <w:r w:rsidR="0059054C">
        <w:rPr>
          <w:rFonts w:ascii="Times New Roman" w:hAnsi="Times New Roman"/>
          <w:sz w:val="24"/>
          <w:szCs w:val="24"/>
        </w:rPr>
        <w:t>INSW</w:t>
      </w:r>
      <w:r w:rsidR="003234BE">
        <w:rPr>
          <w:rFonts w:ascii="Times New Roman" w:hAnsi="Times New Roman"/>
          <w:sz w:val="24"/>
          <w:szCs w:val="24"/>
        </w:rPr>
        <w:t>.</w:t>
      </w:r>
    </w:p>
    <w:p w14:paraId="34BC1CFB" w14:textId="77777777" w:rsidR="009F0DF4" w:rsidRDefault="009F0DF4" w:rsidP="002B6625">
      <w:pPr>
        <w:spacing w:after="0" w:line="240" w:lineRule="auto"/>
        <w:rPr>
          <w:rFonts w:ascii="Times New Roman" w:hAnsi="Times New Roman"/>
          <w:sz w:val="24"/>
          <w:szCs w:val="24"/>
        </w:rPr>
      </w:pPr>
    </w:p>
    <w:p w14:paraId="2FB0946A" w14:textId="25EC5F1A" w:rsidR="0038404F" w:rsidRPr="002B6625" w:rsidRDefault="000022B8" w:rsidP="00E37A06">
      <w:pPr>
        <w:spacing w:after="0" w:line="240" w:lineRule="auto"/>
        <w:jc w:val="both"/>
        <w:rPr>
          <w:rFonts w:ascii="Times New Roman" w:hAnsi="Times New Roman"/>
          <w:sz w:val="24"/>
          <w:szCs w:val="24"/>
        </w:rPr>
      </w:pPr>
      <w:r>
        <w:rPr>
          <w:rFonts w:ascii="Times New Roman" w:hAnsi="Times New Roman"/>
          <w:sz w:val="24"/>
          <w:szCs w:val="24"/>
        </w:rPr>
        <w:t>31</w:t>
      </w:r>
      <w:r w:rsidR="00304164" w:rsidRPr="002B6625">
        <w:rPr>
          <w:rFonts w:ascii="Times New Roman" w:hAnsi="Times New Roman"/>
          <w:sz w:val="24"/>
          <w:szCs w:val="24"/>
        </w:rPr>
        <w:t>.</w:t>
      </w:r>
      <w:r w:rsidR="00304164" w:rsidRPr="002B6625">
        <w:rPr>
          <w:rFonts w:ascii="Times New Roman" w:hAnsi="Times New Roman"/>
          <w:sz w:val="24"/>
          <w:szCs w:val="24"/>
        </w:rPr>
        <w:tab/>
        <w:t>The Government of Australia will provide support to the Government of Indonesia through the IA-CEPA Economic Cooperation program to assist Indonesia to implement its obligations regarding the TRQs and the Chapter Three Goods effectively.</w:t>
      </w:r>
    </w:p>
    <w:p w14:paraId="243A6812" w14:textId="77777777" w:rsidR="00830A34" w:rsidRPr="002B6625" w:rsidRDefault="00830A34" w:rsidP="002B6625">
      <w:pPr>
        <w:spacing w:after="0" w:line="240" w:lineRule="auto"/>
        <w:rPr>
          <w:rFonts w:ascii="Times New Roman" w:hAnsi="Times New Roman"/>
          <w:sz w:val="24"/>
          <w:szCs w:val="24"/>
        </w:rPr>
      </w:pPr>
    </w:p>
    <w:p w14:paraId="6FB751E7" w14:textId="11A35159" w:rsidR="00304164" w:rsidRPr="002B6625" w:rsidRDefault="00D63D48" w:rsidP="00E37A06">
      <w:pPr>
        <w:spacing w:after="0" w:line="240" w:lineRule="auto"/>
        <w:jc w:val="both"/>
        <w:rPr>
          <w:rFonts w:ascii="Times New Roman" w:hAnsi="Times New Roman"/>
          <w:sz w:val="24"/>
          <w:szCs w:val="24"/>
        </w:rPr>
      </w:pPr>
      <w:r>
        <w:rPr>
          <w:rFonts w:ascii="Times New Roman" w:hAnsi="Times New Roman"/>
          <w:sz w:val="24"/>
          <w:szCs w:val="24"/>
        </w:rPr>
        <w:t>3</w:t>
      </w:r>
      <w:r w:rsidR="00772DC4">
        <w:rPr>
          <w:rFonts w:ascii="Times New Roman" w:hAnsi="Times New Roman"/>
          <w:sz w:val="24"/>
          <w:szCs w:val="24"/>
        </w:rPr>
        <w:t>2</w:t>
      </w:r>
      <w:r w:rsidR="0025382A">
        <w:rPr>
          <w:rFonts w:ascii="Times New Roman" w:hAnsi="Times New Roman"/>
          <w:sz w:val="24"/>
          <w:szCs w:val="24"/>
        </w:rPr>
        <w:t>.</w:t>
      </w:r>
      <w:r w:rsidR="00304164" w:rsidRPr="002B6625">
        <w:rPr>
          <w:rFonts w:ascii="Times New Roman" w:hAnsi="Times New Roman"/>
          <w:sz w:val="24"/>
          <w:szCs w:val="24"/>
        </w:rPr>
        <w:tab/>
        <w:t xml:space="preserve">The Parties confirm that starting in Year 16 of the Agreement, carrots (0706.10.10) will be subject to the processes outlined for Chapter </w:t>
      </w:r>
      <w:r w:rsidR="00DB051B">
        <w:rPr>
          <w:rFonts w:ascii="Times New Roman" w:hAnsi="Times New Roman"/>
          <w:sz w:val="24"/>
          <w:szCs w:val="24"/>
        </w:rPr>
        <w:t>3</w:t>
      </w:r>
      <w:r w:rsidR="00304164" w:rsidRPr="002B6625">
        <w:rPr>
          <w:rFonts w:ascii="Times New Roman" w:hAnsi="Times New Roman"/>
          <w:sz w:val="24"/>
          <w:szCs w:val="24"/>
        </w:rPr>
        <w:t xml:space="preserve"> Goods in these Operational Procedures.</w:t>
      </w:r>
    </w:p>
    <w:p w14:paraId="66CE032D" w14:textId="77777777" w:rsidR="00304164" w:rsidRPr="002B6625" w:rsidRDefault="00304164" w:rsidP="002B6625">
      <w:pPr>
        <w:spacing w:after="0" w:line="240" w:lineRule="auto"/>
        <w:rPr>
          <w:rFonts w:ascii="Times New Roman" w:hAnsi="Times New Roman"/>
          <w:sz w:val="24"/>
          <w:szCs w:val="24"/>
        </w:rPr>
      </w:pPr>
    </w:p>
    <w:p w14:paraId="085CC3B9" w14:textId="41747C34" w:rsidR="00304164" w:rsidRPr="002B6625" w:rsidRDefault="00772DC4" w:rsidP="00E37A06">
      <w:pPr>
        <w:spacing w:after="0" w:line="240" w:lineRule="auto"/>
        <w:jc w:val="both"/>
        <w:rPr>
          <w:rFonts w:ascii="Times New Roman" w:hAnsi="Times New Roman"/>
          <w:sz w:val="24"/>
          <w:szCs w:val="24"/>
        </w:rPr>
      </w:pPr>
      <w:r>
        <w:rPr>
          <w:rFonts w:ascii="Times New Roman" w:hAnsi="Times New Roman"/>
          <w:sz w:val="24"/>
          <w:szCs w:val="24"/>
        </w:rPr>
        <w:t>33</w:t>
      </w:r>
      <w:r w:rsidR="00DB051B" w:rsidRPr="006536CB">
        <w:rPr>
          <w:rFonts w:ascii="Times New Roman" w:hAnsi="Times New Roman"/>
          <w:sz w:val="24"/>
          <w:szCs w:val="24"/>
        </w:rPr>
        <w:t>.</w:t>
      </w:r>
      <w:r w:rsidR="00304164" w:rsidRPr="002B6625">
        <w:rPr>
          <w:rFonts w:ascii="Times New Roman" w:hAnsi="Times New Roman"/>
          <w:sz w:val="24"/>
          <w:szCs w:val="24"/>
        </w:rPr>
        <w:tab/>
        <w:t xml:space="preserve">The Parties confirm that starting in Year 21 of the Agreement, mandarins (0805.21.00), Clementines (0805.22.00) and Wilkings and similar citrus hybrids (0805.29.00) will be subject to the processes outlined for Chapter </w:t>
      </w:r>
      <w:r w:rsidR="00DB051B">
        <w:rPr>
          <w:rFonts w:ascii="Times New Roman" w:hAnsi="Times New Roman"/>
          <w:sz w:val="24"/>
          <w:szCs w:val="24"/>
        </w:rPr>
        <w:t>3</w:t>
      </w:r>
      <w:r w:rsidR="00304164" w:rsidRPr="002B6625">
        <w:rPr>
          <w:rFonts w:ascii="Times New Roman" w:hAnsi="Times New Roman"/>
          <w:sz w:val="24"/>
          <w:szCs w:val="24"/>
        </w:rPr>
        <w:t xml:space="preserve"> Goods in these Operational Procedures.</w:t>
      </w:r>
    </w:p>
    <w:p w14:paraId="69CD32AC" w14:textId="77777777" w:rsidR="00304164" w:rsidRPr="002B6625" w:rsidRDefault="00304164" w:rsidP="002B6625">
      <w:pPr>
        <w:spacing w:after="0" w:line="240" w:lineRule="auto"/>
        <w:rPr>
          <w:rFonts w:ascii="Times New Roman" w:hAnsi="Times New Roman"/>
          <w:sz w:val="24"/>
          <w:szCs w:val="24"/>
        </w:rPr>
      </w:pPr>
    </w:p>
    <w:p w14:paraId="001DDF9B" w14:textId="2CCDAB90" w:rsidR="0038404F" w:rsidRPr="002B6625" w:rsidRDefault="00772DC4" w:rsidP="00E37A06">
      <w:pPr>
        <w:spacing w:after="0" w:line="240" w:lineRule="auto"/>
        <w:jc w:val="both"/>
        <w:rPr>
          <w:rFonts w:ascii="Times New Roman" w:hAnsi="Times New Roman"/>
          <w:sz w:val="24"/>
          <w:szCs w:val="24"/>
        </w:rPr>
      </w:pPr>
      <w:r>
        <w:rPr>
          <w:rFonts w:ascii="Times New Roman" w:hAnsi="Times New Roman"/>
          <w:bCs/>
          <w:sz w:val="24"/>
          <w:szCs w:val="24"/>
        </w:rPr>
        <w:t>34</w:t>
      </w:r>
      <w:r w:rsidR="0038404F" w:rsidRPr="002B6625">
        <w:rPr>
          <w:rFonts w:ascii="Times New Roman" w:hAnsi="Times New Roman"/>
          <w:bCs/>
          <w:sz w:val="24"/>
          <w:szCs w:val="24"/>
        </w:rPr>
        <w:t>.</w:t>
      </w:r>
      <w:r w:rsidR="0038404F" w:rsidRPr="002B6625">
        <w:rPr>
          <w:rFonts w:ascii="Times New Roman" w:hAnsi="Times New Roman"/>
          <w:bCs/>
          <w:sz w:val="24"/>
          <w:szCs w:val="24"/>
        </w:rPr>
        <w:tab/>
        <w:t xml:space="preserve">The parties confirm that the processes outlined in these Operational Procedures for TRQ goods will also apply to goods of the same HS Code arriving in the same shipment that are out of quota. </w:t>
      </w:r>
      <w:r w:rsidR="0038404F" w:rsidRPr="002B6625">
        <w:rPr>
          <w:rFonts w:ascii="Times New Roman" w:hAnsi="Times New Roman"/>
          <w:sz w:val="24"/>
          <w:szCs w:val="24"/>
        </w:rPr>
        <w:t xml:space="preserve">In accordance with </w:t>
      </w:r>
      <w:r w:rsidR="0038404F" w:rsidRPr="002B6625">
        <w:rPr>
          <w:rFonts w:ascii="Times New Roman" w:hAnsi="Times New Roman"/>
          <w:i/>
          <w:sz w:val="24"/>
          <w:szCs w:val="24"/>
        </w:rPr>
        <w:t>Appendix 2-A.1 (Tariff Rate Quotas)</w:t>
      </w:r>
      <w:r w:rsidR="0038404F" w:rsidRPr="002B6625">
        <w:rPr>
          <w:rFonts w:ascii="Times New Roman" w:hAnsi="Times New Roman"/>
          <w:sz w:val="24"/>
          <w:szCs w:val="24"/>
        </w:rPr>
        <w:t xml:space="preserve"> and for the avoidance of doubt, where the TRQ for a product is filled, additional product beyond the TRQ volume may enter Indonesia upon payment of the out-of-quota tariff.</w:t>
      </w:r>
    </w:p>
    <w:p w14:paraId="1517FF19" w14:textId="60064C02" w:rsidR="00667469" w:rsidRDefault="00667469" w:rsidP="002B6625">
      <w:pPr>
        <w:spacing w:after="0" w:line="240" w:lineRule="auto"/>
        <w:rPr>
          <w:rFonts w:ascii="Times New Roman" w:hAnsi="Times New Roman"/>
          <w:sz w:val="24"/>
          <w:szCs w:val="24"/>
        </w:rPr>
      </w:pPr>
    </w:p>
    <w:p w14:paraId="41075F52" w14:textId="7AB2AE2F" w:rsidR="00F310DC" w:rsidRPr="002B6625" w:rsidRDefault="00F310DC" w:rsidP="00F310DC">
      <w:pPr>
        <w:rPr>
          <w:rFonts w:ascii="Times New Roman" w:hAnsi="Times New Roman"/>
          <w:sz w:val="24"/>
          <w:szCs w:val="24"/>
        </w:rPr>
      </w:pPr>
      <w:r>
        <w:rPr>
          <w:rFonts w:ascii="Times New Roman" w:hAnsi="Times New Roman"/>
          <w:sz w:val="24"/>
          <w:szCs w:val="24"/>
        </w:rPr>
        <w:br w:type="page"/>
      </w:r>
    </w:p>
    <w:p w14:paraId="6BE50F2C" w14:textId="342DDEFD" w:rsidR="00F674CB" w:rsidRDefault="00772DC4" w:rsidP="00531AD3">
      <w:pPr>
        <w:spacing w:after="0" w:line="240" w:lineRule="auto"/>
        <w:jc w:val="both"/>
        <w:rPr>
          <w:rFonts w:ascii="Times New Roman" w:hAnsi="Times New Roman"/>
          <w:bCs/>
          <w:sz w:val="24"/>
          <w:szCs w:val="24"/>
        </w:rPr>
      </w:pPr>
      <w:r>
        <w:rPr>
          <w:rFonts w:ascii="Times New Roman" w:hAnsi="Times New Roman"/>
          <w:sz w:val="24"/>
          <w:szCs w:val="24"/>
        </w:rPr>
        <w:lastRenderedPageBreak/>
        <w:t>35</w:t>
      </w:r>
      <w:r w:rsidR="00F674CB" w:rsidRPr="002B6625">
        <w:rPr>
          <w:rFonts w:ascii="Times New Roman" w:hAnsi="Times New Roman"/>
          <w:sz w:val="24"/>
          <w:szCs w:val="24"/>
        </w:rPr>
        <w:t>.</w:t>
      </w:r>
      <w:r w:rsidR="00F674CB" w:rsidRPr="002B6625">
        <w:rPr>
          <w:rFonts w:ascii="Times New Roman" w:hAnsi="Times New Roman"/>
          <w:bCs/>
          <w:sz w:val="24"/>
          <w:szCs w:val="24"/>
        </w:rPr>
        <w:t xml:space="preserve"> </w:t>
      </w:r>
      <w:r w:rsidR="00E01E3B">
        <w:rPr>
          <w:rFonts w:ascii="Times New Roman" w:hAnsi="Times New Roman"/>
          <w:bCs/>
          <w:sz w:val="24"/>
          <w:szCs w:val="24"/>
        </w:rPr>
        <w:tab/>
      </w:r>
      <w:r w:rsidR="00F674CB" w:rsidRPr="002B6625">
        <w:rPr>
          <w:rFonts w:ascii="Times New Roman" w:hAnsi="Times New Roman"/>
          <w:bCs/>
          <w:sz w:val="24"/>
          <w:szCs w:val="24"/>
        </w:rPr>
        <w:t>The Parties confirm that, should a review of this Agreement</w:t>
      </w:r>
      <w:r w:rsidR="007526D5">
        <w:rPr>
          <w:rFonts w:ascii="Times New Roman" w:hAnsi="Times New Roman"/>
          <w:bCs/>
          <w:sz w:val="24"/>
          <w:szCs w:val="24"/>
        </w:rPr>
        <w:t xml:space="preserve"> </w:t>
      </w:r>
      <w:r w:rsidR="00F674CB" w:rsidRPr="002B6625">
        <w:rPr>
          <w:rFonts w:ascii="Times New Roman" w:hAnsi="Times New Roman"/>
          <w:bCs/>
          <w:sz w:val="24"/>
          <w:szCs w:val="24"/>
        </w:rPr>
        <w:t xml:space="preserve">conducted in accordance with </w:t>
      </w:r>
      <w:r w:rsidR="00F674CB" w:rsidRPr="002B6625">
        <w:rPr>
          <w:rFonts w:ascii="Times New Roman" w:hAnsi="Times New Roman"/>
          <w:i/>
          <w:sz w:val="24"/>
          <w:szCs w:val="24"/>
        </w:rPr>
        <w:t>Appendix 2-A.1 (Tariff Rate Quotas)</w:t>
      </w:r>
      <w:r w:rsidR="00F674CB" w:rsidRPr="002B6625">
        <w:rPr>
          <w:rFonts w:ascii="Times New Roman" w:hAnsi="Times New Roman"/>
          <w:sz w:val="24"/>
          <w:szCs w:val="24"/>
        </w:rPr>
        <w:t xml:space="preserve"> or </w:t>
      </w:r>
      <w:r w:rsidR="00F674CB" w:rsidRPr="002B6625">
        <w:rPr>
          <w:rFonts w:ascii="Times New Roman" w:hAnsi="Times New Roman"/>
          <w:bCs/>
          <w:i/>
          <w:sz w:val="24"/>
          <w:szCs w:val="24"/>
        </w:rPr>
        <w:t>Article 21.5 (General Review of the Agreement)</w:t>
      </w:r>
      <w:r w:rsidR="00F674CB" w:rsidRPr="002B6625">
        <w:rPr>
          <w:rFonts w:ascii="Times New Roman" w:hAnsi="Times New Roman"/>
          <w:bCs/>
          <w:sz w:val="24"/>
          <w:szCs w:val="24"/>
        </w:rPr>
        <w:t xml:space="preserve"> of Chapter 21 (Final Provisions) result in the removal of the imposition of a TRQ on a good, that good will be subject to the processes outlined for Chapter Three Goods in these Operational Procedures.</w:t>
      </w:r>
    </w:p>
    <w:p w14:paraId="5B9FF9C6" w14:textId="77777777" w:rsidR="006B4B7E" w:rsidRDefault="006B4B7E" w:rsidP="00E37A06">
      <w:pPr>
        <w:spacing w:after="0" w:line="240" w:lineRule="auto"/>
        <w:jc w:val="both"/>
        <w:rPr>
          <w:rFonts w:ascii="Times New Roman" w:hAnsi="Times New Roman"/>
          <w:bCs/>
          <w:strike/>
          <w:color w:val="00B050"/>
          <w:sz w:val="24"/>
          <w:szCs w:val="24"/>
        </w:rPr>
      </w:pPr>
    </w:p>
    <w:p w14:paraId="1F819E6F" w14:textId="28FA9DF2" w:rsidR="001C4F2A" w:rsidRPr="00F310DC" w:rsidRDefault="00772DC4" w:rsidP="00F310DC">
      <w:pPr>
        <w:spacing w:after="0" w:line="240" w:lineRule="auto"/>
        <w:jc w:val="both"/>
        <w:rPr>
          <w:rFonts w:ascii="Times New Roman" w:hAnsi="Times New Roman"/>
          <w:bCs/>
          <w:sz w:val="24"/>
          <w:szCs w:val="24"/>
        </w:rPr>
      </w:pPr>
      <w:r w:rsidRPr="00531AD3">
        <w:rPr>
          <w:rFonts w:ascii="Times New Roman" w:hAnsi="Times New Roman"/>
          <w:bCs/>
          <w:sz w:val="24"/>
          <w:szCs w:val="24"/>
        </w:rPr>
        <w:t>3</w:t>
      </w:r>
      <w:r>
        <w:rPr>
          <w:rFonts w:ascii="Times New Roman" w:hAnsi="Times New Roman"/>
          <w:bCs/>
          <w:sz w:val="24"/>
          <w:szCs w:val="24"/>
        </w:rPr>
        <w:t>6</w:t>
      </w:r>
      <w:r w:rsidR="006B4B7E" w:rsidRPr="00531AD3">
        <w:rPr>
          <w:rFonts w:ascii="Times New Roman" w:hAnsi="Times New Roman"/>
          <w:bCs/>
          <w:sz w:val="24"/>
          <w:szCs w:val="24"/>
        </w:rPr>
        <w:t>.</w:t>
      </w:r>
      <w:r w:rsidR="006B4B7E">
        <w:rPr>
          <w:rFonts w:ascii="Times New Roman" w:hAnsi="Times New Roman"/>
          <w:bCs/>
          <w:color w:val="00B050"/>
          <w:sz w:val="24"/>
          <w:szCs w:val="24"/>
        </w:rPr>
        <w:tab/>
      </w:r>
      <w:r w:rsidR="006B4B7E" w:rsidRPr="00B86323">
        <w:rPr>
          <w:rFonts w:ascii="Times New Roman" w:hAnsi="Times New Roman"/>
          <w:bCs/>
          <w:sz w:val="24"/>
          <w:szCs w:val="24"/>
        </w:rPr>
        <w:t xml:space="preserve">The Parties confirm their shared </w:t>
      </w:r>
      <w:r w:rsidR="006B4B7E">
        <w:rPr>
          <w:rFonts w:ascii="Times New Roman" w:hAnsi="Times New Roman"/>
          <w:bCs/>
          <w:sz w:val="24"/>
          <w:szCs w:val="24"/>
        </w:rPr>
        <w:t xml:space="preserve">understanding that, for the purposes of </w:t>
      </w:r>
      <w:r w:rsidR="006B4B7E" w:rsidRPr="006B4B7E">
        <w:rPr>
          <w:rFonts w:ascii="Times New Roman" w:hAnsi="Times New Roman"/>
          <w:bCs/>
          <w:i/>
          <w:sz w:val="24"/>
          <w:szCs w:val="24"/>
        </w:rPr>
        <w:t>Appendix 2</w:t>
      </w:r>
      <w:r w:rsidR="00CC3AB4">
        <w:rPr>
          <w:rFonts w:ascii="Times New Roman" w:hAnsi="Times New Roman"/>
          <w:bCs/>
          <w:i/>
          <w:sz w:val="24"/>
          <w:szCs w:val="24"/>
        </w:rPr>
        <w:t>-</w:t>
      </w:r>
      <w:r w:rsidR="006B4B7E" w:rsidRPr="006B4B7E">
        <w:rPr>
          <w:rFonts w:ascii="Times New Roman" w:hAnsi="Times New Roman"/>
          <w:bCs/>
          <w:i/>
          <w:sz w:val="24"/>
          <w:szCs w:val="24"/>
        </w:rPr>
        <w:t>A.1</w:t>
      </w:r>
      <w:r w:rsidR="006B4B7E">
        <w:rPr>
          <w:rFonts w:ascii="Times New Roman" w:hAnsi="Times New Roman"/>
          <w:bCs/>
          <w:sz w:val="24"/>
          <w:szCs w:val="24"/>
        </w:rPr>
        <w:t xml:space="preserve"> </w:t>
      </w:r>
      <w:r w:rsidR="006B4B7E" w:rsidRPr="001C4F2A">
        <w:rPr>
          <w:rFonts w:ascii="Times New Roman" w:hAnsi="Times New Roman"/>
          <w:bCs/>
          <w:i/>
          <w:sz w:val="24"/>
          <w:szCs w:val="24"/>
        </w:rPr>
        <w:t>(Tariff Rate Quotas)</w:t>
      </w:r>
      <w:r w:rsidR="006B4B7E">
        <w:rPr>
          <w:rFonts w:ascii="Times New Roman" w:hAnsi="Times New Roman"/>
          <w:bCs/>
          <w:i/>
          <w:sz w:val="24"/>
          <w:szCs w:val="24"/>
        </w:rPr>
        <w:t xml:space="preserve"> </w:t>
      </w:r>
      <w:r w:rsidR="006B4B7E">
        <w:rPr>
          <w:rFonts w:ascii="Times New Roman" w:hAnsi="Times New Roman"/>
          <w:bCs/>
          <w:sz w:val="24"/>
          <w:szCs w:val="24"/>
        </w:rPr>
        <w:t xml:space="preserve">and </w:t>
      </w:r>
      <w:r w:rsidR="006B4B7E" w:rsidRPr="006B4B7E">
        <w:rPr>
          <w:rFonts w:ascii="Times New Roman" w:hAnsi="Times New Roman"/>
          <w:bCs/>
          <w:i/>
          <w:sz w:val="24"/>
          <w:szCs w:val="24"/>
        </w:rPr>
        <w:t>Chapter Three (Non-Tariff Measures)</w:t>
      </w:r>
      <w:r w:rsidR="006B4B7E" w:rsidRPr="006B4B7E">
        <w:rPr>
          <w:rFonts w:ascii="Times New Roman" w:hAnsi="Times New Roman"/>
          <w:bCs/>
          <w:sz w:val="24"/>
          <w:szCs w:val="24"/>
        </w:rPr>
        <w:t>, the word “piece”</w:t>
      </w:r>
      <w:r w:rsidR="006B4B7E">
        <w:rPr>
          <w:rFonts w:ascii="Times New Roman" w:hAnsi="Times New Roman"/>
          <w:bCs/>
          <w:i/>
          <w:sz w:val="24"/>
          <w:szCs w:val="24"/>
        </w:rPr>
        <w:t xml:space="preserve"> </w:t>
      </w:r>
      <w:r w:rsidR="006B4B7E">
        <w:rPr>
          <w:rFonts w:ascii="Times New Roman" w:hAnsi="Times New Roman"/>
          <w:bCs/>
          <w:sz w:val="24"/>
          <w:szCs w:val="24"/>
        </w:rPr>
        <w:t>may be used as the unit of measurement</w:t>
      </w:r>
      <w:r w:rsidR="003C6C57">
        <w:rPr>
          <w:rFonts w:ascii="Times New Roman" w:hAnsi="Times New Roman"/>
          <w:bCs/>
          <w:sz w:val="24"/>
          <w:szCs w:val="24"/>
        </w:rPr>
        <w:t xml:space="preserve"> for </w:t>
      </w:r>
      <w:r w:rsidR="003C6C57" w:rsidRPr="003C6C57">
        <w:rPr>
          <w:rFonts w:ascii="Times New Roman" w:hAnsi="Times New Roman"/>
          <w:bCs/>
          <w:sz w:val="24"/>
          <w:szCs w:val="24"/>
        </w:rPr>
        <w:t>HS 0102.29.90</w:t>
      </w:r>
      <w:r w:rsidR="003C6C57">
        <w:rPr>
          <w:rFonts w:ascii="Times New Roman" w:hAnsi="Times New Roman"/>
          <w:bCs/>
          <w:sz w:val="24"/>
          <w:szCs w:val="24"/>
        </w:rPr>
        <w:t xml:space="preserve"> and HS </w:t>
      </w:r>
      <w:r w:rsidR="003C6C57" w:rsidRPr="003C6C57">
        <w:rPr>
          <w:rFonts w:ascii="Times New Roman" w:hAnsi="Times New Roman"/>
          <w:bCs/>
          <w:sz w:val="24"/>
          <w:szCs w:val="24"/>
        </w:rPr>
        <w:t>0102.29.19</w:t>
      </w:r>
      <w:r w:rsidR="003C6C57">
        <w:rPr>
          <w:rFonts w:ascii="Times New Roman" w:hAnsi="Times New Roman"/>
          <w:bCs/>
          <w:sz w:val="24"/>
          <w:szCs w:val="24"/>
        </w:rPr>
        <w:t xml:space="preserve">, instead of “unit” or “head”. </w:t>
      </w:r>
      <w:r w:rsidR="008E6024">
        <w:rPr>
          <w:rFonts w:ascii="Times New Roman" w:hAnsi="Times New Roman"/>
          <w:bCs/>
          <w:sz w:val="24"/>
          <w:szCs w:val="24"/>
        </w:rPr>
        <w:t xml:space="preserve">The PDF document issued to the exporter will use the word “piece”. </w:t>
      </w:r>
    </w:p>
    <w:p w14:paraId="15044B6B" w14:textId="5C111EF7" w:rsidR="00C63F7E" w:rsidRPr="00842EFA" w:rsidRDefault="00C63F7E" w:rsidP="004B53BF">
      <w:pPr>
        <w:pStyle w:val="Heading2"/>
      </w:pPr>
      <w:r w:rsidRPr="00DF33E0">
        <w:t>Committee on Trade in Goods:</w:t>
      </w:r>
    </w:p>
    <w:p w14:paraId="60CE089C" w14:textId="29E2C7E8" w:rsidR="00C63F7E" w:rsidRPr="002B6625" w:rsidRDefault="00772DC4" w:rsidP="004D0885">
      <w:pPr>
        <w:spacing w:after="0" w:line="240" w:lineRule="auto"/>
        <w:jc w:val="both"/>
        <w:rPr>
          <w:rFonts w:ascii="Times New Roman" w:hAnsi="Times New Roman"/>
          <w:bCs/>
          <w:sz w:val="24"/>
          <w:szCs w:val="24"/>
        </w:rPr>
      </w:pPr>
      <w:r>
        <w:rPr>
          <w:rFonts w:ascii="Times New Roman" w:hAnsi="Times New Roman"/>
          <w:sz w:val="24"/>
          <w:szCs w:val="24"/>
        </w:rPr>
        <w:t>37</w:t>
      </w:r>
      <w:r w:rsidR="00C63F7E" w:rsidRPr="002B6625">
        <w:rPr>
          <w:rFonts w:ascii="Times New Roman" w:hAnsi="Times New Roman"/>
          <w:sz w:val="24"/>
          <w:szCs w:val="24"/>
        </w:rPr>
        <w:t>.</w:t>
      </w:r>
      <w:r w:rsidR="00C63F7E" w:rsidRPr="002B6625">
        <w:rPr>
          <w:rFonts w:ascii="Times New Roman" w:hAnsi="Times New Roman"/>
          <w:sz w:val="24"/>
          <w:szCs w:val="24"/>
        </w:rPr>
        <w:tab/>
        <w:t xml:space="preserve"> </w:t>
      </w:r>
      <w:r w:rsidR="00C63F7E" w:rsidRPr="002B6625">
        <w:rPr>
          <w:rFonts w:ascii="Times New Roman" w:hAnsi="Times New Roman"/>
          <w:bCs/>
          <w:sz w:val="24"/>
          <w:szCs w:val="24"/>
        </w:rPr>
        <w:t>If any matter arises with respect to the administration of TRQs or Chapter Three Goods under these Operational Procedures, a Party may make a written request to the other Party to hold a meeting of the Committee on</w:t>
      </w:r>
      <w:r w:rsidR="00C63F7E" w:rsidRPr="002B6625">
        <w:rPr>
          <w:rFonts w:ascii="Times New Roman" w:hAnsi="Times New Roman"/>
          <w:sz w:val="24"/>
          <w:szCs w:val="24"/>
        </w:rPr>
        <w:t xml:space="preserve"> Trade in Goods (</w:t>
      </w:r>
      <w:r w:rsidR="00C63F7E" w:rsidRPr="002B6625">
        <w:rPr>
          <w:rFonts w:ascii="Times New Roman" w:hAnsi="Times New Roman"/>
          <w:bCs/>
          <w:i/>
          <w:sz w:val="24"/>
          <w:szCs w:val="24"/>
        </w:rPr>
        <w:t>Article 2.11 (Committee on Trade in Goods)</w:t>
      </w:r>
      <w:r w:rsidR="00C63F7E" w:rsidRPr="002B6625">
        <w:rPr>
          <w:rFonts w:ascii="Times New Roman" w:hAnsi="Times New Roman"/>
          <w:bCs/>
          <w:sz w:val="24"/>
          <w:szCs w:val="24"/>
        </w:rPr>
        <w:t>).</w:t>
      </w:r>
    </w:p>
    <w:p w14:paraId="5B2D201D" w14:textId="77777777" w:rsidR="00C63F7E" w:rsidRPr="002B6625" w:rsidRDefault="00C63F7E" w:rsidP="002B6625">
      <w:pPr>
        <w:spacing w:after="0" w:line="240" w:lineRule="auto"/>
        <w:rPr>
          <w:rFonts w:ascii="Times New Roman" w:hAnsi="Times New Roman"/>
          <w:bCs/>
          <w:sz w:val="24"/>
          <w:szCs w:val="24"/>
        </w:rPr>
      </w:pPr>
    </w:p>
    <w:p w14:paraId="6D35D166" w14:textId="7C1BDDBA" w:rsidR="00C63F7E" w:rsidRPr="002B6625" w:rsidRDefault="00772DC4" w:rsidP="004D0885">
      <w:pPr>
        <w:spacing w:after="0" w:line="240" w:lineRule="auto"/>
        <w:jc w:val="both"/>
        <w:rPr>
          <w:rFonts w:ascii="Times New Roman" w:hAnsi="Times New Roman"/>
          <w:bCs/>
          <w:sz w:val="24"/>
          <w:szCs w:val="24"/>
        </w:rPr>
      </w:pPr>
      <w:r>
        <w:rPr>
          <w:rFonts w:ascii="Times New Roman" w:hAnsi="Times New Roman"/>
          <w:bCs/>
          <w:sz w:val="24"/>
          <w:szCs w:val="24"/>
        </w:rPr>
        <w:t>38</w:t>
      </w:r>
      <w:r w:rsidR="00C63F7E" w:rsidRPr="002B6625">
        <w:rPr>
          <w:rFonts w:ascii="Times New Roman" w:hAnsi="Times New Roman"/>
          <w:bCs/>
          <w:sz w:val="24"/>
          <w:szCs w:val="24"/>
        </w:rPr>
        <w:t>.</w:t>
      </w:r>
      <w:r w:rsidR="00C63F7E" w:rsidRPr="002B6625">
        <w:rPr>
          <w:rFonts w:ascii="Times New Roman" w:hAnsi="Times New Roman"/>
          <w:bCs/>
          <w:sz w:val="24"/>
          <w:szCs w:val="24"/>
        </w:rPr>
        <w:tab/>
        <w:t>These Operational Procedures may be modified by a decision of the Committee on Trade in Goods or from time to time as agreed between the Parties.</w:t>
      </w:r>
    </w:p>
    <w:p w14:paraId="44AF203A" w14:textId="77777777" w:rsidR="00C63F7E" w:rsidRPr="002B6625" w:rsidRDefault="00C63F7E" w:rsidP="002B6625">
      <w:pPr>
        <w:spacing w:after="0" w:line="240" w:lineRule="auto"/>
        <w:rPr>
          <w:rFonts w:ascii="Times New Roman" w:hAnsi="Times New Roman"/>
          <w:sz w:val="24"/>
          <w:szCs w:val="24"/>
        </w:rPr>
      </w:pPr>
    </w:p>
    <w:p w14:paraId="3ED824B6" w14:textId="0505A375" w:rsidR="00C63F7E" w:rsidRPr="00F310DC" w:rsidRDefault="00772DC4" w:rsidP="00F310DC">
      <w:pPr>
        <w:spacing w:after="0" w:line="240" w:lineRule="auto"/>
        <w:jc w:val="both"/>
        <w:rPr>
          <w:rFonts w:ascii="Times New Roman" w:hAnsi="Times New Roman"/>
          <w:bCs/>
          <w:sz w:val="24"/>
          <w:szCs w:val="24"/>
        </w:rPr>
      </w:pPr>
      <w:r>
        <w:rPr>
          <w:rFonts w:ascii="Times New Roman" w:hAnsi="Times New Roman"/>
          <w:bCs/>
          <w:sz w:val="24"/>
          <w:szCs w:val="24"/>
        </w:rPr>
        <w:t>39</w:t>
      </w:r>
      <w:r w:rsidR="00C63F7E" w:rsidRPr="002B6625">
        <w:rPr>
          <w:rFonts w:ascii="Times New Roman" w:hAnsi="Times New Roman"/>
          <w:bCs/>
          <w:sz w:val="24"/>
          <w:szCs w:val="24"/>
        </w:rPr>
        <w:t>.</w:t>
      </w:r>
      <w:r w:rsidR="00C63F7E" w:rsidRPr="002B6625">
        <w:rPr>
          <w:rFonts w:ascii="Times New Roman" w:hAnsi="Times New Roman"/>
          <w:bCs/>
          <w:sz w:val="24"/>
          <w:szCs w:val="24"/>
        </w:rPr>
        <w:tab/>
        <w:t>The Parties will consider whether to incorporate these Operational Procedures into the text of the Agreement at the first meeting of the Committee on Trade in Goods</w:t>
      </w:r>
      <w:r w:rsidR="00C63F7E" w:rsidRPr="002B6625">
        <w:rPr>
          <w:rFonts w:ascii="Times New Roman" w:hAnsi="Times New Roman"/>
          <w:b/>
          <w:bCs/>
          <w:sz w:val="24"/>
          <w:szCs w:val="24"/>
        </w:rPr>
        <w:t xml:space="preserve">. </w:t>
      </w:r>
    </w:p>
    <w:p w14:paraId="3209224D" w14:textId="68271657" w:rsidR="002B6625" w:rsidRPr="00842EFA" w:rsidRDefault="00C63F7E" w:rsidP="004B53BF">
      <w:pPr>
        <w:pStyle w:val="Heading2"/>
      </w:pPr>
      <w:r w:rsidRPr="002B6625">
        <w:t>Publication of Operational Procedures</w:t>
      </w:r>
    </w:p>
    <w:p w14:paraId="11F43314" w14:textId="77C2F359" w:rsidR="00FD658B" w:rsidRPr="00F310DC" w:rsidRDefault="00D63D48" w:rsidP="00F310DC">
      <w:pPr>
        <w:spacing w:after="0" w:line="240" w:lineRule="auto"/>
        <w:jc w:val="both"/>
        <w:rPr>
          <w:rFonts w:ascii="Times New Roman" w:hAnsi="Times New Roman"/>
          <w:sz w:val="24"/>
          <w:szCs w:val="24"/>
        </w:rPr>
      </w:pPr>
      <w:r>
        <w:rPr>
          <w:rFonts w:ascii="Times New Roman" w:hAnsi="Times New Roman"/>
          <w:sz w:val="24"/>
          <w:szCs w:val="24"/>
        </w:rPr>
        <w:t>4</w:t>
      </w:r>
      <w:r w:rsidR="00772DC4">
        <w:rPr>
          <w:rFonts w:ascii="Times New Roman" w:hAnsi="Times New Roman"/>
          <w:sz w:val="24"/>
          <w:szCs w:val="24"/>
        </w:rPr>
        <w:t>0</w:t>
      </w:r>
      <w:r w:rsidR="00E01E3B">
        <w:rPr>
          <w:rFonts w:ascii="Times New Roman" w:hAnsi="Times New Roman"/>
          <w:sz w:val="24"/>
          <w:szCs w:val="24"/>
        </w:rPr>
        <w:t>.</w:t>
      </w:r>
      <w:r w:rsidR="002B6625" w:rsidRPr="002B6625">
        <w:rPr>
          <w:rFonts w:ascii="Times New Roman" w:hAnsi="Times New Roman"/>
          <w:sz w:val="24"/>
          <w:szCs w:val="24"/>
        </w:rPr>
        <w:tab/>
        <w:t>The Parties agree to the publication of these Operational Procedures in accordance with Article 6.4 (Publication and Enquiry Points) of the Agreement.</w:t>
      </w:r>
    </w:p>
    <w:p w14:paraId="622BF4CC" w14:textId="2366DBCD" w:rsidR="00E01E3B" w:rsidRPr="00842EFA" w:rsidRDefault="002B6625" w:rsidP="004B53BF">
      <w:pPr>
        <w:pStyle w:val="Heading2"/>
      </w:pPr>
      <w:r w:rsidRPr="002B6625">
        <w:t>Contact Points:</w:t>
      </w:r>
    </w:p>
    <w:p w14:paraId="4B5B3078" w14:textId="44439347" w:rsidR="002B6625" w:rsidRDefault="00D63D48" w:rsidP="004D0885">
      <w:pPr>
        <w:spacing w:after="0" w:line="240" w:lineRule="auto"/>
        <w:jc w:val="both"/>
        <w:rPr>
          <w:rFonts w:ascii="Times New Roman" w:hAnsi="Times New Roman"/>
          <w:sz w:val="24"/>
          <w:szCs w:val="24"/>
        </w:rPr>
      </w:pPr>
      <w:r>
        <w:rPr>
          <w:rFonts w:ascii="Times New Roman" w:hAnsi="Times New Roman"/>
          <w:sz w:val="24"/>
          <w:szCs w:val="24"/>
        </w:rPr>
        <w:t>4</w:t>
      </w:r>
      <w:r w:rsidR="00772DC4">
        <w:rPr>
          <w:rFonts w:ascii="Times New Roman" w:hAnsi="Times New Roman"/>
          <w:sz w:val="24"/>
          <w:szCs w:val="24"/>
        </w:rPr>
        <w:t>1</w:t>
      </w:r>
      <w:r w:rsidR="00E01E3B">
        <w:rPr>
          <w:rFonts w:ascii="Times New Roman" w:hAnsi="Times New Roman"/>
          <w:sz w:val="24"/>
          <w:szCs w:val="24"/>
        </w:rPr>
        <w:t>.</w:t>
      </w:r>
      <w:r w:rsidR="00E01E3B">
        <w:rPr>
          <w:rFonts w:ascii="Times New Roman" w:hAnsi="Times New Roman"/>
          <w:sz w:val="24"/>
          <w:szCs w:val="24"/>
        </w:rPr>
        <w:tab/>
      </w:r>
      <w:r w:rsidR="002B6625" w:rsidRPr="002B6625">
        <w:rPr>
          <w:rFonts w:ascii="Times New Roman" w:hAnsi="Times New Roman"/>
          <w:sz w:val="24"/>
          <w:szCs w:val="24"/>
        </w:rPr>
        <w:t>The Parties agree that the following will serve as their contact points for the purposes of these Operational Procedures:</w:t>
      </w:r>
    </w:p>
    <w:p w14:paraId="6F75EC1F" w14:textId="77777777" w:rsidR="00C57B62" w:rsidRPr="002B6625" w:rsidRDefault="00C57B62" w:rsidP="004D0885">
      <w:pPr>
        <w:spacing w:after="0" w:line="240" w:lineRule="auto"/>
        <w:jc w:val="both"/>
        <w:rPr>
          <w:rFonts w:ascii="Times New Roman" w:hAnsi="Times New Roman"/>
          <w:sz w:val="24"/>
          <w:szCs w:val="24"/>
        </w:rPr>
      </w:pPr>
    </w:p>
    <w:p w14:paraId="045F36D3" w14:textId="77777777" w:rsidR="002B6625" w:rsidRPr="002B6625" w:rsidRDefault="002B6625" w:rsidP="002B6625">
      <w:pPr>
        <w:spacing w:after="0" w:line="240" w:lineRule="auto"/>
        <w:rPr>
          <w:rFonts w:ascii="Times New Roman" w:hAnsi="Times New Roman"/>
          <w:sz w:val="24"/>
          <w:szCs w:val="24"/>
          <w:u w:val="single"/>
        </w:rPr>
      </w:pPr>
      <w:r w:rsidRPr="002B6625">
        <w:rPr>
          <w:rFonts w:ascii="Times New Roman" w:hAnsi="Times New Roman"/>
          <w:sz w:val="24"/>
          <w:szCs w:val="24"/>
          <w:u w:val="single"/>
        </w:rPr>
        <w:t>Australia</w:t>
      </w:r>
    </w:p>
    <w:p w14:paraId="53C6FE37" w14:textId="77777777" w:rsidR="002B6625" w:rsidRPr="002B6625" w:rsidRDefault="002B6625" w:rsidP="002B6625">
      <w:pPr>
        <w:spacing w:after="0" w:line="240" w:lineRule="auto"/>
        <w:rPr>
          <w:rFonts w:ascii="Times New Roman" w:hAnsi="Times New Roman"/>
          <w:sz w:val="24"/>
          <w:szCs w:val="24"/>
        </w:rPr>
      </w:pPr>
      <w:r w:rsidRPr="002B6625">
        <w:rPr>
          <w:rFonts w:ascii="Times New Roman" w:hAnsi="Times New Roman"/>
          <w:sz w:val="24"/>
          <w:szCs w:val="24"/>
        </w:rPr>
        <w:t xml:space="preserve">Email: </w:t>
      </w:r>
      <w:hyperlink r:id="rId8" w:history="1">
        <w:r w:rsidR="00317537" w:rsidRPr="00317537">
          <w:rPr>
            <w:rStyle w:val="Hyperlink"/>
            <w:rFonts w:ascii="Times New Roman" w:hAnsi="Times New Roman"/>
            <w:sz w:val="24"/>
            <w:szCs w:val="24"/>
          </w:rPr>
          <w:t>quota.admin@awe.gov.au</w:t>
        </w:r>
      </w:hyperlink>
    </w:p>
    <w:p w14:paraId="14135B5A" w14:textId="77777777" w:rsidR="002B6625" w:rsidRPr="002B6625" w:rsidRDefault="002B6625" w:rsidP="002B6625">
      <w:pPr>
        <w:spacing w:after="0" w:line="240" w:lineRule="auto"/>
        <w:rPr>
          <w:rFonts w:ascii="Times New Roman" w:hAnsi="Times New Roman"/>
          <w:sz w:val="24"/>
          <w:szCs w:val="24"/>
        </w:rPr>
      </w:pPr>
      <w:r w:rsidRPr="002B6625">
        <w:rPr>
          <w:rFonts w:ascii="Times New Roman" w:hAnsi="Times New Roman"/>
          <w:sz w:val="24"/>
          <w:szCs w:val="24"/>
        </w:rPr>
        <w:t>Phone: + 61 2 6272 4068</w:t>
      </w:r>
    </w:p>
    <w:p w14:paraId="45A4373B" w14:textId="77777777" w:rsidR="002B6625" w:rsidRPr="002B6625" w:rsidRDefault="002B6625" w:rsidP="002B6625">
      <w:pPr>
        <w:spacing w:after="0" w:line="240" w:lineRule="auto"/>
        <w:rPr>
          <w:rFonts w:ascii="Times New Roman" w:hAnsi="Times New Roman"/>
          <w:sz w:val="24"/>
          <w:szCs w:val="24"/>
        </w:rPr>
      </w:pPr>
    </w:p>
    <w:p w14:paraId="47E79A5D" w14:textId="77777777" w:rsidR="002B6625" w:rsidRPr="002B6625" w:rsidRDefault="002B6625" w:rsidP="002B6625">
      <w:pPr>
        <w:spacing w:after="0" w:line="240" w:lineRule="auto"/>
        <w:rPr>
          <w:rFonts w:ascii="Times New Roman" w:hAnsi="Times New Roman"/>
          <w:sz w:val="24"/>
          <w:szCs w:val="24"/>
          <w:u w:val="single"/>
        </w:rPr>
      </w:pPr>
      <w:r w:rsidRPr="002B6625">
        <w:rPr>
          <w:rFonts w:ascii="Times New Roman" w:hAnsi="Times New Roman"/>
          <w:sz w:val="24"/>
          <w:szCs w:val="24"/>
          <w:u w:val="single"/>
        </w:rPr>
        <w:t>Indonesia:</w:t>
      </w:r>
    </w:p>
    <w:p w14:paraId="7D7421C2" w14:textId="4DD9F95A" w:rsidR="00EF5AFE" w:rsidRPr="00EF5AFE" w:rsidRDefault="002B6625" w:rsidP="002B6625">
      <w:pPr>
        <w:spacing w:after="0" w:line="240" w:lineRule="auto"/>
        <w:rPr>
          <w:rFonts w:ascii="Times New Roman" w:hAnsi="Times New Roman"/>
          <w:sz w:val="24"/>
          <w:szCs w:val="24"/>
        </w:rPr>
      </w:pPr>
      <w:r w:rsidRPr="002B6625">
        <w:rPr>
          <w:rFonts w:ascii="Times New Roman" w:hAnsi="Times New Roman"/>
          <w:sz w:val="24"/>
          <w:szCs w:val="24"/>
        </w:rPr>
        <w:t>Email:</w:t>
      </w:r>
      <w:r w:rsidR="000244CC">
        <w:rPr>
          <w:rFonts w:ascii="Times New Roman" w:hAnsi="Times New Roman"/>
          <w:sz w:val="24"/>
          <w:szCs w:val="24"/>
        </w:rPr>
        <w:t xml:space="preserve"> </w:t>
      </w:r>
      <w:r w:rsidR="00EF5AFE">
        <w:rPr>
          <w:rFonts w:ascii="Times New Roman" w:hAnsi="Times New Roman"/>
          <w:sz w:val="24"/>
          <w:szCs w:val="24"/>
        </w:rPr>
        <w:t xml:space="preserve">1. </w:t>
      </w:r>
      <w:hyperlink r:id="rId9" w:history="1">
        <w:r w:rsidR="00EF5AFE" w:rsidRPr="00B71CAE">
          <w:rPr>
            <w:rStyle w:val="Hyperlink"/>
            <w:rFonts w:ascii="Times New Roman" w:hAnsi="Times New Roman"/>
            <w:sz w:val="24"/>
            <w:szCs w:val="24"/>
          </w:rPr>
          <w:t>helpdesk@insw.go.id</w:t>
        </w:r>
      </w:hyperlink>
    </w:p>
    <w:p w14:paraId="101D7315" w14:textId="4AD1AB11" w:rsidR="00EF5AFE" w:rsidRPr="00EF5AFE" w:rsidRDefault="00EF5AFE" w:rsidP="00BB6526">
      <w:pPr>
        <w:spacing w:after="0" w:line="240" w:lineRule="auto"/>
        <w:ind w:firstLine="630"/>
        <w:rPr>
          <w:rFonts w:ascii="Times New Roman" w:hAnsi="Times New Roman"/>
          <w:sz w:val="24"/>
          <w:szCs w:val="24"/>
        </w:rPr>
      </w:pPr>
      <w:r>
        <w:rPr>
          <w:rFonts w:ascii="Times New Roman" w:hAnsi="Times New Roman"/>
          <w:sz w:val="24"/>
          <w:szCs w:val="24"/>
        </w:rPr>
        <w:t xml:space="preserve"> 2. </w:t>
      </w:r>
      <w:hyperlink r:id="rId10" w:history="1">
        <w:r w:rsidR="0007543D" w:rsidRPr="00BB6526">
          <w:rPr>
            <w:rStyle w:val="Hyperlink"/>
            <w:rFonts w:ascii="Times New Roman" w:hAnsi="Times New Roman"/>
            <w:sz w:val="24"/>
            <w:szCs w:val="24"/>
          </w:rPr>
          <w:t>sekretariat.knfp@kemendag.go.id</w:t>
        </w:r>
      </w:hyperlink>
      <w:r w:rsidR="0007543D" w:rsidRPr="00EF5AFE">
        <w:rPr>
          <w:rFonts w:ascii="Times New Roman" w:hAnsi="Times New Roman"/>
          <w:sz w:val="24"/>
          <w:szCs w:val="24"/>
        </w:rPr>
        <w:t xml:space="preserve"> </w:t>
      </w:r>
    </w:p>
    <w:p w14:paraId="1B19CA03" w14:textId="184E13B4" w:rsidR="002B6625" w:rsidRDefault="00EF5AFE" w:rsidP="00EF5AFE">
      <w:pPr>
        <w:spacing w:after="0" w:line="240" w:lineRule="auto"/>
        <w:ind w:firstLine="630"/>
        <w:rPr>
          <w:rFonts w:ascii="Times New Roman" w:hAnsi="Times New Roman"/>
          <w:sz w:val="24"/>
          <w:szCs w:val="24"/>
        </w:rPr>
      </w:pPr>
      <w:r w:rsidRPr="00EF5AFE">
        <w:rPr>
          <w:rFonts w:ascii="Times New Roman" w:hAnsi="Times New Roman"/>
          <w:sz w:val="24"/>
          <w:szCs w:val="24"/>
        </w:rPr>
        <w:t xml:space="preserve"> </w:t>
      </w:r>
      <w:r>
        <w:rPr>
          <w:rFonts w:ascii="Times New Roman" w:hAnsi="Times New Roman"/>
          <w:sz w:val="24"/>
          <w:szCs w:val="24"/>
        </w:rPr>
        <w:t xml:space="preserve">3. </w:t>
      </w:r>
      <w:hyperlink r:id="rId11" w:history="1">
        <w:r w:rsidR="0012330F" w:rsidRPr="00061727">
          <w:rPr>
            <w:rStyle w:val="Hyperlink"/>
            <w:rFonts w:ascii="Times New Roman" w:hAnsi="Times New Roman"/>
            <w:sz w:val="24"/>
            <w:szCs w:val="24"/>
          </w:rPr>
          <w:t>subdit.bilateral@customs.go.id</w:t>
        </w:r>
      </w:hyperlink>
    </w:p>
    <w:p w14:paraId="56BABD92" w14:textId="79290835" w:rsidR="0012330F" w:rsidRPr="00EF5AFE" w:rsidRDefault="0012330F" w:rsidP="00EF5AFE">
      <w:pPr>
        <w:spacing w:after="0" w:line="240" w:lineRule="auto"/>
        <w:ind w:firstLine="630"/>
        <w:rPr>
          <w:rFonts w:ascii="Times New Roman" w:hAnsi="Times New Roman"/>
          <w:sz w:val="24"/>
          <w:szCs w:val="24"/>
        </w:rPr>
      </w:pPr>
    </w:p>
    <w:p w14:paraId="165F0CA9" w14:textId="50A3F229" w:rsidR="002B6625" w:rsidRPr="002B6625" w:rsidRDefault="002B6625" w:rsidP="002B6625">
      <w:pPr>
        <w:spacing w:after="0" w:line="240" w:lineRule="auto"/>
        <w:rPr>
          <w:rFonts w:ascii="Times New Roman" w:hAnsi="Times New Roman"/>
          <w:sz w:val="24"/>
          <w:szCs w:val="24"/>
        </w:rPr>
      </w:pPr>
      <w:r w:rsidRPr="002B6625">
        <w:rPr>
          <w:rFonts w:ascii="Times New Roman" w:hAnsi="Times New Roman"/>
          <w:sz w:val="24"/>
          <w:szCs w:val="24"/>
        </w:rPr>
        <w:t>Phone:</w:t>
      </w:r>
      <w:r w:rsidR="00E1600A">
        <w:rPr>
          <w:rFonts w:ascii="Times New Roman" w:hAnsi="Times New Roman"/>
          <w:sz w:val="24"/>
          <w:szCs w:val="24"/>
        </w:rPr>
        <w:t xml:space="preserve"> </w:t>
      </w:r>
      <w:r w:rsidR="0007543D">
        <w:rPr>
          <w:rFonts w:ascii="Times New Roman" w:hAnsi="Times New Roman"/>
          <w:sz w:val="24"/>
          <w:szCs w:val="24"/>
        </w:rPr>
        <w:t xml:space="preserve">+6221-1500679 </w:t>
      </w:r>
    </w:p>
    <w:p w14:paraId="4D6A562A" w14:textId="4D039C56" w:rsidR="00E01E3B" w:rsidRPr="00F310DC" w:rsidRDefault="002B6625" w:rsidP="004B53BF">
      <w:pPr>
        <w:pStyle w:val="Heading2"/>
      </w:pPr>
      <w:r w:rsidRPr="00A768FA">
        <w:t>Reaffirmation of commitments</w:t>
      </w:r>
    </w:p>
    <w:p w14:paraId="1502F6E0" w14:textId="6251A670" w:rsidR="007D6723" w:rsidRPr="00F310DC" w:rsidRDefault="00772DC4" w:rsidP="00F310DC">
      <w:pPr>
        <w:spacing w:after="0" w:line="240" w:lineRule="auto"/>
        <w:jc w:val="both"/>
        <w:rPr>
          <w:rFonts w:ascii="Times New Roman" w:hAnsi="Times New Roman"/>
          <w:sz w:val="24"/>
          <w:szCs w:val="24"/>
        </w:rPr>
      </w:pPr>
      <w:r>
        <w:rPr>
          <w:rFonts w:ascii="Times New Roman" w:hAnsi="Times New Roman"/>
          <w:sz w:val="24"/>
          <w:szCs w:val="24"/>
        </w:rPr>
        <w:t>42</w:t>
      </w:r>
      <w:r w:rsidR="00E01E3B">
        <w:rPr>
          <w:rFonts w:ascii="Times New Roman" w:hAnsi="Times New Roman"/>
          <w:sz w:val="24"/>
          <w:szCs w:val="24"/>
        </w:rPr>
        <w:t>.</w:t>
      </w:r>
      <w:r w:rsidR="00E01E3B">
        <w:rPr>
          <w:rFonts w:ascii="Times New Roman" w:hAnsi="Times New Roman"/>
          <w:sz w:val="24"/>
          <w:szCs w:val="24"/>
        </w:rPr>
        <w:tab/>
      </w:r>
      <w:r w:rsidR="002B6625" w:rsidRPr="00A768FA">
        <w:rPr>
          <w:rFonts w:ascii="Times New Roman" w:hAnsi="Times New Roman"/>
          <w:sz w:val="24"/>
          <w:szCs w:val="24"/>
        </w:rPr>
        <w:t>The Government of Australia and the Government of Indonesia hereby reaffirm their commitments under the Agreement, including Indonesia’s commitments on TRQs, and Australia’s related Economic Cooperation commitments.</w:t>
      </w:r>
    </w:p>
    <w:p w14:paraId="7745A3CB" w14:textId="18DF8838" w:rsidR="002B6625" w:rsidRPr="00E033F3" w:rsidRDefault="007D6723" w:rsidP="004B53BF">
      <w:pPr>
        <w:pStyle w:val="Heading2"/>
      </w:pPr>
      <w:r w:rsidRPr="00E033F3">
        <w:lastRenderedPageBreak/>
        <w:t>APPENDIX 1: PRO RATA VOLUMES FOR 2020</w:t>
      </w:r>
    </w:p>
    <w:p w14:paraId="53A2318B" w14:textId="0167DF06" w:rsidR="007D6723" w:rsidRPr="00E033F3" w:rsidRDefault="007D6723" w:rsidP="007D6723">
      <w:pPr>
        <w:spacing w:after="0" w:line="240" w:lineRule="auto"/>
        <w:rPr>
          <w:rFonts w:ascii="Times New Roman" w:hAnsi="Times New Roman"/>
          <w:sz w:val="24"/>
          <w:szCs w:val="24"/>
        </w:rPr>
      </w:pPr>
      <w:r w:rsidRPr="00E033F3">
        <w:rPr>
          <w:rFonts w:ascii="Times New Roman" w:hAnsi="Times New Roman"/>
          <w:sz w:val="24"/>
          <w:szCs w:val="24"/>
        </w:rPr>
        <w:t xml:space="preserve">The Agreement will enter into force on 5 July 2020. In accordance with Appendix 2-A.1 (Tariff Rate Quotas) of the Agreement, the prorated quantities of TRQ commodities shall apply for the percentage of the year remaining from the date of entry into force. </w:t>
      </w:r>
    </w:p>
    <w:p w14:paraId="525D9486" w14:textId="6B17A9F9" w:rsidR="007D6723" w:rsidRPr="00E033F3" w:rsidRDefault="007D6723" w:rsidP="007D6723">
      <w:pPr>
        <w:spacing w:after="0" w:line="240" w:lineRule="auto"/>
        <w:rPr>
          <w:rFonts w:ascii="Times New Roman" w:hAnsi="Times New Roman"/>
          <w:sz w:val="24"/>
          <w:szCs w:val="24"/>
        </w:rPr>
      </w:pPr>
    </w:p>
    <w:p w14:paraId="21B81313" w14:textId="08BAD2D5" w:rsidR="00C90D8D" w:rsidRPr="001807DE" w:rsidRDefault="00C90D8D" w:rsidP="001807DE">
      <w:pPr>
        <w:pStyle w:val="ListParagraph"/>
        <w:numPr>
          <w:ilvl w:val="0"/>
          <w:numId w:val="14"/>
        </w:numPr>
        <w:spacing w:after="0" w:line="240" w:lineRule="auto"/>
        <w:rPr>
          <w:rFonts w:ascii="Times New Roman" w:hAnsi="Times New Roman"/>
          <w:sz w:val="24"/>
          <w:szCs w:val="24"/>
        </w:rPr>
      </w:pPr>
      <w:r w:rsidRPr="001807DE">
        <w:rPr>
          <w:rFonts w:ascii="Times New Roman" w:hAnsi="Times New Roman"/>
          <w:sz w:val="24"/>
          <w:szCs w:val="24"/>
        </w:rPr>
        <w:t>From 5 July there are 179 days remaining in the year.</w:t>
      </w:r>
    </w:p>
    <w:p w14:paraId="2DC09420" w14:textId="2E0C5B9B" w:rsidR="00C90D8D" w:rsidRPr="001807DE" w:rsidRDefault="00C90D8D" w:rsidP="001807DE">
      <w:pPr>
        <w:pStyle w:val="ListParagraph"/>
        <w:numPr>
          <w:ilvl w:val="0"/>
          <w:numId w:val="14"/>
        </w:numPr>
        <w:spacing w:after="0" w:line="240" w:lineRule="auto"/>
        <w:rPr>
          <w:rFonts w:ascii="Times New Roman" w:hAnsi="Times New Roman"/>
          <w:sz w:val="24"/>
          <w:szCs w:val="24"/>
        </w:rPr>
      </w:pPr>
      <w:r w:rsidRPr="001807DE">
        <w:rPr>
          <w:rFonts w:ascii="Times New Roman" w:hAnsi="Times New Roman"/>
          <w:sz w:val="24"/>
          <w:szCs w:val="24"/>
        </w:rPr>
        <w:t>179/366 x quota volume = pro rata quantity</w:t>
      </w:r>
    </w:p>
    <w:p w14:paraId="4FFF4965" w14:textId="77777777" w:rsidR="00C90D8D" w:rsidRPr="00E033F3" w:rsidRDefault="00C90D8D" w:rsidP="00C90D8D">
      <w:pPr>
        <w:spacing w:after="0" w:line="240" w:lineRule="auto"/>
        <w:rPr>
          <w:rFonts w:ascii="Times New Roman" w:hAnsi="Times New Roman"/>
          <w:sz w:val="24"/>
          <w:szCs w:val="24"/>
        </w:rPr>
      </w:pPr>
      <w:r w:rsidRPr="00E033F3">
        <w:rPr>
          <w:rFonts w:ascii="Times New Roman" w:hAnsi="Times New Roman"/>
          <w:sz w:val="24"/>
          <w:szCs w:val="24"/>
        </w:rPr>
        <w:t xml:space="preserve"> </w:t>
      </w:r>
    </w:p>
    <w:p w14:paraId="461DD5C1" w14:textId="5C9A6FFD" w:rsidR="00C90D8D" w:rsidRDefault="00C90D8D" w:rsidP="00C90D8D">
      <w:pPr>
        <w:spacing w:after="0" w:line="240" w:lineRule="auto"/>
        <w:rPr>
          <w:rFonts w:ascii="Times New Roman" w:hAnsi="Times New Roman"/>
          <w:sz w:val="24"/>
          <w:szCs w:val="24"/>
        </w:rPr>
      </w:pPr>
      <w:r w:rsidRPr="00E033F3">
        <w:rPr>
          <w:rFonts w:ascii="Times New Roman" w:hAnsi="Times New Roman"/>
          <w:sz w:val="24"/>
          <w:szCs w:val="24"/>
        </w:rPr>
        <w:t>Applying the above, the prorated TRQs quantities for 2020 are:</w:t>
      </w:r>
      <w:r w:rsidR="00186955">
        <w:rPr>
          <w:rFonts w:ascii="Times New Roman" w:hAnsi="Times New Roman"/>
          <w:sz w:val="24"/>
          <w:szCs w:val="24"/>
        </w:rPr>
        <w:t xml:space="preserve"> </w:t>
      </w:r>
    </w:p>
    <w:p w14:paraId="2BC735EC" w14:textId="61656813" w:rsidR="004B53BF" w:rsidRDefault="004B53BF" w:rsidP="00C90D8D">
      <w:pPr>
        <w:spacing w:after="0" w:line="240" w:lineRule="auto"/>
        <w:rPr>
          <w:rFonts w:ascii="Times New Roman" w:hAnsi="Times New Roman"/>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Table showing the TRQ prorata rates for 2020"/>
        <w:tblDescription w:val="Live male cattle is 281,215 Piece. Potatoes is 4,890.71 tonnes. Carrots is 2,445.35 tonnes. Oranges is 4,890.71 tonnes. Mandarins, clementines, wilkings and similar citrus hybrids is 3,668.03 tonnes. Lemons &amp; Limes 2,445.35 tonnes. Feed Grain is 244,535 tonnes. Hot/cold rolled steel coil 122,267 tonnes."/>
      </w:tblPr>
      <w:tblGrid>
        <w:gridCol w:w="4621"/>
        <w:gridCol w:w="4619"/>
      </w:tblGrid>
      <w:tr w:rsidR="004B53BF" w14:paraId="339ECAC0" w14:textId="77777777" w:rsidTr="004B53BF">
        <w:trPr>
          <w:tblHeader/>
        </w:trPr>
        <w:tc>
          <w:tcPr>
            <w:tcW w:w="4630" w:type="dxa"/>
          </w:tcPr>
          <w:p w14:paraId="3644A141" w14:textId="7706AD6C" w:rsidR="004B53BF" w:rsidRPr="004B53BF" w:rsidRDefault="004B53BF" w:rsidP="004B53BF">
            <w:pPr>
              <w:jc w:val="center"/>
              <w:rPr>
                <w:rFonts w:ascii="Times New Roman" w:hAnsi="Times New Roman"/>
                <w:b/>
                <w:sz w:val="24"/>
                <w:szCs w:val="24"/>
              </w:rPr>
            </w:pPr>
            <w:r w:rsidRPr="004B53BF">
              <w:rPr>
                <w:rFonts w:ascii="Times New Roman" w:hAnsi="Times New Roman"/>
                <w:b/>
                <w:sz w:val="24"/>
                <w:szCs w:val="24"/>
              </w:rPr>
              <w:t>TRQ commodity</w:t>
            </w:r>
          </w:p>
        </w:tc>
        <w:tc>
          <w:tcPr>
            <w:tcW w:w="4630" w:type="dxa"/>
          </w:tcPr>
          <w:p w14:paraId="01EB1C06" w14:textId="00E74824" w:rsidR="004B53BF" w:rsidRPr="004B53BF" w:rsidRDefault="004B53BF" w:rsidP="004B53BF">
            <w:pPr>
              <w:jc w:val="center"/>
              <w:rPr>
                <w:rFonts w:ascii="Times New Roman" w:hAnsi="Times New Roman"/>
                <w:b/>
                <w:sz w:val="24"/>
                <w:szCs w:val="24"/>
              </w:rPr>
            </w:pPr>
            <w:r w:rsidRPr="004B53BF">
              <w:rPr>
                <w:rFonts w:ascii="Times New Roman" w:hAnsi="Times New Roman"/>
                <w:b/>
                <w:sz w:val="24"/>
                <w:szCs w:val="24"/>
              </w:rPr>
              <w:t>2020 Prorata quantity in Piece and Tonnes</w:t>
            </w:r>
          </w:p>
        </w:tc>
      </w:tr>
      <w:tr w:rsidR="004B53BF" w14:paraId="0FE21DF8" w14:textId="77777777" w:rsidTr="004B53BF">
        <w:tc>
          <w:tcPr>
            <w:tcW w:w="4630" w:type="dxa"/>
          </w:tcPr>
          <w:p w14:paraId="6DD506E9" w14:textId="3430E599" w:rsidR="004B53BF" w:rsidRDefault="004B53BF" w:rsidP="00C90D8D">
            <w:pPr>
              <w:rPr>
                <w:rFonts w:ascii="Times New Roman" w:hAnsi="Times New Roman"/>
                <w:sz w:val="24"/>
                <w:szCs w:val="24"/>
              </w:rPr>
            </w:pPr>
            <w:r>
              <w:rPr>
                <w:rFonts w:ascii="Times New Roman" w:hAnsi="Times New Roman"/>
                <w:sz w:val="24"/>
                <w:szCs w:val="24"/>
              </w:rPr>
              <w:t>Live male cattle</w:t>
            </w:r>
          </w:p>
        </w:tc>
        <w:tc>
          <w:tcPr>
            <w:tcW w:w="4630" w:type="dxa"/>
          </w:tcPr>
          <w:p w14:paraId="2076FD5A" w14:textId="561AF043" w:rsidR="004B53BF" w:rsidRDefault="004B53BF" w:rsidP="004B53BF">
            <w:pPr>
              <w:jc w:val="right"/>
              <w:rPr>
                <w:rFonts w:ascii="Times New Roman" w:hAnsi="Times New Roman"/>
                <w:sz w:val="24"/>
                <w:szCs w:val="24"/>
              </w:rPr>
            </w:pPr>
            <w:r>
              <w:rPr>
                <w:rFonts w:ascii="Times New Roman" w:hAnsi="Times New Roman"/>
                <w:sz w:val="24"/>
                <w:szCs w:val="24"/>
              </w:rPr>
              <w:t>281,215 Piece</w:t>
            </w:r>
          </w:p>
        </w:tc>
      </w:tr>
      <w:tr w:rsidR="004B53BF" w14:paraId="6B9A2682" w14:textId="77777777" w:rsidTr="004B53BF">
        <w:tc>
          <w:tcPr>
            <w:tcW w:w="4630" w:type="dxa"/>
          </w:tcPr>
          <w:p w14:paraId="70A47660" w14:textId="5294A605" w:rsidR="004B53BF" w:rsidRDefault="004B53BF" w:rsidP="00C90D8D">
            <w:pPr>
              <w:rPr>
                <w:rFonts w:ascii="Times New Roman" w:hAnsi="Times New Roman"/>
                <w:sz w:val="24"/>
                <w:szCs w:val="24"/>
              </w:rPr>
            </w:pPr>
            <w:r>
              <w:rPr>
                <w:rFonts w:ascii="Times New Roman" w:hAnsi="Times New Roman"/>
                <w:sz w:val="24"/>
                <w:szCs w:val="24"/>
              </w:rPr>
              <w:t>Potatoes</w:t>
            </w:r>
          </w:p>
        </w:tc>
        <w:tc>
          <w:tcPr>
            <w:tcW w:w="4630" w:type="dxa"/>
          </w:tcPr>
          <w:p w14:paraId="705E456C" w14:textId="4568179B" w:rsidR="004B53BF" w:rsidRDefault="004B53BF" w:rsidP="004B53BF">
            <w:pPr>
              <w:jc w:val="right"/>
              <w:rPr>
                <w:rFonts w:ascii="Times New Roman" w:hAnsi="Times New Roman"/>
                <w:sz w:val="24"/>
                <w:szCs w:val="24"/>
              </w:rPr>
            </w:pPr>
            <w:r>
              <w:rPr>
                <w:rFonts w:ascii="Times New Roman" w:hAnsi="Times New Roman"/>
                <w:sz w:val="24"/>
                <w:szCs w:val="24"/>
              </w:rPr>
              <w:t>4,890.71 tonnes</w:t>
            </w:r>
          </w:p>
        </w:tc>
      </w:tr>
      <w:tr w:rsidR="004B53BF" w14:paraId="47FCE164" w14:textId="77777777" w:rsidTr="004B53BF">
        <w:tc>
          <w:tcPr>
            <w:tcW w:w="4630" w:type="dxa"/>
          </w:tcPr>
          <w:p w14:paraId="13C4472F" w14:textId="17CEB8CF" w:rsidR="004B53BF" w:rsidRDefault="004B53BF" w:rsidP="00C90D8D">
            <w:pPr>
              <w:rPr>
                <w:rFonts w:ascii="Times New Roman" w:hAnsi="Times New Roman"/>
                <w:sz w:val="24"/>
                <w:szCs w:val="24"/>
              </w:rPr>
            </w:pPr>
            <w:r>
              <w:rPr>
                <w:rFonts w:ascii="Times New Roman" w:hAnsi="Times New Roman"/>
                <w:sz w:val="24"/>
                <w:szCs w:val="24"/>
              </w:rPr>
              <w:t>Carrots</w:t>
            </w:r>
          </w:p>
        </w:tc>
        <w:tc>
          <w:tcPr>
            <w:tcW w:w="4630" w:type="dxa"/>
          </w:tcPr>
          <w:p w14:paraId="6BEB9696" w14:textId="5AEAE433" w:rsidR="004B53BF" w:rsidRDefault="004B53BF" w:rsidP="004B53BF">
            <w:pPr>
              <w:jc w:val="right"/>
              <w:rPr>
                <w:rFonts w:ascii="Times New Roman" w:hAnsi="Times New Roman"/>
                <w:sz w:val="24"/>
                <w:szCs w:val="24"/>
              </w:rPr>
            </w:pPr>
            <w:r>
              <w:rPr>
                <w:rFonts w:ascii="Times New Roman" w:hAnsi="Times New Roman"/>
                <w:sz w:val="24"/>
                <w:szCs w:val="24"/>
              </w:rPr>
              <w:t>2,445.35 tonnes</w:t>
            </w:r>
          </w:p>
        </w:tc>
      </w:tr>
      <w:tr w:rsidR="004B53BF" w14:paraId="3169B804" w14:textId="77777777" w:rsidTr="004B53BF">
        <w:tc>
          <w:tcPr>
            <w:tcW w:w="4630" w:type="dxa"/>
          </w:tcPr>
          <w:p w14:paraId="4B5F9E8E" w14:textId="60F203EE" w:rsidR="004B53BF" w:rsidRDefault="004B53BF" w:rsidP="00C90D8D">
            <w:pPr>
              <w:rPr>
                <w:rFonts w:ascii="Times New Roman" w:hAnsi="Times New Roman"/>
                <w:sz w:val="24"/>
                <w:szCs w:val="24"/>
              </w:rPr>
            </w:pPr>
            <w:r>
              <w:rPr>
                <w:rFonts w:ascii="Times New Roman" w:hAnsi="Times New Roman"/>
                <w:sz w:val="24"/>
                <w:szCs w:val="24"/>
              </w:rPr>
              <w:t>Orange</w:t>
            </w:r>
          </w:p>
        </w:tc>
        <w:tc>
          <w:tcPr>
            <w:tcW w:w="4630" w:type="dxa"/>
          </w:tcPr>
          <w:p w14:paraId="2E5296A3" w14:textId="2BF79769" w:rsidR="004B53BF" w:rsidRDefault="004B53BF" w:rsidP="004B53BF">
            <w:pPr>
              <w:jc w:val="right"/>
              <w:rPr>
                <w:rFonts w:ascii="Times New Roman" w:hAnsi="Times New Roman"/>
                <w:sz w:val="24"/>
                <w:szCs w:val="24"/>
              </w:rPr>
            </w:pPr>
            <w:r>
              <w:rPr>
                <w:rFonts w:ascii="Times New Roman" w:hAnsi="Times New Roman"/>
                <w:sz w:val="24"/>
                <w:szCs w:val="24"/>
              </w:rPr>
              <w:t>4,890.71 tonnes</w:t>
            </w:r>
          </w:p>
        </w:tc>
      </w:tr>
      <w:tr w:rsidR="004B53BF" w14:paraId="43DC8198" w14:textId="77777777" w:rsidTr="004B53BF">
        <w:tc>
          <w:tcPr>
            <w:tcW w:w="4630" w:type="dxa"/>
          </w:tcPr>
          <w:p w14:paraId="3FC55243" w14:textId="03A4D0FF" w:rsidR="004B53BF" w:rsidRDefault="004B53BF" w:rsidP="00C90D8D">
            <w:pPr>
              <w:rPr>
                <w:rFonts w:ascii="Times New Roman" w:hAnsi="Times New Roman"/>
                <w:sz w:val="24"/>
                <w:szCs w:val="24"/>
              </w:rPr>
            </w:pPr>
            <w:r>
              <w:rPr>
                <w:rFonts w:ascii="Times New Roman" w:hAnsi="Times New Roman"/>
                <w:sz w:val="24"/>
                <w:szCs w:val="24"/>
              </w:rPr>
              <w:t>Mandarins, clementines, wilkings and similar citrus hybrids</w:t>
            </w:r>
          </w:p>
        </w:tc>
        <w:tc>
          <w:tcPr>
            <w:tcW w:w="4630" w:type="dxa"/>
          </w:tcPr>
          <w:p w14:paraId="0FF1A1E5" w14:textId="31B387E7" w:rsidR="004B53BF" w:rsidRDefault="004B53BF" w:rsidP="004B53BF">
            <w:pPr>
              <w:jc w:val="right"/>
              <w:rPr>
                <w:rFonts w:ascii="Times New Roman" w:hAnsi="Times New Roman"/>
                <w:sz w:val="24"/>
                <w:szCs w:val="24"/>
              </w:rPr>
            </w:pPr>
            <w:r>
              <w:rPr>
                <w:rFonts w:ascii="Times New Roman" w:hAnsi="Times New Roman"/>
                <w:sz w:val="24"/>
                <w:szCs w:val="24"/>
              </w:rPr>
              <w:t>3,668.03 tonnes</w:t>
            </w:r>
          </w:p>
        </w:tc>
      </w:tr>
      <w:tr w:rsidR="004B53BF" w14:paraId="4F6E0BBD" w14:textId="77777777" w:rsidTr="004B53BF">
        <w:tc>
          <w:tcPr>
            <w:tcW w:w="4630" w:type="dxa"/>
          </w:tcPr>
          <w:p w14:paraId="7D646EEB" w14:textId="5913093C" w:rsidR="004B53BF" w:rsidRDefault="004B53BF" w:rsidP="00C90D8D">
            <w:pPr>
              <w:rPr>
                <w:rFonts w:ascii="Times New Roman" w:hAnsi="Times New Roman"/>
                <w:sz w:val="24"/>
                <w:szCs w:val="24"/>
              </w:rPr>
            </w:pPr>
            <w:r>
              <w:rPr>
                <w:rFonts w:ascii="Times New Roman" w:hAnsi="Times New Roman"/>
                <w:sz w:val="24"/>
                <w:szCs w:val="24"/>
              </w:rPr>
              <w:t>Lemons &amp; Limes</w:t>
            </w:r>
          </w:p>
        </w:tc>
        <w:tc>
          <w:tcPr>
            <w:tcW w:w="4630" w:type="dxa"/>
          </w:tcPr>
          <w:p w14:paraId="11003140" w14:textId="133AD044" w:rsidR="004B53BF" w:rsidRDefault="004B53BF" w:rsidP="004B53BF">
            <w:pPr>
              <w:jc w:val="right"/>
              <w:rPr>
                <w:rFonts w:ascii="Times New Roman" w:hAnsi="Times New Roman"/>
                <w:sz w:val="24"/>
                <w:szCs w:val="24"/>
              </w:rPr>
            </w:pPr>
            <w:r>
              <w:rPr>
                <w:rFonts w:ascii="Times New Roman" w:hAnsi="Times New Roman"/>
                <w:sz w:val="24"/>
                <w:szCs w:val="24"/>
              </w:rPr>
              <w:t>2,445.35 tonnes</w:t>
            </w:r>
          </w:p>
        </w:tc>
      </w:tr>
      <w:tr w:rsidR="004B53BF" w14:paraId="1C78E1CB" w14:textId="77777777" w:rsidTr="004B53BF">
        <w:tc>
          <w:tcPr>
            <w:tcW w:w="4630" w:type="dxa"/>
          </w:tcPr>
          <w:p w14:paraId="4BC520EF" w14:textId="279E42E1" w:rsidR="004B53BF" w:rsidRDefault="004B53BF" w:rsidP="00C90D8D">
            <w:pPr>
              <w:rPr>
                <w:rFonts w:ascii="Times New Roman" w:hAnsi="Times New Roman"/>
                <w:sz w:val="24"/>
                <w:szCs w:val="24"/>
              </w:rPr>
            </w:pPr>
            <w:r>
              <w:rPr>
                <w:rFonts w:ascii="Times New Roman" w:hAnsi="Times New Roman"/>
                <w:sz w:val="24"/>
                <w:szCs w:val="24"/>
              </w:rPr>
              <w:t>Feed Grain</w:t>
            </w:r>
          </w:p>
        </w:tc>
        <w:tc>
          <w:tcPr>
            <w:tcW w:w="4630" w:type="dxa"/>
          </w:tcPr>
          <w:p w14:paraId="648D5168" w14:textId="76A0BDDD" w:rsidR="004B53BF" w:rsidRDefault="004B53BF" w:rsidP="004B53BF">
            <w:pPr>
              <w:jc w:val="right"/>
              <w:rPr>
                <w:rFonts w:ascii="Times New Roman" w:hAnsi="Times New Roman"/>
                <w:sz w:val="24"/>
                <w:szCs w:val="24"/>
              </w:rPr>
            </w:pPr>
            <w:r>
              <w:rPr>
                <w:rFonts w:ascii="Times New Roman" w:hAnsi="Times New Roman"/>
                <w:sz w:val="24"/>
                <w:szCs w:val="24"/>
              </w:rPr>
              <w:t>244,535 tonnes</w:t>
            </w:r>
          </w:p>
        </w:tc>
      </w:tr>
      <w:tr w:rsidR="004B53BF" w14:paraId="7671B76C" w14:textId="77777777" w:rsidTr="004B53BF">
        <w:tc>
          <w:tcPr>
            <w:tcW w:w="4630" w:type="dxa"/>
          </w:tcPr>
          <w:p w14:paraId="4CAA9951" w14:textId="22A60271" w:rsidR="004B53BF" w:rsidRDefault="004B53BF" w:rsidP="00C90D8D">
            <w:pPr>
              <w:rPr>
                <w:rFonts w:ascii="Times New Roman" w:hAnsi="Times New Roman"/>
                <w:sz w:val="24"/>
                <w:szCs w:val="24"/>
              </w:rPr>
            </w:pPr>
            <w:r>
              <w:rPr>
                <w:rFonts w:ascii="Times New Roman" w:hAnsi="Times New Roman"/>
                <w:sz w:val="24"/>
                <w:szCs w:val="24"/>
              </w:rPr>
              <w:t>Hot/cold rolled steel coil</w:t>
            </w:r>
          </w:p>
        </w:tc>
        <w:tc>
          <w:tcPr>
            <w:tcW w:w="4630" w:type="dxa"/>
          </w:tcPr>
          <w:p w14:paraId="47C89E67" w14:textId="6D4C39D3" w:rsidR="004B53BF" w:rsidRDefault="004B53BF" w:rsidP="004B53BF">
            <w:pPr>
              <w:jc w:val="right"/>
              <w:rPr>
                <w:rFonts w:ascii="Times New Roman" w:hAnsi="Times New Roman"/>
                <w:sz w:val="24"/>
                <w:szCs w:val="24"/>
              </w:rPr>
            </w:pPr>
            <w:r>
              <w:rPr>
                <w:rFonts w:ascii="Times New Roman" w:hAnsi="Times New Roman"/>
                <w:sz w:val="24"/>
                <w:szCs w:val="24"/>
              </w:rPr>
              <w:t>122,267 tonnes</w:t>
            </w:r>
          </w:p>
        </w:tc>
      </w:tr>
    </w:tbl>
    <w:p w14:paraId="0A5694F8" w14:textId="77777777" w:rsidR="004B53BF" w:rsidRPr="00E033F3" w:rsidRDefault="004B53BF" w:rsidP="004B53BF">
      <w:pPr>
        <w:spacing w:after="0" w:line="240" w:lineRule="auto"/>
        <w:rPr>
          <w:rFonts w:ascii="Times New Roman" w:hAnsi="Times New Roman"/>
          <w:sz w:val="24"/>
          <w:szCs w:val="24"/>
        </w:rPr>
      </w:pPr>
    </w:p>
    <w:sectPr w:rsidR="004B53BF" w:rsidRPr="00E033F3" w:rsidSect="00EF5AFE">
      <w:headerReference w:type="even" r:id="rId12"/>
      <w:headerReference w:type="default" r:id="rId13"/>
      <w:footerReference w:type="even" r:id="rId14"/>
      <w:footerReference w:type="default" r:id="rId15"/>
      <w:headerReference w:type="first" r:id="rId16"/>
      <w:footerReference w:type="first" r:id="rId17"/>
      <w:pgSz w:w="11906" w:h="16838"/>
      <w:pgMar w:top="1440" w:right="1376" w:bottom="1440" w:left="126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49C0E" w16cex:dateUtc="2020-06-05T03:25:00Z"/>
  <w16cex:commentExtensible w16cex:durableId="22922DEF" w16cex:dateUtc="2020-06-15T10:27:00Z"/>
  <w16cex:commentExtensible w16cex:durableId="22640F68" w16cex:dateUtc="2020-05-1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7F3825" w16cid:durableId="2291C45B"/>
  <w16cid:commentId w16cid:paraId="01060D23" w16cid:durableId="22677F20"/>
  <w16cid:commentId w16cid:paraId="147350A3" w16cid:durableId="2288AB3B"/>
  <w16cid:commentId w16cid:paraId="03AE2BC3" w16cid:durableId="22849C0E"/>
  <w16cid:commentId w16cid:paraId="1903634D" w16cid:durableId="2288AB41"/>
  <w16cid:commentId w16cid:paraId="0FB3725D" w16cid:durableId="22922DEF"/>
  <w16cid:commentId w16cid:paraId="58B1756D" w16cid:durableId="2291C460"/>
  <w16cid:commentId w16cid:paraId="18D95EA7" w16cid:durableId="22677F33"/>
  <w16cid:commentId w16cid:paraId="11A1D165" w16cid:durableId="2261313A"/>
  <w16cid:commentId w16cid:paraId="6600EEEF" w16cid:durableId="22640F68"/>
  <w16cid:commentId w16cid:paraId="433A1C29" w16cid:durableId="2291C4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ED9F1" w14:textId="77777777" w:rsidR="00D72181" w:rsidRDefault="00D72181" w:rsidP="00D80D8B">
      <w:pPr>
        <w:spacing w:after="0" w:line="240" w:lineRule="auto"/>
      </w:pPr>
      <w:r>
        <w:separator/>
      </w:r>
    </w:p>
  </w:endnote>
  <w:endnote w:type="continuationSeparator" w:id="0">
    <w:p w14:paraId="2A0656DD" w14:textId="77777777" w:rsidR="00D72181" w:rsidRDefault="00D72181" w:rsidP="00D80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C6EDF" w14:textId="77777777" w:rsidR="00BF3339" w:rsidRDefault="00BF3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070164"/>
      <w:docPartObj>
        <w:docPartGallery w:val="Page Numbers (Bottom of Page)"/>
        <w:docPartUnique/>
      </w:docPartObj>
    </w:sdtPr>
    <w:sdtEndPr>
      <w:rPr>
        <w:noProof/>
      </w:rPr>
    </w:sdtEndPr>
    <w:sdtContent>
      <w:p w14:paraId="198E6AB2" w14:textId="352E419C" w:rsidR="005B4DB5" w:rsidRDefault="005B4DB5">
        <w:pPr>
          <w:pStyle w:val="Footer"/>
          <w:jc w:val="center"/>
        </w:pPr>
        <w:r>
          <w:fldChar w:fldCharType="begin"/>
        </w:r>
        <w:r>
          <w:instrText xml:space="preserve"> PAGE   \* MERGEFORMAT </w:instrText>
        </w:r>
        <w:r>
          <w:fldChar w:fldCharType="separate"/>
        </w:r>
        <w:r w:rsidR="00BF3339">
          <w:rPr>
            <w:noProof/>
          </w:rPr>
          <w:t>1</w:t>
        </w:r>
        <w:r>
          <w:rPr>
            <w:noProof/>
          </w:rPr>
          <w:fldChar w:fldCharType="end"/>
        </w:r>
      </w:p>
    </w:sdtContent>
  </w:sdt>
  <w:p w14:paraId="543B48E8" w14:textId="77777777" w:rsidR="005B4DB5" w:rsidRDefault="005B4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92004" w14:textId="77777777" w:rsidR="00BF3339" w:rsidRDefault="00BF3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56B85" w14:textId="77777777" w:rsidR="00D72181" w:rsidRDefault="00D72181" w:rsidP="00D80D8B">
      <w:pPr>
        <w:spacing w:after="0" w:line="240" w:lineRule="auto"/>
      </w:pPr>
      <w:r>
        <w:separator/>
      </w:r>
    </w:p>
  </w:footnote>
  <w:footnote w:type="continuationSeparator" w:id="0">
    <w:p w14:paraId="40B4FA84" w14:textId="77777777" w:rsidR="00D72181" w:rsidRDefault="00D72181" w:rsidP="00D80D8B">
      <w:pPr>
        <w:spacing w:after="0" w:line="240" w:lineRule="auto"/>
      </w:pPr>
      <w:r>
        <w:continuationSeparator/>
      </w:r>
    </w:p>
  </w:footnote>
  <w:footnote w:id="1">
    <w:p w14:paraId="4700673E" w14:textId="00878594" w:rsidR="00AF291E" w:rsidRDefault="00AF291E" w:rsidP="00B37704">
      <w:pPr>
        <w:pStyle w:val="FootnoteText"/>
        <w:jc w:val="both"/>
      </w:pPr>
      <w:r>
        <w:rPr>
          <w:rStyle w:val="FootnoteReference"/>
        </w:rPr>
        <w:footnoteRef/>
      </w:r>
      <w:r>
        <w:t xml:space="preserve"> </w:t>
      </w:r>
      <w:r w:rsidRPr="00AF291E">
        <w:t xml:space="preserve">For greater certainty, the Parties confirm their shared understanding that Australia’s administration of </w:t>
      </w:r>
      <w:r w:rsidR="00F443A4">
        <w:t>quota w</w:t>
      </w:r>
      <w:r w:rsidR="00C9456E">
        <w:t>ill include allocation of quota</w:t>
      </w:r>
      <w:r w:rsidRPr="00C90D8D">
        <w:t>, and that TRQ certificates will be issued on a consignment basis by the competent governmental authority of Australia.</w:t>
      </w:r>
      <w:r>
        <w:t xml:space="preserve"> </w:t>
      </w:r>
    </w:p>
  </w:footnote>
  <w:footnote w:id="2">
    <w:p w14:paraId="6F767571" w14:textId="517A1668" w:rsidR="00B57B22" w:rsidRDefault="00B57B22" w:rsidP="00C9456E">
      <w:pPr>
        <w:pStyle w:val="FootnoteText"/>
        <w:jc w:val="both"/>
      </w:pPr>
      <w:r>
        <w:rPr>
          <w:rStyle w:val="FootnoteReference"/>
        </w:rPr>
        <w:footnoteRef/>
      </w:r>
      <w:r>
        <w:t xml:space="preserve"> The Parties </w:t>
      </w:r>
      <w:r w:rsidRPr="006553DF">
        <w:t>agree</w:t>
      </w:r>
      <w:r>
        <w:t xml:space="preserve"> that “import permits, or equivalent instruments used for import authorisation” shall be instances of automatic import licensing within the meaning of the WTO Agreement on Import Licensing Procedures. </w:t>
      </w:r>
      <w:r w:rsidRPr="00472E2E">
        <w:t>Automatic import licensing is defined as import licensing where approval of the application is granted in all cases, and which is in accordance with the requirements of paragraph 2(a)</w:t>
      </w:r>
      <w:r>
        <w:t xml:space="preserve"> of Article 2 (Automatic Import Licensing) of that Agreement.</w:t>
      </w:r>
    </w:p>
  </w:footnote>
  <w:footnote w:id="3">
    <w:p w14:paraId="2A52A145" w14:textId="79953BB8" w:rsidR="00C9456E" w:rsidRDefault="00C9456E" w:rsidP="00B37704">
      <w:pPr>
        <w:pStyle w:val="FootnoteText"/>
        <w:jc w:val="both"/>
      </w:pPr>
      <w:r>
        <w:rPr>
          <w:rStyle w:val="FootnoteReference"/>
        </w:rPr>
        <w:footnoteRef/>
      </w:r>
      <w:r>
        <w:t xml:space="preserve"> For Australia, the competent governmental authorit</w:t>
      </w:r>
      <w:r w:rsidR="001717CA">
        <w:t>y</w:t>
      </w:r>
      <w:r>
        <w:t>,</w:t>
      </w:r>
      <w:r>
        <w:rPr>
          <w:rFonts w:cstheme="minorHAnsi"/>
          <w:bCs/>
        </w:rPr>
        <w:t xml:space="preserve"> in relation to TRQs 1-7 and</w:t>
      </w:r>
      <w:r w:rsidRPr="005B02F3">
        <w:rPr>
          <w:rFonts w:cstheme="minorHAnsi"/>
          <w:bCs/>
        </w:rPr>
        <w:t xml:space="preserve"> </w:t>
      </w:r>
      <w:r>
        <w:rPr>
          <w:rFonts w:cstheme="minorHAnsi"/>
          <w:bCs/>
        </w:rPr>
        <w:t>HS 0102.29.90, HS 0202.20.00, HS 0204.41.00,</w:t>
      </w:r>
      <w:r w:rsidRPr="00C742A4">
        <w:rPr>
          <w:rFonts w:cstheme="minorHAnsi"/>
          <w:bCs/>
        </w:rPr>
        <w:t xml:space="preserve"> </w:t>
      </w:r>
      <w:r>
        <w:rPr>
          <w:rFonts w:cstheme="minorHAnsi"/>
          <w:bCs/>
        </w:rPr>
        <w:t>HS</w:t>
      </w:r>
      <w:r w:rsidRPr="00C742A4">
        <w:rPr>
          <w:rFonts w:cstheme="minorHAnsi"/>
          <w:bCs/>
        </w:rPr>
        <w:t xml:space="preserve">0204.42.00; </w:t>
      </w:r>
      <w:r>
        <w:rPr>
          <w:rFonts w:cstheme="minorHAnsi"/>
          <w:bCs/>
        </w:rPr>
        <w:t>HS0204.43.00 and HS</w:t>
      </w:r>
      <w:r w:rsidRPr="00C742A4">
        <w:rPr>
          <w:rFonts w:cstheme="minorHAnsi"/>
          <w:bCs/>
        </w:rPr>
        <w:t>0204.50.00</w:t>
      </w:r>
      <w:r>
        <w:rPr>
          <w:rFonts w:cstheme="minorHAnsi"/>
          <w:bCs/>
        </w:rPr>
        <w:t xml:space="preserve"> is the Department of Agriculture, Water and the Environment and for TRQ 8 is the Department of Industry, Science, Energy and Resources; or any other body authorised by a competent governmental authority to perform the functions specified in these Operational Procedures. For Indonesia, the competent governmental authority will be</w:t>
      </w:r>
      <w:r w:rsidR="00DB48AC">
        <w:rPr>
          <w:rFonts w:cstheme="minorHAnsi"/>
          <w:bCs/>
        </w:rPr>
        <w:t xml:space="preserve"> </w:t>
      </w:r>
      <w:r w:rsidR="00B37704">
        <w:rPr>
          <w:rFonts w:cstheme="minorHAnsi"/>
          <w:bCs/>
        </w:rPr>
        <w:t xml:space="preserve">Ministry of Trade, Ministry of Agriculture, Ministry of Industry, Ministry of Finance and </w:t>
      </w:r>
      <w:r w:rsidR="009A2156">
        <w:rPr>
          <w:rFonts w:cstheme="minorHAnsi"/>
          <w:bCs/>
        </w:rPr>
        <w:t>I</w:t>
      </w:r>
      <w:r w:rsidR="00B37704">
        <w:rPr>
          <w:rFonts w:cstheme="minorHAnsi"/>
          <w:bCs/>
        </w:rPr>
        <w:t>NSW</w:t>
      </w:r>
      <w:r>
        <w:rPr>
          <w:rFonts w:cstheme="minorHAnsi"/>
          <w:bCs/>
        </w:rPr>
        <w:t xml:space="preserve">.  </w:t>
      </w:r>
    </w:p>
  </w:footnote>
  <w:footnote w:id="4">
    <w:p w14:paraId="2E845488" w14:textId="77777777" w:rsidR="005D5B68" w:rsidRDefault="005D5B68" w:rsidP="000F3DE4">
      <w:pPr>
        <w:pStyle w:val="FootnoteText"/>
        <w:jc w:val="both"/>
      </w:pPr>
      <w:r>
        <w:rPr>
          <w:rStyle w:val="FootnoteReference"/>
        </w:rPr>
        <w:footnoteRef/>
      </w:r>
      <w:r>
        <w:t xml:space="preserve"> For the avoidance of the doubt, a</w:t>
      </w:r>
      <w:r w:rsidRPr="005D5B68">
        <w:t xml:space="preserve">ny reference to volume on the import recommendation or import permit </w:t>
      </w:r>
      <w:r>
        <w:t xml:space="preserve">issued by Indonesia’s competent governmental authorities </w:t>
      </w:r>
      <w:r w:rsidRPr="005D5B68">
        <w:t>shall be for Indonesia’s internal purposes only</w:t>
      </w:r>
      <w:r w:rsidR="008D4F1B">
        <w:t xml:space="preserve">. </w:t>
      </w:r>
    </w:p>
  </w:footnote>
  <w:footnote w:id="5">
    <w:p w14:paraId="25ABAF36" w14:textId="596C9FBC" w:rsidR="008D4F1B" w:rsidRDefault="008D4F1B" w:rsidP="000F3DE4">
      <w:pPr>
        <w:pStyle w:val="FootnoteText"/>
        <w:jc w:val="both"/>
      </w:pPr>
      <w:r>
        <w:rPr>
          <w:rStyle w:val="FootnoteReference"/>
        </w:rPr>
        <w:footnoteRef/>
      </w:r>
      <w:r>
        <w:t xml:space="preserve"> </w:t>
      </w:r>
      <w:r w:rsidR="00F2792A">
        <w:t xml:space="preserve">The number of import permits that may be issued will not be limited by the total volume of the quota for any of the goods under Appendix 2-A.1 (Tariff Rate Quotas).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DD08C" w14:textId="77777777" w:rsidR="00BF3339" w:rsidRDefault="00BF3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A2FE9" w14:textId="203CAF44" w:rsidR="00D657BA" w:rsidRDefault="00003877" w:rsidP="00F15536">
    <w:pPr>
      <w:pStyle w:val="Header"/>
      <w:tabs>
        <w:tab w:val="clear" w:pos="4513"/>
        <w:tab w:val="center" w:pos="3960"/>
      </w:tabs>
      <w:jc w:val="center"/>
      <w:rPr>
        <w:b/>
        <w:color w:val="FF0000"/>
      </w:rPr>
    </w:pPr>
    <w:r w:rsidRPr="000E7D22">
      <w:rPr>
        <w:b/>
        <w:color w:val="FF0000"/>
      </w:rPr>
      <w:tab/>
    </w:r>
  </w:p>
  <w:p w14:paraId="1842B1C6" w14:textId="531C8065" w:rsidR="004924A5" w:rsidRPr="004924A5" w:rsidRDefault="000A2903" w:rsidP="001717CA">
    <w:pPr>
      <w:pStyle w:val="Header"/>
      <w:tabs>
        <w:tab w:val="clear" w:pos="4513"/>
        <w:tab w:val="center" w:pos="3960"/>
      </w:tabs>
      <w:jc w:val="right"/>
      <w:rPr>
        <w:b/>
      </w:rPr>
    </w:pPr>
    <w:r>
      <w:rPr>
        <w:b/>
        <w:color w:val="FF0000"/>
      </w:rPr>
      <w:t xml:space="preserve">Version 1.0 </w:t>
    </w:r>
    <w:r w:rsidR="00AD1CF9">
      <w:rPr>
        <w:b/>
        <w:color w:val="FF0000"/>
      </w:rPr>
      <w:t xml:space="preserve">as of </w:t>
    </w:r>
    <w:r w:rsidR="006B03F1">
      <w:rPr>
        <w:b/>
        <w:color w:val="FF0000"/>
      </w:rPr>
      <w:t>3</w:t>
    </w:r>
    <w:r w:rsidR="000022B8">
      <w:rPr>
        <w:b/>
        <w:color w:val="FF0000"/>
      </w:rPr>
      <w:t xml:space="preserve"> July</w:t>
    </w:r>
    <w:r w:rsidR="002622DC">
      <w:rPr>
        <w:b/>
        <w:color w:val="FF0000"/>
      </w:rPr>
      <w:t xml:space="preserve"> </w:t>
    </w:r>
    <w:r w:rsidR="000E7D22" w:rsidRPr="000E7D22">
      <w:rPr>
        <w:b/>
        <w:color w:val="FF0000"/>
      </w:rPr>
      <w:t>20</w:t>
    </w:r>
    <w:r w:rsidR="00003877" w:rsidRPr="000E7D22">
      <w:rPr>
        <w:b/>
        <w:color w:val="FF0000"/>
      </w:rPr>
      <w:t>20</w:t>
    </w:r>
  </w:p>
  <w:p w14:paraId="51AAA510" w14:textId="77777777" w:rsidR="004924A5" w:rsidRDefault="004924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F9A40" w14:textId="77777777" w:rsidR="00BF3339" w:rsidRDefault="00BF3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3D24"/>
    <w:multiLevelType w:val="hybridMultilevel"/>
    <w:tmpl w:val="8D06883A"/>
    <w:lvl w:ilvl="0" w:tplc="38090001">
      <w:start w:val="1"/>
      <w:numFmt w:val="bullet"/>
      <w:lvlText w:val=""/>
      <w:lvlJc w:val="left"/>
      <w:pPr>
        <w:ind w:left="720" w:hanging="360"/>
      </w:pPr>
      <w:rPr>
        <w:rFonts w:ascii="Symbol" w:hAnsi="Symbol" w:cs="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cs="Wingdings" w:hint="default"/>
      </w:rPr>
    </w:lvl>
    <w:lvl w:ilvl="3" w:tplc="38090001" w:tentative="1">
      <w:start w:val="1"/>
      <w:numFmt w:val="bullet"/>
      <w:lvlText w:val=""/>
      <w:lvlJc w:val="left"/>
      <w:pPr>
        <w:ind w:left="2880" w:hanging="360"/>
      </w:pPr>
      <w:rPr>
        <w:rFonts w:ascii="Symbol" w:hAnsi="Symbol" w:cs="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cs="Wingdings" w:hint="default"/>
      </w:rPr>
    </w:lvl>
    <w:lvl w:ilvl="6" w:tplc="38090001" w:tentative="1">
      <w:start w:val="1"/>
      <w:numFmt w:val="bullet"/>
      <w:lvlText w:val=""/>
      <w:lvlJc w:val="left"/>
      <w:pPr>
        <w:ind w:left="5040" w:hanging="360"/>
      </w:pPr>
      <w:rPr>
        <w:rFonts w:ascii="Symbol" w:hAnsi="Symbol" w:cs="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26F59E3"/>
    <w:multiLevelType w:val="hybridMultilevel"/>
    <w:tmpl w:val="46CC7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D23DB6"/>
    <w:multiLevelType w:val="hybridMultilevel"/>
    <w:tmpl w:val="4C269C6A"/>
    <w:lvl w:ilvl="0" w:tplc="38090001">
      <w:start w:val="1"/>
      <w:numFmt w:val="bullet"/>
      <w:lvlText w:val=""/>
      <w:lvlJc w:val="left"/>
      <w:pPr>
        <w:ind w:left="720" w:hanging="360"/>
      </w:pPr>
      <w:rPr>
        <w:rFonts w:ascii="Symbol" w:hAnsi="Symbol" w:cs="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cs="Wingdings" w:hint="default"/>
      </w:rPr>
    </w:lvl>
    <w:lvl w:ilvl="3" w:tplc="38090001" w:tentative="1">
      <w:start w:val="1"/>
      <w:numFmt w:val="bullet"/>
      <w:lvlText w:val=""/>
      <w:lvlJc w:val="left"/>
      <w:pPr>
        <w:ind w:left="2880" w:hanging="360"/>
      </w:pPr>
      <w:rPr>
        <w:rFonts w:ascii="Symbol" w:hAnsi="Symbol" w:cs="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cs="Wingdings" w:hint="default"/>
      </w:rPr>
    </w:lvl>
    <w:lvl w:ilvl="6" w:tplc="38090001" w:tentative="1">
      <w:start w:val="1"/>
      <w:numFmt w:val="bullet"/>
      <w:lvlText w:val=""/>
      <w:lvlJc w:val="left"/>
      <w:pPr>
        <w:ind w:left="5040" w:hanging="360"/>
      </w:pPr>
      <w:rPr>
        <w:rFonts w:ascii="Symbol" w:hAnsi="Symbol" w:cs="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19C1D1E"/>
    <w:multiLevelType w:val="hybridMultilevel"/>
    <w:tmpl w:val="9D02C992"/>
    <w:lvl w:ilvl="0" w:tplc="99887DFA">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82D20"/>
    <w:multiLevelType w:val="hybridMultilevel"/>
    <w:tmpl w:val="DA92D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E157E2"/>
    <w:multiLevelType w:val="hybridMultilevel"/>
    <w:tmpl w:val="9DC05174"/>
    <w:lvl w:ilvl="0" w:tplc="CA0A66F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5C64F4"/>
    <w:multiLevelType w:val="hybridMultilevel"/>
    <w:tmpl w:val="3FA29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697D3A"/>
    <w:multiLevelType w:val="hybridMultilevel"/>
    <w:tmpl w:val="046C1D64"/>
    <w:lvl w:ilvl="0" w:tplc="0C090001">
      <w:start w:val="1"/>
      <w:numFmt w:val="bullet"/>
      <w:lvlText w:val=""/>
      <w:lvlJc w:val="left"/>
      <w:pPr>
        <w:ind w:left="720" w:hanging="360"/>
      </w:pPr>
      <w:rPr>
        <w:rFonts w:ascii="Symbol" w:hAnsi="Symbol" w:hint="default"/>
      </w:rPr>
    </w:lvl>
    <w:lvl w:ilvl="1" w:tplc="E822F36C">
      <w:numFmt w:val="bullet"/>
      <w:lvlText w:val="•"/>
      <w:lvlJc w:val="left"/>
      <w:pPr>
        <w:ind w:left="1590" w:hanging="510"/>
      </w:pPr>
      <w:rPr>
        <w:rFonts w:ascii="Times New Roman" w:eastAsia="Calibr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81781D"/>
    <w:multiLevelType w:val="hybridMultilevel"/>
    <w:tmpl w:val="2FB81DF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CC2CB0"/>
    <w:multiLevelType w:val="hybridMultilevel"/>
    <w:tmpl w:val="BFB66084"/>
    <w:lvl w:ilvl="0" w:tplc="B5065088">
      <w:start w:val="1"/>
      <w:numFmt w:val="bullet"/>
      <w:lvlText w:val="-"/>
      <w:lvlJc w:val="left"/>
      <w:pPr>
        <w:ind w:left="720" w:hanging="360"/>
      </w:pPr>
      <w:rPr>
        <w:rFonts w:ascii="Calibri" w:eastAsiaTheme="minorHAnsi" w:hAnsi="Calibri" w:cstheme="minorHAns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2F6D1F"/>
    <w:multiLevelType w:val="hybridMultilevel"/>
    <w:tmpl w:val="08309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063B24"/>
    <w:multiLevelType w:val="hybridMultilevel"/>
    <w:tmpl w:val="18E2D4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4D5DF1"/>
    <w:multiLevelType w:val="hybridMultilevel"/>
    <w:tmpl w:val="8FFAD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8E6203"/>
    <w:multiLevelType w:val="hybridMultilevel"/>
    <w:tmpl w:val="BD641A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AA5559"/>
    <w:multiLevelType w:val="hybridMultilevel"/>
    <w:tmpl w:val="EDFC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4"/>
  </w:num>
  <w:num w:numId="4">
    <w:abstractNumId w:val="13"/>
  </w:num>
  <w:num w:numId="5">
    <w:abstractNumId w:val="1"/>
  </w:num>
  <w:num w:numId="6">
    <w:abstractNumId w:val="7"/>
  </w:num>
  <w:num w:numId="7">
    <w:abstractNumId w:val="10"/>
  </w:num>
  <w:num w:numId="8">
    <w:abstractNumId w:val="2"/>
  </w:num>
  <w:num w:numId="9">
    <w:abstractNumId w:val="0"/>
  </w:num>
  <w:num w:numId="10">
    <w:abstractNumId w:val="5"/>
  </w:num>
  <w:num w:numId="11">
    <w:abstractNumId w:val="12"/>
  </w:num>
  <w:num w:numId="12">
    <w:abstractNumId w:val="3"/>
  </w:num>
  <w:num w:numId="13">
    <w:abstractNumId w:val="9"/>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0E"/>
    <w:rsid w:val="000022B8"/>
    <w:rsid w:val="00003877"/>
    <w:rsid w:val="000038A3"/>
    <w:rsid w:val="0000645F"/>
    <w:rsid w:val="00006785"/>
    <w:rsid w:val="000106AC"/>
    <w:rsid w:val="00010BAA"/>
    <w:rsid w:val="000223A2"/>
    <w:rsid w:val="000244CC"/>
    <w:rsid w:val="00025186"/>
    <w:rsid w:val="0002643B"/>
    <w:rsid w:val="0003249A"/>
    <w:rsid w:val="000439FD"/>
    <w:rsid w:val="00044217"/>
    <w:rsid w:val="0004673B"/>
    <w:rsid w:val="00051F58"/>
    <w:rsid w:val="0005456E"/>
    <w:rsid w:val="000547DD"/>
    <w:rsid w:val="00062484"/>
    <w:rsid w:val="0007543D"/>
    <w:rsid w:val="00086388"/>
    <w:rsid w:val="000878F4"/>
    <w:rsid w:val="00091113"/>
    <w:rsid w:val="00095E13"/>
    <w:rsid w:val="000966F4"/>
    <w:rsid w:val="00096DC8"/>
    <w:rsid w:val="00096DEB"/>
    <w:rsid w:val="000A2903"/>
    <w:rsid w:val="000A3D5B"/>
    <w:rsid w:val="000B31C2"/>
    <w:rsid w:val="000B4482"/>
    <w:rsid w:val="000C1F4E"/>
    <w:rsid w:val="000D3652"/>
    <w:rsid w:val="000D525F"/>
    <w:rsid w:val="000E7D22"/>
    <w:rsid w:val="000F207E"/>
    <w:rsid w:val="000F3DE4"/>
    <w:rsid w:val="0012330F"/>
    <w:rsid w:val="001263E5"/>
    <w:rsid w:val="001272E9"/>
    <w:rsid w:val="00127403"/>
    <w:rsid w:val="0012759C"/>
    <w:rsid w:val="00132761"/>
    <w:rsid w:val="00133B04"/>
    <w:rsid w:val="00144077"/>
    <w:rsid w:val="00147F82"/>
    <w:rsid w:val="001503B8"/>
    <w:rsid w:val="0015118E"/>
    <w:rsid w:val="00160C57"/>
    <w:rsid w:val="001637D7"/>
    <w:rsid w:val="001717CA"/>
    <w:rsid w:val="001807DE"/>
    <w:rsid w:val="00186955"/>
    <w:rsid w:val="00191D32"/>
    <w:rsid w:val="001A0B67"/>
    <w:rsid w:val="001A433F"/>
    <w:rsid w:val="001A5CDF"/>
    <w:rsid w:val="001B698C"/>
    <w:rsid w:val="001C4F2A"/>
    <w:rsid w:val="001C5DD6"/>
    <w:rsid w:val="001D5EA1"/>
    <w:rsid w:val="001D7802"/>
    <w:rsid w:val="001E2AED"/>
    <w:rsid w:val="001F1974"/>
    <w:rsid w:val="001F72AD"/>
    <w:rsid w:val="0020059B"/>
    <w:rsid w:val="0020577A"/>
    <w:rsid w:val="002140E5"/>
    <w:rsid w:val="00214358"/>
    <w:rsid w:val="00220099"/>
    <w:rsid w:val="002263A1"/>
    <w:rsid w:val="0023277E"/>
    <w:rsid w:val="00235C5A"/>
    <w:rsid w:val="00236801"/>
    <w:rsid w:val="002401D8"/>
    <w:rsid w:val="00247A95"/>
    <w:rsid w:val="0025382A"/>
    <w:rsid w:val="00254771"/>
    <w:rsid w:val="002558E8"/>
    <w:rsid w:val="002563CF"/>
    <w:rsid w:val="002622DC"/>
    <w:rsid w:val="00271860"/>
    <w:rsid w:val="00282076"/>
    <w:rsid w:val="00282133"/>
    <w:rsid w:val="00284329"/>
    <w:rsid w:val="00284CD5"/>
    <w:rsid w:val="0029555F"/>
    <w:rsid w:val="002A47F9"/>
    <w:rsid w:val="002A781F"/>
    <w:rsid w:val="002B032B"/>
    <w:rsid w:val="002B0400"/>
    <w:rsid w:val="002B4BA4"/>
    <w:rsid w:val="002B6625"/>
    <w:rsid w:val="002C6E2E"/>
    <w:rsid w:val="002D233A"/>
    <w:rsid w:val="002D4049"/>
    <w:rsid w:val="002D44B7"/>
    <w:rsid w:val="002D4FC9"/>
    <w:rsid w:val="002D77C3"/>
    <w:rsid w:val="002E07C0"/>
    <w:rsid w:val="002E5AB8"/>
    <w:rsid w:val="002F01D6"/>
    <w:rsid w:val="002F26D0"/>
    <w:rsid w:val="002F32E2"/>
    <w:rsid w:val="0030288E"/>
    <w:rsid w:val="003037E3"/>
    <w:rsid w:val="00304164"/>
    <w:rsid w:val="00317537"/>
    <w:rsid w:val="00321D20"/>
    <w:rsid w:val="003234BE"/>
    <w:rsid w:val="00331209"/>
    <w:rsid w:val="00331770"/>
    <w:rsid w:val="00332CA1"/>
    <w:rsid w:val="00340826"/>
    <w:rsid w:val="003504F7"/>
    <w:rsid w:val="00351CB7"/>
    <w:rsid w:val="003618AE"/>
    <w:rsid w:val="00364015"/>
    <w:rsid w:val="00370624"/>
    <w:rsid w:val="00373F54"/>
    <w:rsid w:val="00374BAA"/>
    <w:rsid w:val="00375CC8"/>
    <w:rsid w:val="003814AF"/>
    <w:rsid w:val="00383101"/>
    <w:rsid w:val="0038404F"/>
    <w:rsid w:val="003845ED"/>
    <w:rsid w:val="00384BA0"/>
    <w:rsid w:val="0039608D"/>
    <w:rsid w:val="0039680D"/>
    <w:rsid w:val="003A09A0"/>
    <w:rsid w:val="003A71FD"/>
    <w:rsid w:val="003A787D"/>
    <w:rsid w:val="003B0C4E"/>
    <w:rsid w:val="003C251E"/>
    <w:rsid w:val="003C6C57"/>
    <w:rsid w:val="003C7B7B"/>
    <w:rsid w:val="003D176A"/>
    <w:rsid w:val="003D2EFF"/>
    <w:rsid w:val="003D347C"/>
    <w:rsid w:val="003D6D39"/>
    <w:rsid w:val="003D7D42"/>
    <w:rsid w:val="003E1BF6"/>
    <w:rsid w:val="003E3ED5"/>
    <w:rsid w:val="003E4F73"/>
    <w:rsid w:val="003E776B"/>
    <w:rsid w:val="003F0783"/>
    <w:rsid w:val="003F2528"/>
    <w:rsid w:val="003F728B"/>
    <w:rsid w:val="0040076B"/>
    <w:rsid w:val="00402FA0"/>
    <w:rsid w:val="00407803"/>
    <w:rsid w:val="00411C61"/>
    <w:rsid w:val="00415735"/>
    <w:rsid w:val="0041619A"/>
    <w:rsid w:val="00435E1C"/>
    <w:rsid w:val="00435F39"/>
    <w:rsid w:val="00440FBB"/>
    <w:rsid w:val="00443994"/>
    <w:rsid w:val="004501E4"/>
    <w:rsid w:val="004726AC"/>
    <w:rsid w:val="004763AD"/>
    <w:rsid w:val="004769B7"/>
    <w:rsid w:val="004775BE"/>
    <w:rsid w:val="00477644"/>
    <w:rsid w:val="00484409"/>
    <w:rsid w:val="00487942"/>
    <w:rsid w:val="004924A5"/>
    <w:rsid w:val="004955B3"/>
    <w:rsid w:val="00496E69"/>
    <w:rsid w:val="004A10EA"/>
    <w:rsid w:val="004B242B"/>
    <w:rsid w:val="004B271F"/>
    <w:rsid w:val="004B53BF"/>
    <w:rsid w:val="004C4F4E"/>
    <w:rsid w:val="004C7E3A"/>
    <w:rsid w:val="004D0885"/>
    <w:rsid w:val="004D2CEE"/>
    <w:rsid w:val="004D6690"/>
    <w:rsid w:val="004E0955"/>
    <w:rsid w:val="004E3963"/>
    <w:rsid w:val="004E672D"/>
    <w:rsid w:val="00500C83"/>
    <w:rsid w:val="00505E87"/>
    <w:rsid w:val="00514E2C"/>
    <w:rsid w:val="005161D1"/>
    <w:rsid w:val="00531AD3"/>
    <w:rsid w:val="00536555"/>
    <w:rsid w:val="0053673D"/>
    <w:rsid w:val="00537E93"/>
    <w:rsid w:val="00541AF4"/>
    <w:rsid w:val="00550148"/>
    <w:rsid w:val="00553D83"/>
    <w:rsid w:val="00562509"/>
    <w:rsid w:val="00567CF0"/>
    <w:rsid w:val="005735C4"/>
    <w:rsid w:val="00574E81"/>
    <w:rsid w:val="00586E23"/>
    <w:rsid w:val="0059054C"/>
    <w:rsid w:val="00590A9E"/>
    <w:rsid w:val="00591986"/>
    <w:rsid w:val="00593519"/>
    <w:rsid w:val="005936E0"/>
    <w:rsid w:val="005A2E32"/>
    <w:rsid w:val="005A7345"/>
    <w:rsid w:val="005B35BC"/>
    <w:rsid w:val="005B4DB5"/>
    <w:rsid w:val="005B791B"/>
    <w:rsid w:val="005B7ADC"/>
    <w:rsid w:val="005C7A87"/>
    <w:rsid w:val="005C7E43"/>
    <w:rsid w:val="005D1B22"/>
    <w:rsid w:val="005D4E3F"/>
    <w:rsid w:val="005D5985"/>
    <w:rsid w:val="005D5B68"/>
    <w:rsid w:val="005E2E25"/>
    <w:rsid w:val="005F3F36"/>
    <w:rsid w:val="00611EC6"/>
    <w:rsid w:val="00617561"/>
    <w:rsid w:val="00621198"/>
    <w:rsid w:val="0062282F"/>
    <w:rsid w:val="00623DB2"/>
    <w:rsid w:val="00624015"/>
    <w:rsid w:val="00624FDC"/>
    <w:rsid w:val="006261B7"/>
    <w:rsid w:val="00626A72"/>
    <w:rsid w:val="00637C84"/>
    <w:rsid w:val="00643FD2"/>
    <w:rsid w:val="00645924"/>
    <w:rsid w:val="00646F9E"/>
    <w:rsid w:val="006472D9"/>
    <w:rsid w:val="006479F0"/>
    <w:rsid w:val="0065164D"/>
    <w:rsid w:val="00652C58"/>
    <w:rsid w:val="00652F58"/>
    <w:rsid w:val="006536CB"/>
    <w:rsid w:val="006553DF"/>
    <w:rsid w:val="00657326"/>
    <w:rsid w:val="006632B3"/>
    <w:rsid w:val="00663484"/>
    <w:rsid w:val="0066381F"/>
    <w:rsid w:val="00663820"/>
    <w:rsid w:val="00663FA2"/>
    <w:rsid w:val="00667469"/>
    <w:rsid w:val="00667B02"/>
    <w:rsid w:val="00675712"/>
    <w:rsid w:val="00682305"/>
    <w:rsid w:val="00682678"/>
    <w:rsid w:val="00690A3E"/>
    <w:rsid w:val="00694836"/>
    <w:rsid w:val="00697B42"/>
    <w:rsid w:val="006A6F17"/>
    <w:rsid w:val="006A7AD5"/>
    <w:rsid w:val="006B03F1"/>
    <w:rsid w:val="006B0BED"/>
    <w:rsid w:val="006B4B7E"/>
    <w:rsid w:val="006B5535"/>
    <w:rsid w:val="006C0D86"/>
    <w:rsid w:val="006C1845"/>
    <w:rsid w:val="006C6C93"/>
    <w:rsid w:val="006D737B"/>
    <w:rsid w:val="006E2417"/>
    <w:rsid w:val="006E400F"/>
    <w:rsid w:val="006F044E"/>
    <w:rsid w:val="00711EB7"/>
    <w:rsid w:val="0071244D"/>
    <w:rsid w:val="007200E6"/>
    <w:rsid w:val="00722D89"/>
    <w:rsid w:val="0073466E"/>
    <w:rsid w:val="00737FFE"/>
    <w:rsid w:val="007526D5"/>
    <w:rsid w:val="00753389"/>
    <w:rsid w:val="007567ED"/>
    <w:rsid w:val="00757308"/>
    <w:rsid w:val="00761F19"/>
    <w:rsid w:val="00763656"/>
    <w:rsid w:val="007705E2"/>
    <w:rsid w:val="00772DC4"/>
    <w:rsid w:val="0077385C"/>
    <w:rsid w:val="00774AAD"/>
    <w:rsid w:val="007861D0"/>
    <w:rsid w:val="007869ED"/>
    <w:rsid w:val="00791B43"/>
    <w:rsid w:val="00795C54"/>
    <w:rsid w:val="0079753F"/>
    <w:rsid w:val="007A1FC2"/>
    <w:rsid w:val="007A27C5"/>
    <w:rsid w:val="007A2DB8"/>
    <w:rsid w:val="007A7C59"/>
    <w:rsid w:val="007B12C6"/>
    <w:rsid w:val="007B41B8"/>
    <w:rsid w:val="007B61F6"/>
    <w:rsid w:val="007C69F2"/>
    <w:rsid w:val="007D09B5"/>
    <w:rsid w:val="007D19C7"/>
    <w:rsid w:val="007D4924"/>
    <w:rsid w:val="007D6270"/>
    <w:rsid w:val="007D6723"/>
    <w:rsid w:val="007D7FBE"/>
    <w:rsid w:val="007E107D"/>
    <w:rsid w:val="007E168E"/>
    <w:rsid w:val="007E734C"/>
    <w:rsid w:val="007F01A1"/>
    <w:rsid w:val="007F0D1F"/>
    <w:rsid w:val="007F2534"/>
    <w:rsid w:val="007F2F7E"/>
    <w:rsid w:val="008051DB"/>
    <w:rsid w:val="00806090"/>
    <w:rsid w:val="008133F2"/>
    <w:rsid w:val="008158FB"/>
    <w:rsid w:val="00827BA2"/>
    <w:rsid w:val="00830A34"/>
    <w:rsid w:val="00832310"/>
    <w:rsid w:val="008336C8"/>
    <w:rsid w:val="00834A35"/>
    <w:rsid w:val="00837E26"/>
    <w:rsid w:val="00842EFA"/>
    <w:rsid w:val="0084549D"/>
    <w:rsid w:val="00855DA5"/>
    <w:rsid w:val="008562FC"/>
    <w:rsid w:val="00856588"/>
    <w:rsid w:val="008578C0"/>
    <w:rsid w:val="0086356D"/>
    <w:rsid w:val="00872B49"/>
    <w:rsid w:val="0088042F"/>
    <w:rsid w:val="008823D2"/>
    <w:rsid w:val="00883108"/>
    <w:rsid w:val="0088425D"/>
    <w:rsid w:val="00885972"/>
    <w:rsid w:val="008917F4"/>
    <w:rsid w:val="008A13D4"/>
    <w:rsid w:val="008A7C35"/>
    <w:rsid w:val="008B7DE6"/>
    <w:rsid w:val="008C0053"/>
    <w:rsid w:val="008C0CE8"/>
    <w:rsid w:val="008C18AC"/>
    <w:rsid w:val="008C1E45"/>
    <w:rsid w:val="008C5438"/>
    <w:rsid w:val="008D10A2"/>
    <w:rsid w:val="008D4F1B"/>
    <w:rsid w:val="008E6024"/>
    <w:rsid w:val="008E7DD6"/>
    <w:rsid w:val="008F0BDB"/>
    <w:rsid w:val="008F59E7"/>
    <w:rsid w:val="0090182F"/>
    <w:rsid w:val="00901E82"/>
    <w:rsid w:val="00913398"/>
    <w:rsid w:val="009163CA"/>
    <w:rsid w:val="0092195A"/>
    <w:rsid w:val="00923E7F"/>
    <w:rsid w:val="00925FE2"/>
    <w:rsid w:val="009378A5"/>
    <w:rsid w:val="00955376"/>
    <w:rsid w:val="00957083"/>
    <w:rsid w:val="00957250"/>
    <w:rsid w:val="00965584"/>
    <w:rsid w:val="009661A1"/>
    <w:rsid w:val="00967C8D"/>
    <w:rsid w:val="009717E4"/>
    <w:rsid w:val="00976D7B"/>
    <w:rsid w:val="009806ED"/>
    <w:rsid w:val="0098416C"/>
    <w:rsid w:val="00996154"/>
    <w:rsid w:val="00996EEE"/>
    <w:rsid w:val="009A2156"/>
    <w:rsid w:val="009A46E9"/>
    <w:rsid w:val="009A701B"/>
    <w:rsid w:val="009B28CC"/>
    <w:rsid w:val="009D0685"/>
    <w:rsid w:val="009D6EEB"/>
    <w:rsid w:val="009F0DF4"/>
    <w:rsid w:val="009F3510"/>
    <w:rsid w:val="00A10CA9"/>
    <w:rsid w:val="00A118C5"/>
    <w:rsid w:val="00A12E85"/>
    <w:rsid w:val="00A250DC"/>
    <w:rsid w:val="00A3131F"/>
    <w:rsid w:val="00A418D9"/>
    <w:rsid w:val="00A43CA9"/>
    <w:rsid w:val="00A4663D"/>
    <w:rsid w:val="00A508BC"/>
    <w:rsid w:val="00A524AE"/>
    <w:rsid w:val="00A53306"/>
    <w:rsid w:val="00A6154E"/>
    <w:rsid w:val="00A658B3"/>
    <w:rsid w:val="00A65DE2"/>
    <w:rsid w:val="00A739B1"/>
    <w:rsid w:val="00A757C0"/>
    <w:rsid w:val="00A768FA"/>
    <w:rsid w:val="00A776B7"/>
    <w:rsid w:val="00A81CD2"/>
    <w:rsid w:val="00A85C4B"/>
    <w:rsid w:val="00A93147"/>
    <w:rsid w:val="00A9352A"/>
    <w:rsid w:val="00AA45D7"/>
    <w:rsid w:val="00AC0473"/>
    <w:rsid w:val="00AC6340"/>
    <w:rsid w:val="00AD1CF9"/>
    <w:rsid w:val="00AD3A7E"/>
    <w:rsid w:val="00AD59DB"/>
    <w:rsid w:val="00AD75CC"/>
    <w:rsid w:val="00AD7851"/>
    <w:rsid w:val="00AE170E"/>
    <w:rsid w:val="00AE20D4"/>
    <w:rsid w:val="00AF291E"/>
    <w:rsid w:val="00B037A2"/>
    <w:rsid w:val="00B040F5"/>
    <w:rsid w:val="00B05ED1"/>
    <w:rsid w:val="00B15610"/>
    <w:rsid w:val="00B1683C"/>
    <w:rsid w:val="00B21568"/>
    <w:rsid w:val="00B33FC5"/>
    <w:rsid w:val="00B37704"/>
    <w:rsid w:val="00B40B71"/>
    <w:rsid w:val="00B421BF"/>
    <w:rsid w:val="00B57B22"/>
    <w:rsid w:val="00B63D33"/>
    <w:rsid w:val="00B65B01"/>
    <w:rsid w:val="00B71CAE"/>
    <w:rsid w:val="00B729EB"/>
    <w:rsid w:val="00B815A0"/>
    <w:rsid w:val="00B86323"/>
    <w:rsid w:val="00B91BAD"/>
    <w:rsid w:val="00B93D5D"/>
    <w:rsid w:val="00B96653"/>
    <w:rsid w:val="00BA4827"/>
    <w:rsid w:val="00BA64CD"/>
    <w:rsid w:val="00BB48E5"/>
    <w:rsid w:val="00BB6526"/>
    <w:rsid w:val="00BB72F6"/>
    <w:rsid w:val="00BC5185"/>
    <w:rsid w:val="00BE464B"/>
    <w:rsid w:val="00BE592E"/>
    <w:rsid w:val="00BE6A58"/>
    <w:rsid w:val="00BE6CB1"/>
    <w:rsid w:val="00BE759E"/>
    <w:rsid w:val="00BF078E"/>
    <w:rsid w:val="00BF0B0E"/>
    <w:rsid w:val="00BF19CB"/>
    <w:rsid w:val="00BF2FD4"/>
    <w:rsid w:val="00BF3339"/>
    <w:rsid w:val="00BF5926"/>
    <w:rsid w:val="00C07A0E"/>
    <w:rsid w:val="00C10C11"/>
    <w:rsid w:val="00C134B9"/>
    <w:rsid w:val="00C15D70"/>
    <w:rsid w:val="00C20A96"/>
    <w:rsid w:val="00C21506"/>
    <w:rsid w:val="00C22867"/>
    <w:rsid w:val="00C33133"/>
    <w:rsid w:val="00C424BD"/>
    <w:rsid w:val="00C42E0F"/>
    <w:rsid w:val="00C46D26"/>
    <w:rsid w:val="00C57A71"/>
    <w:rsid w:val="00C57B62"/>
    <w:rsid w:val="00C60A04"/>
    <w:rsid w:val="00C61E09"/>
    <w:rsid w:val="00C63156"/>
    <w:rsid w:val="00C63F7E"/>
    <w:rsid w:val="00C646DB"/>
    <w:rsid w:val="00C66DED"/>
    <w:rsid w:val="00C77141"/>
    <w:rsid w:val="00C90D8D"/>
    <w:rsid w:val="00C9278F"/>
    <w:rsid w:val="00C9456E"/>
    <w:rsid w:val="00CA0F00"/>
    <w:rsid w:val="00CA18F7"/>
    <w:rsid w:val="00CA2980"/>
    <w:rsid w:val="00CA48F2"/>
    <w:rsid w:val="00CA540B"/>
    <w:rsid w:val="00CB1C8E"/>
    <w:rsid w:val="00CB39F9"/>
    <w:rsid w:val="00CB6EAC"/>
    <w:rsid w:val="00CC2326"/>
    <w:rsid w:val="00CC2C73"/>
    <w:rsid w:val="00CC2E41"/>
    <w:rsid w:val="00CC3AB4"/>
    <w:rsid w:val="00CD0710"/>
    <w:rsid w:val="00CD2D30"/>
    <w:rsid w:val="00CD6E65"/>
    <w:rsid w:val="00CF02AD"/>
    <w:rsid w:val="00D03887"/>
    <w:rsid w:val="00D04934"/>
    <w:rsid w:val="00D10D40"/>
    <w:rsid w:val="00D135E0"/>
    <w:rsid w:val="00D149A1"/>
    <w:rsid w:val="00D21FBC"/>
    <w:rsid w:val="00D24BB0"/>
    <w:rsid w:val="00D35E58"/>
    <w:rsid w:val="00D458C3"/>
    <w:rsid w:val="00D53AD2"/>
    <w:rsid w:val="00D56DB2"/>
    <w:rsid w:val="00D63D48"/>
    <w:rsid w:val="00D657BA"/>
    <w:rsid w:val="00D72181"/>
    <w:rsid w:val="00D746FA"/>
    <w:rsid w:val="00D754C3"/>
    <w:rsid w:val="00D80D8B"/>
    <w:rsid w:val="00D816B0"/>
    <w:rsid w:val="00D94C09"/>
    <w:rsid w:val="00DA6F05"/>
    <w:rsid w:val="00DB051B"/>
    <w:rsid w:val="00DB13BB"/>
    <w:rsid w:val="00DB2AC6"/>
    <w:rsid w:val="00DB3E0C"/>
    <w:rsid w:val="00DB48AC"/>
    <w:rsid w:val="00DB553A"/>
    <w:rsid w:val="00DC40C8"/>
    <w:rsid w:val="00DC5136"/>
    <w:rsid w:val="00DD563B"/>
    <w:rsid w:val="00DF18EA"/>
    <w:rsid w:val="00DF33E0"/>
    <w:rsid w:val="00DF4891"/>
    <w:rsid w:val="00DF5803"/>
    <w:rsid w:val="00DF6E66"/>
    <w:rsid w:val="00E00A37"/>
    <w:rsid w:val="00E0115D"/>
    <w:rsid w:val="00E013B6"/>
    <w:rsid w:val="00E01E3B"/>
    <w:rsid w:val="00E033F3"/>
    <w:rsid w:val="00E05B7F"/>
    <w:rsid w:val="00E071E1"/>
    <w:rsid w:val="00E07631"/>
    <w:rsid w:val="00E10F7B"/>
    <w:rsid w:val="00E1600A"/>
    <w:rsid w:val="00E20B3E"/>
    <w:rsid w:val="00E22ADC"/>
    <w:rsid w:val="00E24F40"/>
    <w:rsid w:val="00E2699F"/>
    <w:rsid w:val="00E374A7"/>
    <w:rsid w:val="00E37A06"/>
    <w:rsid w:val="00E424E3"/>
    <w:rsid w:val="00E46E5A"/>
    <w:rsid w:val="00E47731"/>
    <w:rsid w:val="00E47B66"/>
    <w:rsid w:val="00E53D2A"/>
    <w:rsid w:val="00E6541A"/>
    <w:rsid w:val="00E66D0B"/>
    <w:rsid w:val="00E7271F"/>
    <w:rsid w:val="00E7642C"/>
    <w:rsid w:val="00E85F70"/>
    <w:rsid w:val="00E91EF4"/>
    <w:rsid w:val="00E9559D"/>
    <w:rsid w:val="00E96D9D"/>
    <w:rsid w:val="00EA0491"/>
    <w:rsid w:val="00EA0F27"/>
    <w:rsid w:val="00EB6118"/>
    <w:rsid w:val="00EE2F70"/>
    <w:rsid w:val="00EE5C99"/>
    <w:rsid w:val="00EE78B1"/>
    <w:rsid w:val="00EF1878"/>
    <w:rsid w:val="00EF1E88"/>
    <w:rsid w:val="00EF5A9D"/>
    <w:rsid w:val="00EF5AFE"/>
    <w:rsid w:val="00F03A99"/>
    <w:rsid w:val="00F14568"/>
    <w:rsid w:val="00F15536"/>
    <w:rsid w:val="00F1667D"/>
    <w:rsid w:val="00F2792A"/>
    <w:rsid w:val="00F310DC"/>
    <w:rsid w:val="00F322E6"/>
    <w:rsid w:val="00F35D96"/>
    <w:rsid w:val="00F373FF"/>
    <w:rsid w:val="00F37EB5"/>
    <w:rsid w:val="00F436F2"/>
    <w:rsid w:val="00F443A4"/>
    <w:rsid w:val="00F46817"/>
    <w:rsid w:val="00F674CB"/>
    <w:rsid w:val="00F700EF"/>
    <w:rsid w:val="00F71FA0"/>
    <w:rsid w:val="00F7333D"/>
    <w:rsid w:val="00F80C26"/>
    <w:rsid w:val="00F87EB3"/>
    <w:rsid w:val="00F9096D"/>
    <w:rsid w:val="00F96559"/>
    <w:rsid w:val="00FA3031"/>
    <w:rsid w:val="00FA4C36"/>
    <w:rsid w:val="00FD658B"/>
    <w:rsid w:val="00FF61B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069C1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70E"/>
    <w:rPr>
      <w:rFonts w:ascii="Calibri" w:eastAsia="Calibri" w:hAnsi="Calibri" w:cs="Times New Roman"/>
    </w:rPr>
  </w:style>
  <w:style w:type="paragraph" w:styleId="Heading1">
    <w:name w:val="heading 1"/>
    <w:basedOn w:val="Normal"/>
    <w:next w:val="Normal"/>
    <w:link w:val="Heading1Char"/>
    <w:uiPriority w:val="9"/>
    <w:qFormat/>
    <w:rsid w:val="00EF18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4B53BF"/>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C57"/>
    <w:pPr>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D80D8B"/>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80D8B"/>
    <w:rPr>
      <w:sz w:val="20"/>
      <w:szCs w:val="20"/>
    </w:rPr>
  </w:style>
  <w:style w:type="character" w:styleId="FootnoteReference">
    <w:name w:val="footnote reference"/>
    <w:basedOn w:val="DefaultParagraphFont"/>
    <w:uiPriority w:val="99"/>
    <w:semiHidden/>
    <w:unhideWhenUsed/>
    <w:rsid w:val="00D80D8B"/>
    <w:rPr>
      <w:vertAlign w:val="superscript"/>
    </w:rPr>
  </w:style>
  <w:style w:type="paragraph" w:styleId="Header">
    <w:name w:val="header"/>
    <w:basedOn w:val="Normal"/>
    <w:link w:val="HeaderChar"/>
    <w:uiPriority w:val="99"/>
    <w:unhideWhenUsed/>
    <w:rsid w:val="00492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4A5"/>
    <w:rPr>
      <w:rFonts w:ascii="Calibri" w:eastAsia="Calibri" w:hAnsi="Calibri" w:cs="Times New Roman"/>
    </w:rPr>
  </w:style>
  <w:style w:type="paragraph" w:styleId="Footer">
    <w:name w:val="footer"/>
    <w:basedOn w:val="Normal"/>
    <w:link w:val="FooterChar"/>
    <w:uiPriority w:val="99"/>
    <w:unhideWhenUsed/>
    <w:rsid w:val="00492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4A5"/>
    <w:rPr>
      <w:rFonts w:ascii="Calibri" w:eastAsia="Calibri" w:hAnsi="Calibri" w:cs="Times New Roman"/>
    </w:rPr>
  </w:style>
  <w:style w:type="character" w:styleId="CommentReference">
    <w:name w:val="annotation reference"/>
    <w:basedOn w:val="DefaultParagraphFont"/>
    <w:uiPriority w:val="99"/>
    <w:semiHidden/>
    <w:unhideWhenUsed/>
    <w:rsid w:val="004924A5"/>
    <w:rPr>
      <w:sz w:val="16"/>
      <w:szCs w:val="16"/>
    </w:rPr>
  </w:style>
  <w:style w:type="paragraph" w:styleId="CommentText">
    <w:name w:val="annotation text"/>
    <w:basedOn w:val="Normal"/>
    <w:link w:val="CommentTextChar"/>
    <w:uiPriority w:val="99"/>
    <w:unhideWhenUsed/>
    <w:rsid w:val="004924A5"/>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924A5"/>
    <w:rPr>
      <w:sz w:val="20"/>
      <w:szCs w:val="20"/>
    </w:rPr>
  </w:style>
  <w:style w:type="paragraph" w:styleId="BalloonText">
    <w:name w:val="Balloon Text"/>
    <w:basedOn w:val="Normal"/>
    <w:link w:val="BalloonTextChar"/>
    <w:uiPriority w:val="99"/>
    <w:semiHidden/>
    <w:unhideWhenUsed/>
    <w:rsid w:val="00492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4A5"/>
    <w:rPr>
      <w:rFonts w:ascii="Segoe UI" w:eastAsia="Calibri" w:hAnsi="Segoe UI" w:cs="Segoe UI"/>
      <w:sz w:val="18"/>
      <w:szCs w:val="18"/>
    </w:rPr>
  </w:style>
  <w:style w:type="character" w:styleId="Hyperlink">
    <w:name w:val="Hyperlink"/>
    <w:basedOn w:val="DefaultParagraphFont"/>
    <w:uiPriority w:val="99"/>
    <w:unhideWhenUsed/>
    <w:rsid w:val="002B6625"/>
    <w:rPr>
      <w:color w:val="0563C1" w:themeColor="hyperlink"/>
      <w:u w:val="single"/>
    </w:rPr>
  </w:style>
  <w:style w:type="character" w:customStyle="1" w:styleId="UnresolvedMention1">
    <w:name w:val="Unresolved Mention1"/>
    <w:basedOn w:val="DefaultParagraphFont"/>
    <w:uiPriority w:val="99"/>
    <w:semiHidden/>
    <w:unhideWhenUsed/>
    <w:rsid w:val="000244C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D5EA1"/>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1D5EA1"/>
    <w:rPr>
      <w:rFonts w:ascii="Calibri" w:eastAsia="Calibri" w:hAnsi="Calibri" w:cs="Times New Roman"/>
      <w:b/>
      <w:bCs/>
      <w:sz w:val="20"/>
      <w:szCs w:val="20"/>
    </w:rPr>
  </w:style>
  <w:style w:type="paragraph" w:customStyle="1" w:styleId="Default">
    <w:name w:val="Default"/>
    <w:rsid w:val="0088425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88425D"/>
    <w:pPr>
      <w:spacing w:after="0" w:line="240" w:lineRule="auto"/>
    </w:pPr>
    <w:rPr>
      <w:rFonts w:ascii="Calibri" w:eastAsia="Calibri" w:hAnsi="Calibri" w:cs="Times New Roman"/>
    </w:rPr>
  </w:style>
  <w:style w:type="character" w:customStyle="1" w:styleId="tlid-translation">
    <w:name w:val="tlid-translation"/>
    <w:basedOn w:val="DefaultParagraphFont"/>
    <w:rsid w:val="0098416C"/>
  </w:style>
  <w:style w:type="character" w:customStyle="1" w:styleId="UnresolvedMention">
    <w:name w:val="Unresolved Mention"/>
    <w:basedOn w:val="DefaultParagraphFont"/>
    <w:uiPriority w:val="99"/>
    <w:semiHidden/>
    <w:unhideWhenUsed/>
    <w:rsid w:val="0007543D"/>
    <w:rPr>
      <w:color w:val="605E5C"/>
      <w:shd w:val="clear" w:color="auto" w:fill="E1DFDD"/>
    </w:rPr>
  </w:style>
  <w:style w:type="paragraph" w:styleId="Title">
    <w:name w:val="Title"/>
    <w:basedOn w:val="Normal"/>
    <w:next w:val="Normal"/>
    <w:link w:val="TitleChar"/>
    <w:uiPriority w:val="10"/>
    <w:qFormat/>
    <w:rsid w:val="00EF18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87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F187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D7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B53B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4015">
      <w:bodyDiv w:val="1"/>
      <w:marLeft w:val="0"/>
      <w:marRight w:val="0"/>
      <w:marTop w:val="0"/>
      <w:marBottom w:val="0"/>
      <w:divBdr>
        <w:top w:val="none" w:sz="0" w:space="0" w:color="auto"/>
        <w:left w:val="none" w:sz="0" w:space="0" w:color="auto"/>
        <w:bottom w:val="none" w:sz="0" w:space="0" w:color="auto"/>
        <w:right w:val="none" w:sz="0" w:space="0" w:color="auto"/>
      </w:divBdr>
      <w:divsChild>
        <w:div w:id="343947224">
          <w:marLeft w:val="0"/>
          <w:marRight w:val="0"/>
          <w:marTop w:val="0"/>
          <w:marBottom w:val="0"/>
          <w:divBdr>
            <w:top w:val="none" w:sz="0" w:space="0" w:color="auto"/>
            <w:left w:val="none" w:sz="0" w:space="0" w:color="auto"/>
            <w:bottom w:val="none" w:sz="0" w:space="0" w:color="auto"/>
            <w:right w:val="none" w:sz="0" w:space="0" w:color="auto"/>
          </w:divBdr>
          <w:divsChild>
            <w:div w:id="7621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6875">
      <w:bodyDiv w:val="1"/>
      <w:marLeft w:val="0"/>
      <w:marRight w:val="0"/>
      <w:marTop w:val="0"/>
      <w:marBottom w:val="0"/>
      <w:divBdr>
        <w:top w:val="none" w:sz="0" w:space="0" w:color="auto"/>
        <w:left w:val="none" w:sz="0" w:space="0" w:color="auto"/>
        <w:bottom w:val="none" w:sz="0" w:space="0" w:color="auto"/>
        <w:right w:val="none" w:sz="0" w:space="0" w:color="auto"/>
      </w:divBdr>
    </w:div>
    <w:div w:id="413403304">
      <w:bodyDiv w:val="1"/>
      <w:marLeft w:val="0"/>
      <w:marRight w:val="0"/>
      <w:marTop w:val="0"/>
      <w:marBottom w:val="0"/>
      <w:divBdr>
        <w:top w:val="none" w:sz="0" w:space="0" w:color="auto"/>
        <w:left w:val="none" w:sz="0" w:space="0" w:color="auto"/>
        <w:bottom w:val="none" w:sz="0" w:space="0" w:color="auto"/>
        <w:right w:val="none" w:sz="0" w:space="0" w:color="auto"/>
      </w:divBdr>
      <w:divsChild>
        <w:div w:id="732889752">
          <w:marLeft w:val="0"/>
          <w:marRight w:val="0"/>
          <w:marTop w:val="0"/>
          <w:marBottom w:val="0"/>
          <w:divBdr>
            <w:top w:val="none" w:sz="0" w:space="0" w:color="auto"/>
            <w:left w:val="none" w:sz="0" w:space="0" w:color="auto"/>
            <w:bottom w:val="none" w:sz="0" w:space="0" w:color="auto"/>
            <w:right w:val="none" w:sz="0" w:space="0" w:color="auto"/>
          </w:divBdr>
          <w:divsChild>
            <w:div w:id="124619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4748">
      <w:bodyDiv w:val="1"/>
      <w:marLeft w:val="0"/>
      <w:marRight w:val="0"/>
      <w:marTop w:val="0"/>
      <w:marBottom w:val="0"/>
      <w:divBdr>
        <w:top w:val="none" w:sz="0" w:space="0" w:color="auto"/>
        <w:left w:val="none" w:sz="0" w:space="0" w:color="auto"/>
        <w:bottom w:val="none" w:sz="0" w:space="0" w:color="auto"/>
        <w:right w:val="none" w:sz="0" w:space="0" w:color="auto"/>
      </w:divBdr>
    </w:div>
    <w:div w:id="1628050834">
      <w:bodyDiv w:val="1"/>
      <w:marLeft w:val="0"/>
      <w:marRight w:val="0"/>
      <w:marTop w:val="0"/>
      <w:marBottom w:val="0"/>
      <w:divBdr>
        <w:top w:val="none" w:sz="0" w:space="0" w:color="auto"/>
        <w:left w:val="none" w:sz="0" w:space="0" w:color="auto"/>
        <w:bottom w:val="none" w:sz="0" w:space="0" w:color="auto"/>
        <w:right w:val="none" w:sz="0" w:space="0" w:color="auto"/>
      </w:divBdr>
    </w:div>
    <w:div w:id="163645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uota.admin@awe.gov.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bdit.bilateral@customs.go.i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kretariat.knfp@kemendag.go.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elpdesk@insw.go.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BE11C-385D-4F84-86DD-888FE6740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2077</Words>
  <Characters>11844</Characters>
  <Application>Microsoft Office Word</Application>
  <DocSecurity>0</DocSecurity>
  <Lines>98</Lines>
  <Paragraphs>27</Paragraphs>
  <ScaleCrop>false</ScaleCrop>
  <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Procedures for Chapter 2 (Trade in Goods) and Chapter 3 (Non-Tariff Measures) of the Indonesia-Australia Comprehensive Economic Partnership Agreement</dc:title>
  <dc:subject/>
  <dc:creator/>
  <cp:keywords/>
  <dc:description/>
  <cp:lastModifiedBy/>
  <cp:revision>1</cp:revision>
  <dcterms:created xsi:type="dcterms:W3CDTF">2020-07-08T06:57:00Z</dcterms:created>
  <dcterms:modified xsi:type="dcterms:W3CDTF">2020-07-08T06:57:00Z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a3fa2e08-251c-4b2a-a029-fed6e636ac61</vt:lpwstr>
  </property>
  <property fmtid="{D5CDD505-2E9C-101B-9397-08002B2CF9AE}" pid="3" name="SEC">
    <vt:lpwstr>OFFICIAL</vt:lpwstr>
  </property>
</Properties>
</file>