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GridBlack"/>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cument title: Humanitarian Strategic Partnership Frameworks - Final Evaluation Report"/>
        <w:tblDescription w:val="13 AUGUST 2025&#10;&#10;JO-HANNAH LAVEY, JOEL THORPE, NATALIA BEGHIN&#10;"/>
      </w:tblPr>
      <w:tblGrid>
        <w:gridCol w:w="9638"/>
      </w:tblGrid>
      <w:tr w:rsidR="0099396E" w14:paraId="12E5A5EE" w14:textId="77777777" w:rsidTr="00044540">
        <w:trPr>
          <w:trHeight w:val="8391"/>
        </w:trPr>
        <w:tc>
          <w:tcPr>
            <w:tcW w:w="9638" w:type="dxa"/>
          </w:tcPr>
          <w:p w14:paraId="22257AD3" w14:textId="077D5335" w:rsidR="00D217FC" w:rsidRPr="00D217FC" w:rsidRDefault="00D217FC" w:rsidP="00D217FC">
            <w:pPr>
              <w:jc w:val="right"/>
            </w:pPr>
          </w:p>
        </w:tc>
      </w:tr>
      <w:tr w:rsidR="0099396E" w14:paraId="34B1E32D" w14:textId="77777777" w:rsidTr="00044540">
        <w:trPr>
          <w:trHeight w:val="3679"/>
        </w:trPr>
        <w:tc>
          <w:tcPr>
            <w:tcW w:w="9638" w:type="dxa"/>
            <w:vAlign w:val="bottom"/>
          </w:tcPr>
          <w:sdt>
            <w:sdtPr>
              <w:rPr>
                <w:b/>
                <w:bCs w:val="0"/>
              </w:rPr>
              <w:alias w:val="Links to footer - Don't add line breaks"/>
              <w:tag w:val="Don't add line breaks"/>
              <w:id w:val="-1881004855"/>
              <w:lock w:val="sdtLocked"/>
              <w:placeholder>
                <w:docPart w:val="5645786DF8204C33BBB4366A21E2BC28"/>
              </w:placeholder>
              <w:text/>
            </w:sdtPr>
            <w:sdtEndPr/>
            <w:sdtContent>
              <w:p w14:paraId="0F1B548F" w14:textId="53A26F8D" w:rsidR="0099396E" w:rsidRPr="00EB76F5" w:rsidRDefault="001F2EF0" w:rsidP="00CF293F">
                <w:pPr>
                  <w:pStyle w:val="CoverTitle"/>
                  <w:ind w:left="373" w:hanging="13"/>
                  <w:rPr>
                    <w:b/>
                    <w:bCs w:val="0"/>
                  </w:rPr>
                </w:pPr>
                <w:r w:rsidRPr="00EB76F5">
                  <w:rPr>
                    <w:b/>
                    <w:bCs w:val="0"/>
                  </w:rPr>
                  <w:t xml:space="preserve">Humanitarian Strategic Partnership Frameworks </w:t>
                </w:r>
              </w:p>
            </w:sdtContent>
          </w:sdt>
          <w:p w14:paraId="2687B529" w14:textId="462D8E72" w:rsidR="009D07D2" w:rsidRPr="00EB76F5" w:rsidRDefault="00DA633F" w:rsidP="00EB76F5">
            <w:pPr>
              <w:pStyle w:val="CoverSubtitle"/>
              <w:rPr>
                <w:bCs w:val="0"/>
              </w:rPr>
            </w:pPr>
            <w:r>
              <w:rPr>
                <w:bCs w:val="0"/>
              </w:rPr>
              <w:t xml:space="preserve">final </w:t>
            </w:r>
            <w:r w:rsidR="009711D7" w:rsidRPr="00EB76F5">
              <w:rPr>
                <w:bCs w:val="0"/>
              </w:rPr>
              <w:t>E</w:t>
            </w:r>
            <w:r w:rsidR="001F1867" w:rsidRPr="00EB76F5">
              <w:rPr>
                <w:bCs w:val="0"/>
              </w:rPr>
              <w:t xml:space="preserve">valuation </w:t>
            </w:r>
            <w:r w:rsidR="009711D7" w:rsidRPr="00EB76F5">
              <w:rPr>
                <w:bCs w:val="0"/>
              </w:rPr>
              <w:t>R</w:t>
            </w:r>
            <w:r w:rsidR="001F1867" w:rsidRPr="00EB76F5">
              <w:rPr>
                <w:bCs w:val="0"/>
              </w:rPr>
              <w:t>eport</w:t>
            </w:r>
          </w:p>
          <w:p w14:paraId="3F3DBD1D" w14:textId="3A025B6C" w:rsidR="0099396E" w:rsidRPr="00EB76F5" w:rsidRDefault="006E27D1" w:rsidP="00EB76F5">
            <w:pPr>
              <w:pStyle w:val="CoverDetail"/>
              <w:ind w:hanging="347"/>
              <w:rPr>
                <w:bCs w:val="0"/>
                <w:color w:val="4F5054"/>
              </w:rPr>
            </w:pPr>
            <w:sdt>
              <w:sdtPr>
                <w:rPr>
                  <w:bCs w:val="0"/>
                  <w:color w:val="4F5054"/>
                </w:rPr>
                <w:id w:val="-2049367916"/>
                <w:placeholder>
                  <w:docPart w:val="2309E497E40B4AC681FE9374E15F238E"/>
                </w:placeholder>
                <w:date w:fullDate="2025-08-21T00:00:00Z">
                  <w:dateFormat w:val="d MMMM yyyy"/>
                  <w:lid w:val="en-AU"/>
                  <w:storeMappedDataAs w:val="dateTime"/>
                  <w:calendar w:val="gregorian"/>
                </w:date>
              </w:sdtPr>
              <w:sdtEndPr/>
              <w:sdtContent>
                <w:r w:rsidR="000F1CC2">
                  <w:rPr>
                    <w:bCs w:val="0"/>
                    <w:color w:val="4F5054"/>
                  </w:rPr>
                  <w:t>21 August 2025</w:t>
                </w:r>
              </w:sdtContent>
            </w:sdt>
          </w:p>
          <w:p w14:paraId="3E8CC57F" w14:textId="77777777" w:rsidR="00020AE2" w:rsidRPr="00EB76F5" w:rsidRDefault="00020AE2" w:rsidP="001F31E8">
            <w:pPr>
              <w:pStyle w:val="CoverDetail"/>
              <w:ind w:left="0" w:firstLine="366"/>
              <w:rPr>
                <w:bCs w:val="0"/>
                <w:color w:val="4F5054"/>
              </w:rPr>
            </w:pPr>
          </w:p>
          <w:p w14:paraId="39816950" w14:textId="201A346C" w:rsidR="00020AE2" w:rsidRPr="00EB76F5" w:rsidRDefault="00023D92" w:rsidP="00EB76F5">
            <w:pPr>
              <w:pStyle w:val="CoverDetail"/>
              <w:ind w:left="373" w:hanging="7"/>
              <w:rPr>
                <w:bCs w:val="0"/>
              </w:rPr>
            </w:pPr>
            <w:r w:rsidRPr="00EB76F5">
              <w:rPr>
                <w:bCs w:val="0"/>
                <w:color w:val="4F5054"/>
              </w:rPr>
              <w:t>Jo-Hannah Lavey, Joel Thorpe, Natalia BeGhin</w:t>
            </w:r>
          </w:p>
        </w:tc>
      </w:tr>
    </w:tbl>
    <w:sdt>
      <w:sdtPr>
        <w:rPr>
          <w:rStyle w:val="FooterChar"/>
        </w:rPr>
        <w:alias w:val="DOUBLE CLICK HERE THEN HIT DELETE TO REMOVE PAGE"/>
        <w:tag w:val="DOUBLE CLICK HERE THEN HIT DELETE TO REMOVE"/>
        <w:id w:val="-2088531164"/>
        <w:placeholder>
          <w:docPart w:val="5645786DF8204C33BBB4366A21E2BC28"/>
        </w:placeholder>
        <w15:color w:val="FF00FF"/>
      </w:sdtPr>
      <w:sdtEndPr>
        <w:rPr>
          <w:rStyle w:val="FooterChar"/>
        </w:rPr>
      </w:sdtEndPr>
      <w:sdtContent>
        <w:p w14:paraId="6A216053" w14:textId="04EA776A" w:rsidR="009D07D2" w:rsidRDefault="002C5C7C" w:rsidP="0021655F">
          <w:r w:rsidRPr="00DD016A">
            <w:rPr>
              <w:rStyle w:val="FooterChar"/>
              <w:noProof/>
            </w:rPr>
            <mc:AlternateContent>
              <mc:Choice Requires="wps">
                <w:drawing>
                  <wp:anchor distT="0" distB="0" distL="114300" distR="114300" simplePos="0" relativeHeight="251658240" behindDoc="0" locked="0" layoutInCell="1" allowOverlap="1" wp14:anchorId="08F48447" wp14:editId="62D61E1C">
                    <wp:simplePos x="0" y="0"/>
                    <wp:positionH relativeFrom="margin">
                      <wp:align>right</wp:align>
                    </wp:positionH>
                    <wp:positionV relativeFrom="margin">
                      <wp:align>bottom</wp:align>
                    </wp:positionV>
                    <wp:extent cx="6115685" cy="4050030"/>
                    <wp:effectExtent l="0" t="0" r="0" b="7620"/>
                    <wp:wrapSquare wrapText="bothSides"/>
                    <wp:docPr id="32" name="Rectangle 32"/>
                    <wp:cNvGraphicFramePr/>
                    <a:graphic xmlns:a="http://schemas.openxmlformats.org/drawingml/2006/main">
                      <a:graphicData uri="http://schemas.microsoft.com/office/word/2010/wordprocessingShape">
                        <wps:wsp>
                          <wps:cNvSpPr/>
                          <wps:spPr>
                            <a:xfrm>
                              <a:off x="0" y="0"/>
                              <a:ext cx="6115685" cy="40500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6EC78D" w14:textId="77777777" w:rsidR="00A5739C" w:rsidRDefault="00A5739C" w:rsidP="002C5C7C">
                                <w:pPr>
                                  <w:pStyle w:val="CoverInsideDetail"/>
                                </w:pPr>
                                <w:r>
                                  <w:t>Report prepared by:</w:t>
                                </w:r>
                              </w:p>
                              <w:p w14:paraId="03EA1D88" w14:textId="316BE4E2" w:rsidR="00A5739C" w:rsidRDefault="006E27D1" w:rsidP="002C5C7C">
                                <w:pPr>
                                  <w:pStyle w:val="CoverDetailWhite"/>
                                </w:pPr>
                                <w:sdt>
                                  <w:sdtPr>
                                    <w:alias w:val="Name"/>
                                    <w:tag w:val="Name"/>
                                    <w:id w:val="-733462005"/>
                                    <w:placeholder>
                                      <w:docPart w:val="F76741F478774FBBBC6B2056FDB74863"/>
                                    </w:placeholder>
                                    <w:text/>
                                  </w:sdtPr>
                                  <w:sdtEndPr/>
                                  <w:sdtContent>
                                    <w:r w:rsidR="00702576">
                                      <w:t>Jo-Hannah Lavey, Joel Thorpe and Natalia Be</w:t>
                                    </w:r>
                                    <w:r w:rsidR="009420A5">
                                      <w:t>g</w:t>
                                    </w:r>
                                    <w:r w:rsidR="00702576">
                                      <w:t>hin</w:t>
                                    </w:r>
                                  </w:sdtContent>
                                </w:sdt>
                                <w:r w:rsidR="00A5739C">
                                  <w:t xml:space="preserve"> – </w:t>
                                </w:r>
                                <w:sdt>
                                  <w:sdtPr>
                                    <w:alias w:val="Position"/>
                                    <w:tag w:val="Position"/>
                                    <w:id w:val="-1891483211"/>
                                    <w:placeholder>
                                      <w:docPart w:val="5A49AA98412747809A63047A9E769932"/>
                                    </w:placeholder>
                                    <w:text/>
                                  </w:sdtPr>
                                  <w:sdtEndPr/>
                                  <w:sdtContent>
                                    <w:r w:rsidR="00DF6AC6">
                                      <w:t xml:space="preserve">Alinea </w:t>
                                    </w:r>
                                  </w:sdtContent>
                                </w:sdt>
                              </w:p>
                              <w:p w14:paraId="477B99D6" w14:textId="0DC3DE70" w:rsidR="00A5739C" w:rsidRDefault="00DF6AC6" w:rsidP="002C5C7C">
                                <w:pPr>
                                  <w:pStyle w:val="CoverDetailWhite"/>
                                </w:pPr>
                                <w:r>
                                  <w:t>alineainternational</w:t>
                                </w:r>
                                <w:r w:rsidR="00A5739C">
                                  <w:t xml:space="preserve">.com </w:t>
                                </w:r>
                              </w:p>
                              <w:p w14:paraId="6BC97FC1" w14:textId="77777777" w:rsidR="00A5739C" w:rsidRDefault="00A5739C" w:rsidP="002C5C7C">
                                <w:pPr>
                                  <w:pStyle w:val="CoverDetailWhite"/>
                                </w:pPr>
                              </w:p>
                              <w:p w14:paraId="2C37073A" w14:textId="347DA61E" w:rsidR="00A5739C" w:rsidRPr="00AE1AED" w:rsidRDefault="00A5739C" w:rsidP="00CF293F">
                                <w:pPr>
                                  <w:pStyle w:val="CoverDetailWhite"/>
                                  <w:ind w:left="426" w:firstLine="0"/>
                                  <w:rPr>
                                    <w:b/>
                                  </w:rPr>
                                </w:pPr>
                                <w:r>
                                  <w:t xml:space="preserve">Front Cover Image: </w:t>
                                </w:r>
                                <w:r w:rsidR="00BC1A57" w:rsidRPr="001F31E8">
                                  <w:rPr>
                                    <w:i/>
                                    <w:iCs w:val="0"/>
                                  </w:rPr>
                                  <w:t xml:space="preserve">View of </w:t>
                                </w:r>
                                <w:r w:rsidR="00AE1AED" w:rsidRPr="001F31E8">
                                  <w:rPr>
                                    <w:i/>
                                    <w:iCs w:val="0"/>
                                  </w:rPr>
                                  <w:t>Kutupalong refugee camp, Bangladesh</w:t>
                                </w:r>
                                <w:r w:rsidR="00AE1AED">
                                  <w:t>; available under creative commons</w:t>
                                </w:r>
                                <w:r w:rsidR="00CF293F">
                                  <w:t xml:space="preserve"> via </w:t>
                                </w:r>
                                <w:hyperlink r:id="rId11" w:history="1">
                                  <w:r w:rsidR="00CF293F" w:rsidRPr="00CF293F">
                                    <w:rPr>
                                      <w:rStyle w:val="Hyperlink"/>
                                    </w:rPr>
                                    <w:t>Openverse</w:t>
                                  </w:r>
                                </w:hyperlink>
                                <w:r w:rsidR="00CF293F" w:rsidRPr="00AE1AED">
                                  <w:rPr>
                                    <w:b/>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48447" id="Rectangle 32" o:spid="_x0000_s1026" style="position:absolute;margin-left:430.35pt;margin-top:0;width:481.55pt;height:318.9pt;z-index:251658240;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" filled="f" stroked="f" strokeweight="2pt">
                    <v:textbox inset="0,0,0,0">
                      <w:txbxContent>
                        <w:p w14:paraId="1B6EC78D" w14:textId="77777777" w:rsidR="00A5739C" w:rsidRDefault="00A5739C" w:rsidP="002C5C7C">
                          <w:pPr>
                            <w:pStyle w:val="CoverInsideDetail"/>
                          </w:pPr>
                          <w:r>
                            <w:t>Report prepared by:</w:t>
                          </w:r>
                        </w:p>
                        <w:p w14:paraId="03EA1D88" w14:textId="316BE4E2" w:rsidR="00A5739C" w:rsidRDefault="00000000" w:rsidP="002C5C7C">
                          <w:pPr>
                            <w:pStyle w:val="CoverDetailWhite"/>
                          </w:pPr>
                          <w:sdt>
                            <w:sdtPr>
                              <w:alias w:val="Name"/>
                              <w:tag w:val="Name"/>
                              <w:id w:val="-733462005"/>
                              <w:placeholder>
                                <w:docPart w:val="F76741F478774FBBBC6B2056FDB74863"/>
                              </w:placeholder>
                              <w:text/>
                            </w:sdtPr>
                            <w:sdtContent>
                              <w:r w:rsidR="00702576">
                                <w:t>Jo-Hannah Lavey, Joel Thorpe and Natalia Be</w:t>
                              </w:r>
                              <w:r w:rsidR="009420A5">
                                <w:t>g</w:t>
                              </w:r>
                              <w:r w:rsidR="00702576">
                                <w:t>hin</w:t>
                              </w:r>
                            </w:sdtContent>
                          </w:sdt>
                          <w:r w:rsidR="00A5739C">
                            <w:t xml:space="preserve"> – </w:t>
                          </w:r>
                          <w:sdt>
                            <w:sdtPr>
                              <w:alias w:val="Position"/>
                              <w:tag w:val="Position"/>
                              <w:id w:val="-1891483211"/>
                              <w:placeholder>
                                <w:docPart w:val="5A49AA98412747809A63047A9E769932"/>
                              </w:placeholder>
                              <w:text/>
                            </w:sdtPr>
                            <w:sdtContent>
                              <w:r w:rsidR="00DF6AC6">
                                <w:t xml:space="preserve">Alinea </w:t>
                              </w:r>
                            </w:sdtContent>
                          </w:sdt>
                        </w:p>
                        <w:p w14:paraId="477B99D6" w14:textId="0DC3DE70" w:rsidR="00A5739C" w:rsidRDefault="00DF6AC6" w:rsidP="002C5C7C">
                          <w:pPr>
                            <w:pStyle w:val="CoverDetailWhite"/>
                          </w:pPr>
                          <w:r>
                            <w:t>alineainternational</w:t>
                          </w:r>
                          <w:r w:rsidR="00A5739C">
                            <w:t xml:space="preserve">.com </w:t>
                          </w:r>
                        </w:p>
                        <w:p w14:paraId="6BC97FC1" w14:textId="77777777" w:rsidR="00A5739C" w:rsidRDefault="00A5739C" w:rsidP="002C5C7C">
                          <w:pPr>
                            <w:pStyle w:val="CoverDetailWhite"/>
                          </w:pPr>
                        </w:p>
                        <w:p w14:paraId="2C37073A" w14:textId="347DA61E" w:rsidR="00A5739C" w:rsidRPr="00AE1AED" w:rsidRDefault="00A5739C" w:rsidP="00CF293F">
                          <w:pPr>
                            <w:pStyle w:val="CoverDetailWhite"/>
                            <w:ind w:left="426" w:firstLine="0"/>
                            <w:rPr>
                              <w:b/>
                            </w:rPr>
                          </w:pPr>
                          <w:r>
                            <w:t xml:space="preserve">Front Cover Image: </w:t>
                          </w:r>
                          <w:r w:rsidR="00BC1A57" w:rsidRPr="001F31E8">
                            <w:rPr>
                              <w:i/>
                              <w:iCs w:val="0"/>
                            </w:rPr>
                            <w:t xml:space="preserve">View of </w:t>
                          </w:r>
                          <w:r w:rsidR="00AE1AED" w:rsidRPr="001F31E8">
                            <w:rPr>
                              <w:i/>
                              <w:iCs w:val="0"/>
                            </w:rPr>
                            <w:t>Kutupalong refugee camp, Bangladesh</w:t>
                          </w:r>
                          <w:r w:rsidR="00AE1AED">
                            <w:t>; available under creative commons</w:t>
                          </w:r>
                          <w:r w:rsidR="00CF293F">
                            <w:t xml:space="preserve"> via </w:t>
                          </w:r>
                          <w:hyperlink r:id="rId12" w:history="1">
                            <w:r w:rsidR="00CF293F" w:rsidRPr="00CF293F">
                              <w:rPr>
                                <w:rStyle w:val="Hyperlink"/>
                              </w:rPr>
                              <w:t>Openverse</w:t>
                            </w:r>
                          </w:hyperlink>
                          <w:r w:rsidR="00CF293F" w:rsidRPr="00AE1AED">
                            <w:rPr>
                              <w:b/>
                            </w:rPr>
                            <w:t xml:space="preserve"> </w:t>
                          </w:r>
                        </w:p>
                      </w:txbxContent>
                    </v:textbox>
                    <w10:wrap type="square" anchorx="margin" anchory="margin"/>
                  </v:rect>
                </w:pict>
              </mc:Fallback>
            </mc:AlternateContent>
          </w:r>
        </w:p>
      </w:sdtContent>
    </w:sdt>
    <w:p w14:paraId="1D793C34" w14:textId="77777777" w:rsidR="00DD016A" w:rsidRDefault="00DD016A">
      <w:pPr>
        <w:spacing w:after="0" w:line="240" w:lineRule="auto"/>
        <w:sectPr w:rsidR="00DD016A" w:rsidSect="00303275">
          <w:headerReference w:type="default" r:id="rId13"/>
          <w:footerReference w:type="default" r:id="rId14"/>
          <w:headerReference w:type="first" r:id="rId15"/>
          <w:footerReference w:type="first" r:id="rId16"/>
          <w:pgSz w:w="11906" w:h="16838" w:code="9"/>
          <w:pgMar w:top="1701" w:right="1134" w:bottom="1418" w:left="1134" w:header="851" w:footer="454" w:gutter="0"/>
          <w:pgBorders w:offsetFrom="page">
            <w:top w:val="single" w:sz="48" w:space="0" w:color="1D336D" w:themeColor="background2"/>
            <w:left w:val="single" w:sz="48" w:space="0" w:color="1D336D" w:themeColor="background2"/>
            <w:bottom w:val="single" w:sz="48" w:space="0" w:color="1D336D" w:themeColor="background2"/>
            <w:right w:val="single" w:sz="48" w:space="0" w:color="1D336D" w:themeColor="background2"/>
          </w:pgBorders>
          <w:cols w:space="709"/>
          <w:titlePg/>
          <w:docGrid w:linePitch="360"/>
        </w:sectPr>
      </w:pPr>
    </w:p>
    <w:p w14:paraId="11F87A55" w14:textId="77777777" w:rsidR="009711D7" w:rsidRPr="004C281F" w:rsidRDefault="009711D7" w:rsidP="004C281F">
      <w:pPr>
        <w:pStyle w:val="ChapterHeading"/>
        <w:rPr>
          <w:lang w:val="en-GB"/>
        </w:rPr>
      </w:pPr>
      <w:r w:rsidRPr="004C281F">
        <w:rPr>
          <w:lang w:val="en-GB"/>
        </w:rPr>
        <w:lastRenderedPageBreak/>
        <w:t>ACKNOWLEDGEMENTS</w:t>
      </w:r>
    </w:p>
    <w:p w14:paraId="62920DCC" w14:textId="62946940" w:rsidR="00391932" w:rsidRPr="00F81E46" w:rsidRDefault="00391932" w:rsidP="00391932">
      <w:pPr>
        <w:pStyle w:val="BodyText"/>
        <w:rPr>
          <w:noProof w:val="0"/>
          <w:lang w:val="en-GB"/>
        </w:rPr>
      </w:pPr>
      <w:r w:rsidRPr="58A6CB26">
        <w:rPr>
          <w:noProof w:val="0"/>
          <w:lang w:val="en-GB"/>
        </w:rPr>
        <w:t xml:space="preserve">The </w:t>
      </w:r>
      <w:r w:rsidR="00631562">
        <w:rPr>
          <w:noProof w:val="0"/>
          <w:lang w:val="en-GB"/>
        </w:rPr>
        <w:t>Evaluation Team</w:t>
      </w:r>
      <w:r w:rsidRPr="58A6CB26">
        <w:rPr>
          <w:noProof w:val="0"/>
          <w:lang w:val="en-GB"/>
        </w:rPr>
        <w:t xml:space="preserve"> wishes to acknowledge with appreciation the</w:t>
      </w:r>
      <w:r w:rsidRPr="00F81E46">
        <w:rPr>
          <w:noProof w:val="0"/>
          <w:lang w:val="en-GB"/>
        </w:rPr>
        <w:t xml:space="preserve"> support of the Department of Foreign Affairs and Trade in Australia and at Post, and Australia’s partners and stakeholders in the </w:t>
      </w:r>
      <w:r w:rsidR="004E06C8">
        <w:rPr>
          <w:noProof w:val="0"/>
          <w:lang w:val="en-GB"/>
        </w:rPr>
        <w:t>multilateral humanitarian community</w:t>
      </w:r>
      <w:r w:rsidRPr="58A6CB26">
        <w:rPr>
          <w:noProof w:val="0"/>
          <w:lang w:val="en-GB"/>
        </w:rPr>
        <w:t>.</w:t>
      </w:r>
      <w:r w:rsidRPr="00F81E46">
        <w:rPr>
          <w:noProof w:val="0"/>
          <w:lang w:val="en-GB"/>
        </w:rPr>
        <w:t xml:space="preserve"> The authors of the report are indebted to those who volunteered their time for this evaluation</w:t>
      </w:r>
      <w:r w:rsidR="004E06C8">
        <w:rPr>
          <w:noProof w:val="0"/>
          <w:lang w:val="en-GB"/>
        </w:rPr>
        <w:t xml:space="preserve">, especially at a time when the humanitarian system is under unprecedented </w:t>
      </w:r>
      <w:r w:rsidR="00027D92">
        <w:rPr>
          <w:noProof w:val="0"/>
          <w:lang w:val="en-GB"/>
        </w:rPr>
        <w:t>pressure.</w:t>
      </w:r>
    </w:p>
    <w:p w14:paraId="02D1DC69" w14:textId="0CD08249" w:rsidR="00FD5DB6" w:rsidRDefault="00391932" w:rsidP="00027D92">
      <w:pPr>
        <w:pStyle w:val="BodyText"/>
        <w:rPr>
          <w:noProof w:val="0"/>
          <w:lang w:val="en-GB"/>
        </w:rPr>
      </w:pPr>
      <w:r w:rsidRPr="00F81E46">
        <w:rPr>
          <w:noProof w:val="0"/>
          <w:lang w:val="en-GB"/>
        </w:rPr>
        <w:t>The views expressed in this report are those of the independent consultants, and do not represent the views of the Department of Foreign Affairs and Trade or the Australian Government or any of the stakeholders interviewed for the evaluation.</w:t>
      </w:r>
    </w:p>
    <w:p w14:paraId="01A65DB6" w14:textId="77777777" w:rsidR="00FD5DB6" w:rsidRDefault="00FD5DB6" w:rsidP="00027D92">
      <w:pPr>
        <w:pStyle w:val="BodyText"/>
        <w:rPr>
          <w:noProof w:val="0"/>
          <w:lang w:val="en-GB"/>
        </w:rPr>
        <w:sectPr w:rsidR="00FD5DB6" w:rsidSect="00303275">
          <w:headerReference w:type="default" r:id="rId17"/>
          <w:footerReference w:type="default" r:id="rId18"/>
          <w:headerReference w:type="first" r:id="rId19"/>
          <w:footerReference w:type="first" r:id="rId20"/>
          <w:pgSz w:w="11906" w:h="16838" w:code="9"/>
          <w:pgMar w:top="1701" w:right="1134" w:bottom="1134" w:left="1134" w:header="851" w:footer="454" w:gutter="0"/>
          <w:pgBorders w:offsetFrom="page">
            <w:top w:val="single" w:sz="48" w:space="0" w:color="1D336D" w:themeColor="background2"/>
            <w:left w:val="single" w:sz="48" w:space="0" w:color="1D336D" w:themeColor="background2"/>
            <w:bottom w:val="single" w:sz="48" w:space="0" w:color="1D336D" w:themeColor="background2"/>
            <w:right w:val="single" w:sz="48" w:space="0" w:color="1D336D" w:themeColor="background2"/>
          </w:pgBorders>
          <w:cols w:space="709"/>
          <w:titlePg/>
          <w:docGrid w:linePitch="360"/>
        </w:sectPr>
      </w:pPr>
    </w:p>
    <w:p w14:paraId="60C3C9C7" w14:textId="0CA66848" w:rsidR="00FD5DB6" w:rsidRDefault="007C1932" w:rsidP="00FD5DB6">
      <w:pPr>
        <w:pStyle w:val="ChapterHeading"/>
        <w:rPr>
          <w:lang w:val="en-GB"/>
        </w:rPr>
      </w:pPr>
      <w:r>
        <w:rPr>
          <w:lang w:val="en-GB"/>
        </w:rPr>
        <w:lastRenderedPageBreak/>
        <w:t xml:space="preserve">TAble of </w:t>
      </w:r>
      <w:r w:rsidR="00FD5DB6">
        <w:rPr>
          <w:lang w:val="en-GB"/>
        </w:rPr>
        <w:t>Contents</w:t>
      </w:r>
    </w:p>
    <w:p w14:paraId="250B17E0" w14:textId="5A511E11" w:rsidR="00541151" w:rsidRDefault="00541151" w:rsidP="00D431A9">
      <w:pPr>
        <w:pStyle w:val="CVHeadingSmall"/>
        <w:spacing w:after="120"/>
      </w:pPr>
      <w:r w:rsidRPr="00103C6A">
        <w:t>Abbreviations</w:t>
      </w:r>
      <w:r>
        <w:ptab w:relativeTo="margin" w:alignment="right" w:leader="dot"/>
      </w:r>
      <w:r>
        <w:rPr>
          <w:bCs/>
        </w:rPr>
        <w:t>5</w:t>
      </w:r>
    </w:p>
    <w:p w14:paraId="359FC158" w14:textId="77777777" w:rsidR="00541151" w:rsidRDefault="00541151" w:rsidP="00D431A9">
      <w:pPr>
        <w:pStyle w:val="CVHeadingSmall"/>
        <w:spacing w:before="120" w:after="120"/>
      </w:pPr>
      <w:bookmarkStart w:id="0" w:name="_Hlk201579360"/>
      <w:r w:rsidRPr="00103C6A">
        <w:t>E</w:t>
      </w:r>
      <w:bookmarkEnd w:id="0"/>
      <w:r w:rsidRPr="00103C6A">
        <w:t>xecutive Summary</w:t>
      </w:r>
      <w:r>
        <w:ptab w:relativeTo="margin" w:alignment="right" w:leader="dot"/>
      </w:r>
      <w:r>
        <w:rPr>
          <w:bCs/>
        </w:rPr>
        <w:t>6</w:t>
      </w:r>
    </w:p>
    <w:p w14:paraId="4CC9260F" w14:textId="564D9211" w:rsidR="00541151" w:rsidRDefault="00541151" w:rsidP="00D431A9">
      <w:pPr>
        <w:pStyle w:val="CVHeadingSmall"/>
        <w:spacing w:before="120" w:after="120"/>
      </w:pPr>
      <w:r>
        <w:t>Introduction</w:t>
      </w:r>
      <w:r>
        <w:ptab w:relativeTo="margin" w:alignment="right" w:leader="dot"/>
      </w:r>
      <w:r>
        <w:rPr>
          <w:bCs/>
        </w:rPr>
        <w:t>1</w:t>
      </w:r>
      <w:r w:rsidR="00E94A6F">
        <w:rPr>
          <w:bCs/>
        </w:rPr>
        <w:t>3</w:t>
      </w:r>
    </w:p>
    <w:p w14:paraId="5BC5E62A" w14:textId="31D97454" w:rsidR="00541151" w:rsidRDefault="00541151" w:rsidP="00541151">
      <w:pPr>
        <w:pStyle w:val="TOC2"/>
        <w:ind w:left="216"/>
      </w:pPr>
      <w:r>
        <w:t>Evaluation methodology</w:t>
      </w:r>
      <w:r>
        <w:ptab w:relativeTo="margin" w:alignment="right" w:leader="dot"/>
      </w:r>
      <w:r>
        <w:t>1</w:t>
      </w:r>
      <w:r w:rsidR="00E94A6F">
        <w:t>5</w:t>
      </w:r>
    </w:p>
    <w:p w14:paraId="521BB57E" w14:textId="72FF483F" w:rsidR="00541151" w:rsidRPr="00904466" w:rsidRDefault="00D431A9" w:rsidP="00D431A9">
      <w:pPr>
        <w:pStyle w:val="TOC2"/>
        <w:spacing w:before="0" w:after="120" w:line="200" w:lineRule="atLeast"/>
      </w:pPr>
      <w:r>
        <w:t xml:space="preserve"> </w:t>
      </w:r>
      <w:r w:rsidR="00541151">
        <w:t>Limitations</w:t>
      </w:r>
      <w:r w:rsidR="00541151">
        <w:ptab w:relativeTo="margin" w:alignment="right" w:leader="dot"/>
      </w:r>
      <w:r w:rsidR="00541151">
        <w:t>1</w:t>
      </w:r>
      <w:r w:rsidR="00E94A6F">
        <w:t>8</w:t>
      </w:r>
    </w:p>
    <w:p w14:paraId="0C0E939E" w14:textId="40E860DD" w:rsidR="00541151" w:rsidRDefault="00541151" w:rsidP="00D431A9">
      <w:pPr>
        <w:pStyle w:val="CVHeadingSmall"/>
        <w:spacing w:after="120"/>
      </w:pPr>
      <w:r>
        <w:t>Key evaluation questions (KEQ)</w:t>
      </w:r>
      <w:r>
        <w:ptab w:relativeTo="margin" w:alignment="right" w:leader="dot"/>
      </w:r>
      <w:r w:rsidR="004122F9">
        <w:rPr>
          <w:bCs/>
        </w:rPr>
        <w:t>2</w:t>
      </w:r>
      <w:r w:rsidR="00E94A6F">
        <w:rPr>
          <w:bCs/>
        </w:rPr>
        <w:t>0</w:t>
      </w:r>
    </w:p>
    <w:p w14:paraId="2641DD01" w14:textId="70B1CEC5" w:rsidR="00541151" w:rsidRDefault="00541151" w:rsidP="00541151">
      <w:pPr>
        <w:pStyle w:val="TOC2"/>
        <w:ind w:left="216"/>
      </w:pPr>
      <w:r>
        <w:t>KEQ 1: Relevance</w:t>
      </w:r>
      <w:r>
        <w:ptab w:relativeTo="margin" w:alignment="right" w:leader="dot"/>
      </w:r>
      <w:r w:rsidR="004122F9">
        <w:t>2</w:t>
      </w:r>
      <w:r w:rsidR="00E94A6F">
        <w:t>0</w:t>
      </w:r>
    </w:p>
    <w:p w14:paraId="47C84994" w14:textId="3CE8BC48" w:rsidR="00541151" w:rsidRDefault="00541151" w:rsidP="00541151">
      <w:pPr>
        <w:pStyle w:val="TOC2"/>
        <w:ind w:left="216"/>
      </w:pPr>
      <w:r>
        <w:t>KEQ 2: Effectiveness</w:t>
      </w:r>
      <w:r>
        <w:ptab w:relativeTo="margin" w:alignment="right" w:leader="dot"/>
      </w:r>
      <w:r>
        <w:t>2</w:t>
      </w:r>
      <w:r w:rsidR="00E94A6F">
        <w:t>2</w:t>
      </w:r>
    </w:p>
    <w:p w14:paraId="69BB80EA" w14:textId="5CE4EDEE" w:rsidR="00541151" w:rsidRDefault="00541151" w:rsidP="00541151">
      <w:pPr>
        <w:pStyle w:val="TOC2"/>
        <w:ind w:left="216"/>
      </w:pPr>
      <w:r>
        <w:t>KEQ 3: Efficiency</w:t>
      </w:r>
      <w:r>
        <w:ptab w:relativeTo="margin" w:alignment="right" w:leader="dot"/>
      </w:r>
      <w:r w:rsidR="004122F9">
        <w:t>3</w:t>
      </w:r>
      <w:r w:rsidR="00E94A6F">
        <w:t>0</w:t>
      </w:r>
    </w:p>
    <w:p w14:paraId="26902CF1" w14:textId="77A80661" w:rsidR="00C40EF2" w:rsidRDefault="00C40EF2" w:rsidP="00C40EF2">
      <w:pPr>
        <w:pStyle w:val="TOC2"/>
        <w:ind w:left="216"/>
      </w:pPr>
      <w:r>
        <w:t>KEQ 4: Alternative modalities</w:t>
      </w:r>
      <w:r>
        <w:ptab w:relativeTo="margin" w:alignment="right" w:leader="dot"/>
      </w:r>
      <w:r>
        <w:t>3</w:t>
      </w:r>
      <w:r w:rsidR="00E94A6F">
        <w:t>6</w:t>
      </w:r>
    </w:p>
    <w:p w14:paraId="594D7C27" w14:textId="02F4C5A1" w:rsidR="00541151" w:rsidRDefault="00541151" w:rsidP="00D431A9">
      <w:pPr>
        <w:pStyle w:val="CVHeadingSmall"/>
        <w:spacing w:before="120" w:after="120"/>
      </w:pPr>
      <w:r>
        <w:t>Findings and recommendations</w:t>
      </w:r>
      <w:r>
        <w:ptab w:relativeTo="margin" w:alignment="right" w:leader="dot"/>
      </w:r>
      <w:r>
        <w:rPr>
          <w:bCs/>
        </w:rPr>
        <w:t>3</w:t>
      </w:r>
      <w:r w:rsidR="00E94A6F">
        <w:rPr>
          <w:bCs/>
        </w:rPr>
        <w:t>7</w:t>
      </w:r>
    </w:p>
    <w:p w14:paraId="0CA0DAA2" w14:textId="736FB34A" w:rsidR="00541151" w:rsidRDefault="00541151" w:rsidP="00D431A9">
      <w:pPr>
        <w:pStyle w:val="CVHeadingSmall"/>
        <w:spacing w:before="120" w:after="120"/>
      </w:pPr>
      <w:r>
        <w:t>Annexes</w:t>
      </w:r>
      <w:r>
        <w:ptab w:relativeTo="margin" w:alignment="right" w:leader="dot"/>
      </w:r>
      <w:r w:rsidR="000B7826">
        <w:rPr>
          <w:bCs/>
        </w:rPr>
        <w:t>4</w:t>
      </w:r>
      <w:r w:rsidR="00E94A6F">
        <w:rPr>
          <w:bCs/>
        </w:rPr>
        <w:t>1</w:t>
      </w:r>
    </w:p>
    <w:p w14:paraId="11F03300" w14:textId="28970977" w:rsidR="00541151" w:rsidRDefault="00541151" w:rsidP="00541151">
      <w:pPr>
        <w:pStyle w:val="TOC2"/>
        <w:ind w:left="216"/>
      </w:pPr>
      <w:r>
        <w:t>Annex 1: Evaluation Matrix</w:t>
      </w:r>
      <w:r>
        <w:ptab w:relativeTo="margin" w:alignment="right" w:leader="dot"/>
      </w:r>
      <w:r w:rsidR="003C78D4">
        <w:t>4</w:t>
      </w:r>
      <w:r w:rsidR="00E94A6F">
        <w:t>1</w:t>
      </w:r>
    </w:p>
    <w:p w14:paraId="46E138AD" w14:textId="182E21F3" w:rsidR="00541151" w:rsidRDefault="00541151" w:rsidP="00541151">
      <w:pPr>
        <w:pStyle w:val="TOC2"/>
        <w:ind w:left="216"/>
      </w:pPr>
      <w:r>
        <w:t>Annex 2: Bangladesh case study</w:t>
      </w:r>
      <w:r>
        <w:ptab w:relativeTo="margin" w:alignment="right" w:leader="dot"/>
      </w:r>
      <w:r w:rsidR="003C78D4">
        <w:t>4</w:t>
      </w:r>
      <w:r w:rsidR="00E94A6F">
        <w:t>6</w:t>
      </w:r>
    </w:p>
    <w:p w14:paraId="71439B49" w14:textId="71FDB799" w:rsidR="00541151" w:rsidRDefault="00541151" w:rsidP="00541151">
      <w:pPr>
        <w:pStyle w:val="TOC2"/>
        <w:ind w:left="216"/>
      </w:pPr>
      <w:r>
        <w:t xml:space="preserve">Annex </w:t>
      </w:r>
      <w:r w:rsidR="00E12C1D">
        <w:t>3</w:t>
      </w:r>
      <w:r>
        <w:t>: Organisations consulted</w:t>
      </w:r>
      <w:r>
        <w:ptab w:relativeTo="margin" w:alignment="right" w:leader="dot"/>
      </w:r>
      <w:r w:rsidR="005F44DB">
        <w:t>5</w:t>
      </w:r>
      <w:r w:rsidR="00E94A6F">
        <w:t>3</w:t>
      </w:r>
    </w:p>
    <w:p w14:paraId="49A92B1E" w14:textId="25231F4A" w:rsidR="00541151" w:rsidRDefault="00541151" w:rsidP="00541151">
      <w:pPr>
        <w:pStyle w:val="TOC2"/>
        <w:ind w:left="216"/>
      </w:pPr>
      <w:r>
        <w:t xml:space="preserve">Annex </w:t>
      </w:r>
      <w:r w:rsidR="00E12C1D">
        <w:t>4</w:t>
      </w:r>
      <w:r>
        <w:t>: Documents reviewed</w:t>
      </w:r>
      <w:r>
        <w:ptab w:relativeTo="margin" w:alignment="right" w:leader="dot"/>
      </w:r>
      <w:r w:rsidR="003C78D4">
        <w:t>5</w:t>
      </w:r>
      <w:r w:rsidR="00E94A6F">
        <w:t>4</w:t>
      </w:r>
    </w:p>
    <w:p w14:paraId="07C88B5C" w14:textId="77777777" w:rsidR="003C6541" w:rsidRDefault="003C6541" w:rsidP="00027D92">
      <w:pPr>
        <w:pStyle w:val="BodyText"/>
        <w:rPr>
          <w:noProof w:val="0"/>
          <w:lang w:val="en-GB"/>
        </w:rPr>
      </w:pPr>
    </w:p>
    <w:p w14:paraId="553869E5" w14:textId="7C556B9E" w:rsidR="00FD5DB6" w:rsidRPr="00027D92" w:rsidRDefault="00FD5DB6" w:rsidP="00027D92">
      <w:pPr>
        <w:pStyle w:val="BodyText"/>
        <w:rPr>
          <w:noProof w:val="0"/>
          <w:lang w:val="en-GB"/>
        </w:rPr>
        <w:sectPr w:rsidR="00FD5DB6" w:rsidRPr="00027D92" w:rsidSect="00303275">
          <w:pgSz w:w="11906" w:h="16838" w:code="9"/>
          <w:pgMar w:top="1701" w:right="1134" w:bottom="1134" w:left="1134" w:header="851" w:footer="454" w:gutter="0"/>
          <w:pgBorders w:offsetFrom="page">
            <w:top w:val="single" w:sz="48" w:space="0" w:color="1D336D" w:themeColor="background2"/>
            <w:left w:val="single" w:sz="48" w:space="0" w:color="1D336D" w:themeColor="background2"/>
            <w:bottom w:val="single" w:sz="48" w:space="0" w:color="1D336D" w:themeColor="background2"/>
            <w:right w:val="single" w:sz="48" w:space="0" w:color="1D336D" w:themeColor="background2"/>
          </w:pgBorders>
          <w:cols w:space="709"/>
          <w:titlePg/>
          <w:docGrid w:linePitch="360"/>
        </w:sectPr>
      </w:pPr>
    </w:p>
    <w:p w14:paraId="7F086B14" w14:textId="77777777" w:rsidR="009711D7" w:rsidRPr="0082782D" w:rsidRDefault="009711D7" w:rsidP="0082782D">
      <w:pPr>
        <w:pStyle w:val="ChapterHeading"/>
      </w:pPr>
      <w:bookmarkStart w:id="1" w:name="_Hlk137131705"/>
      <w:bookmarkStart w:id="2" w:name="_Toc201437950"/>
      <w:bookmarkEnd w:id="1"/>
      <w:r w:rsidRPr="0082782D">
        <w:lastRenderedPageBreak/>
        <w:t>ABBREVIATIONS</w:t>
      </w:r>
      <w:bookmarkEnd w:id="2"/>
    </w:p>
    <w:tbl>
      <w:tblPr>
        <w:tblStyle w:val="TableGrid"/>
        <w:tblpPr w:leftFromText="180" w:rightFromText="180" w:vertAnchor="text" w:tblpY="1"/>
        <w:tblOverlap w:val="nev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072"/>
      </w:tblGrid>
      <w:tr w:rsidR="00167748" w:rsidRPr="00102DC3" w14:paraId="2434639C" w14:textId="77777777" w:rsidTr="00505FFA">
        <w:tc>
          <w:tcPr>
            <w:tcW w:w="1413" w:type="dxa"/>
          </w:tcPr>
          <w:p w14:paraId="6DB080D8" w14:textId="03F6C47F" w:rsidR="00167748" w:rsidRPr="006E7BB6" w:rsidRDefault="00167748" w:rsidP="005841C1">
            <w:pPr>
              <w:spacing w:before="20" w:afterLines="20" w:after="48"/>
              <w:rPr>
                <w:rFonts w:cstheme="minorHAnsi"/>
                <w:b/>
                <w:bCs/>
                <w:color w:val="1D336D" w:themeColor="background2"/>
                <w:szCs w:val="20"/>
                <w:lang w:val="en-GB"/>
              </w:rPr>
            </w:pPr>
            <w:r>
              <w:rPr>
                <w:rFonts w:cstheme="minorHAnsi"/>
                <w:b/>
                <w:bCs/>
                <w:color w:val="1D336D" w:themeColor="background2"/>
                <w:szCs w:val="20"/>
                <w:lang w:val="en-GB"/>
              </w:rPr>
              <w:t>Acronym</w:t>
            </w:r>
          </w:p>
        </w:tc>
        <w:tc>
          <w:tcPr>
            <w:tcW w:w="9072" w:type="dxa"/>
          </w:tcPr>
          <w:p w14:paraId="274BDB9A" w14:textId="5D46C390" w:rsidR="00167748" w:rsidRPr="00102DC3" w:rsidRDefault="006A74C0" w:rsidP="005841C1">
            <w:pPr>
              <w:spacing w:before="20" w:afterLines="20" w:after="48"/>
              <w:rPr>
                <w:rFonts w:cstheme="minorHAnsi"/>
                <w:szCs w:val="20"/>
                <w:lang w:val="en-GB"/>
              </w:rPr>
            </w:pPr>
            <w:r>
              <w:rPr>
                <w:rFonts w:cstheme="minorHAnsi"/>
                <w:b/>
                <w:bCs/>
                <w:color w:val="1D336D" w:themeColor="background2"/>
                <w:szCs w:val="20"/>
                <w:lang w:val="en-GB"/>
              </w:rPr>
              <w:t>Full Form</w:t>
            </w:r>
          </w:p>
        </w:tc>
      </w:tr>
      <w:tr w:rsidR="000B30A5" w:rsidRPr="00102DC3" w14:paraId="482F6799" w14:textId="6EEFD555" w:rsidTr="00505FFA">
        <w:tc>
          <w:tcPr>
            <w:tcW w:w="1413" w:type="dxa"/>
          </w:tcPr>
          <w:p w14:paraId="1E9EABBE" w14:textId="2011A277"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AAP</w:t>
            </w:r>
          </w:p>
        </w:tc>
        <w:tc>
          <w:tcPr>
            <w:tcW w:w="9072" w:type="dxa"/>
          </w:tcPr>
          <w:p w14:paraId="01D804AF" w14:textId="7175FDDC" w:rsidR="00102DC3" w:rsidRPr="00102DC3" w:rsidRDefault="00102DC3" w:rsidP="005841C1">
            <w:pPr>
              <w:spacing w:before="20" w:afterLines="20" w:after="48"/>
              <w:rPr>
                <w:rFonts w:cstheme="minorHAnsi"/>
                <w:szCs w:val="20"/>
                <w:lang w:val="en-GB"/>
              </w:rPr>
            </w:pPr>
            <w:r w:rsidRPr="00102DC3">
              <w:rPr>
                <w:rFonts w:cstheme="minorHAnsi"/>
                <w:szCs w:val="20"/>
                <w:lang w:val="en-GB"/>
              </w:rPr>
              <w:t>Accountability to Affected Populations</w:t>
            </w:r>
          </w:p>
        </w:tc>
      </w:tr>
      <w:tr w:rsidR="000B30A5" w:rsidRPr="00102DC3" w14:paraId="23CBABD0" w14:textId="77777777" w:rsidTr="00505FFA">
        <w:tc>
          <w:tcPr>
            <w:tcW w:w="1413" w:type="dxa"/>
          </w:tcPr>
          <w:p w14:paraId="26B34CEE" w14:textId="221277E2" w:rsidR="00A64C01" w:rsidRPr="006E7BB6" w:rsidRDefault="00C8152D"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CAA</w:t>
            </w:r>
          </w:p>
        </w:tc>
        <w:tc>
          <w:tcPr>
            <w:tcW w:w="9072" w:type="dxa"/>
          </w:tcPr>
          <w:p w14:paraId="479B16EF" w14:textId="336D8A83" w:rsidR="00A64C01" w:rsidRPr="00102DC3" w:rsidRDefault="00C8152D" w:rsidP="005841C1">
            <w:pPr>
              <w:spacing w:before="20" w:afterLines="20" w:after="48"/>
              <w:rPr>
                <w:rFonts w:cstheme="minorHAnsi"/>
                <w:szCs w:val="20"/>
                <w:lang w:val="en-GB"/>
              </w:rPr>
            </w:pPr>
            <w:r>
              <w:rPr>
                <w:rFonts w:cstheme="minorHAnsi"/>
                <w:szCs w:val="20"/>
                <w:lang w:val="en-GB"/>
              </w:rPr>
              <w:t>C</w:t>
            </w:r>
            <w:r w:rsidR="00B24108">
              <w:rPr>
                <w:rFonts w:cstheme="minorHAnsi"/>
                <w:szCs w:val="20"/>
                <w:lang w:val="en-GB"/>
              </w:rPr>
              <w:t>entral</w:t>
            </w:r>
            <w:r>
              <w:rPr>
                <w:rFonts w:cstheme="minorHAnsi"/>
                <w:szCs w:val="20"/>
                <w:lang w:val="en-GB"/>
              </w:rPr>
              <w:t xml:space="preserve"> Assurance Assessments</w:t>
            </w:r>
          </w:p>
        </w:tc>
      </w:tr>
      <w:tr w:rsidR="000B30A5" w:rsidRPr="00102DC3" w14:paraId="7BECED91" w14:textId="20271C47" w:rsidTr="00505FFA">
        <w:tc>
          <w:tcPr>
            <w:tcW w:w="1413" w:type="dxa"/>
          </w:tcPr>
          <w:p w14:paraId="415F3123" w14:textId="2985C15C"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CBPF</w:t>
            </w:r>
          </w:p>
        </w:tc>
        <w:tc>
          <w:tcPr>
            <w:tcW w:w="9072" w:type="dxa"/>
          </w:tcPr>
          <w:p w14:paraId="1774970D" w14:textId="0BEFAD7A" w:rsidR="00102DC3" w:rsidRPr="00102DC3" w:rsidRDefault="00102DC3" w:rsidP="005841C1">
            <w:pPr>
              <w:spacing w:before="20" w:afterLines="20" w:after="48"/>
              <w:rPr>
                <w:rFonts w:cstheme="minorHAnsi"/>
                <w:szCs w:val="20"/>
                <w:lang w:val="en-GB"/>
              </w:rPr>
            </w:pPr>
            <w:r w:rsidRPr="00102DC3">
              <w:rPr>
                <w:rFonts w:cstheme="minorHAnsi"/>
                <w:szCs w:val="20"/>
                <w:lang w:val="en-GB"/>
              </w:rPr>
              <w:t>Country</w:t>
            </w:r>
            <w:r w:rsidR="009F08A9">
              <w:rPr>
                <w:rFonts w:cstheme="minorHAnsi"/>
                <w:szCs w:val="20"/>
                <w:lang w:val="en-GB"/>
              </w:rPr>
              <w:t xml:space="preserve"> </w:t>
            </w:r>
            <w:r w:rsidRPr="00102DC3">
              <w:rPr>
                <w:rFonts w:cstheme="minorHAnsi"/>
                <w:szCs w:val="20"/>
                <w:lang w:val="en-GB"/>
              </w:rPr>
              <w:t>Based Pooled Fund</w:t>
            </w:r>
          </w:p>
        </w:tc>
      </w:tr>
      <w:tr w:rsidR="000B30A5" w:rsidRPr="00102DC3" w14:paraId="2AAEE1BE" w14:textId="6ED39D98" w:rsidTr="00505FFA">
        <w:tc>
          <w:tcPr>
            <w:tcW w:w="1413" w:type="dxa"/>
          </w:tcPr>
          <w:p w14:paraId="4B62DC6B" w14:textId="3EFA7FDD"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CERF</w:t>
            </w:r>
          </w:p>
        </w:tc>
        <w:tc>
          <w:tcPr>
            <w:tcW w:w="9072" w:type="dxa"/>
          </w:tcPr>
          <w:p w14:paraId="4751C22F" w14:textId="056ADB85" w:rsidR="00102DC3" w:rsidRPr="00102DC3" w:rsidRDefault="00102DC3" w:rsidP="005841C1">
            <w:pPr>
              <w:spacing w:before="20" w:afterLines="20" w:after="48"/>
              <w:rPr>
                <w:rFonts w:cstheme="minorHAnsi"/>
                <w:szCs w:val="20"/>
                <w:lang w:val="en-GB"/>
              </w:rPr>
            </w:pPr>
            <w:r w:rsidRPr="00102DC3">
              <w:rPr>
                <w:rFonts w:cstheme="minorHAnsi"/>
                <w:szCs w:val="20"/>
                <w:lang w:val="en-GB"/>
              </w:rPr>
              <w:t>Central Emergency Response Fund</w:t>
            </w:r>
          </w:p>
        </w:tc>
      </w:tr>
      <w:tr w:rsidR="000B30A5" w:rsidRPr="00102DC3" w14:paraId="19584801" w14:textId="2693698E" w:rsidTr="00505FFA">
        <w:tc>
          <w:tcPr>
            <w:tcW w:w="1413" w:type="dxa"/>
          </w:tcPr>
          <w:p w14:paraId="12170CF2" w14:textId="1EEEE892"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DFAT</w:t>
            </w:r>
          </w:p>
        </w:tc>
        <w:tc>
          <w:tcPr>
            <w:tcW w:w="9072" w:type="dxa"/>
          </w:tcPr>
          <w:p w14:paraId="00453652" w14:textId="2FDA31E2" w:rsidR="00102DC3" w:rsidRPr="00102DC3" w:rsidRDefault="00102DC3" w:rsidP="005841C1">
            <w:pPr>
              <w:spacing w:before="20" w:afterLines="20" w:after="48"/>
              <w:rPr>
                <w:rFonts w:cstheme="minorHAnsi"/>
                <w:szCs w:val="20"/>
                <w:lang w:val="en-GB"/>
              </w:rPr>
            </w:pPr>
            <w:r w:rsidRPr="00102DC3">
              <w:rPr>
                <w:rFonts w:cstheme="minorHAnsi"/>
                <w:szCs w:val="20"/>
                <w:lang w:val="en-GB"/>
              </w:rPr>
              <w:t>Department of Foreign Affairs and Trade</w:t>
            </w:r>
          </w:p>
        </w:tc>
      </w:tr>
      <w:tr w:rsidR="000B30A5" w:rsidRPr="00102DC3" w14:paraId="6A009F1F" w14:textId="594C7685" w:rsidTr="00505FFA">
        <w:tc>
          <w:tcPr>
            <w:tcW w:w="1413" w:type="dxa"/>
          </w:tcPr>
          <w:p w14:paraId="4C295DCF" w14:textId="3FBFCF75"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EOL</w:t>
            </w:r>
          </w:p>
        </w:tc>
        <w:tc>
          <w:tcPr>
            <w:tcW w:w="9072" w:type="dxa"/>
          </w:tcPr>
          <w:p w14:paraId="656BAF85" w14:textId="59A3A43F" w:rsidR="00102DC3" w:rsidRPr="00102DC3" w:rsidRDefault="00102DC3" w:rsidP="005841C1">
            <w:pPr>
              <w:spacing w:before="20" w:afterLines="20" w:after="48"/>
              <w:rPr>
                <w:rFonts w:cstheme="minorHAnsi"/>
                <w:szCs w:val="20"/>
                <w:lang w:val="en-GB"/>
              </w:rPr>
            </w:pPr>
            <w:r w:rsidRPr="00102DC3">
              <w:rPr>
                <w:rFonts w:cstheme="minorHAnsi"/>
                <w:szCs w:val="20"/>
                <w:lang w:val="en-GB"/>
              </w:rPr>
              <w:t>Exchange of Letters</w:t>
            </w:r>
          </w:p>
        </w:tc>
      </w:tr>
      <w:tr w:rsidR="009F08A9" w:rsidRPr="00102DC3" w14:paraId="058A44D4" w14:textId="77777777" w:rsidTr="00505FFA">
        <w:tc>
          <w:tcPr>
            <w:tcW w:w="1413" w:type="dxa"/>
          </w:tcPr>
          <w:p w14:paraId="09DE06CB" w14:textId="4918FE5A" w:rsidR="009F08A9" w:rsidRPr="009F08A9" w:rsidRDefault="009F08A9" w:rsidP="005841C1">
            <w:pPr>
              <w:spacing w:before="20" w:afterLines="20" w:after="48"/>
              <w:rPr>
                <w:rFonts w:cstheme="minorHAnsi"/>
                <w:b/>
                <w:bCs/>
                <w:color w:val="1D336D" w:themeColor="background2"/>
                <w:szCs w:val="20"/>
                <w:lang w:val="en-GB"/>
              </w:rPr>
            </w:pPr>
            <w:r>
              <w:rPr>
                <w:rFonts w:cstheme="minorHAnsi"/>
                <w:b/>
                <w:bCs/>
                <w:color w:val="1D336D" w:themeColor="background2"/>
                <w:szCs w:val="20"/>
                <w:lang w:val="en-GB"/>
              </w:rPr>
              <w:t>FCDO</w:t>
            </w:r>
          </w:p>
        </w:tc>
        <w:tc>
          <w:tcPr>
            <w:tcW w:w="9072" w:type="dxa"/>
          </w:tcPr>
          <w:p w14:paraId="25B756D1" w14:textId="45A1F78E" w:rsidR="009F08A9" w:rsidRPr="00102DC3" w:rsidRDefault="009F08A9" w:rsidP="005841C1">
            <w:pPr>
              <w:spacing w:before="20" w:afterLines="20" w:after="48"/>
              <w:rPr>
                <w:rFonts w:cstheme="minorHAnsi"/>
                <w:szCs w:val="20"/>
                <w:lang w:val="en-GB"/>
              </w:rPr>
            </w:pPr>
            <w:r>
              <w:rPr>
                <w:rFonts w:cstheme="minorHAnsi"/>
                <w:szCs w:val="20"/>
                <w:lang w:val="en-GB"/>
              </w:rPr>
              <w:t>Foreign Commonwealth and Development Office</w:t>
            </w:r>
          </w:p>
        </w:tc>
      </w:tr>
      <w:tr w:rsidR="000B30A5" w:rsidRPr="00102DC3" w14:paraId="4FF567F3" w14:textId="5A51E3E0" w:rsidTr="00505FFA">
        <w:tc>
          <w:tcPr>
            <w:tcW w:w="1413" w:type="dxa"/>
          </w:tcPr>
          <w:p w14:paraId="5B3D0BAA" w14:textId="0F93C3CA"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FTE</w:t>
            </w:r>
          </w:p>
        </w:tc>
        <w:tc>
          <w:tcPr>
            <w:tcW w:w="9072" w:type="dxa"/>
          </w:tcPr>
          <w:p w14:paraId="129FF639" w14:textId="73B2AFF7" w:rsidR="00102DC3" w:rsidRPr="00102DC3" w:rsidRDefault="00102DC3" w:rsidP="005841C1">
            <w:pPr>
              <w:spacing w:before="20" w:afterLines="20" w:after="48"/>
              <w:rPr>
                <w:rFonts w:cstheme="minorHAnsi"/>
                <w:szCs w:val="20"/>
                <w:lang w:val="en-GB"/>
              </w:rPr>
            </w:pPr>
            <w:r w:rsidRPr="00102DC3">
              <w:rPr>
                <w:rFonts w:cstheme="minorHAnsi"/>
                <w:szCs w:val="20"/>
                <w:lang w:val="en-GB"/>
              </w:rPr>
              <w:t>Full-Time Equivalent</w:t>
            </w:r>
            <w:r w:rsidR="0009527A">
              <w:rPr>
                <w:rFonts w:cstheme="minorHAnsi"/>
                <w:szCs w:val="20"/>
                <w:lang w:val="en-GB"/>
              </w:rPr>
              <w:t xml:space="preserve"> staff</w:t>
            </w:r>
          </w:p>
        </w:tc>
      </w:tr>
      <w:tr w:rsidR="000B30A5" w:rsidRPr="00102DC3" w14:paraId="748810C5" w14:textId="13F444D1" w:rsidTr="00505FFA">
        <w:tc>
          <w:tcPr>
            <w:tcW w:w="1413" w:type="dxa"/>
          </w:tcPr>
          <w:p w14:paraId="7A8FAA60" w14:textId="021F9014"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GEDSI</w:t>
            </w:r>
          </w:p>
        </w:tc>
        <w:tc>
          <w:tcPr>
            <w:tcW w:w="9072" w:type="dxa"/>
          </w:tcPr>
          <w:p w14:paraId="1D00BE20" w14:textId="2A70FEED" w:rsidR="00102DC3" w:rsidRPr="00102DC3" w:rsidRDefault="00102DC3" w:rsidP="005841C1">
            <w:pPr>
              <w:spacing w:before="20" w:afterLines="20" w:after="48"/>
              <w:rPr>
                <w:rFonts w:cstheme="minorHAnsi"/>
                <w:szCs w:val="20"/>
                <w:lang w:val="en-GB"/>
              </w:rPr>
            </w:pPr>
            <w:r w:rsidRPr="00102DC3">
              <w:rPr>
                <w:rFonts w:cstheme="minorHAnsi"/>
                <w:szCs w:val="20"/>
                <w:lang w:val="en-GB"/>
              </w:rPr>
              <w:t>Gender Equality, Disability Equity and Rights, and Social Inclusion</w:t>
            </w:r>
          </w:p>
        </w:tc>
      </w:tr>
      <w:tr w:rsidR="00E24807" w:rsidRPr="00102DC3" w14:paraId="66F1C7D3" w14:textId="77777777" w:rsidTr="00505FFA">
        <w:tc>
          <w:tcPr>
            <w:tcW w:w="1413" w:type="dxa"/>
          </w:tcPr>
          <w:p w14:paraId="331C0839" w14:textId="7666EA8E" w:rsidR="00E24807" w:rsidRPr="00E24807" w:rsidRDefault="00E24807" w:rsidP="005841C1">
            <w:pPr>
              <w:spacing w:before="20" w:afterLines="20" w:after="48"/>
              <w:rPr>
                <w:rFonts w:cstheme="minorHAnsi"/>
                <w:b/>
                <w:bCs/>
                <w:color w:val="1D336D" w:themeColor="background2"/>
                <w:szCs w:val="20"/>
                <w:lang w:val="en-GB"/>
              </w:rPr>
            </w:pPr>
            <w:r>
              <w:rPr>
                <w:rFonts w:cstheme="minorHAnsi"/>
                <w:b/>
                <w:bCs/>
                <w:color w:val="1D336D" w:themeColor="background2"/>
                <w:szCs w:val="20"/>
                <w:lang w:val="en-GB"/>
              </w:rPr>
              <w:t>HIMR</w:t>
            </w:r>
          </w:p>
        </w:tc>
        <w:tc>
          <w:tcPr>
            <w:tcW w:w="9072" w:type="dxa"/>
          </w:tcPr>
          <w:p w14:paraId="55743A6A" w14:textId="1D888B1A" w:rsidR="00E24807" w:rsidRPr="00102DC3" w:rsidRDefault="00E24807" w:rsidP="005841C1">
            <w:pPr>
              <w:spacing w:before="20" w:afterLines="20" w:after="48"/>
              <w:rPr>
                <w:rFonts w:cstheme="minorHAnsi"/>
                <w:szCs w:val="20"/>
                <w:lang w:val="en-GB"/>
              </w:rPr>
            </w:pPr>
            <w:r>
              <w:rPr>
                <w:rFonts w:cstheme="minorHAnsi"/>
                <w:szCs w:val="20"/>
                <w:lang w:val="en-GB"/>
              </w:rPr>
              <w:t>Humanitarian Investment Monitoring Report</w:t>
            </w:r>
          </w:p>
        </w:tc>
      </w:tr>
      <w:tr w:rsidR="000B30A5" w:rsidRPr="00102DC3" w14:paraId="00E80CEC" w14:textId="6BB60F62" w:rsidTr="00505FFA">
        <w:tc>
          <w:tcPr>
            <w:tcW w:w="1413" w:type="dxa"/>
          </w:tcPr>
          <w:p w14:paraId="7B838DE9" w14:textId="56AC5733"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HLC</w:t>
            </w:r>
          </w:p>
        </w:tc>
        <w:tc>
          <w:tcPr>
            <w:tcW w:w="9072" w:type="dxa"/>
          </w:tcPr>
          <w:p w14:paraId="42791D09" w14:textId="75304FD8" w:rsidR="00102DC3" w:rsidRPr="00102DC3" w:rsidRDefault="00102DC3" w:rsidP="005841C1">
            <w:pPr>
              <w:spacing w:before="20" w:afterLines="20" w:after="48"/>
              <w:rPr>
                <w:rFonts w:cstheme="minorHAnsi"/>
                <w:szCs w:val="20"/>
                <w:lang w:val="en-GB"/>
              </w:rPr>
            </w:pPr>
            <w:r w:rsidRPr="00102DC3">
              <w:rPr>
                <w:rFonts w:cstheme="minorHAnsi"/>
                <w:szCs w:val="20"/>
                <w:lang w:val="en-GB"/>
              </w:rPr>
              <w:t>High-Level Consultation</w:t>
            </w:r>
          </w:p>
        </w:tc>
      </w:tr>
      <w:tr w:rsidR="000B30A5" w:rsidRPr="00102DC3" w14:paraId="1A4F3496" w14:textId="3B5BB49E" w:rsidTr="00505FFA">
        <w:tc>
          <w:tcPr>
            <w:tcW w:w="1413" w:type="dxa"/>
          </w:tcPr>
          <w:p w14:paraId="61447527" w14:textId="54583625"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HPD</w:t>
            </w:r>
          </w:p>
        </w:tc>
        <w:tc>
          <w:tcPr>
            <w:tcW w:w="9072" w:type="dxa"/>
          </w:tcPr>
          <w:p w14:paraId="482CDCC7" w14:textId="0414F3EA" w:rsidR="00102DC3" w:rsidRPr="00102DC3" w:rsidRDefault="007347AA" w:rsidP="005841C1">
            <w:pPr>
              <w:spacing w:before="20" w:afterLines="20" w:after="48"/>
              <w:rPr>
                <w:rFonts w:cstheme="minorHAnsi"/>
                <w:szCs w:val="20"/>
                <w:lang w:val="en-GB"/>
              </w:rPr>
            </w:pPr>
            <w:r>
              <w:rPr>
                <w:rFonts w:cstheme="minorHAnsi"/>
                <w:szCs w:val="20"/>
                <w:lang w:val="en-GB"/>
              </w:rPr>
              <w:t>DFAT’s Humanitarian Division</w:t>
            </w:r>
          </w:p>
        </w:tc>
      </w:tr>
      <w:tr w:rsidR="00DA6B60" w:rsidRPr="00102DC3" w14:paraId="25D313D7" w14:textId="77777777" w:rsidTr="00505FFA">
        <w:tc>
          <w:tcPr>
            <w:tcW w:w="1413" w:type="dxa"/>
          </w:tcPr>
          <w:p w14:paraId="486BE399" w14:textId="47946BC0" w:rsidR="00DA6B60" w:rsidRPr="006E7BB6" w:rsidRDefault="00DA6B60" w:rsidP="005841C1">
            <w:pPr>
              <w:spacing w:before="20" w:afterLines="20" w:after="48"/>
              <w:rPr>
                <w:rFonts w:cstheme="minorHAnsi"/>
                <w:b/>
                <w:bCs/>
                <w:color w:val="1D336D" w:themeColor="background2"/>
                <w:szCs w:val="20"/>
                <w:lang w:val="en-GB"/>
              </w:rPr>
            </w:pPr>
            <w:r>
              <w:rPr>
                <w:rFonts w:cstheme="minorHAnsi"/>
                <w:b/>
                <w:bCs/>
                <w:color w:val="1D336D" w:themeColor="background2"/>
                <w:szCs w:val="20"/>
                <w:lang w:val="en-GB"/>
              </w:rPr>
              <w:t>HUS</w:t>
            </w:r>
          </w:p>
        </w:tc>
        <w:tc>
          <w:tcPr>
            <w:tcW w:w="9072" w:type="dxa"/>
          </w:tcPr>
          <w:p w14:paraId="6E0736ED" w14:textId="6D0647AD" w:rsidR="00DA6B60" w:rsidRDefault="00DA6B60" w:rsidP="005841C1">
            <w:pPr>
              <w:spacing w:before="20" w:afterLines="20" w:after="48"/>
              <w:rPr>
                <w:rFonts w:cstheme="minorHAnsi"/>
                <w:szCs w:val="20"/>
                <w:lang w:val="en-GB"/>
              </w:rPr>
            </w:pPr>
            <w:r>
              <w:rPr>
                <w:rFonts w:cstheme="minorHAnsi"/>
                <w:szCs w:val="20"/>
                <w:lang w:val="en-GB"/>
              </w:rPr>
              <w:t xml:space="preserve">DFAT’s </w:t>
            </w:r>
            <w:r w:rsidR="00A9012A">
              <w:rPr>
                <w:rFonts w:cstheme="minorHAnsi"/>
                <w:szCs w:val="20"/>
                <w:lang w:val="en-GB"/>
              </w:rPr>
              <w:t>h</w:t>
            </w:r>
            <w:r>
              <w:rPr>
                <w:rFonts w:cstheme="minorHAnsi"/>
                <w:szCs w:val="20"/>
                <w:lang w:val="en-GB"/>
              </w:rPr>
              <w:t xml:space="preserve">umanitarian </w:t>
            </w:r>
            <w:r w:rsidR="00A9012A">
              <w:rPr>
                <w:rFonts w:cstheme="minorHAnsi"/>
                <w:szCs w:val="20"/>
                <w:lang w:val="en-GB"/>
              </w:rPr>
              <w:t>s</w:t>
            </w:r>
            <w:r>
              <w:rPr>
                <w:rFonts w:cstheme="minorHAnsi"/>
                <w:szCs w:val="20"/>
                <w:lang w:val="en-GB"/>
              </w:rPr>
              <w:t xml:space="preserve">ection managing </w:t>
            </w:r>
            <w:r w:rsidR="00A9012A">
              <w:rPr>
                <w:rFonts w:cstheme="minorHAnsi"/>
                <w:szCs w:val="20"/>
                <w:lang w:val="en-GB"/>
              </w:rPr>
              <w:t>the partnerships discussed in this evaluation</w:t>
            </w:r>
          </w:p>
        </w:tc>
      </w:tr>
      <w:tr w:rsidR="000B30A5" w:rsidRPr="00102DC3" w14:paraId="1CA88F5D" w14:textId="7C1E8DCA" w:rsidTr="00505FFA">
        <w:tc>
          <w:tcPr>
            <w:tcW w:w="1413" w:type="dxa"/>
          </w:tcPr>
          <w:p w14:paraId="6BA10E25" w14:textId="44632D57"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IASC</w:t>
            </w:r>
          </w:p>
        </w:tc>
        <w:tc>
          <w:tcPr>
            <w:tcW w:w="9072" w:type="dxa"/>
          </w:tcPr>
          <w:p w14:paraId="3B3273DF" w14:textId="56DA4325" w:rsidR="00102DC3" w:rsidRPr="00102DC3" w:rsidRDefault="00102DC3" w:rsidP="005841C1">
            <w:pPr>
              <w:spacing w:before="20" w:afterLines="20" w:after="48"/>
              <w:rPr>
                <w:rFonts w:cstheme="minorHAnsi"/>
                <w:szCs w:val="20"/>
                <w:lang w:val="en-GB"/>
              </w:rPr>
            </w:pPr>
            <w:r w:rsidRPr="00102DC3">
              <w:rPr>
                <w:rFonts w:cstheme="minorHAnsi"/>
                <w:szCs w:val="20"/>
                <w:lang w:val="en-GB"/>
              </w:rPr>
              <w:t>Inter-Agency Standing Committee</w:t>
            </w:r>
          </w:p>
        </w:tc>
      </w:tr>
      <w:tr w:rsidR="000B30A5" w:rsidRPr="00102DC3" w14:paraId="0D933AFA" w14:textId="199404A9" w:rsidTr="00505FFA">
        <w:tc>
          <w:tcPr>
            <w:tcW w:w="1413" w:type="dxa"/>
          </w:tcPr>
          <w:p w14:paraId="0990A83F" w14:textId="7CC3CAAE"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ICRC</w:t>
            </w:r>
          </w:p>
        </w:tc>
        <w:tc>
          <w:tcPr>
            <w:tcW w:w="9072" w:type="dxa"/>
          </w:tcPr>
          <w:p w14:paraId="5E838848" w14:textId="76877659" w:rsidR="00102DC3" w:rsidRPr="00102DC3" w:rsidRDefault="00102DC3" w:rsidP="005841C1">
            <w:pPr>
              <w:spacing w:before="20" w:afterLines="20" w:after="48"/>
              <w:rPr>
                <w:rFonts w:cstheme="minorHAnsi"/>
                <w:szCs w:val="20"/>
                <w:lang w:val="en-GB"/>
              </w:rPr>
            </w:pPr>
            <w:r w:rsidRPr="00102DC3">
              <w:rPr>
                <w:rFonts w:cstheme="minorHAnsi"/>
                <w:szCs w:val="20"/>
                <w:lang w:val="en-GB"/>
              </w:rPr>
              <w:t>International Committee of the Red Cross/Crescent</w:t>
            </w:r>
          </w:p>
        </w:tc>
      </w:tr>
      <w:tr w:rsidR="000B30A5" w:rsidRPr="00102DC3" w14:paraId="6266AF9A" w14:textId="77777777" w:rsidTr="00505FFA">
        <w:tc>
          <w:tcPr>
            <w:tcW w:w="1413" w:type="dxa"/>
          </w:tcPr>
          <w:p w14:paraId="19DBB291" w14:textId="65893034" w:rsidR="00C85044" w:rsidRPr="006E7BB6" w:rsidRDefault="00C85044"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IMR</w:t>
            </w:r>
          </w:p>
        </w:tc>
        <w:tc>
          <w:tcPr>
            <w:tcW w:w="9072" w:type="dxa"/>
          </w:tcPr>
          <w:p w14:paraId="1C5E22B8" w14:textId="24F898BB" w:rsidR="00C85044" w:rsidRPr="00102DC3" w:rsidRDefault="00C85044" w:rsidP="005841C1">
            <w:pPr>
              <w:spacing w:before="20" w:afterLines="20" w:after="48"/>
              <w:rPr>
                <w:rFonts w:cstheme="minorHAnsi"/>
                <w:szCs w:val="20"/>
                <w:lang w:val="en-GB"/>
              </w:rPr>
            </w:pPr>
            <w:r>
              <w:rPr>
                <w:rFonts w:cstheme="minorHAnsi"/>
                <w:szCs w:val="20"/>
                <w:lang w:val="en-GB"/>
              </w:rPr>
              <w:t>Investment Monitoring Report</w:t>
            </w:r>
          </w:p>
        </w:tc>
      </w:tr>
      <w:tr w:rsidR="000B30A5" w:rsidRPr="00102DC3" w14:paraId="6AF8FE93" w14:textId="6EE5EE40" w:rsidTr="00505FFA">
        <w:tc>
          <w:tcPr>
            <w:tcW w:w="1413" w:type="dxa"/>
          </w:tcPr>
          <w:p w14:paraId="047DD8F6" w14:textId="01C937CD"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JPO</w:t>
            </w:r>
          </w:p>
        </w:tc>
        <w:tc>
          <w:tcPr>
            <w:tcW w:w="9072" w:type="dxa"/>
          </w:tcPr>
          <w:p w14:paraId="05F1EECF" w14:textId="35088E35" w:rsidR="00102DC3" w:rsidRPr="00102DC3" w:rsidRDefault="00102DC3" w:rsidP="005841C1">
            <w:pPr>
              <w:spacing w:before="20" w:afterLines="20" w:after="48"/>
              <w:rPr>
                <w:rFonts w:cstheme="minorHAnsi"/>
                <w:szCs w:val="20"/>
                <w:lang w:val="en-GB"/>
              </w:rPr>
            </w:pPr>
            <w:r w:rsidRPr="00102DC3">
              <w:rPr>
                <w:rFonts w:cstheme="minorHAnsi"/>
                <w:szCs w:val="20"/>
                <w:lang w:val="en-GB"/>
              </w:rPr>
              <w:t>Junior Professional Officer</w:t>
            </w:r>
          </w:p>
        </w:tc>
      </w:tr>
      <w:tr w:rsidR="000B30A5" w:rsidRPr="00102DC3" w14:paraId="7C5D4B85" w14:textId="2D6341DC" w:rsidTr="00505FFA">
        <w:tc>
          <w:tcPr>
            <w:tcW w:w="1413" w:type="dxa"/>
          </w:tcPr>
          <w:p w14:paraId="6D4B49DB" w14:textId="1F8EF639"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KII</w:t>
            </w:r>
          </w:p>
        </w:tc>
        <w:tc>
          <w:tcPr>
            <w:tcW w:w="9072" w:type="dxa"/>
          </w:tcPr>
          <w:p w14:paraId="53E25369" w14:textId="2C1281F2" w:rsidR="00102DC3" w:rsidRPr="00102DC3" w:rsidRDefault="00102DC3" w:rsidP="005841C1">
            <w:pPr>
              <w:spacing w:before="20" w:afterLines="20" w:after="48"/>
              <w:rPr>
                <w:rFonts w:cstheme="minorHAnsi"/>
                <w:szCs w:val="20"/>
                <w:lang w:val="en-GB"/>
              </w:rPr>
            </w:pPr>
            <w:r w:rsidRPr="00102DC3">
              <w:rPr>
                <w:rFonts w:cstheme="minorHAnsi"/>
                <w:szCs w:val="20"/>
                <w:lang w:val="en-GB"/>
              </w:rPr>
              <w:t>Key Informant Interview</w:t>
            </w:r>
          </w:p>
        </w:tc>
      </w:tr>
      <w:tr w:rsidR="000B30A5" w:rsidRPr="00102DC3" w14:paraId="51697753" w14:textId="2CA6CFB8" w:rsidTr="00505FFA">
        <w:tc>
          <w:tcPr>
            <w:tcW w:w="1413" w:type="dxa"/>
          </w:tcPr>
          <w:p w14:paraId="22271BFD" w14:textId="6B5F157B"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MEL</w:t>
            </w:r>
          </w:p>
        </w:tc>
        <w:tc>
          <w:tcPr>
            <w:tcW w:w="9072" w:type="dxa"/>
          </w:tcPr>
          <w:p w14:paraId="167B80E4" w14:textId="37611527" w:rsidR="00102DC3" w:rsidRPr="00102DC3" w:rsidRDefault="00102DC3" w:rsidP="005841C1">
            <w:pPr>
              <w:spacing w:before="20" w:afterLines="20" w:after="48"/>
              <w:rPr>
                <w:rFonts w:cstheme="minorHAnsi"/>
                <w:szCs w:val="20"/>
                <w:lang w:val="en-GB"/>
              </w:rPr>
            </w:pPr>
            <w:r w:rsidRPr="00102DC3">
              <w:rPr>
                <w:rFonts w:cstheme="minorHAnsi"/>
                <w:szCs w:val="20"/>
                <w:lang w:val="en-GB"/>
              </w:rPr>
              <w:t>Monitoring, Evaluation, and Learning</w:t>
            </w:r>
          </w:p>
        </w:tc>
      </w:tr>
      <w:tr w:rsidR="000B30A5" w:rsidRPr="00102DC3" w14:paraId="47A521A4" w14:textId="1B0C6367" w:rsidTr="00505FFA">
        <w:tc>
          <w:tcPr>
            <w:tcW w:w="1413" w:type="dxa"/>
          </w:tcPr>
          <w:p w14:paraId="561390C1" w14:textId="7A54EE53"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MOPAN</w:t>
            </w:r>
          </w:p>
        </w:tc>
        <w:tc>
          <w:tcPr>
            <w:tcW w:w="9072" w:type="dxa"/>
          </w:tcPr>
          <w:p w14:paraId="454E1F37" w14:textId="70F90659" w:rsidR="00102DC3" w:rsidRPr="00102DC3" w:rsidRDefault="00102DC3" w:rsidP="005841C1">
            <w:pPr>
              <w:spacing w:before="20" w:afterLines="20" w:after="48"/>
              <w:rPr>
                <w:rFonts w:cstheme="minorHAnsi"/>
                <w:szCs w:val="20"/>
                <w:lang w:val="en-GB"/>
              </w:rPr>
            </w:pPr>
            <w:r w:rsidRPr="00102DC3">
              <w:rPr>
                <w:rFonts w:cstheme="minorHAnsi"/>
                <w:szCs w:val="20"/>
                <w:lang w:val="en-GB"/>
              </w:rPr>
              <w:t>Multilateral Performance Network</w:t>
            </w:r>
          </w:p>
        </w:tc>
      </w:tr>
      <w:tr w:rsidR="000B30A5" w:rsidRPr="00102DC3" w14:paraId="4F9C7465" w14:textId="61104EAE" w:rsidTr="00505FFA">
        <w:tc>
          <w:tcPr>
            <w:tcW w:w="1413" w:type="dxa"/>
          </w:tcPr>
          <w:p w14:paraId="25086F24" w14:textId="5D3C40A8"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MPA</w:t>
            </w:r>
          </w:p>
        </w:tc>
        <w:tc>
          <w:tcPr>
            <w:tcW w:w="9072" w:type="dxa"/>
          </w:tcPr>
          <w:p w14:paraId="49A750E9" w14:textId="78859C73" w:rsidR="00102DC3" w:rsidRPr="00102DC3" w:rsidRDefault="008B0BEC" w:rsidP="005841C1">
            <w:pPr>
              <w:spacing w:before="20" w:afterLines="20" w:after="48"/>
              <w:rPr>
                <w:rFonts w:cstheme="minorHAnsi"/>
                <w:szCs w:val="20"/>
                <w:lang w:val="en-GB"/>
              </w:rPr>
            </w:pPr>
            <w:r>
              <w:rPr>
                <w:rFonts w:cstheme="minorHAnsi"/>
                <w:szCs w:val="20"/>
                <w:lang w:val="en-GB"/>
              </w:rPr>
              <w:t xml:space="preserve">DFAT’s </w:t>
            </w:r>
            <w:r w:rsidR="00102DC3" w:rsidRPr="00102DC3">
              <w:rPr>
                <w:rFonts w:cstheme="minorHAnsi"/>
                <w:szCs w:val="20"/>
                <w:lang w:val="en-GB"/>
              </w:rPr>
              <w:t>Multilateral Performance Assessment</w:t>
            </w:r>
          </w:p>
        </w:tc>
      </w:tr>
      <w:tr w:rsidR="000B30A5" w:rsidRPr="00102DC3" w14:paraId="2C73A477" w14:textId="32D7E378" w:rsidTr="00505FFA">
        <w:tc>
          <w:tcPr>
            <w:tcW w:w="1413" w:type="dxa"/>
          </w:tcPr>
          <w:p w14:paraId="402A28FF" w14:textId="2C2ABB0A"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NACC Act</w:t>
            </w:r>
          </w:p>
        </w:tc>
        <w:tc>
          <w:tcPr>
            <w:tcW w:w="9072" w:type="dxa"/>
          </w:tcPr>
          <w:p w14:paraId="1F3E50DB" w14:textId="27187B96" w:rsidR="00102DC3" w:rsidRPr="00102DC3" w:rsidRDefault="00102DC3" w:rsidP="005841C1">
            <w:pPr>
              <w:spacing w:before="20" w:afterLines="20" w:after="48"/>
              <w:rPr>
                <w:rFonts w:cstheme="minorHAnsi"/>
                <w:szCs w:val="20"/>
                <w:lang w:val="en-GB"/>
              </w:rPr>
            </w:pPr>
            <w:r w:rsidRPr="00102DC3">
              <w:rPr>
                <w:rFonts w:cstheme="minorHAnsi"/>
                <w:szCs w:val="20"/>
                <w:lang w:val="en-GB"/>
              </w:rPr>
              <w:t>Australia’s National Anti-Corruption Commission Act 2022</w:t>
            </w:r>
          </w:p>
        </w:tc>
      </w:tr>
      <w:tr w:rsidR="000B30A5" w:rsidRPr="00102DC3" w14:paraId="2531852C" w14:textId="34B0A85E" w:rsidTr="00505FFA">
        <w:tc>
          <w:tcPr>
            <w:tcW w:w="1413" w:type="dxa"/>
          </w:tcPr>
          <w:p w14:paraId="6B793D4C" w14:textId="2950E20E"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OCHA</w:t>
            </w:r>
          </w:p>
        </w:tc>
        <w:tc>
          <w:tcPr>
            <w:tcW w:w="9072" w:type="dxa"/>
          </w:tcPr>
          <w:p w14:paraId="7837EA92" w14:textId="57CB5D6B" w:rsidR="00102DC3" w:rsidRPr="00102DC3" w:rsidRDefault="00102DC3" w:rsidP="005841C1">
            <w:pPr>
              <w:spacing w:before="20" w:afterLines="20" w:after="48"/>
              <w:rPr>
                <w:rFonts w:cstheme="minorHAnsi"/>
                <w:szCs w:val="20"/>
                <w:lang w:val="en-GB"/>
              </w:rPr>
            </w:pPr>
            <w:r w:rsidRPr="00102DC3">
              <w:rPr>
                <w:rFonts w:cstheme="minorHAnsi"/>
                <w:szCs w:val="20"/>
                <w:lang w:val="en-GB"/>
              </w:rPr>
              <w:t>Office for the Coordination of Humanitarian Affairs</w:t>
            </w:r>
          </w:p>
        </w:tc>
      </w:tr>
      <w:tr w:rsidR="000B30A5" w:rsidRPr="00102DC3" w14:paraId="4DD65B35" w14:textId="142EEDBC" w:rsidTr="00505FFA">
        <w:tc>
          <w:tcPr>
            <w:tcW w:w="1413" w:type="dxa"/>
          </w:tcPr>
          <w:p w14:paraId="77CEA67F" w14:textId="3EB64DA0"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OECD DAC</w:t>
            </w:r>
          </w:p>
        </w:tc>
        <w:tc>
          <w:tcPr>
            <w:tcW w:w="9072" w:type="dxa"/>
          </w:tcPr>
          <w:p w14:paraId="6763012A" w14:textId="0FFA0426" w:rsidR="00102DC3" w:rsidRPr="00102DC3" w:rsidRDefault="00102DC3" w:rsidP="005841C1">
            <w:pPr>
              <w:spacing w:before="20" w:afterLines="20" w:after="48"/>
              <w:rPr>
                <w:rFonts w:cstheme="minorHAnsi"/>
                <w:szCs w:val="20"/>
                <w:lang w:val="en-GB"/>
              </w:rPr>
            </w:pPr>
            <w:r w:rsidRPr="00102DC3">
              <w:rPr>
                <w:rFonts w:cstheme="minorHAnsi"/>
                <w:szCs w:val="20"/>
                <w:lang w:val="en-GB"/>
              </w:rPr>
              <w:t>Organisation for Economic Co-operation and Development</w:t>
            </w:r>
            <w:r w:rsidR="007347AA">
              <w:rPr>
                <w:rFonts w:cstheme="minorHAnsi"/>
                <w:szCs w:val="20"/>
                <w:lang w:val="en-GB"/>
              </w:rPr>
              <w:t xml:space="preserve"> -</w:t>
            </w:r>
            <w:r w:rsidRPr="00102DC3">
              <w:rPr>
                <w:rFonts w:cstheme="minorHAnsi"/>
                <w:szCs w:val="20"/>
                <w:lang w:val="en-GB"/>
              </w:rPr>
              <w:t xml:space="preserve"> Development Assistance Committee</w:t>
            </w:r>
          </w:p>
        </w:tc>
      </w:tr>
      <w:tr w:rsidR="000B30A5" w:rsidRPr="00102DC3" w14:paraId="36447BB6" w14:textId="720BDE2D" w:rsidTr="00505FFA">
        <w:tc>
          <w:tcPr>
            <w:tcW w:w="1413" w:type="dxa"/>
          </w:tcPr>
          <w:p w14:paraId="62E6407A" w14:textId="04B0E24B"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PC MELF</w:t>
            </w:r>
          </w:p>
        </w:tc>
        <w:tc>
          <w:tcPr>
            <w:tcW w:w="9072" w:type="dxa"/>
          </w:tcPr>
          <w:p w14:paraId="4C574BAC" w14:textId="44F3BECB" w:rsidR="00102DC3" w:rsidRPr="00102DC3" w:rsidRDefault="00102DC3" w:rsidP="005841C1">
            <w:pPr>
              <w:spacing w:before="20" w:afterLines="20" w:after="48"/>
              <w:rPr>
                <w:rFonts w:cstheme="minorHAnsi"/>
                <w:szCs w:val="20"/>
                <w:lang w:val="en-GB"/>
              </w:rPr>
            </w:pPr>
            <w:r w:rsidRPr="00102DC3">
              <w:rPr>
                <w:rFonts w:cstheme="minorHAnsi"/>
                <w:szCs w:val="20"/>
                <w:lang w:val="en-GB"/>
              </w:rPr>
              <w:t>DFAT’s Protracted Cris</w:t>
            </w:r>
            <w:r w:rsidR="00671875">
              <w:rPr>
                <w:rFonts w:cstheme="minorHAnsi"/>
                <w:szCs w:val="20"/>
                <w:lang w:val="en-GB"/>
              </w:rPr>
              <w:t>e</w:t>
            </w:r>
            <w:r w:rsidRPr="00102DC3">
              <w:rPr>
                <w:rFonts w:cstheme="minorHAnsi"/>
                <w:szCs w:val="20"/>
                <w:lang w:val="en-GB"/>
              </w:rPr>
              <w:t>s Monitoring, Evaluation, and Learning Framework</w:t>
            </w:r>
          </w:p>
        </w:tc>
      </w:tr>
      <w:tr w:rsidR="000B30A5" w:rsidRPr="00102DC3" w14:paraId="5B5FF0C8" w14:textId="4BFEF1E8" w:rsidTr="00505FFA">
        <w:tc>
          <w:tcPr>
            <w:tcW w:w="1413" w:type="dxa"/>
          </w:tcPr>
          <w:p w14:paraId="7C4AC477" w14:textId="391C20F2"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PPA</w:t>
            </w:r>
          </w:p>
        </w:tc>
        <w:tc>
          <w:tcPr>
            <w:tcW w:w="9072" w:type="dxa"/>
          </w:tcPr>
          <w:p w14:paraId="0E9324C1" w14:textId="37F58FCA" w:rsidR="00102DC3" w:rsidRPr="00102DC3" w:rsidRDefault="00102DC3" w:rsidP="005841C1">
            <w:pPr>
              <w:spacing w:before="20" w:afterLines="20" w:after="48"/>
              <w:rPr>
                <w:rFonts w:cstheme="minorHAnsi"/>
                <w:szCs w:val="20"/>
                <w:lang w:val="en-GB"/>
              </w:rPr>
            </w:pPr>
            <w:r w:rsidRPr="00102DC3">
              <w:rPr>
                <w:rFonts w:cstheme="minorHAnsi"/>
                <w:szCs w:val="20"/>
                <w:lang w:val="en-GB"/>
              </w:rPr>
              <w:t>DFAT’s Partner Performance Assessment</w:t>
            </w:r>
          </w:p>
        </w:tc>
      </w:tr>
      <w:tr w:rsidR="000B30A5" w:rsidRPr="00102DC3" w14:paraId="778B91BC" w14:textId="3DF5C0ED" w:rsidTr="00505FFA">
        <w:tc>
          <w:tcPr>
            <w:tcW w:w="1413" w:type="dxa"/>
          </w:tcPr>
          <w:p w14:paraId="0AA503B3" w14:textId="6A7C3874" w:rsidR="00102DC3" w:rsidRPr="006E7BB6" w:rsidRDefault="00D67DDA" w:rsidP="005841C1">
            <w:pPr>
              <w:spacing w:before="20" w:afterLines="20" w:after="48"/>
              <w:rPr>
                <w:rFonts w:cstheme="minorHAnsi"/>
                <w:b/>
                <w:bCs/>
                <w:color w:val="1D336D" w:themeColor="background2"/>
                <w:szCs w:val="20"/>
                <w:lang w:val="en-GB"/>
              </w:rPr>
            </w:pPr>
            <w:r>
              <w:rPr>
                <w:rFonts w:cstheme="minorHAnsi"/>
                <w:b/>
                <w:bCs/>
                <w:color w:val="1D336D" w:themeColor="background2"/>
                <w:szCs w:val="20"/>
                <w:lang w:val="en-GB"/>
              </w:rPr>
              <w:t>P</w:t>
            </w:r>
            <w:r w:rsidR="00102DC3" w:rsidRPr="006E7BB6">
              <w:rPr>
                <w:rFonts w:cstheme="minorHAnsi"/>
                <w:b/>
                <w:bCs/>
                <w:color w:val="1D336D" w:themeColor="background2"/>
                <w:szCs w:val="20"/>
                <w:lang w:val="en-GB"/>
              </w:rPr>
              <w:t>SEAH</w:t>
            </w:r>
          </w:p>
        </w:tc>
        <w:tc>
          <w:tcPr>
            <w:tcW w:w="9072" w:type="dxa"/>
          </w:tcPr>
          <w:p w14:paraId="17F72283" w14:textId="3E9E0384" w:rsidR="00102DC3" w:rsidRPr="00102DC3" w:rsidRDefault="00D67DDA" w:rsidP="005841C1">
            <w:pPr>
              <w:spacing w:before="20" w:afterLines="20" w:after="48"/>
              <w:rPr>
                <w:rFonts w:cstheme="minorHAnsi"/>
                <w:szCs w:val="20"/>
                <w:lang w:val="en-GB"/>
              </w:rPr>
            </w:pPr>
            <w:r>
              <w:rPr>
                <w:rFonts w:cstheme="minorHAnsi"/>
                <w:szCs w:val="20"/>
                <w:lang w:val="en-GB"/>
              </w:rPr>
              <w:t xml:space="preserve">Preventing </w:t>
            </w:r>
            <w:r w:rsidR="00102DC3" w:rsidRPr="00102DC3">
              <w:rPr>
                <w:rFonts w:cstheme="minorHAnsi"/>
                <w:szCs w:val="20"/>
                <w:lang w:val="en-GB"/>
              </w:rPr>
              <w:t>Sexual Exploitation, Abuse, and Harassment</w:t>
            </w:r>
          </w:p>
        </w:tc>
      </w:tr>
      <w:tr w:rsidR="000B30A5" w:rsidRPr="00102DC3" w14:paraId="2CCB8367" w14:textId="7EF3A9F8" w:rsidTr="00505FFA">
        <w:tc>
          <w:tcPr>
            <w:tcW w:w="1413" w:type="dxa"/>
          </w:tcPr>
          <w:p w14:paraId="4062E3D7" w14:textId="20FAEE9F"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SPF</w:t>
            </w:r>
          </w:p>
        </w:tc>
        <w:tc>
          <w:tcPr>
            <w:tcW w:w="9072" w:type="dxa"/>
          </w:tcPr>
          <w:p w14:paraId="64CC79A4" w14:textId="62E45874" w:rsidR="00102DC3" w:rsidRPr="00102DC3" w:rsidRDefault="00102DC3" w:rsidP="005841C1">
            <w:pPr>
              <w:spacing w:before="20" w:afterLines="20" w:after="48"/>
              <w:rPr>
                <w:rFonts w:cstheme="minorHAnsi"/>
                <w:szCs w:val="20"/>
                <w:lang w:val="en-GB"/>
              </w:rPr>
            </w:pPr>
            <w:r w:rsidRPr="00102DC3">
              <w:rPr>
                <w:rFonts w:cstheme="minorHAnsi"/>
                <w:szCs w:val="20"/>
                <w:lang w:val="en-GB"/>
              </w:rPr>
              <w:t>Strategic Partnership Framework</w:t>
            </w:r>
          </w:p>
        </w:tc>
      </w:tr>
      <w:tr w:rsidR="000B30A5" w:rsidRPr="00102DC3" w14:paraId="4E14E1A8" w14:textId="77777777" w:rsidTr="00505FFA">
        <w:tc>
          <w:tcPr>
            <w:tcW w:w="1413" w:type="dxa"/>
          </w:tcPr>
          <w:p w14:paraId="3650E685" w14:textId="7A1204E6" w:rsidR="0009527A" w:rsidRPr="006E7BB6" w:rsidRDefault="0009527A"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UN</w:t>
            </w:r>
          </w:p>
        </w:tc>
        <w:tc>
          <w:tcPr>
            <w:tcW w:w="9072" w:type="dxa"/>
          </w:tcPr>
          <w:p w14:paraId="58A85D6C" w14:textId="144397F9" w:rsidR="0009527A" w:rsidRPr="00102DC3" w:rsidRDefault="0009527A" w:rsidP="005841C1">
            <w:pPr>
              <w:spacing w:before="20" w:afterLines="20" w:after="48"/>
              <w:rPr>
                <w:rFonts w:cstheme="minorHAnsi"/>
                <w:szCs w:val="20"/>
                <w:lang w:val="en-GB"/>
              </w:rPr>
            </w:pPr>
            <w:r>
              <w:rPr>
                <w:rFonts w:cstheme="minorHAnsi"/>
                <w:szCs w:val="20"/>
                <w:lang w:val="en-GB"/>
              </w:rPr>
              <w:t>United Nations</w:t>
            </w:r>
          </w:p>
        </w:tc>
      </w:tr>
      <w:tr w:rsidR="000B30A5" w:rsidRPr="00102DC3" w14:paraId="4BF120F9" w14:textId="13636DCF" w:rsidTr="00505FFA">
        <w:tc>
          <w:tcPr>
            <w:tcW w:w="1413" w:type="dxa"/>
          </w:tcPr>
          <w:p w14:paraId="167CC729" w14:textId="7CD5AB19"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UN SWAP</w:t>
            </w:r>
          </w:p>
        </w:tc>
        <w:tc>
          <w:tcPr>
            <w:tcW w:w="9072" w:type="dxa"/>
          </w:tcPr>
          <w:p w14:paraId="687860E2" w14:textId="5E3F16BF" w:rsidR="00102DC3" w:rsidRPr="00102DC3" w:rsidRDefault="00102DC3" w:rsidP="005841C1">
            <w:pPr>
              <w:spacing w:before="20" w:afterLines="20" w:after="48"/>
              <w:rPr>
                <w:rFonts w:cstheme="minorHAnsi"/>
                <w:szCs w:val="20"/>
                <w:lang w:val="en-GB"/>
              </w:rPr>
            </w:pPr>
            <w:r w:rsidRPr="00102DC3">
              <w:rPr>
                <w:rFonts w:cstheme="minorHAnsi"/>
                <w:szCs w:val="20"/>
                <w:lang w:val="en-GB"/>
              </w:rPr>
              <w:t>United Nations System-wide Action Plan on Gender Equality and the Empowerment of Women</w:t>
            </w:r>
          </w:p>
        </w:tc>
      </w:tr>
      <w:tr w:rsidR="000B30A5" w:rsidRPr="00102DC3" w14:paraId="735A38F6" w14:textId="6D29B144" w:rsidTr="00505FFA">
        <w:tc>
          <w:tcPr>
            <w:tcW w:w="1413" w:type="dxa"/>
          </w:tcPr>
          <w:p w14:paraId="7C8AC952" w14:textId="4C065E9F"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UNDIS</w:t>
            </w:r>
          </w:p>
        </w:tc>
        <w:tc>
          <w:tcPr>
            <w:tcW w:w="9072" w:type="dxa"/>
          </w:tcPr>
          <w:p w14:paraId="73825E82" w14:textId="0764B8A4" w:rsidR="00102DC3" w:rsidRPr="00102DC3" w:rsidRDefault="00102DC3" w:rsidP="005841C1">
            <w:pPr>
              <w:spacing w:before="20" w:afterLines="20" w:after="48"/>
              <w:rPr>
                <w:rFonts w:cstheme="minorHAnsi"/>
                <w:szCs w:val="20"/>
                <w:lang w:val="en-GB"/>
              </w:rPr>
            </w:pPr>
            <w:r w:rsidRPr="00102DC3">
              <w:rPr>
                <w:rFonts w:cstheme="minorHAnsi"/>
                <w:szCs w:val="20"/>
                <w:lang w:val="en-GB"/>
              </w:rPr>
              <w:t>United Nations Disability Inclusion Strategy</w:t>
            </w:r>
          </w:p>
        </w:tc>
      </w:tr>
      <w:tr w:rsidR="000B30A5" w:rsidRPr="00102DC3" w14:paraId="54B55C65" w14:textId="6B709523" w:rsidTr="00505FFA">
        <w:tc>
          <w:tcPr>
            <w:tcW w:w="1413" w:type="dxa"/>
          </w:tcPr>
          <w:p w14:paraId="67481E0A" w14:textId="17DDEDE0"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UNHCR</w:t>
            </w:r>
          </w:p>
        </w:tc>
        <w:tc>
          <w:tcPr>
            <w:tcW w:w="9072" w:type="dxa"/>
          </w:tcPr>
          <w:p w14:paraId="59165FEA" w14:textId="2D831B92" w:rsidR="00102DC3" w:rsidRPr="00102DC3" w:rsidRDefault="00102DC3" w:rsidP="005841C1">
            <w:pPr>
              <w:spacing w:before="20" w:afterLines="20" w:after="48"/>
              <w:rPr>
                <w:rFonts w:cstheme="minorHAnsi"/>
                <w:szCs w:val="20"/>
                <w:lang w:val="en-GB"/>
              </w:rPr>
            </w:pPr>
            <w:r w:rsidRPr="00102DC3">
              <w:rPr>
                <w:rFonts w:cstheme="minorHAnsi"/>
                <w:szCs w:val="20"/>
                <w:lang w:val="en-GB"/>
              </w:rPr>
              <w:t>United Nations High Commissioner for Refugees</w:t>
            </w:r>
          </w:p>
        </w:tc>
      </w:tr>
      <w:tr w:rsidR="000B30A5" w:rsidRPr="00102DC3" w14:paraId="36FB8BEB" w14:textId="0F841D15" w:rsidTr="00505FFA">
        <w:tc>
          <w:tcPr>
            <w:tcW w:w="1413" w:type="dxa"/>
          </w:tcPr>
          <w:p w14:paraId="0D19EF3C" w14:textId="5DFCDE62" w:rsidR="00102DC3" w:rsidRPr="006E7BB6" w:rsidRDefault="00102DC3" w:rsidP="005841C1">
            <w:pPr>
              <w:spacing w:before="20" w:afterLines="20" w:after="48"/>
              <w:rPr>
                <w:rFonts w:cstheme="minorHAnsi"/>
                <w:b/>
                <w:bCs/>
                <w:color w:val="1D336D" w:themeColor="background2"/>
                <w:szCs w:val="20"/>
                <w:lang w:val="en-GB"/>
              </w:rPr>
            </w:pPr>
            <w:r w:rsidRPr="006E7BB6">
              <w:rPr>
                <w:rFonts w:cstheme="minorHAnsi"/>
                <w:b/>
                <w:bCs/>
                <w:color w:val="1D336D" w:themeColor="background2"/>
                <w:szCs w:val="20"/>
                <w:lang w:val="en-GB"/>
              </w:rPr>
              <w:t>WFP</w:t>
            </w:r>
          </w:p>
        </w:tc>
        <w:tc>
          <w:tcPr>
            <w:tcW w:w="9072" w:type="dxa"/>
          </w:tcPr>
          <w:p w14:paraId="5A5C7AD4" w14:textId="53CF1E50" w:rsidR="00102DC3" w:rsidRPr="00102DC3" w:rsidRDefault="00102DC3" w:rsidP="005841C1">
            <w:pPr>
              <w:spacing w:before="20" w:afterLines="20" w:after="48"/>
              <w:rPr>
                <w:rFonts w:cstheme="minorHAnsi"/>
                <w:szCs w:val="20"/>
                <w:lang w:val="en-GB"/>
              </w:rPr>
            </w:pPr>
            <w:r w:rsidRPr="00102DC3">
              <w:rPr>
                <w:rFonts w:cstheme="minorHAnsi"/>
                <w:szCs w:val="20"/>
                <w:lang w:val="en-GB"/>
              </w:rPr>
              <w:t>World Food Programme</w:t>
            </w:r>
          </w:p>
        </w:tc>
      </w:tr>
    </w:tbl>
    <w:p w14:paraId="1AC85B98" w14:textId="77777777" w:rsidR="00CB05D7" w:rsidRDefault="00CB05D7">
      <w:pPr>
        <w:spacing w:after="0" w:line="240" w:lineRule="auto"/>
      </w:pPr>
    </w:p>
    <w:p w14:paraId="672B76CF" w14:textId="40E70D4E" w:rsidR="009711D7" w:rsidRPr="00CA1C6F" w:rsidRDefault="009711D7" w:rsidP="00E94A6F">
      <w:pPr>
        <w:pStyle w:val="ChapterHeading"/>
      </w:pPr>
      <w:r w:rsidRPr="00CA1C6F">
        <w:lastRenderedPageBreak/>
        <w:t>EXECUTIVE SUMMARY</w:t>
      </w:r>
      <w:r w:rsidRPr="00CA1C6F">
        <w:tab/>
      </w:r>
    </w:p>
    <w:p w14:paraId="5949A0E5" w14:textId="299D54D0" w:rsidR="000B30A5" w:rsidRPr="00B003AF" w:rsidRDefault="00355642" w:rsidP="00B003AF">
      <w:pPr>
        <w:pStyle w:val="Heading2"/>
        <w:rPr>
          <w:color w:val="585858" w:themeColor="text2"/>
        </w:rPr>
      </w:pPr>
      <w:r w:rsidRPr="00B003AF">
        <w:rPr>
          <w:color w:val="585858" w:themeColor="text2"/>
        </w:rPr>
        <w:t>Introduction</w:t>
      </w:r>
    </w:p>
    <w:p w14:paraId="7660F6BC" w14:textId="09C03E3A" w:rsidR="00221AFA" w:rsidRDefault="000B30A5" w:rsidP="00221AFA">
      <w:pPr>
        <w:rPr>
          <w:rFonts w:ascii="Arial" w:eastAsia="Arial" w:hAnsi="Arial" w:cs="Arial"/>
          <w:b/>
          <w:iCs/>
        </w:rPr>
      </w:pPr>
      <w:r>
        <w:rPr>
          <w:rFonts w:ascii="Arial" w:eastAsia="Arial" w:hAnsi="Arial" w:cs="Arial"/>
          <w:bCs/>
          <w:iCs/>
        </w:rPr>
        <w:t>The Department of Foreign Affairs and Trade (</w:t>
      </w:r>
      <w:r w:rsidR="00221AFA" w:rsidRPr="00BD08BA">
        <w:rPr>
          <w:rFonts w:ascii="Arial" w:eastAsia="Arial" w:hAnsi="Arial" w:cs="Arial"/>
          <w:bCs/>
          <w:iCs/>
        </w:rPr>
        <w:t>DFAT</w:t>
      </w:r>
      <w:r>
        <w:rPr>
          <w:rFonts w:ascii="Arial" w:eastAsia="Arial" w:hAnsi="Arial" w:cs="Arial"/>
          <w:bCs/>
          <w:iCs/>
        </w:rPr>
        <w:t>)</w:t>
      </w:r>
      <w:r w:rsidR="00221AFA" w:rsidRPr="00BD08BA">
        <w:rPr>
          <w:rFonts w:ascii="Arial" w:eastAsia="Arial" w:hAnsi="Arial" w:cs="Arial"/>
          <w:bCs/>
          <w:iCs/>
        </w:rPr>
        <w:t xml:space="preserve"> has commissioned Alinea International to evaluate the relevance, effectiveness</w:t>
      </w:r>
      <w:r>
        <w:rPr>
          <w:rFonts w:ascii="Arial" w:eastAsia="Arial" w:hAnsi="Arial" w:cs="Arial"/>
          <w:bCs/>
          <w:iCs/>
        </w:rPr>
        <w:t>,</w:t>
      </w:r>
      <w:r w:rsidR="00221AFA" w:rsidRPr="00BD08BA">
        <w:rPr>
          <w:rFonts w:ascii="Arial" w:eastAsia="Arial" w:hAnsi="Arial" w:cs="Arial"/>
          <w:bCs/>
          <w:iCs/>
        </w:rPr>
        <w:t xml:space="preserve"> and efficiency</w:t>
      </w:r>
      <w:r w:rsidR="00E4336F">
        <w:rPr>
          <w:rFonts w:ascii="Arial" w:eastAsia="Arial" w:hAnsi="Arial" w:cs="Arial"/>
          <w:bCs/>
          <w:iCs/>
        </w:rPr>
        <w:t xml:space="preserve"> of</w:t>
      </w:r>
      <w:r w:rsidR="00221AFA" w:rsidRPr="00BD08BA">
        <w:rPr>
          <w:rFonts w:ascii="Arial" w:eastAsia="Arial" w:hAnsi="Arial" w:cs="Arial"/>
          <w:bCs/>
          <w:iCs/>
        </w:rPr>
        <w:t xml:space="preserve"> </w:t>
      </w:r>
      <w:r w:rsidR="00221AFA">
        <w:rPr>
          <w:rFonts w:ascii="Arial" w:eastAsia="Arial" w:hAnsi="Arial" w:cs="Arial"/>
          <w:bCs/>
          <w:iCs/>
        </w:rPr>
        <w:t>its</w:t>
      </w:r>
      <w:r w:rsidR="00221AFA" w:rsidRPr="00BD08BA">
        <w:rPr>
          <w:rFonts w:ascii="Arial" w:eastAsia="Arial" w:hAnsi="Arial" w:cs="Arial"/>
          <w:bCs/>
          <w:iCs/>
        </w:rPr>
        <w:t xml:space="preserve"> </w:t>
      </w:r>
      <w:r w:rsidR="00BB2C49">
        <w:rPr>
          <w:rFonts w:ascii="Arial" w:eastAsia="Arial" w:hAnsi="Arial" w:cs="Arial"/>
          <w:bCs/>
          <w:iCs/>
        </w:rPr>
        <w:t xml:space="preserve">humanitarian </w:t>
      </w:r>
      <w:r w:rsidR="00221AFA" w:rsidRPr="00BD08BA">
        <w:rPr>
          <w:rFonts w:ascii="Arial" w:eastAsia="Arial" w:hAnsi="Arial" w:cs="Arial"/>
          <w:bCs/>
          <w:iCs/>
        </w:rPr>
        <w:t>Strategic Partnership Frameworks (SPFs) between Australia</w:t>
      </w:r>
      <w:r w:rsidR="00C8295A">
        <w:rPr>
          <w:rFonts w:ascii="Arial" w:eastAsia="Arial" w:hAnsi="Arial" w:cs="Arial"/>
          <w:bCs/>
          <w:iCs/>
        </w:rPr>
        <w:t xml:space="preserve"> and</w:t>
      </w:r>
      <w:r w:rsidR="00221AFA" w:rsidRPr="00BD08BA">
        <w:rPr>
          <w:rFonts w:ascii="Arial" w:eastAsia="Arial" w:hAnsi="Arial" w:cs="Arial"/>
          <w:bCs/>
          <w:iCs/>
        </w:rPr>
        <w:t xml:space="preserve"> </w:t>
      </w:r>
      <w:r w:rsidR="00221AFA" w:rsidRPr="00BD08BA">
        <w:rPr>
          <w:bCs/>
        </w:rPr>
        <w:t>the</w:t>
      </w:r>
      <w:r w:rsidR="00221AFA">
        <w:t xml:space="preserve"> World Food Programme (WFP); the U</w:t>
      </w:r>
      <w:r w:rsidR="00331770">
        <w:t>nited Nations</w:t>
      </w:r>
      <w:r w:rsidR="00221AFA">
        <w:t xml:space="preserve"> High Commissioner for Refugees (UNHCR); the Office for the Coordination of Humanitarian Affairs (OCHA)</w:t>
      </w:r>
      <w:r w:rsidR="00B32AC1">
        <w:t xml:space="preserve">, the </w:t>
      </w:r>
      <w:r w:rsidR="00221AFA">
        <w:t>Central Emergency Response Fund (CERF), and the International Committee of the Red Cross (ICRC)</w:t>
      </w:r>
      <w:r w:rsidR="00221AFA" w:rsidRPr="00100C8F">
        <w:t xml:space="preserve">. </w:t>
      </w:r>
      <w:r>
        <w:t xml:space="preserve">The </w:t>
      </w:r>
      <w:r w:rsidR="00E458A0">
        <w:t>f</w:t>
      </w:r>
      <w:r>
        <w:t xml:space="preserve">indings and </w:t>
      </w:r>
      <w:r w:rsidR="00E458A0">
        <w:rPr>
          <w:rFonts w:ascii="Arial" w:eastAsia="Arial" w:hAnsi="Arial" w:cs="Arial"/>
          <w:bCs/>
        </w:rPr>
        <w:t>r</w:t>
      </w:r>
      <w:r w:rsidR="00221AFA" w:rsidRPr="008213ED">
        <w:rPr>
          <w:rFonts w:ascii="Arial" w:eastAsia="Arial" w:hAnsi="Arial" w:cs="Arial"/>
          <w:bCs/>
        </w:rPr>
        <w:t xml:space="preserve">ecommendations </w:t>
      </w:r>
      <w:r>
        <w:rPr>
          <w:rFonts w:ascii="Arial" w:eastAsia="Arial" w:hAnsi="Arial" w:cs="Arial"/>
          <w:bCs/>
        </w:rPr>
        <w:t xml:space="preserve">presented in this report </w:t>
      </w:r>
      <w:r w:rsidR="00221AFA" w:rsidRPr="008213ED">
        <w:rPr>
          <w:rFonts w:ascii="Arial" w:eastAsia="Arial" w:hAnsi="Arial" w:cs="Arial"/>
          <w:bCs/>
        </w:rPr>
        <w:t xml:space="preserve">are intended to </w:t>
      </w:r>
      <w:r w:rsidR="00491E86">
        <w:rPr>
          <w:rFonts w:ascii="Arial" w:eastAsia="Arial" w:hAnsi="Arial" w:cs="Arial"/>
          <w:bCs/>
        </w:rPr>
        <w:t>inform</w:t>
      </w:r>
      <w:r>
        <w:rPr>
          <w:rFonts w:ascii="Arial" w:eastAsia="Arial" w:hAnsi="Arial" w:cs="Arial"/>
          <w:bCs/>
        </w:rPr>
        <w:t xml:space="preserve"> </w:t>
      </w:r>
      <w:r w:rsidR="00221AFA" w:rsidRPr="008213ED">
        <w:rPr>
          <w:rFonts w:ascii="Arial" w:eastAsia="Arial" w:hAnsi="Arial" w:cs="Arial"/>
          <w:bCs/>
        </w:rPr>
        <w:t>future partnership arrangements</w:t>
      </w:r>
      <w:r w:rsidR="000A7550">
        <w:rPr>
          <w:rFonts w:ascii="Arial" w:eastAsia="Arial" w:hAnsi="Arial" w:cs="Arial"/>
          <w:bCs/>
        </w:rPr>
        <w:t xml:space="preserve"> with these </w:t>
      </w:r>
      <w:r w:rsidR="00C8295A">
        <w:rPr>
          <w:rFonts w:ascii="Arial" w:eastAsia="Arial" w:hAnsi="Arial" w:cs="Arial"/>
          <w:bCs/>
        </w:rPr>
        <w:t>organisations</w:t>
      </w:r>
      <w:r w:rsidR="00B81F06">
        <w:rPr>
          <w:rFonts w:ascii="Arial" w:eastAsia="Arial" w:hAnsi="Arial" w:cs="Arial"/>
          <w:bCs/>
        </w:rPr>
        <w:t>. F</w:t>
      </w:r>
      <w:r w:rsidR="000A7550">
        <w:rPr>
          <w:rFonts w:ascii="Arial" w:eastAsia="Arial" w:hAnsi="Arial" w:cs="Arial"/>
          <w:bCs/>
        </w:rPr>
        <w:t xml:space="preserve">indings may have broader relevance to other </w:t>
      </w:r>
      <w:r w:rsidR="00A026BF">
        <w:rPr>
          <w:rFonts w:ascii="Arial" w:eastAsia="Arial" w:hAnsi="Arial" w:cs="Arial"/>
          <w:bCs/>
        </w:rPr>
        <w:t>SPF arrangements.</w:t>
      </w:r>
    </w:p>
    <w:p w14:paraId="1C49CCF5" w14:textId="47FF5B45" w:rsidR="000B30A5" w:rsidRPr="00467059" w:rsidRDefault="000B30A5" w:rsidP="005841C1">
      <w:pPr>
        <w:pStyle w:val="Heading3"/>
        <w:rPr>
          <w:rStyle w:val="normaltextrun"/>
          <w:rFonts w:cstheme="majorHAnsi"/>
          <w:color w:val="auto"/>
          <w:shd w:val="clear" w:color="auto" w:fill="FFFFFF"/>
        </w:rPr>
      </w:pPr>
      <w:r w:rsidRPr="00467059">
        <w:rPr>
          <w:rStyle w:val="normaltextrun"/>
          <w:rFonts w:cstheme="majorHAnsi"/>
          <w:color w:val="auto"/>
          <w:shd w:val="clear" w:color="auto" w:fill="FFFFFF"/>
        </w:rPr>
        <w:t>Context</w:t>
      </w:r>
    </w:p>
    <w:p w14:paraId="7D906CFE" w14:textId="2C4FE7A8" w:rsidR="00252C2B" w:rsidRDefault="005E2B02" w:rsidP="00FA7873">
      <w:pPr>
        <w:rPr>
          <w:rFonts w:ascii="Arial" w:eastAsia="Arial" w:hAnsi="Arial" w:cs="Arial"/>
          <w:bCs/>
          <w:iCs/>
        </w:rPr>
      </w:pPr>
      <w:r>
        <w:rPr>
          <w:rFonts w:ascii="Arial" w:eastAsia="Arial" w:hAnsi="Arial" w:cs="Arial"/>
          <w:bCs/>
          <w:iCs/>
        </w:rPr>
        <w:t>WFP, UNHCR, ICRC, OCHA and the CERF</w:t>
      </w:r>
      <w:r w:rsidR="000D6CA1">
        <w:rPr>
          <w:rFonts w:ascii="Arial" w:eastAsia="Arial" w:hAnsi="Arial" w:cs="Arial"/>
          <w:bCs/>
          <w:iCs/>
        </w:rPr>
        <w:t xml:space="preserve"> are central to implementation of Australia’s new Humanitarian Policy, which was released in October 2024.</w:t>
      </w:r>
      <w:r>
        <w:rPr>
          <w:rFonts w:ascii="Arial" w:eastAsia="Arial" w:hAnsi="Arial" w:cs="Arial"/>
          <w:bCs/>
          <w:iCs/>
        </w:rPr>
        <w:t xml:space="preserve"> </w:t>
      </w:r>
    </w:p>
    <w:p w14:paraId="17A9F964" w14:textId="6198496B" w:rsidR="00FA7873" w:rsidRDefault="00FA7873" w:rsidP="00FA7873">
      <w:pPr>
        <w:rPr>
          <w:rFonts w:eastAsia="Arial"/>
        </w:rPr>
      </w:pPr>
      <w:r w:rsidRPr="00F23D23">
        <w:rPr>
          <w:rFonts w:eastAsia="Arial"/>
        </w:rPr>
        <w:t xml:space="preserve">This evaluation </w:t>
      </w:r>
      <w:r>
        <w:rPr>
          <w:rFonts w:eastAsia="Arial"/>
        </w:rPr>
        <w:t>takes place</w:t>
      </w:r>
      <w:r w:rsidR="000D6CA1">
        <w:rPr>
          <w:rFonts w:eastAsia="Arial"/>
        </w:rPr>
        <w:t xml:space="preserve"> in the </w:t>
      </w:r>
      <w:r w:rsidR="00E4336F">
        <w:rPr>
          <w:rFonts w:eastAsia="Arial"/>
        </w:rPr>
        <w:t>penultimate</w:t>
      </w:r>
      <w:r w:rsidR="000D6CA1">
        <w:rPr>
          <w:rFonts w:eastAsia="Arial"/>
        </w:rPr>
        <w:t xml:space="preserve"> year </w:t>
      </w:r>
      <w:r w:rsidR="000D6CA1" w:rsidRPr="00851576">
        <w:rPr>
          <w:rFonts w:eastAsia="Arial"/>
        </w:rPr>
        <w:t>of the four-year</w:t>
      </w:r>
      <w:r w:rsidR="004B3EE8" w:rsidRPr="00851576">
        <w:rPr>
          <w:rFonts w:eastAsia="Arial"/>
        </w:rPr>
        <w:t xml:space="preserve"> term of the current phase of SPFs,</w:t>
      </w:r>
      <w:r w:rsidRPr="00851576">
        <w:rPr>
          <w:rFonts w:eastAsia="Arial"/>
        </w:rPr>
        <w:t xml:space="preserve"> amid </w:t>
      </w:r>
      <w:r w:rsidR="004B3EE8" w:rsidRPr="00851576">
        <w:rPr>
          <w:rFonts w:eastAsia="Arial"/>
        </w:rPr>
        <w:t xml:space="preserve">significant </w:t>
      </w:r>
      <w:r w:rsidRPr="00851576">
        <w:rPr>
          <w:rFonts w:eastAsia="Arial"/>
        </w:rPr>
        <w:t xml:space="preserve">reductions in </w:t>
      </w:r>
      <w:r w:rsidR="004B3EE8" w:rsidRPr="00851576">
        <w:rPr>
          <w:rFonts w:eastAsia="Arial"/>
        </w:rPr>
        <w:t xml:space="preserve">global </w:t>
      </w:r>
      <w:r w:rsidRPr="00851576">
        <w:rPr>
          <w:rFonts w:eastAsia="Arial"/>
        </w:rPr>
        <w:t xml:space="preserve">humanitarian funding and calls for donors to substantively re-think the way they fund multilateral agencies and humanitarian response. </w:t>
      </w:r>
      <w:r w:rsidR="00821014" w:rsidRPr="00851576">
        <w:rPr>
          <w:rFonts w:eastAsia="Arial"/>
        </w:rPr>
        <w:t>Globally, d</w:t>
      </w:r>
      <w:r w:rsidRPr="00851576">
        <w:rPr>
          <w:rFonts w:eastAsia="Arial"/>
        </w:rPr>
        <w:t>onors channel roughly two thirds of OECD</w:t>
      </w:r>
      <w:r w:rsidR="00C9000D" w:rsidRPr="00851576">
        <w:rPr>
          <w:rFonts w:eastAsia="Arial"/>
        </w:rPr>
        <w:t>-</w:t>
      </w:r>
      <w:r w:rsidRPr="00851576">
        <w:rPr>
          <w:rFonts w:eastAsia="Arial"/>
        </w:rPr>
        <w:t xml:space="preserve">DAC humanitarian funding through </w:t>
      </w:r>
      <w:r w:rsidRPr="0014660C">
        <w:rPr>
          <w:rFonts w:eastAsia="Arial"/>
        </w:rPr>
        <w:t>multilateral agencies.</w:t>
      </w:r>
      <w:r w:rsidRPr="0014660C">
        <w:rPr>
          <w:vertAlign w:val="superscript"/>
        </w:rPr>
        <w:footnoteReference w:id="2"/>
      </w:r>
      <w:r w:rsidRPr="0014660C">
        <w:rPr>
          <w:rFonts w:eastAsia="Arial"/>
        </w:rPr>
        <w:t xml:space="preserve"> </w:t>
      </w:r>
      <w:r w:rsidR="000C4E95" w:rsidRPr="0014660C">
        <w:rPr>
          <w:rFonts w:eastAsia="Arial"/>
        </w:rPr>
        <w:t xml:space="preserve">In 2024-25, Australia provided </w:t>
      </w:r>
      <w:r w:rsidR="00402733" w:rsidRPr="0014660C">
        <w:rPr>
          <w:rFonts w:eastAsia="Arial"/>
        </w:rPr>
        <w:t>AUD</w:t>
      </w:r>
      <w:r w:rsidR="00900D9F" w:rsidRPr="0014660C">
        <w:rPr>
          <w:rFonts w:eastAsia="Arial"/>
        </w:rPr>
        <w:t>300</w:t>
      </w:r>
      <w:r w:rsidR="000C4E95" w:rsidRPr="0014660C">
        <w:rPr>
          <w:rFonts w:eastAsia="Arial"/>
        </w:rPr>
        <w:t xml:space="preserve"> </w:t>
      </w:r>
      <w:r w:rsidR="00E2292D" w:rsidRPr="0014660C">
        <w:rPr>
          <w:rFonts w:eastAsia="Arial"/>
        </w:rPr>
        <w:t>million</w:t>
      </w:r>
      <w:r w:rsidR="000C4E95" w:rsidRPr="0014660C">
        <w:rPr>
          <w:rFonts w:eastAsia="Arial"/>
        </w:rPr>
        <w:t xml:space="preserve"> to</w:t>
      </w:r>
      <w:r w:rsidR="003470A6" w:rsidRPr="0014660C">
        <w:rPr>
          <w:rFonts w:eastAsia="Arial"/>
        </w:rPr>
        <w:t xml:space="preserve"> WFP, UNHCR, ICRC, OCHA and CERF</w:t>
      </w:r>
      <w:r w:rsidR="009147A1" w:rsidRPr="0014660C">
        <w:rPr>
          <w:rStyle w:val="FootnoteReference"/>
          <w:rFonts w:eastAsia="Arial"/>
        </w:rPr>
        <w:footnoteReference w:id="3"/>
      </w:r>
      <w:r w:rsidR="00860083" w:rsidRPr="0014660C">
        <w:rPr>
          <w:rFonts w:eastAsia="Arial"/>
        </w:rPr>
        <w:t xml:space="preserve"> </w:t>
      </w:r>
      <w:r w:rsidR="00390963" w:rsidRPr="0014660C">
        <w:rPr>
          <w:rFonts w:eastAsia="Arial"/>
        </w:rPr>
        <w:t xml:space="preserve"> which represents </w:t>
      </w:r>
      <w:r w:rsidR="006B592C" w:rsidRPr="0014660C">
        <w:rPr>
          <w:rFonts w:eastAsia="Arial"/>
        </w:rPr>
        <w:t>approximately 44</w:t>
      </w:r>
      <w:r w:rsidR="00017706" w:rsidRPr="0014660C">
        <w:rPr>
          <w:rFonts w:eastAsia="Arial"/>
        </w:rPr>
        <w:t xml:space="preserve"> per cent</w:t>
      </w:r>
      <w:r w:rsidR="00390963" w:rsidRPr="0014660C">
        <w:rPr>
          <w:rFonts w:eastAsia="Arial"/>
        </w:rPr>
        <w:t xml:space="preserve"> of </w:t>
      </w:r>
      <w:r w:rsidR="0040189C" w:rsidRPr="0014660C">
        <w:rPr>
          <w:rFonts w:eastAsia="Arial"/>
        </w:rPr>
        <w:t>Australia’s</w:t>
      </w:r>
      <w:r w:rsidR="00390963" w:rsidRPr="0014660C">
        <w:rPr>
          <w:rFonts w:eastAsia="Arial"/>
        </w:rPr>
        <w:t xml:space="preserve"> 2024-2025 budget </w:t>
      </w:r>
      <w:r w:rsidR="00A44ED9" w:rsidRPr="0014660C">
        <w:rPr>
          <w:rFonts w:eastAsia="Arial"/>
        </w:rPr>
        <w:t xml:space="preserve">estimate of </w:t>
      </w:r>
      <w:r w:rsidR="00017706" w:rsidRPr="0014660C">
        <w:rPr>
          <w:rFonts w:eastAsia="Arial"/>
        </w:rPr>
        <w:t>AUD</w:t>
      </w:r>
      <w:r w:rsidR="00A44ED9" w:rsidRPr="0014660C">
        <w:rPr>
          <w:rFonts w:eastAsia="Arial"/>
        </w:rPr>
        <w:t xml:space="preserve">676 million for the humanitarian sector. </w:t>
      </w:r>
      <w:r w:rsidRPr="0014660C">
        <w:rPr>
          <w:rFonts w:eastAsia="Arial"/>
        </w:rPr>
        <w:t xml:space="preserve">The way in which donors fund </w:t>
      </w:r>
      <w:r w:rsidR="00B2615C" w:rsidRPr="0014660C">
        <w:rPr>
          <w:rFonts w:eastAsia="Arial"/>
        </w:rPr>
        <w:t xml:space="preserve">these partners </w:t>
      </w:r>
      <w:r w:rsidRPr="0014660C">
        <w:rPr>
          <w:rFonts w:eastAsia="Arial"/>
        </w:rPr>
        <w:t>and incentivise performance matters</w:t>
      </w:r>
      <w:r w:rsidR="00A2089F" w:rsidRPr="0014660C">
        <w:rPr>
          <w:rFonts w:eastAsia="Arial"/>
        </w:rPr>
        <w:t>.</w:t>
      </w:r>
    </w:p>
    <w:p w14:paraId="3FCCF25A" w14:textId="13ACF194" w:rsidR="00B75C64" w:rsidRPr="00467059" w:rsidRDefault="00B75C64" w:rsidP="00B75C64">
      <w:pPr>
        <w:pStyle w:val="Heading3"/>
        <w:rPr>
          <w:rStyle w:val="normaltextrun"/>
          <w:rFonts w:cstheme="majorHAnsi"/>
          <w:color w:val="auto"/>
          <w:shd w:val="clear" w:color="auto" w:fill="FFFFFF"/>
        </w:rPr>
      </w:pPr>
      <w:r w:rsidRPr="00467059">
        <w:rPr>
          <w:rStyle w:val="normaltextrun"/>
          <w:rFonts w:cstheme="majorHAnsi"/>
          <w:color w:val="auto"/>
          <w:shd w:val="clear" w:color="auto" w:fill="FFFFFF"/>
        </w:rPr>
        <w:t xml:space="preserve">About </w:t>
      </w:r>
      <w:r w:rsidR="009D4FCB">
        <w:rPr>
          <w:rStyle w:val="normaltextrun"/>
          <w:rFonts w:cstheme="majorHAnsi"/>
          <w:color w:val="auto"/>
          <w:shd w:val="clear" w:color="auto" w:fill="FFFFFF"/>
        </w:rPr>
        <w:t>SPFs and EOLs</w:t>
      </w:r>
    </w:p>
    <w:p w14:paraId="28987CBE" w14:textId="283A2693" w:rsidR="00221AFA" w:rsidRDefault="6B4DA792" w:rsidP="70075F62">
      <w:pPr>
        <w:rPr>
          <w:rFonts w:ascii="Arial" w:eastAsia="Arial" w:hAnsi="Arial" w:cs="Arial"/>
        </w:rPr>
      </w:pPr>
      <w:r w:rsidRPr="2C54FF09">
        <w:rPr>
          <w:rFonts w:ascii="Arial" w:eastAsia="Arial" w:hAnsi="Arial" w:cs="Arial"/>
        </w:rPr>
        <w:t xml:space="preserve">The modality through which </w:t>
      </w:r>
      <w:r w:rsidR="1CC7C159" w:rsidRPr="2C54FF09">
        <w:rPr>
          <w:rFonts w:ascii="Arial" w:eastAsia="Arial" w:hAnsi="Arial" w:cs="Arial"/>
        </w:rPr>
        <w:t>Australia funds these</w:t>
      </w:r>
      <w:r w:rsidR="00A026BF">
        <w:rPr>
          <w:rFonts w:ascii="Arial" w:eastAsia="Arial" w:hAnsi="Arial" w:cs="Arial"/>
        </w:rPr>
        <w:t xml:space="preserve"> partners </w:t>
      </w:r>
      <w:r w:rsidR="009D65B2">
        <w:rPr>
          <w:rFonts w:ascii="Arial" w:eastAsia="Arial" w:hAnsi="Arial" w:cs="Arial"/>
        </w:rPr>
        <w:t>is</w:t>
      </w:r>
      <w:r w:rsidR="009D65B2" w:rsidRPr="2C54FF09">
        <w:rPr>
          <w:rFonts w:ascii="Arial" w:eastAsia="Arial" w:hAnsi="Arial" w:cs="Arial"/>
        </w:rPr>
        <w:t xml:space="preserve"> </w:t>
      </w:r>
      <w:r w:rsidRPr="2C54FF09">
        <w:rPr>
          <w:rFonts w:ascii="Arial" w:eastAsia="Arial" w:hAnsi="Arial" w:cs="Arial"/>
        </w:rPr>
        <w:t>called</w:t>
      </w:r>
      <w:r w:rsidR="1CC7C159" w:rsidRPr="2C54FF09">
        <w:rPr>
          <w:rFonts w:ascii="Arial" w:eastAsia="Arial" w:hAnsi="Arial" w:cs="Arial"/>
        </w:rPr>
        <w:t xml:space="preserve"> SPFs. SPFs are </w:t>
      </w:r>
      <w:r w:rsidR="192F3B81" w:rsidRPr="2C54FF09">
        <w:rPr>
          <w:rFonts w:ascii="Arial" w:eastAsia="Arial" w:hAnsi="Arial" w:cs="Arial"/>
        </w:rPr>
        <w:t xml:space="preserve">non-binding </w:t>
      </w:r>
      <w:r w:rsidR="003E4F61">
        <w:rPr>
          <w:rFonts w:ascii="Arial" w:eastAsia="Arial" w:hAnsi="Arial" w:cs="Arial"/>
        </w:rPr>
        <w:t>frameworks</w:t>
      </w:r>
      <w:r w:rsidR="003E4F61" w:rsidRPr="2C54FF09">
        <w:rPr>
          <w:rFonts w:ascii="Arial" w:eastAsia="Arial" w:hAnsi="Arial" w:cs="Arial"/>
        </w:rPr>
        <w:t xml:space="preserve"> </w:t>
      </w:r>
      <w:r w:rsidR="1CC7C159" w:rsidRPr="2C54FF09">
        <w:rPr>
          <w:rFonts w:ascii="Arial" w:eastAsia="Arial" w:hAnsi="Arial" w:cs="Arial"/>
        </w:rPr>
        <w:t xml:space="preserve">which set out Australia’s priorities, </w:t>
      </w:r>
      <w:r w:rsidR="72D997AB" w:rsidRPr="2C54FF09">
        <w:rPr>
          <w:rFonts w:ascii="Arial" w:eastAsia="Arial" w:hAnsi="Arial" w:cs="Arial"/>
        </w:rPr>
        <w:t>s</w:t>
      </w:r>
      <w:r w:rsidR="1CC7C159" w:rsidRPr="2C54FF09">
        <w:rPr>
          <w:rFonts w:ascii="Arial" w:eastAsia="Arial" w:hAnsi="Arial" w:cs="Arial"/>
        </w:rPr>
        <w:t xml:space="preserve">hared </w:t>
      </w:r>
      <w:r w:rsidR="72D997AB" w:rsidRPr="2C54FF09">
        <w:rPr>
          <w:rFonts w:ascii="Arial" w:eastAsia="Arial" w:hAnsi="Arial" w:cs="Arial"/>
        </w:rPr>
        <w:t>p</w:t>
      </w:r>
      <w:r w:rsidR="1CC7C159" w:rsidRPr="2C54FF09">
        <w:rPr>
          <w:rFonts w:ascii="Arial" w:eastAsia="Arial" w:hAnsi="Arial" w:cs="Arial"/>
        </w:rPr>
        <w:t xml:space="preserve">artnership </w:t>
      </w:r>
      <w:r w:rsidR="72D997AB" w:rsidRPr="2C54FF09">
        <w:rPr>
          <w:rFonts w:ascii="Arial" w:eastAsia="Arial" w:hAnsi="Arial" w:cs="Arial"/>
        </w:rPr>
        <w:t>o</w:t>
      </w:r>
      <w:r w:rsidR="1CC7C159" w:rsidRPr="2C54FF09">
        <w:rPr>
          <w:rFonts w:ascii="Arial" w:eastAsia="Arial" w:hAnsi="Arial" w:cs="Arial"/>
        </w:rPr>
        <w:t xml:space="preserve">bjectives and </w:t>
      </w:r>
      <w:r w:rsidR="72D997AB" w:rsidRPr="2C54FF09">
        <w:rPr>
          <w:rFonts w:ascii="Arial" w:eastAsia="Arial" w:hAnsi="Arial" w:cs="Arial"/>
        </w:rPr>
        <w:t>d</w:t>
      </w:r>
      <w:r w:rsidR="1CC7C159" w:rsidRPr="2C54FF09">
        <w:rPr>
          <w:rFonts w:ascii="Arial" w:eastAsia="Arial" w:hAnsi="Arial" w:cs="Arial"/>
        </w:rPr>
        <w:t xml:space="preserve">eliverables, indicative allocations of baseline core funding, </w:t>
      </w:r>
      <w:r w:rsidR="00B302A6">
        <w:rPr>
          <w:rFonts w:ascii="Arial" w:eastAsia="Arial" w:hAnsi="Arial" w:cs="Arial"/>
        </w:rPr>
        <w:t>(</w:t>
      </w:r>
      <w:r w:rsidR="007D31C6">
        <w:rPr>
          <w:rFonts w:ascii="Arial" w:eastAsia="Arial" w:hAnsi="Arial" w:cs="Arial"/>
        </w:rPr>
        <w:t xml:space="preserve">and </w:t>
      </w:r>
      <w:r w:rsidR="00B302A6">
        <w:rPr>
          <w:rFonts w:ascii="Arial" w:eastAsia="Arial" w:hAnsi="Arial" w:cs="Arial"/>
        </w:rPr>
        <w:t xml:space="preserve">additional earmarked funding for the OCHA Regional Office), </w:t>
      </w:r>
      <w:r w:rsidR="1CC7C159" w:rsidRPr="2C54FF09">
        <w:rPr>
          <w:rFonts w:ascii="Arial" w:eastAsia="Arial" w:hAnsi="Arial" w:cs="Arial"/>
        </w:rPr>
        <w:t xml:space="preserve">and </w:t>
      </w:r>
      <w:r w:rsidR="00432377">
        <w:rPr>
          <w:rFonts w:ascii="Arial" w:eastAsia="Arial" w:hAnsi="Arial" w:cs="Arial"/>
        </w:rPr>
        <w:t>other provisions</w:t>
      </w:r>
      <w:r w:rsidR="1CC7C159" w:rsidRPr="2C54FF09">
        <w:rPr>
          <w:rFonts w:ascii="Arial" w:eastAsia="Arial" w:hAnsi="Arial" w:cs="Arial"/>
        </w:rPr>
        <w:t xml:space="preserve"> including partnership implementation, governance, reporting requirements</w:t>
      </w:r>
      <w:r w:rsidR="73F4021B" w:rsidRPr="2C54FF09">
        <w:rPr>
          <w:rFonts w:ascii="Arial" w:eastAsia="Arial" w:hAnsi="Arial" w:cs="Arial"/>
        </w:rPr>
        <w:t>,</w:t>
      </w:r>
      <w:r w:rsidR="1CC7C159" w:rsidRPr="2C54FF09">
        <w:rPr>
          <w:rFonts w:ascii="Arial" w:eastAsia="Arial" w:hAnsi="Arial" w:cs="Arial"/>
        </w:rPr>
        <w:t xml:space="preserve"> and risk management. Current SPFs </w:t>
      </w:r>
      <w:r w:rsidR="04C9DCA9" w:rsidRPr="2C54FF09">
        <w:rPr>
          <w:rFonts w:ascii="Arial" w:eastAsia="Arial" w:hAnsi="Arial" w:cs="Arial"/>
        </w:rPr>
        <w:t>are multi-</w:t>
      </w:r>
      <w:r w:rsidR="3D6A33F3" w:rsidRPr="2C54FF09">
        <w:rPr>
          <w:rFonts w:ascii="Arial" w:eastAsia="Arial" w:hAnsi="Arial" w:cs="Arial"/>
        </w:rPr>
        <w:t>year and</w:t>
      </w:r>
      <w:r w:rsidR="04C9DCA9" w:rsidRPr="2C54FF09">
        <w:rPr>
          <w:rFonts w:ascii="Arial" w:eastAsia="Arial" w:hAnsi="Arial" w:cs="Arial"/>
        </w:rPr>
        <w:t xml:space="preserve"> </w:t>
      </w:r>
      <w:r w:rsidR="1CC7C159" w:rsidRPr="2C54FF09">
        <w:rPr>
          <w:rFonts w:ascii="Arial" w:eastAsia="Arial" w:hAnsi="Arial" w:cs="Arial"/>
        </w:rPr>
        <w:t xml:space="preserve">were signed in 2022. </w:t>
      </w:r>
    </w:p>
    <w:p w14:paraId="7CF6450C" w14:textId="752891A6" w:rsidR="00221AFA" w:rsidRDefault="00221AFA" w:rsidP="00221AFA">
      <w:pPr>
        <w:rPr>
          <w:rFonts w:ascii="Arial" w:eastAsia="Arial" w:hAnsi="Arial" w:cs="Arial"/>
          <w:bCs/>
          <w:iCs/>
        </w:rPr>
      </w:pPr>
      <w:r>
        <w:rPr>
          <w:rFonts w:ascii="Arial" w:eastAsia="Arial" w:hAnsi="Arial" w:cs="Arial"/>
          <w:bCs/>
          <w:iCs/>
        </w:rPr>
        <w:t>Additional funding to countries, regions</w:t>
      </w:r>
      <w:r w:rsidR="005162C4">
        <w:rPr>
          <w:rFonts w:ascii="Arial" w:eastAsia="Arial" w:hAnsi="Arial" w:cs="Arial"/>
          <w:bCs/>
          <w:iCs/>
        </w:rPr>
        <w:t>,</w:t>
      </w:r>
      <w:r>
        <w:rPr>
          <w:rFonts w:ascii="Arial" w:eastAsia="Arial" w:hAnsi="Arial" w:cs="Arial"/>
          <w:bCs/>
          <w:iCs/>
        </w:rPr>
        <w:t xml:space="preserve"> or thematic </w:t>
      </w:r>
      <w:r w:rsidR="008B05F7">
        <w:rPr>
          <w:rFonts w:ascii="Arial" w:eastAsia="Arial" w:hAnsi="Arial" w:cs="Arial"/>
          <w:bCs/>
          <w:iCs/>
        </w:rPr>
        <w:t>priorit</w:t>
      </w:r>
      <w:r w:rsidR="005943A8">
        <w:rPr>
          <w:rFonts w:ascii="Arial" w:eastAsia="Arial" w:hAnsi="Arial" w:cs="Arial"/>
          <w:bCs/>
          <w:iCs/>
        </w:rPr>
        <w:t>ies</w:t>
      </w:r>
      <w:r>
        <w:rPr>
          <w:rFonts w:ascii="Arial" w:eastAsia="Arial" w:hAnsi="Arial" w:cs="Arial"/>
          <w:bCs/>
          <w:iCs/>
        </w:rPr>
        <w:t xml:space="preserve"> is provided through</w:t>
      </w:r>
      <w:r w:rsidR="00843BA0">
        <w:rPr>
          <w:rFonts w:ascii="Arial" w:eastAsia="Arial" w:hAnsi="Arial" w:cs="Arial"/>
          <w:bCs/>
          <w:iCs/>
        </w:rPr>
        <w:t xml:space="preserve"> </w:t>
      </w:r>
      <w:r w:rsidR="00302B52">
        <w:rPr>
          <w:rFonts w:ascii="Arial" w:eastAsia="Arial" w:hAnsi="Arial" w:cs="Arial"/>
          <w:bCs/>
          <w:iCs/>
        </w:rPr>
        <w:t xml:space="preserve">a </w:t>
      </w:r>
      <w:r w:rsidR="00843BA0">
        <w:rPr>
          <w:rFonts w:ascii="Arial" w:eastAsia="Arial" w:hAnsi="Arial" w:cs="Arial"/>
          <w:bCs/>
          <w:iCs/>
        </w:rPr>
        <w:t xml:space="preserve">subsidiary arrangement, </w:t>
      </w:r>
      <w:r w:rsidR="00C2730D">
        <w:rPr>
          <w:rFonts w:ascii="Arial" w:eastAsia="Arial" w:hAnsi="Arial" w:cs="Arial"/>
          <w:bCs/>
          <w:iCs/>
        </w:rPr>
        <w:t>called</w:t>
      </w:r>
      <w:r>
        <w:rPr>
          <w:rFonts w:ascii="Arial" w:eastAsia="Arial" w:hAnsi="Arial" w:cs="Arial"/>
          <w:bCs/>
          <w:iCs/>
        </w:rPr>
        <w:t xml:space="preserve"> </w:t>
      </w:r>
      <w:r w:rsidR="00C2730D">
        <w:rPr>
          <w:rFonts w:ascii="Arial" w:eastAsia="Arial" w:hAnsi="Arial" w:cs="Arial"/>
          <w:bCs/>
          <w:iCs/>
        </w:rPr>
        <w:t xml:space="preserve">an </w:t>
      </w:r>
      <w:r>
        <w:rPr>
          <w:rFonts w:ascii="Arial" w:eastAsia="Arial" w:hAnsi="Arial" w:cs="Arial"/>
          <w:bCs/>
          <w:iCs/>
        </w:rPr>
        <w:t>Exchange of Letters (EOL</w:t>
      </w:r>
      <w:r w:rsidR="00C34E11">
        <w:rPr>
          <w:rFonts w:ascii="Arial" w:eastAsia="Arial" w:hAnsi="Arial" w:cs="Arial"/>
          <w:bCs/>
          <w:iCs/>
        </w:rPr>
        <w:t>).</w:t>
      </w:r>
      <w:r>
        <w:rPr>
          <w:rFonts w:ascii="Arial" w:eastAsia="Arial" w:hAnsi="Arial" w:cs="Arial"/>
          <w:bCs/>
          <w:iCs/>
        </w:rPr>
        <w:t xml:space="preserve"> The EOL is a pre-agreed template </w:t>
      </w:r>
      <w:r w:rsidR="0072575F">
        <w:rPr>
          <w:rFonts w:ascii="Arial" w:eastAsia="Arial" w:hAnsi="Arial" w:cs="Arial"/>
          <w:bCs/>
          <w:iCs/>
        </w:rPr>
        <w:t>annexed to the SPF which</w:t>
      </w:r>
      <w:r w:rsidR="00302B52">
        <w:rPr>
          <w:rFonts w:ascii="Arial" w:eastAsia="Arial" w:hAnsi="Arial" w:cs="Arial"/>
          <w:bCs/>
          <w:iCs/>
        </w:rPr>
        <w:t xml:space="preserve"> is</w:t>
      </w:r>
      <w:r w:rsidR="0072575F">
        <w:rPr>
          <w:rFonts w:ascii="Arial" w:eastAsia="Arial" w:hAnsi="Arial" w:cs="Arial"/>
          <w:bCs/>
          <w:iCs/>
        </w:rPr>
        <w:t xml:space="preserve"> </w:t>
      </w:r>
      <w:r>
        <w:rPr>
          <w:rFonts w:ascii="Arial" w:eastAsia="Arial" w:hAnsi="Arial" w:cs="Arial"/>
          <w:bCs/>
          <w:iCs/>
        </w:rPr>
        <w:t xml:space="preserve">used to engage partners under their </w:t>
      </w:r>
      <w:r w:rsidR="005162C4">
        <w:rPr>
          <w:rFonts w:ascii="Arial" w:eastAsia="Arial" w:hAnsi="Arial" w:cs="Arial"/>
          <w:bCs/>
          <w:iCs/>
        </w:rPr>
        <w:t xml:space="preserve">respective </w:t>
      </w:r>
      <w:r>
        <w:rPr>
          <w:rFonts w:ascii="Arial" w:eastAsia="Arial" w:hAnsi="Arial" w:cs="Arial"/>
          <w:bCs/>
          <w:iCs/>
        </w:rPr>
        <w:t>SPF</w:t>
      </w:r>
      <w:r w:rsidR="00302B52">
        <w:rPr>
          <w:rFonts w:ascii="Arial" w:eastAsia="Arial" w:hAnsi="Arial" w:cs="Arial"/>
          <w:bCs/>
          <w:iCs/>
        </w:rPr>
        <w:t>. The EOL can be used by any Australian government agency</w:t>
      </w:r>
      <w:r w:rsidR="005162C4">
        <w:rPr>
          <w:rFonts w:ascii="Arial" w:eastAsia="Arial" w:hAnsi="Arial" w:cs="Arial"/>
          <w:bCs/>
          <w:iCs/>
        </w:rPr>
        <w:t xml:space="preserve"> </w:t>
      </w:r>
      <w:r w:rsidR="00386575">
        <w:rPr>
          <w:rFonts w:ascii="Arial" w:eastAsia="Arial" w:hAnsi="Arial" w:cs="Arial"/>
          <w:bCs/>
          <w:iCs/>
        </w:rPr>
        <w:t>to provide</w:t>
      </w:r>
      <w:r w:rsidR="005162C4">
        <w:rPr>
          <w:rFonts w:ascii="Arial" w:eastAsia="Arial" w:hAnsi="Arial" w:cs="Arial"/>
          <w:bCs/>
          <w:iCs/>
        </w:rPr>
        <w:t xml:space="preserve"> multi</w:t>
      </w:r>
      <w:r w:rsidR="009F4124">
        <w:rPr>
          <w:rFonts w:ascii="Arial" w:eastAsia="Arial" w:hAnsi="Arial" w:cs="Arial"/>
          <w:bCs/>
          <w:iCs/>
        </w:rPr>
        <w:t>-</w:t>
      </w:r>
      <w:r w:rsidR="005162C4">
        <w:rPr>
          <w:rFonts w:ascii="Arial" w:eastAsia="Arial" w:hAnsi="Arial" w:cs="Arial"/>
          <w:bCs/>
          <w:iCs/>
        </w:rPr>
        <w:t>year, or one-off payments</w:t>
      </w:r>
      <w:r>
        <w:rPr>
          <w:rFonts w:ascii="Arial" w:eastAsia="Arial" w:hAnsi="Arial" w:cs="Arial"/>
          <w:bCs/>
          <w:iCs/>
        </w:rPr>
        <w:t xml:space="preserve">. It </w:t>
      </w:r>
      <w:r w:rsidR="00386575">
        <w:rPr>
          <w:rFonts w:ascii="Arial" w:eastAsia="Arial" w:hAnsi="Arial" w:cs="Arial"/>
          <w:bCs/>
          <w:iCs/>
        </w:rPr>
        <w:t xml:space="preserve">incorporates </w:t>
      </w:r>
      <w:r>
        <w:rPr>
          <w:rFonts w:ascii="Arial" w:eastAsia="Arial" w:hAnsi="Arial" w:cs="Arial"/>
          <w:bCs/>
          <w:iCs/>
        </w:rPr>
        <w:t xml:space="preserve">the objectives and safeguards of the </w:t>
      </w:r>
      <w:r w:rsidR="008B05F7">
        <w:rPr>
          <w:rFonts w:ascii="Arial" w:eastAsia="Arial" w:hAnsi="Arial" w:cs="Arial"/>
          <w:bCs/>
          <w:iCs/>
        </w:rPr>
        <w:t>SPF and</w:t>
      </w:r>
      <w:r>
        <w:rPr>
          <w:rFonts w:ascii="Arial" w:eastAsia="Arial" w:hAnsi="Arial" w:cs="Arial"/>
          <w:bCs/>
          <w:iCs/>
        </w:rPr>
        <w:t xml:space="preserve"> </w:t>
      </w:r>
      <w:r w:rsidR="00A8458A">
        <w:rPr>
          <w:rFonts w:ascii="Arial" w:eastAsia="Arial" w:hAnsi="Arial" w:cs="Arial"/>
          <w:bCs/>
          <w:iCs/>
        </w:rPr>
        <w:t xml:space="preserve">includes </w:t>
      </w:r>
      <w:r w:rsidR="0044277A">
        <w:rPr>
          <w:rFonts w:ascii="Arial" w:eastAsia="Arial" w:hAnsi="Arial" w:cs="Arial"/>
          <w:bCs/>
          <w:iCs/>
        </w:rPr>
        <w:t>additional</w:t>
      </w:r>
      <w:r w:rsidR="005162C4">
        <w:rPr>
          <w:rFonts w:ascii="Arial" w:eastAsia="Arial" w:hAnsi="Arial" w:cs="Arial"/>
          <w:bCs/>
          <w:iCs/>
        </w:rPr>
        <w:t>,</w:t>
      </w:r>
      <w:r>
        <w:rPr>
          <w:rFonts w:ascii="Arial" w:eastAsia="Arial" w:hAnsi="Arial" w:cs="Arial"/>
          <w:bCs/>
          <w:iCs/>
        </w:rPr>
        <w:t xml:space="preserve"> optional pre-agreed clauses. </w:t>
      </w:r>
    </w:p>
    <w:p w14:paraId="61AF0FC5" w14:textId="410875C7" w:rsidR="00784159" w:rsidRDefault="00784159" w:rsidP="00784159">
      <w:pPr>
        <w:rPr>
          <w:rFonts w:ascii="Arial" w:eastAsia="Arial" w:hAnsi="Arial" w:cs="Arial"/>
          <w:bCs/>
          <w:iCs/>
        </w:rPr>
      </w:pPr>
      <w:r>
        <w:rPr>
          <w:rFonts w:ascii="Arial" w:eastAsia="Arial" w:hAnsi="Arial" w:cs="Arial"/>
          <w:bCs/>
          <w:iCs/>
        </w:rPr>
        <w:t>The SPFs are intended to provide timely, predictable</w:t>
      </w:r>
      <w:r w:rsidR="005162C4">
        <w:rPr>
          <w:rFonts w:ascii="Arial" w:eastAsia="Arial" w:hAnsi="Arial" w:cs="Arial"/>
          <w:bCs/>
          <w:iCs/>
        </w:rPr>
        <w:t>,</w:t>
      </w:r>
      <w:r>
        <w:rPr>
          <w:rFonts w:ascii="Arial" w:eastAsia="Arial" w:hAnsi="Arial" w:cs="Arial"/>
          <w:bCs/>
          <w:iCs/>
        </w:rPr>
        <w:t xml:space="preserve"> multi-year funding to partners to strengthen the effectiveness and efficiency of </w:t>
      </w:r>
      <w:r w:rsidR="008B1A55">
        <w:rPr>
          <w:rFonts w:ascii="Arial" w:eastAsia="Arial" w:hAnsi="Arial" w:cs="Arial"/>
          <w:bCs/>
          <w:iCs/>
        </w:rPr>
        <w:t>humanitarian</w:t>
      </w:r>
      <w:r>
        <w:rPr>
          <w:rFonts w:ascii="Arial" w:eastAsia="Arial" w:hAnsi="Arial" w:cs="Arial"/>
          <w:bCs/>
          <w:iCs/>
        </w:rPr>
        <w:t xml:space="preserve"> action, and to better influence and shape partner activities. </w:t>
      </w:r>
      <w:r w:rsidR="00107681">
        <w:rPr>
          <w:rFonts w:ascii="Arial" w:eastAsia="Arial" w:hAnsi="Arial" w:cs="Arial"/>
          <w:bCs/>
          <w:iCs/>
        </w:rPr>
        <w:t xml:space="preserve">In this way, they are also intended to </w:t>
      </w:r>
      <w:r w:rsidR="00C70190">
        <w:rPr>
          <w:rFonts w:ascii="Arial" w:eastAsia="Arial" w:hAnsi="Arial" w:cs="Arial"/>
          <w:bCs/>
          <w:iCs/>
        </w:rPr>
        <w:t xml:space="preserve">meet </w:t>
      </w:r>
      <w:r w:rsidR="00107681">
        <w:rPr>
          <w:rFonts w:ascii="Arial" w:eastAsia="Arial" w:hAnsi="Arial" w:cs="Arial"/>
          <w:bCs/>
          <w:iCs/>
        </w:rPr>
        <w:t xml:space="preserve">Australia’s </w:t>
      </w:r>
      <w:r w:rsidR="00C70190">
        <w:rPr>
          <w:rFonts w:ascii="Arial" w:eastAsia="Arial" w:hAnsi="Arial" w:cs="Arial"/>
          <w:bCs/>
          <w:iCs/>
        </w:rPr>
        <w:t xml:space="preserve">commitment </w:t>
      </w:r>
      <w:r w:rsidR="00107681">
        <w:rPr>
          <w:rFonts w:ascii="Arial" w:eastAsia="Arial" w:hAnsi="Arial" w:cs="Arial"/>
          <w:bCs/>
          <w:iCs/>
        </w:rPr>
        <w:t>as a leading donor in applying the Good Humanitarian Donorship</w:t>
      </w:r>
      <w:r w:rsidR="00E7330F">
        <w:rPr>
          <w:rFonts w:ascii="Arial" w:eastAsia="Arial" w:hAnsi="Arial" w:cs="Arial"/>
          <w:bCs/>
          <w:iCs/>
        </w:rPr>
        <w:t xml:space="preserve"> </w:t>
      </w:r>
      <w:r w:rsidR="00107681">
        <w:rPr>
          <w:rFonts w:ascii="Arial" w:eastAsia="Arial" w:hAnsi="Arial" w:cs="Arial"/>
          <w:bCs/>
          <w:iCs/>
        </w:rPr>
        <w:t xml:space="preserve">principles, in line with Grand Bargain </w:t>
      </w:r>
      <w:r w:rsidR="00C53EDB">
        <w:rPr>
          <w:rFonts w:ascii="Arial" w:eastAsia="Arial" w:hAnsi="Arial" w:cs="Arial"/>
          <w:bCs/>
          <w:iCs/>
        </w:rPr>
        <w:t>c</w:t>
      </w:r>
      <w:r w:rsidR="00107681">
        <w:rPr>
          <w:rFonts w:ascii="Arial" w:eastAsia="Arial" w:hAnsi="Arial" w:cs="Arial"/>
          <w:bCs/>
          <w:iCs/>
        </w:rPr>
        <w:t xml:space="preserve">ommitments. </w:t>
      </w:r>
      <w:r w:rsidR="00FF191A">
        <w:rPr>
          <w:rFonts w:ascii="Arial" w:eastAsia="Arial" w:hAnsi="Arial" w:cs="Arial"/>
          <w:bCs/>
          <w:iCs/>
        </w:rPr>
        <w:t>The EOLs are intended to facilitate the disbursement of additional earmarked funding for specific purposes</w:t>
      </w:r>
      <w:r w:rsidR="00107681">
        <w:rPr>
          <w:rFonts w:ascii="Arial" w:eastAsia="Arial" w:hAnsi="Arial" w:cs="Arial"/>
          <w:bCs/>
          <w:iCs/>
        </w:rPr>
        <w:t xml:space="preserve">. </w:t>
      </w:r>
    </w:p>
    <w:p w14:paraId="4287D660" w14:textId="77C30961" w:rsidR="00B75C64" w:rsidRPr="00DE0E09" w:rsidRDefault="00B75C64" w:rsidP="00B75C64">
      <w:pPr>
        <w:pStyle w:val="Heading3"/>
        <w:rPr>
          <w:color w:val="auto"/>
        </w:rPr>
      </w:pPr>
      <w:r w:rsidRPr="00DE0E09">
        <w:rPr>
          <w:color w:val="auto"/>
        </w:rPr>
        <w:lastRenderedPageBreak/>
        <w:t>Scope of the evaluation</w:t>
      </w:r>
    </w:p>
    <w:p w14:paraId="2DA0F276" w14:textId="57F709ED" w:rsidR="001829A4" w:rsidRDefault="001829A4" w:rsidP="001829A4">
      <w:r>
        <w:t xml:space="preserve">The evaluation considers the five SPFs for UNHCR, ICRC, </w:t>
      </w:r>
      <w:r w:rsidR="00252C2B">
        <w:t xml:space="preserve">WFP, </w:t>
      </w:r>
      <w:r>
        <w:t>OCHA</w:t>
      </w:r>
      <w:r w:rsidR="00252C2B">
        <w:t xml:space="preserve"> and </w:t>
      </w:r>
      <w:r>
        <w:t>CERF</w:t>
      </w:r>
      <w:r w:rsidR="003600E6">
        <w:t xml:space="preserve">. </w:t>
      </w:r>
      <w:r w:rsidR="00756253">
        <w:t>It is not an evaluation of SPFs and subsidiary arrangements with other multilateral partners.</w:t>
      </w:r>
    </w:p>
    <w:p w14:paraId="57A46661" w14:textId="72AE9FD2" w:rsidR="00784159" w:rsidRDefault="00784159" w:rsidP="00784159">
      <w:r>
        <w:t xml:space="preserve">The evaluation focuses on the performance of the SPFs and EOLs as a modality for engaging </w:t>
      </w:r>
      <w:r w:rsidR="001829A4">
        <w:t>the partners</w:t>
      </w:r>
      <w:r w:rsidR="00107681">
        <w:t xml:space="preserve"> </w:t>
      </w:r>
      <w:r>
        <w:t>to provide humanitarian assistance. It is not an evaluation of the performance of the partners themselves</w:t>
      </w:r>
      <w:r w:rsidR="00AA3662">
        <w:t>.</w:t>
      </w:r>
      <w:r w:rsidR="000E29E7">
        <w:t xml:space="preserve"> </w:t>
      </w:r>
      <w:r>
        <w:t>As such, there is flexibility within the evaluation to compare SPFs and EOLs against new policies and strategies that were not in place at the time of signing, for the purpose of informing future partnership arrangements.</w:t>
      </w:r>
    </w:p>
    <w:p w14:paraId="6914608E" w14:textId="77777777" w:rsidR="00A9012A" w:rsidRPr="002A0BD8" w:rsidRDefault="00A9012A" w:rsidP="00A9012A">
      <w:pPr>
        <w:pStyle w:val="Heading3"/>
        <w:rPr>
          <w:color w:val="auto"/>
        </w:rPr>
      </w:pPr>
      <w:r>
        <w:rPr>
          <w:color w:val="auto"/>
        </w:rPr>
        <w:t>Key Evaluation Questions</w:t>
      </w:r>
    </w:p>
    <w:p w14:paraId="4DC91894" w14:textId="4A6118DA" w:rsidR="00A9012A" w:rsidRPr="00B05A32" w:rsidRDefault="00A9012A" w:rsidP="00A9012A">
      <w:pPr>
        <w:pStyle w:val="Heading3NOTOC"/>
        <w:rPr>
          <w:rFonts w:ascii="Arial" w:eastAsia="Arial" w:hAnsi="Arial" w:cs="Arial"/>
          <w:b w:val="0"/>
          <w:iCs w:val="0"/>
          <w:color w:val="000000" w:themeColor="text1"/>
          <w:sz w:val="20"/>
          <w:szCs w:val="24"/>
        </w:rPr>
      </w:pPr>
      <w:r w:rsidRPr="00B05A32">
        <w:rPr>
          <w:rFonts w:ascii="Arial" w:eastAsia="Arial" w:hAnsi="Arial" w:cs="Arial"/>
          <w:b w:val="0"/>
          <w:iCs w:val="0"/>
          <w:color w:val="000000" w:themeColor="text1"/>
          <w:sz w:val="20"/>
          <w:szCs w:val="24"/>
        </w:rPr>
        <w:t xml:space="preserve">The evaluation </w:t>
      </w:r>
      <w:r>
        <w:rPr>
          <w:rFonts w:ascii="Arial" w:eastAsia="Arial" w:hAnsi="Arial" w:cs="Arial"/>
          <w:b w:val="0"/>
          <w:iCs w:val="0"/>
          <w:color w:val="000000" w:themeColor="text1"/>
          <w:sz w:val="20"/>
          <w:szCs w:val="24"/>
        </w:rPr>
        <w:t xml:space="preserve">sought to answer the following Key Evaluation Questions (KEQs): </w:t>
      </w:r>
    </w:p>
    <w:p w14:paraId="36C0BC4F" w14:textId="77777777" w:rsidR="00A9012A" w:rsidRDefault="00A9012A" w:rsidP="00A9012A">
      <w:pPr>
        <w:pStyle w:val="ListParagraph"/>
        <w:numPr>
          <w:ilvl w:val="0"/>
          <w:numId w:val="32"/>
        </w:numPr>
        <w:spacing w:before="240" w:after="120" w:line="259" w:lineRule="auto"/>
        <w:contextualSpacing w:val="0"/>
      </w:pPr>
      <w:r w:rsidRPr="000D2DA9">
        <w:rPr>
          <w:rFonts w:ascii="Arial" w:eastAsia="Arial" w:hAnsi="Arial" w:cs="Arial"/>
        </w:rPr>
        <w:t>To what extent are the SPFs aligned with current Australian international development and humanitarian programming policies and priorities? (RELEVANCE)</w:t>
      </w:r>
    </w:p>
    <w:p w14:paraId="1B04F4AC" w14:textId="77777777" w:rsidR="00A9012A" w:rsidRDefault="00A9012A" w:rsidP="00A9012A">
      <w:pPr>
        <w:pStyle w:val="ListParagraph"/>
        <w:numPr>
          <w:ilvl w:val="0"/>
          <w:numId w:val="32"/>
        </w:numPr>
        <w:spacing w:before="240" w:after="120" w:line="259" w:lineRule="auto"/>
        <w:contextualSpacing w:val="0"/>
      </w:pPr>
      <w:r w:rsidRPr="000D2DA9">
        <w:rPr>
          <w:rFonts w:ascii="Arial" w:eastAsia="Arial" w:hAnsi="Arial" w:cs="Arial"/>
        </w:rPr>
        <w:t>To what extent are the SPFs shared partnership objectives and deliverables being progressed? (EFFECTIVENESS)</w:t>
      </w:r>
    </w:p>
    <w:p w14:paraId="282B3963" w14:textId="77777777" w:rsidR="00A9012A" w:rsidRDefault="00A9012A" w:rsidP="00A9012A">
      <w:pPr>
        <w:pStyle w:val="ListParagraph"/>
        <w:numPr>
          <w:ilvl w:val="0"/>
          <w:numId w:val="32"/>
        </w:numPr>
        <w:spacing w:before="240" w:after="120" w:line="259" w:lineRule="auto"/>
        <w:contextualSpacing w:val="0"/>
      </w:pPr>
      <w:r w:rsidRPr="000D2DA9">
        <w:rPr>
          <w:rFonts w:ascii="Arial" w:eastAsia="Arial" w:hAnsi="Arial" w:cs="Arial"/>
        </w:rPr>
        <w:t>To what extent are the SPFs an efficient financial, compliance</w:t>
      </w:r>
      <w:r>
        <w:rPr>
          <w:rFonts w:ascii="Arial" w:eastAsia="Arial" w:hAnsi="Arial" w:cs="Arial"/>
        </w:rPr>
        <w:t>,</w:t>
      </w:r>
      <w:r w:rsidRPr="000D2DA9">
        <w:rPr>
          <w:rFonts w:ascii="Arial" w:eastAsia="Arial" w:hAnsi="Arial" w:cs="Arial"/>
        </w:rPr>
        <w:t xml:space="preserve"> and partnership modality for DFAT and Partners? (EFFICIENCY)</w:t>
      </w:r>
    </w:p>
    <w:p w14:paraId="1D4548B5" w14:textId="77777777" w:rsidR="00A9012A" w:rsidRDefault="00A9012A" w:rsidP="00A9012A">
      <w:pPr>
        <w:pStyle w:val="ListParagraph"/>
        <w:numPr>
          <w:ilvl w:val="0"/>
          <w:numId w:val="32"/>
        </w:numPr>
        <w:spacing w:before="240" w:after="120" w:line="259" w:lineRule="auto"/>
        <w:contextualSpacing w:val="0"/>
      </w:pPr>
      <w:r>
        <w:rPr>
          <w:rFonts w:ascii="Arial" w:eastAsia="Arial" w:hAnsi="Arial" w:cs="Arial"/>
        </w:rPr>
        <w:t>W</w:t>
      </w:r>
      <w:r w:rsidRPr="000D2DA9">
        <w:rPr>
          <w:rFonts w:ascii="Arial" w:eastAsia="Arial" w:hAnsi="Arial" w:cs="Arial"/>
        </w:rPr>
        <w:t>hat alternative modalities exist?</w:t>
      </w:r>
    </w:p>
    <w:p w14:paraId="096FB21A" w14:textId="7A7C64F6" w:rsidR="00221AFA" w:rsidRPr="00DE0E09" w:rsidRDefault="00221AFA" w:rsidP="00B75C64">
      <w:pPr>
        <w:pStyle w:val="Heading3"/>
        <w:rPr>
          <w:rStyle w:val="normaltextrun"/>
          <w:rFonts w:cstheme="majorHAnsi"/>
          <w:color w:val="auto"/>
          <w:shd w:val="clear" w:color="auto" w:fill="FFFFFF"/>
        </w:rPr>
      </w:pPr>
      <w:r w:rsidRPr="00DE0E09">
        <w:rPr>
          <w:rStyle w:val="normaltextrun"/>
          <w:rFonts w:cstheme="majorHAnsi"/>
          <w:color w:val="auto"/>
          <w:shd w:val="clear" w:color="auto" w:fill="FFFFFF"/>
        </w:rPr>
        <w:t>Methodology</w:t>
      </w:r>
    </w:p>
    <w:p w14:paraId="3D2E124C" w14:textId="632184BE" w:rsidR="00B43AE4" w:rsidRDefault="00AC3A2D" w:rsidP="00AC3A2D">
      <w:r w:rsidRPr="00F81E46">
        <w:t>This is a summative evaluation</w:t>
      </w:r>
      <w:r>
        <w:t xml:space="preserve"> applying</w:t>
      </w:r>
      <w:r w:rsidRPr="00F81E46">
        <w:t xml:space="preserve"> a mixed methods approach, combining </w:t>
      </w:r>
      <w:r>
        <w:t>key informant</w:t>
      </w:r>
      <w:r w:rsidRPr="00F81E46">
        <w:t xml:space="preserve"> interviews, </w:t>
      </w:r>
      <w:r>
        <w:t>stakeholder</w:t>
      </w:r>
      <w:r w:rsidRPr="00F81E46">
        <w:t xml:space="preserve"> surveys, a document and literature review</w:t>
      </w:r>
      <w:r>
        <w:t>,</w:t>
      </w:r>
      <w:r w:rsidR="005162C4">
        <w:t xml:space="preserve"> written inputs from DFAT </w:t>
      </w:r>
      <w:r w:rsidR="00E70D39">
        <w:t xml:space="preserve">risk and safeguard </w:t>
      </w:r>
      <w:r w:rsidR="007B0E52">
        <w:t>staff</w:t>
      </w:r>
      <w:r w:rsidR="005162C4">
        <w:t>,</w:t>
      </w:r>
      <w:r>
        <w:t xml:space="preserve"> </w:t>
      </w:r>
      <w:r w:rsidR="005162C4">
        <w:t xml:space="preserve">and </w:t>
      </w:r>
      <w:r>
        <w:t xml:space="preserve">one </w:t>
      </w:r>
      <w:r w:rsidR="008748AE">
        <w:t xml:space="preserve">illustrative </w:t>
      </w:r>
      <w:r>
        <w:t xml:space="preserve">case study </w:t>
      </w:r>
      <w:r w:rsidR="007C1932">
        <w:t xml:space="preserve">concerning WFP and UNHCR in Bangladesh </w:t>
      </w:r>
      <w:r>
        <w:t xml:space="preserve">to facilitate a </w:t>
      </w:r>
      <w:r w:rsidR="005162C4">
        <w:t>“</w:t>
      </w:r>
      <w:r>
        <w:t>deep dive</w:t>
      </w:r>
      <w:r w:rsidR="005162C4">
        <w:t>”</w:t>
      </w:r>
      <w:r>
        <w:t xml:space="preserve"> into the use of SPFs and EOLs for two partners at the country level</w:t>
      </w:r>
      <w:r w:rsidRPr="00F81E46">
        <w:t>. Gender equ</w:t>
      </w:r>
      <w:r w:rsidR="007B0E52">
        <w:t>ality</w:t>
      </w:r>
      <w:r w:rsidRPr="00F81E46">
        <w:t xml:space="preserve"> and social inclusion dimensions were also considered throughout the evaluation.</w:t>
      </w:r>
      <w:r w:rsidR="00B75C64">
        <w:t xml:space="preserve"> </w:t>
      </w:r>
      <w:r w:rsidR="00B43AE4" w:rsidRPr="00F81E46">
        <w:t xml:space="preserve">Overall, the </w:t>
      </w:r>
      <w:r w:rsidR="00631562">
        <w:t>Evaluation Team</w:t>
      </w:r>
      <w:r w:rsidR="00B43AE4" w:rsidRPr="00F81E46">
        <w:t xml:space="preserve"> </w:t>
      </w:r>
      <w:r w:rsidR="00B43AE4" w:rsidRPr="00950957">
        <w:t xml:space="preserve">interviewed </w:t>
      </w:r>
      <w:r w:rsidR="00950957" w:rsidRPr="00950957">
        <w:t>51</w:t>
      </w:r>
      <w:r w:rsidR="00B43AE4" w:rsidRPr="00950957">
        <w:t xml:space="preserve"> DFAT and SPF partner stakeholders</w:t>
      </w:r>
      <w:r w:rsidR="00B43AE4">
        <w:t>,</w:t>
      </w:r>
      <w:r w:rsidR="00B43AE4" w:rsidRPr="002B59A4">
        <w:t xml:space="preserve"> </w:t>
      </w:r>
      <w:r w:rsidR="004D4A02">
        <w:t>analysed</w:t>
      </w:r>
      <w:r w:rsidR="00B43AE4" w:rsidRPr="00950957">
        <w:t xml:space="preserve"> </w:t>
      </w:r>
      <w:r w:rsidR="00B43AE4" w:rsidRPr="002E553A">
        <w:t>60 survey responses</w:t>
      </w:r>
      <w:r w:rsidR="005162C4">
        <w:t>,</w:t>
      </w:r>
      <w:r w:rsidR="00B43AE4">
        <w:t xml:space="preserve"> and </w:t>
      </w:r>
      <w:r w:rsidR="006C5037">
        <w:t>received</w:t>
      </w:r>
      <w:r w:rsidR="00B43AE4">
        <w:t xml:space="preserve"> </w:t>
      </w:r>
      <w:r w:rsidR="00B43AE4" w:rsidRPr="002E553A">
        <w:t>four written responses</w:t>
      </w:r>
      <w:r w:rsidR="00B43AE4">
        <w:t xml:space="preserve"> from DFAT risk and safeguarding </w:t>
      </w:r>
      <w:r w:rsidR="007B0E52">
        <w:t>staff</w:t>
      </w:r>
      <w:r w:rsidR="00B43AE4">
        <w:t>.</w:t>
      </w:r>
    </w:p>
    <w:p w14:paraId="58E9711D" w14:textId="01AC7FFF" w:rsidR="00B75C64" w:rsidRPr="002A0BD8" w:rsidRDefault="00B75C64" w:rsidP="00AC3A2D">
      <w:pPr>
        <w:rPr>
          <w:rStyle w:val="normaltextrun"/>
          <w:rFonts w:cstheme="majorHAnsi"/>
          <w:b/>
          <w:iCs/>
          <w:color w:val="auto"/>
          <w:sz w:val="24"/>
          <w:szCs w:val="26"/>
          <w:shd w:val="clear" w:color="auto" w:fill="FFFFFF"/>
        </w:rPr>
      </w:pPr>
      <w:r w:rsidRPr="002A0BD8">
        <w:rPr>
          <w:rStyle w:val="normaltextrun"/>
          <w:rFonts w:cstheme="majorHAnsi"/>
          <w:b/>
          <w:iCs/>
          <w:color w:val="auto"/>
          <w:sz w:val="24"/>
          <w:szCs w:val="26"/>
          <w:shd w:val="clear" w:color="auto" w:fill="FFFFFF"/>
        </w:rPr>
        <w:t>Limitations</w:t>
      </w:r>
    </w:p>
    <w:p w14:paraId="6F3BC356" w14:textId="3CD09EC2" w:rsidR="008F53C3" w:rsidRPr="00345BDB" w:rsidRDefault="008F53C3" w:rsidP="008F53C3">
      <w:pPr>
        <w:rPr>
          <w:rFonts w:eastAsia="Arial"/>
        </w:rPr>
      </w:pPr>
      <w:r>
        <w:rPr>
          <w:rFonts w:eastAsia="Arial"/>
        </w:rPr>
        <w:t xml:space="preserve">This is an unusual evaluation in that it evaluates the SPFs against Australia’s current policies rather than those which were current at the time the SPFs were developed. Discrepancies between SPFs and current policies should be interpreted as areas of </w:t>
      </w:r>
      <w:r w:rsidRPr="00345BDB">
        <w:rPr>
          <w:rFonts w:eastAsia="Arial"/>
        </w:rPr>
        <w:t>focus for future partnership modalities rather than as evidence of poor performance by the current modalities.</w:t>
      </w:r>
      <w:r w:rsidR="00423FF9" w:rsidRPr="00345BDB">
        <w:rPr>
          <w:rFonts w:eastAsia="Arial"/>
        </w:rPr>
        <w:t xml:space="preserve"> The evaluation has also required careful navigation to assess the extent of the progress of partner performance, while not assessing partner performance.</w:t>
      </w:r>
    </w:p>
    <w:p w14:paraId="7CBD2837" w14:textId="7D1338E2" w:rsidR="00F26E4E" w:rsidRPr="00345BDB" w:rsidRDefault="00F26E4E" w:rsidP="00F26E4E">
      <w:pPr>
        <w:rPr>
          <w:rFonts w:eastAsia="Arial"/>
        </w:rPr>
      </w:pPr>
      <w:r w:rsidRPr="00345BDB">
        <w:rPr>
          <w:rFonts w:eastAsia="Arial"/>
        </w:rPr>
        <w:t xml:space="preserve">SPFs are only one of many tools that DFAT uses to engage and influence its </w:t>
      </w:r>
      <w:r w:rsidR="005162C4" w:rsidRPr="00345BDB">
        <w:rPr>
          <w:rFonts w:eastAsia="Arial"/>
        </w:rPr>
        <w:t xml:space="preserve">humanitarian </w:t>
      </w:r>
      <w:r w:rsidRPr="00345BDB">
        <w:rPr>
          <w:rFonts w:eastAsia="Arial"/>
        </w:rPr>
        <w:t>partners</w:t>
      </w:r>
      <w:r w:rsidR="005162C4" w:rsidRPr="00345BDB">
        <w:rPr>
          <w:rFonts w:eastAsia="Arial"/>
        </w:rPr>
        <w:t xml:space="preserve">, </w:t>
      </w:r>
      <w:r w:rsidR="00141C0E" w:rsidRPr="00345BDB">
        <w:rPr>
          <w:rFonts w:eastAsia="Arial"/>
        </w:rPr>
        <w:t>and DFAT is not the only donor or factor affecting</w:t>
      </w:r>
      <w:r w:rsidR="00651B88" w:rsidRPr="00345BDB">
        <w:rPr>
          <w:rFonts w:eastAsia="Arial"/>
        </w:rPr>
        <w:t xml:space="preserve"> the</w:t>
      </w:r>
      <w:r w:rsidR="00141C0E" w:rsidRPr="00345BDB">
        <w:rPr>
          <w:rFonts w:eastAsia="Arial"/>
        </w:rPr>
        <w:t xml:space="preserve"> effectiveness, efficiency</w:t>
      </w:r>
      <w:r w:rsidR="00651B88" w:rsidRPr="00345BDB">
        <w:rPr>
          <w:rFonts w:eastAsia="Arial"/>
        </w:rPr>
        <w:t>,</w:t>
      </w:r>
      <w:r w:rsidR="00141C0E" w:rsidRPr="00345BDB">
        <w:rPr>
          <w:rFonts w:eastAsia="Arial"/>
        </w:rPr>
        <w:t xml:space="preserve"> and relevancy </w:t>
      </w:r>
      <w:r w:rsidR="008C0D2C" w:rsidRPr="00345BDB">
        <w:rPr>
          <w:rFonts w:eastAsia="Arial"/>
        </w:rPr>
        <w:t>of its partnerships</w:t>
      </w:r>
      <w:r w:rsidR="00651B88" w:rsidRPr="00345BDB">
        <w:rPr>
          <w:rFonts w:eastAsia="Arial"/>
        </w:rPr>
        <w:t>. As such</w:t>
      </w:r>
      <w:r w:rsidR="008C0D2C" w:rsidRPr="00345BDB">
        <w:rPr>
          <w:rFonts w:eastAsia="Arial"/>
        </w:rPr>
        <w:t xml:space="preserve"> </w:t>
      </w:r>
      <w:r w:rsidR="005162C4" w:rsidRPr="00345BDB">
        <w:rPr>
          <w:rFonts w:eastAsia="Arial"/>
        </w:rPr>
        <w:t>i</w:t>
      </w:r>
      <w:r w:rsidRPr="00345BDB">
        <w:rPr>
          <w:rFonts w:eastAsia="Arial"/>
        </w:rPr>
        <w:t xml:space="preserve">t is not possible to attribute </w:t>
      </w:r>
      <w:r w:rsidR="00326C73" w:rsidRPr="00345BDB">
        <w:rPr>
          <w:rFonts w:eastAsia="Arial"/>
        </w:rPr>
        <w:t>progress</w:t>
      </w:r>
      <w:r w:rsidRPr="00345BDB">
        <w:rPr>
          <w:rFonts w:eastAsia="Arial"/>
        </w:rPr>
        <w:t xml:space="preserve"> in effectiveness, efficiency, and relevancy solely to the SPF itself.</w:t>
      </w:r>
      <w:r w:rsidR="00F748C6" w:rsidRPr="00345BDB">
        <w:rPr>
          <w:rFonts w:eastAsia="Arial"/>
        </w:rPr>
        <w:t xml:space="preserve"> </w:t>
      </w:r>
      <w:r w:rsidRPr="00345BDB">
        <w:rPr>
          <w:rFonts w:eastAsia="Arial"/>
        </w:rPr>
        <w:t xml:space="preserve"> </w:t>
      </w:r>
    </w:p>
    <w:p w14:paraId="58BE2F58" w14:textId="309A5396" w:rsidR="000404E5" w:rsidRPr="00345BDB" w:rsidRDefault="000404E5" w:rsidP="00F26E4E">
      <w:pPr>
        <w:rPr>
          <w:rFonts w:eastAsia="Arial"/>
        </w:rPr>
      </w:pPr>
      <w:r w:rsidRPr="00345BDB">
        <w:rPr>
          <w:rFonts w:eastAsia="Arial"/>
        </w:rPr>
        <w:t>Not all findings could be made with robust evidence</w:t>
      </w:r>
      <w:r w:rsidR="00253C4E" w:rsidRPr="00345BDB">
        <w:rPr>
          <w:rFonts w:eastAsia="Arial"/>
        </w:rPr>
        <w:t xml:space="preserve"> given available data</w:t>
      </w:r>
      <w:r w:rsidRPr="00345BDB">
        <w:rPr>
          <w:rFonts w:eastAsia="Arial"/>
        </w:rPr>
        <w:t xml:space="preserve">. The strength of evidence underpinning the </w:t>
      </w:r>
      <w:r w:rsidR="009D4FCB" w:rsidRPr="00345BDB">
        <w:rPr>
          <w:rFonts w:eastAsia="Arial"/>
        </w:rPr>
        <w:t>KEQs</w:t>
      </w:r>
      <w:r w:rsidR="00C27C2C" w:rsidRPr="00345BDB">
        <w:rPr>
          <w:rFonts w:eastAsia="Arial"/>
        </w:rPr>
        <w:t xml:space="preserve"> </w:t>
      </w:r>
      <w:r w:rsidRPr="00345BDB">
        <w:rPr>
          <w:rFonts w:eastAsia="Arial"/>
        </w:rPr>
        <w:t xml:space="preserve">is specified in the report. </w:t>
      </w:r>
    </w:p>
    <w:p w14:paraId="632747A9" w14:textId="202E66E1" w:rsidR="00FA18BC" w:rsidRPr="00345BDB" w:rsidRDefault="007B0072" w:rsidP="00F26E4E">
      <w:pPr>
        <w:rPr>
          <w:rFonts w:eastAsia="Arial"/>
        </w:rPr>
      </w:pPr>
      <w:r w:rsidRPr="00345BDB">
        <w:rPr>
          <w:rFonts w:eastAsia="Arial"/>
        </w:rPr>
        <w:lastRenderedPageBreak/>
        <w:t xml:space="preserve">The full analysis informing </w:t>
      </w:r>
      <w:r w:rsidR="00A30443" w:rsidRPr="00345BDB">
        <w:rPr>
          <w:rFonts w:eastAsia="Arial"/>
        </w:rPr>
        <w:t xml:space="preserve">KEQ 4 </w:t>
      </w:r>
      <w:r w:rsidRPr="00345BDB">
        <w:rPr>
          <w:rFonts w:eastAsia="Arial"/>
        </w:rPr>
        <w:t>was provided separately to DFAT to facilitate a frank discussion on the strengths and weaknesses of other donor modalities</w:t>
      </w:r>
      <w:r w:rsidRPr="00525913">
        <w:rPr>
          <w:rFonts w:eastAsia="Arial"/>
        </w:rPr>
        <w:t>. P</w:t>
      </w:r>
      <w:r w:rsidR="0010779B" w:rsidRPr="00525913">
        <w:rPr>
          <w:rFonts w:eastAsia="Arial"/>
        </w:rPr>
        <w:t xml:space="preserve">arts of </w:t>
      </w:r>
      <w:r w:rsidR="00E4591B" w:rsidRPr="00525913">
        <w:rPr>
          <w:rFonts w:eastAsia="Arial"/>
        </w:rPr>
        <w:t>KEQs</w:t>
      </w:r>
      <w:r w:rsidR="0010779B" w:rsidRPr="00525913">
        <w:rPr>
          <w:rFonts w:eastAsia="Arial"/>
        </w:rPr>
        <w:t xml:space="preserve"> </w:t>
      </w:r>
      <w:r w:rsidR="0010779B" w:rsidRPr="00525913">
        <w:t>1.2, 1.3</w:t>
      </w:r>
      <w:r w:rsidR="009E2340" w:rsidRPr="00525913">
        <w:t>,</w:t>
      </w:r>
      <w:r w:rsidR="0010779B" w:rsidRPr="00525913">
        <w:t xml:space="preserve"> 2.7</w:t>
      </w:r>
      <w:r w:rsidR="009B5BEB">
        <w:t xml:space="preserve">, </w:t>
      </w:r>
      <w:r w:rsidR="009E2340" w:rsidRPr="00525913">
        <w:t>3.</w:t>
      </w:r>
      <w:r w:rsidR="00C67005">
        <w:t>3</w:t>
      </w:r>
      <w:r w:rsidR="003955B6">
        <w:t xml:space="preserve"> an</w:t>
      </w:r>
      <w:r w:rsidR="009B5BEB">
        <w:t xml:space="preserve">d </w:t>
      </w:r>
      <w:r w:rsidR="003955B6">
        <w:t>3.4</w:t>
      </w:r>
      <w:r w:rsidR="00783CF4" w:rsidRPr="00525913">
        <w:t xml:space="preserve"> </w:t>
      </w:r>
      <w:r w:rsidR="0010779B" w:rsidRPr="00525913">
        <w:t xml:space="preserve">were </w:t>
      </w:r>
      <w:r w:rsidRPr="00525913">
        <w:t xml:space="preserve">also </w:t>
      </w:r>
      <w:r w:rsidR="00A30443" w:rsidRPr="00525913">
        <w:t>provided separately</w:t>
      </w:r>
      <w:r w:rsidR="0010779B" w:rsidRPr="00525913">
        <w:t xml:space="preserve"> as they contained discussion </w:t>
      </w:r>
      <w:r w:rsidR="00C5011F" w:rsidRPr="00525913">
        <w:t>of confidential</w:t>
      </w:r>
      <w:r w:rsidR="00274BFE" w:rsidRPr="00525913">
        <w:t xml:space="preserve"> legal</w:t>
      </w:r>
      <w:r w:rsidR="0000259E" w:rsidRPr="00525913">
        <w:t xml:space="preserve"> matters</w:t>
      </w:r>
      <w:r w:rsidR="00330C3A" w:rsidRPr="00525913">
        <w:t>.</w:t>
      </w:r>
      <w:r w:rsidR="00E4591B" w:rsidRPr="00345BDB">
        <w:rPr>
          <w:rFonts w:eastAsia="Arial"/>
        </w:rPr>
        <w:t xml:space="preserve"> </w:t>
      </w:r>
    </w:p>
    <w:p w14:paraId="73A6D1EC" w14:textId="5C7C2FF7" w:rsidR="00B05A32" w:rsidRPr="00750C0F" w:rsidRDefault="00355642" w:rsidP="00B003AF">
      <w:pPr>
        <w:pStyle w:val="Heading2"/>
        <w:rPr>
          <w:rStyle w:val="normaltextrun"/>
          <w:rFonts w:cstheme="majorHAnsi"/>
          <w:color w:val="auto"/>
          <w:shd w:val="clear" w:color="auto" w:fill="FFFFFF"/>
        </w:rPr>
      </w:pPr>
      <w:r w:rsidRPr="00B003AF">
        <w:rPr>
          <w:color w:val="585858" w:themeColor="text2"/>
        </w:rPr>
        <w:t>Findings</w:t>
      </w:r>
    </w:p>
    <w:p w14:paraId="54DFEBCB" w14:textId="77777777" w:rsidR="00B003AF" w:rsidRPr="00B003AF" w:rsidRDefault="00B003AF" w:rsidP="00B003AF">
      <w:pPr>
        <w:pStyle w:val="Heading3"/>
        <w:rPr>
          <w:rStyle w:val="normaltextrun"/>
          <w:rFonts w:cstheme="majorHAnsi"/>
          <w:color w:val="auto"/>
          <w:shd w:val="clear" w:color="auto" w:fill="FFFFFF"/>
        </w:rPr>
      </w:pPr>
      <w:r w:rsidRPr="00B003AF">
        <w:rPr>
          <w:rStyle w:val="normaltextrun"/>
          <w:rFonts w:cstheme="majorHAnsi"/>
          <w:color w:val="auto"/>
          <w:shd w:val="clear" w:color="auto" w:fill="FFFFFF"/>
        </w:rPr>
        <w:t>Overview</w:t>
      </w:r>
    </w:p>
    <w:p w14:paraId="5F154303" w14:textId="6DC90C0B" w:rsidR="00B54D84" w:rsidRDefault="00B54D84" w:rsidP="00B54D84">
      <w:pPr>
        <w:pStyle w:val="Heading3NOTOC"/>
        <w:rPr>
          <w:rFonts w:ascii="Arial" w:eastAsia="Arial" w:hAnsi="Arial" w:cs="Arial"/>
          <w:b w:val="0"/>
          <w:iCs w:val="0"/>
          <w:color w:val="000000" w:themeColor="text1"/>
          <w:sz w:val="20"/>
          <w:szCs w:val="24"/>
        </w:rPr>
      </w:pPr>
      <w:r>
        <w:rPr>
          <w:rFonts w:ascii="Arial" w:eastAsia="Arial" w:hAnsi="Arial" w:cs="Arial"/>
          <w:b w:val="0"/>
          <w:iCs w:val="0"/>
          <w:color w:val="000000" w:themeColor="text1"/>
          <w:sz w:val="20"/>
          <w:szCs w:val="24"/>
        </w:rPr>
        <w:t xml:space="preserve">SPFs are critical tools supporting DFAT’s humanitarian objectives, enabling DFAT to provide high volumes of humanitarian assistance in short timeframes with limited staffing resources. This capability is essential to address urgent lifesaving need in times of crisis. SPFs effectively complement DFAT’s global and country level engagement with partners and advocacy to progress humanitarian objectives. </w:t>
      </w:r>
      <w:r w:rsidRPr="00C60F8C">
        <w:rPr>
          <w:rFonts w:eastAsia="Arial"/>
          <w:b w:val="0"/>
          <w:iCs w:val="0"/>
          <w:color w:val="000000" w:themeColor="text1"/>
          <w:sz w:val="20"/>
          <w:szCs w:val="24"/>
        </w:rPr>
        <w:t xml:space="preserve">DFAT staff emphasised that without SPFs they would not be able to provide the </w:t>
      </w:r>
      <w:r>
        <w:rPr>
          <w:rFonts w:eastAsia="Arial"/>
          <w:b w:val="0"/>
          <w:iCs w:val="0"/>
          <w:color w:val="000000" w:themeColor="text1"/>
          <w:sz w:val="20"/>
          <w:szCs w:val="24"/>
        </w:rPr>
        <w:t xml:space="preserve">volume of </w:t>
      </w:r>
      <w:r w:rsidRPr="00C60F8C">
        <w:rPr>
          <w:rFonts w:eastAsia="Arial"/>
          <w:b w:val="0"/>
          <w:iCs w:val="0"/>
          <w:color w:val="000000" w:themeColor="text1"/>
          <w:sz w:val="20"/>
          <w:szCs w:val="24"/>
        </w:rPr>
        <w:t xml:space="preserve">assistance in the timeframes that they have, and with the </w:t>
      </w:r>
      <w:r>
        <w:rPr>
          <w:rFonts w:eastAsia="Arial"/>
          <w:b w:val="0"/>
          <w:iCs w:val="0"/>
          <w:color w:val="000000" w:themeColor="text1"/>
          <w:sz w:val="20"/>
          <w:szCs w:val="24"/>
        </w:rPr>
        <w:t xml:space="preserve">staffing </w:t>
      </w:r>
      <w:r w:rsidRPr="00C60F8C">
        <w:rPr>
          <w:rFonts w:eastAsia="Arial"/>
          <w:b w:val="0"/>
          <w:iCs w:val="0"/>
          <w:color w:val="000000" w:themeColor="text1"/>
          <w:sz w:val="20"/>
          <w:szCs w:val="24"/>
        </w:rPr>
        <w:t>resources available</w:t>
      </w:r>
      <w:r>
        <w:rPr>
          <w:rFonts w:eastAsia="Arial"/>
          <w:b w:val="0"/>
          <w:iCs w:val="0"/>
          <w:color w:val="000000" w:themeColor="text1"/>
          <w:sz w:val="20"/>
          <w:szCs w:val="24"/>
        </w:rPr>
        <w:t>, with the requisite risk and safeguarding arrangements in place</w:t>
      </w:r>
      <w:r w:rsidRPr="00C60F8C">
        <w:rPr>
          <w:rFonts w:eastAsia="Arial"/>
          <w:b w:val="0"/>
          <w:iCs w:val="0"/>
          <w:color w:val="000000" w:themeColor="text1"/>
          <w:sz w:val="20"/>
          <w:szCs w:val="24"/>
        </w:rPr>
        <w:t>.</w:t>
      </w:r>
      <w:r w:rsidRPr="00166EC2">
        <w:rPr>
          <w:rFonts w:ascii="Arial" w:eastAsia="Arial" w:hAnsi="Arial" w:cs="Arial"/>
          <w:b w:val="0"/>
          <w:iCs w:val="0"/>
          <w:color w:val="000000" w:themeColor="text1"/>
          <w:sz w:val="20"/>
          <w:szCs w:val="24"/>
        </w:rPr>
        <w:t xml:space="preserve"> </w:t>
      </w:r>
    </w:p>
    <w:p w14:paraId="4DB8A102" w14:textId="626CB7AC" w:rsidR="00B54D84" w:rsidRPr="00345BDB" w:rsidRDefault="00B54D84" w:rsidP="00B54D84">
      <w:pPr>
        <w:pStyle w:val="Heading3NOTOC"/>
        <w:rPr>
          <w:rFonts w:ascii="Arial" w:eastAsia="Arial" w:hAnsi="Arial" w:cs="Arial"/>
          <w:b w:val="0"/>
          <w:iCs w:val="0"/>
          <w:color w:val="000000" w:themeColor="text1"/>
          <w:sz w:val="20"/>
          <w:szCs w:val="24"/>
        </w:rPr>
      </w:pPr>
      <w:r>
        <w:rPr>
          <w:rFonts w:ascii="Arial" w:eastAsia="Arial" w:hAnsi="Arial" w:cs="Arial"/>
          <w:b w:val="0"/>
          <w:iCs w:val="0"/>
          <w:color w:val="000000" w:themeColor="text1"/>
          <w:sz w:val="20"/>
          <w:szCs w:val="24"/>
        </w:rPr>
        <w:t xml:space="preserve">The evaluation found that overall, SPFs </w:t>
      </w:r>
      <w:r w:rsidRPr="00345BDB">
        <w:rPr>
          <w:rFonts w:ascii="Arial" w:eastAsia="Arial" w:hAnsi="Arial" w:cs="Arial"/>
          <w:b w:val="0"/>
          <w:iCs w:val="0"/>
          <w:color w:val="000000" w:themeColor="text1"/>
          <w:sz w:val="20"/>
          <w:szCs w:val="24"/>
        </w:rPr>
        <w:t>as a modality to provide funding to humanitarian partners, are relevant and efficient, and effective at supporting the management of risk and safeguards. They are likely to be effective at progressing shared partnership objectives and deliverables, though available evidence to evaluate this is mixed. There is opportunity to improve understanding of their effectiveness</w:t>
      </w:r>
      <w:r w:rsidR="00A75A7A">
        <w:rPr>
          <w:rFonts w:ascii="Arial" w:eastAsia="Arial" w:hAnsi="Arial" w:cs="Arial"/>
          <w:b w:val="0"/>
          <w:iCs w:val="0"/>
          <w:color w:val="000000" w:themeColor="text1"/>
          <w:sz w:val="20"/>
          <w:szCs w:val="24"/>
        </w:rPr>
        <w:t>—while current systems provide evidence of activities to progress</w:t>
      </w:r>
      <w:r w:rsidR="00040BD0">
        <w:rPr>
          <w:rFonts w:ascii="Arial" w:eastAsia="Arial" w:hAnsi="Arial" w:cs="Arial"/>
          <w:b w:val="0"/>
          <w:iCs w:val="0"/>
          <w:color w:val="000000" w:themeColor="text1"/>
          <w:sz w:val="20"/>
          <w:szCs w:val="24"/>
        </w:rPr>
        <w:t xml:space="preserve"> the SPF shared partnership objectives and deliverables, </w:t>
      </w:r>
      <w:r w:rsidR="0089416F">
        <w:rPr>
          <w:rFonts w:ascii="Arial" w:eastAsia="Arial" w:hAnsi="Arial" w:cs="Arial"/>
          <w:b w:val="0"/>
          <w:iCs w:val="0"/>
          <w:color w:val="000000" w:themeColor="text1"/>
          <w:sz w:val="20"/>
          <w:szCs w:val="24"/>
        </w:rPr>
        <w:t xml:space="preserve">it is not possible to understand the extent of </w:t>
      </w:r>
      <w:proofErr w:type="gramStart"/>
      <w:r w:rsidR="0089416F">
        <w:rPr>
          <w:rFonts w:ascii="Arial" w:eastAsia="Arial" w:hAnsi="Arial" w:cs="Arial"/>
          <w:b w:val="0"/>
          <w:iCs w:val="0"/>
          <w:color w:val="000000" w:themeColor="text1"/>
          <w:sz w:val="20"/>
          <w:szCs w:val="24"/>
        </w:rPr>
        <w:t>progress, or</w:t>
      </w:r>
      <w:proofErr w:type="gramEnd"/>
      <w:r w:rsidR="0089416F">
        <w:rPr>
          <w:rFonts w:ascii="Arial" w:eastAsia="Arial" w:hAnsi="Arial" w:cs="Arial"/>
          <w:b w:val="0"/>
          <w:iCs w:val="0"/>
          <w:color w:val="000000" w:themeColor="text1"/>
          <w:sz w:val="20"/>
          <w:szCs w:val="24"/>
        </w:rPr>
        <w:t xml:space="preserve"> compare progress across partners or years</w:t>
      </w:r>
      <w:r w:rsidRPr="00345BDB">
        <w:rPr>
          <w:rFonts w:ascii="Arial" w:eastAsia="Arial" w:hAnsi="Arial" w:cs="Arial"/>
          <w:b w:val="0"/>
          <w:iCs w:val="0"/>
          <w:color w:val="000000" w:themeColor="text1"/>
          <w:sz w:val="20"/>
          <w:szCs w:val="24"/>
        </w:rPr>
        <w:t xml:space="preserve">. </w:t>
      </w:r>
    </w:p>
    <w:p w14:paraId="2F223265" w14:textId="1F9543A6" w:rsidR="00221AFA" w:rsidRPr="00345BDB" w:rsidRDefault="00B76EF9" w:rsidP="00750C0F">
      <w:pPr>
        <w:pStyle w:val="Heading3"/>
        <w:rPr>
          <w:rStyle w:val="normaltextrun"/>
          <w:rFonts w:cstheme="majorHAnsi"/>
          <w:color w:val="auto"/>
          <w:shd w:val="clear" w:color="auto" w:fill="FFFFFF"/>
        </w:rPr>
      </w:pPr>
      <w:r w:rsidRPr="00345BDB">
        <w:rPr>
          <w:rStyle w:val="normaltextrun"/>
          <w:rFonts w:cstheme="majorHAnsi"/>
          <w:color w:val="auto"/>
          <w:shd w:val="clear" w:color="auto" w:fill="FFFFFF"/>
        </w:rPr>
        <w:t>Relevance</w:t>
      </w:r>
    </w:p>
    <w:p w14:paraId="0765D732" w14:textId="77777777" w:rsidR="00DA308C" w:rsidRDefault="00DA308C" w:rsidP="00DA308C">
      <w:pPr>
        <w:pStyle w:val="Heading3NOTOC"/>
        <w:rPr>
          <w:rFonts w:ascii="Arial" w:eastAsia="Arial" w:hAnsi="Arial" w:cs="Arial"/>
          <w:b w:val="0"/>
          <w:iCs w:val="0"/>
          <w:color w:val="000000" w:themeColor="text1"/>
          <w:sz w:val="20"/>
          <w:szCs w:val="24"/>
        </w:rPr>
      </w:pPr>
      <w:r w:rsidRPr="00345BDB">
        <w:rPr>
          <w:rFonts w:ascii="Arial" w:eastAsia="Arial" w:hAnsi="Arial" w:cs="Arial"/>
          <w:b w:val="0"/>
          <w:iCs w:val="0"/>
          <w:color w:val="000000" w:themeColor="text1"/>
          <w:sz w:val="20"/>
          <w:szCs w:val="24"/>
        </w:rPr>
        <w:t>The evaluation assessed alignment of the SPFs with current Australian international development and humanitarian programming policies, priorities and commitments</w:t>
      </w:r>
      <w:r>
        <w:rPr>
          <w:rFonts w:ascii="Arial" w:eastAsia="Arial" w:hAnsi="Arial" w:cs="Arial"/>
          <w:b w:val="0"/>
          <w:iCs w:val="0"/>
          <w:color w:val="000000" w:themeColor="text1"/>
          <w:sz w:val="20"/>
          <w:szCs w:val="24"/>
        </w:rPr>
        <w:t xml:space="preserve">, with sub questions on alignment with current risk management requirements, and changes that may be required to ensure SPFs remain flexible and adaptable to broader DFAT policies, priorities, and commitments. </w:t>
      </w:r>
    </w:p>
    <w:p w14:paraId="7F41314B" w14:textId="77777777" w:rsidR="00C40EF2" w:rsidRPr="00A7171E" w:rsidRDefault="00DA308C" w:rsidP="00DA308C">
      <w:pPr>
        <w:pStyle w:val="Heading3NOTOC"/>
        <w:rPr>
          <w:rFonts w:ascii="Arial" w:eastAsia="Arial" w:hAnsi="Arial" w:cs="Arial"/>
          <w:b w:val="0"/>
          <w:iCs w:val="0"/>
          <w:color w:val="000000" w:themeColor="text1"/>
          <w:sz w:val="20"/>
          <w:szCs w:val="24"/>
        </w:rPr>
      </w:pPr>
      <w:r>
        <w:rPr>
          <w:rFonts w:ascii="Arial" w:eastAsia="Arial" w:hAnsi="Arial" w:cs="Arial"/>
          <w:b w:val="0"/>
          <w:iCs w:val="0"/>
          <w:color w:val="000000" w:themeColor="text1"/>
          <w:sz w:val="20"/>
          <w:szCs w:val="24"/>
        </w:rPr>
        <w:t xml:space="preserve">The evaluation found strong alignment with Australia’s international development and humanitarian programming policies, priorities, and commitments, despite substantive changes to these over the life of the </w:t>
      </w:r>
      <w:r w:rsidRPr="00A7171E">
        <w:rPr>
          <w:rFonts w:ascii="Arial" w:eastAsia="Arial" w:hAnsi="Arial" w:cs="Arial"/>
          <w:b w:val="0"/>
          <w:iCs w:val="0"/>
          <w:color w:val="000000" w:themeColor="text1"/>
          <w:sz w:val="20"/>
          <w:szCs w:val="24"/>
        </w:rPr>
        <w:t xml:space="preserve">SPFs, indicating high levels of flexibility. </w:t>
      </w:r>
    </w:p>
    <w:p w14:paraId="5A662ABF" w14:textId="1A8F1C66" w:rsidR="00DA308C" w:rsidRPr="00A7171E" w:rsidRDefault="00DA308C" w:rsidP="00DA308C">
      <w:pPr>
        <w:pStyle w:val="Heading3NOTOC"/>
        <w:rPr>
          <w:rFonts w:ascii="Arial" w:eastAsia="Arial" w:hAnsi="Arial" w:cs="Arial"/>
          <w:b w:val="0"/>
          <w:iCs w:val="0"/>
          <w:color w:val="000000" w:themeColor="text1"/>
          <w:sz w:val="20"/>
          <w:szCs w:val="24"/>
        </w:rPr>
      </w:pPr>
      <w:r w:rsidRPr="00A7171E">
        <w:rPr>
          <w:rFonts w:ascii="Arial" w:eastAsia="Arial" w:hAnsi="Arial" w:cs="Arial"/>
          <w:b w:val="0"/>
          <w:iCs w:val="0"/>
          <w:color w:val="000000" w:themeColor="text1"/>
          <w:sz w:val="20"/>
          <w:szCs w:val="24"/>
        </w:rPr>
        <w:t xml:space="preserve">SPFs broadly align with current risk management requirements. </w:t>
      </w:r>
    </w:p>
    <w:p w14:paraId="1C82C69E" w14:textId="6E927672" w:rsidR="00DA308C" w:rsidRDefault="0060074D" w:rsidP="00DA308C">
      <w:pPr>
        <w:pStyle w:val="Heading3NOTOC"/>
        <w:rPr>
          <w:rFonts w:ascii="Arial" w:eastAsia="Arial" w:hAnsi="Arial" w:cs="Arial"/>
          <w:b w:val="0"/>
          <w:iCs w:val="0"/>
          <w:color w:val="000000" w:themeColor="text1"/>
          <w:sz w:val="20"/>
          <w:szCs w:val="24"/>
        </w:rPr>
      </w:pPr>
      <w:r w:rsidRPr="00A7171E">
        <w:rPr>
          <w:rFonts w:ascii="Arial" w:eastAsia="Arial" w:hAnsi="Arial" w:cs="Arial"/>
          <w:b w:val="0"/>
          <w:iCs w:val="0"/>
          <w:color w:val="000000" w:themeColor="text1"/>
          <w:sz w:val="20"/>
          <w:szCs w:val="24"/>
        </w:rPr>
        <w:t xml:space="preserve">Current SPFs </w:t>
      </w:r>
      <w:r w:rsidR="007B6E39" w:rsidRPr="00A7171E">
        <w:rPr>
          <w:rFonts w:ascii="Arial" w:eastAsia="Arial" w:hAnsi="Arial" w:cs="Arial"/>
          <w:b w:val="0"/>
          <w:iCs w:val="0"/>
          <w:color w:val="000000" w:themeColor="text1"/>
          <w:sz w:val="20"/>
          <w:szCs w:val="24"/>
        </w:rPr>
        <w:t xml:space="preserve">include </w:t>
      </w:r>
      <w:r w:rsidR="003D6017" w:rsidRPr="00A7171E">
        <w:rPr>
          <w:rFonts w:ascii="Arial" w:eastAsia="Arial" w:hAnsi="Arial" w:cs="Arial"/>
          <w:b w:val="0"/>
          <w:iCs w:val="0"/>
          <w:color w:val="000000" w:themeColor="text1"/>
          <w:sz w:val="20"/>
          <w:szCs w:val="24"/>
        </w:rPr>
        <w:t xml:space="preserve">a </w:t>
      </w:r>
      <w:r w:rsidR="0095130D" w:rsidRPr="00A7171E">
        <w:rPr>
          <w:rFonts w:ascii="Arial" w:eastAsia="Arial" w:hAnsi="Arial" w:cs="Arial"/>
          <w:b w:val="0"/>
          <w:iCs w:val="0"/>
          <w:color w:val="000000" w:themeColor="text1"/>
          <w:sz w:val="20"/>
          <w:szCs w:val="24"/>
        </w:rPr>
        <w:t xml:space="preserve">list of shared </w:t>
      </w:r>
      <w:r w:rsidRPr="00A7171E">
        <w:rPr>
          <w:rFonts w:ascii="Arial" w:eastAsia="Arial" w:hAnsi="Arial" w:cs="Arial"/>
          <w:b w:val="0"/>
          <w:iCs w:val="0"/>
          <w:color w:val="000000" w:themeColor="text1"/>
          <w:sz w:val="20"/>
          <w:szCs w:val="24"/>
        </w:rPr>
        <w:t>partnership objectives and deliverables</w:t>
      </w:r>
      <w:r w:rsidR="00FB6720" w:rsidRPr="00A7171E">
        <w:rPr>
          <w:rFonts w:ascii="Arial" w:eastAsia="Arial" w:hAnsi="Arial" w:cs="Arial"/>
          <w:b w:val="0"/>
          <w:iCs w:val="0"/>
          <w:color w:val="000000" w:themeColor="text1"/>
          <w:sz w:val="20"/>
          <w:szCs w:val="24"/>
        </w:rPr>
        <w:t xml:space="preserve"> that were negotiated separately with each partner</w:t>
      </w:r>
      <w:r w:rsidR="0095130D" w:rsidRPr="00A7171E">
        <w:rPr>
          <w:rFonts w:ascii="Arial" w:eastAsia="Arial" w:hAnsi="Arial" w:cs="Arial"/>
          <w:b w:val="0"/>
          <w:iCs w:val="0"/>
          <w:color w:val="000000" w:themeColor="text1"/>
          <w:sz w:val="20"/>
          <w:szCs w:val="24"/>
        </w:rPr>
        <w:t>. The breadth of these objectives has</w:t>
      </w:r>
      <w:r w:rsidR="00F3716C" w:rsidRPr="00A7171E">
        <w:rPr>
          <w:rFonts w:ascii="Arial" w:eastAsia="Arial" w:hAnsi="Arial" w:cs="Arial"/>
          <w:b w:val="0"/>
          <w:iCs w:val="0"/>
          <w:color w:val="000000" w:themeColor="text1"/>
          <w:sz w:val="20"/>
          <w:szCs w:val="24"/>
        </w:rPr>
        <w:t xml:space="preserve"> facilitated high levels of </w:t>
      </w:r>
      <w:r w:rsidRPr="00A7171E">
        <w:rPr>
          <w:rFonts w:ascii="Arial" w:eastAsia="Arial" w:hAnsi="Arial" w:cs="Arial"/>
          <w:b w:val="0"/>
          <w:iCs w:val="0"/>
          <w:color w:val="000000" w:themeColor="text1"/>
          <w:sz w:val="20"/>
          <w:szCs w:val="24"/>
        </w:rPr>
        <w:t xml:space="preserve">flexibility and adaptability. </w:t>
      </w:r>
      <w:r w:rsidR="00DA308C" w:rsidRPr="00A7171E">
        <w:rPr>
          <w:rFonts w:ascii="Arial" w:eastAsia="Arial" w:hAnsi="Arial" w:cs="Arial"/>
          <w:b w:val="0"/>
          <w:iCs w:val="0"/>
          <w:color w:val="000000" w:themeColor="text1"/>
          <w:sz w:val="20"/>
          <w:szCs w:val="24"/>
        </w:rPr>
        <w:t>No changes are needed for the purpose of</w:t>
      </w:r>
      <w:r w:rsidR="00F3716C" w:rsidRPr="00A7171E">
        <w:rPr>
          <w:rFonts w:ascii="Arial" w:eastAsia="Arial" w:hAnsi="Arial" w:cs="Arial"/>
          <w:b w:val="0"/>
          <w:iCs w:val="0"/>
          <w:color w:val="000000" w:themeColor="text1"/>
          <w:sz w:val="20"/>
          <w:szCs w:val="24"/>
        </w:rPr>
        <w:t xml:space="preserve"> maintaining</w:t>
      </w:r>
      <w:r w:rsidR="00DA308C" w:rsidRPr="00A7171E">
        <w:rPr>
          <w:rFonts w:ascii="Arial" w:eastAsia="Arial" w:hAnsi="Arial" w:cs="Arial"/>
          <w:b w:val="0"/>
          <w:iCs w:val="0"/>
          <w:color w:val="000000" w:themeColor="text1"/>
          <w:sz w:val="20"/>
          <w:szCs w:val="24"/>
        </w:rPr>
        <w:t xml:space="preserve"> </w:t>
      </w:r>
      <w:r w:rsidR="00F3716C" w:rsidRPr="00A7171E">
        <w:rPr>
          <w:rFonts w:ascii="Arial" w:eastAsia="Arial" w:hAnsi="Arial" w:cs="Arial"/>
          <w:b w:val="0"/>
          <w:iCs w:val="0"/>
          <w:color w:val="000000" w:themeColor="text1"/>
          <w:sz w:val="20"/>
          <w:szCs w:val="24"/>
        </w:rPr>
        <w:t>th</w:t>
      </w:r>
      <w:r w:rsidR="007B6E39" w:rsidRPr="00A7171E">
        <w:rPr>
          <w:rFonts w:ascii="Arial" w:eastAsia="Arial" w:hAnsi="Arial" w:cs="Arial"/>
          <w:b w:val="0"/>
          <w:iCs w:val="0"/>
          <w:color w:val="000000" w:themeColor="text1"/>
          <w:sz w:val="20"/>
          <w:szCs w:val="24"/>
        </w:rPr>
        <w:t>is</w:t>
      </w:r>
      <w:r w:rsidR="00F3716C" w:rsidRPr="00A7171E">
        <w:rPr>
          <w:rFonts w:ascii="Arial" w:eastAsia="Arial" w:hAnsi="Arial" w:cs="Arial"/>
          <w:b w:val="0"/>
          <w:iCs w:val="0"/>
          <w:color w:val="000000" w:themeColor="text1"/>
          <w:sz w:val="20"/>
          <w:szCs w:val="24"/>
        </w:rPr>
        <w:t xml:space="preserve"> </w:t>
      </w:r>
      <w:r w:rsidR="00DA308C" w:rsidRPr="00A7171E">
        <w:rPr>
          <w:rFonts w:ascii="Arial" w:eastAsia="Arial" w:hAnsi="Arial" w:cs="Arial"/>
          <w:b w:val="0"/>
          <w:iCs w:val="0"/>
          <w:color w:val="000000" w:themeColor="text1"/>
          <w:sz w:val="20"/>
          <w:szCs w:val="24"/>
        </w:rPr>
        <w:t>flexibility and adaptability</w:t>
      </w:r>
      <w:r w:rsidR="0095130D" w:rsidRPr="00A7171E">
        <w:rPr>
          <w:rFonts w:ascii="Arial" w:eastAsia="Arial" w:hAnsi="Arial" w:cs="Arial"/>
          <w:b w:val="0"/>
          <w:iCs w:val="0"/>
          <w:color w:val="000000" w:themeColor="text1"/>
          <w:sz w:val="20"/>
          <w:szCs w:val="24"/>
        </w:rPr>
        <w:t>. R</w:t>
      </w:r>
      <w:r w:rsidR="00DA308C" w:rsidRPr="00A7171E">
        <w:rPr>
          <w:rFonts w:ascii="Arial" w:eastAsia="Arial" w:hAnsi="Arial" w:cs="Arial"/>
          <w:b w:val="0"/>
          <w:iCs w:val="0"/>
          <w:color w:val="000000" w:themeColor="text1"/>
          <w:sz w:val="20"/>
          <w:szCs w:val="24"/>
        </w:rPr>
        <w:t>ather the challenge may lie in maintaining the existing levels of flexibility going forward</w:t>
      </w:r>
      <w:r w:rsidR="0095130D" w:rsidRPr="00A7171E">
        <w:rPr>
          <w:rFonts w:ascii="Arial" w:eastAsia="Arial" w:hAnsi="Arial" w:cs="Arial"/>
          <w:b w:val="0"/>
          <w:iCs w:val="0"/>
          <w:color w:val="000000" w:themeColor="text1"/>
          <w:sz w:val="20"/>
          <w:szCs w:val="24"/>
        </w:rPr>
        <w:t xml:space="preserve">, should </w:t>
      </w:r>
      <w:r w:rsidR="0076330C" w:rsidRPr="00A7171E">
        <w:rPr>
          <w:rFonts w:ascii="Arial" w:eastAsia="Arial" w:hAnsi="Arial" w:cs="Arial"/>
          <w:b w:val="0"/>
          <w:iCs w:val="0"/>
          <w:color w:val="000000" w:themeColor="text1"/>
          <w:sz w:val="20"/>
          <w:szCs w:val="24"/>
        </w:rPr>
        <w:t xml:space="preserve">DFAT choose to </w:t>
      </w:r>
      <w:r w:rsidR="00242A0F" w:rsidRPr="00A7171E">
        <w:rPr>
          <w:rFonts w:ascii="Arial" w:eastAsia="Arial" w:hAnsi="Arial" w:cs="Arial"/>
          <w:b w:val="0"/>
          <w:iCs w:val="0"/>
          <w:color w:val="000000" w:themeColor="text1"/>
          <w:sz w:val="20"/>
          <w:szCs w:val="24"/>
        </w:rPr>
        <w:t>focus on progressing</w:t>
      </w:r>
      <w:r w:rsidR="0076330C" w:rsidRPr="00A7171E">
        <w:rPr>
          <w:rFonts w:ascii="Arial" w:eastAsia="Arial" w:hAnsi="Arial" w:cs="Arial"/>
          <w:b w:val="0"/>
          <w:iCs w:val="0"/>
          <w:color w:val="000000" w:themeColor="text1"/>
          <w:sz w:val="20"/>
          <w:szCs w:val="24"/>
        </w:rPr>
        <w:t xml:space="preserve"> </w:t>
      </w:r>
      <w:r w:rsidR="00704EB0" w:rsidRPr="00A7171E">
        <w:rPr>
          <w:rFonts w:ascii="Arial" w:eastAsia="Arial" w:hAnsi="Arial" w:cs="Arial"/>
          <w:b w:val="0"/>
          <w:iCs w:val="0"/>
          <w:color w:val="000000" w:themeColor="text1"/>
          <w:sz w:val="20"/>
          <w:szCs w:val="24"/>
        </w:rPr>
        <w:t>a smaller number of objectives</w:t>
      </w:r>
      <w:r w:rsidR="0076330C" w:rsidRPr="00A7171E">
        <w:rPr>
          <w:rFonts w:ascii="Arial" w:eastAsia="Arial" w:hAnsi="Arial" w:cs="Arial"/>
          <w:b w:val="0"/>
          <w:iCs w:val="0"/>
          <w:color w:val="000000" w:themeColor="text1"/>
          <w:sz w:val="20"/>
          <w:szCs w:val="24"/>
        </w:rPr>
        <w:t xml:space="preserve"> </w:t>
      </w:r>
      <w:r w:rsidR="008C60B7" w:rsidRPr="00A7171E">
        <w:rPr>
          <w:rFonts w:ascii="Arial" w:eastAsia="Arial" w:hAnsi="Arial" w:cs="Arial"/>
          <w:b w:val="0"/>
          <w:iCs w:val="0"/>
          <w:color w:val="000000" w:themeColor="text1"/>
          <w:sz w:val="20"/>
          <w:szCs w:val="24"/>
        </w:rPr>
        <w:t>in future arrangements</w:t>
      </w:r>
      <w:r w:rsidR="00AA12EB" w:rsidRPr="00A7171E">
        <w:rPr>
          <w:rFonts w:ascii="Arial" w:eastAsia="Arial" w:hAnsi="Arial" w:cs="Arial"/>
          <w:b w:val="0"/>
          <w:iCs w:val="0"/>
          <w:color w:val="000000" w:themeColor="text1"/>
          <w:sz w:val="20"/>
          <w:szCs w:val="24"/>
        </w:rPr>
        <w:t xml:space="preserve">. </w:t>
      </w:r>
      <w:r w:rsidR="00DA308C" w:rsidRPr="00A7171E">
        <w:rPr>
          <w:rFonts w:ascii="Arial" w:eastAsia="Arial" w:hAnsi="Arial" w:cs="Arial"/>
          <w:b w:val="0"/>
          <w:iCs w:val="0"/>
          <w:color w:val="000000" w:themeColor="text1"/>
          <w:sz w:val="20"/>
          <w:szCs w:val="24"/>
        </w:rPr>
        <w:t xml:space="preserve">Minor updates are required to remove reference to superseded policies such as the response to COVID-19 and </w:t>
      </w:r>
      <w:r w:rsidR="00DA308C" w:rsidRPr="00A7171E">
        <w:rPr>
          <w:rFonts w:ascii="Arial" w:eastAsia="Arial" w:hAnsi="Arial" w:cs="Arial"/>
          <w:b w:val="0"/>
          <w:i/>
          <w:color w:val="000000" w:themeColor="text1"/>
          <w:sz w:val="20"/>
          <w:szCs w:val="24"/>
        </w:rPr>
        <w:t>Partnerships</w:t>
      </w:r>
      <w:r w:rsidR="00DA308C" w:rsidRPr="00345BDB">
        <w:rPr>
          <w:rFonts w:ascii="Arial" w:eastAsia="Arial" w:hAnsi="Arial" w:cs="Arial"/>
          <w:b w:val="0"/>
          <w:i/>
          <w:color w:val="000000" w:themeColor="text1"/>
          <w:sz w:val="20"/>
          <w:szCs w:val="24"/>
        </w:rPr>
        <w:t xml:space="preserve"> for Recovery</w:t>
      </w:r>
      <w:r w:rsidR="00DA308C" w:rsidRPr="00345BDB">
        <w:rPr>
          <w:rFonts w:ascii="Arial" w:eastAsia="Arial" w:hAnsi="Arial" w:cs="Arial"/>
          <w:b w:val="0"/>
          <w:iCs w:val="0"/>
          <w:color w:val="000000" w:themeColor="text1"/>
          <w:sz w:val="20"/>
          <w:szCs w:val="24"/>
        </w:rPr>
        <w:t xml:space="preserve">. </w:t>
      </w:r>
    </w:p>
    <w:p w14:paraId="6B97372C" w14:textId="3D5D6D70" w:rsidR="00221AFA" w:rsidRPr="00345BDB" w:rsidRDefault="00D8068D" w:rsidP="00750C0F">
      <w:pPr>
        <w:pStyle w:val="Heading3"/>
        <w:rPr>
          <w:rStyle w:val="normaltextrun"/>
          <w:rFonts w:cstheme="majorHAnsi"/>
          <w:color w:val="auto"/>
          <w:shd w:val="clear" w:color="auto" w:fill="FFFFFF"/>
        </w:rPr>
      </w:pPr>
      <w:r w:rsidRPr="00345BDB">
        <w:rPr>
          <w:rStyle w:val="normaltextrun"/>
          <w:rFonts w:cstheme="majorHAnsi"/>
          <w:color w:val="auto"/>
          <w:shd w:val="clear" w:color="auto" w:fill="FFFFFF"/>
        </w:rPr>
        <w:t>Effectiveness</w:t>
      </w:r>
    </w:p>
    <w:p w14:paraId="3B4C57A6" w14:textId="77777777" w:rsidR="00BD29DE" w:rsidRPr="00345BDB" w:rsidRDefault="00BD29DE" w:rsidP="00BD29DE">
      <w:pPr>
        <w:pStyle w:val="Heading3NOTOC"/>
        <w:rPr>
          <w:rFonts w:ascii="Arial" w:eastAsia="Arial" w:hAnsi="Arial" w:cs="Arial"/>
          <w:b w:val="0"/>
          <w:iCs w:val="0"/>
          <w:color w:val="000000" w:themeColor="text1"/>
          <w:sz w:val="20"/>
          <w:szCs w:val="24"/>
        </w:rPr>
      </w:pPr>
      <w:r w:rsidRPr="00345BDB">
        <w:rPr>
          <w:rFonts w:ascii="Arial" w:eastAsia="Arial" w:hAnsi="Arial" w:cs="Arial"/>
          <w:b w:val="0"/>
          <w:iCs w:val="0"/>
          <w:color w:val="000000" w:themeColor="text1"/>
          <w:sz w:val="20"/>
          <w:szCs w:val="24"/>
        </w:rPr>
        <w:t xml:space="preserve">The evaluation assessed effectiveness as progress against SPF shared partnership objectives and deliverables, of which there are 120 across the five SPFs. Sub questions focused on alignment with partner mandates, alignment with EOLs, and partner monitoring and reporting of progress. Further sub questions </w:t>
      </w:r>
      <w:r w:rsidRPr="00345BDB">
        <w:rPr>
          <w:rFonts w:ascii="Arial" w:eastAsia="Arial" w:hAnsi="Arial" w:cs="Arial"/>
          <w:b w:val="0"/>
          <w:iCs w:val="0"/>
          <w:color w:val="000000" w:themeColor="text1"/>
          <w:sz w:val="20"/>
          <w:szCs w:val="24"/>
        </w:rPr>
        <w:lastRenderedPageBreak/>
        <w:t xml:space="preserve">inquired into the extent to which SPFs strengthened partner performance and Australia’s influence and international standing. </w:t>
      </w:r>
    </w:p>
    <w:p w14:paraId="7ACB6028" w14:textId="77777777" w:rsidR="00BD29DE" w:rsidRPr="00345BDB" w:rsidRDefault="00BD29DE" w:rsidP="00BD29DE">
      <w:pPr>
        <w:spacing w:before="240"/>
        <w:rPr>
          <w:rFonts w:ascii="Arial" w:eastAsia="Arial" w:hAnsi="Arial" w:cs="Arial"/>
        </w:rPr>
      </w:pPr>
      <w:r w:rsidRPr="00345BDB">
        <w:rPr>
          <w:rFonts w:ascii="Arial" w:eastAsia="Arial" w:hAnsi="Arial" w:cs="Arial"/>
        </w:rPr>
        <w:t>The evaluation found strong evidence of activities to progress many of the SPF shared partnership objectives and deliverables. Variation in data availability and reporting limited robust assessment of the extent of this progress. As such, available evidence does not enable an assessment of the extent of this progress with a reasonable level of confidence.</w:t>
      </w:r>
    </w:p>
    <w:p w14:paraId="6734CB1A" w14:textId="0235E55A" w:rsidR="00BD29DE" w:rsidRPr="00345BDB" w:rsidRDefault="00037EE6" w:rsidP="00BD29DE">
      <w:pPr>
        <w:pStyle w:val="Heading3NOTOC"/>
        <w:rPr>
          <w:rFonts w:ascii="Arial" w:eastAsia="Arial" w:hAnsi="Arial" w:cs="Arial"/>
          <w:b w:val="0"/>
          <w:iCs w:val="0"/>
          <w:color w:val="000000" w:themeColor="text1"/>
          <w:sz w:val="20"/>
          <w:szCs w:val="24"/>
        </w:rPr>
      </w:pPr>
      <w:r w:rsidRPr="008E5C6A">
        <w:rPr>
          <w:rFonts w:ascii="Arial" w:eastAsia="Arial" w:hAnsi="Arial" w:cs="Arial"/>
          <w:b w:val="0"/>
          <w:iCs w:val="0"/>
          <w:color w:val="000000" w:themeColor="text1"/>
          <w:sz w:val="20"/>
          <w:szCs w:val="24"/>
        </w:rPr>
        <w:t>T</w:t>
      </w:r>
      <w:r w:rsidR="00F261B1" w:rsidRPr="008E5C6A">
        <w:rPr>
          <w:rFonts w:ascii="Arial" w:eastAsia="Arial" w:hAnsi="Arial" w:cs="Arial"/>
          <w:b w:val="0"/>
          <w:iCs w:val="0"/>
          <w:color w:val="000000" w:themeColor="text1"/>
          <w:sz w:val="20"/>
          <w:szCs w:val="24"/>
        </w:rPr>
        <w:t>here is a diversity of perspectives among DFAT officers</w:t>
      </w:r>
      <w:r w:rsidR="00F261B1">
        <w:rPr>
          <w:rFonts w:ascii="Arial" w:eastAsia="Arial" w:hAnsi="Arial" w:cs="Arial"/>
          <w:b w:val="0"/>
          <w:iCs w:val="0"/>
          <w:color w:val="000000" w:themeColor="text1"/>
          <w:sz w:val="20"/>
          <w:szCs w:val="24"/>
        </w:rPr>
        <w:t xml:space="preserve"> regarding whether </w:t>
      </w:r>
      <w:r w:rsidR="00BD29DE" w:rsidRPr="00345BDB">
        <w:rPr>
          <w:rFonts w:ascii="Arial" w:eastAsia="Arial" w:hAnsi="Arial" w:cs="Arial"/>
          <w:b w:val="0"/>
          <w:iCs w:val="0"/>
          <w:color w:val="000000" w:themeColor="text1"/>
          <w:sz w:val="20"/>
          <w:szCs w:val="24"/>
        </w:rPr>
        <w:t xml:space="preserve">the shared partnership objectives and deliverables are the outcomes that DFAT and partners most seek from SPFs. Partners are seeking predictable, multiyear core funding that enables them to rapidly access funds to deliver their mandates. </w:t>
      </w:r>
    </w:p>
    <w:p w14:paraId="6F6085ED" w14:textId="63F9E4F7" w:rsidR="00BD29DE" w:rsidRDefault="00BD29DE" w:rsidP="00BD29DE">
      <w:pPr>
        <w:pStyle w:val="Heading3NOTOC"/>
        <w:rPr>
          <w:rFonts w:ascii="Arial" w:eastAsia="Arial" w:hAnsi="Arial" w:cs="Arial"/>
          <w:b w:val="0"/>
          <w:color w:val="000000" w:themeColor="text1"/>
          <w:sz w:val="20"/>
          <w:szCs w:val="20"/>
        </w:rPr>
      </w:pPr>
      <w:r w:rsidRPr="00345BDB">
        <w:rPr>
          <w:rFonts w:ascii="Arial" w:eastAsia="Arial" w:hAnsi="Arial" w:cs="Arial"/>
          <w:b w:val="0"/>
          <w:color w:val="000000" w:themeColor="text1"/>
          <w:sz w:val="20"/>
          <w:szCs w:val="20"/>
        </w:rPr>
        <w:t>The way in which SPF</w:t>
      </w:r>
      <w:r w:rsidR="00181924" w:rsidRPr="00345BDB">
        <w:rPr>
          <w:rFonts w:ascii="Arial" w:eastAsia="Arial" w:hAnsi="Arial" w:cs="Arial"/>
          <w:b w:val="0"/>
          <w:color w:val="000000" w:themeColor="text1"/>
          <w:sz w:val="20"/>
          <w:szCs w:val="20"/>
        </w:rPr>
        <w:t>s</w:t>
      </w:r>
      <w:r w:rsidRPr="00345BDB">
        <w:rPr>
          <w:rFonts w:ascii="Arial" w:eastAsia="Arial" w:hAnsi="Arial" w:cs="Arial"/>
          <w:b w:val="0"/>
          <w:color w:val="000000" w:themeColor="text1"/>
          <w:sz w:val="20"/>
          <w:szCs w:val="20"/>
        </w:rPr>
        <w:t xml:space="preserve"> have been structured has facilitated partners to prioritise funding to meet critical and lifesaving needs. Partners reported strong alignment between the shared partnership objectives and deliverables and partner mandates. This underpins the ability of SPF funding to support partner priorities. Partners further reported that SPFs enabled their performance through the provision of flexible multi-year core funding. Partners emphasised how critical this has been to their operations and their ability to provide lifesaving assistance.</w:t>
      </w:r>
      <w:r w:rsidR="0048076A" w:rsidRPr="00345BDB">
        <w:rPr>
          <w:rFonts w:ascii="Arial" w:eastAsia="Arial" w:hAnsi="Arial" w:cs="Arial"/>
          <w:b w:val="0"/>
          <w:color w:val="000000" w:themeColor="text1"/>
          <w:sz w:val="20"/>
          <w:szCs w:val="20"/>
        </w:rPr>
        <w:t xml:space="preserve"> </w:t>
      </w:r>
      <w:r w:rsidR="004A7340" w:rsidRPr="00345BDB">
        <w:rPr>
          <w:rFonts w:ascii="Arial" w:eastAsia="Arial" w:hAnsi="Arial" w:cs="Arial"/>
          <w:b w:val="0"/>
          <w:color w:val="000000" w:themeColor="text1"/>
          <w:sz w:val="20"/>
          <w:szCs w:val="20"/>
        </w:rPr>
        <w:t>They</w:t>
      </w:r>
      <w:r w:rsidRPr="00345BDB">
        <w:rPr>
          <w:rFonts w:ascii="Arial" w:eastAsia="Arial" w:hAnsi="Arial" w:cs="Arial"/>
          <w:b w:val="0"/>
          <w:color w:val="000000" w:themeColor="text1"/>
          <w:sz w:val="20"/>
          <w:szCs w:val="20"/>
        </w:rPr>
        <w:t xml:space="preserve"> also reported that Australia’s international standing and influence</w:t>
      </w:r>
      <w:r w:rsidRPr="70075F62">
        <w:rPr>
          <w:rFonts w:ascii="Arial" w:eastAsia="Arial" w:hAnsi="Arial" w:cs="Arial"/>
          <w:b w:val="0"/>
          <w:color w:val="000000" w:themeColor="text1"/>
          <w:sz w:val="20"/>
          <w:szCs w:val="20"/>
        </w:rPr>
        <w:t xml:space="preserve"> was bolstered through the multiyear </w:t>
      </w:r>
      <w:r>
        <w:rPr>
          <w:rFonts w:ascii="Arial" w:eastAsia="Arial" w:hAnsi="Arial" w:cs="Arial"/>
          <w:b w:val="0"/>
          <w:color w:val="000000" w:themeColor="text1"/>
          <w:sz w:val="20"/>
          <w:szCs w:val="20"/>
        </w:rPr>
        <w:t xml:space="preserve">core </w:t>
      </w:r>
      <w:r w:rsidRPr="70075F62">
        <w:rPr>
          <w:rFonts w:ascii="Arial" w:eastAsia="Arial" w:hAnsi="Arial" w:cs="Arial"/>
          <w:b w:val="0"/>
          <w:color w:val="000000" w:themeColor="text1"/>
          <w:sz w:val="20"/>
          <w:szCs w:val="20"/>
        </w:rPr>
        <w:t xml:space="preserve">funding. </w:t>
      </w:r>
    </w:p>
    <w:p w14:paraId="64FEBB00" w14:textId="244BF9CB" w:rsidR="00BD29DE" w:rsidRDefault="00BD29DE" w:rsidP="00BD29DE">
      <w:pPr>
        <w:pStyle w:val="Heading3NOTOC"/>
        <w:rPr>
          <w:rFonts w:ascii="Arial" w:eastAsia="Arial" w:hAnsi="Arial" w:cs="Arial"/>
          <w:b w:val="0"/>
          <w:color w:val="000000" w:themeColor="text1"/>
          <w:sz w:val="20"/>
          <w:szCs w:val="20"/>
        </w:rPr>
      </w:pPr>
      <w:r w:rsidRPr="70075F62">
        <w:rPr>
          <w:rFonts w:ascii="Arial" w:eastAsia="Arial" w:hAnsi="Arial" w:cs="Arial"/>
          <w:b w:val="0"/>
          <w:color w:val="000000" w:themeColor="text1"/>
          <w:sz w:val="20"/>
          <w:szCs w:val="20"/>
        </w:rPr>
        <w:t xml:space="preserve">While DFAT officers largely agreed that SPFs supported their international standing, some believed </w:t>
      </w:r>
      <w:r>
        <w:rPr>
          <w:rFonts w:ascii="Arial" w:eastAsia="Arial" w:hAnsi="Arial" w:cs="Arial"/>
          <w:b w:val="0"/>
          <w:color w:val="000000" w:themeColor="text1"/>
          <w:sz w:val="20"/>
          <w:szCs w:val="20"/>
        </w:rPr>
        <w:t xml:space="preserve">that </w:t>
      </w:r>
      <w:r w:rsidRPr="70075F62">
        <w:rPr>
          <w:rFonts w:ascii="Arial" w:eastAsia="Arial" w:hAnsi="Arial" w:cs="Arial"/>
          <w:b w:val="0"/>
          <w:color w:val="000000" w:themeColor="text1"/>
          <w:sz w:val="20"/>
          <w:szCs w:val="20"/>
        </w:rPr>
        <w:t>earmarked funding would increase</w:t>
      </w:r>
      <w:r>
        <w:rPr>
          <w:rFonts w:ascii="Arial" w:eastAsia="Arial" w:hAnsi="Arial" w:cs="Arial"/>
          <w:b w:val="0"/>
          <w:color w:val="000000" w:themeColor="text1"/>
          <w:sz w:val="20"/>
          <w:szCs w:val="20"/>
        </w:rPr>
        <w:t xml:space="preserve"> Australia’s</w:t>
      </w:r>
      <w:r w:rsidRPr="70075F62">
        <w:rPr>
          <w:rFonts w:ascii="Arial" w:eastAsia="Arial" w:hAnsi="Arial" w:cs="Arial"/>
          <w:b w:val="0"/>
          <w:color w:val="000000" w:themeColor="text1"/>
          <w:sz w:val="20"/>
          <w:szCs w:val="20"/>
        </w:rPr>
        <w:t xml:space="preserve"> influence</w:t>
      </w:r>
      <w:r>
        <w:rPr>
          <w:rFonts w:ascii="Arial" w:eastAsia="Arial" w:hAnsi="Arial" w:cs="Arial"/>
          <w:b w:val="0"/>
          <w:color w:val="000000" w:themeColor="text1"/>
          <w:sz w:val="20"/>
          <w:szCs w:val="20"/>
        </w:rPr>
        <w:t xml:space="preserve"> of partner activities and performance. DFAT officers cautioned that a less flexible approach to funding would require an increase in DFAT resourcing to manage</w:t>
      </w:r>
      <w:r w:rsidR="005F0DB0">
        <w:rPr>
          <w:rFonts w:ascii="Arial" w:eastAsia="Arial" w:hAnsi="Arial" w:cs="Arial"/>
          <w:b w:val="0"/>
          <w:color w:val="000000" w:themeColor="text1"/>
          <w:sz w:val="20"/>
          <w:szCs w:val="20"/>
        </w:rPr>
        <w:t xml:space="preserve"> </w:t>
      </w:r>
      <w:r>
        <w:rPr>
          <w:rFonts w:ascii="Arial" w:eastAsia="Arial" w:hAnsi="Arial" w:cs="Arial"/>
          <w:b w:val="0"/>
          <w:color w:val="000000" w:themeColor="text1"/>
          <w:sz w:val="20"/>
          <w:szCs w:val="20"/>
        </w:rPr>
        <w:t>and monitor effectively.</w:t>
      </w:r>
      <w:r w:rsidRPr="70075F62">
        <w:rPr>
          <w:rFonts w:ascii="Arial" w:eastAsia="Arial" w:hAnsi="Arial" w:cs="Arial"/>
          <w:b w:val="0"/>
          <w:color w:val="000000" w:themeColor="text1"/>
          <w:sz w:val="20"/>
          <w:szCs w:val="20"/>
        </w:rPr>
        <w:t xml:space="preserve"> Having a documented list of shared objectives and deliverables supported DFAT’s ability to advocate for progress irrespective of staff turnover. </w:t>
      </w:r>
    </w:p>
    <w:p w14:paraId="0058E786" w14:textId="77777777" w:rsidR="00221AFA" w:rsidRPr="00750C0F" w:rsidRDefault="00221AFA" w:rsidP="00750C0F">
      <w:pPr>
        <w:pStyle w:val="Heading3"/>
        <w:rPr>
          <w:rStyle w:val="normaltextrun"/>
          <w:rFonts w:cstheme="majorHAnsi"/>
          <w:color w:val="auto"/>
          <w:shd w:val="clear" w:color="auto" w:fill="FFFFFF"/>
        </w:rPr>
      </w:pPr>
      <w:r w:rsidRPr="00750C0F">
        <w:rPr>
          <w:rStyle w:val="normaltextrun"/>
          <w:rFonts w:cstheme="majorHAnsi"/>
          <w:color w:val="auto"/>
          <w:shd w:val="clear" w:color="auto" w:fill="FFFFFF"/>
        </w:rPr>
        <w:t>Efficiency</w:t>
      </w:r>
    </w:p>
    <w:p w14:paraId="5DAA1C8C" w14:textId="77777777" w:rsidR="00FF101E" w:rsidRDefault="00FF101E" w:rsidP="00FF101E">
      <w:pPr>
        <w:pStyle w:val="Heading3NOTOC"/>
        <w:rPr>
          <w:rFonts w:asciiTheme="majorHAnsi" w:eastAsia="Calibri Light" w:hAnsiTheme="majorHAnsi" w:cstheme="majorHAnsi"/>
          <w:color w:val="000000" w:themeColor="text1"/>
          <w:sz w:val="22"/>
          <w:szCs w:val="22"/>
        </w:rPr>
      </w:pPr>
      <w:r>
        <w:rPr>
          <w:rFonts w:ascii="Arial" w:eastAsia="Arial" w:hAnsi="Arial" w:cs="Arial"/>
          <w:b w:val="0"/>
          <w:iCs w:val="0"/>
          <w:color w:val="000000" w:themeColor="text1"/>
          <w:sz w:val="20"/>
          <w:szCs w:val="24"/>
        </w:rPr>
        <w:t xml:space="preserve">The evaluation assessed the efficiency of SPFs as a financial, compliance and partnership modality for DFAT and partners. </w:t>
      </w:r>
      <w:r w:rsidRPr="002179F3">
        <w:rPr>
          <w:rFonts w:ascii="Arial" w:eastAsia="Arial" w:hAnsi="Arial" w:cs="Arial"/>
          <w:b w:val="0"/>
          <w:iCs w:val="0"/>
          <w:color w:val="000000" w:themeColor="text1"/>
          <w:sz w:val="20"/>
          <w:szCs w:val="24"/>
        </w:rPr>
        <w:t>Sub</w:t>
      </w:r>
      <w:r>
        <w:rPr>
          <w:rFonts w:ascii="Arial" w:eastAsia="Arial" w:hAnsi="Arial" w:cs="Arial"/>
          <w:b w:val="0"/>
          <w:iCs w:val="0"/>
          <w:color w:val="000000" w:themeColor="text1"/>
          <w:sz w:val="20"/>
          <w:szCs w:val="24"/>
        </w:rPr>
        <w:t xml:space="preserve"> </w:t>
      </w:r>
      <w:r w:rsidRPr="002179F3">
        <w:rPr>
          <w:rFonts w:ascii="Arial" w:eastAsia="Arial" w:hAnsi="Arial" w:cs="Arial"/>
          <w:b w:val="0"/>
          <w:iCs w:val="0"/>
          <w:color w:val="000000" w:themeColor="text1"/>
          <w:sz w:val="20"/>
          <w:szCs w:val="24"/>
        </w:rPr>
        <w:t xml:space="preserve">questions focused on </w:t>
      </w:r>
      <w:r>
        <w:rPr>
          <w:rFonts w:ascii="Arial" w:eastAsia="Arial" w:hAnsi="Arial" w:cs="Arial"/>
          <w:b w:val="0"/>
          <w:iCs w:val="0"/>
          <w:color w:val="000000" w:themeColor="text1"/>
          <w:sz w:val="20"/>
          <w:szCs w:val="24"/>
        </w:rPr>
        <w:t>speed</w:t>
      </w:r>
      <w:r w:rsidRPr="002179F3">
        <w:rPr>
          <w:rFonts w:ascii="Arial" w:eastAsia="Arial" w:hAnsi="Arial" w:cs="Arial"/>
          <w:b w:val="0"/>
          <w:iCs w:val="0"/>
          <w:color w:val="000000" w:themeColor="text1"/>
          <w:sz w:val="20"/>
          <w:szCs w:val="24"/>
        </w:rPr>
        <w:t xml:space="preserve"> to </w:t>
      </w:r>
      <w:r>
        <w:rPr>
          <w:rFonts w:ascii="Arial" w:eastAsia="Arial" w:hAnsi="Arial" w:cs="Arial"/>
          <w:b w:val="0"/>
          <w:iCs w:val="0"/>
          <w:color w:val="000000" w:themeColor="text1"/>
          <w:sz w:val="20"/>
          <w:szCs w:val="24"/>
        </w:rPr>
        <w:t>finalise</w:t>
      </w:r>
      <w:r w:rsidRPr="002179F3">
        <w:rPr>
          <w:rFonts w:ascii="Arial" w:eastAsia="Arial" w:hAnsi="Arial" w:cs="Arial"/>
          <w:b w:val="0"/>
          <w:iCs w:val="0"/>
          <w:color w:val="000000" w:themeColor="text1"/>
          <w:sz w:val="20"/>
          <w:szCs w:val="24"/>
        </w:rPr>
        <w:t xml:space="preserve"> </w:t>
      </w:r>
      <w:r>
        <w:rPr>
          <w:rFonts w:ascii="Arial" w:eastAsia="Arial" w:hAnsi="Arial" w:cs="Arial"/>
          <w:b w:val="0"/>
          <w:iCs w:val="0"/>
          <w:color w:val="000000" w:themeColor="text1"/>
          <w:sz w:val="20"/>
          <w:szCs w:val="24"/>
        </w:rPr>
        <w:t xml:space="preserve">EOLs </w:t>
      </w:r>
      <w:r w:rsidRPr="002179F3">
        <w:rPr>
          <w:rFonts w:ascii="Arial" w:eastAsia="Arial" w:hAnsi="Arial" w:cs="Arial"/>
          <w:b w:val="0"/>
          <w:iCs w:val="0"/>
          <w:color w:val="000000" w:themeColor="text1"/>
          <w:sz w:val="20"/>
          <w:szCs w:val="24"/>
        </w:rPr>
        <w:t xml:space="preserve">and provide </w:t>
      </w:r>
      <w:r>
        <w:rPr>
          <w:rFonts w:ascii="Arial" w:eastAsia="Arial" w:hAnsi="Arial" w:cs="Arial"/>
          <w:b w:val="0"/>
          <w:iCs w:val="0"/>
          <w:color w:val="000000" w:themeColor="text1"/>
          <w:sz w:val="20"/>
          <w:szCs w:val="24"/>
        </w:rPr>
        <w:t xml:space="preserve">humanitarian </w:t>
      </w:r>
      <w:r w:rsidRPr="002179F3">
        <w:rPr>
          <w:rFonts w:ascii="Arial" w:eastAsia="Arial" w:hAnsi="Arial" w:cs="Arial"/>
          <w:b w:val="0"/>
          <w:iCs w:val="0"/>
          <w:color w:val="000000" w:themeColor="text1"/>
          <w:sz w:val="20"/>
          <w:szCs w:val="24"/>
        </w:rPr>
        <w:t>assistance, risk management, monitoring and reporting.</w:t>
      </w:r>
      <w:r>
        <w:rPr>
          <w:rFonts w:asciiTheme="majorHAnsi" w:eastAsia="Calibri Light" w:hAnsiTheme="majorHAnsi" w:cstheme="majorHAnsi"/>
          <w:color w:val="000000" w:themeColor="text1"/>
          <w:sz w:val="22"/>
          <w:szCs w:val="22"/>
        </w:rPr>
        <w:t xml:space="preserve"> </w:t>
      </w:r>
    </w:p>
    <w:p w14:paraId="62162107" w14:textId="77777777" w:rsidR="00FF101E" w:rsidRPr="00345BDB" w:rsidRDefault="00FF101E" w:rsidP="00FF101E">
      <w:pPr>
        <w:pStyle w:val="Heading3NOTOC"/>
        <w:rPr>
          <w:rFonts w:ascii="Arial" w:eastAsia="Arial" w:hAnsi="Arial" w:cs="Arial"/>
          <w:b w:val="0"/>
          <w:iCs w:val="0"/>
          <w:color w:val="000000" w:themeColor="text1"/>
          <w:sz w:val="20"/>
          <w:szCs w:val="24"/>
        </w:rPr>
      </w:pPr>
      <w:r>
        <w:rPr>
          <w:rFonts w:ascii="Arial" w:eastAsia="Arial" w:hAnsi="Arial" w:cs="Arial"/>
          <w:b w:val="0"/>
          <w:iCs w:val="0"/>
          <w:color w:val="000000" w:themeColor="text1"/>
          <w:sz w:val="20"/>
          <w:szCs w:val="24"/>
        </w:rPr>
        <w:t>The evaluation found that once SPFs were agreed, funding through EOLs could be very quick (though it is not always the case</w:t>
      </w:r>
      <w:r w:rsidRPr="00345BDB">
        <w:rPr>
          <w:rFonts w:ascii="Arial" w:eastAsia="Arial" w:hAnsi="Arial" w:cs="Arial"/>
          <w:b w:val="0"/>
          <w:iCs w:val="0"/>
          <w:color w:val="000000" w:themeColor="text1"/>
          <w:sz w:val="20"/>
          <w:szCs w:val="24"/>
        </w:rPr>
        <w:t xml:space="preserve">), enabling DFAT to rapidly provide funding to humanitarian crises. The process was highly efficient for DFAT and the partner. Interviews with other donors indicate there may be even more efficient modalities available, should DFAT seek even faster and less resource intensive options to fund partners. </w:t>
      </w:r>
    </w:p>
    <w:p w14:paraId="6B2823FE" w14:textId="77777777" w:rsidR="0048076A" w:rsidRPr="00345BDB" w:rsidRDefault="0048076A" w:rsidP="0048076A">
      <w:pPr>
        <w:spacing w:before="240"/>
        <w:rPr>
          <w:rFonts w:ascii="Arial" w:eastAsia="Aptos" w:hAnsi="Arial" w:cs="Arial"/>
          <w:color w:val="auto"/>
          <w:kern w:val="2"/>
          <w:szCs w:val="20"/>
          <w:lang w:val="en-GB" w:eastAsia="en-US"/>
          <w14:ligatures w14:val="standardContextual"/>
        </w:rPr>
      </w:pPr>
      <w:r w:rsidRPr="00345BDB">
        <w:rPr>
          <w:rFonts w:ascii="Arial" w:eastAsia="Aptos" w:hAnsi="Arial" w:cs="Arial"/>
          <w:color w:val="auto"/>
          <w:kern w:val="2"/>
          <w:szCs w:val="20"/>
          <w:lang w:val="en-GB" w:eastAsia="en-US"/>
          <w14:ligatures w14:val="standardContextual"/>
        </w:rPr>
        <w:t>Inherent in these investments is a substantive resourcing investment to understand performance specific to the shared objectives and deliverables which must be resourced by either the partner or the donor. The responsibility and resourcing currently rest largely with DFAT.</w:t>
      </w:r>
    </w:p>
    <w:p w14:paraId="05FDFCF0" w14:textId="79484131" w:rsidR="00FF101E" w:rsidRPr="00345BDB" w:rsidRDefault="00FF101E" w:rsidP="00FF101E">
      <w:pPr>
        <w:pStyle w:val="Heading3NOTOC"/>
        <w:rPr>
          <w:rFonts w:ascii="Arial" w:eastAsia="Arial" w:hAnsi="Arial" w:cs="Arial"/>
          <w:b w:val="0"/>
          <w:iCs w:val="0"/>
          <w:color w:val="000000" w:themeColor="text1"/>
          <w:sz w:val="20"/>
          <w:szCs w:val="24"/>
        </w:rPr>
      </w:pPr>
      <w:r w:rsidRPr="00345BDB">
        <w:rPr>
          <w:rFonts w:ascii="Arial" w:eastAsia="Arial" w:hAnsi="Arial" w:cs="Arial"/>
          <w:b w:val="0"/>
          <w:iCs w:val="0"/>
          <w:color w:val="000000" w:themeColor="text1"/>
          <w:sz w:val="20"/>
          <w:szCs w:val="24"/>
        </w:rPr>
        <w:t xml:space="preserve">DFAT officers reported that they could “not deliver their current humanitarian caseload without the SPFs.” SPF partners cited the core funding in DFAT’s SPFs as crucial in allowing organisations to respond quickly. </w:t>
      </w:r>
      <w:r w:rsidR="0048076A" w:rsidRPr="00345BDB">
        <w:rPr>
          <w:rFonts w:ascii="Arial" w:eastAsia="Arial" w:hAnsi="Arial" w:cs="Arial"/>
          <w:b w:val="0"/>
          <w:iCs w:val="0"/>
          <w:color w:val="000000" w:themeColor="text1"/>
          <w:sz w:val="20"/>
          <w:szCs w:val="24"/>
        </w:rPr>
        <w:lastRenderedPageBreak/>
        <w:t>They</w:t>
      </w:r>
      <w:r w:rsidRPr="00345BDB">
        <w:rPr>
          <w:rFonts w:ascii="Arial" w:eastAsia="Arial" w:hAnsi="Arial" w:cs="Arial"/>
          <w:b w:val="0"/>
          <w:iCs w:val="0"/>
          <w:color w:val="000000" w:themeColor="text1"/>
          <w:sz w:val="20"/>
          <w:szCs w:val="24"/>
        </w:rPr>
        <w:t xml:space="preserve"> described using core funding to launch crisis response in various contexts, including one partner who was able to respond within 24 hours of the 2025 Myanmar earthquake due to global core funding.</w:t>
      </w:r>
      <w:r w:rsidRPr="00345BDB">
        <w:rPr>
          <w:rFonts w:ascii="Arial" w:eastAsia="Arial" w:hAnsi="Arial" w:cs="Arial"/>
          <w:b w:val="0"/>
          <w:iCs w:val="0"/>
          <w:color w:val="000000" w:themeColor="text1"/>
          <w:sz w:val="20"/>
          <w:szCs w:val="24"/>
          <w:vertAlign w:val="superscript"/>
        </w:rPr>
        <w:footnoteReference w:id="4"/>
      </w:r>
      <w:r w:rsidRPr="00345BDB">
        <w:rPr>
          <w:rFonts w:ascii="Arial" w:eastAsia="Arial" w:hAnsi="Arial" w:cs="Arial"/>
          <w:b w:val="0"/>
          <w:iCs w:val="0"/>
          <w:color w:val="000000" w:themeColor="text1"/>
          <w:sz w:val="20"/>
          <w:szCs w:val="24"/>
          <w:vertAlign w:val="superscript"/>
        </w:rPr>
        <w:t xml:space="preserve"> </w:t>
      </w:r>
    </w:p>
    <w:p w14:paraId="7BDD2C2C" w14:textId="2F167C7D" w:rsidR="00FF101E" w:rsidRPr="00345BDB" w:rsidRDefault="00FF101E" w:rsidP="00FF101E">
      <w:pPr>
        <w:pStyle w:val="Heading3NOTOC"/>
        <w:rPr>
          <w:rFonts w:ascii="Arial" w:eastAsia="Arial" w:hAnsi="Arial" w:cs="Arial"/>
          <w:b w:val="0"/>
          <w:iCs w:val="0"/>
          <w:color w:val="000000" w:themeColor="text1"/>
          <w:sz w:val="20"/>
          <w:szCs w:val="24"/>
        </w:rPr>
      </w:pPr>
      <w:r w:rsidRPr="00345BDB">
        <w:rPr>
          <w:rFonts w:ascii="Arial" w:eastAsia="Arial" w:hAnsi="Arial" w:cs="Arial"/>
          <w:b w:val="0"/>
          <w:iCs w:val="0"/>
          <w:color w:val="000000" w:themeColor="text1"/>
          <w:sz w:val="20"/>
          <w:szCs w:val="24"/>
        </w:rPr>
        <w:t xml:space="preserve">The SPF and template EOL approach to risk management clauses has been effective in supporting standardisation of risk management across DFAT, supporting alignment with DFAT standards and policies. Partners generally reported no change in their management of risk, transparency, and safeguarding, and incident reporting </w:t>
      </w:r>
      <w:proofErr w:type="gramStart"/>
      <w:r w:rsidRPr="00345BDB">
        <w:rPr>
          <w:rFonts w:ascii="Arial" w:eastAsia="Arial" w:hAnsi="Arial" w:cs="Arial"/>
          <w:b w:val="0"/>
          <w:iCs w:val="0"/>
          <w:color w:val="000000" w:themeColor="text1"/>
          <w:sz w:val="20"/>
          <w:szCs w:val="24"/>
        </w:rPr>
        <w:t>as a result of</w:t>
      </w:r>
      <w:proofErr w:type="gramEnd"/>
      <w:r w:rsidRPr="00345BDB">
        <w:rPr>
          <w:rFonts w:ascii="Arial" w:eastAsia="Arial" w:hAnsi="Arial" w:cs="Arial"/>
          <w:b w:val="0"/>
          <w:iCs w:val="0"/>
          <w:color w:val="000000" w:themeColor="text1"/>
          <w:sz w:val="20"/>
          <w:szCs w:val="24"/>
        </w:rPr>
        <w:t xml:space="preserve"> their SPF, although there are some examples of change.</w:t>
      </w:r>
    </w:p>
    <w:p w14:paraId="6EF47B88" w14:textId="720A2EAB" w:rsidR="00FF101E" w:rsidRDefault="00FF101E" w:rsidP="00FF101E">
      <w:pPr>
        <w:pStyle w:val="Heading3NOTOC"/>
        <w:rPr>
          <w:rFonts w:ascii="Arial" w:eastAsia="Arial" w:hAnsi="Arial" w:cs="Arial"/>
          <w:b w:val="0"/>
          <w:iCs w:val="0"/>
          <w:color w:val="000000" w:themeColor="text1"/>
          <w:sz w:val="20"/>
          <w:szCs w:val="24"/>
        </w:rPr>
      </w:pPr>
      <w:r w:rsidRPr="00345BDB">
        <w:rPr>
          <w:rFonts w:ascii="Arial" w:eastAsia="Arial" w:hAnsi="Arial" w:cs="Arial"/>
          <w:b w:val="0"/>
          <w:iCs w:val="0"/>
          <w:color w:val="000000" w:themeColor="text1"/>
          <w:sz w:val="20"/>
          <w:szCs w:val="24"/>
        </w:rPr>
        <w:t>The SPF modality has, to some extent, supported efficient</w:t>
      </w:r>
      <w:r w:rsidRPr="007E6E07">
        <w:rPr>
          <w:rFonts w:ascii="Arial" w:eastAsia="Arial" w:hAnsi="Arial" w:cs="Arial"/>
          <w:b w:val="0"/>
          <w:iCs w:val="0"/>
          <w:color w:val="000000" w:themeColor="text1"/>
          <w:sz w:val="20"/>
          <w:szCs w:val="24"/>
        </w:rPr>
        <w:t xml:space="preserve">, consistent, and high-quality monitoring, evaluation and reporting for the purpose of understanding performance over the life of the arrangement. Some EOLs have supported high-quality monitoring, evaluation and reporting to a far higher extent. </w:t>
      </w:r>
    </w:p>
    <w:p w14:paraId="343411CF" w14:textId="18598594" w:rsidR="00FF101E" w:rsidRPr="003E7553" w:rsidRDefault="00FF101E" w:rsidP="00FF101E">
      <w:pPr>
        <w:pStyle w:val="Heading3NOTOC"/>
        <w:rPr>
          <w:rFonts w:ascii="Arial" w:eastAsia="Arial" w:hAnsi="Arial" w:cs="Arial"/>
          <w:b w:val="0"/>
          <w:iCs w:val="0"/>
          <w:color w:val="000000" w:themeColor="text1"/>
          <w:sz w:val="20"/>
          <w:szCs w:val="24"/>
        </w:rPr>
      </w:pPr>
      <w:r w:rsidRPr="003E7553">
        <w:rPr>
          <w:rFonts w:ascii="Arial" w:eastAsia="Arial" w:hAnsi="Arial" w:cs="Arial"/>
          <w:b w:val="0"/>
          <w:iCs w:val="0"/>
          <w:color w:val="000000" w:themeColor="text1"/>
          <w:sz w:val="20"/>
          <w:szCs w:val="24"/>
        </w:rPr>
        <w:t xml:space="preserve">As partners were not required to report against the shared partnership objectives and deliverables, they did not directly do so. DFAT commissioned an external provider to track progress in performance against the shared partnership objectives and deliverables through a Performance Arrangement and annual reports. </w:t>
      </w:r>
      <w:r w:rsidR="006B391E">
        <w:rPr>
          <w:rFonts w:ascii="Arial" w:eastAsia="Arial" w:hAnsi="Arial" w:cs="Arial"/>
          <w:b w:val="0"/>
          <w:iCs w:val="0"/>
          <w:color w:val="000000" w:themeColor="text1"/>
          <w:sz w:val="20"/>
          <w:szCs w:val="24"/>
        </w:rPr>
        <w:t xml:space="preserve">The </w:t>
      </w:r>
      <w:r w:rsidR="00490E4A">
        <w:rPr>
          <w:rFonts w:ascii="Arial" w:eastAsia="Arial" w:hAnsi="Arial" w:cs="Arial"/>
          <w:b w:val="0"/>
          <w:iCs w:val="0"/>
          <w:color w:val="000000" w:themeColor="text1"/>
          <w:sz w:val="20"/>
          <w:szCs w:val="24"/>
        </w:rPr>
        <w:t xml:space="preserve">external </w:t>
      </w:r>
      <w:r w:rsidR="006B391E">
        <w:rPr>
          <w:rFonts w:ascii="Arial" w:eastAsia="Arial" w:hAnsi="Arial" w:cs="Arial"/>
          <w:b w:val="0"/>
          <w:iCs w:val="0"/>
          <w:color w:val="000000" w:themeColor="text1"/>
          <w:sz w:val="20"/>
          <w:szCs w:val="24"/>
        </w:rPr>
        <w:t>provider reviewed</w:t>
      </w:r>
      <w:r w:rsidRPr="003E7553">
        <w:rPr>
          <w:rFonts w:ascii="Arial" w:eastAsia="Arial" w:hAnsi="Arial" w:cs="Arial"/>
          <w:b w:val="0"/>
          <w:iCs w:val="0"/>
          <w:color w:val="000000" w:themeColor="text1"/>
          <w:sz w:val="20"/>
          <w:szCs w:val="24"/>
        </w:rPr>
        <w:t xml:space="preserve"> </w:t>
      </w:r>
      <w:r w:rsidR="00D607E9">
        <w:rPr>
          <w:rFonts w:ascii="Arial" w:eastAsia="Arial" w:hAnsi="Arial" w:cs="Arial"/>
          <w:b w:val="0"/>
          <w:iCs w:val="0"/>
          <w:color w:val="000000" w:themeColor="text1"/>
          <w:sz w:val="20"/>
          <w:szCs w:val="24"/>
        </w:rPr>
        <w:t xml:space="preserve">public partner reports, </w:t>
      </w:r>
      <w:r w:rsidR="006B391E">
        <w:rPr>
          <w:rFonts w:ascii="Arial" w:eastAsia="Arial" w:hAnsi="Arial" w:cs="Arial"/>
          <w:b w:val="0"/>
          <w:iCs w:val="0"/>
          <w:color w:val="000000" w:themeColor="text1"/>
          <w:sz w:val="20"/>
          <w:szCs w:val="24"/>
        </w:rPr>
        <w:t>MOPAN assessments</w:t>
      </w:r>
      <w:r w:rsidR="0066767F">
        <w:rPr>
          <w:rFonts w:ascii="Arial" w:eastAsia="Arial" w:hAnsi="Arial" w:cs="Arial"/>
          <w:b w:val="0"/>
          <w:iCs w:val="0"/>
          <w:color w:val="000000" w:themeColor="text1"/>
          <w:sz w:val="20"/>
          <w:szCs w:val="24"/>
        </w:rPr>
        <w:t>, and any additional data provided by partners on request,</w:t>
      </w:r>
      <w:r w:rsidR="00490E4A">
        <w:rPr>
          <w:rFonts w:ascii="Arial" w:eastAsia="Arial" w:hAnsi="Arial" w:cs="Arial"/>
          <w:b w:val="0"/>
          <w:iCs w:val="0"/>
          <w:color w:val="000000" w:themeColor="text1"/>
          <w:sz w:val="20"/>
          <w:szCs w:val="24"/>
        </w:rPr>
        <w:t xml:space="preserve"> </w:t>
      </w:r>
      <w:r w:rsidR="00D607E9">
        <w:rPr>
          <w:rFonts w:ascii="Arial" w:eastAsia="Arial" w:hAnsi="Arial" w:cs="Arial"/>
          <w:b w:val="0"/>
          <w:iCs w:val="0"/>
          <w:color w:val="000000" w:themeColor="text1"/>
          <w:sz w:val="20"/>
          <w:szCs w:val="24"/>
        </w:rPr>
        <w:t>to produce</w:t>
      </w:r>
      <w:r w:rsidR="00490E4A">
        <w:rPr>
          <w:rFonts w:ascii="Arial" w:eastAsia="Arial" w:hAnsi="Arial" w:cs="Arial"/>
          <w:b w:val="0"/>
          <w:iCs w:val="0"/>
          <w:color w:val="000000" w:themeColor="text1"/>
          <w:sz w:val="20"/>
          <w:szCs w:val="24"/>
        </w:rPr>
        <w:t xml:space="preserve"> the Performance Arrangement reports</w:t>
      </w:r>
      <w:r w:rsidR="006B391E">
        <w:rPr>
          <w:rFonts w:ascii="Arial" w:eastAsia="Arial" w:hAnsi="Arial" w:cs="Arial"/>
          <w:b w:val="0"/>
          <w:iCs w:val="0"/>
          <w:color w:val="000000" w:themeColor="text1"/>
          <w:sz w:val="20"/>
          <w:szCs w:val="24"/>
        </w:rPr>
        <w:t>.</w:t>
      </w:r>
      <w:r w:rsidRPr="003E7553">
        <w:rPr>
          <w:b w:val="0"/>
          <w:iCs w:val="0"/>
          <w:color w:val="000000" w:themeColor="text1"/>
          <w:sz w:val="20"/>
          <w:szCs w:val="24"/>
          <w:vertAlign w:val="superscript"/>
        </w:rPr>
        <w:t xml:space="preserve"> </w:t>
      </w:r>
    </w:p>
    <w:p w14:paraId="4C9C0059" w14:textId="575C343C" w:rsidR="00FF101E" w:rsidRDefault="00FF101E" w:rsidP="00FF101E">
      <w:pPr>
        <w:spacing w:before="240"/>
        <w:rPr>
          <w:rFonts w:ascii="Arial" w:eastAsia="Aptos" w:hAnsi="Arial" w:cs="Arial"/>
          <w:color w:val="auto"/>
          <w:kern w:val="2"/>
          <w:szCs w:val="20"/>
          <w:lang w:val="en-GB" w:eastAsia="en-US"/>
          <w14:ligatures w14:val="standardContextual"/>
        </w:rPr>
      </w:pPr>
      <w:r>
        <w:rPr>
          <w:rFonts w:ascii="Arial" w:eastAsia="Aptos" w:hAnsi="Arial" w:cs="Arial"/>
          <w:color w:val="auto"/>
          <w:kern w:val="2"/>
          <w:szCs w:val="20"/>
          <w:lang w:val="en-GB" w:eastAsia="en-US"/>
          <w14:ligatures w14:val="standardContextual"/>
        </w:rPr>
        <w:t xml:space="preserve">The </w:t>
      </w:r>
      <w:r w:rsidR="00490E4A">
        <w:rPr>
          <w:rFonts w:ascii="Arial" w:eastAsia="Aptos" w:hAnsi="Arial" w:cs="Arial"/>
          <w:color w:val="auto"/>
          <w:kern w:val="2"/>
          <w:szCs w:val="20"/>
          <w:lang w:val="en-GB" w:eastAsia="en-US"/>
          <w14:ligatures w14:val="standardContextual"/>
        </w:rPr>
        <w:t>P</w:t>
      </w:r>
      <w:r>
        <w:rPr>
          <w:rFonts w:ascii="Arial" w:eastAsia="Aptos" w:hAnsi="Arial" w:cs="Arial"/>
          <w:color w:val="auto"/>
          <w:kern w:val="2"/>
          <w:szCs w:val="20"/>
          <w:lang w:val="en-GB" w:eastAsia="en-US"/>
          <w14:ligatures w14:val="standardContextual"/>
        </w:rPr>
        <w:t xml:space="preserve">erformance </w:t>
      </w:r>
      <w:r w:rsidR="00490E4A">
        <w:rPr>
          <w:rFonts w:ascii="Arial" w:eastAsia="Aptos" w:hAnsi="Arial" w:cs="Arial"/>
          <w:color w:val="auto"/>
          <w:kern w:val="2"/>
          <w:szCs w:val="20"/>
          <w:lang w:val="en-GB" w:eastAsia="en-US"/>
          <w14:ligatures w14:val="standardContextual"/>
        </w:rPr>
        <w:t>A</w:t>
      </w:r>
      <w:r>
        <w:rPr>
          <w:rFonts w:ascii="Arial" w:eastAsia="Aptos" w:hAnsi="Arial" w:cs="Arial"/>
          <w:color w:val="auto"/>
          <w:kern w:val="2"/>
          <w:szCs w:val="20"/>
          <w:lang w:val="en-GB" w:eastAsia="en-US"/>
          <w14:ligatures w14:val="standardContextual"/>
        </w:rPr>
        <w:t>rrangement</w:t>
      </w:r>
      <w:r w:rsidR="00490E4A">
        <w:rPr>
          <w:rFonts w:ascii="Arial" w:eastAsia="Aptos" w:hAnsi="Arial" w:cs="Arial"/>
          <w:color w:val="auto"/>
          <w:kern w:val="2"/>
          <w:szCs w:val="20"/>
          <w:lang w:val="en-GB" w:eastAsia="en-US"/>
          <w14:ligatures w14:val="standardContextual"/>
        </w:rPr>
        <w:t xml:space="preserve"> reports</w:t>
      </w:r>
      <w:r>
        <w:rPr>
          <w:rFonts w:ascii="Arial" w:eastAsia="Aptos" w:hAnsi="Arial" w:cs="Arial"/>
          <w:color w:val="auto"/>
          <w:kern w:val="2"/>
          <w:szCs w:val="20"/>
          <w:lang w:val="en-GB" w:eastAsia="en-US"/>
          <w14:ligatures w14:val="standardContextual"/>
        </w:rPr>
        <w:t xml:space="preserve"> do not rate performance </w:t>
      </w:r>
      <w:r w:rsidRPr="004640DC">
        <w:rPr>
          <w:rFonts w:ascii="Arial" w:eastAsia="Aptos" w:hAnsi="Arial" w:cs="Arial"/>
          <w:color w:val="auto"/>
          <w:kern w:val="2"/>
          <w:szCs w:val="20"/>
          <w:lang w:val="en-GB" w:eastAsia="en-US"/>
          <w14:ligatures w14:val="standardContextual"/>
        </w:rPr>
        <w:t xml:space="preserve">(as DFAT’s </w:t>
      </w:r>
      <w:r>
        <w:rPr>
          <w:rFonts w:ascii="Arial" w:eastAsia="Aptos" w:hAnsi="Arial" w:cs="Arial"/>
          <w:color w:val="auto"/>
          <w:kern w:val="2"/>
          <w:szCs w:val="20"/>
          <w:lang w:val="en-GB" w:eastAsia="en-US"/>
          <w14:ligatures w14:val="standardContextual"/>
        </w:rPr>
        <w:t xml:space="preserve">HIMR and </w:t>
      </w:r>
      <w:r w:rsidR="00FD30FC">
        <w:rPr>
          <w:rFonts w:ascii="Arial" w:eastAsia="Aptos" w:hAnsi="Arial" w:cs="Arial"/>
          <w:color w:val="auto"/>
          <w:kern w:val="2"/>
          <w:szCs w:val="20"/>
          <w:lang w:val="en-GB" w:eastAsia="en-US"/>
          <w14:ligatures w14:val="standardContextual"/>
        </w:rPr>
        <w:t>Multilateral</w:t>
      </w:r>
      <w:r w:rsidR="00E16F80">
        <w:rPr>
          <w:rFonts w:ascii="Arial" w:eastAsia="Aptos" w:hAnsi="Arial" w:cs="Arial"/>
          <w:color w:val="auto"/>
          <w:kern w:val="2"/>
          <w:szCs w:val="20"/>
          <w:lang w:val="en-GB" w:eastAsia="en-US"/>
          <w14:ligatures w14:val="standardContextual"/>
        </w:rPr>
        <w:t xml:space="preserve"> P</w:t>
      </w:r>
      <w:r w:rsidR="00FD30FC">
        <w:rPr>
          <w:rFonts w:ascii="Arial" w:eastAsia="Aptos" w:hAnsi="Arial" w:cs="Arial"/>
          <w:color w:val="auto"/>
          <w:kern w:val="2"/>
          <w:szCs w:val="20"/>
          <w:lang w:val="en-GB" w:eastAsia="en-US"/>
          <w14:ligatures w14:val="standardContextual"/>
        </w:rPr>
        <w:t xml:space="preserve">erformance Assessment [MPA] </w:t>
      </w:r>
      <w:r w:rsidRPr="004640DC">
        <w:rPr>
          <w:rFonts w:ascii="Arial" w:eastAsia="Aptos" w:hAnsi="Arial" w:cs="Arial"/>
          <w:color w:val="auto"/>
          <w:kern w:val="2"/>
          <w:szCs w:val="20"/>
          <w:lang w:val="en-GB" w:eastAsia="en-US"/>
          <w14:ligatures w14:val="standardContextual"/>
        </w:rPr>
        <w:t>processes do), which make</w:t>
      </w:r>
      <w:r w:rsidR="004F3526">
        <w:rPr>
          <w:rFonts w:ascii="Arial" w:eastAsia="Aptos" w:hAnsi="Arial" w:cs="Arial"/>
          <w:color w:val="auto"/>
          <w:kern w:val="2"/>
          <w:szCs w:val="20"/>
          <w:lang w:val="en-GB" w:eastAsia="en-US"/>
          <w14:ligatures w14:val="standardContextual"/>
        </w:rPr>
        <w:t>s</w:t>
      </w:r>
      <w:r w:rsidRPr="004640DC">
        <w:rPr>
          <w:rFonts w:ascii="Arial" w:eastAsia="Aptos" w:hAnsi="Arial" w:cs="Arial"/>
          <w:color w:val="auto"/>
          <w:kern w:val="2"/>
          <w:szCs w:val="20"/>
          <w:lang w:val="en-GB" w:eastAsia="en-US"/>
          <w14:ligatures w14:val="standardContextual"/>
        </w:rPr>
        <w:t xml:space="preserve"> it difficult to compare data across years or partners</w:t>
      </w:r>
      <w:r>
        <w:rPr>
          <w:rFonts w:ascii="Arial" w:eastAsia="Aptos" w:hAnsi="Arial" w:cs="Arial"/>
          <w:color w:val="auto"/>
          <w:kern w:val="2"/>
          <w:szCs w:val="20"/>
          <w:lang w:val="en-GB" w:eastAsia="en-US"/>
          <w14:ligatures w14:val="standardContextual"/>
        </w:rPr>
        <w:t xml:space="preserve">, and understand whether activities have resulted in progress and improvements in performance. This gap in understanding performance may be addressed with </w:t>
      </w:r>
      <w:r w:rsidR="004F3526">
        <w:rPr>
          <w:rFonts w:ascii="Arial" w:eastAsia="Aptos" w:hAnsi="Arial" w:cs="Arial"/>
          <w:color w:val="auto"/>
          <w:kern w:val="2"/>
          <w:szCs w:val="20"/>
          <w:lang w:val="en-GB" w:eastAsia="en-US"/>
          <w14:ligatures w14:val="standardContextual"/>
        </w:rPr>
        <w:t xml:space="preserve">the Multilateral Performance Assessment (MPA) process </w:t>
      </w:r>
      <w:r>
        <w:rPr>
          <w:rFonts w:ascii="Arial" w:eastAsia="Aptos" w:hAnsi="Arial" w:cs="Arial"/>
          <w:color w:val="auto"/>
          <w:kern w:val="2"/>
          <w:szCs w:val="20"/>
          <w:lang w:val="en-GB" w:eastAsia="en-US"/>
          <w14:ligatures w14:val="standardContextual"/>
        </w:rPr>
        <w:t xml:space="preserve">which </w:t>
      </w:r>
      <w:r w:rsidR="004F3526">
        <w:rPr>
          <w:rFonts w:ascii="Arial" w:eastAsia="Aptos" w:hAnsi="Arial" w:cs="Arial"/>
          <w:color w:val="auto"/>
          <w:kern w:val="2"/>
          <w:szCs w:val="20"/>
          <w:lang w:val="en-GB" w:eastAsia="en-US"/>
          <w14:ligatures w14:val="standardContextual"/>
        </w:rPr>
        <w:t>is</w:t>
      </w:r>
      <w:r>
        <w:rPr>
          <w:rFonts w:ascii="Arial" w:eastAsia="Aptos" w:hAnsi="Arial" w:cs="Arial"/>
          <w:color w:val="auto"/>
          <w:kern w:val="2"/>
          <w:szCs w:val="20"/>
          <w:lang w:val="en-GB" w:eastAsia="en-US"/>
          <w14:ligatures w14:val="standardContextual"/>
        </w:rPr>
        <w:t xml:space="preserve"> due to be reintroduced.</w:t>
      </w:r>
    </w:p>
    <w:p w14:paraId="2BCADBC9" w14:textId="679310F2" w:rsidR="00FF101E" w:rsidRDefault="00FF101E" w:rsidP="00FF101E">
      <w:pPr>
        <w:pStyle w:val="Heading3NOTOC"/>
        <w:rPr>
          <w:rFonts w:ascii="Arial" w:eastAsia="Arial" w:hAnsi="Arial" w:cs="Arial"/>
          <w:b w:val="0"/>
          <w:iCs w:val="0"/>
          <w:color w:val="000000" w:themeColor="text1"/>
          <w:sz w:val="20"/>
          <w:szCs w:val="24"/>
        </w:rPr>
      </w:pPr>
      <w:r>
        <w:rPr>
          <w:rFonts w:ascii="Arial" w:eastAsia="Arial" w:hAnsi="Arial" w:cs="Arial"/>
          <w:b w:val="0"/>
          <w:iCs w:val="0"/>
          <w:color w:val="000000" w:themeColor="text1"/>
          <w:sz w:val="20"/>
          <w:szCs w:val="24"/>
        </w:rPr>
        <w:t>DFAT has had some success in negotiating EOLs which share the reporting responsibilities for country level investments with partners, with the added benefit that reporting may be received in time to inform DFAT’s quality assurance processes. One Post reported it was particularly useful where partners completed DFAT’s Protracted Crisis Monitoring and Evaluation Framework</w:t>
      </w:r>
      <w:r>
        <w:rPr>
          <w:rStyle w:val="CommentReference"/>
          <w:rFonts w:ascii="Arial" w:eastAsia="Arial" w:hAnsi="Arial" w:cs="Arial"/>
          <w:b w:val="0"/>
          <w:iCs w:val="0"/>
          <w:color w:val="000000" w:themeColor="text1"/>
          <w:sz w:val="20"/>
          <w:szCs w:val="24"/>
        </w:rPr>
        <w:t>.</w:t>
      </w:r>
    </w:p>
    <w:p w14:paraId="205E682B" w14:textId="77777777" w:rsidR="00FF101E" w:rsidRPr="00750C0F" w:rsidRDefault="00FF101E" w:rsidP="00FF101E">
      <w:pPr>
        <w:pStyle w:val="Heading3"/>
        <w:rPr>
          <w:rStyle w:val="normaltextrun"/>
          <w:rFonts w:cstheme="majorHAnsi"/>
          <w:color w:val="auto"/>
          <w:shd w:val="clear" w:color="auto" w:fill="FFFFFF"/>
        </w:rPr>
      </w:pPr>
      <w:r w:rsidRPr="00750C0F">
        <w:rPr>
          <w:rStyle w:val="normaltextrun"/>
          <w:rFonts w:cstheme="majorHAnsi"/>
          <w:color w:val="auto"/>
          <w:shd w:val="clear" w:color="auto" w:fill="FFFFFF"/>
        </w:rPr>
        <w:t>Alternative modalities</w:t>
      </w:r>
    </w:p>
    <w:p w14:paraId="60CEEB4C" w14:textId="77777777" w:rsidR="00FF101E" w:rsidRDefault="00FF101E" w:rsidP="00FF101E">
      <w:r w:rsidRPr="00F93FE7">
        <w:rPr>
          <w:rFonts w:ascii="Arial" w:eastAsia="Arial" w:hAnsi="Arial" w:cs="Arial"/>
          <w:bCs/>
          <w:iCs/>
        </w:rPr>
        <w:t xml:space="preserve">Consultations with other donors found that </w:t>
      </w:r>
      <w:r>
        <w:rPr>
          <w:bCs/>
        </w:rPr>
        <w:t>t</w:t>
      </w:r>
      <w:r w:rsidRPr="00B34951">
        <w:rPr>
          <w:bCs/>
        </w:rPr>
        <w:t>here is no perfect approach to multilateral partnership modalities.</w:t>
      </w:r>
      <w:r>
        <w:rPr>
          <w:bCs/>
        </w:rPr>
        <w:t xml:space="preserve"> Donors consulted applied similar approaches to multilateral funding as </w:t>
      </w:r>
      <w:proofErr w:type="gramStart"/>
      <w:r>
        <w:rPr>
          <w:bCs/>
        </w:rPr>
        <w:t>DFAT, and</w:t>
      </w:r>
      <w:proofErr w:type="gramEnd"/>
      <w:r>
        <w:rPr>
          <w:bCs/>
        </w:rPr>
        <w:t xml:space="preserve"> calibrated their</w:t>
      </w:r>
      <w:r w:rsidRPr="00B34951">
        <w:rPr>
          <w:bCs/>
        </w:rPr>
        <w:t xml:space="preserve"> partnership modalities to their level of resourcing, </w:t>
      </w:r>
      <w:r>
        <w:t xml:space="preserve">strategic priorities, and risk appetite. Donor partners also noted that the humanitarian system was under extreme pressure and is being asked to do more with less. </w:t>
      </w:r>
    </w:p>
    <w:p w14:paraId="7D25ACDB" w14:textId="77777777" w:rsidR="00FF101E" w:rsidRPr="00345BDB" w:rsidRDefault="00FF101E" w:rsidP="00FF101E">
      <w:pPr>
        <w:rPr>
          <w:b/>
          <w:bCs/>
        </w:rPr>
      </w:pPr>
      <w:r w:rsidRPr="00F93FE7">
        <w:t xml:space="preserve">The review of </w:t>
      </w:r>
      <w:r w:rsidRPr="00345BDB">
        <w:t>alternative modalities found the potential for</w:t>
      </w:r>
      <w:r w:rsidRPr="00345BDB">
        <w:rPr>
          <w:b/>
          <w:bCs/>
        </w:rPr>
        <w:t xml:space="preserve"> </w:t>
      </w:r>
      <w:r w:rsidRPr="00345BDB">
        <w:t>DFAT to improve the efficiency of its partnership modality by frontloading key clauses in the main SPF and introducing a lighter-touch EOL or draw down mechanism for earmarked funding. However, DFAT would need to ensure sufficient time and resources to manage lengthy up-front negotiations,</w:t>
      </w:r>
      <w:r w:rsidRPr="00345BDB">
        <w:rPr>
          <w:rStyle w:val="FootnoteReference"/>
        </w:rPr>
        <w:t xml:space="preserve"> </w:t>
      </w:r>
      <w:r w:rsidRPr="00345BDB">
        <w:t>and weigh up the potential efficiency gains against reduced flexibility to tailor EOLs to country priorities.</w:t>
      </w:r>
    </w:p>
    <w:p w14:paraId="29653D21" w14:textId="5173A5FB" w:rsidR="00FF101E" w:rsidRDefault="00FF101E" w:rsidP="00FF101E">
      <w:r w:rsidRPr="00345BDB">
        <w:t>Consultations with donors found that SPFs</w:t>
      </w:r>
      <w:r>
        <w:t xml:space="preserve"> are only one part of the picture on effective multilateral engagement. Clear and consistent policy engagement, particularly when it is progressed with other donors, is likely to be the key factor in influencing multilateral performance. Donors noted the importance of more coordinated work on expectations and the need to continue to advocate strongly for partner’s humanitarian mandates at a time when these are under significant pressure. </w:t>
      </w:r>
    </w:p>
    <w:p w14:paraId="2912844B" w14:textId="47E7F8B1" w:rsidR="00750C0F" w:rsidRDefault="00750C0F" w:rsidP="00750C0F">
      <w:pPr>
        <w:pStyle w:val="Heading3"/>
        <w:rPr>
          <w:rStyle w:val="normaltextrun"/>
          <w:rFonts w:cstheme="majorHAnsi"/>
          <w:color w:val="auto"/>
          <w:shd w:val="clear" w:color="auto" w:fill="FFFFFF"/>
        </w:rPr>
      </w:pPr>
      <w:r w:rsidRPr="00750C0F">
        <w:rPr>
          <w:rStyle w:val="normaltextrun"/>
          <w:rFonts w:cstheme="majorHAnsi"/>
          <w:color w:val="auto"/>
          <w:shd w:val="clear" w:color="auto" w:fill="FFFFFF"/>
        </w:rPr>
        <w:lastRenderedPageBreak/>
        <w:t>Findings and recommendations</w:t>
      </w:r>
    </w:p>
    <w:p w14:paraId="1FDFF46A" w14:textId="77777777" w:rsidR="00DA6B60" w:rsidRDefault="00DA6B60" w:rsidP="00DA6B60">
      <w:r w:rsidRPr="00E33A09">
        <w:rPr>
          <w:b/>
          <w:bCs/>
        </w:rPr>
        <w:t>Finding 1:</w:t>
      </w:r>
      <w:r>
        <w:t xml:space="preserve"> SPFs as a modality are relevant and efficient, and effective at managing risk. They are critical tools supporting Australia’s humanitarian objectives, enabling DFAT to provide high volumes of humanitarian assistance in short timeframes within existing staffing capacity. There may be opportunity to explore modalities for more efficient funding transfers, with potential trade-offs including less opportunity to contextualise funding and the need to commit more funding upfront (or less core funding).</w:t>
      </w:r>
    </w:p>
    <w:p w14:paraId="6DB05B8D" w14:textId="4ECEEB4D" w:rsidR="00DA6B60" w:rsidRPr="00345BDB" w:rsidRDefault="00DA6B60" w:rsidP="00DA6B60">
      <w:r w:rsidRPr="00E33A09">
        <w:rPr>
          <w:b/>
          <w:bCs/>
        </w:rPr>
        <w:t xml:space="preserve">Recommendation </w:t>
      </w:r>
      <w:r>
        <w:rPr>
          <w:b/>
          <w:bCs/>
        </w:rPr>
        <w:t>1</w:t>
      </w:r>
      <w:r w:rsidRPr="00E33A09">
        <w:rPr>
          <w:b/>
          <w:bCs/>
        </w:rPr>
        <w:t xml:space="preserve">: </w:t>
      </w:r>
      <w:r>
        <w:t xml:space="preserve">DFAT </w:t>
      </w:r>
      <w:r w:rsidRPr="00345BDB">
        <w:t xml:space="preserve">HPD retain SPFs or a similar modality to SPFs to engage humanitarian partners to deliver Australia’s humanitarian objectives. Before </w:t>
      </w:r>
      <w:proofErr w:type="gramStart"/>
      <w:r w:rsidRPr="00345BDB">
        <w:t>entering into</w:t>
      </w:r>
      <w:proofErr w:type="gramEnd"/>
      <w:r w:rsidRPr="00345BDB">
        <w:t xml:space="preserve"> new arrangements, it is recommended that DFAT HUS review alternative modalities </w:t>
      </w:r>
      <w:r w:rsidR="00186C57">
        <w:t xml:space="preserve">and </w:t>
      </w:r>
      <w:r w:rsidRPr="00345BDB">
        <w:t>provide an options paper to the appropriate DFAT senior management for decision, outlining funding, risk and policy impacts of proposed changes.</w:t>
      </w:r>
    </w:p>
    <w:p w14:paraId="21B51048" w14:textId="01B14D32" w:rsidR="00DA6B60" w:rsidRDefault="00DA6B60" w:rsidP="00DA6B60">
      <w:r w:rsidRPr="00345BDB">
        <w:rPr>
          <w:b/>
          <w:bCs/>
        </w:rPr>
        <w:t>Finding 2:</w:t>
      </w:r>
      <w:r w:rsidRPr="00345BDB">
        <w:t xml:space="preserve"> Available data indicates SPFs are likely to be effective. Partners are engaging in activities to progress SPF shared partnership objectives and deliverables, and core funding enables partners to respond quickly to lifesaving needs. Clear and consistent policy engagement, particularly when progressed with other donors, is likely to be the key factor in influencing partner performance, rather than the SPFs alone. Considering SPFs together with all DFAT’s levers to influence</w:t>
      </w:r>
      <w:r>
        <w:t xml:space="preserve"> performance is likely to improve effectiveness. Some of these levers represent policy-</w:t>
      </w:r>
      <w:proofErr w:type="gramStart"/>
      <w:r>
        <w:t>trade-offs</w:t>
      </w:r>
      <w:proofErr w:type="gramEnd"/>
      <w:r>
        <w:t xml:space="preserve"> that are currently unsettled </w:t>
      </w:r>
      <w:r w:rsidR="00DA1BF1">
        <w:t xml:space="preserve">and </w:t>
      </w:r>
      <w:r w:rsidR="007B4981">
        <w:t>being considered</w:t>
      </w:r>
      <w:r w:rsidR="00DA1BF1">
        <w:rPr>
          <w:rStyle w:val="FootnoteReference"/>
        </w:rPr>
        <w:footnoteReference w:id="5"/>
      </w:r>
      <w:r w:rsidR="007B4981">
        <w:t xml:space="preserve"> </w:t>
      </w:r>
      <w:r>
        <w:t>within DFAT, such as the extent to which DFAT would like to support each organisation’s own objectives or incentivise performance on DFAT</w:t>
      </w:r>
      <w:r w:rsidR="00110656">
        <w:t>’s</w:t>
      </w:r>
      <w:r>
        <w:t xml:space="preserve"> priorities. </w:t>
      </w:r>
    </w:p>
    <w:p w14:paraId="3A3E6EE7" w14:textId="77777777" w:rsidR="00DA6B60" w:rsidRDefault="00DA6B60" w:rsidP="00DA6B60">
      <w:pPr>
        <w:rPr>
          <w:szCs w:val="20"/>
          <w:lang w:val="en-GB"/>
        </w:rPr>
      </w:pPr>
      <w:r w:rsidRPr="00BC7863">
        <w:rPr>
          <w:b/>
          <w:bCs/>
        </w:rPr>
        <w:t>Recommendation 2:</w:t>
      </w:r>
      <w:r>
        <w:t xml:space="preserve"> </w:t>
      </w:r>
      <w:r w:rsidRPr="00482082">
        <w:rPr>
          <w:szCs w:val="20"/>
          <w:lang w:val="en-GB"/>
        </w:rPr>
        <w:t xml:space="preserve">DFAT </w:t>
      </w:r>
      <w:r>
        <w:rPr>
          <w:szCs w:val="20"/>
          <w:lang w:val="en-GB"/>
        </w:rPr>
        <w:t xml:space="preserve">HUS leads a </w:t>
      </w:r>
      <w:r w:rsidRPr="00482082">
        <w:rPr>
          <w:szCs w:val="20"/>
          <w:lang w:val="en-GB"/>
        </w:rPr>
        <w:t>planning process that considers all DFAT’s levers for engaging with humanitarian partners</w:t>
      </w:r>
      <w:r>
        <w:rPr>
          <w:szCs w:val="20"/>
          <w:lang w:val="en-GB"/>
        </w:rPr>
        <w:t>, s</w:t>
      </w:r>
      <w:r w:rsidRPr="00482082">
        <w:rPr>
          <w:szCs w:val="20"/>
          <w:lang w:val="en-GB"/>
        </w:rPr>
        <w:t>tructure</w:t>
      </w:r>
      <w:r>
        <w:rPr>
          <w:szCs w:val="20"/>
          <w:lang w:val="en-GB"/>
        </w:rPr>
        <w:t>s</w:t>
      </w:r>
      <w:r w:rsidRPr="00482082">
        <w:rPr>
          <w:szCs w:val="20"/>
          <w:lang w:val="en-GB"/>
        </w:rPr>
        <w:t xml:space="preserve"> future arrangements an</w:t>
      </w:r>
      <w:r>
        <w:rPr>
          <w:szCs w:val="20"/>
          <w:lang w:val="en-GB"/>
        </w:rPr>
        <w:t xml:space="preserve">d supports </w:t>
      </w:r>
      <w:r w:rsidRPr="00482082">
        <w:rPr>
          <w:szCs w:val="20"/>
          <w:lang w:val="en-GB"/>
        </w:rPr>
        <w:t>their implementation</w:t>
      </w:r>
      <w:r>
        <w:rPr>
          <w:szCs w:val="20"/>
          <w:lang w:val="en-GB"/>
        </w:rPr>
        <w:t xml:space="preserve"> to maximise effectiveness</w:t>
      </w:r>
      <w:r w:rsidRPr="00482082">
        <w:rPr>
          <w:szCs w:val="20"/>
          <w:lang w:val="en-GB"/>
        </w:rPr>
        <w:t>.</w:t>
      </w:r>
      <w:r>
        <w:rPr>
          <w:szCs w:val="20"/>
          <w:lang w:val="en-GB"/>
        </w:rPr>
        <w:t xml:space="preserve"> At a minimum, it is recommended this planning process:</w:t>
      </w:r>
    </w:p>
    <w:p w14:paraId="0831581B" w14:textId="493989BE" w:rsidR="00DA6B60" w:rsidRDefault="00DA6B60" w:rsidP="00DA6B60">
      <w:pPr>
        <w:pStyle w:val="ListParagraph"/>
        <w:numPr>
          <w:ilvl w:val="0"/>
          <w:numId w:val="68"/>
        </w:numPr>
      </w:pPr>
      <w:r>
        <w:t>Define</w:t>
      </w:r>
      <w:r w:rsidR="0051570E">
        <w:t xml:space="preserve"> </w:t>
      </w:r>
      <w:r w:rsidR="002536DC">
        <w:t>what</w:t>
      </w:r>
      <w:r w:rsidR="0051570E">
        <w:t xml:space="preserve"> </w:t>
      </w:r>
      <w:r>
        <w:t>DFAT would like to achieve through its partnership with these organisations</w:t>
      </w:r>
      <w:r w:rsidR="00457D00">
        <w:t>.</w:t>
      </w:r>
      <w:r w:rsidR="00561B38">
        <w:t xml:space="preserve"> </w:t>
      </w:r>
    </w:p>
    <w:p w14:paraId="680DC285" w14:textId="1C419B87" w:rsidR="00DA6B60" w:rsidRDefault="00DA6B60" w:rsidP="00DA6B60">
      <w:pPr>
        <w:pStyle w:val="ListParagraph"/>
        <w:numPr>
          <w:ilvl w:val="0"/>
          <w:numId w:val="68"/>
        </w:numPr>
      </w:pPr>
      <w:r>
        <w:t xml:space="preserve">Determines whether DFAT’s objectives are best achieved through an approach more aligned with Good Humanitarian Donorship, or whether DFAT would like to more actively manage the partnerships. </w:t>
      </w:r>
      <w:r w:rsidR="00263BEE" w:rsidRPr="00295441">
        <w:t>Review and set resourcing in line with the chosen approach.</w:t>
      </w:r>
      <w:r w:rsidR="00263BEE">
        <w:t xml:space="preserve"> </w:t>
      </w:r>
    </w:p>
    <w:p w14:paraId="72EC69CA" w14:textId="77777777" w:rsidR="00DA6B60" w:rsidRDefault="00DA6B60" w:rsidP="00DA6B60">
      <w:pPr>
        <w:pStyle w:val="ListParagraph"/>
        <w:numPr>
          <w:ilvl w:val="0"/>
          <w:numId w:val="68"/>
        </w:numPr>
      </w:pPr>
      <w:r>
        <w:t>Determine a small number of reforms or performance improvements that DFAT would like to focus on.</w:t>
      </w:r>
    </w:p>
    <w:p w14:paraId="72A365C9" w14:textId="62D313B3" w:rsidR="00DA6B60" w:rsidRPr="00295441" w:rsidRDefault="00DA6B60" w:rsidP="00DA6B60">
      <w:pPr>
        <w:pStyle w:val="ListParagraph"/>
        <w:numPr>
          <w:ilvl w:val="0"/>
          <w:numId w:val="68"/>
        </w:numPr>
      </w:pPr>
      <w:r w:rsidRPr="00295441">
        <w:t>Plan an approach that aligns with 2b across each of DFAT’s levers, including the balance of core and earmarked funding, the balance between flexibility and relevance of priorities versus focusing on priorities for change, DFAT and partner staff resourcing capacity, DFAT’s approach to Good Humanitarian Donorship and DFAT’s approach to risk management.</w:t>
      </w:r>
    </w:p>
    <w:p w14:paraId="0184D685" w14:textId="77777777" w:rsidR="00DA6B60" w:rsidRDefault="00DA6B60" w:rsidP="00DA6B60">
      <w:pPr>
        <w:pStyle w:val="ListParagraph"/>
        <w:numPr>
          <w:ilvl w:val="0"/>
          <w:numId w:val="68"/>
        </w:numPr>
      </w:pPr>
      <w:r>
        <w:t>Seek opportunities to coordinate with other donors to progress shared priorities together.</w:t>
      </w:r>
    </w:p>
    <w:p w14:paraId="60266197" w14:textId="53E36F31" w:rsidR="00DA6B60" w:rsidRDefault="00DA6B60" w:rsidP="00DA6B60">
      <w:pPr>
        <w:pStyle w:val="ListParagraph"/>
        <w:numPr>
          <w:ilvl w:val="0"/>
          <w:numId w:val="68"/>
        </w:numPr>
      </w:pPr>
      <w:r>
        <w:t xml:space="preserve">Translate this approach </w:t>
      </w:r>
      <w:r w:rsidR="00E27E36">
        <w:t>into</w:t>
      </w:r>
      <w:r>
        <w:t xml:space="preserve"> clauses for negotiation with partners.</w:t>
      </w:r>
    </w:p>
    <w:p w14:paraId="3B7ABD51" w14:textId="7265609E" w:rsidR="00DA6B60" w:rsidRPr="00345BDB" w:rsidRDefault="00433967" w:rsidP="00DA6B60">
      <w:pPr>
        <w:pStyle w:val="ListParagraph"/>
        <w:numPr>
          <w:ilvl w:val="0"/>
          <w:numId w:val="68"/>
        </w:numPr>
      </w:pPr>
      <w:r w:rsidRPr="00685961">
        <w:t xml:space="preserve">Translate this approach into </w:t>
      </w:r>
      <w:r w:rsidR="00DA6B60" w:rsidRPr="00685961">
        <w:t xml:space="preserve">partnership engagement plans </w:t>
      </w:r>
      <w:r w:rsidRPr="00685961">
        <w:t>and e</w:t>
      </w:r>
      <w:r w:rsidR="00DA6B60" w:rsidRPr="00685961">
        <w:t>levate</w:t>
      </w:r>
      <w:r w:rsidR="00DA6B60">
        <w:t xml:space="preserve"> visibility of </w:t>
      </w:r>
      <w:r>
        <w:t>these</w:t>
      </w:r>
      <w:r w:rsidR="00DA6B60">
        <w:t xml:space="preserve"> plans across DFAT to support a common understanding of </w:t>
      </w:r>
      <w:r w:rsidR="00DA6B60" w:rsidRPr="00345BDB">
        <w:t>priorities and approach to engagement.</w:t>
      </w:r>
    </w:p>
    <w:p w14:paraId="6EBD9B19" w14:textId="77777777" w:rsidR="00DA6B60" w:rsidRPr="00345BDB" w:rsidRDefault="00DA6B60" w:rsidP="00DA6B60">
      <w:r w:rsidRPr="00345BDB">
        <w:t>Should DFAT consider any alterations to existing SPFs, it is recommended that it do so with thorough consideration of the likely impact on people in need of lifesaving assistance, and for the partners themselves.</w:t>
      </w:r>
    </w:p>
    <w:p w14:paraId="7AF403A4" w14:textId="77777777" w:rsidR="00DA6B60" w:rsidRPr="00345BDB" w:rsidRDefault="00DA6B60" w:rsidP="00DA6B60">
      <w:r w:rsidRPr="00345BDB">
        <w:t xml:space="preserve">Should this not be feasible in advance of starting negotiations for new arrangements, it is recommended these steps be completed within the limitations of signed arrangements. </w:t>
      </w:r>
    </w:p>
    <w:p w14:paraId="7E3CAAA1" w14:textId="1AB1D45F" w:rsidR="00DA6B60" w:rsidRPr="00345BDB" w:rsidRDefault="00DA6B60" w:rsidP="00DA6B60">
      <w:r w:rsidRPr="00345BDB">
        <w:rPr>
          <w:b/>
          <w:bCs/>
        </w:rPr>
        <w:t>Finding 3:</w:t>
      </w:r>
      <w:r w:rsidRPr="00345BDB">
        <w:t xml:space="preserve"> DFAT has implemented important systems to support the understanding of performance against the shared partnership objectives and deliverables. It does however remain difficult </w:t>
      </w:r>
      <w:r w:rsidRPr="00685961">
        <w:t xml:space="preserve">to identify trends in </w:t>
      </w:r>
      <w:r w:rsidRPr="00685961">
        <w:lastRenderedPageBreak/>
        <w:t>performance, and many DFAT officers find the current system to be resource intensive</w:t>
      </w:r>
      <w:r w:rsidR="00604038" w:rsidRPr="00685961">
        <w:t xml:space="preserve"> in terms of </w:t>
      </w:r>
      <w:r w:rsidR="00AD3B8A" w:rsidRPr="00685961">
        <w:t>their</w:t>
      </w:r>
      <w:r w:rsidR="00194D4B" w:rsidRPr="00685961">
        <w:t xml:space="preserve"> time </w:t>
      </w:r>
      <w:r w:rsidR="00AD3B8A" w:rsidRPr="00685961">
        <w:t>required</w:t>
      </w:r>
      <w:r w:rsidR="00194D4B" w:rsidRPr="00685961">
        <w:t xml:space="preserve"> to interpret the data</w:t>
      </w:r>
      <w:r w:rsidR="000570BB" w:rsidRPr="00685961">
        <w:t xml:space="preserve"> (although at least one officer disagrees)</w:t>
      </w:r>
      <w:r w:rsidRPr="00685961">
        <w:t>.</w:t>
      </w:r>
      <w:r w:rsidRPr="00345BDB">
        <w:t xml:space="preserve"> </w:t>
      </w:r>
    </w:p>
    <w:p w14:paraId="786ACCA9" w14:textId="77777777" w:rsidR="00DA6B60" w:rsidRPr="00345BDB" w:rsidRDefault="00DA6B60" w:rsidP="00DA6B60">
      <w:r w:rsidRPr="00345BDB">
        <w:rPr>
          <w:b/>
          <w:bCs/>
        </w:rPr>
        <w:t>Recommendation 3:</w:t>
      </w:r>
      <w:r w:rsidRPr="00345BDB">
        <w:t xml:space="preserve"> DFAT HUS strengthen SPF monitoring and performance systems including by:</w:t>
      </w:r>
    </w:p>
    <w:p w14:paraId="343A5812" w14:textId="77777777" w:rsidR="00DA6B60" w:rsidRPr="00345BDB" w:rsidRDefault="00DA6B60" w:rsidP="00DA6B60">
      <w:pPr>
        <w:pStyle w:val="ListParagraph"/>
        <w:numPr>
          <w:ilvl w:val="4"/>
          <w:numId w:val="68"/>
        </w:numPr>
        <w:ind w:left="709"/>
      </w:pPr>
      <w:r w:rsidRPr="00345BDB">
        <w:t>Determining how to best share reporting responsibilities between DFAT and the partner to support performance and Good Humanitarian Donorship principles, considering the current humanitarian funding context.</w:t>
      </w:r>
    </w:p>
    <w:p w14:paraId="3D517AF0" w14:textId="2B346C83" w:rsidR="00DA6B60" w:rsidRPr="00345BDB" w:rsidRDefault="00DA6B60" w:rsidP="00DA6B60">
      <w:pPr>
        <w:pStyle w:val="ListParagraph"/>
        <w:numPr>
          <w:ilvl w:val="4"/>
          <w:numId w:val="68"/>
        </w:numPr>
        <w:ind w:left="709"/>
      </w:pPr>
      <w:r w:rsidRPr="00345BDB">
        <w:t>Develop</w:t>
      </w:r>
      <w:r w:rsidR="00AC0A61">
        <w:t>ing</w:t>
      </w:r>
      <w:r w:rsidRPr="00345BDB">
        <w:t xml:space="preserve"> a monitoring and evaluation framework and plan that enables comparison of performance across partners and years, building on existing performance arrangements and MPA processes. Hold informal MPAs in the years that MPAs are not mandated.</w:t>
      </w:r>
    </w:p>
    <w:p w14:paraId="79E61F34" w14:textId="74A8EDA4" w:rsidR="00DA6B60" w:rsidRDefault="00DA6B60" w:rsidP="00DA6B60">
      <w:pPr>
        <w:pStyle w:val="ListParagraph"/>
        <w:numPr>
          <w:ilvl w:val="4"/>
          <w:numId w:val="68"/>
        </w:numPr>
        <w:ind w:left="709"/>
      </w:pPr>
      <w:r w:rsidRPr="00345BDB">
        <w:t>Prioritis</w:t>
      </w:r>
      <w:r w:rsidR="00AC0A61">
        <w:t>ing</w:t>
      </w:r>
      <w:r w:rsidRPr="00345BDB">
        <w:t xml:space="preserve"> a small number of indicators that DFAT requires</w:t>
      </w:r>
      <w:r>
        <w:t xml:space="preserve"> and will be used for partnership management. </w:t>
      </w:r>
    </w:p>
    <w:p w14:paraId="0C47FBD0" w14:textId="2BF843CE" w:rsidR="00DA6B60" w:rsidRPr="00685961" w:rsidRDefault="00DA6B60" w:rsidP="00DA6B60">
      <w:pPr>
        <w:pStyle w:val="ListParagraph"/>
        <w:numPr>
          <w:ilvl w:val="4"/>
          <w:numId w:val="68"/>
        </w:numPr>
        <w:ind w:left="709"/>
      </w:pPr>
      <w:r w:rsidRPr="00685961">
        <w:t>Ensur</w:t>
      </w:r>
      <w:r w:rsidR="00AC0A61" w:rsidRPr="00685961">
        <w:t>ing</w:t>
      </w:r>
      <w:r w:rsidRPr="00685961">
        <w:t xml:space="preserve"> </w:t>
      </w:r>
      <w:r w:rsidR="00CA07B8" w:rsidRPr="00685961">
        <w:t xml:space="preserve">that </w:t>
      </w:r>
      <w:r w:rsidR="00073536" w:rsidRPr="00685961">
        <w:t xml:space="preserve">all </w:t>
      </w:r>
      <w:r w:rsidRPr="00685961">
        <w:t xml:space="preserve">DFAT officers </w:t>
      </w:r>
      <w:r w:rsidR="00073536" w:rsidRPr="00685961">
        <w:t xml:space="preserve">engaged in </w:t>
      </w:r>
      <w:r w:rsidRPr="00685961">
        <w:t xml:space="preserve">managing these </w:t>
      </w:r>
      <w:r w:rsidR="00E438B4" w:rsidRPr="00685961">
        <w:t xml:space="preserve">partnerships </w:t>
      </w:r>
      <w:r w:rsidR="00A160A5" w:rsidRPr="00685961">
        <w:t>work together to progress</w:t>
      </w:r>
      <w:r w:rsidR="00094838" w:rsidRPr="00685961">
        <w:t xml:space="preserve"> agreed</w:t>
      </w:r>
      <w:r w:rsidR="00E438B4" w:rsidRPr="00685961">
        <w:t xml:space="preserve"> policy priorities</w:t>
      </w:r>
      <w:r w:rsidR="007964DC" w:rsidRPr="00685961">
        <w:t xml:space="preserve"> (</w:t>
      </w:r>
      <w:r w:rsidR="00FD47C3" w:rsidRPr="00685961">
        <w:t>supported</w:t>
      </w:r>
      <w:r w:rsidR="007964DC" w:rsidRPr="00685961">
        <w:t xml:space="preserve"> through </w:t>
      </w:r>
      <w:r w:rsidR="00AC0A61" w:rsidRPr="00685961">
        <w:t xml:space="preserve">partnership </w:t>
      </w:r>
      <w:r w:rsidR="007964DC" w:rsidRPr="00685961">
        <w:t xml:space="preserve">engagement </w:t>
      </w:r>
      <w:r w:rsidR="00AC0A61" w:rsidRPr="00685961">
        <w:t>plans</w:t>
      </w:r>
      <w:r w:rsidR="007964DC" w:rsidRPr="00685961">
        <w:t>)</w:t>
      </w:r>
      <w:r w:rsidRPr="00685961">
        <w:t>.</w:t>
      </w:r>
    </w:p>
    <w:p w14:paraId="40942005" w14:textId="18DC6724" w:rsidR="00DA6B60" w:rsidRDefault="00DA6B60" w:rsidP="00DA6B60">
      <w:pPr>
        <w:pStyle w:val="ListParagraph"/>
        <w:numPr>
          <w:ilvl w:val="4"/>
          <w:numId w:val="68"/>
        </w:numPr>
        <w:ind w:left="709"/>
      </w:pPr>
      <w:r>
        <w:t>Broaden</w:t>
      </w:r>
      <w:r w:rsidR="00AC0A61">
        <w:t>ing</w:t>
      </w:r>
      <w:r>
        <w:t xml:space="preserve"> the next mid-term review or evaluation to consider holistically DFAT’s engagement with humanitarian partners funded by SPFs, including all levers for supporting partner performance</w:t>
      </w:r>
      <w:r w:rsidR="00BE4DA6">
        <w:t>. Emphasise</w:t>
      </w:r>
      <w:r>
        <w:t xml:space="preserve"> forward-looking questions </w:t>
      </w:r>
      <w:r w:rsidR="00BE4DA6">
        <w:t xml:space="preserve">and </w:t>
      </w:r>
      <w:r w:rsidR="00351694">
        <w:t>processes</w:t>
      </w:r>
      <w:r>
        <w:t xml:space="preserve"> to evidence recommendations</w:t>
      </w:r>
      <w:r w:rsidR="005A2557">
        <w:t xml:space="preserve"> </w:t>
      </w:r>
      <w:r w:rsidR="005A2557" w:rsidRPr="00685961">
        <w:t>that can directly inform new arrangements</w:t>
      </w:r>
      <w:r>
        <w:t>. Complete</w:t>
      </w:r>
      <w:r w:rsidR="00F613DB">
        <w:t xml:space="preserve"> </w:t>
      </w:r>
      <w:r w:rsidDel="006B48E9">
        <w:t>at least two years before the next arrangements expire,</w:t>
      </w:r>
      <w:r>
        <w:t xml:space="preserve"> to inform sensitive and lengthy negotiations.</w:t>
      </w:r>
    </w:p>
    <w:p w14:paraId="0D9D4845" w14:textId="0A3F614D" w:rsidR="00DA6B60" w:rsidRDefault="00DA6B60" w:rsidP="00DA6B60">
      <w:pPr>
        <w:pStyle w:val="ListParagraph"/>
        <w:numPr>
          <w:ilvl w:val="4"/>
          <w:numId w:val="68"/>
        </w:numPr>
        <w:ind w:left="709"/>
      </w:pPr>
      <w:r>
        <w:t>Establish</w:t>
      </w:r>
      <w:r w:rsidR="00AC0A61">
        <w:t>ing</w:t>
      </w:r>
      <w:r>
        <w:t xml:space="preserve"> an evidence base for the structure of its funding (core and multi-year v earmarked and single year) to inform decisions going forward. </w:t>
      </w:r>
    </w:p>
    <w:p w14:paraId="07505834" w14:textId="7AB27B02" w:rsidR="009711D7" w:rsidRPr="00CA1C6F" w:rsidRDefault="009711D7" w:rsidP="00AA2B1B">
      <w:pPr>
        <w:pStyle w:val="ChapterHeading"/>
      </w:pPr>
      <w:r w:rsidRPr="00CA1C6F">
        <w:lastRenderedPageBreak/>
        <w:t xml:space="preserve">INTRODUCTION </w:t>
      </w:r>
    </w:p>
    <w:p w14:paraId="13CB32DA" w14:textId="0CDFFB46" w:rsidR="002615AE" w:rsidRDefault="00C9000D" w:rsidP="008B4892">
      <w:r>
        <w:t xml:space="preserve">DFAT </w:t>
      </w:r>
      <w:r w:rsidR="005323D3">
        <w:t>has commissioned an evaluation</w:t>
      </w:r>
      <w:r w:rsidR="005323D3" w:rsidRPr="2C54FF09">
        <w:rPr>
          <w:rFonts w:ascii="Arial" w:eastAsia="Arial" w:hAnsi="Arial" w:cs="Arial"/>
        </w:rPr>
        <w:t xml:space="preserve"> of </w:t>
      </w:r>
      <w:r w:rsidR="00AC688E" w:rsidRPr="2C54FF09">
        <w:rPr>
          <w:rFonts w:ascii="Arial" w:eastAsia="Arial" w:hAnsi="Arial" w:cs="Arial"/>
        </w:rPr>
        <w:t xml:space="preserve">the </w:t>
      </w:r>
      <w:r w:rsidRPr="2C54FF09">
        <w:rPr>
          <w:rFonts w:ascii="Arial" w:eastAsia="Arial" w:hAnsi="Arial" w:cs="Arial"/>
        </w:rPr>
        <w:t xml:space="preserve">SPFs </w:t>
      </w:r>
      <w:r w:rsidR="00AC688E" w:rsidRPr="2C54FF09">
        <w:rPr>
          <w:rFonts w:ascii="Arial" w:eastAsia="Arial" w:hAnsi="Arial" w:cs="Arial"/>
        </w:rPr>
        <w:t xml:space="preserve">between Australia and key humanitarian </w:t>
      </w:r>
      <w:r w:rsidR="004578E6">
        <w:rPr>
          <w:rFonts w:ascii="Arial" w:eastAsia="Arial" w:hAnsi="Arial" w:cs="Arial"/>
        </w:rPr>
        <w:t>partners</w:t>
      </w:r>
      <w:r w:rsidRPr="2C54FF09">
        <w:rPr>
          <w:rFonts w:ascii="Arial" w:eastAsia="Arial" w:hAnsi="Arial" w:cs="Arial"/>
        </w:rPr>
        <w:t>, namely</w:t>
      </w:r>
      <w:r w:rsidR="00030414" w:rsidRPr="2C54FF09">
        <w:rPr>
          <w:rFonts w:ascii="Arial" w:eastAsia="Arial" w:hAnsi="Arial" w:cs="Arial"/>
        </w:rPr>
        <w:t>:</w:t>
      </w:r>
      <w:r w:rsidRPr="2C54FF09">
        <w:rPr>
          <w:rFonts w:ascii="Arial" w:eastAsia="Arial" w:hAnsi="Arial" w:cs="Arial"/>
        </w:rPr>
        <w:t xml:space="preserve"> WFP, UNHCR, OCHA, and </w:t>
      </w:r>
      <w:r w:rsidR="7FC163C1" w:rsidRPr="2C54FF09">
        <w:rPr>
          <w:rFonts w:ascii="Arial" w:eastAsia="Arial" w:hAnsi="Arial" w:cs="Arial"/>
        </w:rPr>
        <w:t>its</w:t>
      </w:r>
      <w:r w:rsidRPr="2C54FF09">
        <w:rPr>
          <w:rFonts w:ascii="Arial" w:eastAsia="Arial" w:hAnsi="Arial" w:cs="Arial"/>
        </w:rPr>
        <w:t xml:space="preserve"> CERF, and the ICRC</w:t>
      </w:r>
      <w:r w:rsidR="00BD08BA">
        <w:t>.</w:t>
      </w:r>
      <w:r w:rsidR="005323D3">
        <w:t xml:space="preserve"> The purpose of the evaluation is to</w:t>
      </w:r>
      <w:r w:rsidR="008B4892">
        <w:t xml:space="preserve"> assess</w:t>
      </w:r>
      <w:r w:rsidR="005323D3">
        <w:t xml:space="preserve"> </w:t>
      </w:r>
      <w:r w:rsidR="002615AE">
        <w:t>the relevance, effectiveness</w:t>
      </w:r>
      <w:r>
        <w:t>,</w:t>
      </w:r>
      <w:r w:rsidR="002615AE">
        <w:t xml:space="preserve"> and efficiency of the current SPFs</w:t>
      </w:r>
      <w:r w:rsidR="008B4892">
        <w:t xml:space="preserve"> and p</w:t>
      </w:r>
      <w:r w:rsidR="002615AE">
        <w:t xml:space="preserve">rovide concrete, actionable recommendations for future </w:t>
      </w:r>
      <w:r w:rsidR="004915DA">
        <w:t xml:space="preserve">humanitarian </w:t>
      </w:r>
      <w:r w:rsidR="002615AE">
        <w:t>funding modalities.</w:t>
      </w:r>
    </w:p>
    <w:p w14:paraId="390CE278" w14:textId="757106AD" w:rsidR="00AC688E" w:rsidRDefault="002615AE" w:rsidP="002615AE">
      <w:pPr>
        <w:rPr>
          <w:rFonts w:ascii="Arial" w:eastAsia="Arial" w:hAnsi="Arial" w:cs="Arial"/>
          <w:b/>
          <w:iCs/>
        </w:rPr>
      </w:pPr>
      <w:r w:rsidRPr="002615AE">
        <w:t xml:space="preserve">The primary users of the evaluation are DFAT’s Humanitarian Division </w:t>
      </w:r>
      <w:r w:rsidR="00134F13">
        <w:t xml:space="preserve">(HPD) </w:t>
      </w:r>
      <w:r w:rsidRPr="002615AE">
        <w:t xml:space="preserve">and multilateral posts. Secondary users are geographic desks and posts. </w:t>
      </w:r>
    </w:p>
    <w:p w14:paraId="41150947" w14:textId="3870D07B" w:rsidR="00720137" w:rsidRPr="00293385" w:rsidRDefault="00720137" w:rsidP="00720137">
      <w:pPr>
        <w:pStyle w:val="Heading3NOTOC"/>
        <w:rPr>
          <w:rFonts w:eastAsia="Arial"/>
          <w:color w:val="auto"/>
        </w:rPr>
      </w:pPr>
      <w:r>
        <w:rPr>
          <w:rFonts w:eastAsia="Arial"/>
          <w:b w:val="0"/>
          <w:iCs w:val="0"/>
          <w:color w:val="000000" w:themeColor="text1"/>
          <w:sz w:val="20"/>
          <w:szCs w:val="24"/>
        </w:rPr>
        <w:t>This</w:t>
      </w:r>
      <w:r w:rsidRPr="00F23D23">
        <w:rPr>
          <w:rFonts w:eastAsia="Arial"/>
          <w:b w:val="0"/>
          <w:iCs w:val="0"/>
          <w:color w:val="000000" w:themeColor="text1"/>
          <w:sz w:val="20"/>
          <w:szCs w:val="24"/>
        </w:rPr>
        <w:t xml:space="preserve"> evaluation </w:t>
      </w:r>
      <w:r>
        <w:rPr>
          <w:rFonts w:eastAsia="Arial"/>
          <w:b w:val="0"/>
          <w:iCs w:val="0"/>
          <w:color w:val="000000" w:themeColor="text1"/>
          <w:sz w:val="20"/>
          <w:szCs w:val="24"/>
        </w:rPr>
        <w:t>takes place amid</w:t>
      </w:r>
      <w:r w:rsidRPr="00F23D23">
        <w:rPr>
          <w:rFonts w:eastAsia="Arial"/>
          <w:b w:val="0"/>
          <w:iCs w:val="0"/>
          <w:color w:val="000000" w:themeColor="text1"/>
          <w:sz w:val="20"/>
          <w:szCs w:val="24"/>
        </w:rPr>
        <w:t xml:space="preserve"> </w:t>
      </w:r>
      <w:r w:rsidR="00807E81">
        <w:rPr>
          <w:rFonts w:eastAsia="Arial"/>
          <w:b w:val="0"/>
          <w:iCs w:val="0"/>
          <w:color w:val="000000" w:themeColor="text1"/>
          <w:sz w:val="20"/>
          <w:szCs w:val="24"/>
        </w:rPr>
        <w:t>significant</w:t>
      </w:r>
      <w:r w:rsidRPr="00F23D23">
        <w:rPr>
          <w:rFonts w:eastAsia="Arial"/>
          <w:b w:val="0"/>
          <w:iCs w:val="0"/>
          <w:color w:val="000000" w:themeColor="text1"/>
          <w:sz w:val="20"/>
          <w:szCs w:val="24"/>
        </w:rPr>
        <w:t xml:space="preserve"> reductions in humanitarian funding </w:t>
      </w:r>
      <w:r w:rsidR="009B6810">
        <w:rPr>
          <w:rFonts w:eastAsia="Arial"/>
          <w:b w:val="0"/>
          <w:iCs w:val="0"/>
          <w:color w:val="000000" w:themeColor="text1"/>
          <w:sz w:val="20"/>
          <w:szCs w:val="24"/>
        </w:rPr>
        <w:t xml:space="preserve">globally </w:t>
      </w:r>
      <w:r w:rsidRPr="00F23D23">
        <w:rPr>
          <w:rFonts w:eastAsia="Arial"/>
          <w:b w:val="0"/>
          <w:iCs w:val="0"/>
          <w:color w:val="000000" w:themeColor="text1"/>
          <w:sz w:val="20"/>
          <w:szCs w:val="24"/>
        </w:rPr>
        <w:t>and calls for donors to substantively re-think the way they fund multilateral agencies and humanitarian response. Donors channel roughly two thirds of OECD</w:t>
      </w:r>
      <w:r>
        <w:rPr>
          <w:rFonts w:eastAsia="Arial"/>
          <w:b w:val="0"/>
          <w:iCs w:val="0"/>
          <w:color w:val="000000" w:themeColor="text1"/>
          <w:sz w:val="20"/>
          <w:szCs w:val="24"/>
        </w:rPr>
        <w:t>-</w:t>
      </w:r>
      <w:r w:rsidRPr="00F23D23">
        <w:rPr>
          <w:rFonts w:eastAsia="Arial"/>
          <w:b w:val="0"/>
          <w:iCs w:val="0"/>
          <w:color w:val="000000" w:themeColor="text1"/>
          <w:sz w:val="20"/>
          <w:szCs w:val="24"/>
        </w:rPr>
        <w:t xml:space="preserve">DAC humanitarian funding through multilateral </w:t>
      </w:r>
      <w:r>
        <w:rPr>
          <w:rFonts w:eastAsia="Arial"/>
          <w:b w:val="0"/>
          <w:iCs w:val="0"/>
          <w:color w:val="000000" w:themeColor="text1"/>
          <w:sz w:val="20"/>
          <w:szCs w:val="24"/>
        </w:rPr>
        <w:t>organisations</w:t>
      </w:r>
      <w:r w:rsidRPr="00F23D23">
        <w:rPr>
          <w:rFonts w:eastAsia="Arial"/>
          <w:b w:val="0"/>
          <w:iCs w:val="0"/>
          <w:color w:val="000000" w:themeColor="text1"/>
          <w:sz w:val="20"/>
          <w:szCs w:val="24"/>
        </w:rPr>
        <w:t>.</w:t>
      </w:r>
      <w:r w:rsidRPr="006C5DE0">
        <w:rPr>
          <w:b w:val="0"/>
          <w:iCs w:val="0"/>
          <w:color w:val="000000" w:themeColor="text1"/>
          <w:sz w:val="20"/>
          <w:szCs w:val="24"/>
          <w:vertAlign w:val="superscript"/>
        </w:rPr>
        <w:footnoteReference w:id="6"/>
      </w:r>
      <w:r w:rsidRPr="00F23D23">
        <w:rPr>
          <w:rFonts w:eastAsia="Arial"/>
          <w:b w:val="0"/>
          <w:iCs w:val="0"/>
          <w:color w:val="000000" w:themeColor="text1"/>
          <w:sz w:val="20"/>
          <w:szCs w:val="24"/>
        </w:rPr>
        <w:t xml:space="preserve"> </w:t>
      </w:r>
      <w:r>
        <w:rPr>
          <w:rFonts w:eastAsia="Arial"/>
          <w:b w:val="0"/>
          <w:iCs w:val="0"/>
          <w:color w:val="000000" w:themeColor="text1"/>
          <w:sz w:val="20"/>
          <w:szCs w:val="24"/>
        </w:rPr>
        <w:t>As such, t</w:t>
      </w:r>
      <w:r w:rsidRPr="00F23D23">
        <w:rPr>
          <w:rFonts w:eastAsia="Arial"/>
          <w:b w:val="0"/>
          <w:iCs w:val="0"/>
          <w:color w:val="000000" w:themeColor="text1"/>
          <w:sz w:val="20"/>
          <w:szCs w:val="24"/>
        </w:rPr>
        <w:t>he way</w:t>
      </w:r>
      <w:r>
        <w:rPr>
          <w:rFonts w:eastAsia="Arial"/>
          <w:b w:val="0"/>
          <w:iCs w:val="0"/>
          <w:color w:val="000000" w:themeColor="text1"/>
          <w:sz w:val="20"/>
          <w:szCs w:val="24"/>
        </w:rPr>
        <w:t>s</w:t>
      </w:r>
      <w:r w:rsidRPr="00F23D23">
        <w:rPr>
          <w:rFonts w:eastAsia="Arial"/>
          <w:b w:val="0"/>
          <w:iCs w:val="0"/>
          <w:color w:val="000000" w:themeColor="text1"/>
          <w:sz w:val="20"/>
          <w:szCs w:val="24"/>
        </w:rPr>
        <w:t xml:space="preserve"> in which </w:t>
      </w:r>
      <w:r>
        <w:rPr>
          <w:rFonts w:eastAsia="Arial"/>
          <w:b w:val="0"/>
          <w:iCs w:val="0"/>
          <w:color w:val="000000" w:themeColor="text1"/>
          <w:sz w:val="20"/>
          <w:szCs w:val="24"/>
        </w:rPr>
        <w:t>donors</w:t>
      </w:r>
      <w:r w:rsidRPr="00F23D23">
        <w:rPr>
          <w:rFonts w:eastAsia="Arial"/>
          <w:b w:val="0"/>
          <w:iCs w:val="0"/>
          <w:color w:val="000000" w:themeColor="text1"/>
          <w:sz w:val="20"/>
          <w:szCs w:val="24"/>
        </w:rPr>
        <w:t xml:space="preserve"> fund multilateral </w:t>
      </w:r>
      <w:r>
        <w:rPr>
          <w:rFonts w:eastAsia="Arial"/>
          <w:b w:val="0"/>
          <w:iCs w:val="0"/>
          <w:color w:val="000000" w:themeColor="text1"/>
          <w:sz w:val="20"/>
          <w:szCs w:val="24"/>
        </w:rPr>
        <w:t>organisations</w:t>
      </w:r>
      <w:r w:rsidRPr="00F23D23">
        <w:rPr>
          <w:rFonts w:eastAsia="Arial"/>
          <w:b w:val="0"/>
          <w:iCs w:val="0"/>
          <w:color w:val="000000" w:themeColor="text1"/>
          <w:sz w:val="20"/>
          <w:szCs w:val="24"/>
        </w:rPr>
        <w:t xml:space="preserve"> and incentivise performance matters.</w:t>
      </w:r>
    </w:p>
    <w:p w14:paraId="493FD5F6" w14:textId="4E723AAF" w:rsidR="00566589" w:rsidRPr="009E5279" w:rsidRDefault="00566589" w:rsidP="00566589">
      <w:pPr>
        <w:pStyle w:val="Heading3NOTOC"/>
        <w:rPr>
          <w:color w:val="auto"/>
          <w:lang w:val="en-GB"/>
        </w:rPr>
      </w:pPr>
      <w:r w:rsidRPr="009E5279">
        <w:rPr>
          <w:color w:val="auto"/>
          <w:lang w:val="en-GB"/>
        </w:rPr>
        <w:t>Background and Rationale</w:t>
      </w:r>
    </w:p>
    <w:p w14:paraId="6152CDFD" w14:textId="267F8950" w:rsidR="009C2B09" w:rsidRPr="009C2B09" w:rsidRDefault="009C2B09" w:rsidP="009C2B09">
      <w:r>
        <w:rPr>
          <w:rFonts w:eastAsia="Arial"/>
        </w:rPr>
        <w:t xml:space="preserve">Australia is a mid-size </w:t>
      </w:r>
      <w:r w:rsidR="00C9000D">
        <w:rPr>
          <w:rFonts w:eastAsia="Arial"/>
        </w:rPr>
        <w:t xml:space="preserve">humanitarian </w:t>
      </w:r>
      <w:r>
        <w:rPr>
          <w:rFonts w:eastAsia="Arial"/>
        </w:rPr>
        <w:t xml:space="preserve">donor. In 2024, </w:t>
      </w:r>
      <w:r w:rsidR="00A106C0">
        <w:rPr>
          <w:rFonts w:eastAsia="Arial"/>
        </w:rPr>
        <w:t>Australia ranked 14</w:t>
      </w:r>
      <w:r w:rsidR="00A106C0" w:rsidRPr="00A106C0">
        <w:rPr>
          <w:rFonts w:eastAsia="Arial"/>
          <w:vertAlign w:val="superscript"/>
        </w:rPr>
        <w:t>th</w:t>
      </w:r>
      <w:r w:rsidR="00A106C0">
        <w:rPr>
          <w:rFonts w:eastAsia="Arial"/>
        </w:rPr>
        <w:t xml:space="preserve"> among OECD-DAC donors, providing </w:t>
      </w:r>
      <w:r w:rsidR="005F03DF">
        <w:rPr>
          <w:rFonts w:eastAsia="Arial"/>
        </w:rPr>
        <w:t>USD3.</w:t>
      </w:r>
      <w:r w:rsidR="00605770">
        <w:rPr>
          <w:rFonts w:eastAsia="Arial"/>
        </w:rPr>
        <w:t>3</w:t>
      </w:r>
      <w:r w:rsidR="005F03DF">
        <w:rPr>
          <w:rFonts w:eastAsia="Arial"/>
        </w:rPr>
        <w:t xml:space="preserve"> billion in official development assistance</w:t>
      </w:r>
      <w:r w:rsidR="00B603BB">
        <w:rPr>
          <w:rFonts w:eastAsia="Arial"/>
        </w:rPr>
        <w:t>, which includes</w:t>
      </w:r>
      <w:r w:rsidR="00473E22">
        <w:rPr>
          <w:rFonts w:eastAsia="Arial"/>
        </w:rPr>
        <w:t xml:space="preserve"> funding for</w:t>
      </w:r>
      <w:r w:rsidR="00B603BB">
        <w:rPr>
          <w:rFonts w:eastAsia="Arial"/>
        </w:rPr>
        <w:t xml:space="preserve"> both humanitarian and development </w:t>
      </w:r>
      <w:r w:rsidR="00473E22">
        <w:rPr>
          <w:rFonts w:eastAsia="Arial"/>
        </w:rPr>
        <w:t>assistance</w:t>
      </w:r>
      <w:r>
        <w:t>.</w:t>
      </w:r>
      <w:r>
        <w:rPr>
          <w:rStyle w:val="FootnoteReference"/>
        </w:rPr>
        <w:footnoteReference w:id="7"/>
      </w:r>
      <w:r>
        <w:t xml:space="preserve"> </w:t>
      </w:r>
      <w:r w:rsidR="00236C6D">
        <w:t xml:space="preserve">In 2023, Australia provided </w:t>
      </w:r>
      <w:r w:rsidR="005333A6">
        <w:t>over a third</w:t>
      </w:r>
      <w:r w:rsidR="000B7298">
        <w:t xml:space="preserve"> (35.9</w:t>
      </w:r>
      <w:r w:rsidR="000F7320">
        <w:t xml:space="preserve"> per cent</w:t>
      </w:r>
      <w:r w:rsidR="000B7298">
        <w:t>)</w:t>
      </w:r>
      <w:r w:rsidR="005333A6">
        <w:t xml:space="preserve"> </w:t>
      </w:r>
      <w:r w:rsidR="00130C0B">
        <w:t xml:space="preserve">of its official development assistance </w:t>
      </w:r>
      <w:r w:rsidR="008C250C">
        <w:t xml:space="preserve">(including humanitarian and development assistance) </w:t>
      </w:r>
      <w:r w:rsidR="000B7298">
        <w:t>in the form of contributions to multilateral organisations.</w:t>
      </w:r>
      <w:r w:rsidR="000B7298">
        <w:rPr>
          <w:rStyle w:val="FootnoteReference"/>
        </w:rPr>
        <w:footnoteReference w:id="8"/>
      </w:r>
    </w:p>
    <w:p w14:paraId="31001356" w14:textId="20D40407" w:rsidR="00566589" w:rsidRDefault="00130C0B" w:rsidP="00566589">
      <w:pPr>
        <w:rPr>
          <w:lang w:val="en-GB"/>
        </w:rPr>
      </w:pPr>
      <w:r w:rsidRPr="566C030F" w:rsidDel="56F3F485">
        <w:rPr>
          <w:lang w:val="en-GB"/>
        </w:rPr>
        <w:t>P</w:t>
      </w:r>
      <w:r w:rsidR="59DFA3E9" w:rsidRPr="566C030F">
        <w:rPr>
          <w:lang w:val="en-GB"/>
        </w:rPr>
        <w:t>artnerships</w:t>
      </w:r>
      <w:r w:rsidR="00566589" w:rsidRPr="58BE47C8">
        <w:rPr>
          <w:lang w:val="en-GB"/>
        </w:rPr>
        <w:t xml:space="preserve"> with four </w:t>
      </w:r>
      <w:r w:rsidR="00717192">
        <w:rPr>
          <w:lang w:val="en-GB"/>
        </w:rPr>
        <w:t>humanitarian</w:t>
      </w:r>
      <w:r w:rsidR="00566589" w:rsidRPr="58BE47C8">
        <w:rPr>
          <w:lang w:val="en-GB"/>
        </w:rPr>
        <w:t xml:space="preserve"> entities,</w:t>
      </w:r>
      <w:r w:rsidR="00C9000D" w:rsidRPr="58BE47C8">
        <w:rPr>
          <w:lang w:val="en-GB"/>
        </w:rPr>
        <w:t xml:space="preserve"> WFP, UNHCR, OCHA and CERF, and ICRC</w:t>
      </w:r>
      <w:r w:rsidR="00566589" w:rsidRPr="58BE47C8">
        <w:rPr>
          <w:lang w:val="en-GB"/>
        </w:rPr>
        <w:t xml:space="preserve"> </w:t>
      </w:r>
      <w:r w:rsidRPr="58BE47C8">
        <w:rPr>
          <w:lang w:val="en-GB"/>
        </w:rPr>
        <w:t xml:space="preserve">make up a significant proportion of </w:t>
      </w:r>
      <w:r w:rsidRPr="0033184A">
        <w:rPr>
          <w:lang w:val="en-GB"/>
        </w:rPr>
        <w:t>Australia’s humanitarian funding</w:t>
      </w:r>
      <w:r w:rsidR="006F5962" w:rsidRPr="0033184A">
        <w:rPr>
          <w:lang w:val="en-GB"/>
        </w:rPr>
        <w:t>.</w:t>
      </w:r>
      <w:r w:rsidR="006031E9" w:rsidRPr="0033184A">
        <w:rPr>
          <w:lang w:val="en-GB"/>
        </w:rPr>
        <w:t xml:space="preserve"> </w:t>
      </w:r>
      <w:r w:rsidR="00F747A6" w:rsidRPr="0033184A">
        <w:rPr>
          <w:lang w:val="en-GB"/>
        </w:rPr>
        <w:t xml:space="preserve">These partnerships are formalised through multi-year SPFs and their </w:t>
      </w:r>
      <w:r w:rsidR="00F747A6" w:rsidRPr="0033184A">
        <w:rPr>
          <w:color w:val="auto"/>
          <w:lang w:val="en-GB"/>
        </w:rPr>
        <w:t xml:space="preserve">associated EOLs. </w:t>
      </w:r>
      <w:r w:rsidR="00E352C8" w:rsidRPr="0033184A">
        <w:rPr>
          <w:rFonts w:eastAsia="Arial"/>
          <w:color w:val="auto"/>
        </w:rPr>
        <w:t xml:space="preserve">Australia provided </w:t>
      </w:r>
      <w:r w:rsidR="006D4159" w:rsidRPr="0033184A">
        <w:rPr>
          <w:rFonts w:eastAsia="Arial"/>
          <w:color w:val="auto"/>
        </w:rPr>
        <w:t>AUD8</w:t>
      </w:r>
      <w:r w:rsidR="005D3658" w:rsidRPr="0033184A">
        <w:rPr>
          <w:rFonts w:eastAsia="Arial"/>
          <w:color w:val="auto"/>
        </w:rPr>
        <w:t>96</w:t>
      </w:r>
      <w:r w:rsidR="00170CC4" w:rsidRPr="0033184A">
        <w:rPr>
          <w:rFonts w:eastAsia="Arial"/>
          <w:color w:val="auto"/>
        </w:rPr>
        <w:t xml:space="preserve">million </w:t>
      </w:r>
      <w:r w:rsidR="00E352C8" w:rsidRPr="0033184A">
        <w:rPr>
          <w:rFonts w:eastAsia="Arial"/>
          <w:color w:val="auto"/>
        </w:rPr>
        <w:t>to WFP, UNHCR, ICRC, OCHA and CERF</w:t>
      </w:r>
      <w:r w:rsidR="00170CC4" w:rsidRPr="0033184A">
        <w:rPr>
          <w:rFonts w:eastAsia="Arial"/>
          <w:color w:val="auto"/>
        </w:rPr>
        <w:t xml:space="preserve"> from FY2022-23 to FY2024-25</w:t>
      </w:r>
      <w:r w:rsidR="00E352C8" w:rsidRPr="0033184A">
        <w:rPr>
          <w:rFonts w:eastAsia="Arial"/>
          <w:color w:val="auto"/>
        </w:rPr>
        <w:t>.</w:t>
      </w:r>
      <w:r w:rsidR="00E352C8" w:rsidRPr="0033184A">
        <w:rPr>
          <w:rStyle w:val="FootnoteReference"/>
          <w:rFonts w:eastAsia="Arial"/>
          <w:color w:val="auto"/>
        </w:rPr>
        <w:footnoteReference w:id="9"/>
      </w:r>
      <w:r w:rsidR="00E352C8" w:rsidRPr="0033184A">
        <w:rPr>
          <w:rFonts w:eastAsia="Arial"/>
          <w:color w:val="auto"/>
        </w:rPr>
        <w:t xml:space="preserve"> </w:t>
      </w:r>
      <w:r w:rsidR="00FD2708" w:rsidRPr="0033184A">
        <w:rPr>
          <w:rFonts w:eastAsia="Arial"/>
          <w:color w:val="auto"/>
        </w:rPr>
        <w:t xml:space="preserve">Of this, </w:t>
      </w:r>
      <w:r w:rsidR="001B7F9F">
        <w:rPr>
          <w:rFonts w:eastAsia="Arial"/>
          <w:color w:val="auto"/>
        </w:rPr>
        <w:t>38</w:t>
      </w:r>
      <w:r w:rsidR="001B7F9F" w:rsidRPr="0033184A">
        <w:rPr>
          <w:rFonts w:eastAsia="Arial"/>
          <w:color w:val="auto"/>
        </w:rPr>
        <w:t xml:space="preserve"> </w:t>
      </w:r>
      <w:r w:rsidR="00FD2708" w:rsidRPr="0033184A">
        <w:rPr>
          <w:rFonts w:eastAsia="Arial"/>
          <w:color w:val="auto"/>
        </w:rPr>
        <w:t>per cent was provided as core funding</w:t>
      </w:r>
      <w:r w:rsidR="00F747A6" w:rsidRPr="0033184A">
        <w:rPr>
          <w:rFonts w:eastAsia="Arial"/>
          <w:color w:val="auto"/>
        </w:rPr>
        <w:t xml:space="preserve"> (SPFs)</w:t>
      </w:r>
      <w:r w:rsidR="00FD2708" w:rsidRPr="0033184A">
        <w:rPr>
          <w:rFonts w:eastAsia="Arial"/>
          <w:color w:val="auto"/>
        </w:rPr>
        <w:t xml:space="preserve">, and </w:t>
      </w:r>
      <w:r w:rsidR="001B7F9F">
        <w:rPr>
          <w:rFonts w:eastAsia="Arial"/>
          <w:color w:val="auto"/>
        </w:rPr>
        <w:t>62</w:t>
      </w:r>
      <w:r w:rsidR="001B7F9F" w:rsidRPr="0033184A">
        <w:rPr>
          <w:rFonts w:eastAsia="Arial"/>
          <w:color w:val="auto"/>
        </w:rPr>
        <w:t xml:space="preserve"> </w:t>
      </w:r>
      <w:r w:rsidR="00FD2708" w:rsidRPr="0033184A">
        <w:rPr>
          <w:rFonts w:eastAsia="Arial"/>
          <w:color w:val="auto"/>
        </w:rPr>
        <w:t>per cent as earmarked funding</w:t>
      </w:r>
      <w:r w:rsidR="00F747A6" w:rsidRPr="0033184A">
        <w:rPr>
          <w:rFonts w:eastAsia="Arial"/>
          <w:color w:val="auto"/>
        </w:rPr>
        <w:t xml:space="preserve"> (EOLs)</w:t>
      </w:r>
      <w:r w:rsidR="00FD2708" w:rsidRPr="0033184A">
        <w:rPr>
          <w:rFonts w:eastAsia="Arial"/>
          <w:color w:val="auto"/>
        </w:rPr>
        <w:t>.</w:t>
      </w:r>
      <w:r w:rsidR="009F1C8A" w:rsidRPr="0033184A">
        <w:rPr>
          <w:rStyle w:val="FootnoteReference"/>
          <w:rFonts w:eastAsia="Arial"/>
          <w:color w:val="auto"/>
        </w:rPr>
        <w:footnoteReference w:id="10"/>
      </w:r>
      <w:r w:rsidR="00FD2708" w:rsidRPr="006407A1">
        <w:rPr>
          <w:rFonts w:eastAsia="Arial"/>
          <w:color w:val="auto"/>
        </w:rPr>
        <w:t xml:space="preserve"> </w:t>
      </w:r>
    </w:p>
    <w:p w14:paraId="0B3B6CF8" w14:textId="6F4EAA24" w:rsidR="004A511B" w:rsidRPr="004A511B" w:rsidRDefault="00C9000D" w:rsidP="004A511B">
      <w:pPr>
        <w:rPr>
          <w:b/>
          <w:bCs/>
          <w:color w:val="auto"/>
          <w:szCs w:val="20"/>
          <w:lang w:val="en-GB"/>
        </w:rPr>
      </w:pPr>
      <w:r>
        <w:rPr>
          <w:color w:val="auto"/>
          <w:szCs w:val="20"/>
          <w:lang w:val="en-GB"/>
        </w:rPr>
        <w:t>The t</w:t>
      </w:r>
      <w:r w:rsidR="004A511B" w:rsidRPr="00566589">
        <w:rPr>
          <w:color w:val="auto"/>
          <w:szCs w:val="20"/>
          <w:lang w:val="en-GB"/>
        </w:rPr>
        <w:t>imely, predictable, and flexible multi-year funding</w:t>
      </w:r>
      <w:r>
        <w:rPr>
          <w:color w:val="auto"/>
          <w:szCs w:val="20"/>
          <w:lang w:val="en-GB"/>
        </w:rPr>
        <w:t xml:space="preserve"> that SPFs offer</w:t>
      </w:r>
      <w:r w:rsidR="004A511B" w:rsidRPr="00566589">
        <w:rPr>
          <w:color w:val="auto"/>
          <w:szCs w:val="20"/>
          <w:lang w:val="en-GB"/>
        </w:rPr>
        <w:t xml:space="preserve"> to partners is intended to strengthen the effectiveness and efficiency of humanitarian </w:t>
      </w:r>
      <w:r w:rsidR="00F747A6" w:rsidRPr="00566589">
        <w:rPr>
          <w:color w:val="auto"/>
          <w:szCs w:val="20"/>
          <w:lang w:val="en-GB"/>
        </w:rPr>
        <w:t>action and</w:t>
      </w:r>
      <w:r w:rsidR="004A511B" w:rsidRPr="00566589">
        <w:rPr>
          <w:color w:val="auto"/>
          <w:szCs w:val="20"/>
          <w:lang w:val="en-GB"/>
        </w:rPr>
        <w:t xml:space="preserve"> </w:t>
      </w:r>
      <w:r>
        <w:rPr>
          <w:color w:val="auto"/>
          <w:szCs w:val="20"/>
          <w:lang w:val="en-GB"/>
        </w:rPr>
        <w:t xml:space="preserve">enable Australia to </w:t>
      </w:r>
      <w:r w:rsidR="004A511B" w:rsidRPr="00566589">
        <w:rPr>
          <w:color w:val="auto"/>
          <w:szCs w:val="20"/>
          <w:lang w:val="en-GB"/>
        </w:rPr>
        <w:t xml:space="preserve">better influence and shape partner activities. This funding model is also intended to consolidate Australia’s reputation as a leading donor in applying the </w:t>
      </w:r>
      <w:r w:rsidR="009A4684">
        <w:rPr>
          <w:color w:val="auto"/>
          <w:szCs w:val="20"/>
          <w:lang w:val="en-GB"/>
        </w:rPr>
        <w:t>Good Humanitarian Donorship</w:t>
      </w:r>
      <w:r w:rsidR="004A511B" w:rsidRPr="00566589">
        <w:rPr>
          <w:color w:val="auto"/>
          <w:szCs w:val="20"/>
          <w:lang w:val="en-GB"/>
        </w:rPr>
        <w:t xml:space="preserve"> principles, in-line with Grand Bargain commitments.</w:t>
      </w:r>
      <w:r w:rsidR="004A511B">
        <w:rPr>
          <w:rStyle w:val="FootnoteReference"/>
          <w:color w:val="auto"/>
          <w:szCs w:val="20"/>
          <w:lang w:val="en-GB"/>
        </w:rPr>
        <w:footnoteReference w:id="11"/>
      </w:r>
    </w:p>
    <w:p w14:paraId="2C624E49" w14:textId="7125DC7D" w:rsidR="00FC62F0" w:rsidRDefault="00A1713E" w:rsidP="2C54FF09">
      <w:pPr>
        <w:rPr>
          <w:lang w:val="en-GB"/>
        </w:rPr>
      </w:pPr>
      <w:r w:rsidRPr="2C54FF09">
        <w:rPr>
          <w:lang w:val="en-GB"/>
        </w:rPr>
        <w:t xml:space="preserve">Current SPFs </w:t>
      </w:r>
      <w:r w:rsidR="00F15F53">
        <w:rPr>
          <w:lang w:val="en-GB"/>
        </w:rPr>
        <w:t xml:space="preserve">with WFP, UNHCR, OCHA, CERF and ICRC </w:t>
      </w:r>
      <w:r w:rsidRPr="2C54FF09">
        <w:rPr>
          <w:lang w:val="en-GB"/>
        </w:rPr>
        <w:t xml:space="preserve">were </w:t>
      </w:r>
      <w:r w:rsidR="26734CDE" w:rsidRPr="2C54FF09">
        <w:rPr>
          <w:lang w:val="en-GB"/>
        </w:rPr>
        <w:t>signed in</w:t>
      </w:r>
      <w:r w:rsidR="00C9000D" w:rsidRPr="2C54FF09">
        <w:rPr>
          <w:lang w:val="en-GB"/>
        </w:rPr>
        <w:t xml:space="preserve"> </w:t>
      </w:r>
      <w:r w:rsidRPr="2C54FF09">
        <w:rPr>
          <w:lang w:val="en-GB"/>
        </w:rPr>
        <w:t>2022 to enable a systematic, coordinated</w:t>
      </w:r>
      <w:r w:rsidR="00C9000D" w:rsidRPr="2C54FF09">
        <w:rPr>
          <w:lang w:val="en-GB"/>
        </w:rPr>
        <w:t>,</w:t>
      </w:r>
      <w:r w:rsidRPr="2C54FF09">
        <w:rPr>
          <w:lang w:val="en-GB"/>
        </w:rPr>
        <w:t xml:space="preserve"> and consistent approach to partnering with and funding multilateral </w:t>
      </w:r>
      <w:r w:rsidR="00CF2D78">
        <w:rPr>
          <w:lang w:val="en-GB"/>
        </w:rPr>
        <w:t xml:space="preserve">and other </w:t>
      </w:r>
      <w:r w:rsidR="00C9000D" w:rsidRPr="2C54FF09">
        <w:rPr>
          <w:lang w:val="en-GB"/>
        </w:rPr>
        <w:t xml:space="preserve">humanitarian </w:t>
      </w:r>
      <w:r w:rsidR="00CF2D78">
        <w:rPr>
          <w:lang w:val="en-GB"/>
        </w:rPr>
        <w:t>partners</w:t>
      </w:r>
      <w:r w:rsidRPr="2C54FF09">
        <w:rPr>
          <w:lang w:val="en-GB"/>
        </w:rPr>
        <w:t xml:space="preserve">, and to </w:t>
      </w:r>
      <w:r w:rsidRPr="00345BDB">
        <w:rPr>
          <w:lang w:val="en-GB"/>
        </w:rPr>
        <w:t xml:space="preserve">secure more robust compliance and safeguards measures in alignment with Australian </w:t>
      </w:r>
      <w:r w:rsidR="00014422" w:rsidRPr="00345BDB">
        <w:rPr>
          <w:lang w:val="en-GB"/>
        </w:rPr>
        <w:t>policy and laws</w:t>
      </w:r>
      <w:r w:rsidRPr="00345BDB">
        <w:rPr>
          <w:lang w:val="en-GB"/>
        </w:rPr>
        <w:t xml:space="preserve">. </w:t>
      </w:r>
      <w:r w:rsidR="00566589" w:rsidRPr="00345BDB">
        <w:rPr>
          <w:lang w:val="en-GB"/>
        </w:rPr>
        <w:t>The SPFs include indicative allocations of baseline core funding over an initial period of four years</w:t>
      </w:r>
      <w:r w:rsidR="0002496C" w:rsidRPr="00345BDB">
        <w:rPr>
          <w:lang w:val="en-GB"/>
        </w:rPr>
        <w:t>, subject to budget appropriations</w:t>
      </w:r>
      <w:r w:rsidR="00566589" w:rsidRPr="00345BDB">
        <w:rPr>
          <w:lang w:val="en-GB"/>
        </w:rPr>
        <w:t>.</w:t>
      </w:r>
      <w:r w:rsidR="00A41979" w:rsidRPr="00345BDB">
        <w:rPr>
          <w:lang w:val="en-GB"/>
        </w:rPr>
        <w:t xml:space="preserve"> </w:t>
      </w:r>
      <w:r w:rsidR="00C20D63" w:rsidRPr="00345BDB">
        <w:rPr>
          <w:lang w:val="en-GB"/>
        </w:rPr>
        <w:t xml:space="preserve">The Department of Home Affairs </w:t>
      </w:r>
      <w:r w:rsidR="00A41979" w:rsidRPr="00345BDB">
        <w:rPr>
          <w:lang w:val="en-GB"/>
        </w:rPr>
        <w:t>is a partner with DFAT to the UNHCR SPF</w:t>
      </w:r>
      <w:r w:rsidR="00384CB1" w:rsidRPr="00345BDB">
        <w:rPr>
          <w:lang w:val="en-GB"/>
        </w:rPr>
        <w:t>.</w:t>
      </w:r>
      <w:r w:rsidR="00157669" w:rsidRPr="00345BDB">
        <w:rPr>
          <w:lang w:val="en-GB"/>
        </w:rPr>
        <w:t xml:space="preserve"> </w:t>
      </w:r>
      <w:r w:rsidR="00437936" w:rsidRPr="00345BDB">
        <w:rPr>
          <w:lang w:val="en-GB"/>
        </w:rPr>
        <w:t>In addition to standard</w:t>
      </w:r>
      <w:r w:rsidR="00437936" w:rsidRPr="00C363CC">
        <w:rPr>
          <w:lang w:val="en-GB"/>
        </w:rPr>
        <w:t xml:space="preserve"> </w:t>
      </w:r>
      <w:r w:rsidR="0037138F" w:rsidRPr="00C363CC">
        <w:rPr>
          <w:lang w:val="en-GB"/>
        </w:rPr>
        <w:t>contractual clauses on funding, t</w:t>
      </w:r>
      <w:r w:rsidR="006225E8" w:rsidRPr="00C363CC">
        <w:rPr>
          <w:lang w:val="en-GB"/>
        </w:rPr>
        <w:t>he</w:t>
      </w:r>
      <w:r w:rsidR="00FC62F0" w:rsidRPr="00C363CC">
        <w:rPr>
          <w:lang w:val="en-GB"/>
        </w:rPr>
        <w:t xml:space="preserve"> SPFs</w:t>
      </w:r>
      <w:r w:rsidR="006225E8" w:rsidRPr="00C363CC">
        <w:rPr>
          <w:lang w:val="en-GB"/>
        </w:rPr>
        <w:t xml:space="preserve"> include</w:t>
      </w:r>
      <w:r w:rsidR="00464A0F" w:rsidRPr="00C363CC">
        <w:rPr>
          <w:lang w:val="en-GB"/>
        </w:rPr>
        <w:t xml:space="preserve"> </w:t>
      </w:r>
      <w:r w:rsidR="00B85CC4" w:rsidRPr="00C363CC">
        <w:rPr>
          <w:lang w:val="en-GB"/>
        </w:rPr>
        <w:t>shared partnership objectives and deliverables,</w:t>
      </w:r>
      <w:r w:rsidR="00464A0F" w:rsidRPr="00C363CC">
        <w:rPr>
          <w:lang w:val="en-GB"/>
        </w:rPr>
        <w:t xml:space="preserve"> </w:t>
      </w:r>
      <w:r w:rsidR="00C23F79" w:rsidRPr="00C363CC">
        <w:rPr>
          <w:lang w:val="en-GB"/>
        </w:rPr>
        <w:t>partnership implementation</w:t>
      </w:r>
      <w:r w:rsidR="00257933" w:rsidRPr="00C363CC">
        <w:rPr>
          <w:lang w:val="en-GB"/>
        </w:rPr>
        <w:t xml:space="preserve"> principles</w:t>
      </w:r>
      <w:r w:rsidR="00C23F79" w:rsidRPr="00C363CC">
        <w:rPr>
          <w:lang w:val="en-GB"/>
        </w:rPr>
        <w:t>,</w:t>
      </w:r>
      <w:r w:rsidR="00257933" w:rsidRPr="00C363CC">
        <w:rPr>
          <w:lang w:val="en-GB"/>
        </w:rPr>
        <w:t xml:space="preserve"> clauses on risk management and safeguarding</w:t>
      </w:r>
      <w:r w:rsidR="00C9000D" w:rsidRPr="00C363CC">
        <w:rPr>
          <w:lang w:val="en-GB"/>
        </w:rPr>
        <w:t>,</w:t>
      </w:r>
      <w:r w:rsidR="00437936" w:rsidRPr="00C363CC">
        <w:rPr>
          <w:lang w:val="en-GB"/>
        </w:rPr>
        <w:t xml:space="preserve"> and </w:t>
      </w:r>
      <w:r w:rsidR="00C9000D" w:rsidRPr="00C363CC">
        <w:rPr>
          <w:lang w:val="en-GB"/>
        </w:rPr>
        <w:t>stipulations concerning</w:t>
      </w:r>
      <w:r w:rsidR="00C9000D" w:rsidRPr="2C54FF09">
        <w:rPr>
          <w:lang w:val="en-GB"/>
        </w:rPr>
        <w:t xml:space="preserve"> </w:t>
      </w:r>
      <w:r w:rsidR="00437936" w:rsidRPr="2C54FF09">
        <w:rPr>
          <w:lang w:val="en-GB"/>
        </w:rPr>
        <w:t>performance and reporting.</w:t>
      </w:r>
      <w:r w:rsidR="00C23F79" w:rsidRPr="2C54FF09">
        <w:rPr>
          <w:lang w:val="en-GB"/>
        </w:rPr>
        <w:t xml:space="preserve"> </w:t>
      </w:r>
      <w:r w:rsidR="00DB1CF5" w:rsidRPr="2C54FF09">
        <w:rPr>
          <w:lang w:val="en-GB"/>
        </w:rPr>
        <w:t xml:space="preserve">Shared partnership objectives </w:t>
      </w:r>
      <w:r w:rsidR="007D41B2" w:rsidRPr="2C54FF09">
        <w:rPr>
          <w:lang w:val="en-GB"/>
        </w:rPr>
        <w:t xml:space="preserve">and </w:t>
      </w:r>
      <w:r w:rsidR="007D41B2" w:rsidRPr="2C54FF09">
        <w:rPr>
          <w:lang w:val="en-GB"/>
        </w:rPr>
        <w:lastRenderedPageBreak/>
        <w:t>deliverables vary across SPFs</w:t>
      </w:r>
      <w:r w:rsidR="0011526C" w:rsidRPr="2C54FF09">
        <w:rPr>
          <w:lang w:val="en-GB"/>
        </w:rPr>
        <w:t>;</w:t>
      </w:r>
      <w:r w:rsidR="007D41B2" w:rsidRPr="2C54FF09">
        <w:rPr>
          <w:lang w:val="en-GB"/>
        </w:rPr>
        <w:t xml:space="preserve"> there are 120 objectives in total (see </w:t>
      </w:r>
      <w:r w:rsidR="001E4809">
        <w:rPr>
          <w:lang w:val="en-GB"/>
        </w:rPr>
        <w:t>KEQ</w:t>
      </w:r>
      <w:r w:rsidR="00213ED5" w:rsidRPr="2C54FF09">
        <w:rPr>
          <w:lang w:val="en-GB"/>
        </w:rPr>
        <w:t xml:space="preserve"> 2: Effectiveness</w:t>
      </w:r>
      <w:r w:rsidR="00C9000D" w:rsidRPr="2C54FF09">
        <w:rPr>
          <w:lang w:val="en-GB"/>
        </w:rPr>
        <w:t xml:space="preserve"> for further discussion</w:t>
      </w:r>
      <w:r w:rsidR="007D41B2" w:rsidRPr="2C54FF09">
        <w:rPr>
          <w:lang w:val="en-GB"/>
        </w:rPr>
        <w:t xml:space="preserve">). However, common themes across all SPFs include </w:t>
      </w:r>
      <w:r w:rsidR="00F90CAD" w:rsidRPr="2C54FF09">
        <w:rPr>
          <w:lang w:val="en-GB"/>
        </w:rPr>
        <w:t xml:space="preserve">Australian policy priorities such as support to the </w:t>
      </w:r>
      <w:r w:rsidR="00C9000D" w:rsidRPr="2C54FF09">
        <w:rPr>
          <w:lang w:val="en-GB"/>
        </w:rPr>
        <w:t>Indo-</w:t>
      </w:r>
      <w:r w:rsidR="00F90CAD" w:rsidRPr="2C54FF09">
        <w:rPr>
          <w:lang w:val="en-GB"/>
        </w:rPr>
        <w:t xml:space="preserve">Pacific region, and </w:t>
      </w:r>
      <w:r w:rsidR="00384CB1">
        <w:rPr>
          <w:lang w:val="en-GB"/>
        </w:rPr>
        <w:t xml:space="preserve">advancing </w:t>
      </w:r>
      <w:r w:rsidR="00F90CAD" w:rsidRPr="2C54FF09">
        <w:rPr>
          <w:lang w:val="en-GB"/>
        </w:rPr>
        <w:t>gender equality, disability</w:t>
      </w:r>
      <w:r w:rsidR="00C9000D" w:rsidRPr="2C54FF09">
        <w:rPr>
          <w:lang w:val="en-GB"/>
        </w:rPr>
        <w:t xml:space="preserve">, </w:t>
      </w:r>
      <w:r w:rsidR="00F90CAD" w:rsidRPr="2C54FF09">
        <w:rPr>
          <w:lang w:val="en-GB"/>
        </w:rPr>
        <w:t xml:space="preserve">social inclusion (GEDSI) principles. SPFs also include specific clauses which seek to improve reporting on performance and compliance with domestic legislation, including Australian </w:t>
      </w:r>
      <w:r w:rsidR="004A511B" w:rsidRPr="2C54FF09">
        <w:rPr>
          <w:lang w:val="en-GB"/>
        </w:rPr>
        <w:t>counterterrorism</w:t>
      </w:r>
      <w:r w:rsidR="00F90CAD" w:rsidRPr="2C54FF09">
        <w:rPr>
          <w:lang w:val="en-GB"/>
        </w:rPr>
        <w:t xml:space="preserve"> and sanctions laws.</w:t>
      </w:r>
      <w:r w:rsidR="00F90CAD" w:rsidRPr="2C54FF09">
        <w:rPr>
          <w:rStyle w:val="FootnoteReference"/>
          <w:lang w:val="en-GB"/>
        </w:rPr>
        <w:footnoteReference w:id="12"/>
      </w:r>
      <w:r w:rsidR="00633D98" w:rsidRPr="2C54FF09">
        <w:rPr>
          <w:lang w:val="en-GB"/>
        </w:rPr>
        <w:t xml:space="preserve"> </w:t>
      </w:r>
      <w:r w:rsidR="00E558A6">
        <w:rPr>
          <w:lang w:val="en-GB"/>
        </w:rPr>
        <w:t xml:space="preserve">The SPFs </w:t>
      </w:r>
      <w:r w:rsidR="00FC62F0" w:rsidRPr="2C54FF09">
        <w:rPr>
          <w:lang w:val="en-GB"/>
        </w:rPr>
        <w:t xml:space="preserve">are </w:t>
      </w:r>
      <w:r w:rsidR="00566589" w:rsidRPr="2C54FF09">
        <w:rPr>
          <w:lang w:val="en-GB"/>
        </w:rPr>
        <w:t xml:space="preserve">due to expire </w:t>
      </w:r>
      <w:r w:rsidR="003C5B37">
        <w:rPr>
          <w:lang w:val="en-GB"/>
        </w:rPr>
        <w:t xml:space="preserve">on </w:t>
      </w:r>
      <w:proofErr w:type="gramStart"/>
      <w:r w:rsidR="003C5B37">
        <w:rPr>
          <w:lang w:val="en-GB"/>
        </w:rPr>
        <w:t xml:space="preserve">30 </w:t>
      </w:r>
      <w:r w:rsidR="00566589" w:rsidRPr="2C54FF09">
        <w:rPr>
          <w:lang w:val="en-GB"/>
        </w:rPr>
        <w:t xml:space="preserve"> June</w:t>
      </w:r>
      <w:proofErr w:type="gramEnd"/>
      <w:r w:rsidR="00566589" w:rsidRPr="2C54FF09">
        <w:rPr>
          <w:lang w:val="en-GB"/>
        </w:rPr>
        <w:t xml:space="preserve"> 2026</w:t>
      </w:r>
      <w:r w:rsidR="42E6284D" w:rsidRPr="2C54FF09">
        <w:rPr>
          <w:lang w:val="en-GB"/>
        </w:rPr>
        <w:t>.</w:t>
      </w:r>
    </w:p>
    <w:p w14:paraId="5AC57312" w14:textId="4A394238" w:rsidR="006E0CA7" w:rsidRDefault="00C8152D" w:rsidP="007F1D9A">
      <w:pPr>
        <w:rPr>
          <w:szCs w:val="20"/>
          <w:lang w:val="en-GB"/>
        </w:rPr>
      </w:pPr>
      <w:r>
        <w:rPr>
          <w:szCs w:val="20"/>
          <w:lang w:val="en-GB"/>
        </w:rPr>
        <w:t>P</w:t>
      </w:r>
      <w:r w:rsidR="002337D4">
        <w:rPr>
          <w:szCs w:val="20"/>
          <w:lang w:val="en-GB"/>
        </w:rPr>
        <w:t xml:space="preserve">artnership managers </w:t>
      </w:r>
      <w:r w:rsidR="00BE6BBD">
        <w:rPr>
          <w:szCs w:val="20"/>
          <w:lang w:val="en-GB"/>
        </w:rPr>
        <w:t>in DFAT’s H</w:t>
      </w:r>
      <w:r w:rsidR="00134F13">
        <w:rPr>
          <w:szCs w:val="20"/>
          <w:lang w:val="en-GB"/>
        </w:rPr>
        <w:t xml:space="preserve">PD </w:t>
      </w:r>
      <w:r>
        <w:rPr>
          <w:szCs w:val="20"/>
          <w:lang w:val="en-GB"/>
        </w:rPr>
        <w:t xml:space="preserve">provide day to day management and oversight of the </w:t>
      </w:r>
      <w:r w:rsidR="00976229">
        <w:rPr>
          <w:szCs w:val="20"/>
          <w:lang w:val="en-GB"/>
        </w:rPr>
        <w:t xml:space="preserve">humanitarian </w:t>
      </w:r>
      <w:r>
        <w:rPr>
          <w:szCs w:val="20"/>
          <w:lang w:val="en-GB"/>
        </w:rPr>
        <w:t>SPF</w:t>
      </w:r>
      <w:r w:rsidR="00976229">
        <w:rPr>
          <w:szCs w:val="20"/>
          <w:lang w:val="en-GB"/>
        </w:rPr>
        <w:t>s</w:t>
      </w:r>
      <w:r w:rsidR="006E0CA7">
        <w:rPr>
          <w:szCs w:val="20"/>
          <w:lang w:val="en-GB"/>
        </w:rPr>
        <w:t>, in close collaboration with DFAT bilateral and multilateral Posts, policy</w:t>
      </w:r>
      <w:r w:rsidR="00213ED5">
        <w:rPr>
          <w:szCs w:val="20"/>
          <w:lang w:val="en-GB"/>
        </w:rPr>
        <w:t>,</w:t>
      </w:r>
      <w:r w:rsidR="00F02534">
        <w:rPr>
          <w:szCs w:val="20"/>
          <w:lang w:val="en-GB"/>
        </w:rPr>
        <w:t xml:space="preserve"> </w:t>
      </w:r>
      <w:r w:rsidR="006E0CA7">
        <w:rPr>
          <w:szCs w:val="20"/>
          <w:lang w:val="en-GB"/>
        </w:rPr>
        <w:t>risk</w:t>
      </w:r>
      <w:r w:rsidR="00F02534">
        <w:rPr>
          <w:szCs w:val="20"/>
          <w:lang w:val="en-GB"/>
        </w:rPr>
        <w:t>,</w:t>
      </w:r>
      <w:r w:rsidR="006E0CA7">
        <w:rPr>
          <w:szCs w:val="20"/>
          <w:lang w:val="en-GB"/>
        </w:rPr>
        <w:t xml:space="preserve"> and safeguarding sections</w:t>
      </w:r>
      <w:r w:rsidR="00BE6BBD">
        <w:rPr>
          <w:szCs w:val="20"/>
          <w:lang w:val="en-GB"/>
        </w:rPr>
        <w:t>.</w:t>
      </w:r>
    </w:p>
    <w:p w14:paraId="7970CC97" w14:textId="551DE3C7" w:rsidR="00566589" w:rsidRPr="00976229" w:rsidRDefault="007C0A04" w:rsidP="007F1D9A">
      <w:pPr>
        <w:rPr>
          <w:szCs w:val="20"/>
          <w:lang w:val="en-GB"/>
        </w:rPr>
      </w:pPr>
      <w:r>
        <w:rPr>
          <w:szCs w:val="20"/>
          <w:lang w:val="en-GB"/>
        </w:rPr>
        <w:t xml:space="preserve">Consistent with the principles of Good Humanitarian Donorship, </w:t>
      </w:r>
      <w:r w:rsidR="00BE6BBD">
        <w:rPr>
          <w:szCs w:val="20"/>
          <w:lang w:val="en-GB"/>
        </w:rPr>
        <w:t>DFAT</w:t>
      </w:r>
      <w:r w:rsidR="00596475">
        <w:rPr>
          <w:szCs w:val="20"/>
          <w:lang w:val="en-GB"/>
        </w:rPr>
        <w:t xml:space="preserve"> has largely relied on partners</w:t>
      </w:r>
      <w:r w:rsidR="00F02534">
        <w:rPr>
          <w:szCs w:val="20"/>
          <w:lang w:val="en-GB"/>
        </w:rPr>
        <w:t>’</w:t>
      </w:r>
      <w:r w:rsidR="00596475">
        <w:rPr>
          <w:szCs w:val="20"/>
          <w:lang w:val="en-GB"/>
        </w:rPr>
        <w:t xml:space="preserve"> existing </w:t>
      </w:r>
      <w:r w:rsidR="000D7E1D">
        <w:rPr>
          <w:szCs w:val="20"/>
          <w:lang w:val="en-GB"/>
        </w:rPr>
        <w:t xml:space="preserve">annual reporting </w:t>
      </w:r>
      <w:r w:rsidR="00AE6FC0">
        <w:rPr>
          <w:szCs w:val="20"/>
          <w:lang w:val="en-GB"/>
        </w:rPr>
        <w:t>and</w:t>
      </w:r>
      <w:r w:rsidR="00D35617">
        <w:rPr>
          <w:szCs w:val="20"/>
          <w:lang w:val="en-GB"/>
        </w:rPr>
        <w:t xml:space="preserve"> </w:t>
      </w:r>
      <w:r w:rsidR="007F1D9A" w:rsidRPr="007F1D9A">
        <w:rPr>
          <w:szCs w:val="20"/>
        </w:rPr>
        <w:t>Multilateral Performance Network</w:t>
      </w:r>
      <w:r w:rsidR="00810D3F">
        <w:rPr>
          <w:szCs w:val="20"/>
        </w:rPr>
        <w:t xml:space="preserve"> (MOPAN)</w:t>
      </w:r>
      <w:r w:rsidR="00AE6FC0">
        <w:rPr>
          <w:szCs w:val="20"/>
          <w:lang w:val="en-GB"/>
        </w:rPr>
        <w:t xml:space="preserve"> joint-</w:t>
      </w:r>
      <w:r w:rsidR="007F1D9A">
        <w:rPr>
          <w:szCs w:val="20"/>
          <w:lang w:val="en-GB"/>
        </w:rPr>
        <w:t>reporting</w:t>
      </w:r>
      <w:r w:rsidR="00B774C1">
        <w:rPr>
          <w:rStyle w:val="FootnoteReference"/>
          <w:szCs w:val="20"/>
          <w:lang w:val="en-GB"/>
        </w:rPr>
        <w:footnoteReference w:id="13"/>
      </w:r>
      <w:r w:rsidR="007F1D9A">
        <w:rPr>
          <w:szCs w:val="20"/>
          <w:lang w:val="en-GB"/>
        </w:rPr>
        <w:t xml:space="preserve"> to track pro</w:t>
      </w:r>
      <w:r w:rsidR="00976229">
        <w:rPr>
          <w:szCs w:val="20"/>
          <w:lang w:val="en-GB"/>
        </w:rPr>
        <w:t>gr</w:t>
      </w:r>
      <w:r w:rsidR="007F1D9A">
        <w:rPr>
          <w:szCs w:val="20"/>
          <w:lang w:val="en-GB"/>
        </w:rPr>
        <w:t>ess</w:t>
      </w:r>
      <w:r w:rsidR="00F02534">
        <w:rPr>
          <w:szCs w:val="20"/>
          <w:lang w:val="en-GB"/>
        </w:rPr>
        <w:t xml:space="preserve"> of the SPFs</w:t>
      </w:r>
      <w:r w:rsidR="007F1D9A">
        <w:rPr>
          <w:szCs w:val="20"/>
          <w:lang w:val="en-GB"/>
        </w:rPr>
        <w:t xml:space="preserve">. </w:t>
      </w:r>
      <w:r w:rsidR="005066A2">
        <w:rPr>
          <w:szCs w:val="20"/>
          <w:lang w:val="en-GB"/>
        </w:rPr>
        <w:t>In addition,</w:t>
      </w:r>
      <w:r w:rsidR="007F1D9A">
        <w:rPr>
          <w:szCs w:val="20"/>
          <w:lang w:val="en-GB"/>
        </w:rPr>
        <w:t xml:space="preserve"> DFAT’s </w:t>
      </w:r>
      <w:r w:rsidR="005B7904">
        <w:rPr>
          <w:szCs w:val="20"/>
          <w:lang w:val="en-GB"/>
        </w:rPr>
        <w:t>H</w:t>
      </w:r>
      <w:r w:rsidR="00134F13">
        <w:rPr>
          <w:szCs w:val="20"/>
          <w:lang w:val="en-GB"/>
        </w:rPr>
        <w:t>PD</w:t>
      </w:r>
      <w:r w:rsidR="005B7904">
        <w:rPr>
          <w:szCs w:val="20"/>
          <w:lang w:val="en-GB"/>
        </w:rPr>
        <w:t xml:space="preserve"> has commissioned </w:t>
      </w:r>
      <w:r>
        <w:rPr>
          <w:szCs w:val="20"/>
          <w:lang w:val="en-GB"/>
        </w:rPr>
        <w:t xml:space="preserve">a baseline assessment and </w:t>
      </w:r>
      <w:r w:rsidR="005B7904">
        <w:rPr>
          <w:szCs w:val="20"/>
          <w:lang w:val="en-GB"/>
        </w:rPr>
        <w:t xml:space="preserve">annual </w:t>
      </w:r>
      <w:r w:rsidR="004E4471">
        <w:rPr>
          <w:szCs w:val="20"/>
          <w:lang w:val="en-GB"/>
        </w:rPr>
        <w:t>Performance Arrangement</w:t>
      </w:r>
      <w:r w:rsidR="005B7904">
        <w:rPr>
          <w:szCs w:val="20"/>
          <w:lang w:val="en-GB"/>
        </w:rPr>
        <w:t xml:space="preserve"> </w:t>
      </w:r>
      <w:r w:rsidR="00A64C01">
        <w:rPr>
          <w:rFonts w:ascii="Arial" w:eastAsia="Aptos" w:hAnsi="Arial" w:cs="Arial"/>
          <w:color w:val="auto"/>
          <w:kern w:val="2"/>
          <w:szCs w:val="20"/>
          <w:lang w:val="en-GB" w:eastAsia="en-US"/>
          <w14:ligatures w14:val="standardContextual"/>
        </w:rPr>
        <w:t>assessments for each SPF partner</w:t>
      </w:r>
      <w:r w:rsidR="004F139F">
        <w:rPr>
          <w:rFonts w:ascii="Arial" w:eastAsia="Aptos" w:hAnsi="Arial" w:cs="Arial"/>
          <w:color w:val="auto"/>
          <w:kern w:val="2"/>
          <w:szCs w:val="20"/>
          <w:lang w:val="en-GB" w:eastAsia="en-US"/>
          <w14:ligatures w14:val="standardContextual"/>
        </w:rPr>
        <w:t>,</w:t>
      </w:r>
      <w:r w:rsidR="00A64C01">
        <w:rPr>
          <w:rFonts w:ascii="Arial" w:eastAsia="Aptos" w:hAnsi="Arial" w:cs="Arial"/>
          <w:color w:val="auto"/>
          <w:kern w:val="2"/>
          <w:szCs w:val="20"/>
          <w:lang w:val="en-GB" w:eastAsia="en-US"/>
          <w14:ligatures w14:val="standardContextual"/>
        </w:rPr>
        <w:t xml:space="preserve"> and completed </w:t>
      </w:r>
      <w:r w:rsidR="00976229">
        <w:rPr>
          <w:szCs w:val="20"/>
          <w:lang w:val="en-GB"/>
        </w:rPr>
        <w:t>C</w:t>
      </w:r>
      <w:r w:rsidR="00B24108">
        <w:rPr>
          <w:szCs w:val="20"/>
          <w:lang w:val="en-GB"/>
        </w:rPr>
        <w:t>entral</w:t>
      </w:r>
      <w:r w:rsidR="00976229">
        <w:rPr>
          <w:szCs w:val="20"/>
          <w:lang w:val="en-GB"/>
        </w:rPr>
        <w:t xml:space="preserve"> Assurance Assessments </w:t>
      </w:r>
      <w:r w:rsidR="0028079D">
        <w:rPr>
          <w:szCs w:val="20"/>
          <w:lang w:val="en-GB"/>
        </w:rPr>
        <w:t xml:space="preserve">of </w:t>
      </w:r>
      <w:r w:rsidR="00E5104B">
        <w:rPr>
          <w:szCs w:val="20"/>
          <w:lang w:val="en-GB"/>
        </w:rPr>
        <w:t xml:space="preserve">OCHA, ICRC and WFP </w:t>
      </w:r>
      <w:r w:rsidR="004F139F">
        <w:rPr>
          <w:szCs w:val="20"/>
          <w:lang w:val="en-GB"/>
        </w:rPr>
        <w:t>with FCDO</w:t>
      </w:r>
      <w:r w:rsidR="00976229">
        <w:rPr>
          <w:szCs w:val="20"/>
          <w:lang w:val="en-GB"/>
        </w:rPr>
        <w:t>.</w:t>
      </w:r>
      <w:r w:rsidR="001C730B">
        <w:rPr>
          <w:rStyle w:val="FootnoteReference"/>
          <w:szCs w:val="20"/>
          <w:lang w:val="en-GB"/>
        </w:rPr>
        <w:footnoteReference w:id="14"/>
      </w:r>
      <w:r w:rsidR="00976229">
        <w:rPr>
          <w:szCs w:val="20"/>
          <w:lang w:val="en-GB"/>
        </w:rPr>
        <w:t xml:space="preserve"> </w:t>
      </w:r>
      <w:r w:rsidR="00D54A65">
        <w:rPr>
          <w:szCs w:val="20"/>
          <w:lang w:val="en-GB"/>
        </w:rPr>
        <w:t>A</w:t>
      </w:r>
      <w:r w:rsidR="00F05F81">
        <w:rPr>
          <w:szCs w:val="20"/>
          <w:lang w:val="en-GB"/>
        </w:rPr>
        <w:t xml:space="preserve"> </w:t>
      </w:r>
      <w:r w:rsidR="000370CE">
        <w:rPr>
          <w:szCs w:val="20"/>
          <w:lang w:val="en-GB"/>
        </w:rPr>
        <w:t xml:space="preserve">pilot </w:t>
      </w:r>
      <w:r w:rsidR="009B2FAE">
        <w:rPr>
          <w:szCs w:val="20"/>
          <w:lang w:val="en-GB"/>
        </w:rPr>
        <w:t xml:space="preserve">MPA </w:t>
      </w:r>
      <w:r w:rsidR="00F05F81">
        <w:rPr>
          <w:szCs w:val="20"/>
          <w:lang w:val="en-GB"/>
        </w:rPr>
        <w:t xml:space="preserve">was completed </w:t>
      </w:r>
      <w:r w:rsidR="00D54A65">
        <w:rPr>
          <w:szCs w:val="20"/>
          <w:lang w:val="en-GB"/>
        </w:rPr>
        <w:t>for</w:t>
      </w:r>
      <w:r w:rsidR="00AE7C05">
        <w:rPr>
          <w:szCs w:val="20"/>
          <w:lang w:val="en-GB"/>
        </w:rPr>
        <w:t xml:space="preserve"> WFP</w:t>
      </w:r>
      <w:r w:rsidR="00CD2B86">
        <w:rPr>
          <w:szCs w:val="20"/>
          <w:lang w:val="en-GB"/>
        </w:rPr>
        <w:t xml:space="preserve"> in </w:t>
      </w:r>
      <w:r w:rsidR="0007651D">
        <w:rPr>
          <w:szCs w:val="20"/>
          <w:lang w:val="en-GB"/>
        </w:rPr>
        <w:t>2024</w:t>
      </w:r>
      <w:r w:rsidR="00D73E81">
        <w:rPr>
          <w:szCs w:val="20"/>
          <w:lang w:val="en-GB"/>
        </w:rPr>
        <w:t>.</w:t>
      </w:r>
      <w:r w:rsidR="00CD2B86">
        <w:rPr>
          <w:rStyle w:val="FootnoteReference"/>
          <w:szCs w:val="20"/>
          <w:lang w:val="en-GB"/>
        </w:rPr>
        <w:footnoteReference w:id="15"/>
      </w:r>
      <w:r w:rsidR="00976229">
        <w:rPr>
          <w:szCs w:val="20"/>
          <w:lang w:val="en-GB"/>
        </w:rPr>
        <w:t xml:space="preserve"> </w:t>
      </w:r>
      <w:r w:rsidR="001A5921">
        <w:rPr>
          <w:szCs w:val="20"/>
          <w:lang w:val="en-GB"/>
        </w:rPr>
        <w:t xml:space="preserve">DFAT will extend </w:t>
      </w:r>
      <w:r w:rsidR="008E5DA4">
        <w:rPr>
          <w:szCs w:val="20"/>
          <w:lang w:val="en-GB"/>
        </w:rPr>
        <w:t>the pilot to all partners in 2025</w:t>
      </w:r>
      <w:r w:rsidR="007C4106">
        <w:rPr>
          <w:szCs w:val="20"/>
          <w:lang w:val="en-GB"/>
        </w:rPr>
        <w:t>.</w:t>
      </w:r>
      <w:r w:rsidR="00080B7A">
        <w:rPr>
          <w:rStyle w:val="FootnoteReference"/>
          <w:szCs w:val="20"/>
          <w:lang w:val="en-GB"/>
        </w:rPr>
        <w:footnoteReference w:id="16"/>
      </w:r>
    </w:p>
    <w:p w14:paraId="25C78B15" w14:textId="0C5AC6FD" w:rsidR="00862CBF" w:rsidRPr="004A511B" w:rsidRDefault="00F02534" w:rsidP="004A511B">
      <w:pPr>
        <w:rPr>
          <w:szCs w:val="20"/>
          <w:lang w:val="en-GB"/>
        </w:rPr>
      </w:pPr>
      <w:r>
        <w:rPr>
          <w:szCs w:val="20"/>
          <w:lang w:val="en-GB"/>
        </w:rPr>
        <w:t>EOL</w:t>
      </w:r>
      <w:r w:rsidR="0052580E" w:rsidRPr="00566589">
        <w:rPr>
          <w:szCs w:val="20"/>
          <w:lang w:val="en-GB"/>
        </w:rPr>
        <w:t xml:space="preserve"> templates </w:t>
      </w:r>
      <w:r w:rsidR="007D41B2">
        <w:rPr>
          <w:szCs w:val="20"/>
          <w:lang w:val="en-GB"/>
        </w:rPr>
        <w:t xml:space="preserve">attached to each SPF </w:t>
      </w:r>
      <w:r w:rsidR="0052580E" w:rsidRPr="00566589">
        <w:rPr>
          <w:szCs w:val="20"/>
          <w:lang w:val="en-GB"/>
        </w:rPr>
        <w:t xml:space="preserve">enable the quick provision of funding earmarked for </w:t>
      </w:r>
      <w:proofErr w:type="gramStart"/>
      <w:r w:rsidR="0052580E" w:rsidRPr="00566589">
        <w:rPr>
          <w:szCs w:val="20"/>
          <w:lang w:val="en-GB"/>
        </w:rPr>
        <w:t>particular country</w:t>
      </w:r>
      <w:proofErr w:type="gramEnd"/>
      <w:r w:rsidR="0052580E" w:rsidRPr="00566589">
        <w:rPr>
          <w:szCs w:val="20"/>
          <w:lang w:val="en-GB"/>
        </w:rPr>
        <w:t>, regional</w:t>
      </w:r>
      <w:r>
        <w:rPr>
          <w:szCs w:val="20"/>
          <w:lang w:val="en-GB"/>
        </w:rPr>
        <w:t>,</w:t>
      </w:r>
      <w:r w:rsidR="0052580E" w:rsidRPr="00566589">
        <w:rPr>
          <w:szCs w:val="20"/>
          <w:lang w:val="en-GB"/>
        </w:rPr>
        <w:t xml:space="preserve"> or thematic investment, and reinforce the principles, objectives</w:t>
      </w:r>
      <w:r>
        <w:rPr>
          <w:szCs w:val="20"/>
          <w:lang w:val="en-GB"/>
        </w:rPr>
        <w:t>,</w:t>
      </w:r>
      <w:r w:rsidR="0052580E" w:rsidRPr="00566589">
        <w:rPr>
          <w:szCs w:val="20"/>
          <w:lang w:val="en-GB"/>
        </w:rPr>
        <w:t xml:space="preserve"> and safeguards of the </w:t>
      </w:r>
      <w:r>
        <w:rPr>
          <w:szCs w:val="20"/>
          <w:lang w:val="en-GB"/>
        </w:rPr>
        <w:t xml:space="preserve">relevant, headline </w:t>
      </w:r>
      <w:r w:rsidR="0052580E" w:rsidRPr="00566589">
        <w:rPr>
          <w:szCs w:val="20"/>
          <w:lang w:val="en-GB"/>
        </w:rPr>
        <w:t>SPF</w:t>
      </w:r>
      <w:r>
        <w:rPr>
          <w:szCs w:val="20"/>
          <w:lang w:val="en-GB"/>
        </w:rPr>
        <w:t xml:space="preserve"> to which they are attached</w:t>
      </w:r>
      <w:r w:rsidR="0052580E" w:rsidRPr="00566589">
        <w:rPr>
          <w:szCs w:val="20"/>
          <w:lang w:val="en-GB"/>
        </w:rPr>
        <w:t xml:space="preserve">. </w:t>
      </w:r>
      <w:r w:rsidR="007D41B2">
        <w:rPr>
          <w:szCs w:val="20"/>
          <w:lang w:val="en-GB"/>
        </w:rPr>
        <w:t xml:space="preserve">EOLs include standard clauses on </w:t>
      </w:r>
      <w:r w:rsidR="00B24972">
        <w:rPr>
          <w:szCs w:val="20"/>
          <w:lang w:val="en-GB"/>
        </w:rPr>
        <w:t>funding, risk management</w:t>
      </w:r>
      <w:r w:rsidR="00D22F60">
        <w:rPr>
          <w:szCs w:val="20"/>
          <w:lang w:val="en-GB"/>
        </w:rPr>
        <w:t>,</w:t>
      </w:r>
      <w:r w:rsidR="00B24972">
        <w:rPr>
          <w:szCs w:val="20"/>
          <w:lang w:val="en-GB"/>
        </w:rPr>
        <w:t xml:space="preserve"> and safeguarding, a</w:t>
      </w:r>
      <w:r>
        <w:rPr>
          <w:szCs w:val="20"/>
          <w:lang w:val="en-GB"/>
        </w:rPr>
        <w:t>longside</w:t>
      </w:r>
      <w:r w:rsidR="00B24972">
        <w:rPr>
          <w:szCs w:val="20"/>
          <w:lang w:val="en-GB"/>
        </w:rPr>
        <w:t xml:space="preserve"> optional </w:t>
      </w:r>
      <w:r>
        <w:rPr>
          <w:szCs w:val="20"/>
          <w:lang w:val="en-GB"/>
        </w:rPr>
        <w:t xml:space="preserve">clauses </w:t>
      </w:r>
      <w:r w:rsidR="00B24972">
        <w:rPr>
          <w:szCs w:val="20"/>
          <w:lang w:val="en-GB"/>
        </w:rPr>
        <w:t xml:space="preserve">which managers can </w:t>
      </w:r>
      <w:r w:rsidR="00722EEF">
        <w:rPr>
          <w:szCs w:val="20"/>
          <w:lang w:val="en-GB"/>
        </w:rPr>
        <w:t>include to require additional risk or reporting arrangements.</w:t>
      </w:r>
      <w:r w:rsidR="00722EEF">
        <w:rPr>
          <w:rStyle w:val="FootnoteReference"/>
          <w:szCs w:val="20"/>
          <w:lang w:val="en-GB"/>
        </w:rPr>
        <w:footnoteReference w:id="17"/>
      </w:r>
      <w:r w:rsidR="00722EEF">
        <w:rPr>
          <w:szCs w:val="20"/>
          <w:lang w:val="en-GB"/>
        </w:rPr>
        <w:t xml:space="preserve"> </w:t>
      </w:r>
      <w:r w:rsidR="008C7DA3">
        <w:rPr>
          <w:szCs w:val="20"/>
          <w:lang w:val="en-GB"/>
        </w:rPr>
        <w:t>F</w:t>
      </w:r>
      <w:r w:rsidR="0052580E" w:rsidRPr="00566589">
        <w:rPr>
          <w:szCs w:val="20"/>
          <w:lang w:val="en-GB"/>
        </w:rPr>
        <w:t xml:space="preserve">unding through EOLs can be multi-year or </w:t>
      </w:r>
      <w:r w:rsidR="00235956">
        <w:rPr>
          <w:szCs w:val="20"/>
          <w:lang w:val="en-GB"/>
        </w:rPr>
        <w:t>single</w:t>
      </w:r>
      <w:r w:rsidR="0052580E" w:rsidRPr="00566589">
        <w:rPr>
          <w:szCs w:val="20"/>
          <w:lang w:val="en-GB"/>
        </w:rPr>
        <w:t xml:space="preserve"> payments.</w:t>
      </w:r>
      <w:r w:rsidR="0095717E">
        <w:rPr>
          <w:b/>
          <w:bCs/>
          <w:szCs w:val="20"/>
          <w:lang w:val="en-GB"/>
        </w:rPr>
        <w:t xml:space="preserve"> </w:t>
      </w:r>
      <w:r w:rsidR="00C618A4">
        <w:rPr>
          <w:szCs w:val="20"/>
          <w:lang w:val="en-GB"/>
        </w:rPr>
        <w:t>EOLs are mainly managed by</w:t>
      </w:r>
      <w:r w:rsidR="002A440C">
        <w:rPr>
          <w:szCs w:val="20"/>
          <w:lang w:val="en-GB"/>
        </w:rPr>
        <w:t xml:space="preserve"> DFAT</w:t>
      </w:r>
      <w:r w:rsidR="004B2CE7">
        <w:rPr>
          <w:szCs w:val="20"/>
          <w:lang w:val="en-GB"/>
        </w:rPr>
        <w:t xml:space="preserve"> </w:t>
      </w:r>
      <w:r w:rsidR="00D22F60">
        <w:rPr>
          <w:szCs w:val="20"/>
          <w:lang w:val="en-GB"/>
        </w:rPr>
        <w:t>D</w:t>
      </w:r>
      <w:r w:rsidR="004B2CE7">
        <w:rPr>
          <w:szCs w:val="20"/>
          <w:lang w:val="en-GB"/>
        </w:rPr>
        <w:t xml:space="preserve">esks, </w:t>
      </w:r>
      <w:r w:rsidR="002A440C">
        <w:rPr>
          <w:szCs w:val="20"/>
          <w:lang w:val="en-GB"/>
        </w:rPr>
        <w:t>Posts</w:t>
      </w:r>
      <w:r w:rsidR="00D22F60">
        <w:rPr>
          <w:szCs w:val="20"/>
          <w:lang w:val="en-GB"/>
        </w:rPr>
        <w:t>,</w:t>
      </w:r>
      <w:r w:rsidR="002A440C">
        <w:rPr>
          <w:szCs w:val="20"/>
          <w:lang w:val="en-GB"/>
        </w:rPr>
        <w:t xml:space="preserve"> </w:t>
      </w:r>
      <w:r w:rsidR="002525A2">
        <w:rPr>
          <w:szCs w:val="20"/>
          <w:lang w:val="en-GB"/>
        </w:rPr>
        <w:t xml:space="preserve">or thematic teams, with support from </w:t>
      </w:r>
      <w:r w:rsidR="00134F13">
        <w:rPr>
          <w:szCs w:val="20"/>
          <w:lang w:val="en-GB"/>
        </w:rPr>
        <w:t>HPD</w:t>
      </w:r>
      <w:r w:rsidR="00B675E7">
        <w:rPr>
          <w:szCs w:val="20"/>
          <w:lang w:val="en-GB"/>
        </w:rPr>
        <w:t xml:space="preserve"> Partnership Managers. Reporting requirements vary</w:t>
      </w:r>
      <w:r w:rsidR="0083702E">
        <w:rPr>
          <w:szCs w:val="20"/>
          <w:lang w:val="en-GB"/>
        </w:rPr>
        <w:t xml:space="preserve">, with some DFAT </w:t>
      </w:r>
      <w:r w:rsidR="0011566B">
        <w:rPr>
          <w:szCs w:val="20"/>
          <w:lang w:val="en-GB"/>
        </w:rPr>
        <w:t xml:space="preserve">Posts and Desks incorporating specific reporting requirements and others relying on standard partner reporting (see </w:t>
      </w:r>
      <w:r w:rsidR="00D22F60">
        <w:rPr>
          <w:szCs w:val="20"/>
          <w:lang w:val="en-GB"/>
        </w:rPr>
        <w:t>K</w:t>
      </w:r>
      <w:r w:rsidR="003A1586">
        <w:rPr>
          <w:szCs w:val="20"/>
          <w:lang w:val="en-GB"/>
        </w:rPr>
        <w:t xml:space="preserve">EQ </w:t>
      </w:r>
      <w:r w:rsidR="002460A2">
        <w:rPr>
          <w:szCs w:val="20"/>
          <w:lang w:val="en-GB"/>
        </w:rPr>
        <w:t>2.3</w:t>
      </w:r>
      <w:r>
        <w:rPr>
          <w:szCs w:val="20"/>
          <w:lang w:val="en-GB"/>
        </w:rPr>
        <w:t xml:space="preserve"> for further discussion</w:t>
      </w:r>
      <w:r w:rsidR="0011566B">
        <w:rPr>
          <w:szCs w:val="20"/>
          <w:lang w:val="en-GB"/>
        </w:rPr>
        <w:t xml:space="preserve">). </w:t>
      </w:r>
      <w:r w:rsidR="00D74FC7">
        <w:rPr>
          <w:szCs w:val="20"/>
          <w:lang w:val="en-GB"/>
        </w:rPr>
        <w:t xml:space="preserve">DFAT reports on EOL performance through Investment Monitoring Reports </w:t>
      </w:r>
      <w:r>
        <w:rPr>
          <w:szCs w:val="20"/>
          <w:lang w:val="en-GB"/>
        </w:rPr>
        <w:t>(IMRs)</w:t>
      </w:r>
      <w:r w:rsidR="00D61AE8">
        <w:rPr>
          <w:szCs w:val="20"/>
          <w:lang w:val="en-GB"/>
        </w:rPr>
        <w:t>, Partner Performance Assessments (PPAs)</w:t>
      </w:r>
      <w:r>
        <w:rPr>
          <w:szCs w:val="20"/>
          <w:lang w:val="en-GB"/>
        </w:rPr>
        <w:t xml:space="preserve"> </w:t>
      </w:r>
      <w:r w:rsidR="00D74FC7">
        <w:rPr>
          <w:szCs w:val="20"/>
          <w:lang w:val="en-GB"/>
        </w:rPr>
        <w:t>and Final Investment Monitoring Reports</w:t>
      </w:r>
      <w:r>
        <w:rPr>
          <w:szCs w:val="20"/>
          <w:lang w:val="en-GB"/>
        </w:rPr>
        <w:t xml:space="preserve"> (FIMRs)</w:t>
      </w:r>
      <w:r w:rsidR="00D74FC7">
        <w:rPr>
          <w:szCs w:val="20"/>
          <w:lang w:val="en-GB"/>
        </w:rPr>
        <w:t xml:space="preserve">. </w:t>
      </w:r>
      <w:r w:rsidR="00B24DE2" w:rsidRPr="00B26A5A">
        <w:rPr>
          <w:color w:val="auto"/>
          <w:szCs w:val="20"/>
          <w:lang w:val="en-GB"/>
        </w:rPr>
        <w:t>Earmarked funding through EOLs comprise</w:t>
      </w:r>
      <w:r w:rsidR="00C92E34" w:rsidRPr="00B26A5A">
        <w:rPr>
          <w:color w:val="auto"/>
          <w:szCs w:val="20"/>
          <w:lang w:val="en-GB"/>
        </w:rPr>
        <w:t>d</w:t>
      </w:r>
      <w:r w:rsidR="00B24DE2" w:rsidRPr="00B26A5A">
        <w:rPr>
          <w:color w:val="auto"/>
          <w:szCs w:val="20"/>
          <w:lang w:val="en-GB"/>
        </w:rPr>
        <w:t xml:space="preserve"> </w:t>
      </w:r>
      <w:r w:rsidR="00C92E34" w:rsidRPr="00B26A5A">
        <w:rPr>
          <w:color w:val="auto"/>
          <w:szCs w:val="20"/>
          <w:lang w:val="en-GB"/>
        </w:rPr>
        <w:t>6</w:t>
      </w:r>
      <w:r w:rsidR="00B26A5A" w:rsidRPr="00B26A5A">
        <w:rPr>
          <w:color w:val="auto"/>
          <w:szCs w:val="20"/>
          <w:lang w:val="en-GB"/>
        </w:rPr>
        <w:t>5</w:t>
      </w:r>
      <w:r w:rsidR="00D22F60" w:rsidRPr="00B26A5A">
        <w:rPr>
          <w:color w:val="auto"/>
          <w:szCs w:val="20"/>
          <w:lang w:val="en-GB"/>
        </w:rPr>
        <w:t xml:space="preserve"> per cent</w:t>
      </w:r>
      <w:r w:rsidR="002460A2" w:rsidRPr="00B26A5A">
        <w:rPr>
          <w:color w:val="auto"/>
          <w:szCs w:val="20"/>
          <w:lang w:val="en-GB"/>
        </w:rPr>
        <w:t xml:space="preserve"> </w:t>
      </w:r>
      <w:r w:rsidR="00B24DE2" w:rsidRPr="00B26A5A">
        <w:rPr>
          <w:color w:val="auto"/>
          <w:szCs w:val="20"/>
          <w:lang w:val="en-GB"/>
        </w:rPr>
        <w:t xml:space="preserve">of funding expensed under </w:t>
      </w:r>
      <w:r w:rsidR="002460A2" w:rsidRPr="00B26A5A">
        <w:rPr>
          <w:color w:val="auto"/>
          <w:szCs w:val="20"/>
          <w:lang w:val="en-GB"/>
        </w:rPr>
        <w:t>t</w:t>
      </w:r>
      <w:r w:rsidR="00B24DE2" w:rsidRPr="00B26A5A">
        <w:rPr>
          <w:color w:val="auto"/>
          <w:szCs w:val="20"/>
          <w:lang w:val="en-GB"/>
        </w:rPr>
        <w:t xml:space="preserve">his modality since the signature of SPFs in </w:t>
      </w:r>
      <w:r w:rsidR="004A511B" w:rsidRPr="00B26A5A">
        <w:rPr>
          <w:color w:val="auto"/>
          <w:szCs w:val="20"/>
          <w:lang w:val="en-GB"/>
        </w:rPr>
        <w:t>mid-2022.</w:t>
      </w:r>
      <w:r w:rsidR="004A511B" w:rsidRPr="00B26A5A">
        <w:rPr>
          <w:rStyle w:val="FootnoteReference"/>
          <w:color w:val="auto"/>
          <w:szCs w:val="20"/>
          <w:lang w:val="en-GB"/>
        </w:rPr>
        <w:footnoteReference w:id="18"/>
      </w:r>
    </w:p>
    <w:p w14:paraId="5821C5FD" w14:textId="42F524A2" w:rsidR="00AC688E" w:rsidRPr="00F24B03" w:rsidRDefault="00407085" w:rsidP="00CA1C6F">
      <w:pPr>
        <w:pStyle w:val="Heading3"/>
        <w:rPr>
          <w:color w:val="auto"/>
        </w:rPr>
      </w:pPr>
      <w:bookmarkStart w:id="3" w:name="_Toc201437951"/>
      <w:bookmarkStart w:id="4" w:name="_Toc201438146"/>
      <w:bookmarkStart w:id="5" w:name="_Toc201438367"/>
      <w:r w:rsidRPr="00F24B03">
        <w:rPr>
          <w:color w:val="auto"/>
        </w:rPr>
        <w:t>Evaluation purpose</w:t>
      </w:r>
      <w:bookmarkEnd w:id="3"/>
      <w:bookmarkEnd w:id="4"/>
      <w:bookmarkEnd w:id="5"/>
    </w:p>
    <w:p w14:paraId="2C534C1B" w14:textId="24E5B38B" w:rsidR="00310EF7" w:rsidRPr="00310EF7" w:rsidRDefault="00310EF7" w:rsidP="00310EF7">
      <w:pPr>
        <w:rPr>
          <w:szCs w:val="20"/>
          <w:lang w:val="en-GB"/>
        </w:rPr>
      </w:pPr>
      <w:r w:rsidRPr="00310EF7">
        <w:rPr>
          <w:szCs w:val="20"/>
          <w:lang w:val="en-GB"/>
        </w:rPr>
        <w:t xml:space="preserve">The evaluation serves the dual purpose of accountability and learning. The evaluation </w:t>
      </w:r>
      <w:r w:rsidR="007333D0">
        <w:rPr>
          <w:szCs w:val="20"/>
          <w:lang w:val="en-GB"/>
        </w:rPr>
        <w:t>is intended to provide</w:t>
      </w:r>
      <w:r w:rsidRPr="00310EF7">
        <w:rPr>
          <w:szCs w:val="20"/>
          <w:lang w:val="en-GB"/>
        </w:rPr>
        <w:t xml:space="preserve"> a clear and independent record of the extent to which SPFs as a modality are fit for purpose</w:t>
      </w:r>
      <w:r w:rsidR="00FA6DBF">
        <w:rPr>
          <w:szCs w:val="20"/>
          <w:lang w:val="en-GB"/>
        </w:rPr>
        <w:t xml:space="preserve">, assessing the </w:t>
      </w:r>
      <w:r w:rsidR="002041D6">
        <w:t>relevance, effectiveness, and efficiency of the current SPFs</w:t>
      </w:r>
      <w:r w:rsidR="00FA6DBF">
        <w:t>. It</w:t>
      </w:r>
      <w:r w:rsidR="002041D6">
        <w:t xml:space="preserve"> provide</w:t>
      </w:r>
      <w:r w:rsidR="00FA6DBF">
        <w:t>s</w:t>
      </w:r>
      <w:r w:rsidR="002041D6">
        <w:t xml:space="preserve"> concrete</w:t>
      </w:r>
      <w:r w:rsidR="00336498">
        <w:t xml:space="preserve"> and</w:t>
      </w:r>
      <w:r w:rsidR="002041D6">
        <w:t xml:space="preserve"> actionable recommendations </w:t>
      </w:r>
      <w:r w:rsidRPr="00310EF7">
        <w:rPr>
          <w:szCs w:val="20"/>
          <w:lang w:val="en-GB"/>
        </w:rPr>
        <w:t>to inform anticipated negotiations on future partnership a</w:t>
      </w:r>
      <w:r w:rsidR="00E2028B">
        <w:rPr>
          <w:szCs w:val="20"/>
          <w:lang w:val="en-GB"/>
        </w:rPr>
        <w:t>rrangements</w:t>
      </w:r>
      <w:r w:rsidRPr="00310EF7">
        <w:rPr>
          <w:szCs w:val="20"/>
          <w:lang w:val="en-GB"/>
        </w:rPr>
        <w:t xml:space="preserve">. </w:t>
      </w:r>
    </w:p>
    <w:p w14:paraId="31204CAA" w14:textId="033B39E5" w:rsidR="00F90D33" w:rsidRDefault="00F90D33" w:rsidP="00F90D33">
      <w:r w:rsidRPr="00F81E46">
        <w:t xml:space="preserve">The </w:t>
      </w:r>
      <w:r>
        <w:t>evaluation</w:t>
      </w:r>
      <w:r w:rsidRPr="00F81E46">
        <w:t xml:space="preserve"> is </w:t>
      </w:r>
      <w:r w:rsidR="00FE42C3">
        <w:t xml:space="preserve">tasked </w:t>
      </w:r>
      <w:r w:rsidRPr="00F81E46">
        <w:t>to</w:t>
      </w:r>
      <w:r w:rsidR="001162A8">
        <w:t xml:space="preserve"> assess</w:t>
      </w:r>
      <w:r>
        <w:t>:</w:t>
      </w:r>
    </w:p>
    <w:p w14:paraId="0BAA1AB8" w14:textId="10945D84" w:rsidR="001162A8" w:rsidRPr="00620C23" w:rsidRDefault="001162A8" w:rsidP="00D9338F">
      <w:pPr>
        <w:pStyle w:val="ListParagraph"/>
        <w:numPr>
          <w:ilvl w:val="0"/>
          <w:numId w:val="33"/>
        </w:numPr>
        <w:spacing w:before="240" w:after="120" w:line="260" w:lineRule="atLeast"/>
        <w:ind w:left="714" w:hanging="357"/>
        <w:contextualSpacing w:val="0"/>
      </w:pPr>
      <w:r>
        <w:t xml:space="preserve">SPF </w:t>
      </w:r>
      <w:r w:rsidRPr="00F24B03">
        <w:rPr>
          <w:b/>
          <w:bCs/>
        </w:rPr>
        <w:t>relevance</w:t>
      </w:r>
      <w:r>
        <w:t xml:space="preserve"> </w:t>
      </w:r>
      <w:bookmarkStart w:id="6" w:name="_Int_9vEHthsO"/>
      <w:proofErr w:type="gramStart"/>
      <w:r>
        <w:t>in light of</w:t>
      </w:r>
      <w:bookmarkEnd w:id="6"/>
      <w:proofErr w:type="gramEnd"/>
      <w:r>
        <w:t xml:space="preserve"> current Australian international development and humanitarian programming policies and priorities, including cross-cutting thematic issues</w:t>
      </w:r>
      <w:r w:rsidR="007E5BF2">
        <w:t>,</w:t>
      </w:r>
    </w:p>
    <w:p w14:paraId="17CFAAFC" w14:textId="51152F92" w:rsidR="001162A8" w:rsidRPr="00620C23" w:rsidRDefault="001162A8" w:rsidP="00D9338F">
      <w:pPr>
        <w:pStyle w:val="ListParagraph"/>
        <w:numPr>
          <w:ilvl w:val="0"/>
          <w:numId w:val="33"/>
        </w:numPr>
        <w:spacing w:before="240" w:after="120" w:line="260" w:lineRule="atLeast"/>
        <w:ind w:left="714" w:hanging="357"/>
        <w:contextualSpacing w:val="0"/>
      </w:pPr>
      <w:r>
        <w:t xml:space="preserve">SPF </w:t>
      </w:r>
      <w:r w:rsidRPr="00F24B03">
        <w:rPr>
          <w:b/>
          <w:bCs/>
        </w:rPr>
        <w:t>effectiveness</w:t>
      </w:r>
      <w:r>
        <w:t xml:space="preserve"> in relation to the extent to which the frameworks can progress shared objectives</w:t>
      </w:r>
      <w:r w:rsidR="00F02534">
        <w:t xml:space="preserve"> and deliverables</w:t>
      </w:r>
      <w:r>
        <w:t>, and</w:t>
      </w:r>
    </w:p>
    <w:p w14:paraId="14DF4A7C" w14:textId="1BB4A602" w:rsidR="001162A8" w:rsidRPr="00A654F0" w:rsidRDefault="001162A8" w:rsidP="00D9338F">
      <w:pPr>
        <w:pStyle w:val="ListParagraph"/>
        <w:numPr>
          <w:ilvl w:val="0"/>
          <w:numId w:val="33"/>
        </w:numPr>
        <w:spacing w:before="240" w:after="120" w:line="260" w:lineRule="atLeast"/>
        <w:ind w:left="714" w:hanging="357"/>
        <w:contextualSpacing w:val="0"/>
      </w:pPr>
      <w:r>
        <w:lastRenderedPageBreak/>
        <w:t xml:space="preserve">The </w:t>
      </w:r>
      <w:r w:rsidRPr="00F24B03">
        <w:rPr>
          <w:b/>
          <w:bCs/>
        </w:rPr>
        <w:t>efficiency</w:t>
      </w:r>
      <w:r>
        <w:t xml:space="preserve"> of SPFs as a financial, compliance</w:t>
      </w:r>
      <w:r w:rsidR="00F02534">
        <w:t>,</w:t>
      </w:r>
      <w:r>
        <w:t xml:space="preserve"> and partnership modality for DFAT and </w:t>
      </w:r>
      <w:r w:rsidR="007E5BF2">
        <w:t xml:space="preserve">its </w:t>
      </w:r>
      <w:r w:rsidR="00F02534">
        <w:t xml:space="preserve">humanitarian </w:t>
      </w:r>
      <w:r w:rsidR="007E5BF2">
        <w:t>partners</w:t>
      </w:r>
      <w:r>
        <w:t>.</w:t>
      </w:r>
    </w:p>
    <w:p w14:paraId="55392EB8" w14:textId="6C9A18C5" w:rsidR="001162A8" w:rsidRPr="00A654F0" w:rsidRDefault="001162A8" w:rsidP="001162A8">
      <w:r w:rsidRPr="00A654F0">
        <w:t xml:space="preserve">The evaluation </w:t>
      </w:r>
      <w:r w:rsidR="0011349A">
        <w:t xml:space="preserve">also </w:t>
      </w:r>
      <w:r w:rsidRPr="00A654F0">
        <w:t>provide</w:t>
      </w:r>
      <w:r w:rsidR="0011349A">
        <w:t>s</w:t>
      </w:r>
      <w:r w:rsidRPr="00A654F0">
        <w:t>:</w:t>
      </w:r>
    </w:p>
    <w:p w14:paraId="4DAAF238" w14:textId="0988FC55" w:rsidR="008F11E2" w:rsidRDefault="001162A8" w:rsidP="001162A8">
      <w:pPr>
        <w:pStyle w:val="ListParagraph"/>
        <w:numPr>
          <w:ilvl w:val="0"/>
          <w:numId w:val="33"/>
        </w:numPr>
        <w:spacing w:before="240" w:after="120" w:line="259" w:lineRule="auto"/>
      </w:pPr>
      <w:r w:rsidRPr="00D9338F">
        <w:rPr>
          <w:b/>
          <w:bCs/>
        </w:rPr>
        <w:t>Lessons</w:t>
      </w:r>
      <w:r>
        <w:t xml:space="preserve"> to be considered in approaches to future partnership arrangements, including other donor models and a case study of two partners</w:t>
      </w:r>
      <w:r w:rsidR="007C1932">
        <w:t xml:space="preserve"> (WFP and UNHCR)</w:t>
      </w:r>
      <w:r>
        <w:t xml:space="preserve"> in one country context</w:t>
      </w:r>
      <w:r w:rsidR="007C1932">
        <w:t xml:space="preserve"> (Bangladesh)</w:t>
      </w:r>
      <w:r w:rsidR="0011349A">
        <w:t>.</w:t>
      </w:r>
    </w:p>
    <w:p w14:paraId="5E842D26" w14:textId="3554EC3A" w:rsidR="0004007F" w:rsidRPr="00F24B03" w:rsidRDefault="0004007F" w:rsidP="00CA1C6F">
      <w:pPr>
        <w:pStyle w:val="Heading3"/>
        <w:rPr>
          <w:color w:val="auto"/>
        </w:rPr>
      </w:pPr>
      <w:bookmarkStart w:id="7" w:name="_Toc201437952"/>
      <w:bookmarkStart w:id="8" w:name="_Toc201438368"/>
      <w:r w:rsidRPr="00F24B03">
        <w:rPr>
          <w:color w:val="auto"/>
        </w:rPr>
        <w:t>Evaluation scope</w:t>
      </w:r>
      <w:bookmarkEnd w:id="7"/>
      <w:bookmarkEnd w:id="8"/>
    </w:p>
    <w:p w14:paraId="37530584" w14:textId="067C9142" w:rsidR="009307D3" w:rsidRDefault="009307D3" w:rsidP="009307D3">
      <w:r>
        <w:t xml:space="preserve">The evaluation covers the period from signature of the current SPFs </w:t>
      </w:r>
      <w:r w:rsidR="007E5BF2">
        <w:t xml:space="preserve">in </w:t>
      </w:r>
      <w:r>
        <w:t xml:space="preserve">June 2022 </w:t>
      </w:r>
      <w:r w:rsidR="002A3B5B">
        <w:t>(</w:t>
      </w:r>
      <w:r w:rsidR="47BD0742">
        <w:t xml:space="preserve">WFP, </w:t>
      </w:r>
      <w:r>
        <w:t>ICRC, UNHCR, OCHA, CERF</w:t>
      </w:r>
      <w:r w:rsidR="00F02534">
        <w:t>)</w:t>
      </w:r>
      <w:r>
        <w:t xml:space="preserve"> to </w:t>
      </w:r>
      <w:r w:rsidR="00D9338F">
        <w:t>March</w:t>
      </w:r>
      <w:r>
        <w:t xml:space="preserve"> 2025</w:t>
      </w:r>
      <w:r w:rsidR="00D9338F">
        <w:t>, though including funding amounts through to June 2025</w:t>
      </w:r>
      <w:r w:rsidR="002B4850">
        <w:t>.</w:t>
      </w:r>
      <w:r w:rsidR="002B4850">
        <w:rPr>
          <w:rStyle w:val="FootnoteReference"/>
        </w:rPr>
        <w:footnoteReference w:id="19"/>
      </w:r>
      <w:r>
        <w:t xml:space="preserve"> It includes five SPFs</w:t>
      </w:r>
      <w:r w:rsidR="002922FE">
        <w:t xml:space="preserve"> with these partners </w:t>
      </w:r>
      <w:r w:rsidR="004F0AF1">
        <w:t xml:space="preserve">and their associated </w:t>
      </w:r>
      <w:r w:rsidRPr="00603DF6">
        <w:t>EOLs</w:t>
      </w:r>
      <w:r w:rsidR="00D7374F">
        <w:t>.</w:t>
      </w:r>
      <w:r w:rsidRPr="00603DF6">
        <w:t> Since 2022, DFAT and</w:t>
      </w:r>
      <w:r>
        <w:t xml:space="preserve"> its SPF partners have </w:t>
      </w:r>
      <w:r w:rsidRPr="00603DF6">
        <w:t>signed EOLs supporting</w:t>
      </w:r>
      <w:r w:rsidR="00F02534">
        <w:t xml:space="preserve"> </w:t>
      </w:r>
      <w:r w:rsidR="00A501C3">
        <w:t>2</w:t>
      </w:r>
      <w:r w:rsidR="00306237">
        <w:t>1</w:t>
      </w:r>
      <w:r w:rsidR="00F02534">
        <w:t xml:space="preserve"> country-level operations in</w:t>
      </w:r>
      <w:r w:rsidRPr="00603DF6">
        <w:t xml:space="preserve">: </w:t>
      </w:r>
      <w:r w:rsidRPr="00663CD9">
        <w:t>Afghanistan; Armenia; Bangladesh;</w:t>
      </w:r>
      <w:r w:rsidR="00EE4666">
        <w:t xml:space="preserve"> Cambodia;</w:t>
      </w:r>
      <w:r w:rsidRPr="00663CD9">
        <w:t xml:space="preserve"> Ethiopia; Jordan; </w:t>
      </w:r>
      <w:r w:rsidR="00EE4666">
        <w:t xml:space="preserve">Kenya; </w:t>
      </w:r>
      <w:r w:rsidRPr="00663CD9">
        <w:t xml:space="preserve">Lebanon; </w:t>
      </w:r>
      <w:r w:rsidR="00A501C3">
        <w:t xml:space="preserve">Libya; </w:t>
      </w:r>
      <w:r w:rsidRPr="00663CD9">
        <w:t xml:space="preserve">Myanmar; Nepal; </w:t>
      </w:r>
      <w:r w:rsidR="00A501C3">
        <w:t xml:space="preserve">Pakistan; </w:t>
      </w:r>
      <w:r w:rsidR="004F0AF1">
        <w:t xml:space="preserve">the </w:t>
      </w:r>
      <w:r w:rsidRPr="00663CD9">
        <w:t>Occupied Palestinian Territories (</w:t>
      </w:r>
      <w:proofErr w:type="spellStart"/>
      <w:r w:rsidRPr="00663CD9">
        <w:t>oPts</w:t>
      </w:r>
      <w:proofErr w:type="spellEnd"/>
      <w:r w:rsidRPr="00663CD9">
        <w:t xml:space="preserve">); </w:t>
      </w:r>
      <w:r w:rsidR="00A501C3">
        <w:t xml:space="preserve">Papua New Guinea; </w:t>
      </w:r>
      <w:r w:rsidRPr="00663CD9">
        <w:t xml:space="preserve">Philippines; Sahel; </w:t>
      </w:r>
      <w:r w:rsidR="00EE6552">
        <w:t xml:space="preserve">Sri Lanka; </w:t>
      </w:r>
      <w:r w:rsidRPr="00663CD9">
        <w:t>Somalia; Sudan; Ukraine</w:t>
      </w:r>
      <w:r w:rsidR="00F02534">
        <w:t>,</w:t>
      </w:r>
      <w:r w:rsidR="00B479F0">
        <w:t xml:space="preserve"> and</w:t>
      </w:r>
      <w:r w:rsidRPr="00663CD9">
        <w:t xml:space="preserve"> Yemen</w:t>
      </w:r>
      <w:r>
        <w:t xml:space="preserve">. EOLs have also funded thematic priorities including </w:t>
      </w:r>
      <w:r w:rsidRPr="00663CD9">
        <w:t>WFP’s disability trust fund, OCHA’s Anticipatory Action pilots in the Indo-Pacific, the CERF Climate Action Account</w:t>
      </w:r>
      <w:r w:rsidR="00F02534">
        <w:t>,</w:t>
      </w:r>
      <w:r w:rsidRPr="00663CD9">
        <w:t xml:space="preserve"> and the</w:t>
      </w:r>
      <w:r w:rsidR="00F02534">
        <w:t xml:space="preserve"> OCHA</w:t>
      </w:r>
      <w:r w:rsidRPr="00663CD9">
        <w:t xml:space="preserve"> Office of the Special Adviser on Solutions to Internal Displacement</w:t>
      </w:r>
      <w:r w:rsidR="00F02534">
        <w:t>, among others</w:t>
      </w:r>
      <w:r>
        <w:t>.</w:t>
      </w:r>
      <w:r w:rsidR="00757BD1">
        <w:rPr>
          <w:rStyle w:val="FootnoteReference"/>
        </w:rPr>
        <w:footnoteReference w:id="20"/>
      </w:r>
    </w:p>
    <w:p w14:paraId="6FA6BD3D" w14:textId="505F8E91" w:rsidR="00366521" w:rsidRDefault="00366521" w:rsidP="009307D3">
      <w:r w:rsidRPr="00F81E46">
        <w:t xml:space="preserve">The evaluation assesses program relevance, </w:t>
      </w:r>
      <w:r>
        <w:t>effectiveness</w:t>
      </w:r>
      <w:r w:rsidRPr="00F81E46">
        <w:t xml:space="preserve"> and efficiency</w:t>
      </w:r>
      <w:r>
        <w:t>,</w:t>
      </w:r>
      <w:r w:rsidRPr="00F81E46">
        <w:t xml:space="preserve"> while identifying lessons</w:t>
      </w:r>
      <w:r>
        <w:t xml:space="preserve">, to answer the following </w:t>
      </w:r>
      <w:r w:rsidR="00A24BB9">
        <w:t>four</w:t>
      </w:r>
      <w:r>
        <w:t xml:space="preserve"> key evaluation questions</w:t>
      </w:r>
      <w:r w:rsidRPr="00F81E46">
        <w:t>:</w:t>
      </w:r>
    </w:p>
    <w:p w14:paraId="0D6FFAF5" w14:textId="77777777" w:rsidR="00A24BB9" w:rsidRDefault="00A24BB9" w:rsidP="002B4850">
      <w:pPr>
        <w:pStyle w:val="ListParagraph"/>
        <w:numPr>
          <w:ilvl w:val="0"/>
          <w:numId w:val="49"/>
        </w:numPr>
        <w:spacing w:before="240" w:after="120" w:line="259" w:lineRule="auto"/>
        <w:contextualSpacing w:val="0"/>
      </w:pPr>
      <w:r>
        <w:rPr>
          <w:rFonts w:ascii="Arial" w:eastAsia="Arial" w:hAnsi="Arial" w:cs="Arial"/>
        </w:rPr>
        <w:t xml:space="preserve">KEQ 1: </w:t>
      </w:r>
      <w:r w:rsidRPr="000D2DA9">
        <w:rPr>
          <w:rFonts w:ascii="Arial" w:eastAsia="Arial" w:hAnsi="Arial" w:cs="Arial"/>
        </w:rPr>
        <w:t>To what extent are the SPFs aligned with current Australian international development and humanitarian programming policies and priorities? (RELEVANCE)</w:t>
      </w:r>
    </w:p>
    <w:p w14:paraId="1BFB4A0B" w14:textId="77777777" w:rsidR="00A24BB9" w:rsidRDefault="00A24BB9" w:rsidP="002B4850">
      <w:pPr>
        <w:pStyle w:val="ListParagraph"/>
        <w:numPr>
          <w:ilvl w:val="0"/>
          <w:numId w:val="49"/>
        </w:numPr>
        <w:spacing w:before="240" w:after="120" w:line="259" w:lineRule="auto"/>
        <w:ind w:left="641" w:hanging="357"/>
        <w:contextualSpacing w:val="0"/>
      </w:pPr>
      <w:r>
        <w:rPr>
          <w:rFonts w:ascii="Arial" w:eastAsia="Arial" w:hAnsi="Arial" w:cs="Arial"/>
        </w:rPr>
        <w:t xml:space="preserve">KEQ 2: </w:t>
      </w:r>
      <w:r w:rsidRPr="000D2DA9">
        <w:rPr>
          <w:rFonts w:ascii="Arial" w:eastAsia="Arial" w:hAnsi="Arial" w:cs="Arial"/>
        </w:rPr>
        <w:t>To what extent are the SPFs shared partnership objectives and deliverables being progressed? (EFFECTIVENESS)</w:t>
      </w:r>
    </w:p>
    <w:p w14:paraId="125454F3" w14:textId="45C31785" w:rsidR="00A24BB9" w:rsidRDefault="00A24BB9" w:rsidP="002B4850">
      <w:pPr>
        <w:pStyle w:val="ListParagraph"/>
        <w:numPr>
          <w:ilvl w:val="0"/>
          <w:numId w:val="49"/>
        </w:numPr>
        <w:spacing w:before="240" w:after="120" w:line="259" w:lineRule="auto"/>
        <w:ind w:left="641" w:hanging="357"/>
        <w:contextualSpacing w:val="0"/>
      </w:pPr>
      <w:r>
        <w:rPr>
          <w:rFonts w:ascii="Arial" w:eastAsia="Arial" w:hAnsi="Arial" w:cs="Arial"/>
        </w:rPr>
        <w:t xml:space="preserve">KEQ 3: </w:t>
      </w:r>
      <w:r w:rsidRPr="000D2DA9">
        <w:rPr>
          <w:rFonts w:ascii="Arial" w:eastAsia="Arial" w:hAnsi="Arial" w:cs="Arial"/>
        </w:rPr>
        <w:t>To what extent are the SPFs an efficient financial, compliance</w:t>
      </w:r>
      <w:r w:rsidR="002922FE">
        <w:rPr>
          <w:rFonts w:ascii="Arial" w:eastAsia="Arial" w:hAnsi="Arial" w:cs="Arial"/>
        </w:rPr>
        <w:t>,</w:t>
      </w:r>
      <w:r w:rsidRPr="000D2DA9">
        <w:rPr>
          <w:rFonts w:ascii="Arial" w:eastAsia="Arial" w:hAnsi="Arial" w:cs="Arial"/>
        </w:rPr>
        <w:t xml:space="preserve"> and partnership modality for DFAT and Partners? (EFFICIENCY)</w:t>
      </w:r>
    </w:p>
    <w:p w14:paraId="6F944039" w14:textId="71A1C768" w:rsidR="00A24BB9" w:rsidRDefault="00A24BB9" w:rsidP="002B4850">
      <w:pPr>
        <w:pStyle w:val="ListParagraph"/>
        <w:numPr>
          <w:ilvl w:val="0"/>
          <w:numId w:val="49"/>
        </w:numPr>
        <w:spacing w:before="240" w:after="120" w:line="259" w:lineRule="auto"/>
        <w:ind w:left="641" w:hanging="357"/>
        <w:contextualSpacing w:val="0"/>
      </w:pPr>
      <w:r>
        <w:rPr>
          <w:rFonts w:ascii="Arial" w:eastAsia="Arial" w:hAnsi="Arial" w:cs="Arial"/>
        </w:rPr>
        <w:t>KEQ 4: W</w:t>
      </w:r>
      <w:r w:rsidRPr="000D2DA9">
        <w:rPr>
          <w:rFonts w:ascii="Arial" w:eastAsia="Arial" w:hAnsi="Arial" w:cs="Arial"/>
        </w:rPr>
        <w:t>hat alternative modalities exist?</w:t>
      </w:r>
    </w:p>
    <w:p w14:paraId="795E3297" w14:textId="5517B459" w:rsidR="00B10A09" w:rsidRDefault="00B10A09" w:rsidP="000B26B2">
      <w:pPr>
        <w:spacing w:before="240" w:after="120" w:line="259" w:lineRule="auto"/>
      </w:pPr>
      <w:r w:rsidRPr="00A654F0">
        <w:t xml:space="preserve">The evaluation </w:t>
      </w:r>
      <w:r>
        <w:t xml:space="preserve">identifies lessons to be considered in approaches to future partnership arrangements, including other donor models and a case study of two partners in one country context. </w:t>
      </w:r>
      <w:r w:rsidR="000B26B2" w:rsidRPr="00A654F0">
        <w:t xml:space="preserve">See the full list of </w:t>
      </w:r>
      <w:r w:rsidR="000B26B2">
        <w:t>sub-</w:t>
      </w:r>
      <w:r w:rsidR="000B26B2" w:rsidRPr="00A654F0">
        <w:t xml:space="preserve">evaluation questions in the evaluation matrix at </w:t>
      </w:r>
      <w:r w:rsidR="000B26B2" w:rsidRPr="00A654F0">
        <w:rPr>
          <w:b/>
          <w:bCs/>
        </w:rPr>
        <w:t xml:space="preserve">Annex </w:t>
      </w:r>
      <w:r w:rsidR="000B26B2">
        <w:rPr>
          <w:b/>
          <w:bCs/>
        </w:rPr>
        <w:t>1</w:t>
      </w:r>
      <w:r w:rsidR="000B26B2" w:rsidRPr="00992AE9">
        <w:t>.</w:t>
      </w:r>
    </w:p>
    <w:p w14:paraId="070770B3" w14:textId="5C5E6378" w:rsidR="009307D3" w:rsidRDefault="009307D3" w:rsidP="009307D3">
      <w:r>
        <w:t xml:space="preserve">The evaluation focuses on the performance of the SPFs and EOLs as a modality for engaging key humanitarian </w:t>
      </w:r>
      <w:r w:rsidR="0083519A">
        <w:t>organisations</w:t>
      </w:r>
      <w:r>
        <w:t xml:space="preserve"> to provide humanitarian assistance. It is not an evaluation of the performance of the humanitarian partners themselves. As such, there is flexibility within the evaluation to compare SPFs and EOLs against new policies and strategies that were</w:t>
      </w:r>
      <w:r w:rsidR="006F5962">
        <w:t xml:space="preserve"> </w:t>
      </w:r>
      <w:r>
        <w:t>n</w:t>
      </w:r>
      <w:r w:rsidR="006F5962">
        <w:t>o</w:t>
      </w:r>
      <w:r>
        <w:t>t in place at the time of signing, for the purpose of informing future partnership arrangements.</w:t>
      </w:r>
    </w:p>
    <w:p w14:paraId="311A5F2B" w14:textId="6ED3AE88" w:rsidR="009711D7" w:rsidRPr="00293385" w:rsidRDefault="00CA1C6F" w:rsidP="00CA1C6F">
      <w:pPr>
        <w:pStyle w:val="Heading3"/>
        <w:rPr>
          <w:color w:val="auto"/>
        </w:rPr>
      </w:pPr>
      <w:bookmarkStart w:id="9" w:name="_Toc201437953"/>
      <w:bookmarkStart w:id="10" w:name="_Toc201438369"/>
      <w:r w:rsidRPr="00293385">
        <w:rPr>
          <w:color w:val="auto"/>
        </w:rPr>
        <w:t>Evaluation methodology</w:t>
      </w:r>
      <w:bookmarkEnd w:id="9"/>
      <w:bookmarkEnd w:id="10"/>
      <w:r w:rsidRPr="00293385">
        <w:rPr>
          <w:color w:val="auto"/>
        </w:rPr>
        <w:t xml:space="preserve"> </w:t>
      </w:r>
    </w:p>
    <w:p w14:paraId="142A3AB2" w14:textId="6D36450F" w:rsidR="00BA1BF8" w:rsidRDefault="00BA1BF8" w:rsidP="00BA1BF8">
      <w:r w:rsidRPr="00F81E46">
        <w:t>This is a summative evaluation</w:t>
      </w:r>
      <w:r>
        <w:t xml:space="preserve"> applying</w:t>
      </w:r>
      <w:r w:rsidRPr="00F81E46">
        <w:t xml:space="preserve"> a mixed methods approach, combining </w:t>
      </w:r>
      <w:r>
        <w:t>key informant</w:t>
      </w:r>
      <w:r w:rsidRPr="00F81E46">
        <w:t xml:space="preserve"> interviews, </w:t>
      </w:r>
      <w:r>
        <w:t>stakeholder</w:t>
      </w:r>
      <w:r w:rsidRPr="00F81E46">
        <w:t xml:space="preserve"> surveys, a document and literature review</w:t>
      </w:r>
      <w:r w:rsidR="00C465C1">
        <w:t>,</w:t>
      </w:r>
      <w:r w:rsidR="00F02534">
        <w:t xml:space="preserve"> written inputs from DFAT risk </w:t>
      </w:r>
      <w:r w:rsidR="00DE6757">
        <w:t>and safeguarding staff</w:t>
      </w:r>
      <w:r w:rsidR="00F02534">
        <w:t xml:space="preserve"> and</w:t>
      </w:r>
      <w:r w:rsidR="00C465C1">
        <w:t xml:space="preserve"> </w:t>
      </w:r>
      <w:r w:rsidR="00274BA9">
        <w:t>one case study to facilitate a deep dive into the use of SPFs and EOLs for two partners at the country</w:t>
      </w:r>
      <w:r w:rsidR="00DE6757">
        <w:t xml:space="preserve"> level</w:t>
      </w:r>
      <w:r w:rsidRPr="00F81E46">
        <w:t xml:space="preserve">. </w:t>
      </w:r>
      <w:r w:rsidR="003F2EC8">
        <w:t xml:space="preserve">GEDSI </w:t>
      </w:r>
      <w:r w:rsidRPr="00F81E46">
        <w:t>dimensions were also considered throughout the evaluation.</w:t>
      </w:r>
    </w:p>
    <w:p w14:paraId="56D2E414" w14:textId="77777777" w:rsidR="008B7CE4" w:rsidRPr="004D7152" w:rsidRDefault="008B7CE4" w:rsidP="004D329E">
      <w:pPr>
        <w:pStyle w:val="Heading2"/>
        <w:rPr>
          <w:color w:val="585858" w:themeColor="text2"/>
        </w:rPr>
      </w:pPr>
      <w:r w:rsidRPr="004D7152">
        <w:rPr>
          <w:color w:val="585858" w:themeColor="text2"/>
        </w:rPr>
        <w:lastRenderedPageBreak/>
        <w:t xml:space="preserve">Phase I: Document review and literature review </w:t>
      </w:r>
    </w:p>
    <w:p w14:paraId="447E9025" w14:textId="50B06DF3" w:rsidR="008B7CE4" w:rsidRDefault="008B7CE4" w:rsidP="00C465C1">
      <w:r w:rsidRPr="00F81E46">
        <w:t xml:space="preserve">The </w:t>
      </w:r>
      <w:r w:rsidR="00C465C1">
        <w:t>evaluation</w:t>
      </w:r>
      <w:r w:rsidRPr="00F81E46">
        <w:t xml:space="preserve"> </w:t>
      </w:r>
      <w:r w:rsidR="00C465C1">
        <w:t>assessed</w:t>
      </w:r>
      <w:r w:rsidRPr="00F81E46">
        <w:t xml:space="preserve"> over </w:t>
      </w:r>
      <w:r w:rsidR="00825CCC">
        <w:t>54</w:t>
      </w:r>
      <w:r w:rsidRPr="00F81E46">
        <w:t xml:space="preserve"> </w:t>
      </w:r>
      <w:r>
        <w:t>internal program documents and publicly available reports</w:t>
      </w:r>
      <w:r w:rsidR="0049365C">
        <w:t>.</w:t>
      </w:r>
      <w:r w:rsidR="00C465C1">
        <w:t xml:space="preserve"> </w:t>
      </w:r>
      <w:r w:rsidRPr="00F81E46">
        <w:t xml:space="preserve">Particularly important to the review were: </w:t>
      </w:r>
    </w:p>
    <w:p w14:paraId="466CAACA" w14:textId="7AF5DEEE" w:rsidR="008B7CE4" w:rsidRDefault="008B7CE4" w:rsidP="008B7CE4">
      <w:pPr>
        <w:pStyle w:val="BodyText"/>
        <w:numPr>
          <w:ilvl w:val="0"/>
          <w:numId w:val="31"/>
        </w:numPr>
        <w:rPr>
          <w:noProof w:val="0"/>
          <w:lang w:val="en-GB"/>
        </w:rPr>
      </w:pPr>
      <w:r>
        <w:rPr>
          <w:noProof w:val="0"/>
          <w:lang w:val="en-GB"/>
        </w:rPr>
        <w:t>The</w:t>
      </w:r>
      <w:r w:rsidR="00F02534">
        <w:rPr>
          <w:noProof w:val="0"/>
          <w:lang w:val="en-GB"/>
        </w:rPr>
        <w:t xml:space="preserve"> signed</w:t>
      </w:r>
      <w:r>
        <w:rPr>
          <w:noProof w:val="0"/>
          <w:lang w:val="en-GB"/>
        </w:rPr>
        <w:t xml:space="preserve"> </w:t>
      </w:r>
      <w:r w:rsidR="0049365C">
        <w:rPr>
          <w:noProof w:val="0"/>
          <w:lang w:val="en-GB"/>
        </w:rPr>
        <w:t>SPF</w:t>
      </w:r>
      <w:r w:rsidR="00F02534">
        <w:rPr>
          <w:noProof w:val="0"/>
          <w:lang w:val="en-GB"/>
        </w:rPr>
        <w:t>s and EOLs,</w:t>
      </w:r>
      <w:r w:rsidR="0049365C">
        <w:rPr>
          <w:noProof w:val="0"/>
          <w:lang w:val="en-GB"/>
        </w:rPr>
        <w:t xml:space="preserve"> and </w:t>
      </w:r>
      <w:r w:rsidR="00F02534">
        <w:rPr>
          <w:noProof w:val="0"/>
          <w:lang w:val="en-GB"/>
        </w:rPr>
        <w:t>relevant</w:t>
      </w:r>
      <w:r w:rsidR="0049365C">
        <w:rPr>
          <w:noProof w:val="0"/>
          <w:lang w:val="en-GB"/>
        </w:rPr>
        <w:t xml:space="preserve"> templates</w:t>
      </w:r>
      <w:r w:rsidR="003F2EC8">
        <w:rPr>
          <w:noProof w:val="0"/>
          <w:lang w:val="en-GB"/>
        </w:rPr>
        <w:t xml:space="preserve">, </w:t>
      </w:r>
    </w:p>
    <w:p w14:paraId="71FBB165" w14:textId="752B07CC" w:rsidR="00B91166" w:rsidRPr="00B91166" w:rsidRDefault="00B91166" w:rsidP="008B7CE4">
      <w:pPr>
        <w:pStyle w:val="BodyText"/>
        <w:numPr>
          <w:ilvl w:val="0"/>
          <w:numId w:val="31"/>
        </w:numPr>
        <w:rPr>
          <w:noProof w:val="0"/>
          <w:lang w:val="en-GB"/>
        </w:rPr>
      </w:pPr>
      <w:r>
        <w:rPr>
          <w:noProof w:val="0"/>
          <w:lang w:val="en-GB"/>
        </w:rPr>
        <w:t>DFAT</w:t>
      </w:r>
      <w:r w:rsidR="00180CF3">
        <w:rPr>
          <w:noProof w:val="0"/>
          <w:lang w:val="en-GB"/>
        </w:rPr>
        <w:t xml:space="preserve"> thematic</w:t>
      </w:r>
      <w:r>
        <w:rPr>
          <w:noProof w:val="0"/>
          <w:lang w:val="en-GB"/>
        </w:rPr>
        <w:t xml:space="preserve"> </w:t>
      </w:r>
      <w:r w:rsidR="00180CF3">
        <w:rPr>
          <w:noProof w:val="0"/>
          <w:lang w:val="en-GB"/>
        </w:rPr>
        <w:t>policies and strategies</w:t>
      </w:r>
      <w:r w:rsidR="003F2EC8">
        <w:rPr>
          <w:noProof w:val="0"/>
          <w:lang w:val="en-GB"/>
        </w:rPr>
        <w:t xml:space="preserve">, </w:t>
      </w:r>
    </w:p>
    <w:p w14:paraId="493A0C50" w14:textId="5433C323" w:rsidR="00B91166" w:rsidRDefault="004E4471" w:rsidP="008B7CE4">
      <w:pPr>
        <w:pStyle w:val="BodyText"/>
        <w:numPr>
          <w:ilvl w:val="0"/>
          <w:numId w:val="31"/>
        </w:numPr>
        <w:rPr>
          <w:noProof w:val="0"/>
          <w:lang w:val="en-GB"/>
        </w:rPr>
      </w:pPr>
      <w:r>
        <w:t>Performance Arrangement</w:t>
      </w:r>
      <w:r w:rsidR="00B91166">
        <w:t>s</w:t>
      </w:r>
      <w:r w:rsidR="00DE6757">
        <w:t>, baseline and reports</w:t>
      </w:r>
      <w:r w:rsidR="00076D48">
        <w:t xml:space="preserve"> </w:t>
      </w:r>
      <w:r w:rsidR="00B91166">
        <w:t>for 2022, 2023 and 2024</w:t>
      </w:r>
      <w:r w:rsidR="003F2EC8">
        <w:t>,</w:t>
      </w:r>
      <w:r w:rsidR="00076D48">
        <w:t xml:space="preserve"> with a trend analysis of the quality of partner reporting against the information needs in the Performance Arrangements</w:t>
      </w:r>
      <w:r w:rsidR="0046601F">
        <w:t>,</w:t>
      </w:r>
    </w:p>
    <w:p w14:paraId="1AC1F07D" w14:textId="27430D0F" w:rsidR="00180CF3" w:rsidRPr="00B91166" w:rsidRDefault="00180CF3" w:rsidP="008B7CE4">
      <w:pPr>
        <w:pStyle w:val="BodyText"/>
        <w:numPr>
          <w:ilvl w:val="0"/>
          <w:numId w:val="31"/>
        </w:numPr>
        <w:rPr>
          <w:noProof w:val="0"/>
          <w:lang w:val="en-GB"/>
        </w:rPr>
      </w:pPr>
      <w:r>
        <w:rPr>
          <w:noProof w:val="0"/>
          <w:lang w:val="en-GB"/>
        </w:rPr>
        <w:t xml:space="preserve">Risk and safeguarding </w:t>
      </w:r>
      <w:r w:rsidR="00315971">
        <w:rPr>
          <w:noProof w:val="0"/>
          <w:lang w:val="en-GB"/>
        </w:rPr>
        <w:t>policies and practice notes</w:t>
      </w:r>
      <w:r w:rsidR="00C465C1">
        <w:rPr>
          <w:noProof w:val="0"/>
          <w:lang w:val="en-GB"/>
        </w:rPr>
        <w:t>, and</w:t>
      </w:r>
    </w:p>
    <w:p w14:paraId="22E94EFA" w14:textId="4CBE9AE0" w:rsidR="00692796" w:rsidRDefault="00315971" w:rsidP="00692796">
      <w:pPr>
        <w:pStyle w:val="BodyText"/>
        <w:numPr>
          <w:ilvl w:val="0"/>
          <w:numId w:val="31"/>
        </w:numPr>
      </w:pPr>
      <w:r>
        <w:t>C</w:t>
      </w:r>
      <w:r w:rsidR="00B91166">
        <w:t>ountry level reporting for Bangladesh</w:t>
      </w:r>
      <w:r>
        <w:t>, including both DFAT partnership assessments and SPF partner reporting</w:t>
      </w:r>
      <w:r w:rsidR="00692796">
        <w:rPr>
          <w:noProof w:val="0"/>
          <w:lang w:val="en-GB"/>
        </w:rPr>
        <w:t>.</w:t>
      </w:r>
    </w:p>
    <w:p w14:paraId="5C97DB02" w14:textId="7B1BEC5E" w:rsidR="008B7CE4" w:rsidRPr="00F81E46" w:rsidRDefault="008B7CE4" w:rsidP="00692796">
      <w:pPr>
        <w:pStyle w:val="BodyText"/>
      </w:pPr>
      <w:r>
        <w:t xml:space="preserve">A full list of documents </w:t>
      </w:r>
      <w:r w:rsidRPr="00F02534">
        <w:t xml:space="preserve">reviewed </w:t>
      </w:r>
      <w:r w:rsidRPr="004D329E">
        <w:t>is at</w:t>
      </w:r>
      <w:r w:rsidRPr="00366FF3">
        <w:rPr>
          <w:b/>
          <w:bCs/>
        </w:rPr>
        <w:t xml:space="preserve"> Annex </w:t>
      </w:r>
      <w:r w:rsidR="00B0490E">
        <w:rPr>
          <w:b/>
          <w:bCs/>
        </w:rPr>
        <w:t>4</w:t>
      </w:r>
      <w:r w:rsidRPr="00076D48">
        <w:t>.</w:t>
      </w:r>
    </w:p>
    <w:p w14:paraId="48B9C646" w14:textId="24B37DA1" w:rsidR="008B7CE4" w:rsidRPr="004D7152" w:rsidRDefault="008B7CE4" w:rsidP="004D329E">
      <w:pPr>
        <w:pStyle w:val="Heading2NOTOC"/>
        <w:rPr>
          <w:color w:val="585858" w:themeColor="text2"/>
        </w:rPr>
      </w:pPr>
      <w:r w:rsidRPr="004D7152">
        <w:rPr>
          <w:color w:val="585858" w:themeColor="text2"/>
        </w:rPr>
        <w:t>Phase II: Interviews</w:t>
      </w:r>
      <w:r w:rsidR="007C4ECB" w:rsidRPr="004D7152">
        <w:rPr>
          <w:color w:val="585858" w:themeColor="text2"/>
        </w:rPr>
        <w:t>,</w:t>
      </w:r>
      <w:r w:rsidRPr="004D7152">
        <w:rPr>
          <w:color w:val="585858" w:themeColor="text2"/>
        </w:rPr>
        <w:t xml:space="preserve"> </w:t>
      </w:r>
      <w:r w:rsidR="00C465C1" w:rsidRPr="004D7152">
        <w:rPr>
          <w:color w:val="585858" w:themeColor="text2"/>
        </w:rPr>
        <w:t>s</w:t>
      </w:r>
      <w:r w:rsidRPr="004D7152">
        <w:rPr>
          <w:color w:val="585858" w:themeColor="text2"/>
        </w:rPr>
        <w:t>urveys</w:t>
      </w:r>
      <w:r w:rsidR="00C465C1" w:rsidRPr="004D7152">
        <w:rPr>
          <w:color w:val="585858" w:themeColor="text2"/>
        </w:rPr>
        <w:t>, c</w:t>
      </w:r>
      <w:r w:rsidR="007C4ECB" w:rsidRPr="004D7152">
        <w:rPr>
          <w:color w:val="585858" w:themeColor="text2"/>
        </w:rPr>
        <w:t xml:space="preserve">ase </w:t>
      </w:r>
      <w:r w:rsidR="00C465C1" w:rsidRPr="004D7152">
        <w:rPr>
          <w:color w:val="585858" w:themeColor="text2"/>
        </w:rPr>
        <w:t>s</w:t>
      </w:r>
      <w:r w:rsidR="007C4ECB" w:rsidRPr="004D7152">
        <w:rPr>
          <w:color w:val="585858" w:themeColor="text2"/>
        </w:rPr>
        <w:t>tudies</w:t>
      </w:r>
      <w:r w:rsidR="00C465C1" w:rsidRPr="004D7152">
        <w:rPr>
          <w:color w:val="585858" w:themeColor="text2"/>
        </w:rPr>
        <w:t xml:space="preserve"> and written inputs</w:t>
      </w:r>
    </w:p>
    <w:p w14:paraId="7E9BF181" w14:textId="3A05ACE5" w:rsidR="001E524B" w:rsidRDefault="008B7CE4" w:rsidP="001E524B">
      <w:r w:rsidRPr="00366FF3">
        <w:t xml:space="preserve">Overall, the </w:t>
      </w:r>
      <w:r w:rsidR="00631562">
        <w:t>Evaluation Team</w:t>
      </w:r>
      <w:r w:rsidRPr="00366FF3">
        <w:t xml:space="preserve"> </w:t>
      </w:r>
      <w:r w:rsidR="002A5D67" w:rsidRPr="00366FF3">
        <w:t>interviewed</w:t>
      </w:r>
      <w:r w:rsidRPr="00366FF3">
        <w:t xml:space="preserve"> </w:t>
      </w:r>
      <w:r w:rsidR="00E560DD">
        <w:t>51</w:t>
      </w:r>
      <w:r w:rsidR="007C4ECB" w:rsidRPr="00366FF3">
        <w:t xml:space="preserve"> DFAT</w:t>
      </w:r>
      <w:r w:rsidR="00537CAD">
        <w:t>, Department of Home Affairs</w:t>
      </w:r>
      <w:r w:rsidR="007C4ECB" w:rsidRPr="00366FF3">
        <w:t xml:space="preserve"> and SPF partner</w:t>
      </w:r>
      <w:r w:rsidRPr="00366FF3">
        <w:t xml:space="preserve"> stakeholders</w:t>
      </w:r>
      <w:r w:rsidR="00607B84" w:rsidRPr="00366FF3">
        <w:t xml:space="preserve"> (target</w:t>
      </w:r>
      <w:r w:rsidR="003F2EC8">
        <w:t xml:space="preserve">: </w:t>
      </w:r>
      <w:r w:rsidR="00607B84" w:rsidRPr="00366FF3">
        <w:t>30)</w:t>
      </w:r>
      <w:r w:rsidR="002B59A4" w:rsidRPr="00366FF3">
        <w:t>,</w:t>
      </w:r>
      <w:r w:rsidRPr="00366FF3">
        <w:t xml:space="preserve"> </w:t>
      </w:r>
      <w:r w:rsidR="002B59A4" w:rsidRPr="00366FF3">
        <w:t xml:space="preserve">received </w:t>
      </w:r>
      <w:r w:rsidR="005E2FDE" w:rsidRPr="00366FF3">
        <w:t>60 survey</w:t>
      </w:r>
      <w:r w:rsidR="007C4ECB" w:rsidRPr="00366FF3">
        <w:t xml:space="preserve"> responses</w:t>
      </w:r>
      <w:r w:rsidR="00607B84" w:rsidRPr="00366FF3">
        <w:t xml:space="preserve"> (target</w:t>
      </w:r>
      <w:r w:rsidR="003F2EC8">
        <w:t xml:space="preserve">: </w:t>
      </w:r>
      <w:r w:rsidR="00607B84" w:rsidRPr="00366FF3">
        <w:t>52)</w:t>
      </w:r>
      <w:r w:rsidR="00F02534">
        <w:t>,</w:t>
      </w:r>
      <w:r w:rsidR="007C4ECB" w:rsidRPr="00366FF3">
        <w:t xml:space="preserve"> and </w:t>
      </w:r>
      <w:r w:rsidR="00F02534">
        <w:t xml:space="preserve">received </w:t>
      </w:r>
      <w:r w:rsidR="007C4ECB" w:rsidRPr="00366FF3">
        <w:t xml:space="preserve">four written responses from DFAT risk and safeguarding </w:t>
      </w:r>
      <w:r w:rsidR="00DE6757">
        <w:t>staff</w:t>
      </w:r>
      <w:r w:rsidR="007C4ECB" w:rsidRPr="00366FF3">
        <w:t xml:space="preserve">. </w:t>
      </w:r>
      <w:r w:rsidR="008A663C" w:rsidRPr="00366FF3">
        <w:t xml:space="preserve">The evaluation was able to </w:t>
      </w:r>
      <w:r w:rsidR="00FF63B6" w:rsidRPr="00366FF3">
        <w:t xml:space="preserve">achieve an acceptable balance of inputs from DFAT </w:t>
      </w:r>
      <w:r w:rsidR="00F02534">
        <w:t>and</w:t>
      </w:r>
      <w:r w:rsidR="00FF63B6" w:rsidRPr="00366FF3">
        <w:t xml:space="preserve"> partners, </w:t>
      </w:r>
      <w:r w:rsidR="00F02534">
        <w:t>female and male-identifying respondents,</w:t>
      </w:r>
      <w:r w:rsidR="00FF63B6" w:rsidRPr="00366FF3">
        <w:t xml:space="preserve"> and headquarter</w:t>
      </w:r>
      <w:r w:rsidR="009043C1" w:rsidRPr="00366FF3">
        <w:t>/multilateral</w:t>
      </w:r>
      <w:r w:rsidR="00FF63B6" w:rsidRPr="00366FF3">
        <w:t xml:space="preserve"> </w:t>
      </w:r>
      <w:r w:rsidR="00F02534">
        <w:t>and</w:t>
      </w:r>
      <w:r w:rsidR="00FF63B6" w:rsidRPr="00366FF3">
        <w:t xml:space="preserve"> </w:t>
      </w:r>
      <w:r w:rsidR="004C1529" w:rsidRPr="00366FF3">
        <w:t>country</w:t>
      </w:r>
      <w:r w:rsidR="009043C1" w:rsidRPr="00366FF3">
        <w:t>/</w:t>
      </w:r>
      <w:r w:rsidR="004C1529" w:rsidRPr="00366FF3">
        <w:t>response</w:t>
      </w:r>
      <w:r w:rsidR="003F2EC8">
        <w:t>-</w:t>
      </w:r>
      <w:r w:rsidR="004C1529" w:rsidRPr="00366FF3">
        <w:t xml:space="preserve">level </w:t>
      </w:r>
      <w:r w:rsidR="00F02534">
        <w:t>informants</w:t>
      </w:r>
      <w:r w:rsidR="004C1529" w:rsidRPr="00366FF3">
        <w:t xml:space="preserve">. </w:t>
      </w:r>
      <w:r w:rsidR="006F3319" w:rsidRPr="00366FF3">
        <w:t xml:space="preserve">DFAT staff made up </w:t>
      </w:r>
      <w:r w:rsidR="00AE1A8B">
        <w:t>47</w:t>
      </w:r>
      <w:r w:rsidR="003F2EC8">
        <w:t xml:space="preserve"> per cent</w:t>
      </w:r>
      <w:r w:rsidR="006F3319" w:rsidRPr="00366FF3">
        <w:t xml:space="preserve"> of </w:t>
      </w:r>
      <w:r w:rsidR="00F02534">
        <w:t>key informant interview</w:t>
      </w:r>
      <w:r w:rsidR="006F3319" w:rsidRPr="00366FF3">
        <w:t>s</w:t>
      </w:r>
      <w:r w:rsidR="00F02534">
        <w:t xml:space="preserve"> (KIIs)</w:t>
      </w:r>
      <w:r w:rsidR="006F3319" w:rsidRPr="00366FF3">
        <w:t xml:space="preserve"> and 38</w:t>
      </w:r>
      <w:r w:rsidR="003F2EC8">
        <w:t xml:space="preserve"> per cent</w:t>
      </w:r>
      <w:r w:rsidR="006F3319" w:rsidRPr="00366FF3">
        <w:t xml:space="preserve"> of survey respondents.</w:t>
      </w:r>
      <w:r w:rsidR="007C4ECB" w:rsidRPr="00366FF3">
        <w:t xml:space="preserve"> </w:t>
      </w:r>
      <w:r w:rsidR="0076125E" w:rsidRPr="00366FF3">
        <w:t>6</w:t>
      </w:r>
      <w:r w:rsidR="0019400C">
        <w:t>8</w:t>
      </w:r>
      <w:r w:rsidR="00941A3D">
        <w:t xml:space="preserve"> per cent</w:t>
      </w:r>
      <w:r w:rsidR="0076125E" w:rsidRPr="00366FF3">
        <w:t xml:space="preserve"> of </w:t>
      </w:r>
      <w:r w:rsidR="001603C8" w:rsidRPr="00366FF3">
        <w:t>KIIs and 53</w:t>
      </w:r>
      <w:r w:rsidR="00941A3D">
        <w:t xml:space="preserve"> per cent</w:t>
      </w:r>
      <w:r w:rsidR="001603C8" w:rsidRPr="00366FF3">
        <w:t xml:space="preserve"> of survey respondents</w:t>
      </w:r>
      <w:r w:rsidR="0076125E" w:rsidRPr="00366FF3">
        <w:t xml:space="preserve"> </w:t>
      </w:r>
      <w:r w:rsidR="00F02534">
        <w:t xml:space="preserve">identified as </w:t>
      </w:r>
      <w:r w:rsidR="0076125E" w:rsidRPr="00366FF3">
        <w:t>women, 37</w:t>
      </w:r>
      <w:r w:rsidR="00941A3D">
        <w:t xml:space="preserve"> per cent</w:t>
      </w:r>
      <w:r w:rsidR="0076125E" w:rsidRPr="00366FF3">
        <w:t xml:space="preserve"> </w:t>
      </w:r>
      <w:r w:rsidR="001603C8" w:rsidRPr="00366FF3">
        <w:t>and</w:t>
      </w:r>
      <w:r w:rsidR="0076125E" w:rsidRPr="00366FF3">
        <w:t xml:space="preserve"> </w:t>
      </w:r>
      <w:r w:rsidR="00B87124" w:rsidRPr="00366FF3">
        <w:t>43</w:t>
      </w:r>
      <w:r w:rsidR="00941A3D">
        <w:t xml:space="preserve"> per cent</w:t>
      </w:r>
      <w:r w:rsidR="00B87124" w:rsidRPr="00366FF3">
        <w:t xml:space="preserve"> </w:t>
      </w:r>
      <w:r w:rsidR="00F02534">
        <w:t>identified as</w:t>
      </w:r>
      <w:r w:rsidR="00B87124" w:rsidRPr="00366FF3">
        <w:t xml:space="preserve"> men</w:t>
      </w:r>
      <w:r w:rsidR="00F02534">
        <w:t>,</w:t>
      </w:r>
      <w:r w:rsidR="00B87124" w:rsidRPr="00366FF3">
        <w:t xml:space="preserve"> </w:t>
      </w:r>
      <w:r w:rsidR="00F02534">
        <w:t xml:space="preserve">and </w:t>
      </w:r>
      <w:r w:rsidR="00B87124" w:rsidRPr="00366FF3">
        <w:t>3</w:t>
      </w:r>
      <w:r w:rsidR="00941A3D">
        <w:t xml:space="preserve"> per cent</w:t>
      </w:r>
      <w:r w:rsidR="00B87124" w:rsidRPr="00366FF3">
        <w:t xml:space="preserve"> preferred not to </w:t>
      </w:r>
      <w:r w:rsidR="00F02534">
        <w:t>disclose</w:t>
      </w:r>
      <w:r w:rsidR="00B87124" w:rsidRPr="00366FF3">
        <w:t>.</w:t>
      </w:r>
      <w:r w:rsidR="00B87124" w:rsidRPr="00366FF3">
        <w:rPr>
          <w:rStyle w:val="FootnoteReference"/>
        </w:rPr>
        <w:footnoteReference w:id="21"/>
      </w:r>
      <w:r w:rsidR="008756AD" w:rsidRPr="00366FF3">
        <w:t xml:space="preserve"> </w:t>
      </w:r>
      <w:r w:rsidR="001E524B" w:rsidRPr="00366FF3">
        <w:t>Only 1</w:t>
      </w:r>
      <w:r w:rsidR="007D713E">
        <w:t>6</w:t>
      </w:r>
      <w:r w:rsidR="00941A3D">
        <w:t xml:space="preserve"> per cent</w:t>
      </w:r>
      <w:r w:rsidR="001E524B" w:rsidRPr="00366FF3">
        <w:t xml:space="preserve"> of </w:t>
      </w:r>
      <w:r w:rsidR="009043C1" w:rsidRPr="00366FF3">
        <w:t>KIIs were from a response</w:t>
      </w:r>
      <w:r w:rsidR="0027582F" w:rsidRPr="00366FF3">
        <w:t>/country level</w:t>
      </w:r>
      <w:r w:rsidR="005B302C" w:rsidRPr="00366FF3">
        <w:t>. However,</w:t>
      </w:r>
      <w:r w:rsidR="0027582F" w:rsidRPr="00366FF3">
        <w:t xml:space="preserve"> the </w:t>
      </w:r>
      <w:r w:rsidR="00631562">
        <w:t>Evaluation Team</w:t>
      </w:r>
      <w:r w:rsidR="0027582F" w:rsidRPr="00366FF3">
        <w:t xml:space="preserve"> w</w:t>
      </w:r>
      <w:r w:rsidR="005B302C" w:rsidRPr="00366FF3">
        <w:t>ere</w:t>
      </w:r>
      <w:r w:rsidR="0027582F" w:rsidRPr="00366FF3">
        <w:t xml:space="preserve"> able to balance this by conducting an </w:t>
      </w:r>
      <w:r w:rsidR="000D624B" w:rsidRPr="00366FF3">
        <w:t>in-depth</w:t>
      </w:r>
      <w:r w:rsidR="0027582F">
        <w:t xml:space="preserve"> </w:t>
      </w:r>
      <w:r w:rsidR="007007C8">
        <w:t>case study of one response (Bangladesh)</w:t>
      </w:r>
      <w:r w:rsidR="00482210">
        <w:t>, and</w:t>
      </w:r>
      <w:r w:rsidR="007007C8">
        <w:t xml:space="preserve"> over half (53</w:t>
      </w:r>
      <w:r w:rsidR="00941A3D">
        <w:t xml:space="preserve"> per cent</w:t>
      </w:r>
      <w:r w:rsidR="007007C8">
        <w:t>) of</w:t>
      </w:r>
      <w:r w:rsidR="00482210">
        <w:t xml:space="preserve"> all</w:t>
      </w:r>
      <w:r w:rsidR="007007C8">
        <w:t xml:space="preserve"> survey responses were from a country/response office.</w:t>
      </w:r>
    </w:p>
    <w:p w14:paraId="66356656" w14:textId="26699152" w:rsidR="008B7CE4" w:rsidRPr="00F81E46" w:rsidRDefault="00B96737" w:rsidP="008B7CE4">
      <w:pPr>
        <w:rPr>
          <w:rStyle w:val="Strong"/>
        </w:rPr>
      </w:pPr>
      <w:r>
        <w:rPr>
          <w:rStyle w:val="Strong"/>
        </w:rPr>
        <w:t>Key informant interviews</w:t>
      </w:r>
    </w:p>
    <w:p w14:paraId="1E8DA9AB" w14:textId="15DB01F7" w:rsidR="00806890" w:rsidRDefault="008B7CE4" w:rsidP="006D4C27">
      <w:r w:rsidRPr="7E8483E6">
        <w:rPr>
          <w:rFonts w:eastAsiaTheme="minorEastAsia" w:cstheme="minorBidi"/>
        </w:rPr>
        <w:t>The evaluation conducted a</w:t>
      </w:r>
      <w:r w:rsidRPr="00F81E46">
        <w:rPr>
          <w:rFonts w:eastAsiaTheme="minorEastAsia" w:cstheme="minorBidi"/>
        </w:rPr>
        <w:t xml:space="preserve"> total of </w:t>
      </w:r>
      <w:r w:rsidR="00254882">
        <w:rPr>
          <w:rFonts w:eastAsiaTheme="minorEastAsia" w:cstheme="minorBidi"/>
          <w:b/>
          <w:bCs/>
        </w:rPr>
        <w:t>51</w:t>
      </w:r>
      <w:r w:rsidR="00B96737">
        <w:rPr>
          <w:rFonts w:eastAsiaTheme="minorEastAsia" w:cstheme="minorBidi"/>
          <w:b/>
          <w:bCs/>
        </w:rPr>
        <w:t xml:space="preserve"> k</w:t>
      </w:r>
      <w:r w:rsidR="008221D4">
        <w:rPr>
          <w:rFonts w:eastAsiaTheme="minorEastAsia" w:cstheme="minorBidi"/>
          <w:b/>
          <w:bCs/>
        </w:rPr>
        <w:t>ey informant interviews (</w:t>
      </w:r>
      <w:r w:rsidR="00C72FB2">
        <w:rPr>
          <w:rFonts w:eastAsiaTheme="minorEastAsia" w:cstheme="minorBidi"/>
          <w:b/>
          <w:bCs/>
        </w:rPr>
        <w:t>3</w:t>
      </w:r>
      <w:r w:rsidR="00CF578D">
        <w:rPr>
          <w:rFonts w:eastAsiaTheme="minorEastAsia" w:cstheme="minorBidi"/>
          <w:b/>
          <w:bCs/>
        </w:rPr>
        <w:t>4</w:t>
      </w:r>
      <w:r w:rsidR="008221D4">
        <w:rPr>
          <w:rFonts w:eastAsiaTheme="minorEastAsia" w:cstheme="minorBidi"/>
          <w:b/>
          <w:bCs/>
        </w:rPr>
        <w:t xml:space="preserve"> women, </w:t>
      </w:r>
      <w:r w:rsidR="009F0A76">
        <w:rPr>
          <w:rFonts w:eastAsiaTheme="minorEastAsia" w:cstheme="minorBidi"/>
          <w:b/>
          <w:bCs/>
        </w:rPr>
        <w:t>1</w:t>
      </w:r>
      <w:r w:rsidR="00CF578D">
        <w:rPr>
          <w:rFonts w:eastAsiaTheme="minorEastAsia" w:cstheme="minorBidi"/>
          <w:b/>
          <w:bCs/>
        </w:rPr>
        <w:t>7</w:t>
      </w:r>
      <w:r w:rsidR="008221D4">
        <w:rPr>
          <w:rFonts w:eastAsiaTheme="minorEastAsia" w:cstheme="minorBidi"/>
          <w:b/>
          <w:bCs/>
        </w:rPr>
        <w:t xml:space="preserve"> men)</w:t>
      </w:r>
      <w:r w:rsidRPr="00F81E46">
        <w:rPr>
          <w:rFonts w:eastAsiaTheme="minorEastAsia" w:cstheme="minorBidi"/>
        </w:rPr>
        <w:t xml:space="preserve"> between</w:t>
      </w:r>
      <w:r w:rsidR="00482210">
        <w:rPr>
          <w:rFonts w:eastAsiaTheme="minorEastAsia" w:cstheme="minorBidi"/>
        </w:rPr>
        <w:t xml:space="preserve"> </w:t>
      </w:r>
      <w:r w:rsidR="00806890">
        <w:rPr>
          <w:rFonts w:eastAsiaTheme="minorEastAsia" w:cstheme="minorBidi"/>
        </w:rPr>
        <w:t xml:space="preserve">15 April to </w:t>
      </w:r>
      <w:r w:rsidR="00254882">
        <w:rPr>
          <w:rFonts w:eastAsiaTheme="minorEastAsia" w:cstheme="minorBidi"/>
        </w:rPr>
        <w:t>31 July</w:t>
      </w:r>
      <w:r w:rsidR="00806890">
        <w:rPr>
          <w:rFonts w:eastAsiaTheme="minorEastAsia" w:cstheme="minorBidi"/>
        </w:rPr>
        <w:t xml:space="preserve"> 2025</w:t>
      </w:r>
      <w:r w:rsidR="005F42E8">
        <w:rPr>
          <w:rFonts w:eastAsiaTheme="minorEastAsia" w:cstheme="minorBidi"/>
        </w:rPr>
        <w:t xml:space="preserve"> (target</w:t>
      </w:r>
      <w:r w:rsidR="00A84799">
        <w:rPr>
          <w:rFonts w:eastAsiaTheme="minorEastAsia" w:cstheme="minorBidi"/>
        </w:rPr>
        <w:t xml:space="preserve">: </w:t>
      </w:r>
      <w:r w:rsidR="00280369">
        <w:rPr>
          <w:rFonts w:eastAsiaTheme="minorEastAsia" w:cstheme="minorBidi"/>
        </w:rPr>
        <w:t>30 KIIs</w:t>
      </w:r>
      <w:r w:rsidR="00A84799">
        <w:rPr>
          <w:rFonts w:eastAsiaTheme="minorEastAsia" w:cstheme="minorBidi"/>
        </w:rPr>
        <w:t xml:space="preserve"> with </w:t>
      </w:r>
      <w:r w:rsidR="00280369">
        <w:rPr>
          <w:rFonts w:eastAsiaTheme="minorEastAsia" w:cstheme="minorBidi"/>
        </w:rPr>
        <w:t>15 women,</w:t>
      </w:r>
      <w:r w:rsidR="00A84799">
        <w:rPr>
          <w:rFonts w:eastAsiaTheme="minorEastAsia" w:cstheme="minorBidi"/>
        </w:rPr>
        <w:t xml:space="preserve"> and</w:t>
      </w:r>
      <w:r w:rsidR="00280369">
        <w:rPr>
          <w:rFonts w:eastAsiaTheme="minorEastAsia" w:cstheme="minorBidi"/>
        </w:rPr>
        <w:t xml:space="preserve"> 15 men)</w:t>
      </w:r>
      <w:r w:rsidRPr="00F81E46">
        <w:rPr>
          <w:rFonts w:eastAsiaTheme="minorEastAsia" w:cstheme="minorBidi"/>
        </w:rPr>
        <w:t>.</w:t>
      </w:r>
      <w:r w:rsidR="00643E4A">
        <w:rPr>
          <w:rFonts w:eastAsiaTheme="minorEastAsia" w:cstheme="minorBidi"/>
        </w:rPr>
        <w:t xml:space="preserve"> </w:t>
      </w:r>
      <w:r w:rsidR="00806890">
        <w:t xml:space="preserve">Interviews were semi-structured with new lines of enquiry added iteratively to triangulate and test early responses. </w:t>
      </w:r>
      <w:r w:rsidR="00E42905">
        <w:t>Respondents for remote interviews were selected using purposive sampling to target respondents who were expected to have the most detailed knowledge of SPFs and EOLs and could provide the greatest insights on their relevance, effectiveness</w:t>
      </w:r>
      <w:r w:rsidR="00482210">
        <w:t>,</w:t>
      </w:r>
      <w:r w:rsidR="00E42905">
        <w:t xml:space="preserve"> and efficiency</w:t>
      </w:r>
      <w:r w:rsidR="00482210">
        <w:t>,</w:t>
      </w:r>
      <w:r w:rsidR="00E42905">
        <w:t xml:space="preserve"> a</w:t>
      </w:r>
      <w:r w:rsidR="00A84799">
        <w:t>longside</w:t>
      </w:r>
      <w:r w:rsidR="00E42905">
        <w:t xml:space="preserve"> generat</w:t>
      </w:r>
      <w:r w:rsidR="00A84799">
        <w:t>ing</w:t>
      </w:r>
      <w:r w:rsidR="00E42905">
        <w:t xml:space="preserve"> lessons for the future. As a result, stakeholders targeted for KIIs largely consisted of DFAT Canberra staff, multilateral Posts, </w:t>
      </w:r>
      <w:r w:rsidR="00482210">
        <w:t>and headquarter-</w:t>
      </w:r>
      <w:r w:rsidR="00E42905">
        <w:t>level SPF partners</w:t>
      </w:r>
      <w:r w:rsidR="000D3467">
        <w:t>.</w:t>
      </w:r>
      <w:r w:rsidR="00E42905">
        <w:t xml:space="preserve"> The </w:t>
      </w:r>
      <w:r w:rsidR="00631562">
        <w:t>Evaluation Team</w:t>
      </w:r>
      <w:r w:rsidR="00E42905">
        <w:t xml:space="preserve"> also interviewed </w:t>
      </w:r>
      <w:r w:rsidR="008C4100">
        <w:t>three</w:t>
      </w:r>
      <w:r w:rsidR="00E42905">
        <w:t xml:space="preserve"> donor representatives, selected through a snowballing technique </w:t>
      </w:r>
      <w:r w:rsidR="0080265F">
        <w:t xml:space="preserve">where SPF partners and DFAT multilateral </w:t>
      </w:r>
      <w:r w:rsidR="00A84799">
        <w:t>P</w:t>
      </w:r>
      <w:r w:rsidR="0080265F">
        <w:t>osts were asked to identify other donor</w:t>
      </w:r>
      <w:r w:rsidR="00482210">
        <w:t xml:space="preserve"> representatives </w:t>
      </w:r>
      <w:r w:rsidR="0080265F">
        <w:t>who could provide perspectives on alternative partnership modalities</w:t>
      </w:r>
      <w:r w:rsidR="00806890" w:rsidRPr="00F81E46">
        <w:t>.</w:t>
      </w:r>
    </w:p>
    <w:p w14:paraId="50E48324" w14:textId="65B4EB8E" w:rsidR="006D4C27" w:rsidRDefault="00370D13" w:rsidP="006D4C27">
      <w:r>
        <w:t>The evaluation achieved its</w:t>
      </w:r>
      <w:r w:rsidR="00280369">
        <w:t xml:space="preserve"> target for </w:t>
      </w:r>
      <w:r w:rsidR="00644DBE">
        <w:t xml:space="preserve">interviews with SPF partners (12 interviewed, </w:t>
      </w:r>
      <w:r w:rsidR="00B45E3C">
        <w:t>target</w:t>
      </w:r>
      <w:r w:rsidR="00A84799">
        <w:t xml:space="preserve">: </w:t>
      </w:r>
      <w:r w:rsidR="00B45E3C">
        <w:t>12)</w:t>
      </w:r>
      <w:r w:rsidR="00644DBE">
        <w:t xml:space="preserve"> and </w:t>
      </w:r>
      <w:r w:rsidR="006F3319">
        <w:t>overachieved</w:t>
      </w:r>
      <w:r w:rsidR="00644DBE">
        <w:t xml:space="preserve"> on the number of interviews with DFAT staff (28 achieved, target</w:t>
      </w:r>
      <w:r w:rsidR="00A84799">
        <w:t xml:space="preserve">: </w:t>
      </w:r>
      <w:r w:rsidR="00644DBE">
        <w:t xml:space="preserve">14) as </w:t>
      </w:r>
      <w:r w:rsidR="006F3319">
        <w:t>many</w:t>
      </w:r>
      <w:r w:rsidR="00644DBE">
        <w:t xml:space="preserve"> DFAT staff recommended </w:t>
      </w:r>
      <w:r w:rsidR="006F3319">
        <w:t xml:space="preserve">additional </w:t>
      </w:r>
      <w:r w:rsidR="00644DBE">
        <w:t xml:space="preserve">colleagues </w:t>
      </w:r>
      <w:r w:rsidR="001C6CB4">
        <w:t>who had in</w:t>
      </w:r>
      <w:r w:rsidR="006F3319">
        <w:t>sights</w:t>
      </w:r>
      <w:r w:rsidR="001C6CB4">
        <w:t xml:space="preserve"> or experience </w:t>
      </w:r>
      <w:r w:rsidR="00EE4BD5">
        <w:t>to share</w:t>
      </w:r>
      <w:r w:rsidR="001C6CB4">
        <w:t>.</w:t>
      </w:r>
      <w:r w:rsidR="00755E34">
        <w:rPr>
          <w:rStyle w:val="FootnoteReference"/>
        </w:rPr>
        <w:footnoteReference w:id="22"/>
      </w:r>
      <w:r w:rsidR="00644DBE">
        <w:t xml:space="preserve"> </w:t>
      </w:r>
    </w:p>
    <w:p w14:paraId="245D6CA0" w14:textId="77777777" w:rsidR="000C56F6" w:rsidRDefault="000C56F6" w:rsidP="008B7CE4">
      <w:pPr>
        <w:rPr>
          <w:rStyle w:val="Strong"/>
        </w:rPr>
      </w:pPr>
    </w:p>
    <w:p w14:paraId="5D41D061" w14:textId="6D16F261" w:rsidR="008B7CE4" w:rsidRDefault="001C6CB4" w:rsidP="008B7CE4">
      <w:pPr>
        <w:rPr>
          <w:rStyle w:val="Strong"/>
        </w:rPr>
      </w:pPr>
      <w:r>
        <w:rPr>
          <w:rStyle w:val="Strong"/>
        </w:rPr>
        <w:lastRenderedPageBreak/>
        <w:t>Surveys</w:t>
      </w:r>
    </w:p>
    <w:p w14:paraId="2A668C1D" w14:textId="08E006DA" w:rsidR="001C6CB4" w:rsidRDefault="00B77795" w:rsidP="008B7CE4">
      <w:pPr>
        <w:rPr>
          <w:rStyle w:val="Strong"/>
          <w:b w:val="0"/>
          <w:bCs w:val="0"/>
        </w:rPr>
      </w:pPr>
      <w:r w:rsidRPr="00407A8A">
        <w:rPr>
          <w:rStyle w:val="Strong"/>
          <w:b w:val="0"/>
          <w:bCs w:val="0"/>
        </w:rPr>
        <w:t>T</w:t>
      </w:r>
      <w:r w:rsidR="00407A8A">
        <w:rPr>
          <w:rStyle w:val="Strong"/>
          <w:b w:val="0"/>
          <w:bCs w:val="0"/>
        </w:rPr>
        <w:t xml:space="preserve">he </w:t>
      </w:r>
      <w:r w:rsidR="00631562">
        <w:rPr>
          <w:rStyle w:val="Strong"/>
          <w:b w:val="0"/>
          <w:bCs w:val="0"/>
        </w:rPr>
        <w:t>Evaluation Team</w:t>
      </w:r>
      <w:r w:rsidR="00407A8A">
        <w:rPr>
          <w:rStyle w:val="Strong"/>
          <w:b w:val="0"/>
          <w:bCs w:val="0"/>
        </w:rPr>
        <w:t xml:space="preserve"> developed tailored surveys for</w:t>
      </w:r>
      <w:r w:rsidR="00DE79FD">
        <w:rPr>
          <w:rStyle w:val="Strong"/>
          <w:b w:val="0"/>
          <w:bCs w:val="0"/>
        </w:rPr>
        <w:t xml:space="preserve"> </w:t>
      </w:r>
      <w:r w:rsidR="00DE79FD">
        <w:t>DFAT</w:t>
      </w:r>
      <w:r w:rsidR="00C55E1F">
        <w:t>, WFP, UNHCR, OCHA</w:t>
      </w:r>
      <w:r w:rsidR="00243C4E">
        <w:t>/</w:t>
      </w:r>
      <w:r w:rsidR="00C55E1F">
        <w:t>CERF</w:t>
      </w:r>
      <w:r w:rsidR="00482210">
        <w:t>,</w:t>
      </w:r>
      <w:r w:rsidR="00C55E1F">
        <w:t xml:space="preserve"> and ICRC. The survey was sent to all DFAT</w:t>
      </w:r>
      <w:r w:rsidR="00DE79FD">
        <w:t xml:space="preserve"> </w:t>
      </w:r>
      <w:r w:rsidR="00537CAD">
        <w:t xml:space="preserve">and Department of Home Affairs </w:t>
      </w:r>
      <w:r w:rsidR="00C55E1F">
        <w:t>Canberra</w:t>
      </w:r>
      <w:r w:rsidR="00DE79FD">
        <w:t xml:space="preserve"> </w:t>
      </w:r>
      <w:r w:rsidR="00C55E1F">
        <w:t xml:space="preserve">staff engaged </w:t>
      </w:r>
      <w:r w:rsidR="00537CAD">
        <w:t>in</w:t>
      </w:r>
      <w:r w:rsidR="00C55E1F">
        <w:t xml:space="preserve"> </w:t>
      </w:r>
      <w:r w:rsidR="00537CAD">
        <w:t xml:space="preserve">the </w:t>
      </w:r>
      <w:r w:rsidR="00C55E1F">
        <w:t xml:space="preserve">management of SPFs and </w:t>
      </w:r>
      <w:r w:rsidR="00DE79FD">
        <w:t>Posts in the 16 responses that have signed EOLs</w:t>
      </w:r>
      <w:r w:rsidR="00116341">
        <w:t xml:space="preserve">, based on a contact list </w:t>
      </w:r>
      <w:r w:rsidR="00E21BF6">
        <w:t>developed by the SPF Evaluation Reference Group</w:t>
      </w:r>
      <w:r w:rsidR="000F7BA7">
        <w:t>.</w:t>
      </w:r>
      <w:r w:rsidR="004B4BD8">
        <w:rPr>
          <w:rStyle w:val="FootnoteReference"/>
        </w:rPr>
        <w:footnoteReference w:id="23"/>
      </w:r>
      <w:r w:rsidR="00DE79FD">
        <w:t xml:space="preserve"> Headquarter and response</w:t>
      </w:r>
      <w:r w:rsidR="00482210">
        <w:t>-</w:t>
      </w:r>
      <w:r w:rsidR="00DE79FD">
        <w:t xml:space="preserve">level staff </w:t>
      </w:r>
      <w:r w:rsidR="00482210">
        <w:t>across</w:t>
      </w:r>
      <w:r w:rsidR="00DE79FD">
        <w:t xml:space="preserve"> SPF partner</w:t>
      </w:r>
      <w:r w:rsidR="00482210">
        <w:t xml:space="preserve"> offices</w:t>
      </w:r>
      <w:r w:rsidR="00DE79FD">
        <w:t xml:space="preserve"> w</w:t>
      </w:r>
      <w:r w:rsidR="00116341">
        <w:t xml:space="preserve">ere also </w:t>
      </w:r>
      <w:r w:rsidR="00DE79FD">
        <w:t>invited to respond to a survey tailored for each of the four humanitarian SPF partners (WFP, UNHCR, OCHA and ICRC)</w:t>
      </w:r>
      <w:r w:rsidR="00B64D4A">
        <w:t>. The invitation to participate in the surveys was distributed</w:t>
      </w:r>
      <w:r w:rsidR="00C07B70">
        <w:rPr>
          <w:rStyle w:val="Strong"/>
          <w:b w:val="0"/>
          <w:bCs w:val="0"/>
        </w:rPr>
        <w:t xml:space="preserve"> through </w:t>
      </w:r>
      <w:r w:rsidR="00D24776">
        <w:rPr>
          <w:rStyle w:val="Strong"/>
          <w:b w:val="0"/>
          <w:bCs w:val="0"/>
        </w:rPr>
        <w:t>donor</w:t>
      </w:r>
      <w:r w:rsidR="00C07B70">
        <w:rPr>
          <w:rStyle w:val="Strong"/>
          <w:b w:val="0"/>
          <w:bCs w:val="0"/>
        </w:rPr>
        <w:t xml:space="preserve"> focal points</w:t>
      </w:r>
      <w:r w:rsidR="00EE4BD5">
        <w:rPr>
          <w:rStyle w:val="Strong"/>
          <w:b w:val="0"/>
          <w:bCs w:val="0"/>
        </w:rPr>
        <w:t xml:space="preserve"> in each </w:t>
      </w:r>
      <w:r w:rsidR="00D24776">
        <w:rPr>
          <w:rStyle w:val="Strong"/>
          <w:b w:val="0"/>
          <w:bCs w:val="0"/>
        </w:rPr>
        <w:t>partner organisation</w:t>
      </w:r>
      <w:r w:rsidR="00EE4BD5">
        <w:rPr>
          <w:rStyle w:val="Strong"/>
          <w:b w:val="0"/>
          <w:bCs w:val="0"/>
        </w:rPr>
        <w:t>.</w:t>
      </w:r>
    </w:p>
    <w:p w14:paraId="0DDAD0B0" w14:textId="70AE10B3" w:rsidR="003138B2" w:rsidRDefault="003138B2" w:rsidP="008B1208">
      <w:pPr>
        <w:rPr>
          <w:rStyle w:val="Strong"/>
        </w:rPr>
      </w:pPr>
      <w:r>
        <w:t>The survey provide</w:t>
      </w:r>
      <w:r w:rsidR="00B64D4A">
        <w:t>d</w:t>
      </w:r>
      <w:r>
        <w:t xml:space="preserve"> </w:t>
      </w:r>
      <w:r w:rsidR="0068127B">
        <w:t xml:space="preserve">an </w:t>
      </w:r>
      <w:r>
        <w:t>opportunity for a rapid analysis of the experience of a broad range of DFAT staff and SPF partners and</w:t>
      </w:r>
      <w:r w:rsidR="00B64D4A">
        <w:t xml:space="preserve"> to</w:t>
      </w:r>
      <w:r>
        <w:t xml:space="preserve"> identify differences in perceptions across the different categories of stakeholder staff. </w:t>
      </w:r>
      <w:r w:rsidR="00B64D4A">
        <w:t xml:space="preserve">The surveys asked respondents to rank the extent </w:t>
      </w:r>
      <w:r>
        <w:t xml:space="preserve">to which SPFs </w:t>
      </w:r>
      <w:r w:rsidR="00B64D4A">
        <w:t>were</w:t>
      </w:r>
      <w:r>
        <w:t xml:space="preserve"> relevant, effective</w:t>
      </w:r>
      <w:r w:rsidR="00482210">
        <w:t>,</w:t>
      </w:r>
      <w:r>
        <w:t xml:space="preserve"> and efficient</w:t>
      </w:r>
      <w:r w:rsidR="00B64D4A">
        <w:t xml:space="preserve"> compared to other available modalities using a L</w:t>
      </w:r>
      <w:r w:rsidR="0066588F">
        <w:t>ikert</w:t>
      </w:r>
      <w:r w:rsidR="00B64D4A">
        <w:t xml:space="preserve"> </w:t>
      </w:r>
      <w:r w:rsidR="00704285">
        <w:t>S</w:t>
      </w:r>
      <w:r w:rsidR="00B64D4A">
        <w:t>cale</w:t>
      </w:r>
      <w:r>
        <w:t xml:space="preserve">. </w:t>
      </w:r>
      <w:r w:rsidR="00B64D4A">
        <w:t>It also included open ended questions</w:t>
      </w:r>
      <w:r w:rsidR="00EE4BD5">
        <w:t xml:space="preserve"> for respondents</w:t>
      </w:r>
      <w:r w:rsidR="00846617">
        <w:t xml:space="preserve"> to provide advice or recommendations to improve </w:t>
      </w:r>
      <w:r w:rsidR="00EE4BD5">
        <w:t xml:space="preserve">current or </w:t>
      </w:r>
      <w:r w:rsidR="00846617">
        <w:t xml:space="preserve">future partnership modalities. </w:t>
      </w:r>
      <w:r w:rsidR="00482210">
        <w:t>For instance, t</w:t>
      </w:r>
      <w:r>
        <w:t>he survey include</w:t>
      </w:r>
      <w:r w:rsidR="00B64D4A">
        <w:t>d</w:t>
      </w:r>
      <w:r>
        <w:t xml:space="preserve"> question</w:t>
      </w:r>
      <w:r w:rsidR="00B64D4A">
        <w:t>s</w:t>
      </w:r>
      <w:r>
        <w:t xml:space="preserve"> on the extent to which stakeholders </w:t>
      </w:r>
      <w:r w:rsidR="00846617">
        <w:t>we</w:t>
      </w:r>
      <w:r>
        <w:t>re familiar with, or ha</w:t>
      </w:r>
      <w:r w:rsidR="00846617">
        <w:t>d</w:t>
      </w:r>
      <w:r>
        <w:t xml:space="preserve"> engaged with, Australia’s SPFs to allow the </w:t>
      </w:r>
      <w:r w:rsidR="00631562">
        <w:t>Evaluation Team</w:t>
      </w:r>
      <w:r>
        <w:t xml:space="preserve"> to analyse changes in perceptions according to the stakeholders’ level of engagement.</w:t>
      </w:r>
    </w:p>
    <w:p w14:paraId="4FEE8A0B" w14:textId="2D210874" w:rsidR="008B1208" w:rsidRPr="00755E34" w:rsidRDefault="008B1208" w:rsidP="00755E34">
      <w:pPr>
        <w:rPr>
          <w:b/>
          <w:bCs/>
        </w:rPr>
      </w:pPr>
      <w:r>
        <w:rPr>
          <w:rStyle w:val="Strong"/>
        </w:rPr>
        <w:t>Case stud</w:t>
      </w:r>
      <w:r w:rsidR="004F471E">
        <w:rPr>
          <w:rStyle w:val="Strong"/>
        </w:rPr>
        <w:t>y</w:t>
      </w:r>
    </w:p>
    <w:p w14:paraId="7FCAF168" w14:textId="4AA027CB" w:rsidR="008B1208" w:rsidRPr="00A56D28" w:rsidRDefault="008B1208" w:rsidP="005810A0">
      <w:pPr>
        <w:rPr>
          <w:b/>
          <w:bCs/>
        </w:rPr>
      </w:pPr>
      <w:r>
        <w:t xml:space="preserve">The </w:t>
      </w:r>
      <w:r w:rsidR="00631562">
        <w:t>Evaluation Team</w:t>
      </w:r>
      <w:r>
        <w:t xml:space="preserve"> deliver</w:t>
      </w:r>
      <w:r w:rsidR="00755E34">
        <w:t>ed</w:t>
      </w:r>
      <w:r>
        <w:t xml:space="preserve"> one case</w:t>
      </w:r>
      <w:r w:rsidR="00755E34">
        <w:t xml:space="preserve"> </w:t>
      </w:r>
      <w:r>
        <w:t>study</w:t>
      </w:r>
      <w:r w:rsidR="00755E34">
        <w:t xml:space="preserve"> </w:t>
      </w:r>
      <w:r w:rsidR="00755E34" w:rsidRPr="00F26E4E">
        <w:t>(</w:t>
      </w:r>
      <w:r w:rsidR="00755E34" w:rsidRPr="004E6FB0">
        <w:rPr>
          <w:b/>
          <w:bCs/>
        </w:rPr>
        <w:t>Annex 2</w:t>
      </w:r>
      <w:r w:rsidR="00755E34" w:rsidRPr="004E6FB0">
        <w:t>)</w:t>
      </w:r>
      <w:r w:rsidRPr="00482210">
        <w:t xml:space="preserve"> exploring</w:t>
      </w:r>
      <w:r>
        <w:t xml:space="preserve"> SPFs and EOLs with WFP and UNHCR </w:t>
      </w:r>
      <w:r w:rsidR="00C618BF">
        <w:t>as part of the Bangladesh Rohingya and Host Community Humanitarian Investment</w:t>
      </w:r>
      <w:r>
        <w:t xml:space="preserve">. The country and partners were selected in consultation with DFAT, based on </w:t>
      </w:r>
      <w:r w:rsidR="00EE69CC">
        <w:t>the focus on each of the SPFs on the</w:t>
      </w:r>
      <w:r>
        <w:t xml:space="preserve"> Indo-Pacific region and the</w:t>
      </w:r>
      <w:r w:rsidR="00C24790">
        <w:t xml:space="preserve"> comparatively</w:t>
      </w:r>
      <w:r>
        <w:t xml:space="preserve"> large amount of funding provided to </w:t>
      </w:r>
      <w:r w:rsidR="00CD5031">
        <w:rPr>
          <w:rFonts w:ascii="Arial" w:eastAsia="Aptos" w:hAnsi="Arial" w:cs="Arial"/>
          <w:color w:val="auto"/>
          <w:kern w:val="2"/>
          <w:szCs w:val="20"/>
          <w:lang w:val="en-GB" w:eastAsia="en-US"/>
          <w14:ligatures w14:val="standardContextual"/>
        </w:rPr>
        <w:t>Bangladesh Rohingya and Host Community Humanitarian Investment response</w:t>
      </w:r>
      <w:r>
        <w:t xml:space="preserve">, and to UNHCR and WFP in that context. </w:t>
      </w:r>
      <w:r w:rsidR="005810A0">
        <w:t>The case study provided a</w:t>
      </w:r>
      <w:r>
        <w:t xml:space="preserve"> deep dive </w:t>
      </w:r>
      <w:r w:rsidR="005810A0">
        <w:t>to test, explore</w:t>
      </w:r>
      <w:r w:rsidR="00482210">
        <w:t>,</w:t>
      </w:r>
      <w:r w:rsidR="005810A0">
        <w:t xml:space="preserve"> and</w:t>
      </w:r>
      <w:r>
        <w:t xml:space="preserve"> understand how the SPFs</w:t>
      </w:r>
      <w:r w:rsidR="005810A0">
        <w:t xml:space="preserve"> and EOLs were </w:t>
      </w:r>
      <w:r>
        <w:t xml:space="preserve">operationalised at </w:t>
      </w:r>
      <w:r w:rsidR="005810A0">
        <w:t xml:space="preserve">the </w:t>
      </w:r>
      <w:r>
        <w:t xml:space="preserve">country level. </w:t>
      </w:r>
    </w:p>
    <w:p w14:paraId="21021341" w14:textId="1496A48A" w:rsidR="00C40EAB" w:rsidRPr="00C40EAB" w:rsidRDefault="00C40EAB" w:rsidP="00C40EAB">
      <w:pPr>
        <w:rPr>
          <w:rStyle w:val="Strong"/>
          <w:b w:val="0"/>
        </w:rPr>
      </w:pPr>
      <w:r w:rsidRPr="00C40EAB">
        <w:rPr>
          <w:rStyle w:val="Strong"/>
        </w:rPr>
        <w:t>Written request to DFAT risk</w:t>
      </w:r>
      <w:r w:rsidR="00BE2B56">
        <w:rPr>
          <w:rStyle w:val="Strong"/>
        </w:rPr>
        <w:t xml:space="preserve"> and safeguarding</w:t>
      </w:r>
      <w:r w:rsidRPr="00C40EAB">
        <w:rPr>
          <w:rStyle w:val="Strong"/>
        </w:rPr>
        <w:t xml:space="preserve"> </w:t>
      </w:r>
      <w:r w:rsidR="00BE2B56">
        <w:rPr>
          <w:rStyle w:val="Strong"/>
        </w:rPr>
        <w:t>staff</w:t>
      </w:r>
      <w:r w:rsidR="00BE2B56" w:rsidRPr="00C40EAB">
        <w:rPr>
          <w:rStyle w:val="Strong"/>
        </w:rPr>
        <w:t xml:space="preserve"> </w:t>
      </w:r>
    </w:p>
    <w:p w14:paraId="06748CCC" w14:textId="62255CA1" w:rsidR="00C40EAB" w:rsidRPr="008A3B46" w:rsidRDefault="00EB164C" w:rsidP="00AF69EF">
      <w:bookmarkStart w:id="11" w:name="_Toc201437954"/>
      <w:r>
        <w:t xml:space="preserve">The </w:t>
      </w:r>
      <w:r w:rsidR="00631562">
        <w:t>Evaluation Team</w:t>
      </w:r>
      <w:r>
        <w:t xml:space="preserve"> </w:t>
      </w:r>
      <w:r w:rsidR="00C11B88">
        <w:t xml:space="preserve">received four written responses to a </w:t>
      </w:r>
      <w:r>
        <w:t xml:space="preserve">questionnaire </w:t>
      </w:r>
      <w:r w:rsidR="00C11B88">
        <w:t xml:space="preserve">sent </w:t>
      </w:r>
      <w:r>
        <w:t>to DFAT legal, risk</w:t>
      </w:r>
      <w:r w:rsidR="00482210">
        <w:t>,</w:t>
      </w:r>
      <w:r>
        <w:t xml:space="preserve"> and safeguarding experts to understand the extent to which the current SPFs and EOLs align with Australia’s risk </w:t>
      </w:r>
      <w:r w:rsidR="00BE2B56">
        <w:t xml:space="preserve">and safeguarding </w:t>
      </w:r>
      <w:r>
        <w:t xml:space="preserve">policies and Australian legislation. </w:t>
      </w:r>
      <w:r w:rsidR="008C16BF">
        <w:t>DFAT s</w:t>
      </w:r>
      <w:r w:rsidR="00BE2B56">
        <w:t>taff</w:t>
      </w:r>
      <w:r>
        <w:t xml:space="preserve"> </w:t>
      </w:r>
      <w:r w:rsidR="007C7678">
        <w:t>were</w:t>
      </w:r>
      <w:r>
        <w:t xml:space="preserve"> asked to provide advice on options to strengthen alignment between future partnership arrangements and Australia’s risk standards, balancing this against Australia’s </w:t>
      </w:r>
      <w:r w:rsidRPr="002E1D9B">
        <w:t xml:space="preserve">commitment to </w:t>
      </w:r>
      <w:r w:rsidR="009A4684" w:rsidRPr="002E1D9B">
        <w:t>Good Humanitarian Donorship</w:t>
      </w:r>
      <w:r w:rsidRPr="002E1D9B">
        <w:t xml:space="preserve">. The </w:t>
      </w:r>
      <w:r w:rsidR="00631562" w:rsidRPr="002E1D9B">
        <w:t>Evaluation Team</w:t>
      </w:r>
      <w:r w:rsidRPr="002E1D9B">
        <w:t xml:space="preserve"> </w:t>
      </w:r>
      <w:r w:rsidR="007C7678" w:rsidRPr="002E1D9B">
        <w:t>balanced this</w:t>
      </w:r>
      <w:r w:rsidRPr="002E1D9B">
        <w:t xml:space="preserve"> advice against the evidence on relevance, effectiveness</w:t>
      </w:r>
      <w:r w:rsidR="00482210" w:rsidRPr="002E1D9B">
        <w:t>,</w:t>
      </w:r>
      <w:r w:rsidRPr="002E1D9B">
        <w:t xml:space="preserve"> and efficiency gathered through other methods </w:t>
      </w:r>
      <w:r w:rsidR="00FA7E2F" w:rsidRPr="002E1D9B">
        <w:t>in developing</w:t>
      </w:r>
      <w:r w:rsidRPr="002E1D9B">
        <w:t xml:space="preserve"> recommendations to strengthen future partnership arrangements.</w:t>
      </w:r>
      <w:bookmarkEnd w:id="11"/>
      <w:r w:rsidR="00B21124" w:rsidRPr="002E1D9B">
        <w:t xml:space="preserve">  Sensitive and confidential legal information has been </w:t>
      </w:r>
      <w:r w:rsidR="00D95873" w:rsidRPr="002E1D9B">
        <w:t>provided separately to DFAT.</w:t>
      </w:r>
    </w:p>
    <w:p w14:paraId="740C327E" w14:textId="43B1F001" w:rsidR="008B7CE4" w:rsidRPr="004D7152" w:rsidRDefault="008B7CE4" w:rsidP="004E6FB0">
      <w:pPr>
        <w:pStyle w:val="Heading2NOTOC"/>
        <w:rPr>
          <w:rStyle w:val="Strong"/>
          <w:color w:val="585858" w:themeColor="text2"/>
        </w:rPr>
      </w:pPr>
      <w:r w:rsidRPr="004D7152">
        <w:rPr>
          <w:color w:val="585858" w:themeColor="text2"/>
        </w:rPr>
        <w:t>Phase III: Synthesis and Reporting</w:t>
      </w:r>
    </w:p>
    <w:p w14:paraId="12F9EEAF" w14:textId="5DCFC4BE" w:rsidR="008B7CE4" w:rsidRDefault="008B7CE4" w:rsidP="008B7CE4">
      <w:r>
        <w:t xml:space="preserve">The </w:t>
      </w:r>
      <w:r w:rsidR="00631562">
        <w:t>Evaluation Team</w:t>
      </w:r>
      <w:r>
        <w:t xml:space="preserve"> organised evidence from the document review, </w:t>
      </w:r>
      <w:r w:rsidR="00482210">
        <w:t>KIIs</w:t>
      </w:r>
      <w:r w:rsidR="004F471E">
        <w:t>,</w:t>
      </w:r>
      <w:r>
        <w:t xml:space="preserve"> survey</w:t>
      </w:r>
      <w:r w:rsidR="004F471E">
        <w:t>, case study</w:t>
      </w:r>
      <w:r w:rsidR="00DE6FE0">
        <w:t>,</w:t>
      </w:r>
      <w:r w:rsidR="004F471E">
        <w:t xml:space="preserve"> and written risk request</w:t>
      </w:r>
      <w:r>
        <w:t xml:space="preserve"> against a</w:t>
      </w:r>
      <w:r w:rsidRPr="00F81E46">
        <w:t xml:space="preserve"> structured analysis template</w:t>
      </w:r>
      <w:r w:rsidR="0086548D">
        <w:t xml:space="preserve"> which mapped</w:t>
      </w:r>
      <w:r>
        <w:t xml:space="preserve"> early findings against each sub-evaluation question</w:t>
      </w:r>
      <w:r w:rsidR="0086548D">
        <w:t xml:space="preserve">. The </w:t>
      </w:r>
      <w:r w:rsidR="00631562">
        <w:t>Evaluation Team</w:t>
      </w:r>
      <w:r w:rsidR="0086548D">
        <w:t xml:space="preserve"> then </w:t>
      </w:r>
      <w:r w:rsidR="00817DB0">
        <w:t>held</w:t>
      </w:r>
      <w:r w:rsidR="0086548D">
        <w:t xml:space="preserve"> </w:t>
      </w:r>
      <w:r w:rsidR="00FF07F7">
        <w:t>analysis workshops to test the</w:t>
      </w:r>
      <w:r>
        <w:t xml:space="preserve"> strengths</w:t>
      </w:r>
      <w:r w:rsidR="00482210">
        <w:t xml:space="preserve"> and </w:t>
      </w:r>
      <w:r>
        <w:t xml:space="preserve">limitations of the evidence, </w:t>
      </w:r>
      <w:r w:rsidR="00FF07F7">
        <w:t>triangulate evi</w:t>
      </w:r>
      <w:r w:rsidR="00F44993">
        <w:t xml:space="preserve">dence across data sources, </w:t>
      </w:r>
      <w:r w:rsidR="00FF07F7">
        <w:t>identify gaps for follow up</w:t>
      </w:r>
      <w:r w:rsidR="00482210">
        <w:t>,</w:t>
      </w:r>
      <w:r w:rsidR="00FF07F7">
        <w:t xml:space="preserve"> and</w:t>
      </w:r>
      <w:r>
        <w:t xml:space="preserve"> </w:t>
      </w:r>
      <w:r w:rsidR="00F44993">
        <w:t>explore linkages across the different key evaluation questions</w:t>
      </w:r>
      <w:r>
        <w:t>.</w:t>
      </w:r>
      <w:r w:rsidRPr="00F81E46">
        <w:t xml:space="preserve"> </w:t>
      </w:r>
    </w:p>
    <w:p w14:paraId="7093CEF3" w14:textId="06BB8A76" w:rsidR="00ED67A6" w:rsidRDefault="00ED67A6" w:rsidP="008B7CE4">
      <w:r>
        <w:t xml:space="preserve">The </w:t>
      </w:r>
      <w:r w:rsidR="00631562">
        <w:t>Evaluation Team</w:t>
      </w:r>
      <w:r>
        <w:t xml:space="preserve"> ranked evidence on a scale of strong, adequate</w:t>
      </w:r>
      <w:r w:rsidR="00482210">
        <w:t>,</w:t>
      </w:r>
      <w:r>
        <w:t xml:space="preserve"> or weak, based on </w:t>
      </w:r>
      <w:r w:rsidR="00A8704C">
        <w:t>the reliability of the source</w:t>
      </w:r>
      <w:r w:rsidR="00482210">
        <w:t>,</w:t>
      </w:r>
      <w:r w:rsidR="00A8704C">
        <w:t xml:space="preserve"> and the extent to which it was validated by other </w:t>
      </w:r>
      <w:r w:rsidR="00817DB0">
        <w:t>evidence</w:t>
      </w:r>
      <w:r w:rsidR="00A8704C">
        <w:t>. Only strong</w:t>
      </w:r>
      <w:r w:rsidR="00482210">
        <w:t xml:space="preserve"> </w:t>
      </w:r>
      <w:r w:rsidR="00A8704C">
        <w:t xml:space="preserve">evidence </w:t>
      </w:r>
      <w:r w:rsidR="00817DB0">
        <w:t>was</w:t>
      </w:r>
      <w:r w:rsidR="00A8704C">
        <w:t xml:space="preserve"> used to </w:t>
      </w:r>
      <w:r w:rsidR="00D434AE">
        <w:lastRenderedPageBreak/>
        <w:t>develop the findings, lessons</w:t>
      </w:r>
      <w:r w:rsidR="00482210">
        <w:t>,</w:t>
      </w:r>
      <w:r w:rsidR="00D434AE">
        <w:t xml:space="preserve"> and recommendations in this report. </w:t>
      </w:r>
      <w:r w:rsidR="00F41935">
        <w:t xml:space="preserve">Weak evidence was excluded from the evaluation, </w:t>
      </w:r>
      <w:r w:rsidR="00482210">
        <w:t>except to</w:t>
      </w:r>
      <w:r w:rsidR="00F41935">
        <w:t xml:space="preserve"> highlight key differences in opinion or misunderstandings which may impact on the overall effectiveness of SPFs as a partnership modality. Where differences of opinion exist</w:t>
      </w:r>
      <w:r w:rsidR="00482210">
        <w:t>ed</w:t>
      </w:r>
      <w:r w:rsidR="00F41935">
        <w:t xml:space="preserve">, the evaluation has sought to clearly outline </w:t>
      </w:r>
      <w:r w:rsidR="00482210">
        <w:t>each</w:t>
      </w:r>
      <w:r w:rsidR="00F41935">
        <w:t xml:space="preserve"> and provide findings based on the evaluations team’s judgement</w:t>
      </w:r>
      <w:r w:rsidR="00482210">
        <w:t>,</w:t>
      </w:r>
      <w:r w:rsidR="00F41935">
        <w:t xml:space="preserve"> drawing on the strengths and weaknesses of the evidence presented.</w:t>
      </w:r>
    </w:p>
    <w:p w14:paraId="4C1A9AA4" w14:textId="6F8F798C" w:rsidR="009C2B09" w:rsidRDefault="00AB0238" w:rsidP="009C2B09">
      <w:pPr>
        <w:rPr>
          <w:rFonts w:eastAsia="Arial"/>
        </w:rPr>
      </w:pPr>
      <w:r>
        <w:t xml:space="preserve">The </w:t>
      </w:r>
      <w:r w:rsidR="00631562">
        <w:t>Evaluation Team</w:t>
      </w:r>
      <w:r>
        <w:t xml:space="preserve"> present</w:t>
      </w:r>
      <w:r w:rsidR="0064426C">
        <w:t>ed</w:t>
      </w:r>
      <w:r>
        <w:t xml:space="preserve"> initial findings to DFAT in a sensemaking workshop </w:t>
      </w:r>
      <w:r w:rsidR="0064426C">
        <w:t xml:space="preserve">on </w:t>
      </w:r>
      <w:r w:rsidR="00E82492">
        <w:t>27 May 2025</w:t>
      </w:r>
      <w:r w:rsidR="0098081D">
        <w:t xml:space="preserve"> with </w:t>
      </w:r>
      <w:r w:rsidR="000F758F">
        <w:t>seven</w:t>
      </w:r>
      <w:r w:rsidR="001647FF">
        <w:t xml:space="preserve"> DFAT </w:t>
      </w:r>
      <w:r w:rsidR="00F62B79">
        <w:t xml:space="preserve">humanitarian and program quality </w:t>
      </w:r>
      <w:r w:rsidR="00E82492">
        <w:t xml:space="preserve">staff to </w:t>
      </w:r>
      <w:r>
        <w:t xml:space="preserve">test and </w:t>
      </w:r>
      <w:r w:rsidR="00E82492">
        <w:t>validate early</w:t>
      </w:r>
      <w:r>
        <w:t xml:space="preserve"> findings</w:t>
      </w:r>
      <w:r w:rsidR="0098081D">
        <w:t xml:space="preserve">. The </w:t>
      </w:r>
      <w:r w:rsidR="00631562">
        <w:t>Evaluation Team</w:t>
      </w:r>
      <w:r w:rsidR="0098081D">
        <w:t xml:space="preserve"> incorporated feedback from the sensemaking workshop into the draft evaluation report.</w:t>
      </w:r>
      <w:r w:rsidR="00F41935">
        <w:rPr>
          <w:rFonts w:eastAsia="Arial"/>
        </w:rPr>
        <w:t xml:space="preserve"> </w:t>
      </w:r>
      <w:r w:rsidR="00110740">
        <w:rPr>
          <w:rFonts w:eastAsia="Arial"/>
        </w:rPr>
        <w:t xml:space="preserve">A second workshop discussing feedback on the draft evaluation report was held with DFAT on </w:t>
      </w:r>
      <w:r w:rsidR="001A2963">
        <w:rPr>
          <w:rFonts w:eastAsia="Arial"/>
        </w:rPr>
        <w:t>1 July 2025, and comprehensive feedback</w:t>
      </w:r>
      <w:r w:rsidR="008E3386">
        <w:rPr>
          <w:rFonts w:eastAsia="Arial"/>
        </w:rPr>
        <w:t xml:space="preserve"> provided</w:t>
      </w:r>
      <w:r w:rsidR="0002128F">
        <w:rPr>
          <w:rFonts w:eastAsia="Arial"/>
        </w:rPr>
        <w:t xml:space="preserve"> to the </w:t>
      </w:r>
      <w:r w:rsidR="00631562">
        <w:rPr>
          <w:rFonts w:eastAsia="Arial"/>
        </w:rPr>
        <w:t>Evaluation Team</w:t>
      </w:r>
      <w:r w:rsidR="001A2963">
        <w:rPr>
          <w:rFonts w:eastAsia="Arial"/>
        </w:rPr>
        <w:t xml:space="preserve"> in writing</w:t>
      </w:r>
      <w:r w:rsidR="000E676D">
        <w:rPr>
          <w:rFonts w:eastAsia="Arial"/>
        </w:rPr>
        <w:t xml:space="preserve"> on 11 July</w:t>
      </w:r>
      <w:r w:rsidR="002C6218">
        <w:rPr>
          <w:rFonts w:eastAsia="Arial"/>
        </w:rPr>
        <w:t xml:space="preserve"> 2025</w:t>
      </w:r>
      <w:r w:rsidR="001A2963">
        <w:rPr>
          <w:rFonts w:eastAsia="Arial"/>
        </w:rPr>
        <w:t xml:space="preserve">. A final evaluation report </w:t>
      </w:r>
      <w:r w:rsidR="00E310D2">
        <w:rPr>
          <w:rFonts w:eastAsia="Arial"/>
        </w:rPr>
        <w:t>was submitted to DFAT on 25 July 2025</w:t>
      </w:r>
      <w:r w:rsidR="00D95873">
        <w:rPr>
          <w:rFonts w:eastAsia="Arial"/>
        </w:rPr>
        <w:t xml:space="preserve"> with feedback provided on 30 July 2025 and a revised final evaluation report submitted on 31 July 2025</w:t>
      </w:r>
      <w:r w:rsidR="00B60B46">
        <w:rPr>
          <w:rFonts w:eastAsia="Arial"/>
        </w:rPr>
        <w:t xml:space="preserve">. This final report is </w:t>
      </w:r>
      <w:r w:rsidR="004F746D">
        <w:rPr>
          <w:rFonts w:eastAsia="Arial"/>
        </w:rPr>
        <w:t>formatted for accessibility and</w:t>
      </w:r>
      <w:r w:rsidR="00B60B46">
        <w:rPr>
          <w:rFonts w:eastAsia="Arial"/>
        </w:rPr>
        <w:t xml:space="preserve"> for public</w:t>
      </w:r>
      <w:r w:rsidR="007B0D28">
        <w:rPr>
          <w:rFonts w:eastAsia="Arial"/>
        </w:rPr>
        <w:t xml:space="preserve">ation. </w:t>
      </w:r>
      <w:r w:rsidR="002C6218">
        <w:rPr>
          <w:rFonts w:eastAsia="Arial"/>
        </w:rPr>
        <w:t>Each version of the</w:t>
      </w:r>
      <w:r w:rsidR="00482210">
        <w:rPr>
          <w:rFonts w:eastAsia="Arial"/>
        </w:rPr>
        <w:t xml:space="preserve"> </w:t>
      </w:r>
      <w:r w:rsidR="00F41935">
        <w:rPr>
          <w:rFonts w:eastAsia="Arial"/>
        </w:rPr>
        <w:t>evaluation report was subject to internal quality assurance by Alinea International.</w:t>
      </w:r>
      <w:r w:rsidR="00543FB7">
        <w:rPr>
          <w:rFonts w:eastAsia="Arial"/>
        </w:rPr>
        <w:t xml:space="preserve"> The final evaluation report will be sent to partners and key stakeholders (including </w:t>
      </w:r>
      <w:r w:rsidR="00DD10DE">
        <w:rPr>
          <w:rFonts w:eastAsia="Arial"/>
        </w:rPr>
        <w:t xml:space="preserve">the </w:t>
      </w:r>
      <w:r w:rsidR="00543FB7">
        <w:rPr>
          <w:rFonts w:eastAsia="Arial"/>
        </w:rPr>
        <w:t>Department of Home Affairs) for fact-checking</w:t>
      </w:r>
      <w:r w:rsidR="00384BB6">
        <w:rPr>
          <w:rFonts w:eastAsia="Arial"/>
        </w:rPr>
        <w:t xml:space="preserve"> prior to publication.</w:t>
      </w:r>
    </w:p>
    <w:p w14:paraId="27E792B0" w14:textId="15BBAA3F" w:rsidR="009C2B09" w:rsidRPr="004E6FB0" w:rsidRDefault="00CA1C6F" w:rsidP="00CA1C6F">
      <w:pPr>
        <w:pStyle w:val="Heading3"/>
        <w:rPr>
          <w:color w:val="auto"/>
        </w:rPr>
      </w:pPr>
      <w:bookmarkStart w:id="12" w:name="_Toc201437955"/>
      <w:bookmarkStart w:id="13" w:name="_Toc201438370"/>
      <w:r w:rsidRPr="004E6FB0">
        <w:rPr>
          <w:color w:val="auto"/>
        </w:rPr>
        <w:t>Limitations</w:t>
      </w:r>
      <w:bookmarkEnd w:id="12"/>
      <w:bookmarkEnd w:id="13"/>
    </w:p>
    <w:p w14:paraId="66F7558F" w14:textId="73281DDF" w:rsidR="00540C2F" w:rsidRPr="00E16220" w:rsidRDefault="00540C2F" w:rsidP="00540C2F">
      <w:pPr>
        <w:rPr>
          <w:rFonts w:eastAsia="Arial"/>
        </w:rPr>
      </w:pPr>
      <w:r>
        <w:rPr>
          <w:rFonts w:eastAsia="Arial"/>
        </w:rPr>
        <w:t xml:space="preserve">SPFs are only one of many tools that DFAT uses to engage and influence its partners. </w:t>
      </w:r>
      <w:r w:rsidR="00482210">
        <w:rPr>
          <w:rFonts w:eastAsia="Arial"/>
        </w:rPr>
        <w:t>As such, i</w:t>
      </w:r>
      <w:r>
        <w:rPr>
          <w:rFonts w:eastAsia="Arial"/>
        </w:rPr>
        <w:t>t is not possible to attribute evolutions in effectiveness, efficiency, and relevancy solely to the SPF itself. This caveat underpins all findings in the evaluation.</w:t>
      </w:r>
    </w:p>
    <w:p w14:paraId="1FE89337" w14:textId="0881029D" w:rsidR="00540C2F" w:rsidRDefault="00540C2F" w:rsidP="00540C2F">
      <w:pPr>
        <w:rPr>
          <w:rFonts w:eastAsia="Arial"/>
        </w:rPr>
      </w:pPr>
      <w:r>
        <w:rPr>
          <w:rFonts w:eastAsia="Arial"/>
        </w:rPr>
        <w:t>This is an unusual evaluation in that it evaluates the SPFs against Australia’s current policies rather than those which were current at the time the SPFs were developed. Discrepancies between SPFs and current policies should be interpreted as areas of focus for future partnership modalities rather than</w:t>
      </w:r>
      <w:r w:rsidR="003D40FB">
        <w:rPr>
          <w:rFonts w:eastAsia="Arial"/>
        </w:rPr>
        <w:t xml:space="preserve"> as</w:t>
      </w:r>
      <w:r>
        <w:rPr>
          <w:rFonts w:eastAsia="Arial"/>
        </w:rPr>
        <w:t xml:space="preserve"> evidence of poor performance by the current modalities. </w:t>
      </w:r>
    </w:p>
    <w:p w14:paraId="4A9B48D4" w14:textId="084088C1" w:rsidR="00934877" w:rsidRPr="00345BDB" w:rsidRDefault="00934877" w:rsidP="00934877">
      <w:pPr>
        <w:rPr>
          <w:rFonts w:eastAsia="Arial"/>
        </w:rPr>
      </w:pPr>
      <w:r w:rsidRPr="00345BDB">
        <w:rPr>
          <w:rFonts w:eastAsia="Arial"/>
        </w:rPr>
        <w:t>Not all findings could be made with robust evidence given available data. The strength of evidence underpinning the KEQs is specified in the report</w:t>
      </w:r>
      <w:r w:rsidR="003E66E0">
        <w:rPr>
          <w:rFonts w:eastAsia="Arial"/>
        </w:rPr>
        <w:t>.</w:t>
      </w:r>
    </w:p>
    <w:p w14:paraId="5CA18BBB" w14:textId="6699291F" w:rsidR="00BD56AD" w:rsidRDefault="00BD56AD" w:rsidP="009C2B09">
      <w:pPr>
        <w:rPr>
          <w:rFonts w:eastAsia="Arial"/>
        </w:rPr>
      </w:pPr>
      <w:r>
        <w:t xml:space="preserve">The </w:t>
      </w:r>
      <w:r w:rsidR="00631562">
        <w:t>Evaluation Team</w:t>
      </w:r>
      <w:r>
        <w:t xml:space="preserve"> experienced the following issues but were able to adapt and mitigate </w:t>
      </w:r>
      <w:r w:rsidR="001F1E66">
        <w:t>the</w:t>
      </w:r>
      <w:r>
        <w:t xml:space="preserve"> impact on the overall evaluation.</w:t>
      </w:r>
    </w:p>
    <w:p w14:paraId="5FCDB536" w14:textId="17A30D47" w:rsidR="004F45E8" w:rsidRDefault="009D4C74" w:rsidP="009C2B09">
      <w:pPr>
        <w:rPr>
          <w:rFonts w:eastAsia="Arial"/>
        </w:rPr>
      </w:pPr>
      <w:r>
        <w:rPr>
          <w:rFonts w:eastAsia="Arial"/>
        </w:rPr>
        <w:t>One of the</w:t>
      </w:r>
      <w:r w:rsidR="00B501F9">
        <w:rPr>
          <w:rFonts w:eastAsia="Arial"/>
        </w:rPr>
        <w:t xml:space="preserve"> four </w:t>
      </w:r>
      <w:r w:rsidR="00C339B5">
        <w:rPr>
          <w:rFonts w:eastAsia="Arial"/>
        </w:rPr>
        <w:t xml:space="preserve">SPF partners chose not to send the survey to </w:t>
      </w:r>
      <w:r w:rsidR="00B501F9">
        <w:rPr>
          <w:rFonts w:eastAsia="Arial"/>
        </w:rPr>
        <w:t>country</w:t>
      </w:r>
      <w:r w:rsidR="004C2241">
        <w:rPr>
          <w:rFonts w:eastAsia="Arial"/>
        </w:rPr>
        <w:t>/</w:t>
      </w:r>
      <w:r w:rsidR="00482210">
        <w:rPr>
          <w:rFonts w:eastAsia="Arial"/>
        </w:rPr>
        <w:t>r</w:t>
      </w:r>
      <w:r w:rsidR="00B501F9">
        <w:rPr>
          <w:rFonts w:eastAsia="Arial"/>
        </w:rPr>
        <w:t>esponse level staff as they believed the</w:t>
      </w:r>
      <w:r w:rsidR="00427415">
        <w:rPr>
          <w:rFonts w:eastAsia="Arial"/>
        </w:rPr>
        <w:t>se staff</w:t>
      </w:r>
      <w:r w:rsidR="00B501F9">
        <w:rPr>
          <w:rFonts w:eastAsia="Arial"/>
        </w:rPr>
        <w:t xml:space="preserve"> would not have sufficient visibility over the modality to respond.</w:t>
      </w:r>
      <w:r w:rsidR="00C717CA">
        <w:rPr>
          <w:rFonts w:eastAsia="Arial"/>
        </w:rPr>
        <w:t xml:space="preserve"> The </w:t>
      </w:r>
      <w:r w:rsidR="004953A9">
        <w:rPr>
          <w:rFonts w:eastAsia="Arial"/>
        </w:rPr>
        <w:t>survey results and associated findings</w:t>
      </w:r>
      <w:r w:rsidR="00C717CA">
        <w:rPr>
          <w:rFonts w:eastAsia="Arial"/>
        </w:rPr>
        <w:t xml:space="preserve"> do not therefore reflect </w:t>
      </w:r>
      <w:r w:rsidR="009A148B">
        <w:rPr>
          <w:rFonts w:eastAsia="Arial"/>
        </w:rPr>
        <w:t>the experience of one of the SPF partners.</w:t>
      </w:r>
      <w:r w:rsidR="00B501F9">
        <w:rPr>
          <w:rFonts w:eastAsia="Arial"/>
        </w:rPr>
        <w:t xml:space="preserve"> </w:t>
      </w:r>
      <w:r w:rsidR="00E65864">
        <w:rPr>
          <w:rFonts w:eastAsia="Arial"/>
        </w:rPr>
        <w:t>It does</w:t>
      </w:r>
      <w:r w:rsidR="002C6D13">
        <w:rPr>
          <w:rFonts w:eastAsia="Arial"/>
        </w:rPr>
        <w:t>, however,</w:t>
      </w:r>
      <w:r w:rsidR="00E65864">
        <w:rPr>
          <w:rFonts w:eastAsia="Arial"/>
        </w:rPr>
        <w:t xml:space="preserve"> provide an indication to the </w:t>
      </w:r>
      <w:r w:rsidR="00631562">
        <w:rPr>
          <w:rFonts w:eastAsia="Arial"/>
        </w:rPr>
        <w:t>Evaluation Team</w:t>
      </w:r>
      <w:r w:rsidR="00E65864">
        <w:rPr>
          <w:rFonts w:eastAsia="Arial"/>
        </w:rPr>
        <w:t xml:space="preserve"> of how familiar partners are with the SPF modality at country/response level. S</w:t>
      </w:r>
      <w:r w:rsidR="00A43913">
        <w:rPr>
          <w:rFonts w:eastAsia="Arial"/>
        </w:rPr>
        <w:t>tronger than expected responses from other SPF partners meant that the evaluation exceeded the planned response rate</w:t>
      </w:r>
      <w:r w:rsidR="00AB652C">
        <w:rPr>
          <w:rFonts w:eastAsia="Arial"/>
        </w:rPr>
        <w:t xml:space="preserve"> </w:t>
      </w:r>
      <w:r w:rsidR="00426381">
        <w:rPr>
          <w:rFonts w:eastAsia="Arial"/>
        </w:rPr>
        <w:t xml:space="preserve">from country/response level SPF staff </w:t>
      </w:r>
      <w:r w:rsidR="00AB652C">
        <w:rPr>
          <w:rFonts w:eastAsia="Arial"/>
        </w:rPr>
        <w:t>(</w:t>
      </w:r>
      <w:r w:rsidR="00670F95">
        <w:rPr>
          <w:rFonts w:eastAsia="Arial"/>
        </w:rPr>
        <w:t>27</w:t>
      </w:r>
      <w:r w:rsidR="00AB652C">
        <w:rPr>
          <w:rFonts w:eastAsia="Arial"/>
        </w:rPr>
        <w:t xml:space="preserve"> </w:t>
      </w:r>
      <w:r w:rsidR="00A43913">
        <w:rPr>
          <w:rFonts w:eastAsia="Arial"/>
        </w:rPr>
        <w:t xml:space="preserve">responses </w:t>
      </w:r>
      <w:r w:rsidR="00AB652C">
        <w:rPr>
          <w:rFonts w:eastAsia="Arial"/>
        </w:rPr>
        <w:t>received,</w:t>
      </w:r>
      <w:r w:rsidR="00A43913">
        <w:rPr>
          <w:rFonts w:eastAsia="Arial"/>
        </w:rPr>
        <w:t xml:space="preserve"> target</w:t>
      </w:r>
      <w:r w:rsidR="002C6D13">
        <w:rPr>
          <w:rFonts w:eastAsia="Arial"/>
        </w:rPr>
        <w:t xml:space="preserve">: </w:t>
      </w:r>
      <w:r w:rsidR="00A43913">
        <w:rPr>
          <w:rFonts w:eastAsia="Arial"/>
        </w:rPr>
        <w:t>16).</w:t>
      </w:r>
    </w:p>
    <w:p w14:paraId="03870632" w14:textId="49B47512" w:rsidR="00DF7276" w:rsidRDefault="004F45E8" w:rsidP="00DF7276">
      <w:pPr>
        <w:rPr>
          <w:rFonts w:eastAsia="Arial"/>
        </w:rPr>
      </w:pPr>
      <w:r>
        <w:rPr>
          <w:rFonts w:eastAsia="Arial"/>
        </w:rPr>
        <w:t xml:space="preserve">During data analysis, the </w:t>
      </w:r>
      <w:r w:rsidR="00631562">
        <w:rPr>
          <w:rFonts w:eastAsia="Arial"/>
        </w:rPr>
        <w:t>Evaluation Team</w:t>
      </w:r>
      <w:r>
        <w:rPr>
          <w:rFonts w:eastAsia="Arial"/>
        </w:rPr>
        <w:t xml:space="preserve"> found that there was a high degree of overlap </w:t>
      </w:r>
      <w:r w:rsidR="00862C3A">
        <w:rPr>
          <w:rFonts w:eastAsia="Arial"/>
        </w:rPr>
        <w:t>between</w:t>
      </w:r>
      <w:r>
        <w:rPr>
          <w:rFonts w:eastAsia="Arial"/>
        </w:rPr>
        <w:t xml:space="preserve"> </w:t>
      </w:r>
      <w:r w:rsidR="00366FF3">
        <w:rPr>
          <w:rFonts w:eastAsia="Arial"/>
          <w:i/>
          <w:iCs/>
        </w:rPr>
        <w:t>Question</w:t>
      </w:r>
      <w:r w:rsidR="00640890" w:rsidRPr="000D2150">
        <w:rPr>
          <w:rFonts w:eastAsia="Arial"/>
          <w:i/>
          <w:iCs/>
        </w:rPr>
        <w:t xml:space="preserve"> 1.1: </w:t>
      </w:r>
      <w:r w:rsidR="00640890" w:rsidRPr="000D2150">
        <w:rPr>
          <w:rFonts w:ascii="Arial" w:eastAsia="Arial" w:hAnsi="Arial" w:cs="Arial"/>
          <w:i/>
          <w:iCs/>
        </w:rPr>
        <w:t>To what extent are the current SPFs aligned with Australia’s Humanitarian Policy, International Development Policy and associated strategies</w:t>
      </w:r>
      <w:r w:rsidR="00640890">
        <w:rPr>
          <w:rFonts w:ascii="Arial" w:eastAsia="Arial" w:hAnsi="Arial" w:cs="Arial"/>
        </w:rPr>
        <w:t xml:space="preserve"> </w:t>
      </w:r>
      <w:r w:rsidR="003D25D9">
        <w:rPr>
          <w:rFonts w:ascii="Arial" w:eastAsia="Arial" w:hAnsi="Arial" w:cs="Arial"/>
        </w:rPr>
        <w:t xml:space="preserve">and </w:t>
      </w:r>
      <w:r w:rsidR="00366FF3">
        <w:rPr>
          <w:rFonts w:ascii="Arial" w:eastAsia="Arial" w:hAnsi="Arial" w:cs="Arial"/>
          <w:i/>
          <w:iCs/>
        </w:rPr>
        <w:t>Question</w:t>
      </w:r>
      <w:r w:rsidR="003D25D9" w:rsidRPr="000D2150">
        <w:rPr>
          <w:rFonts w:ascii="Arial" w:eastAsia="Arial" w:hAnsi="Arial" w:cs="Arial"/>
          <w:i/>
          <w:iCs/>
        </w:rPr>
        <w:t xml:space="preserve"> </w:t>
      </w:r>
      <w:r w:rsidR="00505072" w:rsidRPr="000D2150">
        <w:rPr>
          <w:rFonts w:eastAsia="Arial"/>
          <w:i/>
          <w:iCs/>
        </w:rPr>
        <w:t xml:space="preserve">1.4: </w:t>
      </w:r>
      <w:r w:rsidR="00505072" w:rsidRPr="000D2150">
        <w:rPr>
          <w:rFonts w:ascii="Arial" w:eastAsia="Arial" w:hAnsi="Arial" w:cs="Arial"/>
          <w:i/>
          <w:iCs/>
        </w:rPr>
        <w:t>To what extent are the current SPFs compatible with Australia’s international development and humanitarian commitments?</w:t>
      </w:r>
      <w:r w:rsidR="000D2150">
        <w:rPr>
          <w:rFonts w:ascii="Arial" w:eastAsia="Arial" w:hAnsi="Arial" w:cs="Arial"/>
          <w:i/>
          <w:iCs/>
        </w:rPr>
        <w:t xml:space="preserve"> </w:t>
      </w:r>
      <w:r w:rsidR="000D2150">
        <w:rPr>
          <w:rFonts w:ascii="Arial" w:eastAsia="Arial" w:hAnsi="Arial" w:cs="Arial"/>
        </w:rPr>
        <w:t xml:space="preserve">DFAT and Alinea </w:t>
      </w:r>
      <w:r w:rsidR="00482210">
        <w:rPr>
          <w:rFonts w:ascii="Arial" w:eastAsia="Arial" w:hAnsi="Arial" w:cs="Arial"/>
        </w:rPr>
        <w:t xml:space="preserve">International </w:t>
      </w:r>
      <w:r w:rsidR="000D2150">
        <w:rPr>
          <w:rFonts w:ascii="Arial" w:eastAsia="Arial" w:hAnsi="Arial" w:cs="Arial"/>
        </w:rPr>
        <w:t xml:space="preserve">agreed to combine </w:t>
      </w:r>
      <w:r w:rsidR="00DF7276">
        <w:rPr>
          <w:rFonts w:eastAsia="Arial"/>
        </w:rPr>
        <w:t xml:space="preserve">these questions in the analysis </w:t>
      </w:r>
      <w:r w:rsidR="00482210">
        <w:rPr>
          <w:rFonts w:eastAsia="Arial"/>
        </w:rPr>
        <w:t xml:space="preserve">now presented </w:t>
      </w:r>
      <w:r w:rsidR="00DF7276">
        <w:rPr>
          <w:rFonts w:eastAsia="Arial"/>
        </w:rPr>
        <w:t xml:space="preserve">under </w:t>
      </w:r>
      <w:r w:rsidR="00482210">
        <w:rPr>
          <w:rFonts w:eastAsia="Arial"/>
        </w:rPr>
        <w:t>KEQ</w:t>
      </w:r>
      <w:r w:rsidR="00DF7276">
        <w:rPr>
          <w:rFonts w:eastAsia="Arial"/>
        </w:rPr>
        <w:t>1.1.</w:t>
      </w:r>
    </w:p>
    <w:p w14:paraId="6CF49967" w14:textId="39FF9219" w:rsidR="00243B99" w:rsidRPr="00243B99" w:rsidRDefault="00243B99" w:rsidP="00243B99">
      <w:pPr>
        <w:pStyle w:val="Heading3"/>
        <w:rPr>
          <w:color w:val="auto"/>
        </w:rPr>
      </w:pPr>
      <w:r w:rsidRPr="001D0F87">
        <w:rPr>
          <w:color w:val="auto"/>
        </w:rPr>
        <w:t>Publication</w:t>
      </w:r>
    </w:p>
    <w:p w14:paraId="6CF2B473" w14:textId="3F77154E" w:rsidR="009711D7" w:rsidRDefault="00FB6630" w:rsidP="002C1071">
      <w:pPr>
        <w:rPr>
          <w:szCs w:val="20"/>
          <w:lang w:val="en-GB"/>
        </w:rPr>
      </w:pPr>
      <w:r>
        <w:rPr>
          <w:rFonts w:eastAsia="Arial"/>
        </w:rPr>
        <w:t xml:space="preserve">DFAT and Alinea </w:t>
      </w:r>
      <w:r w:rsidR="00482210">
        <w:rPr>
          <w:rFonts w:eastAsia="Arial"/>
        </w:rPr>
        <w:t xml:space="preserve">International </w:t>
      </w:r>
      <w:r>
        <w:rPr>
          <w:rFonts w:eastAsia="Arial"/>
        </w:rPr>
        <w:t>agreed that</w:t>
      </w:r>
      <w:r w:rsidR="001D0F87">
        <w:rPr>
          <w:rFonts w:eastAsia="Arial"/>
        </w:rPr>
        <w:t xml:space="preserve"> </w:t>
      </w:r>
      <w:r w:rsidR="00AB63F8">
        <w:rPr>
          <w:rFonts w:eastAsia="Arial"/>
        </w:rPr>
        <w:t xml:space="preserve">confidential and </w:t>
      </w:r>
      <w:r w:rsidR="00744AA6">
        <w:rPr>
          <w:rFonts w:eastAsia="Arial"/>
        </w:rPr>
        <w:t xml:space="preserve">sensitive </w:t>
      </w:r>
      <w:r w:rsidR="00AA623E">
        <w:rPr>
          <w:rFonts w:eastAsia="Arial"/>
        </w:rPr>
        <w:t>data informing findings would not be published. This includes</w:t>
      </w:r>
      <w:r w:rsidR="0037028A">
        <w:rPr>
          <w:rFonts w:eastAsia="Arial"/>
        </w:rPr>
        <w:t xml:space="preserve"> information subject to confidentially requirements in the SPFs,</w:t>
      </w:r>
      <w:r w:rsidR="00AA623E">
        <w:rPr>
          <w:rFonts w:eastAsia="Arial"/>
        </w:rPr>
        <w:t xml:space="preserve"> </w:t>
      </w:r>
      <w:r w:rsidR="000C6980">
        <w:rPr>
          <w:rFonts w:eastAsia="Arial"/>
        </w:rPr>
        <w:t xml:space="preserve">sensitive </w:t>
      </w:r>
      <w:r w:rsidR="001D0F87">
        <w:rPr>
          <w:rFonts w:eastAsia="Arial"/>
        </w:rPr>
        <w:t>discussions</w:t>
      </w:r>
      <w:r w:rsidR="0020170A">
        <w:rPr>
          <w:rFonts w:eastAsia="Arial"/>
        </w:rPr>
        <w:t xml:space="preserve"> </w:t>
      </w:r>
      <w:r w:rsidR="0020170A">
        <w:rPr>
          <w:rFonts w:eastAsia="Arial"/>
        </w:rPr>
        <w:lastRenderedPageBreak/>
        <w:t xml:space="preserve">related to </w:t>
      </w:r>
      <w:r w:rsidR="00AB63F8">
        <w:rPr>
          <w:rFonts w:eastAsia="Arial"/>
        </w:rPr>
        <w:t>legal issues</w:t>
      </w:r>
      <w:r w:rsidR="008E57EB">
        <w:rPr>
          <w:rFonts w:eastAsia="Arial"/>
        </w:rPr>
        <w:t xml:space="preserve"> not appropriate for publication, as well as </w:t>
      </w:r>
      <w:r w:rsidR="008E600F">
        <w:rPr>
          <w:rFonts w:eastAsia="Arial"/>
        </w:rPr>
        <w:t>other donor views o</w:t>
      </w:r>
      <w:r w:rsidR="000C6980">
        <w:rPr>
          <w:rFonts w:eastAsia="Arial"/>
        </w:rPr>
        <w:t xml:space="preserve">n </w:t>
      </w:r>
      <w:r w:rsidR="00AA623E">
        <w:rPr>
          <w:rFonts w:eastAsia="Arial"/>
        </w:rPr>
        <w:t xml:space="preserve">the </w:t>
      </w:r>
      <w:r>
        <w:rPr>
          <w:rFonts w:eastAsia="Arial"/>
        </w:rPr>
        <w:t>strength</w:t>
      </w:r>
      <w:r w:rsidR="00862C3A">
        <w:rPr>
          <w:rFonts w:eastAsia="Arial"/>
        </w:rPr>
        <w:t>s</w:t>
      </w:r>
      <w:r>
        <w:rPr>
          <w:rFonts w:eastAsia="Arial"/>
        </w:rPr>
        <w:t xml:space="preserve"> </w:t>
      </w:r>
      <w:r w:rsidR="006B2C10">
        <w:rPr>
          <w:rFonts w:eastAsia="Arial"/>
        </w:rPr>
        <w:t xml:space="preserve">and weaknesses of </w:t>
      </w:r>
      <w:r w:rsidR="000C6980">
        <w:rPr>
          <w:rFonts w:eastAsia="Arial"/>
        </w:rPr>
        <w:t>their own</w:t>
      </w:r>
      <w:r w:rsidR="006B2C10">
        <w:rPr>
          <w:rFonts w:eastAsia="Arial"/>
        </w:rPr>
        <w:t xml:space="preserve"> partnership modalities</w:t>
      </w:r>
      <w:r w:rsidR="00FB07A6">
        <w:rPr>
          <w:i/>
          <w:iCs/>
        </w:rPr>
        <w:t xml:space="preserve">. </w:t>
      </w:r>
      <w:r w:rsidR="00FB07A6">
        <w:t>These have been communicated to DFAT</w:t>
      </w:r>
      <w:r w:rsidR="00F30636" w:rsidRPr="00F30636">
        <w:t xml:space="preserve"> </w:t>
      </w:r>
      <w:r w:rsidR="00A42C16">
        <w:t>separately</w:t>
      </w:r>
      <w:r w:rsidR="00F30636" w:rsidRPr="00F30636">
        <w:t>.</w:t>
      </w:r>
      <w:r w:rsidR="00A3781D">
        <w:t xml:space="preserve"> </w:t>
      </w:r>
      <w:r w:rsidR="009711D7">
        <w:rPr>
          <w:szCs w:val="20"/>
          <w:lang w:val="en-GB"/>
        </w:rPr>
        <w:br w:type="page"/>
      </w:r>
    </w:p>
    <w:p w14:paraId="32A03DB4" w14:textId="4519344E" w:rsidR="00DE4E74" w:rsidRDefault="00DE4E74" w:rsidP="00DE4E74">
      <w:pPr>
        <w:pStyle w:val="Style1"/>
      </w:pPr>
      <w:bookmarkStart w:id="14" w:name="_Toc201437956"/>
      <w:bookmarkStart w:id="15" w:name="_Toc201438371"/>
      <w:r>
        <w:lastRenderedPageBreak/>
        <w:t>key evaluation questions (KEQ)</w:t>
      </w:r>
    </w:p>
    <w:p w14:paraId="30B52C7E" w14:textId="75793FEE" w:rsidR="00F536B7" w:rsidRDefault="0016167E" w:rsidP="00F536B7">
      <w:pPr>
        <w:pStyle w:val="Heading1"/>
        <w:rPr>
          <w:rFonts w:eastAsia="Arial"/>
        </w:rPr>
      </w:pPr>
      <w:r w:rsidRPr="1C3620C9">
        <w:rPr>
          <w:rFonts w:eastAsia="Arial"/>
        </w:rPr>
        <w:t>K</w:t>
      </w:r>
      <w:r w:rsidR="00F536B7">
        <w:rPr>
          <w:rFonts w:eastAsia="Arial"/>
        </w:rPr>
        <w:t xml:space="preserve">ey evaluation question </w:t>
      </w:r>
      <w:r w:rsidRPr="1C3620C9">
        <w:rPr>
          <w:rFonts w:eastAsia="Arial"/>
        </w:rPr>
        <w:t>1</w:t>
      </w:r>
      <w:r w:rsidR="00CA1C6F">
        <w:rPr>
          <w:rFonts w:eastAsia="Arial"/>
        </w:rPr>
        <w:t>: RElevance</w:t>
      </w:r>
      <w:bookmarkEnd w:id="14"/>
      <w:bookmarkEnd w:id="15"/>
    </w:p>
    <w:p w14:paraId="4DA7538E" w14:textId="6123AD1D" w:rsidR="0016167E" w:rsidRPr="004C2241" w:rsidRDefault="0016167E" w:rsidP="0016167E">
      <w:pPr>
        <w:pStyle w:val="Heading3"/>
        <w:rPr>
          <w:rFonts w:eastAsia="Arial"/>
          <w:color w:val="auto"/>
        </w:rPr>
      </w:pPr>
      <w:bookmarkStart w:id="16" w:name="_Toc201437957"/>
      <w:bookmarkStart w:id="17" w:name="_Toc201438372"/>
      <w:r w:rsidRPr="004C2241">
        <w:rPr>
          <w:rFonts w:eastAsia="Arial"/>
          <w:color w:val="auto"/>
        </w:rPr>
        <w:t>To what extent are the SPFs aligned with current Australian international development and humanitarian programming policies and priorities?</w:t>
      </w:r>
      <w:bookmarkEnd w:id="16"/>
      <w:bookmarkEnd w:id="17"/>
      <w:r w:rsidRPr="004C2241">
        <w:rPr>
          <w:rFonts w:eastAsia="Arial"/>
          <w:color w:val="auto"/>
        </w:rPr>
        <w:t xml:space="preserve"> </w:t>
      </w:r>
    </w:p>
    <w:p w14:paraId="4DDFED13" w14:textId="6A2459ED" w:rsidR="00F60F2D" w:rsidRDefault="00392447" w:rsidP="00392447">
      <w:pPr>
        <w:pStyle w:val="Heading3NOTOC"/>
        <w:rPr>
          <w:rFonts w:ascii="Arial" w:eastAsia="Arial" w:hAnsi="Arial" w:cs="Arial"/>
          <w:b w:val="0"/>
          <w:iCs w:val="0"/>
          <w:color w:val="000000" w:themeColor="text1"/>
          <w:sz w:val="20"/>
          <w:szCs w:val="24"/>
        </w:rPr>
      </w:pPr>
      <w:r>
        <w:rPr>
          <w:rFonts w:ascii="Arial" w:eastAsia="Arial" w:hAnsi="Arial" w:cs="Arial"/>
          <w:b w:val="0"/>
          <w:iCs w:val="0"/>
          <w:color w:val="000000" w:themeColor="text1"/>
          <w:sz w:val="20"/>
          <w:szCs w:val="24"/>
        </w:rPr>
        <w:t>The evaluation found strong alignment with Australia’s international development and humanitarian programming policies, priorities</w:t>
      </w:r>
      <w:r w:rsidR="00482210">
        <w:rPr>
          <w:rFonts w:ascii="Arial" w:eastAsia="Arial" w:hAnsi="Arial" w:cs="Arial"/>
          <w:b w:val="0"/>
          <w:iCs w:val="0"/>
          <w:color w:val="000000" w:themeColor="text1"/>
          <w:sz w:val="20"/>
          <w:szCs w:val="24"/>
        </w:rPr>
        <w:t>,</w:t>
      </w:r>
      <w:r>
        <w:rPr>
          <w:rFonts w:ascii="Arial" w:eastAsia="Arial" w:hAnsi="Arial" w:cs="Arial"/>
          <w:b w:val="0"/>
          <w:iCs w:val="0"/>
          <w:color w:val="000000" w:themeColor="text1"/>
          <w:sz w:val="20"/>
          <w:szCs w:val="24"/>
        </w:rPr>
        <w:t xml:space="preserve"> and commitments</w:t>
      </w:r>
      <w:r w:rsidR="00925D88">
        <w:rPr>
          <w:rFonts w:ascii="Arial" w:eastAsia="Arial" w:hAnsi="Arial" w:cs="Arial"/>
          <w:b w:val="0"/>
          <w:iCs w:val="0"/>
          <w:color w:val="000000" w:themeColor="text1"/>
          <w:sz w:val="20"/>
          <w:szCs w:val="24"/>
        </w:rPr>
        <w:t>. This demonstrated high levels of flexibility within the SPFs given the</w:t>
      </w:r>
      <w:r>
        <w:rPr>
          <w:rFonts w:ascii="Arial" w:eastAsia="Arial" w:hAnsi="Arial" w:cs="Arial"/>
          <w:b w:val="0"/>
          <w:iCs w:val="0"/>
          <w:color w:val="000000" w:themeColor="text1"/>
          <w:sz w:val="20"/>
          <w:szCs w:val="24"/>
        </w:rPr>
        <w:t xml:space="preserve"> substantive changes to </w:t>
      </w:r>
      <w:r w:rsidR="00925D88">
        <w:rPr>
          <w:rFonts w:ascii="Arial" w:eastAsia="Arial" w:hAnsi="Arial" w:cs="Arial"/>
          <w:b w:val="0"/>
          <w:iCs w:val="0"/>
          <w:color w:val="000000" w:themeColor="text1"/>
          <w:sz w:val="20"/>
          <w:szCs w:val="24"/>
        </w:rPr>
        <w:t>Australia’s policies</w:t>
      </w:r>
      <w:r>
        <w:rPr>
          <w:rFonts w:ascii="Arial" w:eastAsia="Arial" w:hAnsi="Arial" w:cs="Arial"/>
          <w:b w:val="0"/>
          <w:iCs w:val="0"/>
          <w:color w:val="000000" w:themeColor="text1"/>
          <w:sz w:val="20"/>
          <w:szCs w:val="24"/>
        </w:rPr>
        <w:t xml:space="preserve"> over the life of the </w:t>
      </w:r>
      <w:r w:rsidR="00482210">
        <w:rPr>
          <w:rFonts w:ascii="Arial" w:eastAsia="Arial" w:hAnsi="Arial" w:cs="Arial"/>
          <w:b w:val="0"/>
          <w:iCs w:val="0"/>
          <w:color w:val="000000" w:themeColor="text1"/>
          <w:sz w:val="20"/>
          <w:szCs w:val="24"/>
        </w:rPr>
        <w:t>Frameworks</w:t>
      </w:r>
      <w:r>
        <w:rPr>
          <w:rFonts w:ascii="Arial" w:eastAsia="Arial" w:hAnsi="Arial" w:cs="Arial"/>
          <w:b w:val="0"/>
          <w:iCs w:val="0"/>
          <w:color w:val="000000" w:themeColor="text1"/>
          <w:sz w:val="20"/>
          <w:szCs w:val="24"/>
        </w:rPr>
        <w:t xml:space="preserve">. SPFs broadly align with current risk management requirements, with some exceptions </w:t>
      </w:r>
      <w:r w:rsidR="007F3D26">
        <w:rPr>
          <w:rFonts w:ascii="Arial" w:eastAsia="Arial" w:hAnsi="Arial" w:cs="Arial"/>
          <w:b w:val="0"/>
          <w:iCs w:val="0"/>
          <w:color w:val="000000" w:themeColor="text1"/>
          <w:sz w:val="20"/>
          <w:szCs w:val="24"/>
        </w:rPr>
        <w:t xml:space="preserve">particularly </w:t>
      </w:r>
      <w:r>
        <w:rPr>
          <w:rFonts w:ascii="Arial" w:eastAsia="Arial" w:hAnsi="Arial" w:cs="Arial"/>
          <w:b w:val="0"/>
          <w:iCs w:val="0"/>
          <w:color w:val="000000" w:themeColor="text1"/>
          <w:sz w:val="20"/>
          <w:szCs w:val="24"/>
        </w:rPr>
        <w:t xml:space="preserve">where </w:t>
      </w:r>
      <w:r w:rsidR="00DC5519">
        <w:rPr>
          <w:rFonts w:ascii="Arial" w:eastAsia="Arial" w:hAnsi="Arial" w:cs="Arial"/>
          <w:b w:val="0"/>
          <w:iCs w:val="0"/>
          <w:color w:val="000000" w:themeColor="text1"/>
          <w:sz w:val="20"/>
          <w:szCs w:val="24"/>
        </w:rPr>
        <w:t xml:space="preserve">there are new legislative requirements </w:t>
      </w:r>
      <w:r>
        <w:rPr>
          <w:rFonts w:ascii="Arial" w:eastAsia="Arial" w:hAnsi="Arial" w:cs="Arial"/>
          <w:b w:val="0"/>
          <w:iCs w:val="0"/>
          <w:color w:val="000000" w:themeColor="text1"/>
          <w:sz w:val="20"/>
          <w:szCs w:val="24"/>
        </w:rPr>
        <w:t>since SPFs were signed</w:t>
      </w:r>
      <w:r w:rsidR="00FA5737">
        <w:rPr>
          <w:rFonts w:ascii="Arial" w:eastAsia="Arial" w:hAnsi="Arial" w:cs="Arial"/>
          <w:b w:val="0"/>
          <w:iCs w:val="0"/>
          <w:color w:val="000000" w:themeColor="text1"/>
          <w:sz w:val="20"/>
          <w:szCs w:val="24"/>
        </w:rPr>
        <w:t>.</w:t>
      </w:r>
      <w:r w:rsidR="00505AB4">
        <w:rPr>
          <w:rFonts w:ascii="Arial" w:eastAsia="Arial" w:hAnsi="Arial" w:cs="Arial"/>
          <w:b w:val="0"/>
          <w:iCs w:val="0"/>
          <w:color w:val="000000" w:themeColor="text1"/>
          <w:sz w:val="20"/>
          <w:szCs w:val="24"/>
        </w:rPr>
        <w:t xml:space="preserve"> </w:t>
      </w:r>
    </w:p>
    <w:p w14:paraId="1B4D192E" w14:textId="1C60B56E" w:rsidR="00670C3E" w:rsidRDefault="00505AB4" w:rsidP="00392447">
      <w:pPr>
        <w:pStyle w:val="Heading3NOTOC"/>
        <w:rPr>
          <w:rFonts w:ascii="Arial" w:eastAsia="Arial" w:hAnsi="Arial" w:cs="Arial"/>
          <w:b w:val="0"/>
          <w:iCs w:val="0"/>
          <w:color w:val="000000" w:themeColor="text1"/>
          <w:sz w:val="20"/>
          <w:szCs w:val="24"/>
        </w:rPr>
      </w:pPr>
      <w:r>
        <w:rPr>
          <w:rFonts w:ascii="Arial" w:eastAsia="Arial" w:hAnsi="Arial" w:cs="Arial"/>
          <w:b w:val="0"/>
          <w:iCs w:val="0"/>
          <w:color w:val="000000" w:themeColor="text1"/>
          <w:sz w:val="20"/>
          <w:szCs w:val="24"/>
        </w:rPr>
        <w:t xml:space="preserve">The </w:t>
      </w:r>
      <w:r w:rsidR="00631562">
        <w:rPr>
          <w:rFonts w:ascii="Arial" w:eastAsia="Arial" w:hAnsi="Arial" w:cs="Arial"/>
          <w:b w:val="0"/>
          <w:iCs w:val="0"/>
          <w:color w:val="000000" w:themeColor="text1"/>
          <w:sz w:val="20"/>
          <w:szCs w:val="24"/>
        </w:rPr>
        <w:t>Evaluation Team</w:t>
      </w:r>
      <w:r>
        <w:rPr>
          <w:rFonts w:ascii="Arial" w:eastAsia="Arial" w:hAnsi="Arial" w:cs="Arial"/>
          <w:b w:val="0"/>
          <w:iCs w:val="0"/>
          <w:color w:val="000000" w:themeColor="text1"/>
          <w:sz w:val="20"/>
          <w:szCs w:val="24"/>
        </w:rPr>
        <w:t xml:space="preserve"> considers </w:t>
      </w:r>
      <w:r w:rsidR="00D32FFD">
        <w:rPr>
          <w:rFonts w:ascii="Arial" w:eastAsia="Arial" w:hAnsi="Arial" w:cs="Arial"/>
          <w:b w:val="0"/>
          <w:iCs w:val="0"/>
          <w:color w:val="000000" w:themeColor="text1"/>
          <w:sz w:val="20"/>
          <w:szCs w:val="24"/>
        </w:rPr>
        <w:t xml:space="preserve">the </w:t>
      </w:r>
      <w:r w:rsidR="00F60F2D">
        <w:rPr>
          <w:rFonts w:ascii="Arial" w:eastAsia="Arial" w:hAnsi="Arial" w:cs="Arial"/>
          <w:b w:val="0"/>
          <w:iCs w:val="0"/>
          <w:color w:val="000000" w:themeColor="text1"/>
          <w:sz w:val="20"/>
          <w:szCs w:val="24"/>
        </w:rPr>
        <w:t xml:space="preserve">strength of </w:t>
      </w:r>
      <w:r w:rsidR="00D32FFD">
        <w:rPr>
          <w:rFonts w:ascii="Arial" w:eastAsia="Arial" w:hAnsi="Arial" w:cs="Arial"/>
          <w:b w:val="0"/>
          <w:iCs w:val="0"/>
          <w:color w:val="000000" w:themeColor="text1"/>
          <w:sz w:val="20"/>
          <w:szCs w:val="24"/>
        </w:rPr>
        <w:t xml:space="preserve">evidence </w:t>
      </w:r>
      <w:r w:rsidR="00F60F2D">
        <w:rPr>
          <w:rFonts w:ascii="Arial" w:eastAsia="Arial" w:hAnsi="Arial" w:cs="Arial"/>
          <w:b w:val="0"/>
          <w:iCs w:val="0"/>
          <w:color w:val="000000" w:themeColor="text1"/>
          <w:sz w:val="20"/>
          <w:szCs w:val="24"/>
        </w:rPr>
        <w:t xml:space="preserve">informing KEQ1 to be high, as it draws on analysis of direct source material, interviews with </w:t>
      </w:r>
      <w:r w:rsidR="00944E1C">
        <w:rPr>
          <w:rFonts w:ascii="Arial" w:eastAsia="Arial" w:hAnsi="Arial" w:cs="Arial"/>
          <w:b w:val="0"/>
          <w:iCs w:val="0"/>
          <w:color w:val="000000" w:themeColor="text1"/>
          <w:sz w:val="20"/>
          <w:szCs w:val="24"/>
        </w:rPr>
        <w:t>experts, and DFAT review</w:t>
      </w:r>
      <w:r w:rsidR="00DE2D05">
        <w:rPr>
          <w:rFonts w:ascii="Arial" w:eastAsia="Arial" w:hAnsi="Arial" w:cs="Arial"/>
          <w:b w:val="0"/>
          <w:iCs w:val="0"/>
          <w:color w:val="000000" w:themeColor="text1"/>
          <w:sz w:val="20"/>
          <w:szCs w:val="24"/>
        </w:rPr>
        <w:t xml:space="preserve"> of </w:t>
      </w:r>
      <w:r w:rsidR="00DE2D05" w:rsidRPr="002816CA">
        <w:rPr>
          <w:rFonts w:ascii="Arial" w:eastAsia="Arial" w:hAnsi="Arial" w:cs="Arial"/>
          <w:b w:val="0"/>
          <w:iCs w:val="0"/>
          <w:color w:val="000000" w:themeColor="text1"/>
          <w:sz w:val="20"/>
          <w:szCs w:val="24"/>
        </w:rPr>
        <w:t>draft findings</w:t>
      </w:r>
      <w:r w:rsidR="00944E1C" w:rsidRPr="002816CA">
        <w:rPr>
          <w:rFonts w:ascii="Arial" w:eastAsia="Arial" w:hAnsi="Arial" w:cs="Arial"/>
          <w:b w:val="0"/>
          <w:iCs w:val="0"/>
          <w:color w:val="000000" w:themeColor="text1"/>
          <w:sz w:val="20"/>
          <w:szCs w:val="24"/>
        </w:rPr>
        <w:t xml:space="preserve">. </w:t>
      </w:r>
    </w:p>
    <w:p w14:paraId="1108ED44" w14:textId="156CE7BF" w:rsidR="007D3441" w:rsidRPr="007D3441" w:rsidRDefault="0053362B" w:rsidP="00E17D1A">
      <w:pPr>
        <w:pStyle w:val="ListParagraph"/>
        <w:numPr>
          <w:ilvl w:val="1"/>
          <w:numId w:val="10"/>
        </w:numPr>
        <w:spacing w:before="240"/>
        <w:rPr>
          <w:rFonts w:ascii="Arial" w:eastAsia="Arial" w:hAnsi="Arial" w:cs="Arial"/>
        </w:rPr>
      </w:pPr>
      <w:r w:rsidRPr="007D3441">
        <w:rPr>
          <w:rFonts w:ascii="Arial" w:eastAsia="Arial" w:hAnsi="Arial" w:cs="Arial"/>
          <w:b/>
          <w:bCs/>
        </w:rPr>
        <w:t>To what extent are the current SPFs aligned</w:t>
      </w:r>
      <w:r w:rsidR="007D3441" w:rsidRPr="007D3441">
        <w:rPr>
          <w:rFonts w:ascii="Arial" w:eastAsia="Arial" w:hAnsi="Arial" w:cs="Arial"/>
          <w:b/>
          <w:bCs/>
        </w:rPr>
        <w:t xml:space="preserve"> and compatible</w:t>
      </w:r>
      <w:r w:rsidRPr="007D3441">
        <w:rPr>
          <w:rFonts w:ascii="Arial" w:eastAsia="Arial" w:hAnsi="Arial" w:cs="Arial"/>
          <w:b/>
          <w:bCs/>
        </w:rPr>
        <w:t xml:space="preserve"> with Australia’s Humanitarian Policy, International Development Policy and associated strategies</w:t>
      </w:r>
      <w:r w:rsidR="007D3441" w:rsidRPr="007D3441">
        <w:rPr>
          <w:rFonts w:ascii="Arial" w:eastAsia="Arial" w:hAnsi="Arial" w:cs="Arial"/>
          <w:b/>
          <w:bCs/>
        </w:rPr>
        <w:t xml:space="preserve"> and commitments? </w:t>
      </w:r>
    </w:p>
    <w:p w14:paraId="6CA2EB39" w14:textId="20D31033" w:rsidR="00DE18DF" w:rsidRPr="007D3441" w:rsidRDefault="00DE18DF" w:rsidP="007D3441">
      <w:pPr>
        <w:spacing w:before="240"/>
        <w:rPr>
          <w:rFonts w:ascii="Arial" w:eastAsia="Arial" w:hAnsi="Arial" w:cs="Arial"/>
        </w:rPr>
      </w:pPr>
      <w:r w:rsidRPr="007D3441">
        <w:rPr>
          <w:rFonts w:ascii="Arial" w:eastAsia="Arial" w:hAnsi="Arial" w:cs="Arial"/>
        </w:rPr>
        <w:t>All SPFs demonstrate alignment with Australia’s Humanitarian Polic</w:t>
      </w:r>
      <w:r w:rsidR="00660373">
        <w:rPr>
          <w:rFonts w:ascii="Arial" w:eastAsia="Arial" w:hAnsi="Arial" w:cs="Arial"/>
        </w:rPr>
        <w:t>y</w:t>
      </w:r>
      <w:r w:rsidRPr="007D3441">
        <w:rPr>
          <w:rFonts w:ascii="Arial" w:eastAsia="Arial" w:hAnsi="Arial" w:cs="Arial"/>
        </w:rPr>
        <w:t>, International Development Policy, and related strategies, including those focused on gender</w:t>
      </w:r>
      <w:r w:rsidR="008D067D">
        <w:rPr>
          <w:rFonts w:ascii="Arial" w:eastAsia="Arial" w:hAnsi="Arial" w:cs="Arial"/>
        </w:rPr>
        <w:t xml:space="preserve"> equality</w:t>
      </w:r>
      <w:r w:rsidR="00364F9A" w:rsidRPr="007D3441">
        <w:rPr>
          <w:rFonts w:ascii="Arial" w:eastAsia="Arial" w:hAnsi="Arial" w:cs="Arial"/>
        </w:rPr>
        <w:t xml:space="preserve"> and disability equity</w:t>
      </w:r>
      <w:r w:rsidR="008D067D">
        <w:rPr>
          <w:rFonts w:ascii="Arial" w:eastAsia="Arial" w:hAnsi="Arial" w:cs="Arial"/>
        </w:rPr>
        <w:t xml:space="preserve"> and rights</w:t>
      </w:r>
      <w:r w:rsidRPr="007D3441">
        <w:rPr>
          <w:rFonts w:ascii="Arial" w:eastAsia="Arial" w:hAnsi="Arial" w:cs="Arial"/>
        </w:rPr>
        <w:t xml:space="preserve">. </w:t>
      </w:r>
      <w:r w:rsidR="0074318C">
        <w:rPr>
          <w:rFonts w:ascii="Arial" w:eastAsia="Arial" w:hAnsi="Arial" w:cs="Arial"/>
        </w:rPr>
        <w:t>T</w:t>
      </w:r>
      <w:r w:rsidRPr="007D3441">
        <w:rPr>
          <w:rFonts w:ascii="Arial" w:eastAsia="Arial" w:hAnsi="Arial" w:cs="Arial"/>
        </w:rPr>
        <w:t xml:space="preserve">he degree of alignment varies, reflecting differences in how explicitly these priorities are referenced </w:t>
      </w:r>
      <w:r w:rsidR="00364F9A" w:rsidRPr="007D3441">
        <w:rPr>
          <w:rFonts w:ascii="Arial" w:eastAsia="Arial" w:hAnsi="Arial" w:cs="Arial"/>
        </w:rPr>
        <w:t xml:space="preserve">within SPFs, </w:t>
      </w:r>
      <w:r w:rsidRPr="007D3441">
        <w:rPr>
          <w:rFonts w:ascii="Arial" w:eastAsia="Arial" w:hAnsi="Arial" w:cs="Arial"/>
        </w:rPr>
        <w:t>rather than fundamental differences in</w:t>
      </w:r>
      <w:r w:rsidR="00D85F49">
        <w:rPr>
          <w:rFonts w:ascii="Arial" w:eastAsia="Arial" w:hAnsi="Arial" w:cs="Arial"/>
        </w:rPr>
        <w:t xml:space="preserve"> their</w:t>
      </w:r>
      <w:r w:rsidRPr="007D3441">
        <w:rPr>
          <w:rFonts w:ascii="Arial" w:eastAsia="Arial" w:hAnsi="Arial" w:cs="Arial"/>
        </w:rPr>
        <w:t xml:space="preserve"> </w:t>
      </w:r>
      <w:r w:rsidR="005264D7">
        <w:rPr>
          <w:rFonts w:ascii="Arial" w:eastAsia="Arial" w:hAnsi="Arial" w:cs="Arial"/>
        </w:rPr>
        <w:t xml:space="preserve">compatibility, </w:t>
      </w:r>
      <w:r w:rsidRPr="007D3441">
        <w:rPr>
          <w:rFonts w:ascii="Arial" w:eastAsia="Arial" w:hAnsi="Arial" w:cs="Arial"/>
        </w:rPr>
        <w:t>substance</w:t>
      </w:r>
      <w:r w:rsidR="005264D7">
        <w:rPr>
          <w:rFonts w:ascii="Arial" w:eastAsia="Arial" w:hAnsi="Arial" w:cs="Arial"/>
        </w:rPr>
        <w:t>,</w:t>
      </w:r>
      <w:r w:rsidRPr="007D3441">
        <w:rPr>
          <w:rFonts w:ascii="Arial" w:eastAsia="Arial" w:hAnsi="Arial" w:cs="Arial"/>
        </w:rPr>
        <w:t xml:space="preserve"> or intent. In many cases, alignment is implicit</w:t>
      </w:r>
      <w:r w:rsidR="005264D7">
        <w:rPr>
          <w:rFonts w:ascii="Arial" w:eastAsia="Arial" w:hAnsi="Arial" w:cs="Arial"/>
        </w:rPr>
        <w:t xml:space="preserve">, </w:t>
      </w:r>
      <w:r w:rsidRPr="007D3441">
        <w:rPr>
          <w:rFonts w:ascii="Arial" w:eastAsia="Arial" w:hAnsi="Arial" w:cs="Arial"/>
        </w:rPr>
        <w:t xml:space="preserve">rather than articulated through </w:t>
      </w:r>
      <w:r w:rsidR="00B302A0" w:rsidRPr="007D3441">
        <w:rPr>
          <w:rFonts w:ascii="Arial" w:eastAsia="Arial" w:hAnsi="Arial" w:cs="Arial"/>
        </w:rPr>
        <w:t>discrete</w:t>
      </w:r>
      <w:r w:rsidRPr="007D3441">
        <w:rPr>
          <w:rFonts w:ascii="Arial" w:eastAsia="Arial" w:hAnsi="Arial" w:cs="Arial"/>
        </w:rPr>
        <w:t xml:space="preserve"> </w:t>
      </w:r>
      <w:r w:rsidR="00364F9A" w:rsidRPr="007D3441">
        <w:rPr>
          <w:rFonts w:ascii="Arial" w:eastAsia="Arial" w:hAnsi="Arial" w:cs="Arial"/>
        </w:rPr>
        <w:t>text</w:t>
      </w:r>
      <w:r w:rsidRPr="007D3441">
        <w:rPr>
          <w:rFonts w:ascii="Arial" w:eastAsia="Arial" w:hAnsi="Arial" w:cs="Arial"/>
        </w:rPr>
        <w:t>.</w:t>
      </w:r>
      <w:r w:rsidR="00B5061A">
        <w:rPr>
          <w:rFonts w:ascii="Arial" w:eastAsia="Arial" w:hAnsi="Arial" w:cs="Arial"/>
        </w:rPr>
        <w:t xml:space="preserve"> DFAT reports </w:t>
      </w:r>
      <w:r w:rsidR="001B066D">
        <w:rPr>
          <w:rFonts w:ascii="Arial" w:eastAsia="Arial" w:hAnsi="Arial" w:cs="Arial"/>
        </w:rPr>
        <w:t xml:space="preserve">that </w:t>
      </w:r>
      <w:r w:rsidR="00C07B50">
        <w:rPr>
          <w:rFonts w:ascii="Arial" w:eastAsia="Arial" w:hAnsi="Arial" w:cs="Arial"/>
        </w:rPr>
        <w:t xml:space="preserve">differences in the SPF clauses are a result of negotiations with partners to </w:t>
      </w:r>
      <w:r w:rsidR="001B066D">
        <w:rPr>
          <w:rFonts w:ascii="Arial" w:eastAsia="Arial" w:hAnsi="Arial" w:cs="Arial"/>
        </w:rPr>
        <w:t xml:space="preserve">ensure SPFs </w:t>
      </w:r>
      <w:r w:rsidR="00C07B50">
        <w:rPr>
          <w:rFonts w:ascii="Arial" w:eastAsia="Arial" w:hAnsi="Arial" w:cs="Arial"/>
        </w:rPr>
        <w:t xml:space="preserve">reflect their specific mandates, </w:t>
      </w:r>
      <w:r w:rsidR="001B066D">
        <w:rPr>
          <w:rFonts w:ascii="Arial" w:eastAsia="Arial" w:hAnsi="Arial" w:cs="Arial"/>
        </w:rPr>
        <w:t xml:space="preserve">the </w:t>
      </w:r>
      <w:r w:rsidR="00C07B50">
        <w:rPr>
          <w:rFonts w:ascii="Arial" w:eastAsia="Arial" w:hAnsi="Arial" w:cs="Arial"/>
        </w:rPr>
        <w:t>nature of their operations</w:t>
      </w:r>
      <w:r w:rsidR="001B066D">
        <w:rPr>
          <w:rFonts w:ascii="Arial" w:eastAsia="Arial" w:hAnsi="Arial" w:cs="Arial"/>
        </w:rPr>
        <w:t>,</w:t>
      </w:r>
      <w:r w:rsidR="00C07B50">
        <w:rPr>
          <w:rFonts w:ascii="Arial" w:eastAsia="Arial" w:hAnsi="Arial" w:cs="Arial"/>
        </w:rPr>
        <w:t xml:space="preserve"> and the preferences of their own policy and legal advice. DFAT accepted these proposed changes where they were considered consistent with the letter and spirit of the standard text.</w:t>
      </w:r>
      <w:r w:rsidR="00C47BDC">
        <w:rPr>
          <w:rStyle w:val="FootnoteReference"/>
          <w:rFonts w:ascii="Arial" w:eastAsia="Arial" w:hAnsi="Arial" w:cs="Arial"/>
        </w:rPr>
        <w:footnoteReference w:id="24"/>
      </w:r>
      <w:r w:rsidRPr="007D3441">
        <w:rPr>
          <w:rFonts w:ascii="Arial" w:eastAsia="Arial" w:hAnsi="Arial" w:cs="Arial"/>
        </w:rPr>
        <w:t xml:space="preserve"> While this provides a sound</w:t>
      </w:r>
      <w:r w:rsidR="003D7103">
        <w:rPr>
          <w:rFonts w:ascii="Arial" w:eastAsia="Arial" w:hAnsi="Arial" w:cs="Arial"/>
        </w:rPr>
        <w:t xml:space="preserve"> </w:t>
      </w:r>
      <w:r w:rsidRPr="007D3441">
        <w:rPr>
          <w:rFonts w:ascii="Arial" w:eastAsia="Arial" w:hAnsi="Arial" w:cs="Arial"/>
        </w:rPr>
        <w:t>policy foundation, the</w:t>
      </w:r>
      <w:r w:rsidR="00B302A0" w:rsidRPr="007D3441">
        <w:rPr>
          <w:rFonts w:ascii="Arial" w:eastAsia="Arial" w:hAnsi="Arial" w:cs="Arial"/>
        </w:rPr>
        <w:t xml:space="preserve"> result is that</w:t>
      </w:r>
      <w:r w:rsidRPr="007D3441">
        <w:rPr>
          <w:rFonts w:ascii="Arial" w:eastAsia="Arial" w:hAnsi="Arial" w:cs="Arial"/>
        </w:rPr>
        <w:t xml:space="preserve"> </w:t>
      </w:r>
      <w:r w:rsidR="005264D7">
        <w:rPr>
          <w:rFonts w:ascii="Arial" w:eastAsia="Arial" w:hAnsi="Arial" w:cs="Arial"/>
        </w:rPr>
        <w:t xml:space="preserve">the </w:t>
      </w:r>
      <w:r w:rsidRPr="007D3441">
        <w:rPr>
          <w:rFonts w:ascii="Arial" w:eastAsia="Arial" w:hAnsi="Arial" w:cs="Arial"/>
        </w:rPr>
        <w:t xml:space="preserve">depth, clarity, and consistency of </w:t>
      </w:r>
      <w:r w:rsidR="00B302A0" w:rsidRPr="007D3441">
        <w:rPr>
          <w:rFonts w:ascii="Arial" w:eastAsia="Arial" w:hAnsi="Arial" w:cs="Arial"/>
        </w:rPr>
        <w:t xml:space="preserve">policy </w:t>
      </w:r>
      <w:r w:rsidRPr="007D3441">
        <w:rPr>
          <w:rFonts w:ascii="Arial" w:eastAsia="Arial" w:hAnsi="Arial" w:cs="Arial"/>
        </w:rPr>
        <w:t>coverage differ</w:t>
      </w:r>
      <w:r w:rsidR="00B302A0" w:rsidRPr="007D3441">
        <w:rPr>
          <w:rFonts w:ascii="Arial" w:eastAsia="Arial" w:hAnsi="Arial" w:cs="Arial"/>
        </w:rPr>
        <w:t>s</w:t>
      </w:r>
      <w:r w:rsidRPr="007D3441">
        <w:rPr>
          <w:rFonts w:ascii="Arial" w:eastAsia="Arial" w:hAnsi="Arial" w:cs="Arial"/>
        </w:rPr>
        <w:t xml:space="preserve"> across SPFs.</w:t>
      </w:r>
    </w:p>
    <w:p w14:paraId="7EDA2A0E" w14:textId="7D55001C" w:rsidR="00EB76F5" w:rsidRDefault="00427CB2" w:rsidP="00635B7A">
      <w:pPr>
        <w:spacing w:before="240"/>
        <w:rPr>
          <w:rFonts w:ascii="Arial" w:eastAsia="Arial" w:hAnsi="Arial" w:cs="Arial"/>
        </w:rPr>
      </w:pPr>
      <w:r w:rsidRPr="006E6FC8">
        <w:rPr>
          <w:rFonts w:ascii="Arial" w:eastAsia="Arial" w:hAnsi="Arial" w:cs="Arial"/>
        </w:rPr>
        <w:t xml:space="preserve">To assess alignment, the </w:t>
      </w:r>
      <w:r w:rsidR="00631562">
        <w:rPr>
          <w:rFonts w:ascii="Arial" w:eastAsia="Arial" w:hAnsi="Arial" w:cs="Arial"/>
        </w:rPr>
        <w:t>Evaluation Team</w:t>
      </w:r>
      <w:r w:rsidRPr="006E6FC8">
        <w:rPr>
          <w:rFonts w:ascii="Arial" w:eastAsia="Arial" w:hAnsi="Arial" w:cs="Arial"/>
        </w:rPr>
        <w:t xml:space="preserve"> coded each SPF against a set of 51 Australian </w:t>
      </w:r>
      <w:r w:rsidR="00296ED4" w:rsidRPr="006E6FC8">
        <w:rPr>
          <w:rFonts w:ascii="Arial" w:eastAsia="Arial" w:hAnsi="Arial" w:cs="Arial"/>
        </w:rPr>
        <w:t>p</w:t>
      </w:r>
      <w:r w:rsidRPr="006E6FC8">
        <w:rPr>
          <w:rFonts w:ascii="Arial" w:eastAsia="Arial" w:hAnsi="Arial" w:cs="Arial"/>
        </w:rPr>
        <w:t xml:space="preserve">olicy </w:t>
      </w:r>
      <w:r w:rsidR="00296ED4" w:rsidRPr="006E6FC8">
        <w:rPr>
          <w:rFonts w:ascii="Arial" w:eastAsia="Arial" w:hAnsi="Arial" w:cs="Arial"/>
        </w:rPr>
        <w:t>p</w:t>
      </w:r>
      <w:r w:rsidRPr="006E6FC8">
        <w:rPr>
          <w:rFonts w:ascii="Arial" w:eastAsia="Arial" w:hAnsi="Arial" w:cs="Arial"/>
        </w:rPr>
        <w:t>riorities</w:t>
      </w:r>
      <w:r w:rsidR="00296ED4" w:rsidRPr="006E6FC8">
        <w:rPr>
          <w:rFonts w:ascii="Arial" w:eastAsia="Arial" w:hAnsi="Arial" w:cs="Arial"/>
        </w:rPr>
        <w:t xml:space="preserve"> and commitments</w:t>
      </w:r>
      <w:r w:rsidRPr="006E6FC8">
        <w:rPr>
          <w:rFonts w:ascii="Arial" w:eastAsia="Arial" w:hAnsi="Arial" w:cs="Arial"/>
        </w:rPr>
        <w:t xml:space="preserve">, covering themes such as </w:t>
      </w:r>
      <w:r w:rsidR="00D85F49" w:rsidRPr="006E6FC8">
        <w:rPr>
          <w:rFonts w:ascii="Arial" w:eastAsia="Arial" w:hAnsi="Arial" w:cs="Arial"/>
        </w:rPr>
        <w:t>GEDSI</w:t>
      </w:r>
      <w:r w:rsidRPr="006E6FC8">
        <w:rPr>
          <w:rFonts w:ascii="Arial" w:eastAsia="Arial" w:hAnsi="Arial" w:cs="Arial"/>
        </w:rPr>
        <w:t xml:space="preserve">, Indo-Pacific focus, and </w:t>
      </w:r>
      <w:proofErr w:type="gramStart"/>
      <w:r w:rsidR="00626976" w:rsidRPr="006E6FC8">
        <w:rPr>
          <w:rFonts w:ascii="Arial" w:eastAsia="Arial" w:hAnsi="Arial" w:cs="Arial"/>
        </w:rPr>
        <w:t>locally-led</w:t>
      </w:r>
      <w:proofErr w:type="gramEnd"/>
      <w:r w:rsidR="00626976" w:rsidRPr="006E6FC8">
        <w:rPr>
          <w:rFonts w:ascii="Arial" w:eastAsia="Arial" w:hAnsi="Arial" w:cs="Arial"/>
        </w:rPr>
        <w:t xml:space="preserve"> development, among others</w:t>
      </w:r>
      <w:r w:rsidRPr="006E6FC8">
        <w:rPr>
          <w:rFonts w:ascii="Arial" w:eastAsia="Arial" w:hAnsi="Arial" w:cs="Arial"/>
        </w:rPr>
        <w:t>.</w:t>
      </w:r>
      <w:r w:rsidRPr="00D76248">
        <w:rPr>
          <w:rFonts w:ascii="Arial" w:eastAsia="Arial" w:hAnsi="Arial" w:cs="Arial"/>
        </w:rPr>
        <w:t xml:space="preserve"> </w:t>
      </w:r>
      <w:r w:rsidR="00635B7A" w:rsidRPr="00D76248">
        <w:rPr>
          <w:rFonts w:ascii="Arial" w:eastAsia="Arial" w:hAnsi="Arial" w:cs="Arial"/>
        </w:rPr>
        <w:t xml:space="preserve">From a benchmarked perspective, </w:t>
      </w:r>
      <w:r w:rsidR="008A46FF" w:rsidRPr="00D76248">
        <w:rPr>
          <w:rFonts w:ascii="Arial" w:eastAsia="Arial" w:hAnsi="Arial" w:cs="Arial"/>
        </w:rPr>
        <w:t xml:space="preserve">the </w:t>
      </w:r>
      <w:r w:rsidR="00753C0D" w:rsidRPr="00D76248">
        <w:rPr>
          <w:rFonts w:ascii="Arial" w:eastAsia="Arial" w:hAnsi="Arial" w:cs="Arial"/>
        </w:rPr>
        <w:t xml:space="preserve">UNHCR </w:t>
      </w:r>
      <w:r w:rsidR="008A46FF" w:rsidRPr="00D76248">
        <w:rPr>
          <w:rFonts w:ascii="Arial" w:eastAsia="Arial" w:hAnsi="Arial" w:cs="Arial"/>
        </w:rPr>
        <w:t xml:space="preserve">SPF </w:t>
      </w:r>
      <w:r w:rsidR="00753C0D" w:rsidRPr="00D76248">
        <w:rPr>
          <w:rFonts w:ascii="Arial" w:eastAsia="Arial" w:hAnsi="Arial" w:cs="Arial"/>
        </w:rPr>
        <w:t>demonstrates the strongest overall alignment at the policy level, reflecting clear coherence with Australia’s priorities on gender equality, humanitarian action, and engagement in the Indo-Pacific. WFP’s SPF also reflects consistent alignment across core policy areas, particularly in articulating Australia’s</w:t>
      </w:r>
      <w:r w:rsidR="00FB1CF7" w:rsidRPr="00D76248">
        <w:rPr>
          <w:rFonts w:ascii="Arial" w:eastAsia="Arial" w:hAnsi="Arial" w:cs="Arial"/>
        </w:rPr>
        <w:t xml:space="preserve"> Indo-Pacific focus</w:t>
      </w:r>
      <w:r w:rsidR="00753C0D" w:rsidRPr="00D76248">
        <w:rPr>
          <w:rFonts w:ascii="Arial" w:eastAsia="Arial" w:hAnsi="Arial" w:cs="Arial"/>
        </w:rPr>
        <w:t xml:space="preserve">. OCHA and ICRC SPFs show reliable alignment with humanitarian objectives and recognition of regional engagement. CERF’s SPF presents the narrowest policy alignment overall, with </w:t>
      </w:r>
      <w:r w:rsidR="00E57E79" w:rsidRPr="00D76248">
        <w:rPr>
          <w:rFonts w:ascii="Arial" w:eastAsia="Arial" w:hAnsi="Arial" w:cs="Arial"/>
        </w:rPr>
        <w:t>comparatively less</w:t>
      </w:r>
      <w:r w:rsidR="00753C0D" w:rsidRPr="00D76248">
        <w:rPr>
          <w:rFonts w:ascii="Arial" w:eastAsia="Arial" w:hAnsi="Arial" w:cs="Arial"/>
        </w:rPr>
        <w:t xml:space="preserve"> visibility of Australia’s Indo-Pacific and disability inclusion priorities, although its humanitarian focus remains broadly consistent with DFAT’s policy settings.</w:t>
      </w:r>
      <w:r w:rsidR="00AA65C3" w:rsidRPr="00D76248">
        <w:rPr>
          <w:rFonts w:ascii="Arial" w:eastAsia="Arial" w:hAnsi="Arial" w:cs="Arial"/>
        </w:rPr>
        <w:t xml:space="preserve"> </w:t>
      </w:r>
      <w:r w:rsidR="00667805">
        <w:rPr>
          <w:rFonts w:ascii="Arial" w:eastAsia="Arial" w:hAnsi="Arial" w:cs="Arial"/>
        </w:rPr>
        <w:t xml:space="preserve">This </w:t>
      </w:r>
      <w:r w:rsidR="00AA65C3" w:rsidRPr="00D76248">
        <w:rPr>
          <w:rFonts w:ascii="Arial" w:eastAsia="Arial" w:hAnsi="Arial" w:cs="Arial"/>
        </w:rPr>
        <w:t>reflects</w:t>
      </w:r>
      <w:r w:rsidR="00497EDD" w:rsidRPr="00D76248">
        <w:rPr>
          <w:rFonts w:ascii="Arial" w:eastAsia="Arial" w:hAnsi="Arial" w:cs="Arial"/>
        </w:rPr>
        <w:t xml:space="preserve"> the nature of CERF, as a global fund </w:t>
      </w:r>
      <w:r w:rsidR="00E72CB1">
        <w:rPr>
          <w:rFonts w:ascii="Arial" w:eastAsia="Arial" w:hAnsi="Arial" w:cs="Arial"/>
        </w:rPr>
        <w:t>managed</w:t>
      </w:r>
      <w:r w:rsidR="00497EDD" w:rsidRPr="00D76248">
        <w:rPr>
          <w:rFonts w:ascii="Arial" w:eastAsia="Arial" w:hAnsi="Arial" w:cs="Arial"/>
        </w:rPr>
        <w:t xml:space="preserve"> by </w:t>
      </w:r>
      <w:r w:rsidR="00E72CB1">
        <w:rPr>
          <w:rFonts w:ascii="Arial" w:eastAsia="Arial" w:hAnsi="Arial" w:cs="Arial"/>
        </w:rPr>
        <w:t xml:space="preserve">OCHA to </w:t>
      </w:r>
      <w:r w:rsidR="00427486">
        <w:rPr>
          <w:rFonts w:ascii="Arial" w:eastAsia="Arial" w:hAnsi="Arial" w:cs="Arial"/>
        </w:rPr>
        <w:t xml:space="preserve">support </w:t>
      </w:r>
      <w:r w:rsidR="00E72CB1">
        <w:rPr>
          <w:rFonts w:ascii="Arial" w:eastAsia="Arial" w:hAnsi="Arial" w:cs="Arial"/>
        </w:rPr>
        <w:t xml:space="preserve">UN </w:t>
      </w:r>
      <w:r w:rsidR="00497EDD" w:rsidRPr="00D76248">
        <w:rPr>
          <w:rFonts w:ascii="Arial" w:eastAsia="Arial" w:hAnsi="Arial" w:cs="Arial"/>
        </w:rPr>
        <w:t xml:space="preserve">agencies responding to the world’s </w:t>
      </w:r>
      <w:r w:rsidR="008D572E">
        <w:rPr>
          <w:rFonts w:ascii="Arial" w:eastAsia="Arial" w:hAnsi="Arial" w:cs="Arial"/>
        </w:rPr>
        <w:t>most severe humanitarian crises requiring international assistance</w:t>
      </w:r>
      <w:r w:rsidR="005973B6" w:rsidRPr="00D76248">
        <w:rPr>
          <w:rFonts w:ascii="Arial" w:eastAsia="Arial" w:hAnsi="Arial" w:cs="Arial"/>
        </w:rPr>
        <w:t>.</w:t>
      </w:r>
      <w:r w:rsidR="00FB1CF7" w:rsidRPr="00D76248">
        <w:rPr>
          <w:rFonts w:ascii="Arial" w:eastAsia="Arial" w:hAnsi="Arial" w:cs="Arial"/>
        </w:rPr>
        <w:t xml:space="preserve"> </w:t>
      </w:r>
    </w:p>
    <w:p w14:paraId="159EB11E" w14:textId="3A8DD777" w:rsidR="00635B7A" w:rsidRPr="00635B7A" w:rsidRDefault="00D417C7" w:rsidP="00635B7A">
      <w:pPr>
        <w:spacing w:before="240"/>
        <w:rPr>
          <w:rFonts w:ascii="Arial" w:eastAsia="Arial" w:hAnsi="Arial" w:cs="Arial"/>
        </w:rPr>
      </w:pPr>
      <w:r w:rsidRPr="2C54FF09">
        <w:rPr>
          <w:rFonts w:ascii="Arial" w:eastAsia="Arial" w:hAnsi="Arial" w:cs="Arial"/>
        </w:rPr>
        <w:t>The</w:t>
      </w:r>
      <w:r w:rsidR="00635B7A" w:rsidRPr="2C54FF09">
        <w:rPr>
          <w:rFonts w:ascii="Arial" w:eastAsia="Arial" w:hAnsi="Arial" w:cs="Arial"/>
        </w:rPr>
        <w:t xml:space="preserve"> evaluation notes that all SPFs under review were agreed prior to the development of </w:t>
      </w:r>
      <w:r w:rsidR="008B0BEC" w:rsidRPr="2C54FF09">
        <w:rPr>
          <w:rFonts w:ascii="Arial" w:eastAsia="Arial" w:hAnsi="Arial" w:cs="Arial"/>
        </w:rPr>
        <w:t>the</w:t>
      </w:r>
      <w:r w:rsidR="00CE2C77">
        <w:rPr>
          <w:rFonts w:ascii="Arial" w:eastAsia="Arial" w:hAnsi="Arial" w:cs="Arial"/>
        </w:rPr>
        <w:t xml:space="preserve"> current iterations of the</w:t>
      </w:r>
      <w:r w:rsidR="008B0BEC" w:rsidRPr="2C54FF09">
        <w:rPr>
          <w:rFonts w:ascii="Arial" w:eastAsia="Arial" w:hAnsi="Arial" w:cs="Arial"/>
        </w:rPr>
        <w:t xml:space="preserve"> International Development Policy</w:t>
      </w:r>
      <w:r w:rsidR="00635B7A" w:rsidRPr="2C54FF09">
        <w:rPr>
          <w:rFonts w:ascii="Arial" w:eastAsia="Arial" w:hAnsi="Arial" w:cs="Arial"/>
        </w:rPr>
        <w:t>, International Gender Equ</w:t>
      </w:r>
      <w:r w:rsidR="008D067D">
        <w:rPr>
          <w:rFonts w:ascii="Arial" w:eastAsia="Arial" w:hAnsi="Arial" w:cs="Arial"/>
        </w:rPr>
        <w:t>ality</w:t>
      </w:r>
      <w:r w:rsidR="00635B7A" w:rsidRPr="2C54FF09">
        <w:rPr>
          <w:rFonts w:ascii="Arial" w:eastAsia="Arial" w:hAnsi="Arial" w:cs="Arial"/>
        </w:rPr>
        <w:t xml:space="preserve"> Strategy, International Disability Equity and Rights Strategy, and </w:t>
      </w:r>
      <w:r w:rsidR="00660373" w:rsidRPr="2C54FF09">
        <w:rPr>
          <w:rFonts w:ascii="Arial" w:eastAsia="Arial" w:hAnsi="Arial" w:cs="Arial"/>
        </w:rPr>
        <w:t>Humanitarian Policy</w:t>
      </w:r>
      <w:r w:rsidR="00635B7A" w:rsidRPr="2C54FF09">
        <w:rPr>
          <w:rFonts w:ascii="Arial" w:eastAsia="Arial" w:hAnsi="Arial" w:cs="Arial"/>
        </w:rPr>
        <w:t xml:space="preserve">. </w:t>
      </w:r>
      <w:r w:rsidR="00902D74" w:rsidRPr="2C54FF09">
        <w:rPr>
          <w:rFonts w:ascii="Arial" w:eastAsia="Arial" w:hAnsi="Arial" w:cs="Arial"/>
        </w:rPr>
        <w:t xml:space="preserve">This explains, for instance, why no SPF includes reference to First Nations’ Peoples and </w:t>
      </w:r>
      <w:r w:rsidR="00A36B94" w:rsidRPr="2C54FF09">
        <w:rPr>
          <w:rFonts w:ascii="Arial" w:eastAsia="Arial" w:hAnsi="Arial" w:cs="Arial"/>
        </w:rPr>
        <w:t xml:space="preserve">approaches, </w:t>
      </w:r>
      <w:r w:rsidR="005D04F3">
        <w:rPr>
          <w:rFonts w:ascii="Arial" w:eastAsia="Arial" w:hAnsi="Arial" w:cs="Arial"/>
        </w:rPr>
        <w:t xml:space="preserve">or the commitment to climate action and investment level climate targets </w:t>
      </w:r>
      <w:r w:rsidR="00A36B94" w:rsidRPr="2C54FF09">
        <w:rPr>
          <w:rFonts w:ascii="Arial" w:eastAsia="Arial" w:hAnsi="Arial" w:cs="Arial"/>
        </w:rPr>
        <w:t xml:space="preserve">as detailed in the </w:t>
      </w:r>
      <w:r w:rsidRPr="2C54FF09">
        <w:rPr>
          <w:rFonts w:ascii="Arial" w:eastAsia="Arial" w:hAnsi="Arial" w:cs="Arial"/>
        </w:rPr>
        <w:t>I</w:t>
      </w:r>
      <w:r w:rsidR="008B0BEC" w:rsidRPr="2C54FF09">
        <w:rPr>
          <w:rFonts w:ascii="Arial" w:eastAsia="Arial" w:hAnsi="Arial" w:cs="Arial"/>
        </w:rPr>
        <w:t>nternational Development Policy</w:t>
      </w:r>
      <w:r w:rsidR="00A36B94" w:rsidRPr="2C54FF09">
        <w:rPr>
          <w:rFonts w:ascii="Arial" w:eastAsia="Arial" w:hAnsi="Arial" w:cs="Arial"/>
        </w:rPr>
        <w:t xml:space="preserve">. </w:t>
      </w:r>
      <w:r w:rsidR="00E502D6" w:rsidRPr="2C54FF09">
        <w:rPr>
          <w:rFonts w:ascii="Arial" w:eastAsia="Arial" w:hAnsi="Arial" w:cs="Arial"/>
        </w:rPr>
        <w:t xml:space="preserve">Although </w:t>
      </w:r>
      <w:r w:rsidR="00635B7A" w:rsidRPr="2C54FF09">
        <w:rPr>
          <w:rFonts w:ascii="Arial" w:eastAsia="Arial" w:hAnsi="Arial" w:cs="Arial"/>
        </w:rPr>
        <w:t xml:space="preserve">DFAT's </w:t>
      </w:r>
      <w:r w:rsidR="00635B7A" w:rsidRPr="2C54FF09">
        <w:rPr>
          <w:rFonts w:ascii="Arial" w:eastAsia="Arial" w:hAnsi="Arial" w:cs="Arial"/>
        </w:rPr>
        <w:lastRenderedPageBreak/>
        <w:t xml:space="preserve">Climate Change Action Strategy (2019) was published </w:t>
      </w:r>
      <w:r w:rsidR="0049035B">
        <w:rPr>
          <w:rFonts w:ascii="Arial" w:eastAsia="Arial" w:hAnsi="Arial" w:cs="Arial"/>
        </w:rPr>
        <w:t>prior to the</w:t>
      </w:r>
      <w:r w:rsidR="00635B7A" w:rsidRPr="2C54FF09">
        <w:rPr>
          <w:rFonts w:ascii="Arial" w:eastAsia="Arial" w:hAnsi="Arial" w:cs="Arial"/>
        </w:rPr>
        <w:t xml:space="preserve"> SPFs </w:t>
      </w:r>
      <w:r w:rsidR="0049035B">
        <w:rPr>
          <w:rFonts w:ascii="Arial" w:eastAsia="Arial" w:hAnsi="Arial" w:cs="Arial"/>
        </w:rPr>
        <w:t>being</w:t>
      </w:r>
      <w:r w:rsidR="00635B7A" w:rsidRPr="2C54FF09">
        <w:rPr>
          <w:rFonts w:ascii="Arial" w:eastAsia="Arial" w:hAnsi="Arial" w:cs="Arial"/>
        </w:rPr>
        <w:t xml:space="preserve"> signed</w:t>
      </w:r>
      <w:r w:rsidR="00E502D6" w:rsidRPr="2C54FF09">
        <w:rPr>
          <w:rFonts w:ascii="Arial" w:eastAsia="Arial" w:hAnsi="Arial" w:cs="Arial"/>
        </w:rPr>
        <w:t>,</w:t>
      </w:r>
      <w:r w:rsidR="00635B7A" w:rsidRPr="2C54FF09">
        <w:rPr>
          <w:rFonts w:ascii="Arial" w:eastAsia="Arial" w:hAnsi="Arial" w:cs="Arial"/>
        </w:rPr>
        <w:t xml:space="preserve"> alignment with this policy is generally weaker than those concerning inclusion or humanitarian themes</w:t>
      </w:r>
      <w:r w:rsidR="002020F1">
        <w:rPr>
          <w:rFonts w:ascii="Arial" w:eastAsia="Arial" w:hAnsi="Arial" w:cs="Arial"/>
        </w:rPr>
        <w:t xml:space="preserve">, which were able to draw on DFAT’s pre-existing humanitarian and development policies and strategies, including </w:t>
      </w:r>
      <w:r w:rsidR="00F04A7C">
        <w:rPr>
          <w:rFonts w:ascii="Arial" w:eastAsia="Arial" w:hAnsi="Arial" w:cs="Arial"/>
        </w:rPr>
        <w:t>on gender equality and disability inclusion.</w:t>
      </w:r>
      <w:r w:rsidR="00902D74" w:rsidRPr="2C54FF09">
        <w:rPr>
          <w:rFonts w:ascii="Arial" w:eastAsia="Arial" w:hAnsi="Arial" w:cs="Arial"/>
        </w:rPr>
        <w:t xml:space="preserve"> </w:t>
      </w:r>
      <w:r w:rsidR="0049035B">
        <w:rPr>
          <w:rFonts w:ascii="Arial" w:eastAsia="Arial" w:hAnsi="Arial" w:cs="Arial"/>
        </w:rPr>
        <w:t xml:space="preserve">The next phase of SPFs </w:t>
      </w:r>
      <w:proofErr w:type="gramStart"/>
      <w:r w:rsidR="009016D4">
        <w:rPr>
          <w:rFonts w:ascii="Arial" w:eastAsia="Arial" w:hAnsi="Arial" w:cs="Arial"/>
        </w:rPr>
        <w:t>provide</w:t>
      </w:r>
      <w:proofErr w:type="gramEnd"/>
      <w:r w:rsidR="0049035B">
        <w:rPr>
          <w:rFonts w:ascii="Arial" w:eastAsia="Arial" w:hAnsi="Arial" w:cs="Arial"/>
        </w:rPr>
        <w:t xml:space="preserve"> an opportunity to integrate the new gender equality, </w:t>
      </w:r>
      <w:r w:rsidR="00AE5CCA">
        <w:rPr>
          <w:rFonts w:ascii="Arial" w:eastAsia="Arial" w:hAnsi="Arial" w:cs="Arial"/>
        </w:rPr>
        <w:t xml:space="preserve">First Nations Peoples and approaches, </w:t>
      </w:r>
      <w:r w:rsidR="0049035B">
        <w:rPr>
          <w:rFonts w:ascii="Arial" w:eastAsia="Arial" w:hAnsi="Arial" w:cs="Arial"/>
        </w:rPr>
        <w:t xml:space="preserve">disability equity and rights, climate action and localisation </w:t>
      </w:r>
      <w:r w:rsidR="00E868BD">
        <w:rPr>
          <w:rFonts w:ascii="Arial" w:eastAsia="Arial" w:hAnsi="Arial" w:cs="Arial"/>
        </w:rPr>
        <w:t>objectives</w:t>
      </w:r>
      <w:r w:rsidR="0049035B">
        <w:rPr>
          <w:rFonts w:ascii="Arial" w:eastAsia="Arial" w:hAnsi="Arial" w:cs="Arial"/>
        </w:rPr>
        <w:t xml:space="preserve"> that are a feature of the International Development Strategy (2023).</w:t>
      </w:r>
      <w:r w:rsidR="00732F4F">
        <w:rPr>
          <w:rFonts w:ascii="Arial" w:eastAsia="Arial" w:hAnsi="Arial" w:cs="Arial"/>
        </w:rPr>
        <w:t xml:space="preserve"> </w:t>
      </w:r>
      <w:r w:rsidR="00297289">
        <w:rPr>
          <w:rFonts w:ascii="Arial" w:eastAsia="Arial" w:hAnsi="Arial" w:cs="Arial"/>
        </w:rPr>
        <w:t xml:space="preserve">The extent to which DFAT chooses to integrate </w:t>
      </w:r>
      <w:r w:rsidR="005D3E52">
        <w:rPr>
          <w:rFonts w:ascii="Arial" w:eastAsia="Arial" w:hAnsi="Arial" w:cs="Arial"/>
        </w:rPr>
        <w:t xml:space="preserve">each of </w:t>
      </w:r>
      <w:r w:rsidR="00297289">
        <w:rPr>
          <w:rFonts w:ascii="Arial" w:eastAsia="Arial" w:hAnsi="Arial" w:cs="Arial"/>
        </w:rPr>
        <w:t xml:space="preserve">these new policies in new arrangements will need to be </w:t>
      </w:r>
      <w:r w:rsidR="005D3E52">
        <w:rPr>
          <w:rFonts w:ascii="Arial" w:eastAsia="Arial" w:hAnsi="Arial" w:cs="Arial"/>
        </w:rPr>
        <w:t xml:space="preserve">balanced against </w:t>
      </w:r>
      <w:r w:rsidR="00C31A99">
        <w:rPr>
          <w:rFonts w:ascii="Arial" w:eastAsia="Arial" w:hAnsi="Arial" w:cs="Arial"/>
        </w:rPr>
        <w:t xml:space="preserve">the </w:t>
      </w:r>
      <w:r w:rsidR="00B662DC">
        <w:rPr>
          <w:rFonts w:ascii="Arial" w:eastAsia="Arial" w:hAnsi="Arial" w:cs="Arial"/>
        </w:rPr>
        <w:t>benefits of prioritising a few</w:t>
      </w:r>
      <w:r w:rsidR="00527545">
        <w:rPr>
          <w:rFonts w:ascii="Arial" w:eastAsia="Arial" w:hAnsi="Arial" w:cs="Arial"/>
        </w:rPr>
        <w:t xml:space="preserve"> objectives (see discussion in </w:t>
      </w:r>
      <w:r w:rsidR="0046283B">
        <w:rPr>
          <w:rFonts w:ascii="Arial" w:eastAsia="Arial" w:hAnsi="Arial" w:cs="Arial"/>
        </w:rPr>
        <w:t xml:space="preserve">response to </w:t>
      </w:r>
      <w:r w:rsidR="00527545">
        <w:rPr>
          <w:rFonts w:ascii="Arial" w:eastAsia="Arial" w:hAnsi="Arial" w:cs="Arial"/>
        </w:rPr>
        <w:t>KEQ</w:t>
      </w:r>
      <w:r w:rsidR="0046283B">
        <w:rPr>
          <w:rFonts w:ascii="Arial" w:eastAsia="Arial" w:hAnsi="Arial" w:cs="Arial"/>
        </w:rPr>
        <w:t xml:space="preserve"> </w:t>
      </w:r>
      <w:r w:rsidR="00527545">
        <w:rPr>
          <w:rFonts w:ascii="Arial" w:eastAsia="Arial" w:hAnsi="Arial" w:cs="Arial"/>
        </w:rPr>
        <w:t>2)</w:t>
      </w:r>
      <w:r w:rsidR="00C31A99">
        <w:rPr>
          <w:rFonts w:ascii="Arial" w:eastAsia="Arial" w:hAnsi="Arial" w:cs="Arial"/>
        </w:rPr>
        <w:t>.</w:t>
      </w:r>
    </w:p>
    <w:p w14:paraId="59422A6B" w14:textId="782478DE" w:rsidR="0053362B" w:rsidRPr="0053362B" w:rsidRDefault="0053362B" w:rsidP="00E17D1A">
      <w:pPr>
        <w:pStyle w:val="ListParagraph"/>
        <w:numPr>
          <w:ilvl w:val="1"/>
          <w:numId w:val="10"/>
        </w:numPr>
        <w:spacing w:before="240"/>
        <w:rPr>
          <w:rFonts w:ascii="Arial" w:eastAsia="Arial" w:hAnsi="Arial" w:cs="Arial"/>
          <w:b/>
          <w:bCs/>
        </w:rPr>
      </w:pPr>
      <w:r w:rsidRPr="0053362B">
        <w:rPr>
          <w:rFonts w:ascii="Arial" w:eastAsia="Arial" w:hAnsi="Arial" w:cs="Arial"/>
          <w:b/>
          <w:bCs/>
        </w:rPr>
        <w:t xml:space="preserve">To what extent are the current SPFs aligned with DFAT’s development risk management requirements, including for high-risk contexts? </w:t>
      </w:r>
    </w:p>
    <w:p w14:paraId="04BCC019" w14:textId="5DB9B7A1" w:rsidR="00326171" w:rsidRDefault="00655C75" w:rsidP="002B014F">
      <w:pPr>
        <w:spacing w:before="240"/>
        <w:rPr>
          <w:rFonts w:ascii="Arial" w:eastAsia="Arial" w:hAnsi="Arial" w:cs="Arial"/>
        </w:rPr>
      </w:pPr>
      <w:r>
        <w:rPr>
          <w:rFonts w:ascii="Arial" w:eastAsia="Arial" w:hAnsi="Arial" w:cs="Arial"/>
        </w:rPr>
        <w:t xml:space="preserve">The SPFs are mostly well aligned </w:t>
      </w:r>
      <w:r w:rsidR="00AC6361">
        <w:rPr>
          <w:rFonts w:ascii="Arial" w:eastAsia="Arial" w:hAnsi="Arial" w:cs="Arial"/>
        </w:rPr>
        <w:t>with</w:t>
      </w:r>
      <w:r w:rsidR="00B671E1">
        <w:rPr>
          <w:rFonts w:ascii="Arial" w:eastAsia="Arial" w:hAnsi="Arial" w:cs="Arial"/>
        </w:rPr>
        <w:t xml:space="preserve"> DFAT’s</w:t>
      </w:r>
      <w:r w:rsidR="00AC6361">
        <w:rPr>
          <w:rFonts w:ascii="Arial" w:eastAsia="Arial" w:hAnsi="Arial" w:cs="Arial"/>
        </w:rPr>
        <w:t xml:space="preserve"> risk management </w:t>
      </w:r>
      <w:r w:rsidR="00B671E1">
        <w:rPr>
          <w:rFonts w:ascii="Arial" w:eastAsia="Arial" w:hAnsi="Arial" w:cs="Arial"/>
        </w:rPr>
        <w:t>requirements</w:t>
      </w:r>
      <w:r w:rsidR="00956CAD">
        <w:rPr>
          <w:rFonts w:ascii="Arial" w:eastAsia="Arial" w:hAnsi="Arial" w:cs="Arial"/>
        </w:rPr>
        <w:t xml:space="preserve">. </w:t>
      </w:r>
    </w:p>
    <w:p w14:paraId="24DDF73F" w14:textId="2C5428FF" w:rsidR="00296BDD" w:rsidRDefault="00296BDD" w:rsidP="002B014F">
      <w:pPr>
        <w:spacing w:before="240"/>
        <w:rPr>
          <w:rFonts w:ascii="Arial" w:eastAsia="Arial" w:hAnsi="Arial" w:cs="Arial"/>
        </w:rPr>
      </w:pPr>
      <w:r>
        <w:rPr>
          <w:rFonts w:ascii="Arial" w:eastAsia="Arial" w:hAnsi="Arial" w:cs="Arial"/>
        </w:rPr>
        <w:t>Chapter 8 of DFAT’s International Development Programming Guide</w:t>
      </w:r>
      <w:r w:rsidR="007A168C">
        <w:rPr>
          <w:rFonts w:ascii="Arial" w:eastAsia="Arial" w:hAnsi="Arial" w:cs="Arial"/>
        </w:rPr>
        <w:t xml:space="preserve"> requires DFAT investment managers to include </w:t>
      </w:r>
      <w:r w:rsidR="00BB7993">
        <w:rPr>
          <w:rFonts w:ascii="Arial" w:eastAsia="Arial" w:hAnsi="Arial" w:cs="Arial"/>
        </w:rPr>
        <w:t>clauses and</w:t>
      </w:r>
      <w:r w:rsidR="007A168C">
        <w:rPr>
          <w:rFonts w:ascii="Arial" w:eastAsia="Arial" w:hAnsi="Arial" w:cs="Arial"/>
        </w:rPr>
        <w:t xml:space="preserve"> provisions in</w:t>
      </w:r>
      <w:r w:rsidR="00BB7993">
        <w:rPr>
          <w:rFonts w:ascii="Arial" w:eastAsia="Arial" w:hAnsi="Arial" w:cs="Arial"/>
        </w:rPr>
        <w:t xml:space="preserve"> funding arrangements to manage the following risks</w:t>
      </w:r>
      <w:r>
        <w:rPr>
          <w:rFonts w:ascii="Arial" w:eastAsia="Arial" w:hAnsi="Arial" w:cs="Arial"/>
        </w:rPr>
        <w:t xml:space="preserve">: </w:t>
      </w:r>
      <w:r w:rsidR="00256249">
        <w:rPr>
          <w:rFonts w:ascii="Arial" w:eastAsia="Arial" w:hAnsi="Arial" w:cs="Arial"/>
        </w:rPr>
        <w:t>e</w:t>
      </w:r>
      <w:r>
        <w:rPr>
          <w:rFonts w:ascii="Arial" w:eastAsia="Arial" w:hAnsi="Arial" w:cs="Arial"/>
        </w:rPr>
        <w:t>nvironmental and social safeguards, child protection, preventing sexual abuse, exploitation and harassment</w:t>
      </w:r>
      <w:r w:rsidR="00D85F49">
        <w:rPr>
          <w:rFonts w:ascii="Arial" w:eastAsia="Arial" w:hAnsi="Arial" w:cs="Arial"/>
        </w:rPr>
        <w:t xml:space="preserve"> (PSEAH)</w:t>
      </w:r>
      <w:r>
        <w:rPr>
          <w:rFonts w:ascii="Arial" w:eastAsia="Arial" w:hAnsi="Arial" w:cs="Arial"/>
        </w:rPr>
        <w:t>, fraud and corruption control, due diligence</w:t>
      </w:r>
      <w:r w:rsidR="00D85F49">
        <w:rPr>
          <w:rFonts w:ascii="Arial" w:eastAsia="Arial" w:hAnsi="Arial" w:cs="Arial"/>
        </w:rPr>
        <w:t>,</w:t>
      </w:r>
      <w:r>
        <w:rPr>
          <w:rFonts w:ascii="Arial" w:eastAsia="Arial" w:hAnsi="Arial" w:cs="Arial"/>
        </w:rPr>
        <w:t xml:space="preserve"> and terrorism resourcing risk.</w:t>
      </w:r>
      <w:r>
        <w:rPr>
          <w:rStyle w:val="FootnoteReference"/>
          <w:rFonts w:ascii="Arial" w:eastAsia="Arial" w:hAnsi="Arial" w:cs="Arial"/>
        </w:rPr>
        <w:footnoteReference w:id="25"/>
      </w:r>
    </w:p>
    <w:p w14:paraId="7C0C8053" w14:textId="1C335484" w:rsidR="00DA4158" w:rsidRPr="00DA4158" w:rsidRDefault="00B671E1" w:rsidP="00EE3CFB">
      <w:pPr>
        <w:spacing w:before="240"/>
        <w:rPr>
          <w:rFonts w:ascii="Arial" w:eastAsia="Arial" w:hAnsi="Arial" w:cs="Arial"/>
        </w:rPr>
      </w:pPr>
      <w:r>
        <w:rPr>
          <w:rFonts w:ascii="Arial" w:eastAsia="Arial" w:hAnsi="Arial" w:cs="Arial"/>
        </w:rPr>
        <w:t xml:space="preserve">Clauses addressing </w:t>
      </w:r>
      <w:r w:rsidRPr="00A45713">
        <w:rPr>
          <w:rFonts w:ascii="Arial" w:eastAsia="Arial" w:hAnsi="Arial" w:cs="Arial"/>
        </w:rPr>
        <w:t>e</w:t>
      </w:r>
      <w:r w:rsidR="000B2CCB" w:rsidRPr="00A45713">
        <w:rPr>
          <w:rFonts w:ascii="Arial" w:eastAsia="Arial" w:hAnsi="Arial" w:cs="Arial"/>
        </w:rPr>
        <w:t>nvironmental and social safeguards</w:t>
      </w:r>
      <w:r w:rsidR="000B2CCB" w:rsidRPr="00732F4F">
        <w:rPr>
          <w:rFonts w:ascii="Arial" w:eastAsia="Arial" w:hAnsi="Arial" w:cs="Arial"/>
        </w:rPr>
        <w:t>, child protection</w:t>
      </w:r>
      <w:r w:rsidR="00634FBA" w:rsidRPr="00732F4F">
        <w:rPr>
          <w:rFonts w:ascii="Arial" w:eastAsia="Arial" w:hAnsi="Arial" w:cs="Arial"/>
        </w:rPr>
        <w:t>,</w:t>
      </w:r>
      <w:r w:rsidR="000B2CCB" w:rsidRPr="00732F4F">
        <w:rPr>
          <w:rFonts w:ascii="Arial" w:eastAsia="Arial" w:hAnsi="Arial" w:cs="Arial"/>
        </w:rPr>
        <w:t xml:space="preserve"> </w:t>
      </w:r>
      <w:r w:rsidR="00D85F49" w:rsidRPr="00732F4F">
        <w:rPr>
          <w:rFonts w:ascii="Arial" w:eastAsia="Arial" w:hAnsi="Arial" w:cs="Arial"/>
        </w:rPr>
        <w:t>PSEAH,</w:t>
      </w:r>
      <w:r w:rsidR="000B2CCB" w:rsidRPr="00732F4F">
        <w:rPr>
          <w:rFonts w:ascii="Arial" w:eastAsia="Arial" w:hAnsi="Arial" w:cs="Arial"/>
        </w:rPr>
        <w:t xml:space="preserve"> </w:t>
      </w:r>
      <w:r w:rsidR="0075445B" w:rsidRPr="00732F4F">
        <w:rPr>
          <w:rFonts w:ascii="Arial" w:eastAsia="Arial" w:hAnsi="Arial" w:cs="Arial"/>
        </w:rPr>
        <w:t>terrorist resourcing risk</w:t>
      </w:r>
      <w:r w:rsidR="0075445B">
        <w:rPr>
          <w:rFonts w:ascii="Arial" w:eastAsia="Arial" w:hAnsi="Arial" w:cs="Arial"/>
        </w:rPr>
        <w:t xml:space="preserve"> </w:t>
      </w:r>
      <w:r w:rsidR="00634FBA" w:rsidRPr="00A45713">
        <w:rPr>
          <w:rFonts w:ascii="Arial" w:eastAsia="Arial" w:hAnsi="Arial" w:cs="Arial"/>
        </w:rPr>
        <w:t>and fraud control and anti-corruption</w:t>
      </w:r>
      <w:r w:rsidR="00634FBA">
        <w:rPr>
          <w:rFonts w:ascii="Arial" w:eastAsia="Arial" w:hAnsi="Arial" w:cs="Arial"/>
        </w:rPr>
        <w:t xml:space="preserve"> </w:t>
      </w:r>
      <w:r w:rsidR="000B2CCB" w:rsidRPr="00B671E1">
        <w:rPr>
          <w:rFonts w:ascii="Arial" w:eastAsia="Arial" w:hAnsi="Arial" w:cs="Arial"/>
        </w:rPr>
        <w:t xml:space="preserve">are </w:t>
      </w:r>
      <w:r w:rsidR="00DE4C58">
        <w:rPr>
          <w:rFonts w:ascii="Arial" w:eastAsia="Arial" w:hAnsi="Arial" w:cs="Arial"/>
        </w:rPr>
        <w:t>included</w:t>
      </w:r>
      <w:r w:rsidR="000B2CCB" w:rsidRPr="00B671E1">
        <w:rPr>
          <w:rFonts w:ascii="Arial" w:eastAsia="Arial" w:hAnsi="Arial" w:cs="Arial"/>
        </w:rPr>
        <w:t xml:space="preserve"> in </w:t>
      </w:r>
      <w:r w:rsidR="004D7883">
        <w:rPr>
          <w:rFonts w:ascii="Arial" w:eastAsia="Arial" w:hAnsi="Arial" w:cs="Arial"/>
        </w:rPr>
        <w:t>all five</w:t>
      </w:r>
      <w:r w:rsidR="000B2CCB" w:rsidRPr="00B671E1">
        <w:rPr>
          <w:rFonts w:ascii="Arial" w:eastAsia="Arial" w:hAnsi="Arial" w:cs="Arial"/>
        </w:rPr>
        <w:t xml:space="preserve"> </w:t>
      </w:r>
      <w:r w:rsidR="001547DA" w:rsidRPr="00B671E1">
        <w:rPr>
          <w:rFonts w:ascii="Arial" w:eastAsia="Arial" w:hAnsi="Arial" w:cs="Arial"/>
        </w:rPr>
        <w:t>SPFs.</w:t>
      </w:r>
      <w:r>
        <w:rPr>
          <w:rStyle w:val="FootnoteReference"/>
          <w:rFonts w:ascii="Arial" w:eastAsia="Arial" w:hAnsi="Arial" w:cs="Arial"/>
        </w:rPr>
        <w:footnoteReference w:id="26"/>
      </w:r>
      <w:r w:rsidR="000003E0">
        <w:rPr>
          <w:rFonts w:ascii="Arial" w:eastAsia="Arial" w:hAnsi="Arial" w:cs="Arial"/>
        </w:rPr>
        <w:t xml:space="preserve"> </w:t>
      </w:r>
      <w:r w:rsidR="00537093" w:rsidRPr="00DA4158">
        <w:rPr>
          <w:rFonts w:ascii="Arial" w:eastAsia="Arial" w:hAnsi="Arial" w:cs="Arial"/>
        </w:rPr>
        <w:t xml:space="preserve">All five of the SPF’s </w:t>
      </w:r>
      <w:r w:rsidR="007A3E9B" w:rsidRPr="00DA4158">
        <w:rPr>
          <w:rFonts w:ascii="Arial" w:eastAsia="Arial" w:hAnsi="Arial" w:cs="Arial"/>
        </w:rPr>
        <w:t xml:space="preserve">also </w:t>
      </w:r>
      <w:r w:rsidR="00537093" w:rsidRPr="00DA4158">
        <w:rPr>
          <w:rFonts w:ascii="Arial" w:eastAsia="Arial" w:hAnsi="Arial" w:cs="Arial"/>
        </w:rPr>
        <w:t xml:space="preserve">include clauses </w:t>
      </w:r>
      <w:r w:rsidR="007A3E9B" w:rsidRPr="00DA4158">
        <w:rPr>
          <w:rFonts w:ascii="Arial" w:eastAsia="Arial" w:hAnsi="Arial" w:cs="Arial"/>
        </w:rPr>
        <w:t xml:space="preserve">that allow DFAT to </w:t>
      </w:r>
      <w:r w:rsidR="00145797" w:rsidRPr="00DA4158">
        <w:rPr>
          <w:rFonts w:ascii="Arial" w:eastAsia="Arial" w:hAnsi="Arial" w:cs="Arial"/>
        </w:rPr>
        <w:t xml:space="preserve">conduct </w:t>
      </w:r>
      <w:r w:rsidR="00E87E1A" w:rsidRPr="00627F83">
        <w:rPr>
          <w:rFonts w:ascii="Arial" w:eastAsia="Arial" w:hAnsi="Arial" w:cs="Arial"/>
        </w:rPr>
        <w:t>due</w:t>
      </w:r>
      <w:r w:rsidR="005C700B" w:rsidRPr="00627F83">
        <w:rPr>
          <w:rFonts w:ascii="Arial" w:eastAsia="Arial" w:hAnsi="Arial" w:cs="Arial"/>
        </w:rPr>
        <w:t xml:space="preserve"> diligence</w:t>
      </w:r>
      <w:r w:rsidR="005C700B" w:rsidRPr="00DA4158">
        <w:rPr>
          <w:rFonts w:ascii="Arial" w:eastAsia="Arial" w:hAnsi="Arial" w:cs="Arial"/>
        </w:rPr>
        <w:t xml:space="preserve"> assessments every three years</w:t>
      </w:r>
      <w:r w:rsidR="00104524">
        <w:rPr>
          <w:rFonts w:ascii="Arial" w:eastAsia="Arial" w:hAnsi="Arial" w:cs="Arial"/>
        </w:rPr>
        <w:t xml:space="preserve">. Agreements with WFP, </w:t>
      </w:r>
      <w:r w:rsidR="00E665C7">
        <w:rPr>
          <w:rFonts w:ascii="Arial" w:eastAsia="Arial" w:hAnsi="Arial" w:cs="Arial"/>
        </w:rPr>
        <w:t>ICRC</w:t>
      </w:r>
      <w:r w:rsidR="00104524">
        <w:rPr>
          <w:rFonts w:ascii="Arial" w:eastAsia="Arial" w:hAnsi="Arial" w:cs="Arial"/>
        </w:rPr>
        <w:t xml:space="preserve">, </w:t>
      </w:r>
      <w:r w:rsidR="00D07ED0">
        <w:rPr>
          <w:rFonts w:ascii="Arial" w:eastAsia="Arial" w:hAnsi="Arial" w:cs="Arial"/>
        </w:rPr>
        <w:t>OCHA</w:t>
      </w:r>
      <w:r w:rsidR="00866E6E">
        <w:rPr>
          <w:rFonts w:ascii="Arial" w:eastAsia="Arial" w:hAnsi="Arial" w:cs="Arial"/>
        </w:rPr>
        <w:t xml:space="preserve"> and UNHCR</w:t>
      </w:r>
      <w:r w:rsidR="00104524">
        <w:rPr>
          <w:rFonts w:ascii="Arial" w:eastAsia="Arial" w:hAnsi="Arial" w:cs="Arial"/>
        </w:rPr>
        <w:t xml:space="preserve">, allow for </w:t>
      </w:r>
      <w:r w:rsidR="00DA4158" w:rsidRPr="00DA4158">
        <w:rPr>
          <w:rFonts w:ascii="Arial" w:eastAsia="Arial" w:hAnsi="Arial" w:cs="Arial"/>
        </w:rPr>
        <w:t>earlier</w:t>
      </w:r>
      <w:r w:rsidR="00FF4EAE">
        <w:rPr>
          <w:rFonts w:ascii="Arial" w:eastAsia="Arial" w:hAnsi="Arial" w:cs="Arial"/>
        </w:rPr>
        <w:t xml:space="preserve"> assessments</w:t>
      </w:r>
      <w:r w:rsidR="00DA4158" w:rsidRPr="00DA4158">
        <w:rPr>
          <w:rFonts w:ascii="Arial" w:eastAsia="Arial" w:hAnsi="Arial" w:cs="Arial"/>
        </w:rPr>
        <w:t xml:space="preserve"> if there</w:t>
      </w:r>
      <w:r w:rsidR="007F3D64">
        <w:rPr>
          <w:rFonts w:ascii="Arial" w:eastAsia="Arial" w:hAnsi="Arial" w:cs="Arial"/>
        </w:rPr>
        <w:t xml:space="preserve"> is a </w:t>
      </w:r>
      <w:r w:rsidR="00652952">
        <w:rPr>
          <w:rFonts w:ascii="Arial" w:eastAsia="Arial" w:hAnsi="Arial" w:cs="Arial"/>
        </w:rPr>
        <w:t xml:space="preserve">“significant change to </w:t>
      </w:r>
      <w:r w:rsidR="00C0472C">
        <w:rPr>
          <w:rFonts w:ascii="Arial" w:eastAsia="Arial" w:hAnsi="Arial" w:cs="Arial"/>
        </w:rPr>
        <w:t>[SPF partner</w:t>
      </w:r>
      <w:r w:rsidR="00D7414C">
        <w:rPr>
          <w:rFonts w:ascii="Arial" w:eastAsia="Arial" w:hAnsi="Arial" w:cs="Arial"/>
        </w:rPr>
        <w:t>’</w:t>
      </w:r>
      <w:r w:rsidR="00C0472C">
        <w:rPr>
          <w:rFonts w:ascii="Arial" w:eastAsia="Arial" w:hAnsi="Arial" w:cs="Arial"/>
        </w:rPr>
        <w:t xml:space="preserve">s] </w:t>
      </w:r>
      <w:r>
        <w:rPr>
          <w:rFonts w:ascii="Arial" w:eastAsia="Arial" w:hAnsi="Arial" w:cs="Arial"/>
        </w:rPr>
        <w:t>procedures and controls or operating environment.”</w:t>
      </w:r>
      <w:r w:rsidR="00FF4EAE">
        <w:rPr>
          <w:rStyle w:val="FootnoteReference"/>
          <w:rFonts w:ascii="Arial" w:eastAsia="Arial" w:hAnsi="Arial" w:cs="Arial"/>
        </w:rPr>
        <w:footnoteReference w:id="27"/>
      </w:r>
      <w:r w:rsidR="00EE3CFB">
        <w:rPr>
          <w:rFonts w:ascii="Arial" w:eastAsia="Arial" w:hAnsi="Arial" w:cs="Arial"/>
        </w:rPr>
        <w:t xml:space="preserve"> </w:t>
      </w:r>
    </w:p>
    <w:p w14:paraId="61F362DE" w14:textId="1255D40A" w:rsidR="0053362B" w:rsidRPr="0053362B" w:rsidRDefault="0053362B" w:rsidP="00E17D1A">
      <w:pPr>
        <w:pStyle w:val="ListParagraph"/>
        <w:numPr>
          <w:ilvl w:val="1"/>
          <w:numId w:val="10"/>
        </w:numPr>
        <w:spacing w:before="240"/>
        <w:rPr>
          <w:rFonts w:ascii="Arial" w:eastAsia="Arial" w:hAnsi="Arial" w:cs="Arial"/>
          <w:b/>
          <w:bCs/>
        </w:rPr>
      </w:pPr>
      <w:r w:rsidRPr="0053362B">
        <w:rPr>
          <w:rFonts w:ascii="Arial" w:eastAsia="Arial" w:hAnsi="Arial" w:cs="Arial"/>
          <w:b/>
          <w:bCs/>
        </w:rPr>
        <w:t xml:space="preserve">To what extent are the current SPFs and their EOL templates aligned with DFAT’s internal legal and reporting requirements? </w:t>
      </w:r>
    </w:p>
    <w:p w14:paraId="52508CF5" w14:textId="0D053C26" w:rsidR="002B60CB" w:rsidRDefault="00D85F49" w:rsidP="00AE545B">
      <w:pPr>
        <w:spacing w:before="240"/>
        <w:rPr>
          <w:rFonts w:ascii="Arial" w:eastAsia="Arial" w:hAnsi="Arial" w:cs="Arial"/>
        </w:rPr>
      </w:pPr>
      <w:r>
        <w:rPr>
          <w:rFonts w:ascii="Arial" w:eastAsia="Arial" w:hAnsi="Arial" w:cs="Arial"/>
        </w:rPr>
        <w:t xml:space="preserve">As above, </w:t>
      </w:r>
      <w:r w:rsidR="002B60CB">
        <w:rPr>
          <w:rFonts w:ascii="Arial" w:eastAsia="Arial" w:hAnsi="Arial" w:cs="Arial"/>
        </w:rPr>
        <w:t xml:space="preserve">SPFs </w:t>
      </w:r>
      <w:r w:rsidR="002B60CB" w:rsidRPr="00732F4F">
        <w:rPr>
          <w:rFonts w:ascii="Arial" w:eastAsia="Arial" w:hAnsi="Arial" w:cs="Arial"/>
        </w:rPr>
        <w:t xml:space="preserve">and EOLs </w:t>
      </w:r>
      <w:r w:rsidR="00FD2A58" w:rsidRPr="00732F4F">
        <w:rPr>
          <w:rFonts w:ascii="Arial" w:eastAsia="Arial" w:hAnsi="Arial" w:cs="Arial"/>
        </w:rPr>
        <w:t xml:space="preserve">mostly align with </w:t>
      </w:r>
      <w:r w:rsidR="00FC5555" w:rsidRPr="00732F4F">
        <w:rPr>
          <w:rFonts w:ascii="Arial" w:eastAsia="Arial" w:hAnsi="Arial" w:cs="Arial"/>
        </w:rPr>
        <w:t xml:space="preserve">DFAT reporting </w:t>
      </w:r>
      <w:r w:rsidR="004C4D25" w:rsidRPr="00732F4F">
        <w:rPr>
          <w:rFonts w:ascii="Arial" w:eastAsia="Arial" w:hAnsi="Arial" w:cs="Arial"/>
        </w:rPr>
        <w:t xml:space="preserve">requirements on fraud and </w:t>
      </w:r>
      <w:r w:rsidRPr="00732F4F">
        <w:rPr>
          <w:rFonts w:ascii="Arial" w:eastAsia="Arial" w:hAnsi="Arial" w:cs="Arial"/>
        </w:rPr>
        <w:t>P</w:t>
      </w:r>
      <w:r w:rsidR="005645D3" w:rsidRPr="00732F4F">
        <w:rPr>
          <w:rFonts w:ascii="Arial" w:eastAsia="Arial" w:hAnsi="Arial" w:cs="Arial"/>
        </w:rPr>
        <w:t>SEAH</w:t>
      </w:r>
      <w:r w:rsidR="0085618A" w:rsidRPr="00732F4F">
        <w:rPr>
          <w:rFonts w:ascii="Arial" w:eastAsia="Arial" w:hAnsi="Arial" w:cs="Arial"/>
        </w:rPr>
        <w:t>, child abuse and terrorism resourcing</w:t>
      </w:r>
      <w:r w:rsidR="00AC5E4E" w:rsidRPr="00732F4F">
        <w:rPr>
          <w:rFonts w:ascii="Arial" w:eastAsia="Arial" w:hAnsi="Arial" w:cs="Arial"/>
        </w:rPr>
        <w:t xml:space="preserve"> risk</w:t>
      </w:r>
      <w:r w:rsidR="00071AE7" w:rsidRPr="00732F4F">
        <w:rPr>
          <w:rFonts w:ascii="Arial" w:eastAsia="Arial" w:hAnsi="Arial" w:cs="Arial"/>
        </w:rPr>
        <w:t>.</w:t>
      </w:r>
      <w:r w:rsidR="00071AE7">
        <w:rPr>
          <w:rFonts w:ascii="Arial" w:eastAsia="Arial" w:hAnsi="Arial" w:cs="Arial"/>
        </w:rPr>
        <w:t xml:space="preserve"> </w:t>
      </w:r>
    </w:p>
    <w:p w14:paraId="5A4E9154" w14:textId="3EAB26A3" w:rsidR="0053362B" w:rsidRPr="0053362B" w:rsidRDefault="0053362B" w:rsidP="00E17D1A">
      <w:pPr>
        <w:pStyle w:val="ListParagraph"/>
        <w:numPr>
          <w:ilvl w:val="1"/>
          <w:numId w:val="10"/>
        </w:numPr>
        <w:spacing w:before="240"/>
        <w:rPr>
          <w:rFonts w:ascii="Arial" w:eastAsia="Arial" w:hAnsi="Arial" w:cs="Arial"/>
          <w:b/>
          <w:bCs/>
        </w:rPr>
      </w:pPr>
      <w:r w:rsidRPr="0053362B">
        <w:rPr>
          <w:rFonts w:ascii="Arial" w:eastAsia="Arial" w:hAnsi="Arial" w:cs="Arial"/>
          <w:b/>
          <w:bCs/>
        </w:rPr>
        <w:t xml:space="preserve">What changes may be needed to ensure SPFs remain flexible and adaptable to broader DFAT international development and humanitarian policies, priorities and commitments, in Australia’s national interest? </w:t>
      </w:r>
    </w:p>
    <w:p w14:paraId="020913BB" w14:textId="2CF79D86" w:rsidR="0051606F" w:rsidRDefault="003E0DA8" w:rsidP="00F733C3">
      <w:pPr>
        <w:spacing w:before="240"/>
        <w:rPr>
          <w:rFonts w:ascii="Arial" w:eastAsia="Arial" w:hAnsi="Arial" w:cs="Arial"/>
        </w:rPr>
      </w:pPr>
      <w:r>
        <w:rPr>
          <w:rFonts w:ascii="Arial" w:eastAsia="Arial" w:hAnsi="Arial" w:cs="Arial"/>
        </w:rPr>
        <w:t>The current SPFs</w:t>
      </w:r>
      <w:r w:rsidR="00B301E0">
        <w:rPr>
          <w:rFonts w:ascii="Arial" w:eastAsia="Arial" w:hAnsi="Arial" w:cs="Arial"/>
        </w:rPr>
        <w:t xml:space="preserve"> include a list </w:t>
      </w:r>
      <w:r w:rsidR="00B301E0" w:rsidRPr="00593CF8">
        <w:rPr>
          <w:rFonts w:ascii="Arial" w:eastAsia="Arial" w:hAnsi="Arial" w:cs="Arial"/>
        </w:rPr>
        <w:t xml:space="preserve">of </w:t>
      </w:r>
      <w:r w:rsidR="00B301E0" w:rsidRPr="00394B49">
        <w:rPr>
          <w:rFonts w:ascii="Arial" w:eastAsia="Arial" w:hAnsi="Arial" w:cs="Arial"/>
        </w:rPr>
        <w:t>Australia’s strategic priorities</w:t>
      </w:r>
      <w:r w:rsidR="00A60BA5" w:rsidRPr="00593CF8">
        <w:rPr>
          <w:rFonts w:ascii="Arial" w:eastAsia="Arial" w:hAnsi="Arial" w:cs="Arial"/>
        </w:rPr>
        <w:t xml:space="preserve"> </w:t>
      </w:r>
      <w:r w:rsidR="00B953B1" w:rsidRPr="00593CF8">
        <w:rPr>
          <w:rFonts w:ascii="Arial" w:eastAsia="Arial" w:hAnsi="Arial" w:cs="Arial"/>
        </w:rPr>
        <w:t>and a</w:t>
      </w:r>
      <w:r w:rsidR="00A60BA5" w:rsidRPr="00593CF8">
        <w:rPr>
          <w:rFonts w:ascii="Arial" w:eastAsia="Arial" w:hAnsi="Arial" w:cs="Arial"/>
        </w:rPr>
        <w:t xml:space="preserve"> list of </w:t>
      </w:r>
      <w:r w:rsidR="00F66A31">
        <w:rPr>
          <w:rFonts w:ascii="Arial" w:eastAsia="Arial" w:hAnsi="Arial" w:cs="Arial"/>
        </w:rPr>
        <w:t>s</w:t>
      </w:r>
      <w:r w:rsidR="00A60BA5" w:rsidRPr="00394B49">
        <w:rPr>
          <w:rFonts w:ascii="Arial" w:eastAsia="Arial" w:hAnsi="Arial" w:cs="Arial"/>
        </w:rPr>
        <w:t xml:space="preserve">hared partnership objectives and deliverables </w:t>
      </w:r>
      <w:r w:rsidR="00A60BA5" w:rsidRPr="00593CF8">
        <w:rPr>
          <w:rFonts w:ascii="Arial" w:eastAsia="Arial" w:hAnsi="Arial" w:cs="Arial"/>
        </w:rPr>
        <w:t xml:space="preserve">that </w:t>
      </w:r>
      <w:r w:rsidR="004474F6" w:rsidRPr="00593CF8">
        <w:rPr>
          <w:rFonts w:ascii="Arial" w:eastAsia="Arial" w:hAnsi="Arial" w:cs="Arial"/>
        </w:rPr>
        <w:t xml:space="preserve">were negotiated separately </w:t>
      </w:r>
      <w:r w:rsidR="00A60BA5" w:rsidRPr="00593CF8">
        <w:rPr>
          <w:rFonts w:ascii="Arial" w:eastAsia="Arial" w:hAnsi="Arial" w:cs="Arial"/>
        </w:rPr>
        <w:t>with each partner.</w:t>
      </w:r>
      <w:r w:rsidRPr="00593CF8">
        <w:rPr>
          <w:rFonts w:ascii="Arial" w:eastAsia="Arial" w:hAnsi="Arial" w:cs="Arial"/>
        </w:rPr>
        <w:t xml:space="preserve"> </w:t>
      </w:r>
      <w:r w:rsidR="00222F20" w:rsidRPr="00593CF8">
        <w:rPr>
          <w:rFonts w:ascii="Arial" w:eastAsia="Arial" w:hAnsi="Arial" w:cs="Arial"/>
        </w:rPr>
        <w:t xml:space="preserve">These lists reflect </w:t>
      </w:r>
      <w:r w:rsidR="003F6328" w:rsidRPr="00593CF8">
        <w:rPr>
          <w:rFonts w:ascii="Arial" w:eastAsia="Arial" w:hAnsi="Arial" w:cs="Arial"/>
        </w:rPr>
        <w:t>pre-existing</w:t>
      </w:r>
      <w:r w:rsidR="003875E2" w:rsidRPr="00593CF8">
        <w:rPr>
          <w:rFonts w:ascii="Arial" w:eastAsia="Arial" w:hAnsi="Arial" w:cs="Arial"/>
        </w:rPr>
        <w:t xml:space="preserve"> priorities of Australia and </w:t>
      </w:r>
      <w:r w:rsidR="00D0135A" w:rsidRPr="00593CF8">
        <w:rPr>
          <w:rFonts w:ascii="Arial" w:eastAsia="Arial" w:hAnsi="Arial" w:cs="Arial"/>
        </w:rPr>
        <w:t>each</w:t>
      </w:r>
      <w:r w:rsidR="003875E2" w:rsidRPr="00593CF8">
        <w:rPr>
          <w:rFonts w:ascii="Arial" w:eastAsia="Arial" w:hAnsi="Arial" w:cs="Arial"/>
        </w:rPr>
        <w:t xml:space="preserve"> </w:t>
      </w:r>
      <w:proofErr w:type="gramStart"/>
      <w:r w:rsidR="00A9117C" w:rsidRPr="00593CF8">
        <w:rPr>
          <w:rFonts w:ascii="Arial" w:eastAsia="Arial" w:hAnsi="Arial" w:cs="Arial"/>
        </w:rPr>
        <w:t>agency</w:t>
      </w:r>
      <w:r w:rsidR="00134F13" w:rsidRPr="00593CF8">
        <w:rPr>
          <w:rFonts w:ascii="Arial" w:eastAsia="Arial" w:hAnsi="Arial" w:cs="Arial"/>
        </w:rPr>
        <w:t>, and</w:t>
      </w:r>
      <w:proofErr w:type="gramEnd"/>
      <w:r w:rsidR="00134F13" w:rsidRPr="00593CF8">
        <w:rPr>
          <w:rFonts w:ascii="Arial" w:eastAsia="Arial" w:hAnsi="Arial" w:cs="Arial"/>
        </w:rPr>
        <w:t xml:space="preserve"> h</w:t>
      </w:r>
      <w:r w:rsidR="00134F13">
        <w:rPr>
          <w:rFonts w:ascii="Arial" w:eastAsia="Arial" w:hAnsi="Arial" w:cs="Arial"/>
        </w:rPr>
        <w:t xml:space="preserve">ave </w:t>
      </w:r>
      <w:r w:rsidR="000B3DCC">
        <w:rPr>
          <w:rFonts w:ascii="Arial" w:eastAsia="Arial" w:hAnsi="Arial" w:cs="Arial"/>
        </w:rPr>
        <w:t xml:space="preserve">been effective in enabling </w:t>
      </w:r>
      <w:r w:rsidR="00D7414C">
        <w:rPr>
          <w:rFonts w:ascii="Arial" w:eastAsia="Arial" w:hAnsi="Arial" w:cs="Arial"/>
        </w:rPr>
        <w:t>SPFs</w:t>
      </w:r>
      <w:r w:rsidR="00A9117C">
        <w:rPr>
          <w:rFonts w:ascii="Arial" w:eastAsia="Arial" w:hAnsi="Arial" w:cs="Arial"/>
        </w:rPr>
        <w:t xml:space="preserve"> to</w:t>
      </w:r>
      <w:r w:rsidR="000A403D">
        <w:rPr>
          <w:rFonts w:ascii="Arial" w:eastAsia="Arial" w:hAnsi="Arial" w:cs="Arial"/>
        </w:rPr>
        <w:t xml:space="preserve"> </w:t>
      </w:r>
      <w:r w:rsidR="00CB7803">
        <w:rPr>
          <w:rFonts w:ascii="Arial" w:eastAsia="Arial" w:hAnsi="Arial" w:cs="Arial"/>
        </w:rPr>
        <w:t>progress the various mandates and priorities of each partner.</w:t>
      </w:r>
      <w:r w:rsidR="00F733C3" w:rsidRPr="00F733C3">
        <w:rPr>
          <w:rFonts w:ascii="Arial" w:eastAsia="Arial" w:hAnsi="Arial" w:cs="Arial"/>
        </w:rPr>
        <w:t xml:space="preserve"> </w:t>
      </w:r>
      <w:r w:rsidR="00C0021A">
        <w:rPr>
          <w:rFonts w:ascii="Arial" w:eastAsia="Arial" w:hAnsi="Arial" w:cs="Arial"/>
        </w:rPr>
        <w:t xml:space="preserve">DFAT officers reported that these agreed clauses within SPFs were useful when advocating with partners to address policy priorities. </w:t>
      </w:r>
      <w:r w:rsidR="00F733C3" w:rsidRPr="0053362B">
        <w:rPr>
          <w:rFonts w:ascii="Arial" w:eastAsia="Arial" w:hAnsi="Arial" w:cs="Arial"/>
        </w:rPr>
        <w:t>There were no reports that DFAT was restricted in progressing a policy priority with a partner due to policy misalignment in an SPF or EOL.</w:t>
      </w:r>
      <w:r w:rsidR="00F733C3">
        <w:rPr>
          <w:rStyle w:val="FootnoteReference"/>
          <w:rFonts w:ascii="Arial" w:eastAsia="Arial" w:hAnsi="Arial" w:cs="Arial"/>
        </w:rPr>
        <w:footnoteReference w:id="28"/>
      </w:r>
      <w:r w:rsidR="00F733C3" w:rsidRPr="0053362B">
        <w:rPr>
          <w:rFonts w:ascii="Arial" w:eastAsia="Arial" w:hAnsi="Arial" w:cs="Arial"/>
        </w:rPr>
        <w:t xml:space="preserve"> </w:t>
      </w:r>
    </w:p>
    <w:p w14:paraId="730B4580" w14:textId="320667FA" w:rsidR="00F733C3" w:rsidRPr="0053362B" w:rsidRDefault="00F733C3" w:rsidP="00F733C3">
      <w:pPr>
        <w:spacing w:before="240"/>
        <w:rPr>
          <w:rFonts w:ascii="Arial" w:eastAsia="Arial" w:hAnsi="Arial" w:cs="Arial"/>
        </w:rPr>
      </w:pPr>
      <w:r>
        <w:rPr>
          <w:rFonts w:ascii="Arial" w:eastAsia="Arial" w:hAnsi="Arial" w:cs="Arial"/>
        </w:rPr>
        <w:t xml:space="preserve">Combined with the analysis in </w:t>
      </w:r>
      <w:r w:rsidR="00134F13">
        <w:rPr>
          <w:rFonts w:ascii="Arial" w:eastAsia="Arial" w:hAnsi="Arial" w:cs="Arial"/>
        </w:rPr>
        <w:t>KEQ</w:t>
      </w:r>
      <w:r>
        <w:rPr>
          <w:rFonts w:ascii="Arial" w:eastAsia="Arial" w:hAnsi="Arial" w:cs="Arial"/>
        </w:rPr>
        <w:t xml:space="preserve">1.1 </w:t>
      </w:r>
      <w:r w:rsidRPr="00345BDB">
        <w:rPr>
          <w:rFonts w:ascii="Arial" w:eastAsia="Arial" w:hAnsi="Arial" w:cs="Arial"/>
        </w:rPr>
        <w:t xml:space="preserve">above, this indicates no changes are needed for the purpose of flexibility and adaptability of the SPFs and EOLs. </w:t>
      </w:r>
      <w:r w:rsidR="00B62A67" w:rsidRPr="00345BDB">
        <w:rPr>
          <w:rFonts w:ascii="Arial" w:eastAsia="Arial" w:hAnsi="Arial" w:cs="Arial"/>
        </w:rPr>
        <w:t xml:space="preserve">The challenge may be to maintain the existing flexibility in any updates to the SPFs. </w:t>
      </w:r>
      <w:r w:rsidR="00627F83" w:rsidRPr="00345BDB">
        <w:rPr>
          <w:rFonts w:ascii="Arial" w:eastAsia="Arial" w:hAnsi="Arial" w:cs="Arial"/>
        </w:rPr>
        <w:t xml:space="preserve">To align </w:t>
      </w:r>
      <w:r w:rsidR="000921E0" w:rsidRPr="00345BDB">
        <w:rPr>
          <w:rFonts w:ascii="Arial" w:eastAsia="Arial" w:hAnsi="Arial" w:cs="Arial"/>
        </w:rPr>
        <w:t xml:space="preserve">more specifically </w:t>
      </w:r>
      <w:r w:rsidR="00627F83" w:rsidRPr="00345BDB">
        <w:rPr>
          <w:rFonts w:ascii="Arial" w:eastAsia="Arial" w:hAnsi="Arial" w:cs="Arial"/>
        </w:rPr>
        <w:t xml:space="preserve">with DFAT’s updated policies, </w:t>
      </w:r>
      <w:r w:rsidRPr="00345BDB">
        <w:rPr>
          <w:rFonts w:ascii="Arial" w:eastAsia="Arial" w:hAnsi="Arial" w:cs="Arial"/>
        </w:rPr>
        <w:t xml:space="preserve">SPFs and EOLs </w:t>
      </w:r>
      <w:r w:rsidR="00472C7C" w:rsidRPr="00345BDB">
        <w:rPr>
          <w:rFonts w:ascii="Arial" w:eastAsia="Arial" w:hAnsi="Arial" w:cs="Arial"/>
        </w:rPr>
        <w:t xml:space="preserve">may </w:t>
      </w:r>
      <w:r w:rsidRPr="00345BDB">
        <w:rPr>
          <w:rFonts w:ascii="Arial" w:eastAsia="Arial" w:hAnsi="Arial" w:cs="Arial"/>
        </w:rPr>
        <w:lastRenderedPageBreak/>
        <w:t xml:space="preserve">benefit from removing references to </w:t>
      </w:r>
      <w:r w:rsidR="00472C7C" w:rsidRPr="00345BDB">
        <w:rPr>
          <w:rFonts w:ascii="Arial" w:eastAsia="Arial" w:hAnsi="Arial" w:cs="Arial"/>
        </w:rPr>
        <w:t xml:space="preserve">superseded </w:t>
      </w:r>
      <w:r w:rsidRPr="00345BDB">
        <w:rPr>
          <w:rFonts w:ascii="Arial" w:eastAsia="Arial" w:hAnsi="Arial" w:cs="Arial"/>
        </w:rPr>
        <w:t xml:space="preserve">policies such </w:t>
      </w:r>
      <w:r w:rsidR="00472C7C" w:rsidRPr="00345BDB">
        <w:rPr>
          <w:rFonts w:ascii="Arial" w:eastAsia="Arial" w:hAnsi="Arial" w:cs="Arial"/>
        </w:rPr>
        <w:t xml:space="preserve">as the </w:t>
      </w:r>
      <w:r w:rsidRPr="00345BDB">
        <w:rPr>
          <w:rFonts w:ascii="Arial" w:eastAsia="Arial" w:hAnsi="Arial" w:cs="Arial"/>
        </w:rPr>
        <w:t xml:space="preserve">response to COVID-19 and </w:t>
      </w:r>
      <w:r w:rsidRPr="00345BDB">
        <w:rPr>
          <w:rFonts w:ascii="Arial" w:eastAsia="Arial" w:hAnsi="Arial" w:cs="Arial"/>
          <w:i/>
          <w:iCs/>
        </w:rPr>
        <w:t xml:space="preserve">Partnerships for </w:t>
      </w:r>
      <w:proofErr w:type="gramStart"/>
      <w:r w:rsidR="00B62A67" w:rsidRPr="00345BDB">
        <w:rPr>
          <w:rFonts w:ascii="Arial" w:eastAsia="Arial" w:hAnsi="Arial" w:cs="Arial"/>
          <w:i/>
          <w:iCs/>
        </w:rPr>
        <w:t>Recovery</w:t>
      </w:r>
      <w:r w:rsidR="00134F13" w:rsidRPr="00345BDB">
        <w:rPr>
          <w:rFonts w:ascii="Arial" w:eastAsia="Arial" w:hAnsi="Arial" w:cs="Arial"/>
          <w:i/>
          <w:iCs/>
        </w:rPr>
        <w:t>,</w:t>
      </w:r>
      <w:r w:rsidR="00B62A67" w:rsidRPr="00345BDB">
        <w:rPr>
          <w:rFonts w:ascii="Arial" w:eastAsia="Arial" w:hAnsi="Arial" w:cs="Arial"/>
        </w:rPr>
        <w:t xml:space="preserve"> and</w:t>
      </w:r>
      <w:proofErr w:type="gramEnd"/>
      <w:r w:rsidR="00627F83" w:rsidRPr="00345BDB">
        <w:rPr>
          <w:rFonts w:ascii="Arial" w:eastAsia="Arial" w:hAnsi="Arial" w:cs="Arial"/>
        </w:rPr>
        <w:t xml:space="preserve"> conside</w:t>
      </w:r>
      <w:r w:rsidR="009E5B99" w:rsidRPr="00345BDB">
        <w:rPr>
          <w:rFonts w:ascii="Arial" w:eastAsia="Arial" w:hAnsi="Arial" w:cs="Arial"/>
        </w:rPr>
        <w:t>r</w:t>
      </w:r>
      <w:r w:rsidR="00627F83" w:rsidRPr="00345BDB">
        <w:rPr>
          <w:rFonts w:ascii="Arial" w:eastAsia="Arial" w:hAnsi="Arial" w:cs="Arial"/>
        </w:rPr>
        <w:t xml:space="preserve"> the inclusion of priorities related to </w:t>
      </w:r>
      <w:r w:rsidR="00CA5772" w:rsidRPr="00345BDB">
        <w:rPr>
          <w:rFonts w:ascii="Arial" w:eastAsia="Arial" w:hAnsi="Arial" w:cs="Arial"/>
        </w:rPr>
        <w:t xml:space="preserve">Australia’s </w:t>
      </w:r>
      <w:r w:rsidR="00627F83" w:rsidRPr="00345BDB">
        <w:rPr>
          <w:rFonts w:ascii="Arial" w:eastAsia="Arial" w:hAnsi="Arial" w:cs="Arial"/>
        </w:rPr>
        <w:t>First Nations</w:t>
      </w:r>
      <w:r w:rsidR="009E5B99" w:rsidRPr="00345BDB">
        <w:rPr>
          <w:rFonts w:ascii="Arial" w:eastAsia="Arial" w:hAnsi="Arial" w:cs="Arial"/>
        </w:rPr>
        <w:t xml:space="preserve"> </w:t>
      </w:r>
      <w:r w:rsidR="00CA5772" w:rsidRPr="00345BDB">
        <w:rPr>
          <w:rFonts w:ascii="Arial" w:eastAsia="Arial" w:hAnsi="Arial" w:cs="Arial"/>
        </w:rPr>
        <w:t>approach to foreign policy</w:t>
      </w:r>
      <w:r w:rsidR="00134F13" w:rsidRPr="00345BDB">
        <w:rPr>
          <w:rFonts w:ascii="Arial" w:eastAsia="Arial" w:hAnsi="Arial" w:cs="Arial"/>
        </w:rPr>
        <w:t>, alongside</w:t>
      </w:r>
      <w:r w:rsidR="00627F83" w:rsidRPr="00345BDB">
        <w:rPr>
          <w:rFonts w:ascii="Arial" w:eastAsia="Arial" w:hAnsi="Arial" w:cs="Arial"/>
        </w:rPr>
        <w:t xml:space="preserve"> climate change</w:t>
      </w:r>
      <w:r w:rsidR="00CA5772" w:rsidRPr="00345BDB">
        <w:rPr>
          <w:rFonts w:ascii="Arial" w:eastAsia="Arial" w:hAnsi="Arial" w:cs="Arial"/>
        </w:rPr>
        <w:t xml:space="preserve"> commitments</w:t>
      </w:r>
      <w:r w:rsidRPr="00345BDB">
        <w:rPr>
          <w:rFonts w:ascii="Arial" w:eastAsia="Arial" w:hAnsi="Arial" w:cs="Arial"/>
        </w:rPr>
        <w:t>.</w:t>
      </w:r>
      <w:r w:rsidRPr="0053362B">
        <w:rPr>
          <w:rFonts w:ascii="Arial" w:eastAsia="Arial" w:hAnsi="Arial" w:cs="Arial"/>
        </w:rPr>
        <w:t xml:space="preserve"> </w:t>
      </w:r>
    </w:p>
    <w:p w14:paraId="50D45B0C" w14:textId="30D2B128" w:rsidR="00F536B7" w:rsidRDefault="00F536B7" w:rsidP="00F536B7">
      <w:pPr>
        <w:pStyle w:val="Heading1"/>
        <w:rPr>
          <w:rFonts w:eastAsia="Arial"/>
        </w:rPr>
      </w:pPr>
      <w:bookmarkStart w:id="18" w:name="_Toc201437958"/>
      <w:bookmarkStart w:id="19" w:name="_Toc201438373"/>
      <w:r w:rsidRPr="1C3620C9">
        <w:rPr>
          <w:rFonts w:eastAsia="Arial"/>
        </w:rPr>
        <w:t>K</w:t>
      </w:r>
      <w:r>
        <w:rPr>
          <w:rFonts w:eastAsia="Arial"/>
        </w:rPr>
        <w:t>ey evaluation question 2</w:t>
      </w:r>
      <w:r w:rsidR="00CA1C6F">
        <w:rPr>
          <w:rFonts w:eastAsia="Arial"/>
        </w:rPr>
        <w:t>: Effectiveness</w:t>
      </w:r>
      <w:bookmarkEnd w:id="18"/>
      <w:bookmarkEnd w:id="19"/>
      <w:r w:rsidRPr="1C3620C9">
        <w:rPr>
          <w:rFonts w:eastAsia="Arial"/>
        </w:rPr>
        <w:t xml:space="preserve"> </w:t>
      </w:r>
    </w:p>
    <w:p w14:paraId="625868DE" w14:textId="0FB18A26" w:rsidR="0053362B" w:rsidRPr="008E5311" w:rsidRDefault="0053362B" w:rsidP="0053362B">
      <w:pPr>
        <w:pStyle w:val="Heading3NOTOC"/>
        <w:rPr>
          <w:rFonts w:eastAsia="Arial"/>
          <w:color w:val="auto"/>
        </w:rPr>
      </w:pPr>
      <w:r w:rsidRPr="008E5311">
        <w:rPr>
          <w:rFonts w:eastAsia="Arial"/>
          <w:color w:val="auto"/>
        </w:rPr>
        <w:t xml:space="preserve">To what extent are the SPFs shared partnership objectives and deliverables being progressed? </w:t>
      </w:r>
    </w:p>
    <w:p w14:paraId="1A3CF202" w14:textId="3B10D612" w:rsidR="00475447" w:rsidRDefault="00475447" w:rsidP="00475447">
      <w:pPr>
        <w:spacing w:before="240"/>
        <w:rPr>
          <w:rFonts w:ascii="Arial" w:eastAsia="Arial" w:hAnsi="Arial" w:cs="Arial"/>
        </w:rPr>
      </w:pPr>
      <w:r w:rsidRPr="00475447">
        <w:rPr>
          <w:rFonts w:ascii="Arial" w:eastAsia="Arial" w:hAnsi="Arial" w:cs="Arial"/>
        </w:rPr>
        <w:t xml:space="preserve">There is </w:t>
      </w:r>
      <w:r w:rsidR="009462E3">
        <w:rPr>
          <w:rFonts w:ascii="Arial" w:eastAsia="Arial" w:hAnsi="Arial" w:cs="Arial"/>
        </w:rPr>
        <w:t xml:space="preserve">strong </w:t>
      </w:r>
      <w:r w:rsidRPr="00475447">
        <w:rPr>
          <w:rFonts w:ascii="Arial" w:eastAsia="Arial" w:hAnsi="Arial" w:cs="Arial"/>
        </w:rPr>
        <w:t xml:space="preserve">evidence of </w:t>
      </w:r>
      <w:r w:rsidR="00A0566C">
        <w:rPr>
          <w:rFonts w:ascii="Arial" w:eastAsia="Arial" w:hAnsi="Arial" w:cs="Arial"/>
        </w:rPr>
        <w:t xml:space="preserve">activities to </w:t>
      </w:r>
      <w:proofErr w:type="gramStart"/>
      <w:r w:rsidRPr="00475447">
        <w:rPr>
          <w:rFonts w:ascii="Arial" w:eastAsia="Arial" w:hAnsi="Arial" w:cs="Arial"/>
        </w:rPr>
        <w:t xml:space="preserve">progress  </w:t>
      </w:r>
      <w:r w:rsidR="00C63719">
        <w:rPr>
          <w:rFonts w:ascii="Arial" w:eastAsia="Arial" w:hAnsi="Arial" w:cs="Arial"/>
        </w:rPr>
        <w:t>many</w:t>
      </w:r>
      <w:proofErr w:type="gramEnd"/>
      <w:r w:rsidR="00C63719">
        <w:rPr>
          <w:rFonts w:ascii="Arial" w:eastAsia="Arial" w:hAnsi="Arial" w:cs="Arial"/>
        </w:rPr>
        <w:t xml:space="preserve"> of the </w:t>
      </w:r>
      <w:r w:rsidRPr="00475447">
        <w:rPr>
          <w:rFonts w:ascii="Arial" w:eastAsia="Arial" w:hAnsi="Arial" w:cs="Arial"/>
        </w:rPr>
        <w:t>SPF shared partnership objectives and deliverables</w:t>
      </w:r>
      <w:r w:rsidR="00435072">
        <w:rPr>
          <w:rFonts w:ascii="Arial" w:eastAsia="Arial" w:hAnsi="Arial" w:cs="Arial"/>
        </w:rPr>
        <w:t>. V</w:t>
      </w:r>
      <w:r w:rsidRPr="00475447">
        <w:rPr>
          <w:rFonts w:ascii="Arial" w:eastAsia="Arial" w:hAnsi="Arial" w:cs="Arial"/>
        </w:rPr>
        <w:t xml:space="preserve">ariation in data availability </w:t>
      </w:r>
      <w:r w:rsidR="00435072">
        <w:rPr>
          <w:rFonts w:ascii="Arial" w:eastAsia="Arial" w:hAnsi="Arial" w:cs="Arial"/>
        </w:rPr>
        <w:t xml:space="preserve">and reporting </w:t>
      </w:r>
      <w:r w:rsidRPr="00475447">
        <w:rPr>
          <w:rFonts w:ascii="Arial" w:eastAsia="Arial" w:hAnsi="Arial" w:cs="Arial"/>
        </w:rPr>
        <w:t xml:space="preserve">limits robust assessment of the </w:t>
      </w:r>
      <w:r w:rsidR="0013094B">
        <w:rPr>
          <w:rFonts w:ascii="Arial" w:eastAsia="Arial" w:hAnsi="Arial" w:cs="Arial"/>
        </w:rPr>
        <w:t>extent</w:t>
      </w:r>
      <w:r w:rsidRPr="00475447">
        <w:rPr>
          <w:rFonts w:ascii="Arial" w:eastAsia="Arial" w:hAnsi="Arial" w:cs="Arial"/>
        </w:rPr>
        <w:t xml:space="preserve"> of this progress.</w:t>
      </w:r>
      <w:r w:rsidR="00024BA0">
        <w:rPr>
          <w:rFonts w:ascii="Arial" w:eastAsia="Arial" w:hAnsi="Arial" w:cs="Arial"/>
        </w:rPr>
        <w:t xml:space="preserve"> </w:t>
      </w:r>
      <w:r w:rsidR="00AA6030">
        <w:rPr>
          <w:rFonts w:ascii="Arial" w:eastAsia="Arial" w:hAnsi="Arial" w:cs="Arial"/>
        </w:rPr>
        <w:t>As such, a</w:t>
      </w:r>
      <w:r w:rsidR="00CA055A">
        <w:rPr>
          <w:rFonts w:ascii="Arial" w:eastAsia="Arial" w:hAnsi="Arial" w:cs="Arial"/>
        </w:rPr>
        <w:t xml:space="preserve">vailable </w:t>
      </w:r>
      <w:r w:rsidR="00024BA0">
        <w:rPr>
          <w:rFonts w:ascii="Arial" w:eastAsia="Arial" w:hAnsi="Arial" w:cs="Arial"/>
        </w:rPr>
        <w:t xml:space="preserve">evidence </w:t>
      </w:r>
      <w:r w:rsidR="00CA055A">
        <w:rPr>
          <w:rFonts w:ascii="Arial" w:eastAsia="Arial" w:hAnsi="Arial" w:cs="Arial"/>
        </w:rPr>
        <w:t>does not</w:t>
      </w:r>
      <w:r w:rsidR="00431C99">
        <w:rPr>
          <w:rFonts w:ascii="Arial" w:eastAsia="Arial" w:hAnsi="Arial" w:cs="Arial"/>
        </w:rPr>
        <w:t xml:space="preserve"> enable</w:t>
      </w:r>
      <w:r w:rsidR="00024BA0">
        <w:rPr>
          <w:rFonts w:ascii="Arial" w:eastAsia="Arial" w:hAnsi="Arial" w:cs="Arial"/>
        </w:rPr>
        <w:t xml:space="preserve"> a</w:t>
      </w:r>
      <w:r w:rsidR="009667CA">
        <w:rPr>
          <w:rFonts w:ascii="Arial" w:eastAsia="Arial" w:hAnsi="Arial" w:cs="Arial"/>
        </w:rPr>
        <w:t>n</w:t>
      </w:r>
      <w:r w:rsidR="00024BA0">
        <w:rPr>
          <w:rFonts w:ascii="Arial" w:eastAsia="Arial" w:hAnsi="Arial" w:cs="Arial"/>
        </w:rPr>
        <w:t xml:space="preserve"> assessment of the</w:t>
      </w:r>
      <w:r w:rsidR="00024BA0" w:rsidRPr="00E338D6">
        <w:rPr>
          <w:rFonts w:ascii="Arial" w:eastAsia="Arial" w:hAnsi="Arial" w:cs="Arial"/>
        </w:rPr>
        <w:t xml:space="preserve"> </w:t>
      </w:r>
      <w:r w:rsidR="00024BA0" w:rsidRPr="009462E3">
        <w:rPr>
          <w:rFonts w:ascii="Arial" w:eastAsia="Arial" w:hAnsi="Arial" w:cs="Arial"/>
        </w:rPr>
        <w:t>extent</w:t>
      </w:r>
      <w:r w:rsidR="00024BA0">
        <w:rPr>
          <w:rFonts w:ascii="Arial" w:eastAsia="Arial" w:hAnsi="Arial" w:cs="Arial"/>
        </w:rPr>
        <w:t xml:space="preserve"> of this </w:t>
      </w:r>
      <w:r w:rsidR="00431C99">
        <w:rPr>
          <w:rFonts w:ascii="Arial" w:eastAsia="Arial" w:hAnsi="Arial" w:cs="Arial"/>
        </w:rPr>
        <w:t>progress</w:t>
      </w:r>
      <w:r w:rsidR="009667CA">
        <w:rPr>
          <w:rFonts w:ascii="Arial" w:eastAsia="Arial" w:hAnsi="Arial" w:cs="Arial"/>
        </w:rPr>
        <w:t xml:space="preserve"> with</w:t>
      </w:r>
      <w:r w:rsidR="00364BA2">
        <w:rPr>
          <w:rFonts w:ascii="Arial" w:eastAsia="Arial" w:hAnsi="Arial" w:cs="Arial"/>
        </w:rPr>
        <w:t xml:space="preserve"> a </w:t>
      </w:r>
      <w:r w:rsidR="00E338D6">
        <w:rPr>
          <w:rFonts w:ascii="Arial" w:eastAsia="Arial" w:hAnsi="Arial" w:cs="Arial"/>
        </w:rPr>
        <w:t xml:space="preserve">reasonable </w:t>
      </w:r>
      <w:r w:rsidR="00364BA2">
        <w:rPr>
          <w:rFonts w:ascii="Arial" w:eastAsia="Arial" w:hAnsi="Arial" w:cs="Arial"/>
        </w:rPr>
        <w:t>level of</w:t>
      </w:r>
      <w:r w:rsidR="009667CA">
        <w:rPr>
          <w:rFonts w:ascii="Arial" w:eastAsia="Arial" w:hAnsi="Arial" w:cs="Arial"/>
        </w:rPr>
        <w:t xml:space="preserve"> confidence</w:t>
      </w:r>
      <w:r w:rsidR="00431C99">
        <w:rPr>
          <w:rFonts w:ascii="Arial" w:eastAsia="Arial" w:hAnsi="Arial" w:cs="Arial"/>
        </w:rPr>
        <w:t>.</w:t>
      </w:r>
      <w:r w:rsidR="00DC1C83">
        <w:rPr>
          <w:rFonts w:ascii="Arial" w:eastAsia="Arial" w:hAnsi="Arial" w:cs="Arial"/>
        </w:rPr>
        <w:t xml:space="preserve"> The </w:t>
      </w:r>
      <w:r w:rsidR="00631562">
        <w:rPr>
          <w:rFonts w:ascii="Arial" w:eastAsia="Arial" w:hAnsi="Arial" w:cs="Arial"/>
        </w:rPr>
        <w:t>Evaluation Team</w:t>
      </w:r>
      <w:r w:rsidR="00DC1C83">
        <w:rPr>
          <w:rFonts w:ascii="Arial" w:eastAsia="Arial" w:hAnsi="Arial" w:cs="Arial"/>
        </w:rPr>
        <w:t xml:space="preserve"> has considered multiple data sources </w:t>
      </w:r>
      <w:r w:rsidR="001472A6">
        <w:rPr>
          <w:rFonts w:ascii="Arial" w:eastAsia="Arial" w:hAnsi="Arial" w:cs="Arial"/>
        </w:rPr>
        <w:t>to respond to each of the sub-questions</w:t>
      </w:r>
      <w:r w:rsidR="00964208">
        <w:rPr>
          <w:rFonts w:ascii="Arial" w:eastAsia="Arial" w:hAnsi="Arial" w:cs="Arial"/>
        </w:rPr>
        <w:t>. Evidence underpinning the remaining findings</w:t>
      </w:r>
      <w:r w:rsidR="00383C49">
        <w:rPr>
          <w:rFonts w:ascii="Arial" w:eastAsia="Arial" w:hAnsi="Arial" w:cs="Arial"/>
        </w:rPr>
        <w:t xml:space="preserve"> against each evaluation sub-question</w:t>
      </w:r>
      <w:r w:rsidR="00964208">
        <w:rPr>
          <w:rFonts w:ascii="Arial" w:eastAsia="Arial" w:hAnsi="Arial" w:cs="Arial"/>
        </w:rPr>
        <w:t xml:space="preserve"> is considered strong unless otherwise specified.</w:t>
      </w:r>
    </w:p>
    <w:p w14:paraId="2F1D087A" w14:textId="2CF412F1" w:rsidR="00475447" w:rsidRPr="00475447" w:rsidRDefault="00475447" w:rsidP="00475447">
      <w:pPr>
        <w:spacing w:before="240"/>
        <w:rPr>
          <w:rFonts w:ascii="Arial" w:eastAsia="Arial" w:hAnsi="Arial" w:cs="Arial"/>
        </w:rPr>
      </w:pPr>
      <w:r w:rsidRPr="00475447">
        <w:rPr>
          <w:rFonts w:ascii="Arial" w:eastAsia="Arial" w:hAnsi="Arial" w:cs="Arial"/>
        </w:rPr>
        <w:t xml:space="preserve">The five SPFs collectively nominate 120 shared partnership objectives and deliverables. Themes common to all objectives and deliverables include </w:t>
      </w:r>
      <w:r w:rsidR="00134F13">
        <w:rPr>
          <w:rFonts w:ascii="Arial" w:eastAsia="Arial" w:hAnsi="Arial" w:cs="Arial"/>
        </w:rPr>
        <w:t>GEDSI</w:t>
      </w:r>
      <w:r w:rsidRPr="00475447">
        <w:rPr>
          <w:rFonts w:ascii="Arial" w:eastAsia="Arial" w:hAnsi="Arial" w:cs="Arial"/>
        </w:rPr>
        <w:t xml:space="preserve">, localisation, and multilateral cooperation, with certain partners such as UNHCR and ICRC addressing more discrete themes (such as refugees and resettlement, and </w:t>
      </w:r>
      <w:r w:rsidR="00F864BE">
        <w:rPr>
          <w:rFonts w:ascii="Arial" w:eastAsia="Arial" w:hAnsi="Arial" w:cs="Arial"/>
        </w:rPr>
        <w:t>international humanitarian law</w:t>
      </w:r>
      <w:r w:rsidRPr="00475447">
        <w:rPr>
          <w:rFonts w:ascii="Arial" w:eastAsia="Arial" w:hAnsi="Arial" w:cs="Arial"/>
        </w:rPr>
        <w:t xml:space="preserve">) as result of their specific mandates. </w:t>
      </w:r>
      <w:r w:rsidRPr="00A5763E">
        <w:rPr>
          <w:rFonts w:ascii="Arial" w:eastAsia="Arial" w:hAnsi="Arial" w:cs="Arial"/>
        </w:rPr>
        <w:t xml:space="preserve">Almost half of all the 120 commitments use unique language, </w:t>
      </w:r>
      <w:r w:rsidR="00D67EAD">
        <w:rPr>
          <w:rFonts w:ascii="Arial" w:eastAsia="Arial" w:hAnsi="Arial" w:cs="Arial"/>
        </w:rPr>
        <w:t>increasing</w:t>
      </w:r>
      <w:r w:rsidRPr="00A5763E">
        <w:rPr>
          <w:rFonts w:ascii="Arial" w:eastAsia="Arial" w:hAnsi="Arial" w:cs="Arial"/>
        </w:rPr>
        <w:t xml:space="preserve"> complexity in tracking the progress of these commitments.</w:t>
      </w:r>
      <w:r w:rsidRPr="00475447">
        <w:rPr>
          <w:rFonts w:ascii="Arial" w:eastAsia="Arial" w:hAnsi="Arial" w:cs="Arial"/>
        </w:rPr>
        <w:t xml:space="preserve"> </w:t>
      </w:r>
    </w:p>
    <w:p w14:paraId="2DB81ABE" w14:textId="111C0D13" w:rsidR="00435D76" w:rsidRDefault="00EA1FBA" w:rsidP="00475447">
      <w:pPr>
        <w:spacing w:before="240"/>
        <w:rPr>
          <w:rFonts w:ascii="Arial" w:eastAsia="Arial" w:hAnsi="Arial" w:cs="Arial"/>
        </w:rPr>
      </w:pPr>
      <w:r>
        <w:rPr>
          <w:rFonts w:ascii="Arial" w:eastAsia="Arial" w:hAnsi="Arial" w:cs="Arial"/>
        </w:rPr>
        <w:t xml:space="preserve">A </w:t>
      </w:r>
      <w:r w:rsidR="004E4471">
        <w:rPr>
          <w:rFonts w:ascii="Arial" w:eastAsia="Arial" w:hAnsi="Arial" w:cs="Arial"/>
        </w:rPr>
        <w:t>Performance Arrangement</w:t>
      </w:r>
      <w:r>
        <w:rPr>
          <w:rFonts w:ascii="Arial" w:eastAsia="Arial" w:hAnsi="Arial" w:cs="Arial"/>
        </w:rPr>
        <w:t xml:space="preserve"> and annual reports</w:t>
      </w:r>
      <w:r w:rsidR="00F864BE">
        <w:rPr>
          <w:rFonts w:ascii="Arial" w:eastAsia="Arial" w:hAnsi="Arial" w:cs="Arial"/>
        </w:rPr>
        <w:t xml:space="preserve"> </w:t>
      </w:r>
      <w:r w:rsidR="006E154D">
        <w:rPr>
          <w:rFonts w:ascii="Arial" w:eastAsia="Arial" w:hAnsi="Arial" w:cs="Arial"/>
        </w:rPr>
        <w:t>for each of the SPF partners</w:t>
      </w:r>
      <w:r w:rsidR="00F864BE">
        <w:rPr>
          <w:rFonts w:ascii="Arial" w:eastAsia="Arial" w:hAnsi="Arial" w:cs="Arial"/>
        </w:rPr>
        <w:t xml:space="preserve"> </w:t>
      </w:r>
      <w:r w:rsidR="00987429">
        <w:rPr>
          <w:rFonts w:ascii="Arial" w:eastAsia="Arial" w:hAnsi="Arial" w:cs="Arial"/>
        </w:rPr>
        <w:t xml:space="preserve">were </w:t>
      </w:r>
      <w:r>
        <w:rPr>
          <w:rFonts w:ascii="Arial" w:eastAsia="Arial" w:hAnsi="Arial" w:cs="Arial"/>
        </w:rPr>
        <w:t>commissioned by DFAT</w:t>
      </w:r>
      <w:r w:rsidR="00987429">
        <w:rPr>
          <w:rFonts w:ascii="Arial" w:eastAsia="Arial" w:hAnsi="Arial" w:cs="Arial"/>
        </w:rPr>
        <w:t xml:space="preserve"> to</w:t>
      </w:r>
      <w:r w:rsidR="00475447" w:rsidRPr="00475447">
        <w:rPr>
          <w:rFonts w:ascii="Arial" w:eastAsia="Arial" w:hAnsi="Arial" w:cs="Arial"/>
        </w:rPr>
        <w:t xml:space="preserve"> track progress </w:t>
      </w:r>
      <w:r w:rsidR="00A2260F">
        <w:rPr>
          <w:rFonts w:ascii="Arial" w:eastAsia="Arial" w:hAnsi="Arial" w:cs="Arial"/>
        </w:rPr>
        <w:t xml:space="preserve">in performance </w:t>
      </w:r>
      <w:r w:rsidR="00475447" w:rsidRPr="00475447">
        <w:rPr>
          <w:rFonts w:ascii="Arial" w:eastAsia="Arial" w:hAnsi="Arial" w:cs="Arial"/>
        </w:rPr>
        <w:t xml:space="preserve">against </w:t>
      </w:r>
      <w:r w:rsidR="00A2260F">
        <w:rPr>
          <w:rFonts w:ascii="Arial" w:eastAsia="Arial" w:hAnsi="Arial" w:cs="Arial"/>
        </w:rPr>
        <w:t xml:space="preserve">the </w:t>
      </w:r>
      <w:r w:rsidR="00475447" w:rsidRPr="00475447">
        <w:rPr>
          <w:rFonts w:ascii="Arial" w:eastAsia="Arial" w:hAnsi="Arial" w:cs="Arial"/>
        </w:rPr>
        <w:t xml:space="preserve">shared partnership objectives and deliverables. These </w:t>
      </w:r>
      <w:r w:rsidR="004E4471">
        <w:rPr>
          <w:rFonts w:ascii="Arial" w:eastAsia="Arial" w:hAnsi="Arial" w:cs="Arial"/>
        </w:rPr>
        <w:t>Performance Arrangement</w:t>
      </w:r>
      <w:r w:rsidR="00771F37">
        <w:rPr>
          <w:rFonts w:ascii="Arial" w:eastAsia="Arial" w:hAnsi="Arial" w:cs="Arial"/>
        </w:rPr>
        <w:t xml:space="preserve"> report</w:t>
      </w:r>
      <w:r w:rsidR="00F864BE">
        <w:rPr>
          <w:rFonts w:ascii="Arial" w:eastAsia="Arial" w:hAnsi="Arial" w:cs="Arial"/>
        </w:rPr>
        <w:t xml:space="preserve">s, </w:t>
      </w:r>
      <w:r w:rsidR="00475447" w:rsidRPr="00475447">
        <w:rPr>
          <w:rFonts w:ascii="Arial" w:eastAsia="Arial" w:hAnsi="Arial" w:cs="Arial"/>
        </w:rPr>
        <w:t>collated for DFAT by an external provider, draw from publicly available multilateral self-reporting</w:t>
      </w:r>
      <w:r w:rsidR="0057158F">
        <w:rPr>
          <w:rFonts w:ascii="Arial" w:eastAsia="Arial" w:hAnsi="Arial" w:cs="Arial"/>
        </w:rPr>
        <w:t>, and additional reporting upon request,</w:t>
      </w:r>
      <w:r w:rsidR="00475447" w:rsidRPr="00475447">
        <w:rPr>
          <w:rFonts w:ascii="Arial" w:eastAsia="Arial" w:hAnsi="Arial" w:cs="Arial"/>
        </w:rPr>
        <w:t xml:space="preserve"> to assess performance against 23 standard</w:t>
      </w:r>
      <w:r w:rsidR="00E27C9E">
        <w:rPr>
          <w:rFonts w:ascii="Arial" w:eastAsia="Arial" w:hAnsi="Arial" w:cs="Arial"/>
        </w:rPr>
        <w:t xml:space="preserve"> </w:t>
      </w:r>
      <w:r w:rsidR="00475447" w:rsidRPr="00475447">
        <w:rPr>
          <w:rFonts w:ascii="Arial" w:eastAsia="Arial" w:hAnsi="Arial" w:cs="Arial"/>
        </w:rPr>
        <w:t xml:space="preserve">indicators, which broadly align with the prominent themes of all shared partnership objectives and deliverables. </w:t>
      </w:r>
      <w:r w:rsidR="00E32A5B">
        <w:rPr>
          <w:rFonts w:ascii="Arial" w:eastAsia="Arial" w:hAnsi="Arial" w:cs="Arial"/>
        </w:rPr>
        <w:t>T</w:t>
      </w:r>
      <w:r w:rsidR="00DF4738">
        <w:rPr>
          <w:rFonts w:ascii="Arial" w:eastAsia="Arial" w:hAnsi="Arial" w:cs="Arial"/>
        </w:rPr>
        <w:t xml:space="preserve">hese indicators were carefully </w:t>
      </w:r>
      <w:r w:rsidR="006101DD">
        <w:rPr>
          <w:rFonts w:ascii="Arial" w:eastAsia="Arial" w:hAnsi="Arial" w:cs="Arial"/>
        </w:rPr>
        <w:t xml:space="preserve">selected </w:t>
      </w:r>
      <w:r w:rsidR="00325B36">
        <w:rPr>
          <w:rFonts w:ascii="Arial" w:eastAsia="Arial" w:hAnsi="Arial" w:cs="Arial"/>
        </w:rPr>
        <w:t xml:space="preserve">together </w:t>
      </w:r>
      <w:r w:rsidR="006101DD">
        <w:rPr>
          <w:rFonts w:ascii="Arial" w:eastAsia="Arial" w:hAnsi="Arial" w:cs="Arial"/>
        </w:rPr>
        <w:t xml:space="preserve">with DFAT and </w:t>
      </w:r>
      <w:r w:rsidR="00DF4738">
        <w:rPr>
          <w:rFonts w:ascii="Arial" w:eastAsia="Arial" w:hAnsi="Arial" w:cs="Arial"/>
        </w:rPr>
        <w:t>aligned with global reporting frameworks and DFAT reporting requirements</w:t>
      </w:r>
      <w:r w:rsidR="00656CF2">
        <w:rPr>
          <w:rFonts w:ascii="Arial" w:eastAsia="Arial" w:hAnsi="Arial" w:cs="Arial"/>
        </w:rPr>
        <w:t>.</w:t>
      </w:r>
      <w:r w:rsidR="00255E77">
        <w:rPr>
          <w:rStyle w:val="FootnoteReference"/>
          <w:rFonts w:ascii="Arial" w:eastAsia="Arial" w:hAnsi="Arial" w:cs="Arial"/>
        </w:rPr>
        <w:footnoteReference w:id="29"/>
      </w:r>
      <w:r w:rsidR="00D92528">
        <w:rPr>
          <w:rFonts w:ascii="Arial" w:eastAsia="Arial" w:hAnsi="Arial" w:cs="Arial"/>
        </w:rPr>
        <w:t xml:space="preserve"> </w:t>
      </w:r>
    </w:p>
    <w:p w14:paraId="50867CE7" w14:textId="43A50104" w:rsidR="00AD7F80" w:rsidRDefault="00D32272" w:rsidP="00475447">
      <w:pPr>
        <w:spacing w:before="240"/>
        <w:rPr>
          <w:rFonts w:ascii="Arial" w:eastAsia="Arial" w:hAnsi="Arial" w:cs="Arial"/>
        </w:rPr>
      </w:pPr>
      <w:proofErr w:type="gramStart"/>
      <w:r>
        <w:rPr>
          <w:rFonts w:ascii="Arial" w:eastAsia="Arial" w:hAnsi="Arial" w:cs="Arial"/>
        </w:rPr>
        <w:t>In order to</w:t>
      </w:r>
      <w:proofErr w:type="gramEnd"/>
      <w:r>
        <w:rPr>
          <w:rFonts w:ascii="Arial" w:eastAsia="Arial" w:hAnsi="Arial" w:cs="Arial"/>
        </w:rPr>
        <w:t xml:space="preserve"> assess </w:t>
      </w:r>
      <w:r w:rsidR="00501B19">
        <w:rPr>
          <w:rFonts w:ascii="Arial" w:eastAsia="Arial" w:hAnsi="Arial" w:cs="Arial"/>
        </w:rPr>
        <w:t xml:space="preserve">the extent to which SPFs shared partnership objectives and deliverables are being progressed, the </w:t>
      </w:r>
      <w:r w:rsidR="00631562">
        <w:rPr>
          <w:rFonts w:ascii="Arial" w:eastAsia="Arial" w:hAnsi="Arial" w:cs="Arial"/>
        </w:rPr>
        <w:t>Evaluation Team</w:t>
      </w:r>
      <w:r w:rsidR="00501B19">
        <w:rPr>
          <w:rFonts w:ascii="Arial" w:eastAsia="Arial" w:hAnsi="Arial" w:cs="Arial"/>
        </w:rPr>
        <w:t xml:space="preserve"> reviewed </w:t>
      </w:r>
      <w:r w:rsidR="00EE2981">
        <w:rPr>
          <w:rFonts w:ascii="Arial" w:eastAsia="Arial" w:hAnsi="Arial" w:cs="Arial"/>
        </w:rPr>
        <w:t xml:space="preserve">reports for progress in </w:t>
      </w:r>
      <w:r w:rsidR="002F55CC">
        <w:rPr>
          <w:rFonts w:ascii="Arial" w:eastAsia="Arial" w:hAnsi="Arial" w:cs="Arial"/>
        </w:rPr>
        <w:t>p</w:t>
      </w:r>
      <w:r w:rsidR="00650BCF">
        <w:rPr>
          <w:rFonts w:ascii="Arial" w:eastAsia="Arial" w:hAnsi="Arial" w:cs="Arial"/>
        </w:rPr>
        <w:t>artner performance</w:t>
      </w:r>
      <w:r w:rsidR="00373433">
        <w:rPr>
          <w:rFonts w:ascii="Arial" w:eastAsia="Arial" w:hAnsi="Arial" w:cs="Arial"/>
        </w:rPr>
        <w:t xml:space="preserve">. The detail of the analysis is </w:t>
      </w:r>
      <w:r w:rsidR="00424AE9">
        <w:rPr>
          <w:rFonts w:ascii="Arial" w:eastAsia="Arial" w:hAnsi="Arial" w:cs="Arial"/>
        </w:rPr>
        <w:t>not</w:t>
      </w:r>
      <w:r w:rsidR="00B86876">
        <w:rPr>
          <w:rFonts w:ascii="Arial" w:eastAsia="Arial" w:hAnsi="Arial" w:cs="Arial"/>
        </w:rPr>
        <w:t xml:space="preserve"> provided</w:t>
      </w:r>
      <w:r w:rsidR="00424AE9">
        <w:rPr>
          <w:rFonts w:ascii="Arial" w:eastAsia="Arial" w:hAnsi="Arial" w:cs="Arial"/>
        </w:rPr>
        <w:t xml:space="preserve"> in this report as </w:t>
      </w:r>
      <w:r w:rsidR="00D67EAD">
        <w:rPr>
          <w:rFonts w:ascii="Arial" w:eastAsia="Arial" w:hAnsi="Arial" w:cs="Arial"/>
        </w:rPr>
        <w:t xml:space="preserve">the </w:t>
      </w:r>
      <w:r w:rsidR="002A692E">
        <w:rPr>
          <w:rFonts w:ascii="Arial" w:eastAsia="Arial" w:hAnsi="Arial" w:cs="Arial"/>
        </w:rPr>
        <w:t>assessment of</w:t>
      </w:r>
      <w:r w:rsidR="00424AE9">
        <w:rPr>
          <w:rFonts w:ascii="Arial" w:eastAsia="Arial" w:hAnsi="Arial" w:cs="Arial"/>
        </w:rPr>
        <w:t xml:space="preserve"> partner performance is outside the scope of this evaluation. </w:t>
      </w:r>
    </w:p>
    <w:p w14:paraId="4A239E7C" w14:textId="462EEC37" w:rsidR="00D32272" w:rsidRDefault="004E4471" w:rsidP="00475447">
      <w:pPr>
        <w:spacing w:before="240"/>
        <w:rPr>
          <w:rFonts w:ascii="Arial" w:eastAsia="Arial" w:hAnsi="Arial" w:cs="Arial"/>
        </w:rPr>
      </w:pPr>
      <w:r>
        <w:rPr>
          <w:rFonts w:ascii="Arial" w:eastAsia="Arial" w:hAnsi="Arial" w:cs="Arial"/>
        </w:rPr>
        <w:t>Performance Arrangement</w:t>
      </w:r>
      <w:r w:rsidR="00AD7F80">
        <w:rPr>
          <w:rFonts w:ascii="Arial" w:eastAsia="Arial" w:hAnsi="Arial" w:cs="Arial"/>
        </w:rPr>
        <w:t xml:space="preserve"> reports provide</w:t>
      </w:r>
      <w:r w:rsidR="00E9569E">
        <w:rPr>
          <w:rFonts w:ascii="Arial" w:eastAsia="Arial" w:hAnsi="Arial" w:cs="Arial"/>
        </w:rPr>
        <w:t xml:space="preserve"> qualitative data that </w:t>
      </w:r>
      <w:r w:rsidR="006F095B">
        <w:rPr>
          <w:rFonts w:ascii="Arial" w:eastAsia="Arial" w:hAnsi="Arial" w:cs="Arial"/>
        </w:rPr>
        <w:t>demonstrate</w:t>
      </w:r>
      <w:r w:rsidR="005E1BE3">
        <w:rPr>
          <w:rFonts w:ascii="Arial" w:eastAsia="Arial" w:hAnsi="Arial" w:cs="Arial"/>
        </w:rPr>
        <w:t>s</w:t>
      </w:r>
      <w:r w:rsidR="006F095B">
        <w:rPr>
          <w:rFonts w:ascii="Arial" w:eastAsia="Arial" w:hAnsi="Arial" w:cs="Arial"/>
        </w:rPr>
        <w:t xml:space="preserve"> </w:t>
      </w:r>
      <w:r w:rsidR="00E9569E">
        <w:rPr>
          <w:rFonts w:ascii="Arial" w:eastAsia="Arial" w:hAnsi="Arial" w:cs="Arial"/>
        </w:rPr>
        <w:t>partners are engaging in activities to progress</w:t>
      </w:r>
      <w:r w:rsidR="00067E58">
        <w:rPr>
          <w:rFonts w:ascii="Arial" w:eastAsia="Arial" w:hAnsi="Arial" w:cs="Arial"/>
        </w:rPr>
        <w:t xml:space="preserve"> </w:t>
      </w:r>
      <w:r w:rsidR="00AD7F80">
        <w:rPr>
          <w:rFonts w:ascii="Arial" w:eastAsia="Arial" w:hAnsi="Arial" w:cs="Arial"/>
        </w:rPr>
        <w:t>many of</w:t>
      </w:r>
      <w:r w:rsidR="00C20BDC">
        <w:rPr>
          <w:rFonts w:ascii="Arial" w:eastAsia="Arial" w:hAnsi="Arial" w:cs="Arial"/>
        </w:rPr>
        <w:t xml:space="preserve"> the shared partnership objectives and deliverables</w:t>
      </w:r>
      <w:r w:rsidR="00474E2D">
        <w:rPr>
          <w:rFonts w:ascii="Arial" w:eastAsia="Arial" w:hAnsi="Arial" w:cs="Arial"/>
        </w:rPr>
        <w:t>.</w:t>
      </w:r>
      <w:r w:rsidR="009C058B">
        <w:rPr>
          <w:rFonts w:ascii="Arial" w:eastAsia="Arial" w:hAnsi="Arial" w:cs="Arial"/>
        </w:rPr>
        <w:t xml:space="preserve"> The </w:t>
      </w:r>
      <w:r w:rsidR="006F095B">
        <w:rPr>
          <w:rFonts w:ascii="Arial" w:eastAsia="Arial" w:hAnsi="Arial" w:cs="Arial"/>
        </w:rPr>
        <w:t xml:space="preserve">results of the </w:t>
      </w:r>
      <w:r w:rsidR="009C058B">
        <w:rPr>
          <w:rFonts w:ascii="Arial" w:eastAsia="Arial" w:hAnsi="Arial" w:cs="Arial"/>
        </w:rPr>
        <w:t xml:space="preserve">quantitative data </w:t>
      </w:r>
      <w:r w:rsidR="00631562">
        <w:rPr>
          <w:rFonts w:ascii="Arial" w:eastAsia="Arial" w:hAnsi="Arial" w:cs="Arial"/>
        </w:rPr>
        <w:t>are</w:t>
      </w:r>
      <w:r w:rsidR="009C058B">
        <w:rPr>
          <w:rFonts w:ascii="Arial" w:eastAsia="Arial" w:hAnsi="Arial" w:cs="Arial"/>
        </w:rPr>
        <w:t xml:space="preserve"> more mixed</w:t>
      </w:r>
      <w:r w:rsidR="00D92DEA">
        <w:rPr>
          <w:rFonts w:ascii="Arial" w:eastAsia="Arial" w:hAnsi="Arial" w:cs="Arial"/>
        </w:rPr>
        <w:t>.</w:t>
      </w:r>
      <w:r w:rsidR="00474E2D">
        <w:rPr>
          <w:rFonts w:ascii="Arial" w:eastAsia="Arial" w:hAnsi="Arial" w:cs="Arial"/>
        </w:rPr>
        <w:t xml:space="preserve"> </w:t>
      </w:r>
      <w:r w:rsidR="00024F31">
        <w:rPr>
          <w:rFonts w:ascii="Arial" w:eastAsia="Arial" w:hAnsi="Arial" w:cs="Arial"/>
        </w:rPr>
        <w:t xml:space="preserve">The </w:t>
      </w:r>
      <w:r w:rsidR="00631562">
        <w:rPr>
          <w:rFonts w:ascii="Arial" w:eastAsia="Arial" w:hAnsi="Arial" w:cs="Arial"/>
        </w:rPr>
        <w:t>E</w:t>
      </w:r>
      <w:r w:rsidR="00024F31">
        <w:rPr>
          <w:rFonts w:ascii="Arial" w:eastAsia="Arial" w:hAnsi="Arial" w:cs="Arial"/>
        </w:rPr>
        <w:t xml:space="preserve">valuation </w:t>
      </w:r>
      <w:r w:rsidR="00631562">
        <w:rPr>
          <w:rFonts w:ascii="Arial" w:eastAsia="Arial" w:hAnsi="Arial" w:cs="Arial"/>
        </w:rPr>
        <w:t>T</w:t>
      </w:r>
      <w:r w:rsidR="00024F31">
        <w:rPr>
          <w:rFonts w:ascii="Arial" w:eastAsia="Arial" w:hAnsi="Arial" w:cs="Arial"/>
        </w:rPr>
        <w:t xml:space="preserve">eam analysed </w:t>
      </w:r>
      <w:r w:rsidR="002E57C4">
        <w:rPr>
          <w:rFonts w:ascii="Arial" w:eastAsia="Arial" w:hAnsi="Arial" w:cs="Arial"/>
        </w:rPr>
        <w:t xml:space="preserve">each of the </w:t>
      </w:r>
      <w:r w:rsidR="00024F31">
        <w:rPr>
          <w:rFonts w:ascii="Arial" w:eastAsia="Arial" w:hAnsi="Arial" w:cs="Arial"/>
        </w:rPr>
        <w:t xml:space="preserve">nine quantitative indicators included in the standard </w:t>
      </w:r>
      <w:r>
        <w:rPr>
          <w:rFonts w:ascii="Arial" w:eastAsia="Arial" w:hAnsi="Arial" w:cs="Arial"/>
        </w:rPr>
        <w:t>Performance Arrangement</w:t>
      </w:r>
      <w:r w:rsidR="00024F31">
        <w:rPr>
          <w:rFonts w:ascii="Arial" w:eastAsia="Arial" w:hAnsi="Arial" w:cs="Arial"/>
        </w:rPr>
        <w:t xml:space="preserve"> annual reports</w:t>
      </w:r>
      <w:r w:rsidR="0093260D">
        <w:rPr>
          <w:rFonts w:ascii="Arial" w:eastAsia="Arial" w:hAnsi="Arial" w:cs="Arial"/>
        </w:rPr>
        <w:t xml:space="preserve"> for evidence of progress. Of these, seven had sufficient partner reporting to enable meaningful analysis. </w:t>
      </w:r>
      <w:r w:rsidR="009B02BF">
        <w:rPr>
          <w:rFonts w:ascii="Arial" w:eastAsia="Arial" w:hAnsi="Arial" w:cs="Arial"/>
        </w:rPr>
        <w:t>Review</w:t>
      </w:r>
      <w:r w:rsidR="00ED1C10">
        <w:rPr>
          <w:rFonts w:ascii="Arial" w:eastAsia="Arial" w:hAnsi="Arial" w:cs="Arial"/>
        </w:rPr>
        <w:t xml:space="preserve"> of these q</w:t>
      </w:r>
      <w:r w:rsidR="00A50DC4">
        <w:rPr>
          <w:rFonts w:ascii="Arial" w:eastAsia="Arial" w:hAnsi="Arial" w:cs="Arial"/>
        </w:rPr>
        <w:t xml:space="preserve">uantitative indicators </w:t>
      </w:r>
      <w:r w:rsidR="00ED1C10">
        <w:rPr>
          <w:rFonts w:ascii="Arial" w:eastAsia="Arial" w:hAnsi="Arial" w:cs="Arial"/>
        </w:rPr>
        <w:t>from 2022-2024 found instances of progress, regression</w:t>
      </w:r>
      <w:r w:rsidR="00D124F6">
        <w:rPr>
          <w:rFonts w:ascii="Arial" w:eastAsia="Arial" w:hAnsi="Arial" w:cs="Arial"/>
        </w:rPr>
        <w:t xml:space="preserve"> and no change</w:t>
      </w:r>
      <w:r w:rsidR="00D75442">
        <w:rPr>
          <w:rFonts w:ascii="Arial" w:eastAsia="Arial" w:hAnsi="Arial" w:cs="Arial"/>
        </w:rPr>
        <w:t xml:space="preserve">. </w:t>
      </w:r>
      <w:r w:rsidR="000E1C20">
        <w:rPr>
          <w:rFonts w:ascii="Arial" w:eastAsia="Arial" w:hAnsi="Arial" w:cs="Arial"/>
        </w:rPr>
        <w:t xml:space="preserve"> </w:t>
      </w:r>
      <w:r w:rsidR="00186BE0">
        <w:rPr>
          <w:rFonts w:ascii="Arial" w:eastAsia="Arial" w:hAnsi="Arial" w:cs="Arial"/>
        </w:rPr>
        <w:t>Th</w:t>
      </w:r>
      <w:r w:rsidR="00DB21AD">
        <w:rPr>
          <w:rFonts w:ascii="Arial" w:eastAsia="Arial" w:hAnsi="Arial" w:cs="Arial"/>
        </w:rPr>
        <w:t xml:space="preserve">is </w:t>
      </w:r>
      <w:r w:rsidR="00186BE0">
        <w:rPr>
          <w:rFonts w:ascii="Arial" w:eastAsia="Arial" w:hAnsi="Arial" w:cs="Arial"/>
        </w:rPr>
        <w:t>does not necessarily indicate that there was not progress, as these indicators do not consider</w:t>
      </w:r>
      <w:r w:rsidR="00BD55CA">
        <w:rPr>
          <w:rFonts w:ascii="Arial" w:eastAsia="Arial" w:hAnsi="Arial" w:cs="Arial"/>
        </w:rPr>
        <w:t xml:space="preserve"> for example</w:t>
      </w:r>
      <w:r w:rsidR="00186BE0">
        <w:rPr>
          <w:rFonts w:ascii="Arial" w:eastAsia="Arial" w:hAnsi="Arial" w:cs="Arial"/>
        </w:rPr>
        <w:t xml:space="preserve"> whether DFAT’s funding to that partner increased or decreased that year</w:t>
      </w:r>
      <w:r w:rsidR="00C725E4">
        <w:rPr>
          <w:rFonts w:ascii="Arial" w:eastAsia="Arial" w:hAnsi="Arial" w:cs="Arial"/>
        </w:rPr>
        <w:t xml:space="preserve">, </w:t>
      </w:r>
      <w:r w:rsidR="00186BE0">
        <w:rPr>
          <w:rFonts w:ascii="Arial" w:eastAsia="Arial" w:hAnsi="Arial" w:cs="Arial"/>
        </w:rPr>
        <w:t xml:space="preserve">which would </w:t>
      </w:r>
      <w:r w:rsidR="003E24E0">
        <w:rPr>
          <w:rFonts w:ascii="Arial" w:eastAsia="Arial" w:hAnsi="Arial" w:cs="Arial"/>
        </w:rPr>
        <w:t xml:space="preserve">directly </w:t>
      </w:r>
      <w:r w:rsidR="00186BE0">
        <w:rPr>
          <w:rFonts w:ascii="Arial" w:eastAsia="Arial" w:hAnsi="Arial" w:cs="Arial"/>
        </w:rPr>
        <w:t>impact the numbers of people able to be assisted with DFAT’s funding</w:t>
      </w:r>
      <w:r w:rsidR="00880DD2">
        <w:rPr>
          <w:rFonts w:ascii="Arial" w:eastAsia="Arial" w:hAnsi="Arial" w:cs="Arial"/>
        </w:rPr>
        <w:t>.</w:t>
      </w:r>
      <w:r w:rsidR="000B4391">
        <w:rPr>
          <w:rFonts w:ascii="Arial" w:eastAsia="Arial" w:hAnsi="Arial" w:cs="Arial"/>
        </w:rPr>
        <w:t xml:space="preserve"> As such, </w:t>
      </w:r>
      <w:proofErr w:type="gramStart"/>
      <w:r w:rsidR="000B4391">
        <w:rPr>
          <w:rFonts w:ascii="Arial" w:eastAsia="Arial" w:hAnsi="Arial" w:cs="Arial"/>
        </w:rPr>
        <w:t>on the basis of</w:t>
      </w:r>
      <w:proofErr w:type="gramEnd"/>
      <w:r w:rsidR="000B4391">
        <w:rPr>
          <w:rFonts w:ascii="Arial" w:eastAsia="Arial" w:hAnsi="Arial" w:cs="Arial"/>
        </w:rPr>
        <w:t xml:space="preserve"> the quantitative data, the </w:t>
      </w:r>
      <w:r w:rsidR="00631562">
        <w:rPr>
          <w:rFonts w:ascii="Arial" w:eastAsia="Arial" w:hAnsi="Arial" w:cs="Arial"/>
        </w:rPr>
        <w:t>Evaluation Team</w:t>
      </w:r>
      <w:r w:rsidR="000B4391">
        <w:rPr>
          <w:rFonts w:ascii="Arial" w:eastAsia="Arial" w:hAnsi="Arial" w:cs="Arial"/>
        </w:rPr>
        <w:t xml:space="preserve"> </w:t>
      </w:r>
      <w:proofErr w:type="gramStart"/>
      <w:r w:rsidR="000B4391">
        <w:rPr>
          <w:rFonts w:ascii="Arial" w:eastAsia="Arial" w:hAnsi="Arial" w:cs="Arial"/>
        </w:rPr>
        <w:t>was not able to</w:t>
      </w:r>
      <w:proofErr w:type="gramEnd"/>
      <w:r w:rsidR="000B4391">
        <w:rPr>
          <w:rFonts w:ascii="Arial" w:eastAsia="Arial" w:hAnsi="Arial" w:cs="Arial"/>
        </w:rPr>
        <w:t xml:space="preserve"> provide an assessment of </w:t>
      </w:r>
      <w:r w:rsidR="00C725E4">
        <w:rPr>
          <w:rFonts w:ascii="Arial" w:eastAsia="Arial" w:hAnsi="Arial" w:cs="Arial"/>
        </w:rPr>
        <w:t xml:space="preserve">the extent of </w:t>
      </w:r>
      <w:r w:rsidR="000B4391">
        <w:rPr>
          <w:rFonts w:ascii="Arial" w:eastAsia="Arial" w:hAnsi="Arial" w:cs="Arial"/>
        </w:rPr>
        <w:t>progress with confidence.</w:t>
      </w:r>
    </w:p>
    <w:p w14:paraId="74270F15" w14:textId="7D7EFD71" w:rsidR="001D22F6" w:rsidRDefault="00121530" w:rsidP="00135005">
      <w:pPr>
        <w:spacing w:before="240"/>
        <w:rPr>
          <w:rFonts w:ascii="Arial" w:eastAsia="Arial" w:hAnsi="Arial" w:cs="Arial"/>
        </w:rPr>
      </w:pPr>
      <w:r>
        <w:rPr>
          <w:rFonts w:ascii="Arial" w:eastAsia="Arial" w:hAnsi="Arial" w:cs="Arial"/>
        </w:rPr>
        <w:t>DFAT’s external partner</w:t>
      </w:r>
      <w:r w:rsidR="00443C42">
        <w:rPr>
          <w:rFonts w:ascii="Arial" w:eastAsia="Arial" w:hAnsi="Arial" w:cs="Arial"/>
        </w:rPr>
        <w:t xml:space="preserve"> managing the </w:t>
      </w:r>
      <w:r w:rsidR="004E4471">
        <w:rPr>
          <w:rFonts w:ascii="Arial" w:eastAsia="Arial" w:hAnsi="Arial" w:cs="Arial"/>
        </w:rPr>
        <w:t>Performance Arrangement</w:t>
      </w:r>
      <w:r w:rsidR="00443C42">
        <w:rPr>
          <w:rFonts w:ascii="Arial" w:eastAsia="Arial" w:hAnsi="Arial" w:cs="Arial"/>
        </w:rPr>
        <w:t>s and annual reports</w:t>
      </w:r>
      <w:r>
        <w:rPr>
          <w:rFonts w:ascii="Arial" w:eastAsia="Arial" w:hAnsi="Arial" w:cs="Arial"/>
        </w:rPr>
        <w:t xml:space="preserve"> conducted a rapid </w:t>
      </w:r>
      <w:r w:rsidR="00EC5898">
        <w:rPr>
          <w:rFonts w:ascii="Arial" w:eastAsia="Arial" w:hAnsi="Arial" w:cs="Arial"/>
        </w:rPr>
        <w:t>(</w:t>
      </w:r>
      <w:r w:rsidR="00131C03">
        <w:rPr>
          <w:rFonts w:ascii="Arial" w:eastAsia="Arial" w:hAnsi="Arial" w:cs="Arial"/>
        </w:rPr>
        <w:t xml:space="preserve">in </w:t>
      </w:r>
      <w:r w:rsidR="00EC5898">
        <w:rPr>
          <w:rFonts w:ascii="Arial" w:eastAsia="Arial" w:hAnsi="Arial" w:cs="Arial"/>
        </w:rPr>
        <w:t xml:space="preserve">8 days) </w:t>
      </w:r>
      <w:r>
        <w:rPr>
          <w:rFonts w:ascii="Arial" w:eastAsia="Arial" w:hAnsi="Arial" w:cs="Arial"/>
        </w:rPr>
        <w:t>trend analysis of the extent to which the individual partner’</w:t>
      </w:r>
      <w:r w:rsidR="007A37C9">
        <w:rPr>
          <w:rFonts w:ascii="Arial" w:eastAsia="Arial" w:hAnsi="Arial" w:cs="Arial"/>
        </w:rPr>
        <w:t>s quality of</w:t>
      </w:r>
      <w:r>
        <w:rPr>
          <w:rFonts w:ascii="Arial" w:eastAsia="Arial" w:hAnsi="Arial" w:cs="Arial"/>
        </w:rPr>
        <w:t xml:space="preserve"> reporting has changed </w:t>
      </w:r>
      <w:r>
        <w:rPr>
          <w:rFonts w:ascii="Arial" w:eastAsia="Arial" w:hAnsi="Arial" w:cs="Arial"/>
        </w:rPr>
        <w:lastRenderedPageBreak/>
        <w:t>between 2022 and 2024</w:t>
      </w:r>
      <w:r w:rsidR="007A37C9">
        <w:rPr>
          <w:rFonts w:ascii="Arial" w:eastAsia="Arial" w:hAnsi="Arial" w:cs="Arial"/>
        </w:rPr>
        <w:t xml:space="preserve">. </w:t>
      </w:r>
      <w:r w:rsidR="00576292">
        <w:rPr>
          <w:rFonts w:ascii="Arial" w:eastAsia="Arial" w:hAnsi="Arial" w:cs="Arial"/>
        </w:rPr>
        <w:t xml:space="preserve">Its analysis differed from the </w:t>
      </w:r>
      <w:r w:rsidR="00631562">
        <w:rPr>
          <w:rFonts w:ascii="Arial" w:eastAsia="Arial" w:hAnsi="Arial" w:cs="Arial"/>
        </w:rPr>
        <w:t>Evaluation Team</w:t>
      </w:r>
      <w:r w:rsidR="00576292">
        <w:rPr>
          <w:rFonts w:ascii="Arial" w:eastAsia="Arial" w:hAnsi="Arial" w:cs="Arial"/>
        </w:rPr>
        <w:t xml:space="preserve">’s </w:t>
      </w:r>
      <w:r w:rsidR="000150A7">
        <w:rPr>
          <w:rFonts w:ascii="Arial" w:eastAsia="Arial" w:hAnsi="Arial" w:cs="Arial"/>
        </w:rPr>
        <w:t xml:space="preserve">approach </w:t>
      </w:r>
      <w:r w:rsidR="00576292">
        <w:rPr>
          <w:rFonts w:ascii="Arial" w:eastAsia="Arial" w:hAnsi="Arial" w:cs="Arial"/>
        </w:rPr>
        <w:t xml:space="preserve">above as it focused on progress in the quality of reporting, rather than </w:t>
      </w:r>
      <w:r w:rsidR="001D22F6">
        <w:rPr>
          <w:rFonts w:ascii="Arial" w:eastAsia="Arial" w:hAnsi="Arial" w:cs="Arial"/>
        </w:rPr>
        <w:t xml:space="preserve">progress in performance against the </w:t>
      </w:r>
      <w:r w:rsidR="00676E93">
        <w:rPr>
          <w:rFonts w:ascii="Arial" w:eastAsia="Arial" w:hAnsi="Arial" w:cs="Arial"/>
        </w:rPr>
        <w:t>shared partnership objectives</w:t>
      </w:r>
      <w:r w:rsidR="001D22F6">
        <w:rPr>
          <w:rFonts w:ascii="Arial" w:eastAsia="Arial" w:hAnsi="Arial" w:cs="Arial"/>
        </w:rPr>
        <w:t xml:space="preserve"> and deliverables. </w:t>
      </w:r>
      <w:r w:rsidR="000150A7">
        <w:rPr>
          <w:rFonts w:ascii="Arial" w:eastAsia="Arial" w:hAnsi="Arial" w:cs="Arial"/>
        </w:rPr>
        <w:t>As such t</w:t>
      </w:r>
      <w:r w:rsidR="00AC61DB">
        <w:rPr>
          <w:rFonts w:ascii="Arial" w:eastAsia="Arial" w:hAnsi="Arial" w:cs="Arial"/>
        </w:rPr>
        <w:t>his data does not inform the assessment of progress</w:t>
      </w:r>
      <w:r w:rsidR="00072BB2">
        <w:rPr>
          <w:rFonts w:ascii="Arial" w:eastAsia="Arial" w:hAnsi="Arial" w:cs="Arial"/>
        </w:rPr>
        <w:t xml:space="preserve"> against </w:t>
      </w:r>
      <w:r w:rsidR="00631562">
        <w:rPr>
          <w:rFonts w:ascii="Arial" w:eastAsia="Arial" w:hAnsi="Arial" w:cs="Arial"/>
        </w:rPr>
        <w:t>KEQ</w:t>
      </w:r>
      <w:r w:rsidR="00072BB2">
        <w:rPr>
          <w:rFonts w:ascii="Arial" w:eastAsia="Arial" w:hAnsi="Arial" w:cs="Arial"/>
        </w:rPr>
        <w:t xml:space="preserve"> 2.</w:t>
      </w:r>
    </w:p>
    <w:p w14:paraId="2180C87D" w14:textId="39471C68" w:rsidR="009209D8" w:rsidRDefault="0011794D" w:rsidP="00475447">
      <w:pPr>
        <w:spacing w:before="240"/>
        <w:rPr>
          <w:rFonts w:ascii="Arial" w:eastAsia="Arial" w:hAnsi="Arial" w:cs="Arial"/>
        </w:rPr>
      </w:pPr>
      <w:r>
        <w:rPr>
          <w:rFonts w:ascii="Arial" w:eastAsia="Arial" w:hAnsi="Arial" w:cs="Arial"/>
        </w:rPr>
        <w:t xml:space="preserve">In monitoring performance of </w:t>
      </w:r>
      <w:r w:rsidR="00AE54EA">
        <w:rPr>
          <w:rFonts w:ascii="Arial" w:eastAsia="Arial" w:hAnsi="Arial" w:cs="Arial"/>
        </w:rPr>
        <w:t xml:space="preserve">all of </w:t>
      </w:r>
      <w:r>
        <w:rPr>
          <w:rFonts w:ascii="Arial" w:eastAsia="Arial" w:hAnsi="Arial" w:cs="Arial"/>
        </w:rPr>
        <w:t xml:space="preserve">its humanitarian investments, DFAT has completed </w:t>
      </w:r>
      <w:r w:rsidR="00D21697">
        <w:rPr>
          <w:rFonts w:ascii="Arial" w:eastAsia="Arial" w:hAnsi="Arial" w:cs="Arial"/>
        </w:rPr>
        <w:t xml:space="preserve">232 </w:t>
      </w:r>
      <w:r w:rsidR="00631562">
        <w:rPr>
          <w:rFonts w:ascii="Arial" w:eastAsia="Arial" w:hAnsi="Arial" w:cs="Arial"/>
        </w:rPr>
        <w:t>HIMRs and PPAs</w:t>
      </w:r>
      <w:r w:rsidR="00D21697">
        <w:rPr>
          <w:rFonts w:ascii="Arial" w:eastAsia="Arial" w:hAnsi="Arial" w:cs="Arial"/>
        </w:rPr>
        <w:t xml:space="preserve"> since 2021</w:t>
      </w:r>
      <w:r w:rsidR="008F3FC1">
        <w:rPr>
          <w:rFonts w:ascii="Arial" w:eastAsia="Arial" w:hAnsi="Arial" w:cs="Arial"/>
        </w:rPr>
        <w:t>.</w:t>
      </w:r>
      <w:r w:rsidR="00D21697">
        <w:rPr>
          <w:rStyle w:val="FootnoteReference"/>
          <w:rFonts w:ascii="Arial" w:eastAsia="Arial" w:hAnsi="Arial" w:cs="Arial"/>
        </w:rPr>
        <w:footnoteReference w:id="30"/>
      </w:r>
      <w:r w:rsidR="00D21697">
        <w:rPr>
          <w:rFonts w:ascii="Arial" w:eastAsia="Arial" w:hAnsi="Arial" w:cs="Arial"/>
        </w:rPr>
        <w:t xml:space="preserve"> </w:t>
      </w:r>
      <w:r w:rsidR="009E3BF6">
        <w:rPr>
          <w:rFonts w:ascii="Arial" w:eastAsia="Arial" w:hAnsi="Arial" w:cs="Arial"/>
        </w:rPr>
        <w:t xml:space="preserve">While some </w:t>
      </w:r>
      <w:r w:rsidR="00903C95">
        <w:rPr>
          <w:rFonts w:ascii="Arial" w:eastAsia="Arial" w:hAnsi="Arial" w:cs="Arial"/>
        </w:rPr>
        <w:t>DFAT officers</w:t>
      </w:r>
      <w:r w:rsidR="009E3BF6">
        <w:rPr>
          <w:rFonts w:ascii="Arial" w:eastAsia="Arial" w:hAnsi="Arial" w:cs="Arial"/>
        </w:rPr>
        <w:t xml:space="preserve"> </w:t>
      </w:r>
      <w:r w:rsidR="003B494D">
        <w:rPr>
          <w:rFonts w:ascii="Arial" w:eastAsia="Arial" w:hAnsi="Arial" w:cs="Arial"/>
        </w:rPr>
        <w:t>sought to apply</w:t>
      </w:r>
      <w:r w:rsidR="009E3BF6">
        <w:rPr>
          <w:rFonts w:ascii="Arial" w:eastAsia="Arial" w:hAnsi="Arial" w:cs="Arial"/>
        </w:rPr>
        <w:t xml:space="preserve"> aggregate HIMR data</w:t>
      </w:r>
      <w:r w:rsidR="009E3BF6">
        <w:rPr>
          <w:rStyle w:val="FootnoteReference"/>
          <w:rFonts w:ascii="Arial" w:eastAsia="Arial" w:hAnsi="Arial" w:cs="Arial"/>
        </w:rPr>
        <w:footnoteReference w:id="31"/>
      </w:r>
      <w:r w:rsidR="00E53BA8">
        <w:rPr>
          <w:rFonts w:ascii="Arial" w:eastAsia="Arial" w:hAnsi="Arial" w:cs="Arial"/>
        </w:rPr>
        <w:t xml:space="preserve"> to assess progress</w:t>
      </w:r>
      <w:r w:rsidR="009C2279">
        <w:rPr>
          <w:rFonts w:ascii="Arial" w:eastAsia="Arial" w:hAnsi="Arial" w:cs="Arial"/>
        </w:rPr>
        <w:t xml:space="preserve"> against SPF </w:t>
      </w:r>
      <w:r w:rsidR="00BF0723">
        <w:rPr>
          <w:rFonts w:ascii="Arial" w:eastAsia="Arial" w:hAnsi="Arial" w:cs="Arial"/>
        </w:rPr>
        <w:t>shared partnership objectives and deliverables</w:t>
      </w:r>
      <w:r w:rsidR="000E4AEA">
        <w:rPr>
          <w:rFonts w:ascii="Arial" w:eastAsia="Arial" w:hAnsi="Arial" w:cs="Arial"/>
        </w:rPr>
        <w:t xml:space="preserve">, </w:t>
      </w:r>
      <w:r w:rsidR="00A049BD">
        <w:rPr>
          <w:rFonts w:ascii="Arial" w:eastAsia="Arial" w:hAnsi="Arial" w:cs="Arial"/>
        </w:rPr>
        <w:t xml:space="preserve">others noted that </w:t>
      </w:r>
      <w:r w:rsidR="00071BF1">
        <w:rPr>
          <w:rFonts w:ascii="Arial" w:eastAsia="Arial" w:hAnsi="Arial" w:cs="Arial"/>
        </w:rPr>
        <w:t xml:space="preserve">attribution </w:t>
      </w:r>
      <w:r w:rsidR="00C16391">
        <w:rPr>
          <w:rFonts w:ascii="Arial" w:eastAsia="Arial" w:hAnsi="Arial" w:cs="Arial"/>
        </w:rPr>
        <w:t>to SPF shared partnership objectives and deliverables is too weak for this to be informative.</w:t>
      </w:r>
      <w:r w:rsidR="005F519B">
        <w:rPr>
          <w:rStyle w:val="FootnoteReference"/>
          <w:rFonts w:ascii="Arial" w:eastAsia="Arial" w:hAnsi="Arial" w:cs="Arial"/>
        </w:rPr>
        <w:footnoteReference w:id="32"/>
      </w:r>
      <w:r w:rsidR="00C16391">
        <w:rPr>
          <w:rFonts w:ascii="Arial" w:eastAsia="Arial" w:hAnsi="Arial" w:cs="Arial"/>
        </w:rPr>
        <w:t xml:space="preserve"> </w:t>
      </w:r>
      <w:r w:rsidR="00A86F78">
        <w:rPr>
          <w:rFonts w:ascii="Arial" w:eastAsia="Arial" w:hAnsi="Arial" w:cs="Arial"/>
        </w:rPr>
        <w:t>This is because</w:t>
      </w:r>
      <w:r w:rsidR="000E6672">
        <w:rPr>
          <w:rFonts w:ascii="Arial" w:eastAsia="Arial" w:hAnsi="Arial" w:cs="Arial"/>
        </w:rPr>
        <w:t xml:space="preserve"> aggregate HIMR data</w:t>
      </w:r>
      <w:r w:rsidR="00C03651">
        <w:rPr>
          <w:rFonts w:ascii="Arial" w:eastAsia="Arial" w:hAnsi="Arial" w:cs="Arial"/>
        </w:rPr>
        <w:t xml:space="preserve"> and additional aggregate reporting</w:t>
      </w:r>
      <w:r w:rsidR="00CB51F6">
        <w:rPr>
          <w:rFonts w:ascii="Arial" w:eastAsia="Arial" w:hAnsi="Arial" w:cs="Arial"/>
        </w:rPr>
        <w:t>:</w:t>
      </w:r>
      <w:r w:rsidR="00D5532E">
        <w:rPr>
          <w:rStyle w:val="FootnoteReference"/>
          <w:rFonts w:ascii="Arial" w:eastAsia="Arial" w:hAnsi="Arial" w:cs="Arial"/>
        </w:rPr>
        <w:footnoteReference w:id="33"/>
      </w:r>
    </w:p>
    <w:p w14:paraId="0F6EBCBD" w14:textId="3CCA4C43" w:rsidR="00A86F78" w:rsidRPr="00ED5D2D" w:rsidRDefault="00CB51F6" w:rsidP="00D04DA3">
      <w:pPr>
        <w:pStyle w:val="BodyText"/>
        <w:numPr>
          <w:ilvl w:val="0"/>
          <w:numId w:val="31"/>
        </w:numPr>
        <w:rPr>
          <w:vertAlign w:val="superscript"/>
        </w:rPr>
      </w:pPr>
      <w:r>
        <w:t>I</w:t>
      </w:r>
      <w:r w:rsidR="00314907" w:rsidRPr="00CB51F6">
        <w:t xml:space="preserve">ncludes country-level </w:t>
      </w:r>
      <w:r w:rsidR="002E2E8A" w:rsidRPr="00CB51F6">
        <w:t xml:space="preserve">funding </w:t>
      </w:r>
      <w:r w:rsidR="001E3FDA" w:rsidRPr="00CB51F6">
        <w:t xml:space="preserve">provided through EOLs </w:t>
      </w:r>
      <w:r w:rsidR="000E6672" w:rsidRPr="00CB51F6">
        <w:t xml:space="preserve">but </w:t>
      </w:r>
      <w:r w:rsidR="002168EC" w:rsidRPr="00CB51F6">
        <w:t xml:space="preserve">excludes all </w:t>
      </w:r>
      <w:r w:rsidR="007B64E8" w:rsidRPr="00CB51F6">
        <w:t>SPF core funding</w:t>
      </w:r>
      <w:r w:rsidR="00EF7377" w:rsidRPr="00CB51F6">
        <w:t xml:space="preserve"> (as </w:t>
      </w:r>
      <w:r w:rsidR="00C939D4" w:rsidRPr="00CB51F6">
        <w:t xml:space="preserve">DFAT exempts </w:t>
      </w:r>
      <w:r>
        <w:t xml:space="preserve">partner </w:t>
      </w:r>
      <w:r w:rsidR="00EF7377" w:rsidRPr="00CB51F6">
        <w:t xml:space="preserve">core funding from PPAs and </w:t>
      </w:r>
      <w:r w:rsidR="00C939D4" w:rsidRPr="00CB51F6">
        <w:t>H</w:t>
      </w:r>
      <w:r w:rsidR="00EF7377" w:rsidRPr="00CB51F6">
        <w:t>IMR</w:t>
      </w:r>
      <w:r w:rsidR="00C939D4" w:rsidRPr="00CB51F6">
        <w:t xml:space="preserve"> quality assurance processes</w:t>
      </w:r>
      <w:r w:rsidR="00EF7377" w:rsidRPr="00CB51F6">
        <w:t>)</w:t>
      </w:r>
      <w:r>
        <w:t xml:space="preserve">, and </w:t>
      </w:r>
    </w:p>
    <w:p w14:paraId="2B9A2BEE" w14:textId="482FCD27" w:rsidR="00880DD2" w:rsidRPr="00CB51F6" w:rsidRDefault="00CB51F6" w:rsidP="00D04DA3">
      <w:pPr>
        <w:pStyle w:val="BodyText"/>
        <w:numPr>
          <w:ilvl w:val="0"/>
          <w:numId w:val="31"/>
        </w:numPr>
      </w:pPr>
      <w:r>
        <w:t>I</w:t>
      </w:r>
      <w:r w:rsidR="000E6672" w:rsidRPr="00CB51F6">
        <w:t>ncludes all investment level humanitarian partners</w:t>
      </w:r>
      <w:r w:rsidR="002168EC" w:rsidRPr="00CB51F6">
        <w:t xml:space="preserve"> beyond SPF partners</w:t>
      </w:r>
      <w:r w:rsidR="000E6672" w:rsidRPr="00CB51F6">
        <w:t xml:space="preserve">, </w:t>
      </w:r>
      <w:r w:rsidR="001A2E06" w:rsidRPr="00CB51F6">
        <w:t>including other multilaterals (IOM, UNFPA, UNICEF)</w:t>
      </w:r>
      <w:r w:rsidR="006C561B" w:rsidRPr="00CB51F6">
        <w:t xml:space="preserve"> and</w:t>
      </w:r>
      <w:r w:rsidR="001A2E06" w:rsidRPr="00CB51F6">
        <w:t xml:space="preserve"> non-government organisations</w:t>
      </w:r>
      <w:r w:rsidR="00C3760F" w:rsidRPr="00CB51F6">
        <w:t xml:space="preserve"> outside the scope of this evaluation</w:t>
      </w:r>
      <w:r w:rsidR="00D0128E" w:rsidRPr="00CB51F6">
        <w:t>.</w:t>
      </w:r>
      <w:r w:rsidR="001A2E06" w:rsidRPr="00CB51F6">
        <w:t xml:space="preserve"> </w:t>
      </w:r>
    </w:p>
    <w:p w14:paraId="626AA966" w14:textId="7588138B" w:rsidR="00475447" w:rsidRDefault="000A61B5" w:rsidP="00475447">
      <w:pPr>
        <w:spacing w:before="240"/>
        <w:rPr>
          <w:rFonts w:ascii="Arial" w:eastAsia="Arial" w:hAnsi="Arial" w:cs="Arial"/>
        </w:rPr>
      </w:pPr>
      <w:r>
        <w:rPr>
          <w:rFonts w:ascii="Arial" w:eastAsia="Arial" w:hAnsi="Arial" w:cs="Arial"/>
        </w:rPr>
        <w:t>PPA data also excludes all SPF core funding,</w:t>
      </w:r>
      <w:r w:rsidR="005C4E63">
        <w:rPr>
          <w:rFonts w:ascii="Arial" w:eastAsia="Arial" w:hAnsi="Arial" w:cs="Arial"/>
        </w:rPr>
        <w:t xml:space="preserve"> and</w:t>
      </w:r>
      <w:r>
        <w:rPr>
          <w:rFonts w:ascii="Arial" w:eastAsia="Arial" w:hAnsi="Arial" w:cs="Arial"/>
        </w:rPr>
        <w:t xml:space="preserve"> </w:t>
      </w:r>
      <w:r w:rsidR="0014395D">
        <w:rPr>
          <w:rFonts w:ascii="Arial" w:eastAsia="Arial" w:hAnsi="Arial" w:cs="Arial"/>
        </w:rPr>
        <w:t>all</w:t>
      </w:r>
      <w:r w:rsidR="00DB19A2">
        <w:rPr>
          <w:rFonts w:ascii="Arial" w:eastAsia="Arial" w:hAnsi="Arial" w:cs="Arial"/>
        </w:rPr>
        <w:t xml:space="preserve"> </w:t>
      </w:r>
      <w:r w:rsidR="0014395D">
        <w:rPr>
          <w:rFonts w:ascii="Arial" w:eastAsia="Arial" w:hAnsi="Arial" w:cs="Arial"/>
        </w:rPr>
        <w:t>partnerships under</w:t>
      </w:r>
      <w:r w:rsidR="00DB19A2">
        <w:rPr>
          <w:rFonts w:ascii="Arial" w:eastAsia="Arial" w:hAnsi="Arial" w:cs="Arial"/>
        </w:rPr>
        <w:t xml:space="preserve"> </w:t>
      </w:r>
      <w:r w:rsidR="003F5653">
        <w:rPr>
          <w:rFonts w:ascii="Arial" w:eastAsia="Arial" w:hAnsi="Arial" w:cs="Arial"/>
        </w:rPr>
        <w:t>AUD</w:t>
      </w:r>
      <w:r w:rsidR="00DB19A2">
        <w:rPr>
          <w:rFonts w:ascii="Arial" w:eastAsia="Arial" w:hAnsi="Arial" w:cs="Arial"/>
        </w:rPr>
        <w:t>3 million.</w:t>
      </w:r>
      <w:r w:rsidR="00EC1636">
        <w:rPr>
          <w:rFonts w:ascii="Arial" w:eastAsia="Arial" w:hAnsi="Arial" w:cs="Arial"/>
        </w:rPr>
        <w:t xml:space="preserve"> The </w:t>
      </w:r>
      <w:r w:rsidR="00631562">
        <w:rPr>
          <w:rFonts w:ascii="Arial" w:eastAsia="Arial" w:hAnsi="Arial" w:cs="Arial"/>
        </w:rPr>
        <w:t>Evaluation Team</w:t>
      </w:r>
      <w:r w:rsidR="00EC1636">
        <w:rPr>
          <w:rFonts w:ascii="Arial" w:eastAsia="Arial" w:hAnsi="Arial" w:cs="Arial"/>
        </w:rPr>
        <w:t xml:space="preserve"> does not consider the HIMRs or PPAs to provide a more </w:t>
      </w:r>
      <w:r w:rsidR="00415075">
        <w:rPr>
          <w:rFonts w:ascii="Arial" w:eastAsia="Arial" w:hAnsi="Arial" w:cs="Arial"/>
        </w:rPr>
        <w:t>robus</w:t>
      </w:r>
      <w:r w:rsidR="008A6CC7">
        <w:rPr>
          <w:rFonts w:ascii="Arial" w:eastAsia="Arial" w:hAnsi="Arial" w:cs="Arial"/>
        </w:rPr>
        <w:t xml:space="preserve">t </w:t>
      </w:r>
      <w:r w:rsidR="00EC1636">
        <w:rPr>
          <w:rFonts w:ascii="Arial" w:eastAsia="Arial" w:hAnsi="Arial" w:cs="Arial"/>
        </w:rPr>
        <w:t xml:space="preserve">assessment of performance against the </w:t>
      </w:r>
      <w:r w:rsidR="00676E93">
        <w:rPr>
          <w:rFonts w:ascii="Arial" w:eastAsia="Arial" w:hAnsi="Arial" w:cs="Arial"/>
        </w:rPr>
        <w:t>shared partnership objectives</w:t>
      </w:r>
      <w:r w:rsidR="000C7C96">
        <w:rPr>
          <w:rFonts w:ascii="Arial" w:eastAsia="Arial" w:hAnsi="Arial" w:cs="Arial"/>
        </w:rPr>
        <w:t xml:space="preserve"> and deliverables of the SPFs than the </w:t>
      </w:r>
      <w:r w:rsidR="004E4471">
        <w:rPr>
          <w:rFonts w:ascii="Arial" w:eastAsia="Arial" w:hAnsi="Arial" w:cs="Arial"/>
        </w:rPr>
        <w:t>Performance Arrangement</w:t>
      </w:r>
      <w:r w:rsidR="00155E12">
        <w:rPr>
          <w:rFonts w:ascii="Arial" w:eastAsia="Arial" w:hAnsi="Arial" w:cs="Arial"/>
        </w:rPr>
        <w:t xml:space="preserve"> reports</w:t>
      </w:r>
      <w:r w:rsidR="00E47D3A">
        <w:rPr>
          <w:rFonts w:ascii="Arial" w:eastAsia="Arial" w:hAnsi="Arial" w:cs="Arial"/>
        </w:rPr>
        <w:t>. In addition to the limitations listed above, HIMRs and PPAs</w:t>
      </w:r>
      <w:r w:rsidR="00D0128E">
        <w:rPr>
          <w:rFonts w:ascii="Arial" w:eastAsia="Arial" w:hAnsi="Arial" w:cs="Arial"/>
        </w:rPr>
        <w:t xml:space="preserve"> </w:t>
      </w:r>
      <w:r w:rsidR="00E47D3A">
        <w:rPr>
          <w:rFonts w:ascii="Arial" w:eastAsia="Arial" w:hAnsi="Arial" w:cs="Arial"/>
        </w:rPr>
        <w:t xml:space="preserve">apply a </w:t>
      </w:r>
      <w:r w:rsidR="00C70F99">
        <w:rPr>
          <w:rFonts w:ascii="Arial" w:eastAsia="Arial" w:hAnsi="Arial" w:cs="Arial"/>
        </w:rPr>
        <w:t>different criterion</w:t>
      </w:r>
      <w:r w:rsidR="00D0128E">
        <w:rPr>
          <w:rFonts w:ascii="Arial" w:eastAsia="Arial" w:hAnsi="Arial" w:cs="Arial"/>
        </w:rPr>
        <w:t xml:space="preserve"> </w:t>
      </w:r>
      <w:r w:rsidR="00E47D3A">
        <w:rPr>
          <w:rFonts w:ascii="Arial" w:eastAsia="Arial" w:hAnsi="Arial" w:cs="Arial"/>
        </w:rPr>
        <w:t>to</w:t>
      </w:r>
      <w:r w:rsidR="00D0128E">
        <w:rPr>
          <w:rFonts w:ascii="Arial" w:eastAsia="Arial" w:hAnsi="Arial" w:cs="Arial"/>
        </w:rPr>
        <w:t xml:space="preserve"> the </w:t>
      </w:r>
      <w:r w:rsidR="00676E93">
        <w:rPr>
          <w:rFonts w:ascii="Arial" w:eastAsia="Arial" w:hAnsi="Arial" w:cs="Arial"/>
        </w:rPr>
        <w:t>shared partnership objectives</w:t>
      </w:r>
      <w:r w:rsidR="00D0128E">
        <w:rPr>
          <w:rFonts w:ascii="Arial" w:eastAsia="Arial" w:hAnsi="Arial" w:cs="Arial"/>
        </w:rPr>
        <w:t xml:space="preserve"> and deliverables</w:t>
      </w:r>
      <w:r w:rsidR="000C7C96">
        <w:rPr>
          <w:rFonts w:ascii="Arial" w:eastAsia="Arial" w:hAnsi="Arial" w:cs="Arial"/>
        </w:rPr>
        <w:t xml:space="preserve">. </w:t>
      </w:r>
      <w:r w:rsidR="006371AE">
        <w:rPr>
          <w:rFonts w:ascii="Arial" w:eastAsia="Arial" w:hAnsi="Arial" w:cs="Arial"/>
        </w:rPr>
        <w:t xml:space="preserve">The team has however </w:t>
      </w:r>
      <w:r w:rsidR="003F00A4">
        <w:rPr>
          <w:rFonts w:ascii="Arial" w:eastAsia="Arial" w:hAnsi="Arial" w:cs="Arial"/>
        </w:rPr>
        <w:t xml:space="preserve">reviewed HIMR </w:t>
      </w:r>
      <w:r w:rsidR="00477A93">
        <w:rPr>
          <w:rFonts w:ascii="Arial" w:eastAsia="Arial" w:hAnsi="Arial" w:cs="Arial"/>
        </w:rPr>
        <w:t>data</w:t>
      </w:r>
      <w:r w:rsidR="003F00A4">
        <w:rPr>
          <w:rFonts w:ascii="Arial" w:eastAsia="Arial" w:hAnsi="Arial" w:cs="Arial"/>
        </w:rPr>
        <w:t xml:space="preserve"> for completion</w:t>
      </w:r>
      <w:r w:rsidR="00B176F6">
        <w:rPr>
          <w:rFonts w:ascii="Arial" w:eastAsia="Arial" w:hAnsi="Arial" w:cs="Arial"/>
        </w:rPr>
        <w:t xml:space="preserve"> and on DFAT request</w:t>
      </w:r>
      <w:r w:rsidR="003F00A4">
        <w:rPr>
          <w:rFonts w:ascii="Arial" w:eastAsia="Arial" w:hAnsi="Arial" w:cs="Arial"/>
        </w:rPr>
        <w:t>.</w:t>
      </w:r>
      <w:r w:rsidR="00475447" w:rsidRPr="00475447">
        <w:rPr>
          <w:rFonts w:ascii="Arial" w:eastAsia="Arial" w:hAnsi="Arial" w:cs="Arial"/>
        </w:rPr>
        <w:t xml:space="preserve"> </w:t>
      </w:r>
      <w:r w:rsidR="003F5653">
        <w:rPr>
          <w:rFonts w:ascii="Arial" w:eastAsia="Arial" w:hAnsi="Arial" w:cs="Arial"/>
        </w:rPr>
        <w:t>It found that a</w:t>
      </w:r>
      <w:r w:rsidR="003F00A4" w:rsidRPr="00475447">
        <w:rPr>
          <w:rFonts w:ascii="Arial" w:eastAsia="Arial" w:hAnsi="Arial" w:cs="Arial"/>
        </w:rPr>
        <w:t xml:space="preserve">ggregate </w:t>
      </w:r>
      <w:r w:rsidR="007B6EC1">
        <w:rPr>
          <w:rFonts w:ascii="Arial" w:eastAsia="Arial" w:hAnsi="Arial" w:cs="Arial"/>
        </w:rPr>
        <w:t>HIMR</w:t>
      </w:r>
      <w:r w:rsidR="00475447" w:rsidRPr="00475447">
        <w:rPr>
          <w:rFonts w:ascii="Arial" w:eastAsia="Arial" w:hAnsi="Arial" w:cs="Arial"/>
        </w:rPr>
        <w:t xml:space="preserve"> scores for </w:t>
      </w:r>
      <w:r w:rsidR="00837947">
        <w:rPr>
          <w:rFonts w:ascii="Arial" w:eastAsia="Arial" w:hAnsi="Arial" w:cs="Arial"/>
        </w:rPr>
        <w:t xml:space="preserve">DFAT’s </w:t>
      </w:r>
      <w:r w:rsidR="003C2843">
        <w:rPr>
          <w:rFonts w:ascii="Arial" w:eastAsia="Arial" w:hAnsi="Arial" w:cs="Arial"/>
        </w:rPr>
        <w:t>H</w:t>
      </w:r>
      <w:r w:rsidR="00134F13">
        <w:rPr>
          <w:rFonts w:ascii="Arial" w:eastAsia="Arial" w:hAnsi="Arial" w:cs="Arial"/>
        </w:rPr>
        <w:t xml:space="preserve">PD </w:t>
      </w:r>
      <w:r w:rsidR="00475447" w:rsidRPr="00475447">
        <w:rPr>
          <w:rFonts w:ascii="Arial" w:eastAsia="Arial" w:hAnsi="Arial" w:cs="Arial"/>
        </w:rPr>
        <w:t>investments (compiled by an additional external provider for the period 2023–2024)</w:t>
      </w:r>
      <w:r w:rsidR="00156227">
        <w:rPr>
          <w:rStyle w:val="FootnoteReference"/>
          <w:rFonts w:ascii="Arial" w:eastAsia="Arial" w:hAnsi="Arial" w:cs="Arial"/>
        </w:rPr>
        <w:footnoteReference w:id="34"/>
      </w:r>
      <w:r w:rsidR="00475447" w:rsidRPr="00475447">
        <w:rPr>
          <w:rFonts w:ascii="Arial" w:eastAsia="Arial" w:hAnsi="Arial" w:cs="Arial"/>
        </w:rPr>
        <w:t xml:space="preserve"> indicated generally strong performance across key criteria. In 2024, HPD investments improved compared to 2023 in the areas of gender equality, protection, efficiency, and effectiveness. However, performance declined on disability equity and connectedness over the same period.</w:t>
      </w:r>
      <w:r w:rsidR="00FE45ED">
        <w:rPr>
          <w:rStyle w:val="FootnoteReference"/>
          <w:rFonts w:ascii="Arial" w:eastAsia="Arial" w:hAnsi="Arial" w:cs="Arial"/>
        </w:rPr>
        <w:footnoteReference w:id="35"/>
      </w:r>
      <w:r w:rsidR="00A07830">
        <w:rPr>
          <w:rFonts w:ascii="Arial" w:eastAsia="Arial" w:hAnsi="Arial" w:cs="Arial"/>
        </w:rPr>
        <w:t xml:space="preserve"> </w:t>
      </w:r>
      <w:r w:rsidR="004F6B3F">
        <w:rPr>
          <w:rFonts w:ascii="Arial" w:eastAsia="Arial" w:hAnsi="Arial" w:cs="Arial"/>
        </w:rPr>
        <w:t>H</w:t>
      </w:r>
      <w:r w:rsidR="00743DB0" w:rsidRPr="00475447">
        <w:rPr>
          <w:rFonts w:ascii="Arial" w:eastAsia="Arial" w:hAnsi="Arial" w:cs="Arial"/>
        </w:rPr>
        <w:t xml:space="preserve">igh average performance scores across HPD programs </w:t>
      </w:r>
      <w:r w:rsidR="004F6B3F">
        <w:rPr>
          <w:rFonts w:ascii="Arial" w:eastAsia="Arial" w:hAnsi="Arial" w:cs="Arial"/>
        </w:rPr>
        <w:t xml:space="preserve">may </w:t>
      </w:r>
      <w:r w:rsidR="00743DB0" w:rsidRPr="00475447">
        <w:rPr>
          <w:rFonts w:ascii="Arial" w:eastAsia="Arial" w:hAnsi="Arial" w:cs="Arial"/>
        </w:rPr>
        <w:t xml:space="preserve">suggest that SPF-associated investments have likely progressed </w:t>
      </w:r>
      <w:r w:rsidR="00A64FF3">
        <w:rPr>
          <w:rFonts w:ascii="Arial" w:eastAsia="Arial" w:hAnsi="Arial" w:cs="Arial"/>
        </w:rPr>
        <w:t xml:space="preserve">in ways that are </w:t>
      </w:r>
      <w:r w:rsidR="00743DB0" w:rsidRPr="00475447">
        <w:rPr>
          <w:rFonts w:ascii="Arial" w:eastAsia="Arial" w:hAnsi="Arial" w:cs="Arial"/>
        </w:rPr>
        <w:t>aligned with the shared partnership objectives and deliverables</w:t>
      </w:r>
      <w:r w:rsidR="00A64FF3">
        <w:rPr>
          <w:rFonts w:ascii="Arial" w:eastAsia="Arial" w:hAnsi="Arial" w:cs="Arial"/>
        </w:rPr>
        <w:t>, however t</w:t>
      </w:r>
      <w:r w:rsidR="004F6B3F">
        <w:rPr>
          <w:rFonts w:ascii="Arial" w:eastAsia="Arial" w:hAnsi="Arial" w:cs="Arial"/>
        </w:rPr>
        <w:t xml:space="preserve">his statement is made with weak confidence. </w:t>
      </w:r>
    </w:p>
    <w:p w14:paraId="68CBDA89" w14:textId="1463D175" w:rsidR="00551D8C" w:rsidRPr="00475447" w:rsidRDefault="00475447" w:rsidP="00475447">
      <w:pPr>
        <w:spacing w:before="240"/>
        <w:rPr>
          <w:rFonts w:ascii="Arial" w:eastAsia="Arial" w:hAnsi="Arial" w:cs="Arial"/>
          <w:b/>
          <w:bCs/>
        </w:rPr>
      </w:pPr>
      <w:r>
        <w:rPr>
          <w:rFonts w:ascii="Arial" w:eastAsia="Arial" w:hAnsi="Arial" w:cs="Arial"/>
          <w:b/>
          <w:bCs/>
        </w:rPr>
        <w:t xml:space="preserve">2.1. </w:t>
      </w:r>
      <w:r w:rsidR="0053362B" w:rsidRPr="00475447">
        <w:rPr>
          <w:rFonts w:ascii="Arial" w:eastAsia="Arial" w:hAnsi="Arial" w:cs="Arial"/>
          <w:b/>
          <w:bCs/>
        </w:rPr>
        <w:t xml:space="preserve">To what extent are the shared objective and deliverables documented in the SPFs aligned to partner mandates? </w:t>
      </w:r>
    </w:p>
    <w:p w14:paraId="3C07A437" w14:textId="4A702EC4" w:rsidR="00FB2BCA" w:rsidRPr="00475447" w:rsidRDefault="00C87082" w:rsidP="009931D5">
      <w:pPr>
        <w:spacing w:before="240"/>
        <w:rPr>
          <w:rFonts w:ascii="Arial" w:eastAsia="Arial" w:hAnsi="Arial" w:cs="Arial"/>
        </w:rPr>
      </w:pPr>
      <w:r>
        <w:rPr>
          <w:rFonts w:ascii="Arial" w:eastAsia="Arial" w:hAnsi="Arial" w:cs="Arial"/>
        </w:rPr>
        <w:t>The shared objectives and deliverables</w:t>
      </w:r>
      <w:r w:rsidR="00950416">
        <w:rPr>
          <w:rFonts w:ascii="Arial" w:eastAsia="Arial" w:hAnsi="Arial" w:cs="Arial"/>
        </w:rPr>
        <w:t xml:space="preserve"> documented in the </w:t>
      </w:r>
      <w:r w:rsidR="02B2FC89">
        <w:rPr>
          <w:rFonts w:ascii="Arial" w:eastAsia="Arial" w:hAnsi="Arial" w:cs="Arial"/>
        </w:rPr>
        <w:t>SPF</w:t>
      </w:r>
      <w:r w:rsidR="674072E9">
        <w:rPr>
          <w:rFonts w:ascii="Arial" w:eastAsia="Arial" w:hAnsi="Arial" w:cs="Arial"/>
        </w:rPr>
        <w:t>s</w:t>
      </w:r>
      <w:r w:rsidR="00950416">
        <w:rPr>
          <w:rFonts w:ascii="Arial" w:eastAsia="Arial" w:hAnsi="Arial" w:cs="Arial"/>
        </w:rPr>
        <w:t xml:space="preserve"> are </w:t>
      </w:r>
      <w:r w:rsidR="00B97EC8">
        <w:rPr>
          <w:rFonts w:ascii="Arial" w:eastAsia="Arial" w:hAnsi="Arial" w:cs="Arial"/>
        </w:rPr>
        <w:t>highly aligned to partner mandates.</w:t>
      </w:r>
      <w:r w:rsidR="001C14FE">
        <w:rPr>
          <w:rFonts w:ascii="Arial" w:eastAsia="Arial" w:hAnsi="Arial" w:cs="Arial"/>
        </w:rPr>
        <w:t xml:space="preserve"> </w:t>
      </w:r>
      <w:r w:rsidR="004B615C">
        <w:rPr>
          <w:rFonts w:ascii="Arial" w:eastAsia="Arial" w:hAnsi="Arial" w:cs="Arial"/>
        </w:rPr>
        <w:t>Around half of the</w:t>
      </w:r>
      <w:r w:rsidR="00B71CA9">
        <w:rPr>
          <w:rFonts w:ascii="Arial" w:eastAsia="Arial" w:hAnsi="Arial" w:cs="Arial"/>
        </w:rPr>
        <w:t xml:space="preserve"> </w:t>
      </w:r>
      <w:r w:rsidR="00FB2BCA" w:rsidRPr="00475447">
        <w:rPr>
          <w:rFonts w:ascii="Arial" w:eastAsia="Arial" w:hAnsi="Arial" w:cs="Arial"/>
        </w:rPr>
        <w:t>120 shared partnership objectives and deliverables</w:t>
      </w:r>
      <w:r w:rsidR="00B71CA9">
        <w:rPr>
          <w:rFonts w:ascii="Arial" w:eastAsia="Arial" w:hAnsi="Arial" w:cs="Arial"/>
        </w:rPr>
        <w:t xml:space="preserve"> </w:t>
      </w:r>
      <w:r w:rsidR="00950416">
        <w:rPr>
          <w:rFonts w:ascii="Arial" w:eastAsia="Arial" w:hAnsi="Arial" w:cs="Arial"/>
        </w:rPr>
        <w:t>contain common themes</w:t>
      </w:r>
      <w:r w:rsidR="00001323">
        <w:rPr>
          <w:rFonts w:ascii="Arial" w:eastAsia="Arial" w:hAnsi="Arial" w:cs="Arial"/>
        </w:rPr>
        <w:t xml:space="preserve"> and </w:t>
      </w:r>
      <w:r w:rsidR="00001323" w:rsidRPr="007C1932">
        <w:rPr>
          <w:rFonts w:ascii="Arial" w:eastAsia="Arial" w:hAnsi="Arial" w:cs="Arial"/>
        </w:rPr>
        <w:t>language</w:t>
      </w:r>
      <w:r w:rsidR="00950416" w:rsidRPr="007C1932">
        <w:rPr>
          <w:rFonts w:ascii="Arial" w:eastAsia="Arial" w:hAnsi="Arial" w:cs="Arial"/>
        </w:rPr>
        <w:t xml:space="preserve">, </w:t>
      </w:r>
      <w:r w:rsidR="00001323" w:rsidRPr="007C1932">
        <w:rPr>
          <w:rFonts w:ascii="Arial" w:eastAsia="Arial" w:hAnsi="Arial" w:cs="Arial"/>
        </w:rPr>
        <w:t>particularly related to</w:t>
      </w:r>
      <w:r w:rsidR="00134F13" w:rsidRPr="007C1932">
        <w:rPr>
          <w:rFonts w:ascii="Arial" w:eastAsia="Arial" w:hAnsi="Arial" w:cs="Arial"/>
        </w:rPr>
        <w:t xml:space="preserve"> GEDSI</w:t>
      </w:r>
      <w:r w:rsidR="00FB2BCA" w:rsidRPr="007C1932">
        <w:rPr>
          <w:rFonts w:ascii="Arial" w:eastAsia="Arial" w:hAnsi="Arial" w:cs="Arial"/>
        </w:rPr>
        <w:t xml:space="preserve">, </w:t>
      </w:r>
      <w:r w:rsidR="006E7A7F" w:rsidRPr="007C1932">
        <w:rPr>
          <w:rFonts w:ascii="Arial" w:eastAsia="Arial" w:hAnsi="Arial" w:cs="Arial"/>
        </w:rPr>
        <w:t>an Indo</w:t>
      </w:r>
      <w:r w:rsidR="009554BC">
        <w:rPr>
          <w:rFonts w:ascii="Arial" w:eastAsia="Arial" w:hAnsi="Arial" w:cs="Arial"/>
        </w:rPr>
        <w:t>-</w:t>
      </w:r>
      <w:r w:rsidR="006E7A7F" w:rsidRPr="007C1932">
        <w:rPr>
          <w:rFonts w:ascii="Arial" w:eastAsia="Arial" w:hAnsi="Arial" w:cs="Arial"/>
        </w:rPr>
        <w:t xml:space="preserve">Pacific focus, </w:t>
      </w:r>
      <w:r w:rsidR="00FB2BCA" w:rsidRPr="007C1932">
        <w:rPr>
          <w:rFonts w:ascii="Arial" w:eastAsia="Arial" w:hAnsi="Arial" w:cs="Arial"/>
        </w:rPr>
        <w:t>localisation, and multilateral cooperation</w:t>
      </w:r>
      <w:r w:rsidR="00881DE7" w:rsidRPr="007C1932">
        <w:rPr>
          <w:rFonts w:ascii="Arial" w:eastAsia="Arial" w:hAnsi="Arial" w:cs="Arial"/>
        </w:rPr>
        <w:t xml:space="preserve"> (see </w:t>
      </w:r>
      <w:r w:rsidR="00FA6018" w:rsidRPr="00873DD3">
        <w:rPr>
          <w:rFonts w:ascii="Arial" w:eastAsia="Arial" w:hAnsi="Arial" w:cs="Arial"/>
        </w:rPr>
        <w:t>K</w:t>
      </w:r>
      <w:r w:rsidR="002F43C8" w:rsidRPr="00873DD3">
        <w:rPr>
          <w:rFonts w:ascii="Arial" w:eastAsia="Arial" w:hAnsi="Arial" w:cs="Arial"/>
        </w:rPr>
        <w:t>EQ 2</w:t>
      </w:r>
      <w:r w:rsidR="003F5653">
        <w:rPr>
          <w:rFonts w:ascii="Arial" w:eastAsia="Arial" w:hAnsi="Arial" w:cs="Arial"/>
        </w:rPr>
        <w:t xml:space="preserve"> for further discussion</w:t>
      </w:r>
      <w:r w:rsidR="002F43C8" w:rsidRPr="007C1932">
        <w:rPr>
          <w:rFonts w:ascii="Arial" w:eastAsia="Arial" w:hAnsi="Arial" w:cs="Arial"/>
        </w:rPr>
        <w:t>)</w:t>
      </w:r>
      <w:r w:rsidR="00661CC7" w:rsidRPr="007C1932">
        <w:rPr>
          <w:rFonts w:ascii="Arial" w:eastAsia="Arial" w:hAnsi="Arial" w:cs="Arial"/>
        </w:rPr>
        <w:t xml:space="preserve">. However, </w:t>
      </w:r>
      <w:r w:rsidR="006E7A7F" w:rsidRPr="007C1932">
        <w:rPr>
          <w:rFonts w:ascii="Arial" w:eastAsia="Arial" w:hAnsi="Arial" w:cs="Arial"/>
        </w:rPr>
        <w:t>the remaining 60</w:t>
      </w:r>
      <w:r w:rsidR="00B11BC0" w:rsidRPr="007C1932">
        <w:rPr>
          <w:rFonts w:ascii="Arial" w:eastAsia="Arial" w:hAnsi="Arial" w:cs="Arial"/>
        </w:rPr>
        <w:t xml:space="preserve"> commitments contain</w:t>
      </w:r>
      <w:r w:rsidR="00A75378" w:rsidRPr="007C1932">
        <w:rPr>
          <w:rFonts w:ascii="Arial" w:eastAsia="Arial" w:hAnsi="Arial" w:cs="Arial"/>
        </w:rPr>
        <w:t xml:space="preserve"> specific language which is </w:t>
      </w:r>
      <w:r w:rsidR="007E25E9" w:rsidRPr="007C1932">
        <w:rPr>
          <w:rFonts w:ascii="Arial" w:eastAsia="Arial" w:hAnsi="Arial" w:cs="Arial"/>
        </w:rPr>
        <w:t xml:space="preserve">tailored </w:t>
      </w:r>
      <w:r w:rsidR="00A75378" w:rsidRPr="007C1932">
        <w:rPr>
          <w:rFonts w:ascii="Arial" w:eastAsia="Arial" w:hAnsi="Arial" w:cs="Arial"/>
        </w:rPr>
        <w:t>to</w:t>
      </w:r>
      <w:r w:rsidR="001E1FDC" w:rsidRPr="007C1932">
        <w:rPr>
          <w:rFonts w:ascii="Arial" w:eastAsia="Arial" w:hAnsi="Arial" w:cs="Arial"/>
        </w:rPr>
        <w:t xml:space="preserve"> partner mandates</w:t>
      </w:r>
      <w:r w:rsidR="001E1FDC">
        <w:rPr>
          <w:rFonts w:ascii="Arial" w:eastAsia="Arial" w:hAnsi="Arial" w:cs="Arial"/>
        </w:rPr>
        <w:t xml:space="preserve">. </w:t>
      </w:r>
      <w:r w:rsidR="009931D5">
        <w:rPr>
          <w:rFonts w:ascii="Arial" w:eastAsia="Arial" w:hAnsi="Arial" w:cs="Arial"/>
        </w:rPr>
        <w:t xml:space="preserve">Examples </w:t>
      </w:r>
      <w:r w:rsidR="00822CEF">
        <w:rPr>
          <w:rFonts w:ascii="Arial" w:eastAsia="Arial" w:hAnsi="Arial" w:cs="Arial"/>
        </w:rPr>
        <w:t>includ</w:t>
      </w:r>
      <w:r w:rsidR="00A75378">
        <w:rPr>
          <w:rFonts w:ascii="Arial" w:eastAsia="Arial" w:hAnsi="Arial" w:cs="Arial"/>
        </w:rPr>
        <w:t>e</w:t>
      </w:r>
      <w:r w:rsidR="00822CEF">
        <w:rPr>
          <w:rFonts w:ascii="Arial" w:eastAsia="Arial" w:hAnsi="Arial" w:cs="Arial"/>
        </w:rPr>
        <w:t xml:space="preserve"> a focus on refugees and </w:t>
      </w:r>
      <w:r w:rsidR="00A75378">
        <w:rPr>
          <w:rFonts w:ascii="Arial" w:eastAsia="Arial" w:hAnsi="Arial" w:cs="Arial"/>
        </w:rPr>
        <w:t>resettl</w:t>
      </w:r>
      <w:r w:rsidR="0039208E">
        <w:rPr>
          <w:rFonts w:ascii="Arial" w:eastAsia="Arial" w:hAnsi="Arial" w:cs="Arial"/>
        </w:rPr>
        <w:t xml:space="preserve">ement in the </w:t>
      </w:r>
      <w:r w:rsidR="00CA1F51">
        <w:rPr>
          <w:rFonts w:ascii="Arial" w:eastAsia="Arial" w:hAnsi="Arial" w:cs="Arial"/>
        </w:rPr>
        <w:t xml:space="preserve">UNHCR </w:t>
      </w:r>
      <w:r w:rsidR="009931D5">
        <w:rPr>
          <w:rFonts w:ascii="Arial" w:eastAsia="Arial" w:hAnsi="Arial" w:cs="Arial"/>
        </w:rPr>
        <w:t>SPF</w:t>
      </w:r>
      <w:r w:rsidR="00745985">
        <w:rPr>
          <w:rFonts w:ascii="Arial" w:eastAsia="Arial" w:hAnsi="Arial" w:cs="Arial"/>
        </w:rPr>
        <w:t xml:space="preserve"> which align</w:t>
      </w:r>
      <w:r w:rsidR="009C7494">
        <w:rPr>
          <w:rFonts w:ascii="Arial" w:eastAsia="Arial" w:hAnsi="Arial" w:cs="Arial"/>
        </w:rPr>
        <w:t>s</w:t>
      </w:r>
      <w:r w:rsidR="00745985">
        <w:rPr>
          <w:rFonts w:ascii="Arial" w:eastAsia="Arial" w:hAnsi="Arial" w:cs="Arial"/>
        </w:rPr>
        <w:t xml:space="preserve"> with Home Affairs</w:t>
      </w:r>
      <w:r w:rsidR="003F5653">
        <w:rPr>
          <w:rFonts w:ascii="Arial" w:eastAsia="Arial" w:hAnsi="Arial" w:cs="Arial"/>
        </w:rPr>
        <w:t>’</w:t>
      </w:r>
      <w:r w:rsidR="00745985">
        <w:rPr>
          <w:rFonts w:ascii="Arial" w:eastAsia="Arial" w:hAnsi="Arial" w:cs="Arial"/>
        </w:rPr>
        <w:t xml:space="preserve"> equities as a </w:t>
      </w:r>
      <w:r w:rsidR="00E2200C">
        <w:rPr>
          <w:rFonts w:ascii="Arial" w:eastAsia="Arial" w:hAnsi="Arial" w:cs="Arial"/>
        </w:rPr>
        <w:t>partner to</w:t>
      </w:r>
      <w:r w:rsidR="00745985">
        <w:rPr>
          <w:rFonts w:ascii="Arial" w:eastAsia="Arial" w:hAnsi="Arial" w:cs="Arial"/>
        </w:rPr>
        <w:t xml:space="preserve"> the UNHCR SPF</w:t>
      </w:r>
      <w:r w:rsidR="003F5653">
        <w:rPr>
          <w:rFonts w:ascii="Arial" w:eastAsia="Arial" w:hAnsi="Arial" w:cs="Arial"/>
        </w:rPr>
        <w:t>,</w:t>
      </w:r>
      <w:r w:rsidR="009C7494">
        <w:rPr>
          <w:rStyle w:val="FootnoteReference"/>
          <w:rFonts w:ascii="Arial" w:eastAsia="Arial" w:hAnsi="Arial" w:cs="Arial"/>
        </w:rPr>
        <w:footnoteReference w:id="36"/>
      </w:r>
      <w:r w:rsidR="009931D5">
        <w:rPr>
          <w:rFonts w:ascii="Arial" w:eastAsia="Arial" w:hAnsi="Arial" w:cs="Arial"/>
        </w:rPr>
        <w:t xml:space="preserve"> and </w:t>
      </w:r>
      <w:r w:rsidR="006D311C">
        <w:rPr>
          <w:rFonts w:ascii="Arial" w:eastAsia="Arial" w:hAnsi="Arial" w:cs="Arial"/>
        </w:rPr>
        <w:t>a shared objective to support international humanitarian law under the ICRC SPF.</w:t>
      </w:r>
      <w:r w:rsidR="006D311C">
        <w:rPr>
          <w:rStyle w:val="FootnoteReference"/>
          <w:rFonts w:ascii="Arial" w:eastAsia="Arial" w:hAnsi="Arial" w:cs="Arial"/>
        </w:rPr>
        <w:footnoteReference w:id="37"/>
      </w:r>
      <w:r w:rsidR="006D311C">
        <w:rPr>
          <w:rFonts w:ascii="Arial" w:eastAsia="Arial" w:hAnsi="Arial" w:cs="Arial"/>
        </w:rPr>
        <w:t xml:space="preserve"> </w:t>
      </w:r>
    </w:p>
    <w:p w14:paraId="6B1831F4" w14:textId="6F6EA9A9" w:rsidR="0053362B" w:rsidRDefault="0053362B" w:rsidP="001C14FE">
      <w:pPr>
        <w:spacing w:before="240"/>
        <w:rPr>
          <w:rFonts w:ascii="Arial" w:eastAsia="Arial" w:hAnsi="Arial" w:cs="Arial"/>
        </w:rPr>
      </w:pPr>
      <w:r>
        <w:rPr>
          <w:rFonts w:ascii="Arial" w:eastAsia="Arial" w:hAnsi="Arial" w:cs="Arial"/>
        </w:rPr>
        <w:t xml:space="preserve">Partners reported a very high degree of alignment between the SPF strategic objectives and their own mandates, both through the survey and key informant interviews. </w:t>
      </w:r>
      <w:r w:rsidR="00134F13">
        <w:rPr>
          <w:rFonts w:ascii="Arial" w:eastAsia="Arial" w:hAnsi="Arial" w:cs="Arial"/>
        </w:rPr>
        <w:t xml:space="preserve">For instance, </w:t>
      </w:r>
      <w:r w:rsidR="00221DF5">
        <w:rPr>
          <w:rFonts w:ascii="Arial" w:eastAsia="Arial" w:hAnsi="Arial" w:cs="Arial"/>
        </w:rPr>
        <w:t>29</w:t>
      </w:r>
      <w:r>
        <w:rPr>
          <w:rFonts w:ascii="Arial" w:eastAsia="Arial" w:hAnsi="Arial" w:cs="Arial"/>
        </w:rPr>
        <w:t xml:space="preserve"> of </w:t>
      </w:r>
      <w:r w:rsidR="0058154C">
        <w:rPr>
          <w:rFonts w:ascii="Arial" w:eastAsia="Arial" w:hAnsi="Arial" w:cs="Arial"/>
        </w:rPr>
        <w:t>36</w:t>
      </w:r>
      <w:r>
        <w:rPr>
          <w:rFonts w:ascii="Arial" w:eastAsia="Arial" w:hAnsi="Arial" w:cs="Arial"/>
        </w:rPr>
        <w:t xml:space="preserve"> SPF partners </w:t>
      </w:r>
      <w:r>
        <w:rPr>
          <w:rFonts w:ascii="Arial" w:eastAsia="Arial" w:hAnsi="Arial" w:cs="Arial"/>
        </w:rPr>
        <w:lastRenderedPageBreak/>
        <w:t xml:space="preserve">surveyed said the objectives were </w:t>
      </w:r>
      <w:r w:rsidR="00134F13">
        <w:rPr>
          <w:rFonts w:ascii="Arial" w:eastAsia="Arial" w:hAnsi="Arial" w:cs="Arial"/>
        </w:rPr>
        <w:t>“</w:t>
      </w:r>
      <w:r>
        <w:rPr>
          <w:rFonts w:ascii="Arial" w:eastAsia="Arial" w:hAnsi="Arial" w:cs="Arial"/>
        </w:rPr>
        <w:t>very aligned</w:t>
      </w:r>
      <w:r w:rsidR="00134F13">
        <w:rPr>
          <w:rFonts w:ascii="Arial" w:eastAsia="Arial" w:hAnsi="Arial" w:cs="Arial"/>
        </w:rPr>
        <w:t>”</w:t>
      </w:r>
      <w:r w:rsidR="00C85C1A">
        <w:rPr>
          <w:rFonts w:ascii="Arial" w:eastAsia="Arial" w:hAnsi="Arial" w:cs="Arial"/>
        </w:rPr>
        <w:t xml:space="preserve"> to their mandates</w:t>
      </w:r>
      <w:r w:rsidR="00221DF5">
        <w:rPr>
          <w:rFonts w:ascii="Arial" w:eastAsia="Arial" w:hAnsi="Arial" w:cs="Arial"/>
        </w:rPr>
        <w:t xml:space="preserve"> and </w:t>
      </w:r>
      <w:r w:rsidR="003F5653">
        <w:rPr>
          <w:rFonts w:ascii="Arial" w:eastAsia="Arial" w:hAnsi="Arial" w:cs="Arial"/>
        </w:rPr>
        <w:t>six</w:t>
      </w:r>
      <w:r w:rsidR="00247A30">
        <w:rPr>
          <w:rFonts w:ascii="Arial" w:eastAsia="Arial" w:hAnsi="Arial" w:cs="Arial"/>
        </w:rPr>
        <w:t xml:space="preserve"> said they were </w:t>
      </w:r>
      <w:r w:rsidR="00134F13">
        <w:rPr>
          <w:rFonts w:ascii="Arial" w:eastAsia="Arial" w:hAnsi="Arial" w:cs="Arial"/>
        </w:rPr>
        <w:t>“</w:t>
      </w:r>
      <w:r w:rsidR="00247A30">
        <w:rPr>
          <w:rFonts w:ascii="Arial" w:eastAsia="Arial" w:hAnsi="Arial" w:cs="Arial"/>
        </w:rPr>
        <w:t>partially aligned</w:t>
      </w:r>
      <w:r w:rsidR="00134F13">
        <w:rPr>
          <w:rFonts w:ascii="Arial" w:eastAsia="Arial" w:hAnsi="Arial" w:cs="Arial"/>
        </w:rPr>
        <w:t>”</w:t>
      </w:r>
      <w:r w:rsidR="00C85C1A">
        <w:rPr>
          <w:rFonts w:ascii="Arial" w:eastAsia="Arial" w:hAnsi="Arial" w:cs="Arial"/>
        </w:rPr>
        <w:t xml:space="preserve"> (one</w:t>
      </w:r>
      <w:r w:rsidR="00134F13">
        <w:rPr>
          <w:rFonts w:ascii="Arial" w:eastAsia="Arial" w:hAnsi="Arial" w:cs="Arial"/>
        </w:rPr>
        <w:t xml:space="preserve"> reported they</w:t>
      </w:r>
      <w:r w:rsidR="00C85C1A">
        <w:rPr>
          <w:rFonts w:ascii="Arial" w:eastAsia="Arial" w:hAnsi="Arial" w:cs="Arial"/>
        </w:rPr>
        <w:t xml:space="preserve"> </w:t>
      </w:r>
      <w:r w:rsidR="00134F13">
        <w:rPr>
          <w:rFonts w:ascii="Arial" w:eastAsia="Arial" w:hAnsi="Arial" w:cs="Arial"/>
        </w:rPr>
        <w:t>“</w:t>
      </w:r>
      <w:r w:rsidR="00C85C1A">
        <w:rPr>
          <w:rFonts w:ascii="Arial" w:eastAsia="Arial" w:hAnsi="Arial" w:cs="Arial"/>
        </w:rPr>
        <w:t>did not know</w:t>
      </w:r>
      <w:r w:rsidR="00134F13">
        <w:rPr>
          <w:rFonts w:ascii="Arial" w:eastAsia="Arial" w:hAnsi="Arial" w:cs="Arial"/>
        </w:rPr>
        <w:t>”</w:t>
      </w:r>
      <w:r w:rsidR="00C85C1A">
        <w:rPr>
          <w:rFonts w:ascii="Arial" w:eastAsia="Arial" w:hAnsi="Arial" w:cs="Arial"/>
        </w:rPr>
        <w:t>)</w:t>
      </w:r>
      <w:r>
        <w:rPr>
          <w:rFonts w:ascii="Arial" w:eastAsia="Arial" w:hAnsi="Arial" w:cs="Arial"/>
        </w:rPr>
        <w:t>.</w:t>
      </w:r>
      <w:r>
        <w:rPr>
          <w:rStyle w:val="FootnoteReference"/>
          <w:rFonts w:ascii="Arial" w:eastAsia="Arial" w:hAnsi="Arial" w:cs="Arial"/>
        </w:rPr>
        <w:footnoteReference w:id="38"/>
      </w:r>
      <w:r w:rsidR="00C85C1A">
        <w:rPr>
          <w:rFonts w:ascii="Arial" w:eastAsia="Arial" w:hAnsi="Arial" w:cs="Arial"/>
        </w:rPr>
        <w:t xml:space="preserve"> </w:t>
      </w:r>
      <w:r w:rsidR="003F5653">
        <w:rPr>
          <w:rFonts w:ascii="Arial" w:eastAsia="Arial" w:hAnsi="Arial" w:cs="Arial"/>
        </w:rPr>
        <w:t xml:space="preserve">Survey responses included the following </w:t>
      </w:r>
      <w:r w:rsidR="008B4BF4">
        <w:rPr>
          <w:rFonts w:ascii="Arial" w:eastAsia="Arial" w:hAnsi="Arial" w:cs="Arial"/>
        </w:rPr>
        <w:t>from</w:t>
      </w:r>
      <w:r w:rsidR="003F5653">
        <w:rPr>
          <w:rFonts w:ascii="Arial" w:eastAsia="Arial" w:hAnsi="Arial" w:cs="Arial"/>
        </w:rPr>
        <w:t xml:space="preserve"> a senior operations coordinator for an SPF partner (May 2025): </w:t>
      </w:r>
    </w:p>
    <w:p w14:paraId="2C37D241" w14:textId="77777777" w:rsidR="00881DE7" w:rsidRPr="00963634" w:rsidRDefault="00881DE7" w:rsidP="00881DE7">
      <w:pPr>
        <w:ind w:left="568"/>
        <w:rPr>
          <w:i/>
          <w:iCs/>
          <w:color w:val="auto"/>
        </w:rPr>
      </w:pPr>
      <w:r w:rsidRPr="00963634">
        <w:rPr>
          <w:i/>
          <w:iCs/>
          <w:color w:val="auto"/>
        </w:rPr>
        <w:t>The SPF and EOL are fully aligned with [our organisation’s] strategic priorities and make an important contribution to the protection of, and services delivered to, the recipients.</w:t>
      </w:r>
    </w:p>
    <w:p w14:paraId="6032ADBA" w14:textId="23426523" w:rsidR="00E43F5B" w:rsidRPr="00DA06A0" w:rsidRDefault="0053362B" w:rsidP="00E17D1A">
      <w:pPr>
        <w:pStyle w:val="ListParagraph"/>
        <w:numPr>
          <w:ilvl w:val="1"/>
          <w:numId w:val="12"/>
        </w:numPr>
        <w:spacing w:before="240"/>
        <w:rPr>
          <w:rFonts w:ascii="Arial" w:eastAsia="Arial" w:hAnsi="Arial" w:cs="Arial"/>
          <w:b/>
          <w:bCs/>
        </w:rPr>
      </w:pPr>
      <w:r w:rsidRPr="00DA06A0">
        <w:rPr>
          <w:rFonts w:ascii="Arial" w:eastAsia="Arial" w:hAnsi="Arial" w:cs="Arial"/>
          <w:b/>
          <w:bCs/>
        </w:rPr>
        <w:t>To what extent are partners monitoring and reporting progress against the shared objectives and deliverables documented in the SPF?</w:t>
      </w:r>
      <w:r w:rsidR="0017320B" w:rsidRPr="00DA06A0">
        <w:rPr>
          <w:rFonts w:ascii="Arial" w:eastAsia="Arial" w:hAnsi="Arial" w:cs="Arial"/>
          <w:b/>
          <w:bCs/>
        </w:rPr>
        <w:t xml:space="preserve"> </w:t>
      </w:r>
    </w:p>
    <w:p w14:paraId="1B6FAF1D" w14:textId="59D4F374" w:rsidR="0010476F" w:rsidRDefault="00B7477F" w:rsidP="0053362B">
      <w:pPr>
        <w:spacing w:before="240"/>
        <w:rPr>
          <w:rFonts w:ascii="Arial" w:eastAsia="Arial" w:hAnsi="Arial" w:cs="Arial"/>
        </w:rPr>
      </w:pPr>
      <w:r>
        <w:rPr>
          <w:rFonts w:ascii="Arial" w:eastAsia="Arial" w:hAnsi="Arial" w:cs="Arial"/>
        </w:rPr>
        <w:t>By design</w:t>
      </w:r>
      <w:r w:rsidR="00CA54CD">
        <w:rPr>
          <w:rFonts w:ascii="Arial" w:eastAsia="Arial" w:hAnsi="Arial" w:cs="Arial"/>
        </w:rPr>
        <w:t xml:space="preserve"> and as specified in the SPFs themselves</w:t>
      </w:r>
      <w:r>
        <w:rPr>
          <w:rFonts w:ascii="Arial" w:eastAsia="Arial" w:hAnsi="Arial" w:cs="Arial"/>
        </w:rPr>
        <w:t>, partners do not monitor and report progress directly against the shared partnership objectives and deliverables documented in SPF</w:t>
      </w:r>
      <w:r w:rsidR="00134F13">
        <w:rPr>
          <w:rFonts w:ascii="Arial" w:eastAsia="Arial" w:hAnsi="Arial" w:cs="Arial"/>
        </w:rPr>
        <w:t>s</w:t>
      </w:r>
      <w:r>
        <w:rPr>
          <w:rFonts w:ascii="Arial" w:eastAsia="Arial" w:hAnsi="Arial" w:cs="Arial"/>
        </w:rPr>
        <w:t xml:space="preserve">. </w:t>
      </w:r>
      <w:r w:rsidR="00134F13">
        <w:rPr>
          <w:rFonts w:ascii="Arial" w:eastAsia="Arial" w:hAnsi="Arial" w:cs="Arial"/>
        </w:rPr>
        <w:t xml:space="preserve">Instead, </w:t>
      </w:r>
      <w:r w:rsidR="0092460E" w:rsidRPr="00696B79">
        <w:rPr>
          <w:rFonts w:ascii="Arial" w:eastAsia="Arial" w:hAnsi="Arial" w:cs="Arial"/>
        </w:rPr>
        <w:t xml:space="preserve">SPFs include standard clauses which note that partners’ “own monitoring and evaluation systems will form the principal basis for performance monitoring and reporting” under the frameworks (see further discussion at </w:t>
      </w:r>
      <w:r w:rsidR="00134F13">
        <w:rPr>
          <w:rFonts w:ascii="Arial" w:eastAsia="Arial" w:hAnsi="Arial" w:cs="Arial"/>
        </w:rPr>
        <w:t>KEQ</w:t>
      </w:r>
      <w:r w:rsidR="003F5653">
        <w:rPr>
          <w:rFonts w:ascii="Arial" w:eastAsia="Arial" w:hAnsi="Arial" w:cs="Arial"/>
        </w:rPr>
        <w:t xml:space="preserve"> </w:t>
      </w:r>
      <w:r w:rsidR="0092460E" w:rsidRPr="00696B79">
        <w:rPr>
          <w:rFonts w:ascii="Arial" w:eastAsia="Arial" w:hAnsi="Arial" w:cs="Arial"/>
        </w:rPr>
        <w:t>3.5).</w:t>
      </w:r>
      <w:r w:rsidR="0092460E" w:rsidRPr="00231080">
        <w:rPr>
          <w:rFonts w:ascii="Arial" w:eastAsia="Arial" w:hAnsi="Arial" w:cs="Arial"/>
          <w:i/>
          <w:iCs/>
        </w:rPr>
        <w:t xml:space="preserve"> </w:t>
      </w:r>
      <w:r w:rsidR="0053362B">
        <w:rPr>
          <w:rFonts w:ascii="Arial" w:eastAsia="Arial" w:hAnsi="Arial" w:cs="Arial"/>
        </w:rPr>
        <w:t xml:space="preserve"> </w:t>
      </w:r>
      <w:r w:rsidR="00183573">
        <w:rPr>
          <w:rFonts w:ascii="Arial" w:eastAsia="Arial" w:hAnsi="Arial" w:cs="Arial"/>
        </w:rPr>
        <w:t xml:space="preserve">Partners therefore do not monitor and report </w:t>
      </w:r>
      <w:r w:rsidR="000A1731">
        <w:rPr>
          <w:rFonts w:ascii="Arial" w:eastAsia="Arial" w:hAnsi="Arial" w:cs="Arial"/>
        </w:rPr>
        <w:t xml:space="preserve">specifically </w:t>
      </w:r>
      <w:r w:rsidR="00183573">
        <w:rPr>
          <w:rFonts w:ascii="Arial" w:eastAsia="Arial" w:hAnsi="Arial" w:cs="Arial"/>
        </w:rPr>
        <w:t xml:space="preserve">against the shared objectives and deliverables as documented in the </w:t>
      </w:r>
      <w:r w:rsidR="00183573" w:rsidRPr="00696B79">
        <w:rPr>
          <w:rFonts w:ascii="Arial" w:eastAsia="Arial" w:hAnsi="Arial" w:cs="Arial"/>
        </w:rPr>
        <w:t>SPFs</w:t>
      </w:r>
      <w:r w:rsidR="004314AE">
        <w:rPr>
          <w:rFonts w:ascii="Arial" w:eastAsia="Arial" w:hAnsi="Arial" w:cs="Arial"/>
        </w:rPr>
        <w:t xml:space="preserve"> for global core funding, or for country level response fund</w:t>
      </w:r>
      <w:r w:rsidR="0093082C">
        <w:rPr>
          <w:rFonts w:ascii="Arial" w:eastAsia="Arial" w:hAnsi="Arial" w:cs="Arial"/>
        </w:rPr>
        <w:t>ed through EOLs</w:t>
      </w:r>
      <w:r w:rsidR="004314AE">
        <w:rPr>
          <w:rFonts w:ascii="Arial" w:eastAsia="Arial" w:hAnsi="Arial" w:cs="Arial"/>
        </w:rPr>
        <w:t>.</w:t>
      </w:r>
    </w:p>
    <w:p w14:paraId="14BE59CC" w14:textId="694B5DF9" w:rsidR="00511084" w:rsidRDefault="008F529A" w:rsidP="00BD2866">
      <w:pPr>
        <w:spacing w:before="240"/>
        <w:rPr>
          <w:rFonts w:ascii="Arial" w:eastAsia="Arial" w:hAnsi="Arial" w:cs="Arial"/>
        </w:rPr>
      </w:pPr>
      <w:r>
        <w:rPr>
          <w:rFonts w:ascii="Arial" w:eastAsia="Arial" w:hAnsi="Arial" w:cs="Arial"/>
        </w:rPr>
        <w:t>At the global level, t</w:t>
      </w:r>
      <w:r w:rsidR="00067A9C">
        <w:rPr>
          <w:rFonts w:ascii="Arial" w:eastAsia="Arial" w:hAnsi="Arial" w:cs="Arial"/>
        </w:rPr>
        <w:t>his</w:t>
      </w:r>
      <w:r w:rsidR="00A90852">
        <w:rPr>
          <w:rFonts w:ascii="Arial" w:eastAsia="Arial" w:hAnsi="Arial" w:cs="Arial"/>
        </w:rPr>
        <w:t xml:space="preserve"> means</w:t>
      </w:r>
      <w:r w:rsidR="00493E3D">
        <w:rPr>
          <w:rFonts w:ascii="Arial" w:eastAsia="Arial" w:hAnsi="Arial" w:cs="Arial"/>
        </w:rPr>
        <w:t xml:space="preserve"> DFAT has</w:t>
      </w:r>
      <w:r w:rsidR="00A90852">
        <w:rPr>
          <w:rFonts w:ascii="Arial" w:eastAsia="Arial" w:hAnsi="Arial" w:cs="Arial"/>
        </w:rPr>
        <w:t xml:space="preserve"> </w:t>
      </w:r>
      <w:r w:rsidR="009B72F1">
        <w:rPr>
          <w:rFonts w:ascii="Arial" w:eastAsia="Arial" w:hAnsi="Arial" w:cs="Arial"/>
        </w:rPr>
        <w:t xml:space="preserve">taken on </w:t>
      </w:r>
      <w:r w:rsidR="00A90852">
        <w:rPr>
          <w:rFonts w:ascii="Arial" w:eastAsia="Arial" w:hAnsi="Arial" w:cs="Arial"/>
        </w:rPr>
        <w:t xml:space="preserve">the responsibility for </w:t>
      </w:r>
      <w:r w:rsidR="004C01BC">
        <w:rPr>
          <w:rFonts w:ascii="Arial" w:eastAsia="Arial" w:hAnsi="Arial" w:cs="Arial"/>
        </w:rPr>
        <w:t xml:space="preserve">interpreting </w:t>
      </w:r>
      <w:r w:rsidR="003D5699">
        <w:rPr>
          <w:rFonts w:ascii="Arial" w:eastAsia="Arial" w:hAnsi="Arial" w:cs="Arial"/>
        </w:rPr>
        <w:t>organisations</w:t>
      </w:r>
      <w:r w:rsidR="008E7DE8">
        <w:rPr>
          <w:rFonts w:ascii="Arial" w:eastAsia="Arial" w:hAnsi="Arial" w:cs="Arial"/>
        </w:rPr>
        <w:t>’</w:t>
      </w:r>
      <w:r w:rsidR="007875F5">
        <w:rPr>
          <w:rFonts w:ascii="Arial" w:eastAsia="Arial" w:hAnsi="Arial" w:cs="Arial"/>
        </w:rPr>
        <w:t xml:space="preserve"> </w:t>
      </w:r>
      <w:r w:rsidR="004E4902">
        <w:rPr>
          <w:rFonts w:ascii="Arial" w:eastAsia="Arial" w:hAnsi="Arial" w:cs="Arial"/>
        </w:rPr>
        <w:t xml:space="preserve">public </w:t>
      </w:r>
      <w:r w:rsidR="0064612A">
        <w:rPr>
          <w:rFonts w:ascii="Arial" w:eastAsia="Arial" w:hAnsi="Arial" w:cs="Arial"/>
        </w:rPr>
        <w:t xml:space="preserve">annual </w:t>
      </w:r>
      <w:r w:rsidR="004E4902">
        <w:rPr>
          <w:rFonts w:ascii="Arial" w:eastAsia="Arial" w:hAnsi="Arial" w:cs="Arial"/>
        </w:rPr>
        <w:t xml:space="preserve">reports </w:t>
      </w:r>
      <w:r>
        <w:rPr>
          <w:rFonts w:ascii="Arial" w:eastAsia="Arial" w:hAnsi="Arial" w:cs="Arial"/>
        </w:rPr>
        <w:t xml:space="preserve">against the shared </w:t>
      </w:r>
      <w:r w:rsidR="00ED7BB8">
        <w:rPr>
          <w:rFonts w:ascii="Arial" w:eastAsia="Arial" w:hAnsi="Arial" w:cs="Arial"/>
        </w:rPr>
        <w:t xml:space="preserve">partnership </w:t>
      </w:r>
      <w:r>
        <w:rPr>
          <w:rFonts w:ascii="Arial" w:eastAsia="Arial" w:hAnsi="Arial" w:cs="Arial"/>
        </w:rPr>
        <w:t>objectives and deliverables</w:t>
      </w:r>
      <w:r w:rsidR="00F974EA">
        <w:rPr>
          <w:rFonts w:ascii="Arial" w:eastAsia="Arial" w:hAnsi="Arial" w:cs="Arial"/>
        </w:rPr>
        <w:t xml:space="preserve">. </w:t>
      </w:r>
      <w:r w:rsidR="0053362B">
        <w:rPr>
          <w:rFonts w:ascii="Arial" w:eastAsia="Arial" w:hAnsi="Arial" w:cs="Arial"/>
        </w:rPr>
        <w:t>DFAT has commissioned an external provider to extract and interpret available data from each partner’s global annual reports</w:t>
      </w:r>
      <w:r w:rsidR="00231976">
        <w:rPr>
          <w:rFonts w:ascii="Arial" w:eastAsia="Arial" w:hAnsi="Arial" w:cs="Arial"/>
        </w:rPr>
        <w:t xml:space="preserve">, compiled as </w:t>
      </w:r>
      <w:r w:rsidR="004E4471">
        <w:rPr>
          <w:rFonts w:ascii="Arial" w:eastAsia="Arial" w:hAnsi="Arial" w:cs="Arial"/>
        </w:rPr>
        <w:t>Performance Arrangement</w:t>
      </w:r>
      <w:r w:rsidR="00231976">
        <w:rPr>
          <w:rFonts w:ascii="Arial" w:eastAsia="Arial" w:hAnsi="Arial" w:cs="Arial"/>
        </w:rPr>
        <w:t xml:space="preserve"> </w:t>
      </w:r>
      <w:r w:rsidR="002034C1">
        <w:rPr>
          <w:rFonts w:ascii="Arial" w:eastAsia="Arial" w:hAnsi="Arial" w:cs="Arial"/>
        </w:rPr>
        <w:t>r</w:t>
      </w:r>
      <w:r w:rsidR="00231976">
        <w:rPr>
          <w:rFonts w:ascii="Arial" w:eastAsia="Arial" w:hAnsi="Arial" w:cs="Arial"/>
        </w:rPr>
        <w:t>eports</w:t>
      </w:r>
      <w:r w:rsidR="0053362B">
        <w:rPr>
          <w:rFonts w:ascii="Arial" w:eastAsia="Arial" w:hAnsi="Arial" w:cs="Arial"/>
        </w:rPr>
        <w:t xml:space="preserve">. </w:t>
      </w:r>
      <w:r w:rsidR="00134F13">
        <w:rPr>
          <w:rFonts w:ascii="Arial" w:eastAsia="Arial" w:hAnsi="Arial" w:cs="Arial"/>
        </w:rPr>
        <w:t>Further information is detailed</w:t>
      </w:r>
      <w:r w:rsidR="002034C1">
        <w:rPr>
          <w:rFonts w:ascii="Arial" w:eastAsia="Arial" w:hAnsi="Arial" w:cs="Arial"/>
        </w:rPr>
        <w:t xml:space="preserve"> in the response to KEQ</w:t>
      </w:r>
      <w:r w:rsidR="00ED7BB8">
        <w:rPr>
          <w:rFonts w:ascii="Arial" w:eastAsia="Arial" w:hAnsi="Arial" w:cs="Arial"/>
        </w:rPr>
        <w:t xml:space="preserve"> </w:t>
      </w:r>
      <w:r w:rsidR="002034C1">
        <w:rPr>
          <w:rFonts w:ascii="Arial" w:eastAsia="Arial" w:hAnsi="Arial" w:cs="Arial"/>
        </w:rPr>
        <w:t xml:space="preserve">2 </w:t>
      </w:r>
      <w:proofErr w:type="gramStart"/>
      <w:r w:rsidR="007419FC">
        <w:rPr>
          <w:rFonts w:ascii="Arial" w:eastAsia="Arial" w:hAnsi="Arial" w:cs="Arial"/>
        </w:rPr>
        <w:t>above</w:t>
      </w:r>
      <w:r w:rsidR="00134F13">
        <w:rPr>
          <w:rFonts w:ascii="Arial" w:eastAsia="Arial" w:hAnsi="Arial" w:cs="Arial"/>
        </w:rPr>
        <w:t>,</w:t>
      </w:r>
      <w:r w:rsidR="007419FC">
        <w:rPr>
          <w:rFonts w:ascii="Arial" w:eastAsia="Arial" w:hAnsi="Arial" w:cs="Arial"/>
        </w:rPr>
        <w:t xml:space="preserve"> and</w:t>
      </w:r>
      <w:proofErr w:type="gramEnd"/>
      <w:r w:rsidR="002034C1">
        <w:rPr>
          <w:rFonts w:ascii="Arial" w:eastAsia="Arial" w:hAnsi="Arial" w:cs="Arial"/>
        </w:rPr>
        <w:t xml:space="preserve"> discussed</w:t>
      </w:r>
      <w:r w:rsidR="00134F13">
        <w:rPr>
          <w:rFonts w:ascii="Arial" w:eastAsia="Arial" w:hAnsi="Arial" w:cs="Arial"/>
        </w:rPr>
        <w:t xml:space="preserve"> again</w:t>
      </w:r>
      <w:r w:rsidR="002034C1">
        <w:rPr>
          <w:rFonts w:ascii="Arial" w:eastAsia="Arial" w:hAnsi="Arial" w:cs="Arial"/>
        </w:rPr>
        <w:t xml:space="preserve"> in </w:t>
      </w:r>
      <w:r w:rsidR="00134F13">
        <w:rPr>
          <w:rFonts w:ascii="Arial" w:eastAsia="Arial" w:hAnsi="Arial" w:cs="Arial"/>
        </w:rPr>
        <w:t>KEQ</w:t>
      </w:r>
      <w:r w:rsidR="00ED7BB8">
        <w:rPr>
          <w:rFonts w:ascii="Arial" w:eastAsia="Arial" w:hAnsi="Arial" w:cs="Arial"/>
        </w:rPr>
        <w:t xml:space="preserve"> </w:t>
      </w:r>
      <w:r w:rsidR="00CB6438">
        <w:rPr>
          <w:rFonts w:ascii="Arial" w:eastAsia="Arial" w:hAnsi="Arial" w:cs="Arial"/>
        </w:rPr>
        <w:t>3.5</w:t>
      </w:r>
      <w:r w:rsidR="00134F13">
        <w:rPr>
          <w:rFonts w:ascii="Arial" w:eastAsia="Arial" w:hAnsi="Arial" w:cs="Arial"/>
        </w:rPr>
        <w:t xml:space="preserve"> below</w:t>
      </w:r>
      <w:r w:rsidR="00CB6438">
        <w:rPr>
          <w:rFonts w:ascii="Arial" w:eastAsia="Arial" w:hAnsi="Arial" w:cs="Arial"/>
        </w:rPr>
        <w:t>.</w:t>
      </w:r>
    </w:p>
    <w:p w14:paraId="6CE1870F" w14:textId="60B1773A" w:rsidR="00EB6EF2" w:rsidRDefault="00EB6EF2" w:rsidP="00AC1034">
      <w:pPr>
        <w:rPr>
          <w:rFonts w:eastAsia="Times New Roman"/>
          <w:color w:val="000000"/>
          <w:szCs w:val="20"/>
        </w:rPr>
      </w:pPr>
      <w:r w:rsidRPr="0053306B">
        <w:rPr>
          <w:rFonts w:eastAsia="Arial"/>
        </w:rPr>
        <w:t>DFAT staffs</w:t>
      </w:r>
      <w:r w:rsidR="00ED7BB8">
        <w:rPr>
          <w:rFonts w:eastAsia="Arial"/>
        </w:rPr>
        <w:t>’</w:t>
      </w:r>
      <w:r w:rsidRPr="0053306B">
        <w:rPr>
          <w:rFonts w:eastAsia="Arial"/>
        </w:rPr>
        <w:t xml:space="preserve"> survey responses also indicated variable views about the utility and quality of existing SPF reporting. When asked </w:t>
      </w:r>
      <w:r w:rsidRPr="00134F13">
        <w:rPr>
          <w:rFonts w:eastAsia="Arial"/>
        </w:rPr>
        <w:t>to “</w:t>
      </w:r>
      <w:r w:rsidRPr="00AB06F7">
        <w:rPr>
          <w:rFonts w:eastAsia="Times New Roman"/>
          <w:color w:val="000000"/>
          <w:szCs w:val="20"/>
        </w:rPr>
        <w:t>what extent have SPFs contributed to more consistent and high-quality monitoring, evaluation and reporting from partners?”</w:t>
      </w:r>
      <w:r w:rsidRPr="001420F1">
        <w:rPr>
          <w:rFonts w:eastAsia="Times New Roman"/>
          <w:i/>
          <w:iCs/>
          <w:color w:val="000000"/>
          <w:szCs w:val="20"/>
        </w:rPr>
        <w:t xml:space="preserve"> </w:t>
      </w:r>
      <w:r>
        <w:rPr>
          <w:rFonts w:eastAsia="Times New Roman"/>
          <w:color w:val="000000"/>
          <w:szCs w:val="20"/>
        </w:rPr>
        <w:t>35</w:t>
      </w:r>
      <w:r w:rsidR="00941A3D">
        <w:rPr>
          <w:rFonts w:eastAsia="Times New Roman"/>
          <w:color w:val="000000"/>
          <w:szCs w:val="20"/>
        </w:rPr>
        <w:t xml:space="preserve"> per cent</w:t>
      </w:r>
      <w:r>
        <w:rPr>
          <w:rFonts w:eastAsia="Times New Roman"/>
          <w:color w:val="000000"/>
          <w:szCs w:val="20"/>
        </w:rPr>
        <w:t xml:space="preserve"> of respondents indicated that SPFs had made reporting “much” or “slightly” better, while the </w:t>
      </w:r>
      <w:r w:rsidRPr="00134F13">
        <w:rPr>
          <w:rFonts w:eastAsia="Times New Roman"/>
          <w:color w:val="000000"/>
          <w:szCs w:val="20"/>
        </w:rPr>
        <w:t>remaining 6</w:t>
      </w:r>
      <w:r w:rsidR="00E035B5" w:rsidRPr="00134F13">
        <w:rPr>
          <w:rFonts w:eastAsia="Times New Roman"/>
          <w:color w:val="000000"/>
          <w:szCs w:val="20"/>
        </w:rPr>
        <w:t>5</w:t>
      </w:r>
      <w:r w:rsidR="00941A3D">
        <w:rPr>
          <w:rFonts w:eastAsia="Times New Roman"/>
          <w:color w:val="000000"/>
          <w:szCs w:val="20"/>
        </w:rPr>
        <w:t xml:space="preserve"> per cent</w:t>
      </w:r>
      <w:r w:rsidRPr="00134F13">
        <w:rPr>
          <w:rFonts w:eastAsia="Times New Roman"/>
          <w:color w:val="000000"/>
          <w:szCs w:val="20"/>
        </w:rPr>
        <w:t xml:space="preserve"> registered either that SPFs had made “no impact” or that they “don’t know”. Likewise, when asked </w:t>
      </w:r>
      <w:r w:rsidR="00ED7BB8">
        <w:rPr>
          <w:rFonts w:eastAsia="Times New Roman"/>
          <w:color w:val="000000"/>
          <w:szCs w:val="20"/>
        </w:rPr>
        <w:t>“</w:t>
      </w:r>
      <w:r w:rsidRPr="00AB06F7">
        <w:rPr>
          <w:rFonts w:eastAsia="Times New Roman"/>
          <w:color w:val="000000"/>
          <w:szCs w:val="20"/>
        </w:rPr>
        <w:t>how useful is the current reporting you receive from partners?</w:t>
      </w:r>
      <w:r w:rsidR="00ED7BB8">
        <w:rPr>
          <w:rFonts w:eastAsia="Times New Roman"/>
          <w:color w:val="000000"/>
          <w:szCs w:val="20"/>
        </w:rPr>
        <w:t>”</w:t>
      </w:r>
      <w:r w:rsidRPr="00134F13">
        <w:rPr>
          <w:rFonts w:eastAsia="Times New Roman"/>
          <w:color w:val="000000"/>
          <w:szCs w:val="20"/>
        </w:rPr>
        <w:t xml:space="preserve"> 4</w:t>
      </w:r>
      <w:r w:rsidR="00CA63A8" w:rsidRPr="00134F13">
        <w:rPr>
          <w:rFonts w:eastAsia="Times New Roman"/>
          <w:color w:val="000000"/>
          <w:szCs w:val="20"/>
        </w:rPr>
        <w:t>8</w:t>
      </w:r>
      <w:r w:rsidR="00941A3D">
        <w:rPr>
          <w:rFonts w:eastAsia="Times New Roman"/>
          <w:color w:val="000000"/>
          <w:szCs w:val="20"/>
        </w:rPr>
        <w:t xml:space="preserve"> per cent</w:t>
      </w:r>
      <w:r w:rsidRPr="00134F13">
        <w:rPr>
          <w:rFonts w:eastAsia="Times New Roman"/>
          <w:color w:val="000000"/>
          <w:szCs w:val="20"/>
        </w:rPr>
        <w:t xml:space="preserve"> of DFAT staff indicated that SPF reporting</w:t>
      </w:r>
      <w:r w:rsidRPr="001420F1">
        <w:rPr>
          <w:rFonts w:eastAsia="Times New Roman"/>
          <w:color w:val="000000"/>
          <w:szCs w:val="20"/>
        </w:rPr>
        <w:t xml:space="preserve"> was “somewhat” useful, while a further </w:t>
      </w:r>
      <w:r w:rsidR="00E011BF">
        <w:rPr>
          <w:rFonts w:eastAsia="Times New Roman"/>
          <w:color w:val="000000"/>
          <w:szCs w:val="20"/>
        </w:rPr>
        <w:t>9</w:t>
      </w:r>
      <w:r w:rsidR="00941A3D">
        <w:rPr>
          <w:rFonts w:eastAsia="Times New Roman"/>
          <w:color w:val="000000"/>
          <w:szCs w:val="20"/>
        </w:rPr>
        <w:t xml:space="preserve"> per cent</w:t>
      </w:r>
      <w:r w:rsidRPr="001420F1">
        <w:rPr>
          <w:rFonts w:eastAsia="Times New Roman"/>
          <w:color w:val="000000"/>
          <w:szCs w:val="20"/>
        </w:rPr>
        <w:t xml:space="preserve"> suggested the reporting was “somewhat not useful” and the remaining 43</w:t>
      </w:r>
      <w:r w:rsidR="00941A3D">
        <w:rPr>
          <w:rFonts w:eastAsia="Times New Roman"/>
          <w:color w:val="000000"/>
          <w:szCs w:val="20"/>
        </w:rPr>
        <w:t xml:space="preserve"> per cent</w:t>
      </w:r>
      <w:r w:rsidRPr="001420F1">
        <w:rPr>
          <w:rFonts w:eastAsia="Times New Roman"/>
          <w:color w:val="000000"/>
          <w:szCs w:val="20"/>
        </w:rPr>
        <w:t xml:space="preserve"> </w:t>
      </w:r>
      <w:r>
        <w:rPr>
          <w:rFonts w:eastAsia="Times New Roman"/>
          <w:color w:val="000000"/>
          <w:szCs w:val="20"/>
        </w:rPr>
        <w:t>indicated they</w:t>
      </w:r>
      <w:r w:rsidRPr="001420F1">
        <w:rPr>
          <w:rFonts w:eastAsia="Times New Roman"/>
          <w:color w:val="000000"/>
          <w:szCs w:val="20"/>
        </w:rPr>
        <w:t xml:space="preserve"> “don’t know”. </w:t>
      </w:r>
    </w:p>
    <w:p w14:paraId="4FE35E25" w14:textId="77E6F9DD" w:rsidR="00F85781" w:rsidRDefault="00F85781" w:rsidP="00F85781">
      <w:pPr>
        <w:spacing w:before="240"/>
        <w:rPr>
          <w:rFonts w:ascii="Arial" w:eastAsia="Arial" w:hAnsi="Arial" w:cs="Arial"/>
        </w:rPr>
      </w:pPr>
      <w:r>
        <w:rPr>
          <w:rFonts w:ascii="Arial" w:eastAsia="Arial" w:hAnsi="Arial" w:cs="Arial"/>
        </w:rPr>
        <w:t xml:space="preserve">Both DFAT and SPF </w:t>
      </w:r>
      <w:r w:rsidRPr="0017200F">
        <w:rPr>
          <w:rFonts w:ascii="Arial" w:eastAsia="Arial" w:hAnsi="Arial" w:cs="Arial"/>
        </w:rPr>
        <w:t xml:space="preserve">partners questioned whether SPFs were intended as a performance measurement tool. </w:t>
      </w:r>
      <w:r>
        <w:rPr>
          <w:rFonts w:ascii="Arial" w:eastAsia="Arial" w:hAnsi="Arial" w:cs="Arial"/>
        </w:rPr>
        <w:t>SPF partners reported that there was “already a very high degree of alignment between the SPF and agency objectives”</w:t>
      </w:r>
      <w:r>
        <w:rPr>
          <w:rStyle w:val="FootnoteReference"/>
          <w:rFonts w:ascii="Arial" w:eastAsia="Arial" w:hAnsi="Arial" w:cs="Arial"/>
        </w:rPr>
        <w:footnoteReference w:id="39"/>
      </w:r>
      <w:r>
        <w:rPr>
          <w:rFonts w:ascii="Arial" w:eastAsia="Arial" w:hAnsi="Arial" w:cs="Arial"/>
        </w:rPr>
        <w:t xml:space="preserve"> and</w:t>
      </w:r>
      <w:r w:rsidR="00134F13">
        <w:rPr>
          <w:rFonts w:ascii="Arial" w:eastAsia="Arial" w:hAnsi="Arial" w:cs="Arial"/>
        </w:rPr>
        <w:t xml:space="preserve">, for instance, that </w:t>
      </w:r>
      <w:r>
        <w:rPr>
          <w:rFonts w:ascii="Arial" w:eastAsia="Arial" w:hAnsi="Arial" w:cs="Arial"/>
        </w:rPr>
        <w:t xml:space="preserve">their internal “quality assurance measures are constantly being approved and refined. It </w:t>
      </w:r>
      <w:r w:rsidRPr="00206792">
        <w:rPr>
          <w:rFonts w:ascii="Arial" w:eastAsia="Arial" w:hAnsi="Arial" w:cs="Arial"/>
        </w:rPr>
        <w:t xml:space="preserve">is not just linked to a single </w:t>
      </w:r>
      <w:r w:rsidR="007C1932" w:rsidRPr="00206792">
        <w:rPr>
          <w:rFonts w:ascii="Arial" w:eastAsia="Arial" w:hAnsi="Arial" w:cs="Arial"/>
        </w:rPr>
        <w:t>donor;</w:t>
      </w:r>
      <w:r w:rsidRPr="00206792">
        <w:rPr>
          <w:rFonts w:ascii="Arial" w:eastAsia="Arial" w:hAnsi="Arial" w:cs="Arial"/>
        </w:rPr>
        <w:t xml:space="preserve"> it is more of a global/broader response to assurance.</w:t>
      </w:r>
      <w:r>
        <w:rPr>
          <w:rFonts w:ascii="Arial" w:eastAsia="Arial" w:hAnsi="Arial" w:cs="Arial"/>
        </w:rPr>
        <w:t>”</w:t>
      </w:r>
      <w:r>
        <w:rPr>
          <w:rStyle w:val="FootnoteReference"/>
          <w:rFonts w:ascii="Arial" w:eastAsia="Arial" w:hAnsi="Arial" w:cs="Arial"/>
        </w:rPr>
        <w:footnoteReference w:id="40"/>
      </w:r>
      <w:r>
        <w:rPr>
          <w:rFonts w:ascii="Arial" w:eastAsia="Arial" w:hAnsi="Arial" w:cs="Arial"/>
        </w:rPr>
        <w:t xml:space="preserve"> Around a third of DFAT staff interviewed by the </w:t>
      </w:r>
      <w:r w:rsidR="00631562">
        <w:rPr>
          <w:rFonts w:ascii="Arial" w:eastAsia="Arial" w:hAnsi="Arial" w:cs="Arial"/>
        </w:rPr>
        <w:t>Evaluation Team</w:t>
      </w:r>
      <w:r>
        <w:rPr>
          <w:rFonts w:ascii="Arial" w:eastAsia="Arial" w:hAnsi="Arial" w:cs="Arial"/>
        </w:rPr>
        <w:t xml:space="preserve"> reported that the SPFs and EOLs were primarily a tool for efficient aid delivery and that performance was managed through other mechanisms.</w:t>
      </w:r>
      <w:r>
        <w:rPr>
          <w:rStyle w:val="FootnoteReference"/>
          <w:rFonts w:ascii="Arial" w:eastAsia="Arial" w:hAnsi="Arial" w:cs="Arial"/>
        </w:rPr>
        <w:footnoteReference w:id="41"/>
      </w:r>
    </w:p>
    <w:p w14:paraId="3BA62632" w14:textId="37DC5E4F" w:rsidR="0020655A" w:rsidRPr="00907C7B" w:rsidRDefault="0053362B" w:rsidP="00E17D1A">
      <w:pPr>
        <w:pStyle w:val="ListParagraph"/>
        <w:numPr>
          <w:ilvl w:val="1"/>
          <w:numId w:val="12"/>
        </w:numPr>
        <w:spacing w:before="240"/>
        <w:rPr>
          <w:rFonts w:ascii="Arial" w:eastAsia="Arial" w:hAnsi="Arial" w:cs="Arial"/>
          <w:b/>
          <w:bCs/>
        </w:rPr>
      </w:pPr>
      <w:r w:rsidRPr="00AD7F72">
        <w:rPr>
          <w:rFonts w:ascii="Arial" w:eastAsia="Arial" w:hAnsi="Arial" w:cs="Arial"/>
          <w:b/>
          <w:bCs/>
        </w:rPr>
        <w:t xml:space="preserve">To what extent do the EOLs address the shared objectives and deliverables documented in the SPFs? </w:t>
      </w:r>
    </w:p>
    <w:p w14:paraId="4D2397EC" w14:textId="4401EC31" w:rsidR="009014BB" w:rsidRDefault="00A65D5B" w:rsidP="0020655A">
      <w:pPr>
        <w:spacing w:before="240"/>
        <w:rPr>
          <w:rFonts w:ascii="Arial" w:eastAsia="Arial" w:hAnsi="Arial" w:cs="Arial"/>
        </w:rPr>
      </w:pPr>
      <w:r>
        <w:rPr>
          <w:rFonts w:ascii="Arial" w:eastAsia="Arial" w:hAnsi="Arial" w:cs="Arial"/>
        </w:rPr>
        <w:t xml:space="preserve">The answer to this question depends upon whether the reader </w:t>
      </w:r>
      <w:r w:rsidR="008D20C3">
        <w:rPr>
          <w:rFonts w:ascii="Arial" w:eastAsia="Arial" w:hAnsi="Arial" w:cs="Arial"/>
        </w:rPr>
        <w:t>expects</w:t>
      </w:r>
      <w:r>
        <w:rPr>
          <w:rFonts w:ascii="Arial" w:eastAsia="Arial" w:hAnsi="Arial" w:cs="Arial"/>
        </w:rPr>
        <w:t xml:space="preserve"> the shared objectives and deliverables</w:t>
      </w:r>
      <w:r w:rsidR="008D20C3">
        <w:rPr>
          <w:rFonts w:ascii="Arial" w:eastAsia="Arial" w:hAnsi="Arial" w:cs="Arial"/>
        </w:rPr>
        <w:t xml:space="preserve"> documented in the SPFs to be</w:t>
      </w:r>
      <w:r>
        <w:rPr>
          <w:rFonts w:ascii="Arial" w:eastAsia="Arial" w:hAnsi="Arial" w:cs="Arial"/>
        </w:rPr>
        <w:t xml:space="preserve"> repeated in the EOLs. </w:t>
      </w:r>
      <w:r w:rsidR="00F008B6">
        <w:rPr>
          <w:rFonts w:ascii="Arial" w:eastAsia="Arial" w:hAnsi="Arial" w:cs="Arial"/>
        </w:rPr>
        <w:t>EOL</w:t>
      </w:r>
      <w:r w:rsidR="002D1653">
        <w:rPr>
          <w:rFonts w:ascii="Arial" w:eastAsia="Arial" w:hAnsi="Arial" w:cs="Arial"/>
        </w:rPr>
        <w:t>s</w:t>
      </w:r>
      <w:r w:rsidR="00F008B6">
        <w:rPr>
          <w:rFonts w:ascii="Arial" w:eastAsia="Arial" w:hAnsi="Arial" w:cs="Arial"/>
        </w:rPr>
        <w:t xml:space="preserve"> directly address shared objectives and deliverables documented in the SPFs in the sense that </w:t>
      </w:r>
      <w:r w:rsidR="0053362B" w:rsidRPr="0020655A">
        <w:rPr>
          <w:rFonts w:ascii="Arial" w:eastAsia="Arial" w:hAnsi="Arial" w:cs="Arial"/>
        </w:rPr>
        <w:t>EOLs are an instrument to implement the SPFs and are intended to be read together with the SPF.</w:t>
      </w:r>
      <w:r w:rsidR="0053362B">
        <w:rPr>
          <w:rStyle w:val="FootnoteReference"/>
          <w:rFonts w:ascii="Arial" w:eastAsia="Arial" w:hAnsi="Arial" w:cs="Arial"/>
        </w:rPr>
        <w:footnoteReference w:id="42"/>
      </w:r>
      <w:r w:rsidR="0053362B" w:rsidRPr="0020655A">
        <w:rPr>
          <w:rFonts w:ascii="Arial" w:eastAsia="Arial" w:hAnsi="Arial" w:cs="Arial"/>
        </w:rPr>
        <w:t xml:space="preserve"> </w:t>
      </w:r>
      <w:r w:rsidR="002D1653">
        <w:rPr>
          <w:rFonts w:ascii="Arial" w:eastAsia="Arial" w:hAnsi="Arial" w:cs="Arial"/>
        </w:rPr>
        <w:t xml:space="preserve">In this sense, they address the shared objectives and </w:t>
      </w:r>
      <w:r w:rsidR="002D1653">
        <w:rPr>
          <w:rFonts w:ascii="Arial" w:eastAsia="Arial" w:hAnsi="Arial" w:cs="Arial"/>
        </w:rPr>
        <w:lastRenderedPageBreak/>
        <w:t>deliverables to a great extent</w:t>
      </w:r>
      <w:r w:rsidR="00EA55A8">
        <w:rPr>
          <w:rFonts w:ascii="Arial" w:eastAsia="Arial" w:hAnsi="Arial" w:cs="Arial"/>
        </w:rPr>
        <w:t>, and do not contradict the SPF shared objectives and deliverables</w:t>
      </w:r>
      <w:r w:rsidR="002D1653">
        <w:rPr>
          <w:rFonts w:ascii="Arial" w:eastAsia="Arial" w:hAnsi="Arial" w:cs="Arial"/>
        </w:rPr>
        <w:t xml:space="preserve">. However, </w:t>
      </w:r>
      <w:r w:rsidR="00B4047B">
        <w:rPr>
          <w:rFonts w:ascii="Arial" w:eastAsia="Arial" w:hAnsi="Arial" w:cs="Arial"/>
        </w:rPr>
        <w:t xml:space="preserve">EOLs do </w:t>
      </w:r>
      <w:r>
        <w:rPr>
          <w:rFonts w:ascii="Arial" w:eastAsia="Arial" w:hAnsi="Arial" w:cs="Arial"/>
        </w:rPr>
        <w:t xml:space="preserve">not </w:t>
      </w:r>
      <w:r w:rsidRPr="0020655A">
        <w:rPr>
          <w:rFonts w:ascii="Arial" w:eastAsia="Arial" w:hAnsi="Arial" w:cs="Arial"/>
        </w:rPr>
        <w:t>repeat</w:t>
      </w:r>
      <w:r w:rsidR="00B4047B" w:rsidRPr="0020655A">
        <w:rPr>
          <w:rFonts w:ascii="Arial" w:eastAsia="Arial" w:hAnsi="Arial" w:cs="Arial"/>
        </w:rPr>
        <w:t xml:space="preserve"> the shared objectives and deliverables</w:t>
      </w:r>
      <w:r w:rsidR="00700ECA">
        <w:rPr>
          <w:rFonts w:ascii="Arial" w:eastAsia="Arial" w:hAnsi="Arial" w:cs="Arial"/>
        </w:rPr>
        <w:t xml:space="preserve"> in the </w:t>
      </w:r>
      <w:r w:rsidR="0086290E">
        <w:rPr>
          <w:rFonts w:ascii="Arial" w:eastAsia="Arial" w:hAnsi="Arial" w:cs="Arial"/>
        </w:rPr>
        <w:t xml:space="preserve">EOL </w:t>
      </w:r>
      <w:r w:rsidR="00700ECA">
        <w:rPr>
          <w:rFonts w:ascii="Arial" w:eastAsia="Arial" w:hAnsi="Arial" w:cs="Arial"/>
        </w:rPr>
        <w:t>main template text</w:t>
      </w:r>
      <w:r w:rsidR="00B56CFB">
        <w:rPr>
          <w:rFonts w:ascii="Arial" w:eastAsia="Arial" w:hAnsi="Arial" w:cs="Arial"/>
        </w:rPr>
        <w:t xml:space="preserve">. </w:t>
      </w:r>
      <w:r w:rsidR="00CD65EA">
        <w:rPr>
          <w:rFonts w:ascii="Arial" w:eastAsia="Arial" w:hAnsi="Arial" w:cs="Arial"/>
        </w:rPr>
        <w:t>A comprehensive review of all SPFs</w:t>
      </w:r>
      <w:r w:rsidR="002B75C7">
        <w:rPr>
          <w:rFonts w:ascii="Arial" w:eastAsia="Arial" w:hAnsi="Arial" w:cs="Arial"/>
        </w:rPr>
        <w:t xml:space="preserve">, </w:t>
      </w:r>
      <w:r w:rsidR="00384B28">
        <w:rPr>
          <w:rFonts w:ascii="Arial" w:eastAsia="Arial" w:hAnsi="Arial" w:cs="Arial"/>
        </w:rPr>
        <w:t>template</w:t>
      </w:r>
      <w:r w:rsidR="0049161F">
        <w:rPr>
          <w:rFonts w:ascii="Arial" w:eastAsia="Arial" w:hAnsi="Arial" w:cs="Arial"/>
        </w:rPr>
        <w:t>s,</w:t>
      </w:r>
      <w:r w:rsidR="002B75C7">
        <w:rPr>
          <w:rFonts w:ascii="Arial" w:eastAsia="Arial" w:hAnsi="Arial" w:cs="Arial"/>
        </w:rPr>
        <w:t xml:space="preserve"> and </w:t>
      </w:r>
      <w:r w:rsidR="00695921">
        <w:rPr>
          <w:rFonts w:ascii="Arial" w:eastAsia="Arial" w:hAnsi="Arial" w:cs="Arial"/>
        </w:rPr>
        <w:t>signed</w:t>
      </w:r>
      <w:r w:rsidR="00CD65EA">
        <w:rPr>
          <w:rFonts w:ascii="Arial" w:eastAsia="Arial" w:hAnsi="Arial" w:cs="Arial"/>
        </w:rPr>
        <w:t xml:space="preserve"> EOLs sighted by the design team demonstrated that </w:t>
      </w:r>
      <w:r w:rsidR="0053362B" w:rsidRPr="0020655A">
        <w:rPr>
          <w:rFonts w:ascii="Arial" w:eastAsia="Arial" w:hAnsi="Arial" w:cs="Arial"/>
        </w:rPr>
        <w:t xml:space="preserve">EOLs can </w:t>
      </w:r>
      <w:r w:rsidR="00700ECA">
        <w:rPr>
          <w:rFonts w:ascii="Arial" w:eastAsia="Arial" w:hAnsi="Arial" w:cs="Arial"/>
        </w:rPr>
        <w:t xml:space="preserve">include operational interpretations of </w:t>
      </w:r>
      <w:r w:rsidR="0053362B" w:rsidRPr="0020655A">
        <w:rPr>
          <w:rFonts w:ascii="Arial" w:eastAsia="Arial" w:hAnsi="Arial" w:cs="Arial"/>
        </w:rPr>
        <w:t>some of the shared objectives and deliverables through optional clauses.</w:t>
      </w:r>
      <w:r w:rsidR="002E052B" w:rsidRPr="002E052B">
        <w:rPr>
          <w:rFonts w:ascii="Arial" w:eastAsia="Arial" w:hAnsi="Arial" w:cs="Arial"/>
        </w:rPr>
        <w:t xml:space="preserve"> </w:t>
      </w:r>
      <w:r w:rsidR="002E052B">
        <w:rPr>
          <w:rFonts w:ascii="Arial" w:eastAsia="Arial" w:hAnsi="Arial" w:cs="Arial"/>
        </w:rPr>
        <w:t xml:space="preserve">In this sense, EOLs can address the shared objective and deliverables to some extent. </w:t>
      </w:r>
      <w:r w:rsidR="009014BB">
        <w:rPr>
          <w:rFonts w:ascii="Arial" w:eastAsia="Arial" w:hAnsi="Arial" w:cs="Arial"/>
        </w:rPr>
        <w:t>For example:</w:t>
      </w:r>
    </w:p>
    <w:p w14:paraId="5CD64FB1" w14:textId="0F303B68" w:rsidR="0049161F" w:rsidRPr="00945938" w:rsidRDefault="003D3F20" w:rsidP="003D3F20">
      <w:pPr>
        <w:pStyle w:val="Caption"/>
        <w:rPr>
          <w:color w:val="12528D"/>
        </w:rPr>
      </w:pPr>
      <w:r w:rsidRPr="003D3F20">
        <w:rPr>
          <w:color w:val="12528D"/>
        </w:rPr>
        <w:t xml:space="preserve">Table </w:t>
      </w:r>
      <w:r>
        <w:rPr>
          <w:color w:val="12528D"/>
        </w:rPr>
        <w:fldChar w:fldCharType="begin"/>
      </w:r>
      <w:r>
        <w:rPr>
          <w:color w:val="12528D"/>
        </w:rPr>
        <w:instrText xml:space="preserve"> SEQ Table \* ARABIC </w:instrText>
      </w:r>
      <w:r>
        <w:rPr>
          <w:color w:val="12528D"/>
        </w:rPr>
        <w:fldChar w:fldCharType="separate"/>
      </w:r>
      <w:r w:rsidR="00C64FDE">
        <w:rPr>
          <w:noProof/>
          <w:color w:val="12528D"/>
        </w:rPr>
        <w:t>1</w:t>
      </w:r>
      <w:r>
        <w:rPr>
          <w:color w:val="12528D"/>
        </w:rPr>
        <w:fldChar w:fldCharType="end"/>
      </w:r>
      <w:r w:rsidR="0049161F" w:rsidRPr="00945938">
        <w:rPr>
          <w:color w:val="12528D"/>
        </w:rPr>
        <w:t>: Extent to which EOLs address the shared objectives and deliverables in SPFs</w:t>
      </w:r>
    </w:p>
    <w:tbl>
      <w:tblPr>
        <w:tblStyle w:val="TableGrid"/>
        <w:tblW w:w="0" w:type="auto"/>
        <w:tblLook w:val="04A0" w:firstRow="1" w:lastRow="0" w:firstColumn="1" w:lastColumn="0" w:noHBand="0" w:noVBand="1"/>
      </w:tblPr>
      <w:tblGrid>
        <w:gridCol w:w="4814"/>
        <w:gridCol w:w="4814"/>
      </w:tblGrid>
      <w:tr w:rsidR="009014BB" w14:paraId="47328F1B" w14:textId="77777777" w:rsidTr="00D60EA9">
        <w:trPr>
          <w:tblHeader/>
        </w:trPr>
        <w:tc>
          <w:tcPr>
            <w:tcW w:w="4814" w:type="dxa"/>
            <w:shd w:val="clear" w:color="auto" w:fill="DDDDDD" w:themeFill="text2" w:themeFillTint="33"/>
          </w:tcPr>
          <w:p w14:paraId="6B511375" w14:textId="44F37FEE" w:rsidR="009014BB" w:rsidRPr="00A252E1" w:rsidRDefault="009014BB" w:rsidP="0020655A">
            <w:pPr>
              <w:spacing w:before="240"/>
              <w:rPr>
                <w:rFonts w:ascii="Arial" w:eastAsia="Arial" w:hAnsi="Arial" w:cs="Arial"/>
                <w:b/>
              </w:rPr>
            </w:pPr>
            <w:r w:rsidRPr="00A252E1">
              <w:rPr>
                <w:rFonts w:ascii="Arial" w:eastAsia="Arial" w:hAnsi="Arial" w:cs="Arial"/>
                <w:b/>
              </w:rPr>
              <w:t>WFP SPF Shared Partnership Objective and Deliverable</w:t>
            </w:r>
          </w:p>
        </w:tc>
        <w:tc>
          <w:tcPr>
            <w:tcW w:w="4814" w:type="dxa"/>
            <w:shd w:val="clear" w:color="auto" w:fill="DDDDDD" w:themeFill="text2" w:themeFillTint="33"/>
          </w:tcPr>
          <w:p w14:paraId="20646990" w14:textId="35B91A8A" w:rsidR="009014BB" w:rsidRPr="00A252E1" w:rsidRDefault="009014BB" w:rsidP="0020655A">
            <w:pPr>
              <w:spacing w:before="240"/>
              <w:rPr>
                <w:rFonts w:ascii="Arial" w:eastAsia="Arial" w:hAnsi="Arial" w:cs="Arial"/>
                <w:b/>
              </w:rPr>
            </w:pPr>
            <w:r w:rsidRPr="00A252E1">
              <w:rPr>
                <w:rFonts w:ascii="Arial" w:eastAsia="Arial" w:hAnsi="Arial" w:cs="Arial"/>
                <w:b/>
              </w:rPr>
              <w:t xml:space="preserve">WFP EOL </w:t>
            </w:r>
            <w:r w:rsidR="006A4791" w:rsidRPr="00A252E1">
              <w:rPr>
                <w:rFonts w:ascii="Arial" w:eastAsia="Arial" w:hAnsi="Arial" w:cs="Arial"/>
                <w:b/>
              </w:rPr>
              <w:t>optional clause</w:t>
            </w:r>
          </w:p>
        </w:tc>
      </w:tr>
      <w:tr w:rsidR="009014BB" w14:paraId="282CA87D" w14:textId="77777777" w:rsidTr="00D60EA9">
        <w:trPr>
          <w:trHeight w:val="3016"/>
          <w:tblHeader/>
        </w:trPr>
        <w:tc>
          <w:tcPr>
            <w:tcW w:w="4814" w:type="dxa"/>
          </w:tcPr>
          <w:p w14:paraId="79A8D7D2" w14:textId="28F00364" w:rsidR="009014BB" w:rsidRDefault="00C10DF7" w:rsidP="0020655A">
            <w:pPr>
              <w:spacing w:before="240"/>
              <w:rPr>
                <w:rFonts w:ascii="Arial" w:eastAsia="Arial" w:hAnsi="Arial" w:cs="Arial"/>
              </w:rPr>
            </w:pPr>
            <w:r w:rsidRPr="00C10DF7">
              <w:rPr>
                <w:rFonts w:ascii="Arial" w:eastAsia="Arial" w:hAnsi="Arial" w:cs="Arial"/>
              </w:rPr>
              <w:t xml:space="preserve">a) Effective implementation of the </w:t>
            </w:r>
            <w:r w:rsidRPr="00C10DF7">
              <w:rPr>
                <w:rFonts w:ascii="Arial" w:eastAsia="Arial" w:hAnsi="Arial" w:cs="Arial"/>
                <w:i/>
                <w:iCs/>
              </w:rPr>
              <w:t>UN System-wide Action Plan on Gender Equality and the</w:t>
            </w:r>
            <w:r>
              <w:rPr>
                <w:rFonts w:ascii="Arial" w:eastAsia="Arial" w:hAnsi="Arial" w:cs="Arial"/>
                <w:i/>
                <w:iCs/>
              </w:rPr>
              <w:t xml:space="preserve"> </w:t>
            </w:r>
            <w:r w:rsidRPr="00C10DF7">
              <w:rPr>
                <w:rFonts w:ascii="Arial" w:eastAsia="Arial" w:hAnsi="Arial" w:cs="Arial"/>
                <w:i/>
                <w:iCs/>
              </w:rPr>
              <w:t xml:space="preserve">Empowerment of Women (UN SWAP) </w:t>
            </w:r>
            <w:r w:rsidRPr="00C10DF7">
              <w:rPr>
                <w:rFonts w:ascii="Arial" w:eastAsia="Arial" w:hAnsi="Arial" w:cs="Arial"/>
              </w:rPr>
              <w:t xml:space="preserve">and </w:t>
            </w:r>
            <w:r w:rsidRPr="00C10DF7">
              <w:rPr>
                <w:rFonts w:ascii="Arial" w:eastAsia="Arial" w:hAnsi="Arial" w:cs="Arial"/>
                <w:i/>
                <w:iCs/>
              </w:rPr>
              <w:t>Beijing Declaration and Platform for Action, as well as the</w:t>
            </w:r>
            <w:r>
              <w:rPr>
                <w:rFonts w:ascii="Arial" w:eastAsia="Arial" w:hAnsi="Arial" w:cs="Arial"/>
                <w:i/>
                <w:iCs/>
              </w:rPr>
              <w:t xml:space="preserve"> </w:t>
            </w:r>
            <w:r w:rsidRPr="00C10DF7">
              <w:rPr>
                <w:rFonts w:ascii="Arial" w:eastAsia="Arial" w:hAnsi="Arial" w:cs="Arial"/>
                <w:i/>
                <w:iCs/>
              </w:rPr>
              <w:t>WFP Gender Policy 2026</w:t>
            </w:r>
          </w:p>
        </w:tc>
        <w:tc>
          <w:tcPr>
            <w:tcW w:w="4814" w:type="dxa"/>
          </w:tcPr>
          <w:p w14:paraId="04E763F8" w14:textId="1447098F" w:rsidR="00EE4AA3" w:rsidRPr="00D53C06" w:rsidRDefault="00EE4AA3" w:rsidP="00EE4AA3">
            <w:pPr>
              <w:rPr>
                <w:rFonts w:ascii="Arial" w:eastAsia="Arial" w:hAnsi="Arial" w:cs="Arial"/>
              </w:rPr>
            </w:pPr>
            <w:r w:rsidRPr="00D53C06">
              <w:rPr>
                <w:rFonts w:ascii="Arial" w:eastAsia="Arial" w:hAnsi="Arial" w:cs="Arial"/>
              </w:rPr>
              <w:t xml:space="preserve">This program of work will embed targeted protection initiatives that seek to address the needs of people through their active participation in decisions that affect their </w:t>
            </w:r>
            <w:r w:rsidR="007C1932" w:rsidRPr="00D53C06">
              <w:rPr>
                <w:rFonts w:ascii="Arial" w:eastAsia="Arial" w:hAnsi="Arial" w:cs="Arial"/>
              </w:rPr>
              <w:t>lives,</w:t>
            </w:r>
            <w:r w:rsidRPr="00D53C06">
              <w:rPr>
                <w:rFonts w:ascii="Arial" w:eastAsia="Arial" w:hAnsi="Arial" w:cs="Arial"/>
              </w:rPr>
              <w:t xml:space="preserve"> including women, children, the elderly, youth, peoples with disabilities and marginalised groups </w:t>
            </w:r>
            <w:r w:rsidRPr="00D53C06">
              <w:rPr>
                <w:rFonts w:ascii="Arial" w:eastAsia="Arial" w:hAnsi="Arial" w:cs="Arial"/>
                <w:i/>
              </w:rPr>
              <w:t>through</w:t>
            </w:r>
            <w:r w:rsidRPr="00D53C06">
              <w:rPr>
                <w:rFonts w:ascii="Arial" w:eastAsia="Arial" w:hAnsi="Arial" w:cs="Arial"/>
              </w:rPr>
              <w:t>… (list).</w:t>
            </w:r>
          </w:p>
          <w:p w14:paraId="5C29287B" w14:textId="77777777" w:rsidR="009014BB" w:rsidRPr="00D53C06" w:rsidRDefault="00EE4AA3" w:rsidP="00EE4AA3">
            <w:pPr>
              <w:rPr>
                <w:rFonts w:ascii="Arial" w:eastAsia="Arial" w:hAnsi="Arial" w:cs="Arial"/>
              </w:rPr>
            </w:pPr>
            <w:r w:rsidRPr="00D53C06">
              <w:rPr>
                <w:rFonts w:ascii="Arial" w:eastAsia="Arial" w:hAnsi="Arial" w:cs="Arial"/>
              </w:rPr>
              <w:t>This program of work will establish and prioritise mechanisms that prevent and respond to sexual and gender-based violence for women and girls, particularly those in marginalised groups.</w:t>
            </w:r>
          </w:p>
          <w:p w14:paraId="75A72A66" w14:textId="04467EA1" w:rsidR="0054544F" w:rsidRPr="00D53C06" w:rsidRDefault="0054544F" w:rsidP="0054544F">
            <w:pPr>
              <w:rPr>
                <w:rFonts w:ascii="Arial" w:eastAsia="Arial" w:hAnsi="Arial" w:cs="Arial"/>
              </w:rPr>
            </w:pPr>
            <w:r w:rsidRPr="00D53C06">
              <w:rPr>
                <w:rFonts w:ascii="Arial" w:eastAsia="Arial" w:hAnsi="Arial" w:cs="Arial"/>
              </w:rPr>
              <w:t xml:space="preserve">Reporting will disaggregate data by sex and age and disability, and include data that </w:t>
            </w:r>
            <w:r w:rsidR="007C1932" w:rsidRPr="00D53C06">
              <w:rPr>
                <w:rFonts w:ascii="Arial" w:eastAsia="Arial" w:hAnsi="Arial" w:cs="Arial"/>
              </w:rPr>
              <w:t>evidence</w:t>
            </w:r>
            <w:r w:rsidRPr="00D53C06">
              <w:rPr>
                <w:rFonts w:ascii="Arial" w:eastAsia="Arial" w:hAnsi="Arial" w:cs="Arial"/>
              </w:rPr>
              <w:t>:</w:t>
            </w:r>
          </w:p>
          <w:p w14:paraId="5D6C8B66" w14:textId="0BFE6581" w:rsidR="009014BB" w:rsidRPr="0054544F" w:rsidRDefault="0054544F" w:rsidP="00FF258F">
            <w:pPr>
              <w:pStyle w:val="ListParagraph"/>
              <w:widowControl w:val="0"/>
              <w:numPr>
                <w:ilvl w:val="1"/>
                <w:numId w:val="21"/>
              </w:numPr>
              <w:overflowPunct w:val="0"/>
              <w:autoSpaceDE w:val="0"/>
              <w:autoSpaceDN w:val="0"/>
              <w:adjustRightInd w:val="0"/>
              <w:spacing w:after="120" w:line="240" w:lineRule="auto"/>
              <w:ind w:left="538" w:hanging="357"/>
              <w:textAlignment w:val="baseline"/>
              <w:rPr>
                <w:rFonts w:ascii="Times New Roman" w:hAnsi="Times New Roman"/>
                <w:color w:val="FF0000"/>
                <w:lang w:eastAsia="en-GB"/>
              </w:rPr>
            </w:pPr>
            <w:r w:rsidRPr="00D53C06">
              <w:rPr>
                <w:rFonts w:ascii="Arial" w:eastAsia="Arial" w:hAnsi="Arial" w:cs="Arial"/>
              </w:rPr>
              <w:t>strengthened inclusion of women and girls and people with disabilities;</w:t>
            </w:r>
          </w:p>
        </w:tc>
      </w:tr>
    </w:tbl>
    <w:p w14:paraId="4CC57976" w14:textId="265B36FB" w:rsidR="00E43F5B" w:rsidRPr="00D168CA" w:rsidRDefault="0053362B" w:rsidP="00D168CA">
      <w:pPr>
        <w:spacing w:before="240"/>
        <w:rPr>
          <w:rFonts w:ascii="Arial" w:eastAsia="Arial" w:hAnsi="Arial" w:cs="Arial"/>
        </w:rPr>
      </w:pPr>
      <w:r w:rsidRPr="0020655A">
        <w:rPr>
          <w:rFonts w:ascii="Arial" w:eastAsia="Arial" w:hAnsi="Arial" w:cs="Arial"/>
        </w:rPr>
        <w:t xml:space="preserve">DFAT and partner managers of investments </w:t>
      </w:r>
      <w:r w:rsidR="006707B4">
        <w:rPr>
          <w:rFonts w:ascii="Arial" w:eastAsia="Arial" w:hAnsi="Arial" w:cs="Arial"/>
        </w:rPr>
        <w:t>implemented</w:t>
      </w:r>
      <w:r w:rsidR="006707B4" w:rsidRPr="0020655A">
        <w:rPr>
          <w:rFonts w:ascii="Arial" w:eastAsia="Arial" w:hAnsi="Arial" w:cs="Arial"/>
        </w:rPr>
        <w:t xml:space="preserve"> </w:t>
      </w:r>
      <w:r w:rsidRPr="0020655A">
        <w:rPr>
          <w:rFonts w:ascii="Arial" w:eastAsia="Arial" w:hAnsi="Arial" w:cs="Arial"/>
        </w:rPr>
        <w:t>through EOLs do not always consider SPFs in day-to-day operations.</w:t>
      </w:r>
      <w:r>
        <w:rPr>
          <w:rStyle w:val="FootnoteReference"/>
          <w:rFonts w:ascii="Arial" w:eastAsia="Arial" w:hAnsi="Arial" w:cs="Arial"/>
        </w:rPr>
        <w:footnoteReference w:id="43"/>
      </w:r>
      <w:r w:rsidR="00CA7471" w:rsidRPr="2C54FF09">
        <w:rPr>
          <w:rFonts w:eastAsia="Times New Roman"/>
          <w:color w:val="000000"/>
        </w:rPr>
        <w:t xml:space="preserve"> </w:t>
      </w:r>
      <w:r w:rsidR="00B8567E">
        <w:rPr>
          <w:rFonts w:eastAsia="Times New Roman"/>
          <w:color w:val="000000"/>
        </w:rPr>
        <w:t>For example, an</w:t>
      </w:r>
      <w:r w:rsidR="00CA7471" w:rsidRPr="2C54FF09">
        <w:rPr>
          <w:rFonts w:eastAsia="Times New Roman"/>
          <w:color w:val="000000"/>
        </w:rPr>
        <w:t xml:space="preserve"> </w:t>
      </w:r>
      <w:r w:rsidR="009C3F10">
        <w:rPr>
          <w:rFonts w:eastAsia="Times New Roman"/>
          <w:color w:val="000000"/>
        </w:rPr>
        <w:t xml:space="preserve">in-country </w:t>
      </w:r>
      <w:r w:rsidR="001F5C2C" w:rsidRPr="2C54FF09">
        <w:rPr>
          <w:rFonts w:eastAsia="Times New Roman"/>
          <w:color w:val="000000"/>
        </w:rPr>
        <w:t xml:space="preserve">representative of a </w:t>
      </w:r>
      <w:r w:rsidR="00CA7471" w:rsidRPr="2C54FF09">
        <w:rPr>
          <w:rFonts w:eastAsia="Times New Roman"/>
          <w:color w:val="000000"/>
        </w:rPr>
        <w:t xml:space="preserve">partner </w:t>
      </w:r>
      <w:r w:rsidR="00901EF2">
        <w:rPr>
          <w:rFonts w:eastAsia="Times New Roman"/>
          <w:color w:val="000000"/>
        </w:rPr>
        <w:t xml:space="preserve">reported they </w:t>
      </w:r>
      <w:r w:rsidR="00CA7471" w:rsidRPr="2C54FF09">
        <w:rPr>
          <w:rFonts w:eastAsia="Times New Roman"/>
          <w:color w:val="000000"/>
        </w:rPr>
        <w:t>had not s</w:t>
      </w:r>
      <w:r w:rsidR="00C1413D" w:rsidRPr="2C54FF09">
        <w:rPr>
          <w:rFonts w:eastAsia="Times New Roman"/>
          <w:color w:val="000000"/>
        </w:rPr>
        <w:t>ighted</w:t>
      </w:r>
      <w:r w:rsidR="00CA7471" w:rsidRPr="2C54FF09">
        <w:rPr>
          <w:rFonts w:eastAsia="Times New Roman"/>
          <w:color w:val="000000"/>
        </w:rPr>
        <w:t xml:space="preserve"> the SPF nor its shared objectives and deliverables, despite supporting the negotiation of the EOL.</w:t>
      </w:r>
    </w:p>
    <w:p w14:paraId="73BA248B" w14:textId="32852FAF" w:rsidR="0020655A" w:rsidRPr="00AD7F72" w:rsidRDefault="0053362B" w:rsidP="00E17D1A">
      <w:pPr>
        <w:pStyle w:val="ListParagraph"/>
        <w:numPr>
          <w:ilvl w:val="1"/>
          <w:numId w:val="12"/>
        </w:numPr>
        <w:spacing w:before="240"/>
        <w:rPr>
          <w:rFonts w:ascii="Arial" w:eastAsia="Arial" w:hAnsi="Arial" w:cs="Arial"/>
        </w:rPr>
      </w:pPr>
      <w:r w:rsidRPr="00AD7F72">
        <w:rPr>
          <w:rFonts w:ascii="Arial" w:eastAsia="Arial" w:hAnsi="Arial" w:cs="Arial"/>
          <w:b/>
          <w:bCs/>
        </w:rPr>
        <w:t>To what extent have the documented partnership implementation activities agreed in the SPF been undertaken?</w:t>
      </w:r>
      <w:r w:rsidRPr="00B33FB5">
        <w:rPr>
          <w:rFonts w:ascii="Arial" w:eastAsia="Arial" w:hAnsi="Arial" w:cs="Arial"/>
          <w:b/>
          <w:bCs/>
          <w:color w:val="00B050"/>
        </w:rPr>
        <w:t xml:space="preserve"> </w:t>
      </w:r>
    </w:p>
    <w:p w14:paraId="195DFCFD" w14:textId="06D42542" w:rsidR="009D342B" w:rsidRDefault="00A87E6E" w:rsidP="0020655A">
      <w:pPr>
        <w:spacing w:before="240"/>
        <w:rPr>
          <w:rFonts w:ascii="Arial" w:eastAsia="Arial" w:hAnsi="Arial" w:cs="Arial"/>
        </w:rPr>
      </w:pPr>
      <w:r>
        <w:rPr>
          <w:rFonts w:ascii="Arial" w:eastAsia="Arial" w:hAnsi="Arial" w:cs="Arial"/>
        </w:rPr>
        <w:t>DFAT and SPF partners have achieved strong progress in</w:t>
      </w:r>
      <w:r w:rsidR="008646F7">
        <w:rPr>
          <w:rFonts w:ascii="Arial" w:eastAsia="Arial" w:hAnsi="Arial" w:cs="Arial"/>
        </w:rPr>
        <w:t xml:space="preserve"> partnership implementation activities </w:t>
      </w:r>
      <w:r w:rsidR="00EB0213">
        <w:rPr>
          <w:rFonts w:ascii="Arial" w:eastAsia="Arial" w:hAnsi="Arial" w:cs="Arial"/>
        </w:rPr>
        <w:t>related to engagement in</w:t>
      </w:r>
      <w:r>
        <w:rPr>
          <w:rFonts w:ascii="Arial" w:eastAsia="Arial" w:hAnsi="Arial" w:cs="Arial"/>
        </w:rPr>
        <w:t xml:space="preserve"> </w:t>
      </w:r>
      <w:r w:rsidR="00EB0213">
        <w:rPr>
          <w:rFonts w:ascii="Arial" w:eastAsia="Arial" w:hAnsi="Arial" w:cs="Arial"/>
        </w:rPr>
        <w:t>b</w:t>
      </w:r>
      <w:r w:rsidR="0013666D" w:rsidRPr="0020655A">
        <w:rPr>
          <w:rFonts w:ascii="Arial" w:eastAsia="Arial" w:hAnsi="Arial" w:cs="Arial"/>
        </w:rPr>
        <w:t>oards</w:t>
      </w:r>
      <w:r w:rsidR="00EB0213">
        <w:rPr>
          <w:rFonts w:ascii="Arial" w:eastAsia="Arial" w:hAnsi="Arial" w:cs="Arial"/>
        </w:rPr>
        <w:t xml:space="preserve"> and </w:t>
      </w:r>
      <w:r w:rsidR="0013666D" w:rsidRPr="0020655A">
        <w:rPr>
          <w:rFonts w:ascii="Arial" w:eastAsia="Arial" w:hAnsi="Arial" w:cs="Arial"/>
        </w:rPr>
        <w:t xml:space="preserve">governance processes and </w:t>
      </w:r>
      <w:r w:rsidR="00EB0213">
        <w:rPr>
          <w:rFonts w:ascii="Arial" w:eastAsia="Arial" w:hAnsi="Arial" w:cs="Arial"/>
        </w:rPr>
        <w:t xml:space="preserve">regular interaction </w:t>
      </w:r>
      <w:r w:rsidR="0013666D" w:rsidRPr="0020655A">
        <w:rPr>
          <w:rFonts w:ascii="Arial" w:eastAsia="Arial" w:hAnsi="Arial" w:cs="Arial"/>
        </w:rPr>
        <w:t xml:space="preserve">via multilateral Posts and </w:t>
      </w:r>
      <w:r w:rsidR="008B4438">
        <w:rPr>
          <w:rFonts w:ascii="Arial" w:eastAsia="Arial" w:hAnsi="Arial" w:cs="Arial"/>
        </w:rPr>
        <w:t>h</w:t>
      </w:r>
      <w:r w:rsidR="0013666D" w:rsidRPr="0020655A">
        <w:rPr>
          <w:rFonts w:ascii="Arial" w:eastAsia="Arial" w:hAnsi="Arial" w:cs="Arial"/>
        </w:rPr>
        <w:t>ead</w:t>
      </w:r>
      <w:r w:rsidR="008B4438">
        <w:rPr>
          <w:rFonts w:ascii="Arial" w:eastAsia="Arial" w:hAnsi="Arial" w:cs="Arial"/>
        </w:rPr>
        <w:t>q</w:t>
      </w:r>
      <w:r w:rsidR="0013666D" w:rsidRPr="0020655A">
        <w:rPr>
          <w:rFonts w:ascii="Arial" w:eastAsia="Arial" w:hAnsi="Arial" w:cs="Arial"/>
        </w:rPr>
        <w:t xml:space="preserve">uarter focal points. Australia has also engaged with SPF partners in </w:t>
      </w:r>
      <w:r w:rsidR="007804AB">
        <w:rPr>
          <w:rFonts w:ascii="Arial" w:eastAsia="Arial" w:hAnsi="Arial" w:cs="Arial"/>
        </w:rPr>
        <w:t>Indo-</w:t>
      </w:r>
      <w:r w:rsidR="0013666D" w:rsidRPr="0020655A">
        <w:rPr>
          <w:rFonts w:ascii="Arial" w:eastAsia="Arial" w:hAnsi="Arial" w:cs="Arial"/>
        </w:rPr>
        <w:t xml:space="preserve">Pacific regional offices and at country level where Australia has a strong </w:t>
      </w:r>
      <w:r w:rsidR="00A04979">
        <w:rPr>
          <w:rFonts w:ascii="Arial" w:eastAsia="Arial" w:hAnsi="Arial" w:cs="Arial"/>
        </w:rPr>
        <w:t xml:space="preserve">bilateral </w:t>
      </w:r>
      <w:r w:rsidR="0013666D" w:rsidRPr="0020655A">
        <w:rPr>
          <w:rFonts w:ascii="Arial" w:eastAsia="Arial" w:hAnsi="Arial" w:cs="Arial"/>
        </w:rPr>
        <w:t>investment.</w:t>
      </w:r>
      <w:r w:rsidR="4AD47031">
        <w:rPr>
          <w:rFonts w:ascii="Arial" w:eastAsia="Arial" w:hAnsi="Arial" w:cs="Arial"/>
        </w:rPr>
        <w:t xml:space="preserve"> These partnership implementation activities are key to </w:t>
      </w:r>
      <w:r w:rsidR="708D9379">
        <w:rPr>
          <w:rFonts w:ascii="Arial" w:eastAsia="Arial" w:hAnsi="Arial" w:cs="Arial"/>
        </w:rPr>
        <w:t>influencing</w:t>
      </w:r>
      <w:r w:rsidR="4AD47031">
        <w:rPr>
          <w:rFonts w:ascii="Arial" w:eastAsia="Arial" w:hAnsi="Arial" w:cs="Arial"/>
        </w:rPr>
        <w:t xml:space="preserve"> for partner performance (see KEQ 2.5). </w:t>
      </w:r>
      <w:r w:rsidR="00E13C8C">
        <w:rPr>
          <w:rFonts w:ascii="Arial" w:eastAsia="Arial" w:hAnsi="Arial" w:cs="Arial"/>
        </w:rPr>
        <w:t xml:space="preserve">Australia has made </w:t>
      </w:r>
      <w:r w:rsidR="00420577">
        <w:rPr>
          <w:rFonts w:ascii="Arial" w:eastAsia="Arial" w:hAnsi="Arial" w:cs="Arial"/>
        </w:rPr>
        <w:t>mixed progress</w:t>
      </w:r>
      <w:r w:rsidR="000059B3">
        <w:rPr>
          <w:rFonts w:ascii="Arial" w:eastAsia="Arial" w:hAnsi="Arial" w:cs="Arial"/>
        </w:rPr>
        <w:t xml:space="preserve"> </w:t>
      </w:r>
      <w:r w:rsidR="00673143">
        <w:rPr>
          <w:rFonts w:ascii="Arial" w:eastAsia="Arial" w:hAnsi="Arial" w:cs="Arial"/>
        </w:rPr>
        <w:t>on High Level Consultations</w:t>
      </w:r>
      <w:r w:rsidR="000E7367">
        <w:rPr>
          <w:rFonts w:ascii="Arial" w:eastAsia="Arial" w:hAnsi="Arial" w:cs="Arial"/>
        </w:rPr>
        <w:t xml:space="preserve"> (HLC)</w:t>
      </w:r>
      <w:r w:rsidR="008E6032">
        <w:rPr>
          <w:rFonts w:ascii="Arial" w:eastAsia="Arial" w:hAnsi="Arial" w:cs="Arial"/>
        </w:rPr>
        <w:t xml:space="preserve"> </w:t>
      </w:r>
      <w:r w:rsidR="00673143">
        <w:rPr>
          <w:rFonts w:ascii="Arial" w:eastAsia="Arial" w:hAnsi="Arial" w:cs="Arial"/>
        </w:rPr>
        <w:t>and participation in field visits</w:t>
      </w:r>
      <w:r w:rsidR="001444B6">
        <w:rPr>
          <w:rFonts w:ascii="Arial" w:eastAsia="Arial" w:hAnsi="Arial" w:cs="Arial"/>
        </w:rPr>
        <w:t>, though DFAT officers note that</w:t>
      </w:r>
      <w:r w:rsidR="00E61B77">
        <w:rPr>
          <w:rFonts w:ascii="Arial" w:eastAsia="Arial" w:hAnsi="Arial" w:cs="Arial"/>
        </w:rPr>
        <w:t xml:space="preserve"> alternative</w:t>
      </w:r>
      <w:r w:rsidR="001444B6">
        <w:rPr>
          <w:rFonts w:ascii="Arial" w:eastAsia="Arial" w:hAnsi="Arial" w:cs="Arial"/>
        </w:rPr>
        <w:t xml:space="preserve"> </w:t>
      </w:r>
      <w:r w:rsidR="003C63C8">
        <w:rPr>
          <w:rFonts w:ascii="Arial" w:eastAsia="Arial" w:hAnsi="Arial" w:cs="Arial"/>
        </w:rPr>
        <w:t>senior level engagement has been planned and taken forward</w:t>
      </w:r>
      <w:r w:rsidR="00673143">
        <w:rPr>
          <w:rFonts w:ascii="Arial" w:eastAsia="Arial" w:hAnsi="Arial" w:cs="Arial"/>
        </w:rPr>
        <w:t>.</w:t>
      </w:r>
      <w:r w:rsidR="00A6287A">
        <w:rPr>
          <w:rStyle w:val="FootnoteReference"/>
          <w:rFonts w:ascii="Arial" w:eastAsia="Arial" w:hAnsi="Arial" w:cs="Arial"/>
        </w:rPr>
        <w:footnoteReference w:id="44"/>
      </w:r>
    </w:p>
    <w:p w14:paraId="6926658A" w14:textId="441E401E" w:rsidR="00293B28" w:rsidRDefault="00A06666" w:rsidP="00AD76B3">
      <w:pPr>
        <w:spacing w:before="240"/>
      </w:pPr>
      <w:r>
        <w:rPr>
          <w:rFonts w:ascii="Arial" w:eastAsia="Arial" w:hAnsi="Arial" w:cs="Arial"/>
        </w:rPr>
        <w:t>Each of the</w:t>
      </w:r>
      <w:r w:rsidR="003D6170">
        <w:rPr>
          <w:rFonts w:ascii="Arial" w:eastAsia="Arial" w:hAnsi="Arial" w:cs="Arial"/>
        </w:rPr>
        <w:t xml:space="preserve"> SPFs</w:t>
      </w:r>
      <w:r w:rsidR="00B92007">
        <w:rPr>
          <w:rFonts w:ascii="Arial" w:eastAsia="Arial" w:hAnsi="Arial" w:cs="Arial"/>
        </w:rPr>
        <w:t xml:space="preserve"> contain five main </w:t>
      </w:r>
      <w:r w:rsidR="00154D1D">
        <w:rPr>
          <w:rFonts w:ascii="Arial" w:eastAsia="Arial" w:hAnsi="Arial" w:cs="Arial"/>
        </w:rPr>
        <w:t>partnership implementation activities</w:t>
      </w:r>
      <w:r w:rsidR="00B92007">
        <w:rPr>
          <w:rFonts w:ascii="Arial" w:eastAsia="Arial" w:hAnsi="Arial" w:cs="Arial"/>
        </w:rPr>
        <w:t xml:space="preserve">, except for the CERF SPF which contains only two commitments (participation in governance processes and regular interaction via multilateral </w:t>
      </w:r>
      <w:r w:rsidR="00B92007">
        <w:rPr>
          <w:rFonts w:ascii="Arial" w:eastAsia="Arial" w:hAnsi="Arial" w:cs="Arial"/>
        </w:rPr>
        <w:lastRenderedPageBreak/>
        <w:t>Posts and focal points). The WFP and UNHCR SPFs</w:t>
      </w:r>
      <w:r w:rsidR="00450E2B">
        <w:rPr>
          <w:rFonts w:ascii="Arial" w:eastAsia="Arial" w:hAnsi="Arial" w:cs="Arial"/>
        </w:rPr>
        <w:t xml:space="preserve"> also</w:t>
      </w:r>
      <w:r w:rsidR="00B92007">
        <w:rPr>
          <w:rFonts w:ascii="Arial" w:eastAsia="Arial" w:hAnsi="Arial" w:cs="Arial"/>
        </w:rPr>
        <w:t xml:space="preserve"> contain a</w:t>
      </w:r>
      <w:r w:rsidR="00450E2B">
        <w:rPr>
          <w:rFonts w:ascii="Arial" w:eastAsia="Arial" w:hAnsi="Arial" w:cs="Arial"/>
        </w:rPr>
        <w:t>n</w:t>
      </w:r>
      <w:r w:rsidR="00B92007">
        <w:rPr>
          <w:rFonts w:ascii="Arial" w:eastAsia="Arial" w:hAnsi="Arial" w:cs="Arial"/>
        </w:rPr>
        <w:t xml:space="preserve"> </w:t>
      </w:r>
      <w:r w:rsidR="00450E2B">
        <w:rPr>
          <w:rFonts w:ascii="Arial" w:eastAsia="Arial" w:hAnsi="Arial" w:cs="Arial"/>
        </w:rPr>
        <w:t xml:space="preserve">additional </w:t>
      </w:r>
      <w:r w:rsidR="00B92007">
        <w:rPr>
          <w:rFonts w:ascii="Arial" w:eastAsia="Arial" w:hAnsi="Arial" w:cs="Arial"/>
        </w:rPr>
        <w:t>commitment to second Australian personnel to partner staff</w:t>
      </w:r>
      <w:r w:rsidR="000E7367">
        <w:rPr>
          <w:rFonts w:ascii="Arial" w:eastAsia="Arial" w:hAnsi="Arial" w:cs="Arial"/>
        </w:rPr>
        <w:t xml:space="preserve">. Table </w:t>
      </w:r>
      <w:r w:rsidR="003D3F20">
        <w:rPr>
          <w:rFonts w:ascii="Arial" w:eastAsia="Arial" w:hAnsi="Arial" w:cs="Arial"/>
        </w:rPr>
        <w:t>2</w:t>
      </w:r>
      <w:r w:rsidR="000E7367">
        <w:rPr>
          <w:rFonts w:ascii="Arial" w:eastAsia="Arial" w:hAnsi="Arial" w:cs="Arial"/>
        </w:rPr>
        <w:t xml:space="preserve"> below provides further detail.</w:t>
      </w:r>
    </w:p>
    <w:p w14:paraId="71CD291C" w14:textId="42959E75" w:rsidR="00A67E53" w:rsidRPr="00945938" w:rsidRDefault="00A67E53" w:rsidP="00AD76B3">
      <w:pPr>
        <w:pStyle w:val="Caption"/>
        <w:keepNext/>
        <w:rPr>
          <w:color w:val="12528D"/>
        </w:rPr>
      </w:pPr>
      <w:r w:rsidRPr="00945938">
        <w:rPr>
          <w:color w:val="12528D"/>
        </w:rPr>
        <w:t xml:space="preserve">Table </w:t>
      </w:r>
      <w:r w:rsidRPr="00945938">
        <w:rPr>
          <w:color w:val="12528D"/>
        </w:rPr>
        <w:fldChar w:fldCharType="begin"/>
      </w:r>
      <w:r w:rsidRPr="00945938">
        <w:rPr>
          <w:color w:val="12528D"/>
        </w:rPr>
        <w:instrText xml:space="preserve"> SEQ Table \* ARABIC </w:instrText>
      </w:r>
      <w:r w:rsidRPr="00945938">
        <w:rPr>
          <w:color w:val="12528D"/>
        </w:rPr>
        <w:fldChar w:fldCharType="separate"/>
      </w:r>
      <w:r w:rsidR="00C64FDE">
        <w:rPr>
          <w:noProof/>
          <w:color w:val="12528D"/>
        </w:rPr>
        <w:t>2</w:t>
      </w:r>
      <w:r w:rsidRPr="00945938">
        <w:rPr>
          <w:color w:val="12528D"/>
        </w:rPr>
        <w:fldChar w:fldCharType="end"/>
      </w:r>
      <w:r w:rsidRPr="00945938">
        <w:rPr>
          <w:color w:val="12528D"/>
        </w:rPr>
        <w:t>: Progress in partnership implementation activities</w:t>
      </w:r>
    </w:p>
    <w:tbl>
      <w:tblPr>
        <w:tblStyle w:val="TableGrid"/>
        <w:tblW w:w="0" w:type="auto"/>
        <w:tblLook w:val="04A0" w:firstRow="1" w:lastRow="0" w:firstColumn="1" w:lastColumn="0" w:noHBand="0" w:noVBand="1"/>
      </w:tblPr>
      <w:tblGrid>
        <w:gridCol w:w="5121"/>
        <w:gridCol w:w="1498"/>
        <w:gridCol w:w="3009"/>
      </w:tblGrid>
      <w:tr w:rsidR="0008771A" w:rsidRPr="00FC53AD" w14:paraId="6367D2C6" w14:textId="77777777" w:rsidTr="00D92DE6">
        <w:trPr>
          <w:tblHeader/>
        </w:trPr>
        <w:tc>
          <w:tcPr>
            <w:tcW w:w="0" w:type="auto"/>
          </w:tcPr>
          <w:p w14:paraId="01126123" w14:textId="77777777" w:rsidR="003F32D5" w:rsidRPr="00FC53AD" w:rsidRDefault="003F32D5" w:rsidP="00FC53AD">
            <w:pPr>
              <w:spacing w:before="120" w:after="120"/>
              <w:rPr>
                <w:rFonts w:eastAsia="Arial" w:cstheme="minorHAnsi"/>
                <w:b/>
                <w:bCs/>
                <w:szCs w:val="20"/>
              </w:rPr>
            </w:pPr>
            <w:r w:rsidRPr="00FC53AD">
              <w:rPr>
                <w:rFonts w:eastAsia="Arial" w:cstheme="minorHAnsi"/>
                <w:b/>
                <w:bCs/>
                <w:szCs w:val="20"/>
              </w:rPr>
              <w:t>Partnership implementation activity</w:t>
            </w:r>
          </w:p>
        </w:tc>
        <w:tc>
          <w:tcPr>
            <w:tcW w:w="0" w:type="auto"/>
          </w:tcPr>
          <w:p w14:paraId="4C02E2E1" w14:textId="2D9768DF" w:rsidR="003F32D5" w:rsidRPr="00FC53AD" w:rsidRDefault="00306683" w:rsidP="00FC53AD">
            <w:pPr>
              <w:spacing w:before="120" w:after="120"/>
              <w:rPr>
                <w:rFonts w:eastAsia="Arial" w:cstheme="minorHAnsi"/>
                <w:b/>
                <w:bCs/>
                <w:szCs w:val="20"/>
              </w:rPr>
            </w:pPr>
            <w:r w:rsidRPr="00FC53AD">
              <w:rPr>
                <w:rFonts w:eastAsia="Arial" w:cstheme="minorHAnsi"/>
                <w:b/>
                <w:bCs/>
                <w:szCs w:val="20"/>
              </w:rPr>
              <w:t>Included in SPFs with</w:t>
            </w:r>
          </w:p>
        </w:tc>
        <w:tc>
          <w:tcPr>
            <w:tcW w:w="0" w:type="auto"/>
          </w:tcPr>
          <w:p w14:paraId="392534D0" w14:textId="5082FBCE" w:rsidR="003F32D5" w:rsidRPr="00FC53AD" w:rsidRDefault="003F32D5" w:rsidP="00FC53AD">
            <w:pPr>
              <w:spacing w:before="120" w:after="120"/>
              <w:rPr>
                <w:rFonts w:eastAsia="Arial" w:cstheme="minorHAnsi"/>
                <w:b/>
                <w:bCs/>
                <w:szCs w:val="20"/>
              </w:rPr>
            </w:pPr>
            <w:r w:rsidRPr="00FC53AD">
              <w:rPr>
                <w:rFonts w:eastAsia="Arial" w:cstheme="minorHAnsi"/>
                <w:b/>
                <w:bCs/>
                <w:szCs w:val="20"/>
              </w:rPr>
              <w:t>Progress</w:t>
            </w:r>
          </w:p>
        </w:tc>
      </w:tr>
      <w:tr w:rsidR="0008771A" w:rsidRPr="00FC53AD" w14:paraId="2D80EEA6" w14:textId="77777777" w:rsidTr="00D92DE6">
        <w:trPr>
          <w:tblHeader/>
        </w:trPr>
        <w:tc>
          <w:tcPr>
            <w:tcW w:w="0" w:type="auto"/>
          </w:tcPr>
          <w:p w14:paraId="210DD89D" w14:textId="24ED761C" w:rsidR="003F32D5" w:rsidRPr="00FC53AD" w:rsidRDefault="003F32D5" w:rsidP="00FC53AD">
            <w:pPr>
              <w:spacing w:before="120" w:after="120"/>
              <w:rPr>
                <w:rFonts w:eastAsia="Arial" w:cstheme="minorHAnsi"/>
                <w:szCs w:val="20"/>
              </w:rPr>
            </w:pPr>
            <w:r w:rsidRPr="00FC53AD">
              <w:rPr>
                <w:rFonts w:eastAsia="Arial" w:cstheme="minorHAnsi"/>
                <w:szCs w:val="20"/>
              </w:rPr>
              <w:t xml:space="preserve">Active participation in Boards/Governance processes </w:t>
            </w:r>
          </w:p>
        </w:tc>
        <w:tc>
          <w:tcPr>
            <w:tcW w:w="0" w:type="auto"/>
          </w:tcPr>
          <w:p w14:paraId="35D43652" w14:textId="76BAE9A7" w:rsidR="003F32D5" w:rsidRPr="00CD65EA" w:rsidRDefault="00306683" w:rsidP="00FC53AD">
            <w:pPr>
              <w:spacing w:before="120" w:after="120"/>
              <w:rPr>
                <w:rFonts w:eastAsia="Arial" w:cstheme="minorHAnsi"/>
                <w:szCs w:val="20"/>
                <w:lang w:val="fr-FR"/>
              </w:rPr>
            </w:pPr>
            <w:r w:rsidRPr="00CD65EA">
              <w:rPr>
                <w:rFonts w:eastAsia="Arial" w:cstheme="minorHAnsi"/>
                <w:szCs w:val="20"/>
                <w:lang w:val="fr-FR"/>
              </w:rPr>
              <w:t>WFP, ICRC, OCHA, UNHCR, CERF</w:t>
            </w:r>
          </w:p>
        </w:tc>
        <w:tc>
          <w:tcPr>
            <w:tcW w:w="0" w:type="auto"/>
            <w:shd w:val="clear" w:color="auto" w:fill="92D050"/>
          </w:tcPr>
          <w:p w14:paraId="2B3BBAFB" w14:textId="53BDDD00" w:rsidR="003F32D5" w:rsidRPr="00FC53AD" w:rsidRDefault="003F32D5" w:rsidP="00FC53AD">
            <w:pPr>
              <w:spacing w:before="120" w:after="120"/>
              <w:rPr>
                <w:rFonts w:eastAsia="Arial" w:cstheme="minorHAnsi"/>
                <w:szCs w:val="20"/>
              </w:rPr>
            </w:pPr>
            <w:r w:rsidRPr="00FC53AD">
              <w:rPr>
                <w:rFonts w:eastAsia="Arial" w:cstheme="minorHAnsi"/>
                <w:szCs w:val="20"/>
              </w:rPr>
              <w:t>Achieved</w:t>
            </w:r>
          </w:p>
        </w:tc>
      </w:tr>
      <w:tr w:rsidR="0008771A" w:rsidRPr="00FC53AD" w14:paraId="37C2D158" w14:textId="77777777" w:rsidTr="00D92DE6">
        <w:trPr>
          <w:tblHeader/>
        </w:trPr>
        <w:tc>
          <w:tcPr>
            <w:tcW w:w="0" w:type="auto"/>
          </w:tcPr>
          <w:p w14:paraId="46502A60" w14:textId="4985CAD9" w:rsidR="003F32D5" w:rsidRPr="00FC53AD" w:rsidRDefault="003F32D5" w:rsidP="00FC53AD">
            <w:pPr>
              <w:spacing w:before="120" w:after="120"/>
              <w:rPr>
                <w:rFonts w:eastAsia="Arial" w:cstheme="minorHAnsi"/>
                <w:szCs w:val="20"/>
              </w:rPr>
            </w:pPr>
            <w:r w:rsidRPr="00FC53AD">
              <w:rPr>
                <w:rFonts w:eastAsia="Arial" w:cstheme="minorHAnsi"/>
                <w:szCs w:val="20"/>
              </w:rPr>
              <w:t>Regular interaction via Australian multilateral posts and focal points</w:t>
            </w:r>
          </w:p>
        </w:tc>
        <w:tc>
          <w:tcPr>
            <w:tcW w:w="0" w:type="auto"/>
          </w:tcPr>
          <w:p w14:paraId="1643FD2B" w14:textId="0719FDC6" w:rsidR="003F32D5" w:rsidRPr="00CD65EA" w:rsidRDefault="00306683" w:rsidP="00FC53AD">
            <w:pPr>
              <w:spacing w:before="120" w:after="120"/>
              <w:rPr>
                <w:rFonts w:eastAsia="Arial" w:cstheme="minorHAnsi"/>
                <w:szCs w:val="20"/>
                <w:lang w:val="fr-FR"/>
              </w:rPr>
            </w:pPr>
            <w:r w:rsidRPr="00CD65EA">
              <w:rPr>
                <w:rFonts w:eastAsia="Arial" w:cstheme="minorHAnsi"/>
                <w:szCs w:val="20"/>
                <w:lang w:val="fr-FR"/>
              </w:rPr>
              <w:t>WFP, ICRC, OCHA, UNHCR, CERF</w:t>
            </w:r>
          </w:p>
        </w:tc>
        <w:tc>
          <w:tcPr>
            <w:tcW w:w="0" w:type="auto"/>
            <w:shd w:val="clear" w:color="auto" w:fill="92D050"/>
          </w:tcPr>
          <w:p w14:paraId="0C767713" w14:textId="43405685" w:rsidR="003F32D5" w:rsidRPr="00FC53AD" w:rsidRDefault="003F32D5" w:rsidP="00FC53AD">
            <w:pPr>
              <w:spacing w:before="120" w:after="120"/>
              <w:rPr>
                <w:rFonts w:eastAsia="Arial" w:cstheme="minorHAnsi"/>
                <w:szCs w:val="20"/>
              </w:rPr>
            </w:pPr>
            <w:r w:rsidRPr="00FC53AD">
              <w:rPr>
                <w:rFonts w:eastAsia="Arial" w:cstheme="minorHAnsi"/>
                <w:szCs w:val="20"/>
              </w:rPr>
              <w:t>Achieved</w:t>
            </w:r>
          </w:p>
        </w:tc>
      </w:tr>
      <w:tr w:rsidR="0008771A" w:rsidRPr="00FC53AD" w14:paraId="30579377" w14:textId="77777777" w:rsidTr="00D92DE6">
        <w:trPr>
          <w:tblHeader/>
        </w:trPr>
        <w:tc>
          <w:tcPr>
            <w:tcW w:w="0" w:type="auto"/>
          </w:tcPr>
          <w:p w14:paraId="47E5F4B6" w14:textId="08AAAA39" w:rsidR="003F32D5" w:rsidRPr="00FC53AD" w:rsidRDefault="008E6032" w:rsidP="00FC53AD">
            <w:pPr>
              <w:spacing w:before="120" w:after="120"/>
              <w:rPr>
                <w:rFonts w:eastAsia="Arial" w:cstheme="minorHAnsi"/>
                <w:szCs w:val="20"/>
              </w:rPr>
            </w:pPr>
            <w:r>
              <w:rPr>
                <w:rFonts w:eastAsia="Arial" w:cstheme="minorHAnsi"/>
                <w:szCs w:val="20"/>
              </w:rPr>
              <w:t xml:space="preserve">Formal </w:t>
            </w:r>
            <w:r w:rsidR="00376A76" w:rsidRPr="00FC53AD">
              <w:rPr>
                <w:rFonts w:eastAsia="Arial" w:cstheme="minorHAnsi"/>
                <w:szCs w:val="20"/>
              </w:rPr>
              <w:t>High-Level</w:t>
            </w:r>
            <w:r w:rsidR="003F32D5" w:rsidRPr="00FC53AD">
              <w:rPr>
                <w:rFonts w:eastAsia="Arial" w:cstheme="minorHAnsi"/>
                <w:szCs w:val="20"/>
              </w:rPr>
              <w:t xml:space="preserve"> </w:t>
            </w:r>
            <w:r>
              <w:rPr>
                <w:rFonts w:eastAsia="Arial" w:cstheme="minorHAnsi"/>
                <w:szCs w:val="20"/>
              </w:rPr>
              <w:t>C</w:t>
            </w:r>
            <w:r w:rsidR="003F32D5" w:rsidRPr="00FC53AD">
              <w:rPr>
                <w:rFonts w:eastAsia="Arial" w:cstheme="minorHAnsi"/>
                <w:szCs w:val="20"/>
              </w:rPr>
              <w:t xml:space="preserve">onsultations </w:t>
            </w:r>
          </w:p>
        </w:tc>
        <w:tc>
          <w:tcPr>
            <w:tcW w:w="0" w:type="auto"/>
          </w:tcPr>
          <w:p w14:paraId="29F27914" w14:textId="776CB0E9" w:rsidR="003F32D5" w:rsidRPr="00FC53AD" w:rsidRDefault="0052642A" w:rsidP="00FC53AD">
            <w:pPr>
              <w:spacing w:before="120" w:after="120"/>
              <w:rPr>
                <w:rFonts w:eastAsia="Arial" w:cstheme="minorHAnsi"/>
                <w:szCs w:val="20"/>
              </w:rPr>
            </w:pPr>
            <w:r w:rsidRPr="00FC53AD">
              <w:rPr>
                <w:rFonts w:eastAsia="Arial" w:cstheme="minorHAnsi"/>
                <w:szCs w:val="20"/>
              </w:rPr>
              <w:t>WFP, ICRC, OCHA, UNHCR</w:t>
            </w:r>
          </w:p>
        </w:tc>
        <w:tc>
          <w:tcPr>
            <w:tcW w:w="0" w:type="auto"/>
            <w:shd w:val="clear" w:color="auto" w:fill="FFC000"/>
          </w:tcPr>
          <w:p w14:paraId="5BE9B87E" w14:textId="367E10C5" w:rsidR="003F32D5" w:rsidRPr="00FC53AD" w:rsidRDefault="0052642A" w:rsidP="00FC53AD">
            <w:pPr>
              <w:spacing w:before="120" w:after="120"/>
              <w:rPr>
                <w:rFonts w:eastAsia="Arial" w:cstheme="minorHAnsi"/>
                <w:szCs w:val="20"/>
              </w:rPr>
            </w:pPr>
            <w:r w:rsidRPr="00FC53AD">
              <w:rPr>
                <w:rFonts w:eastAsia="Arial" w:cstheme="minorHAnsi"/>
                <w:szCs w:val="20"/>
              </w:rPr>
              <w:t>Mi</w:t>
            </w:r>
            <w:r w:rsidR="00B20A1B" w:rsidRPr="00FC53AD">
              <w:rPr>
                <w:rFonts w:eastAsia="Arial" w:cstheme="minorHAnsi"/>
                <w:szCs w:val="20"/>
              </w:rPr>
              <w:t>xed progress</w:t>
            </w:r>
            <w:r w:rsidR="0083253F">
              <w:rPr>
                <w:rFonts w:eastAsia="Arial" w:cstheme="minorHAnsi"/>
                <w:szCs w:val="20"/>
              </w:rPr>
              <w:t xml:space="preserve">: One formal </w:t>
            </w:r>
            <w:r w:rsidR="00376A76">
              <w:rPr>
                <w:rFonts w:eastAsia="Arial" w:cstheme="minorHAnsi"/>
                <w:szCs w:val="20"/>
              </w:rPr>
              <w:t>High-Level</w:t>
            </w:r>
            <w:r w:rsidR="008E6032">
              <w:rPr>
                <w:rFonts w:eastAsia="Arial" w:cstheme="minorHAnsi"/>
                <w:szCs w:val="20"/>
              </w:rPr>
              <w:t xml:space="preserve"> Consultation</w:t>
            </w:r>
            <w:r w:rsidR="0083253F">
              <w:rPr>
                <w:rFonts w:eastAsia="Arial" w:cstheme="minorHAnsi"/>
                <w:szCs w:val="20"/>
              </w:rPr>
              <w:t xml:space="preserve"> </w:t>
            </w:r>
            <w:r w:rsidR="008C5EA8">
              <w:rPr>
                <w:rFonts w:eastAsia="Arial" w:cstheme="minorHAnsi"/>
                <w:szCs w:val="20"/>
              </w:rPr>
              <w:t>plus</w:t>
            </w:r>
            <w:r w:rsidR="0083253F">
              <w:rPr>
                <w:rFonts w:eastAsia="Arial" w:cstheme="minorHAnsi"/>
                <w:szCs w:val="20"/>
              </w:rPr>
              <w:t xml:space="preserve"> </w:t>
            </w:r>
            <w:r w:rsidR="00376A76">
              <w:rPr>
                <w:rFonts w:eastAsia="Arial" w:cstheme="minorHAnsi"/>
                <w:szCs w:val="20"/>
              </w:rPr>
              <w:t>high-level</w:t>
            </w:r>
            <w:r w:rsidR="00201720">
              <w:rPr>
                <w:rFonts w:eastAsia="Arial" w:cstheme="minorHAnsi"/>
                <w:szCs w:val="20"/>
              </w:rPr>
              <w:t xml:space="preserve"> visits</w:t>
            </w:r>
            <w:r w:rsidR="0083253F">
              <w:rPr>
                <w:rFonts w:eastAsia="Arial" w:cstheme="minorHAnsi"/>
                <w:szCs w:val="20"/>
              </w:rPr>
              <w:t xml:space="preserve"> </w:t>
            </w:r>
          </w:p>
        </w:tc>
      </w:tr>
      <w:tr w:rsidR="0008771A" w:rsidRPr="00FC53AD" w14:paraId="41164E23" w14:textId="77777777" w:rsidTr="00D92DE6">
        <w:trPr>
          <w:tblHeader/>
        </w:trPr>
        <w:tc>
          <w:tcPr>
            <w:tcW w:w="0" w:type="auto"/>
          </w:tcPr>
          <w:p w14:paraId="2AC0FFF8" w14:textId="3847809A" w:rsidR="003F32D5" w:rsidRPr="00FC53AD" w:rsidRDefault="003F32D5" w:rsidP="00FC53AD">
            <w:pPr>
              <w:spacing w:before="120" w:after="120"/>
              <w:rPr>
                <w:rFonts w:eastAsia="Arial" w:cstheme="minorHAnsi"/>
                <w:szCs w:val="20"/>
              </w:rPr>
            </w:pPr>
            <w:r w:rsidRPr="00FC53AD">
              <w:rPr>
                <w:rFonts w:eastAsia="Arial" w:cstheme="minorHAnsi"/>
                <w:szCs w:val="20"/>
                <w:lang w:val="en-GB"/>
              </w:rPr>
              <w:t>Engagement, dialogue and partnership at the regional and country levels</w:t>
            </w:r>
            <w:r w:rsidRPr="00FC53AD">
              <w:rPr>
                <w:rFonts w:eastAsia="Arial" w:cstheme="minorHAnsi"/>
                <w:szCs w:val="20"/>
              </w:rPr>
              <w:t xml:space="preserve"> </w:t>
            </w:r>
          </w:p>
        </w:tc>
        <w:tc>
          <w:tcPr>
            <w:tcW w:w="0" w:type="auto"/>
          </w:tcPr>
          <w:p w14:paraId="6460ABD7" w14:textId="79F41152" w:rsidR="003F32D5" w:rsidRPr="00FC53AD" w:rsidRDefault="009D356D" w:rsidP="00FC53AD">
            <w:pPr>
              <w:spacing w:before="120" w:after="120" w:line="240" w:lineRule="auto"/>
              <w:rPr>
                <w:rFonts w:eastAsia="Arial" w:cstheme="minorHAnsi"/>
                <w:szCs w:val="20"/>
              </w:rPr>
            </w:pPr>
            <w:r w:rsidRPr="00FC53AD">
              <w:rPr>
                <w:rFonts w:eastAsia="Arial" w:cstheme="minorHAnsi"/>
                <w:szCs w:val="20"/>
              </w:rPr>
              <w:t>WFP, ICRC, OCHA, UNHCR</w:t>
            </w:r>
          </w:p>
        </w:tc>
        <w:tc>
          <w:tcPr>
            <w:tcW w:w="0" w:type="auto"/>
            <w:shd w:val="clear" w:color="auto" w:fill="FFC000"/>
          </w:tcPr>
          <w:p w14:paraId="4928885D" w14:textId="44A5F0E2" w:rsidR="003F32D5" w:rsidRPr="00FC53AD" w:rsidRDefault="003F32D5" w:rsidP="00FC53AD">
            <w:pPr>
              <w:spacing w:before="120" w:after="120" w:line="240" w:lineRule="auto"/>
              <w:rPr>
                <w:rFonts w:eastAsia="Arial" w:cstheme="minorBidi"/>
              </w:rPr>
            </w:pPr>
            <w:r w:rsidRPr="2841FE0C">
              <w:rPr>
                <w:rFonts w:eastAsia="Arial" w:cstheme="minorBidi"/>
              </w:rPr>
              <w:t xml:space="preserve">Strong engagement with </w:t>
            </w:r>
            <w:r w:rsidR="00401067">
              <w:rPr>
                <w:rFonts w:eastAsia="Arial" w:cstheme="minorBidi"/>
              </w:rPr>
              <w:t>Indo</w:t>
            </w:r>
            <w:r w:rsidR="41FFF559" w:rsidRPr="54F86F41">
              <w:rPr>
                <w:rFonts w:eastAsia="Arial" w:cstheme="minorBidi"/>
              </w:rPr>
              <w:t>-</w:t>
            </w:r>
            <w:r w:rsidR="759FFFB9" w:rsidRPr="54F86F41">
              <w:rPr>
                <w:rFonts w:eastAsia="Arial" w:cstheme="minorBidi"/>
              </w:rPr>
              <w:t>Pacific</w:t>
            </w:r>
            <w:r w:rsidRPr="2841FE0C">
              <w:rPr>
                <w:rFonts w:eastAsia="Arial" w:cstheme="minorBidi"/>
              </w:rPr>
              <w:t xml:space="preserve"> regional offices and countries </w:t>
            </w:r>
            <w:r w:rsidRPr="2841FE0C">
              <w:rPr>
                <w:rFonts w:eastAsia="Times New Roman" w:cstheme="minorBidi"/>
                <w:color w:val="auto"/>
              </w:rPr>
              <w:t>with</w:t>
            </w:r>
            <w:r w:rsidRPr="2841FE0C">
              <w:rPr>
                <w:rFonts w:eastAsia="Arial" w:cstheme="minorBidi"/>
              </w:rPr>
              <w:t xml:space="preserve"> a strong Australian diplomatic presence</w:t>
            </w:r>
          </w:p>
          <w:p w14:paraId="33042543" w14:textId="4078F915" w:rsidR="003F32D5" w:rsidRPr="00FC53AD" w:rsidRDefault="003F32D5" w:rsidP="00FC53AD">
            <w:pPr>
              <w:spacing w:before="120" w:after="120"/>
              <w:rPr>
                <w:rFonts w:eastAsia="Arial" w:cstheme="minorHAnsi"/>
                <w:szCs w:val="20"/>
              </w:rPr>
            </w:pPr>
            <w:r w:rsidRPr="00FC53AD">
              <w:rPr>
                <w:rFonts w:eastAsia="Arial" w:cstheme="minorHAnsi"/>
                <w:szCs w:val="20"/>
              </w:rPr>
              <w:t>Limited in other contexts</w:t>
            </w:r>
            <w:r w:rsidR="00C144CB">
              <w:rPr>
                <w:rFonts w:eastAsia="Arial" w:cstheme="minorHAnsi"/>
                <w:szCs w:val="20"/>
              </w:rPr>
              <w:t>,</w:t>
            </w:r>
            <w:r w:rsidR="002E61A6">
              <w:rPr>
                <w:rFonts w:eastAsia="Arial" w:cstheme="minorHAnsi"/>
                <w:szCs w:val="20"/>
              </w:rPr>
              <w:t xml:space="preserve"> </w:t>
            </w:r>
            <w:r w:rsidR="00C144CB">
              <w:rPr>
                <w:rFonts w:eastAsia="Arial" w:cstheme="minorHAnsi"/>
                <w:szCs w:val="20"/>
              </w:rPr>
              <w:t>consistent with SPFs</w:t>
            </w:r>
            <w:r w:rsidR="007A7B7A">
              <w:rPr>
                <w:rFonts w:eastAsia="Arial" w:cstheme="minorHAnsi"/>
                <w:szCs w:val="20"/>
              </w:rPr>
              <w:t>’</w:t>
            </w:r>
            <w:r w:rsidR="00C144CB">
              <w:rPr>
                <w:rFonts w:eastAsia="Arial" w:cstheme="minorHAnsi"/>
                <w:szCs w:val="20"/>
              </w:rPr>
              <w:t xml:space="preserve"> Indo-Pacific priority.</w:t>
            </w:r>
            <w:r w:rsidR="00EF1513">
              <w:rPr>
                <w:rStyle w:val="FootnoteReference"/>
                <w:rFonts w:eastAsia="Arial" w:cstheme="minorHAnsi"/>
                <w:szCs w:val="20"/>
              </w:rPr>
              <w:footnoteReference w:id="45"/>
            </w:r>
            <w:r w:rsidRPr="00FC53AD">
              <w:rPr>
                <w:rFonts w:eastAsia="Arial" w:cstheme="minorHAnsi"/>
                <w:szCs w:val="20"/>
              </w:rPr>
              <w:t xml:space="preserve"> </w:t>
            </w:r>
          </w:p>
        </w:tc>
      </w:tr>
      <w:tr w:rsidR="0008771A" w:rsidRPr="00FC53AD" w14:paraId="5FD137CD" w14:textId="77777777" w:rsidTr="00D92DE6">
        <w:trPr>
          <w:tblHeader/>
        </w:trPr>
        <w:tc>
          <w:tcPr>
            <w:tcW w:w="0" w:type="auto"/>
          </w:tcPr>
          <w:p w14:paraId="0033E314" w14:textId="791D8A53" w:rsidR="00A42925" w:rsidRPr="00FC53AD" w:rsidRDefault="00A42925" w:rsidP="00A42925">
            <w:pPr>
              <w:spacing w:before="120" w:after="120"/>
              <w:rPr>
                <w:rFonts w:eastAsia="Arial" w:cstheme="minorHAnsi"/>
                <w:szCs w:val="20"/>
              </w:rPr>
            </w:pPr>
            <w:r w:rsidRPr="00FC53AD">
              <w:rPr>
                <w:rFonts w:eastAsia="Arial" w:cstheme="minorHAnsi"/>
                <w:szCs w:val="20"/>
                <w:lang w:val="en-GB"/>
              </w:rPr>
              <w:t xml:space="preserve">Secondment and Junior Professional Officer (JPO) Programme opportunities to place Australian Government officials, Australia Assists specialists and Australian volunteers to WFP’s operations and offices </w:t>
            </w:r>
          </w:p>
        </w:tc>
        <w:tc>
          <w:tcPr>
            <w:tcW w:w="0" w:type="auto"/>
          </w:tcPr>
          <w:p w14:paraId="619B1390" w14:textId="7D507CFF" w:rsidR="00A42925" w:rsidRPr="00FC53AD" w:rsidRDefault="00A42925" w:rsidP="00A42925">
            <w:pPr>
              <w:spacing w:before="120" w:after="120"/>
              <w:rPr>
                <w:rFonts w:eastAsia="Arial" w:cstheme="minorHAnsi"/>
                <w:szCs w:val="20"/>
              </w:rPr>
            </w:pPr>
            <w:r w:rsidRPr="00FC53AD">
              <w:rPr>
                <w:rFonts w:eastAsia="Arial" w:cstheme="minorHAnsi"/>
                <w:szCs w:val="20"/>
                <w:lang w:val="en-GB"/>
              </w:rPr>
              <w:t>WFP and UNHCR</w:t>
            </w:r>
          </w:p>
        </w:tc>
        <w:tc>
          <w:tcPr>
            <w:tcW w:w="0" w:type="auto"/>
            <w:shd w:val="clear" w:color="auto" w:fill="92D050"/>
          </w:tcPr>
          <w:p w14:paraId="154A55FB" w14:textId="31C94D58" w:rsidR="00A42925" w:rsidRPr="00FC53AD" w:rsidRDefault="001E0051" w:rsidP="00A42925">
            <w:pPr>
              <w:spacing w:before="120" w:after="120"/>
              <w:rPr>
                <w:rFonts w:eastAsia="Arial" w:cstheme="minorHAnsi"/>
                <w:szCs w:val="20"/>
                <w:lang w:val="en-GB"/>
              </w:rPr>
            </w:pPr>
            <w:r>
              <w:rPr>
                <w:rFonts w:eastAsia="Arial" w:cstheme="minorBidi"/>
                <w:lang w:val="en-GB"/>
              </w:rPr>
              <w:t xml:space="preserve">The WFP JPO has been deployed and the UNHCR JPO </w:t>
            </w:r>
            <w:r w:rsidR="0008771A">
              <w:rPr>
                <w:rFonts w:eastAsia="Arial" w:cstheme="minorBidi"/>
                <w:lang w:val="en-GB"/>
              </w:rPr>
              <w:t>has been recruited</w:t>
            </w:r>
            <w:r w:rsidR="00A42925" w:rsidRPr="3A30366C">
              <w:rPr>
                <w:rFonts w:eastAsia="Arial" w:cstheme="minorBidi"/>
                <w:lang w:val="en-GB"/>
              </w:rPr>
              <w:t>.</w:t>
            </w:r>
            <w:r w:rsidR="0058276D">
              <w:rPr>
                <w:rStyle w:val="FootnoteReference"/>
                <w:rFonts w:eastAsia="Arial" w:cstheme="minorBidi"/>
                <w:lang w:val="en-GB"/>
              </w:rPr>
              <w:footnoteReference w:id="46"/>
            </w:r>
          </w:p>
        </w:tc>
      </w:tr>
      <w:tr w:rsidR="0008771A" w:rsidRPr="00FC53AD" w14:paraId="350D6271" w14:textId="77777777" w:rsidTr="00D92DE6">
        <w:trPr>
          <w:tblHeader/>
        </w:trPr>
        <w:tc>
          <w:tcPr>
            <w:tcW w:w="0" w:type="auto"/>
          </w:tcPr>
          <w:p w14:paraId="0FC0638B" w14:textId="73894633" w:rsidR="00A42925" w:rsidRPr="00FC53AD" w:rsidRDefault="00A42925" w:rsidP="00A42925">
            <w:pPr>
              <w:spacing w:before="120" w:after="120"/>
              <w:rPr>
                <w:rFonts w:eastAsia="Arial" w:cstheme="minorHAnsi"/>
                <w:szCs w:val="20"/>
              </w:rPr>
            </w:pPr>
            <w:r w:rsidRPr="00FC53AD">
              <w:rPr>
                <w:rFonts w:eastAsia="Arial" w:cstheme="minorHAnsi"/>
                <w:szCs w:val="20"/>
              </w:rPr>
              <w:t>Joint field visits</w:t>
            </w:r>
          </w:p>
        </w:tc>
        <w:tc>
          <w:tcPr>
            <w:tcW w:w="0" w:type="auto"/>
          </w:tcPr>
          <w:p w14:paraId="0B2B6166" w14:textId="580BD26F" w:rsidR="00A42925" w:rsidRPr="00FC53AD" w:rsidRDefault="00A42925" w:rsidP="00A42925">
            <w:pPr>
              <w:spacing w:before="120" w:after="120"/>
              <w:rPr>
                <w:rFonts w:eastAsia="Arial" w:cstheme="minorHAnsi"/>
                <w:szCs w:val="20"/>
                <w:lang w:val="en-GB"/>
              </w:rPr>
            </w:pPr>
            <w:r w:rsidRPr="00FC53AD">
              <w:rPr>
                <w:rFonts w:eastAsia="Arial" w:cstheme="minorHAnsi"/>
                <w:szCs w:val="20"/>
              </w:rPr>
              <w:t>WFP, ICRC, OCHA, UNHCR</w:t>
            </w:r>
          </w:p>
        </w:tc>
        <w:tc>
          <w:tcPr>
            <w:tcW w:w="0" w:type="auto"/>
            <w:shd w:val="clear" w:color="auto" w:fill="D05E1E"/>
          </w:tcPr>
          <w:p w14:paraId="62B78244" w14:textId="3BEBDA54" w:rsidR="00A42925" w:rsidRPr="00FC53AD" w:rsidRDefault="00A42925" w:rsidP="00A42925">
            <w:pPr>
              <w:spacing w:before="120" w:after="120"/>
              <w:rPr>
                <w:rFonts w:eastAsia="Arial" w:cstheme="minorHAnsi"/>
                <w:szCs w:val="20"/>
                <w:lang w:val="en-GB"/>
              </w:rPr>
            </w:pPr>
            <w:r w:rsidRPr="00FC53AD">
              <w:rPr>
                <w:rFonts w:eastAsia="Arial" w:cstheme="minorHAnsi"/>
                <w:szCs w:val="20"/>
                <w:lang w:val="en-GB"/>
              </w:rPr>
              <w:t>Minimal involvement (</w:t>
            </w:r>
            <w:r>
              <w:rPr>
                <w:rFonts w:eastAsia="Arial" w:cstheme="minorHAnsi"/>
                <w:szCs w:val="20"/>
                <w:lang w:val="en-GB"/>
              </w:rPr>
              <w:t>two</w:t>
            </w:r>
            <w:r w:rsidRPr="00FC53AD">
              <w:rPr>
                <w:rFonts w:eastAsia="Arial" w:cstheme="minorHAnsi"/>
                <w:szCs w:val="20"/>
                <w:lang w:val="en-GB"/>
              </w:rPr>
              <w:t xml:space="preserve"> trip</w:t>
            </w:r>
            <w:r>
              <w:rPr>
                <w:rFonts w:eastAsia="Arial" w:cstheme="minorHAnsi"/>
                <w:szCs w:val="20"/>
                <w:lang w:val="en-GB"/>
              </w:rPr>
              <w:t>s</w:t>
            </w:r>
            <w:r w:rsidRPr="00FC53AD">
              <w:rPr>
                <w:rFonts w:eastAsia="Arial" w:cstheme="minorHAnsi"/>
                <w:szCs w:val="20"/>
                <w:lang w:val="en-GB"/>
              </w:rPr>
              <w:t xml:space="preserve"> attended)</w:t>
            </w:r>
          </w:p>
        </w:tc>
      </w:tr>
    </w:tbl>
    <w:p w14:paraId="7C54FC51" w14:textId="432AC782" w:rsidR="00913D96" w:rsidRDefault="004F7D04" w:rsidP="00A04415">
      <w:pPr>
        <w:spacing w:before="240"/>
        <w:rPr>
          <w:rFonts w:ascii="Arial" w:eastAsia="Arial" w:hAnsi="Arial" w:cs="Arial"/>
        </w:rPr>
      </w:pPr>
      <w:r>
        <w:rPr>
          <w:rFonts w:ascii="Arial" w:eastAsia="Arial" w:hAnsi="Arial" w:cs="Arial"/>
        </w:rPr>
        <w:t>Neither DFAT nor SPF partner report</w:t>
      </w:r>
      <w:r w:rsidR="006B5BF9">
        <w:rPr>
          <w:rFonts w:ascii="Arial" w:eastAsia="Arial" w:hAnsi="Arial" w:cs="Arial"/>
        </w:rPr>
        <w:t xml:space="preserve">ing tracks the </w:t>
      </w:r>
      <w:r>
        <w:rPr>
          <w:rFonts w:ascii="Arial" w:eastAsia="Arial" w:hAnsi="Arial" w:cs="Arial"/>
        </w:rPr>
        <w:t xml:space="preserve">extent to which </w:t>
      </w:r>
      <w:r w:rsidR="00A04415">
        <w:rPr>
          <w:rFonts w:ascii="Arial" w:eastAsia="Arial" w:hAnsi="Arial" w:cs="Arial"/>
        </w:rPr>
        <w:t>the partnership implementation activities in the SPFs have been progressed.</w:t>
      </w:r>
      <w:r w:rsidR="00A04415">
        <w:rPr>
          <w:rStyle w:val="FootnoteReference"/>
          <w:rFonts w:ascii="Arial" w:eastAsia="Arial" w:hAnsi="Arial" w:cs="Arial"/>
        </w:rPr>
        <w:footnoteReference w:id="47"/>
      </w:r>
      <w:r w:rsidR="00A04415">
        <w:rPr>
          <w:rFonts w:ascii="Arial" w:eastAsia="Arial" w:hAnsi="Arial" w:cs="Arial"/>
        </w:rPr>
        <w:t xml:space="preserve"> However, </w:t>
      </w:r>
      <w:r w:rsidR="000E7367">
        <w:rPr>
          <w:rFonts w:ascii="Arial" w:eastAsia="Arial" w:hAnsi="Arial" w:cs="Arial"/>
        </w:rPr>
        <w:t>KIIs</w:t>
      </w:r>
      <w:r w:rsidR="00A04415">
        <w:rPr>
          <w:rFonts w:ascii="Arial" w:eastAsia="Arial" w:hAnsi="Arial" w:cs="Arial"/>
        </w:rPr>
        <w:t xml:space="preserve"> with DFAT and SPF</w:t>
      </w:r>
      <w:r w:rsidR="000E7367">
        <w:rPr>
          <w:rFonts w:ascii="Arial" w:eastAsia="Arial" w:hAnsi="Arial" w:cs="Arial"/>
        </w:rPr>
        <w:t xml:space="preserve"> informants</w:t>
      </w:r>
      <w:r w:rsidR="00A04415">
        <w:rPr>
          <w:rFonts w:ascii="Arial" w:eastAsia="Arial" w:hAnsi="Arial" w:cs="Arial"/>
        </w:rPr>
        <w:t xml:space="preserve"> </w:t>
      </w:r>
      <w:r w:rsidR="00321D2C">
        <w:rPr>
          <w:rFonts w:ascii="Arial" w:eastAsia="Arial" w:hAnsi="Arial" w:cs="Arial"/>
        </w:rPr>
        <w:t>report</w:t>
      </w:r>
      <w:r w:rsidR="000E7367">
        <w:rPr>
          <w:rFonts w:ascii="Arial" w:eastAsia="Arial" w:hAnsi="Arial" w:cs="Arial"/>
        </w:rPr>
        <w:t>ed</w:t>
      </w:r>
      <w:r w:rsidR="00321D2C">
        <w:rPr>
          <w:rFonts w:ascii="Arial" w:eastAsia="Arial" w:hAnsi="Arial" w:cs="Arial"/>
        </w:rPr>
        <w:t xml:space="preserve"> strong progress in ongoing engagement in SPF partner </w:t>
      </w:r>
      <w:r w:rsidR="000E7367">
        <w:rPr>
          <w:rFonts w:ascii="Arial" w:eastAsia="Arial" w:hAnsi="Arial" w:cs="Arial"/>
        </w:rPr>
        <w:t xml:space="preserve">board and governance </w:t>
      </w:r>
      <w:r w:rsidR="00321D2C" w:rsidRPr="0036355D">
        <w:rPr>
          <w:rFonts w:ascii="Arial" w:eastAsia="Arial" w:hAnsi="Arial" w:cs="Arial"/>
        </w:rPr>
        <w:t xml:space="preserve">processes and via multilateral Posts and </w:t>
      </w:r>
      <w:r w:rsidR="000E7367">
        <w:rPr>
          <w:rFonts w:ascii="Arial" w:eastAsia="Arial" w:hAnsi="Arial" w:cs="Arial"/>
        </w:rPr>
        <w:t>headquarter</w:t>
      </w:r>
      <w:r w:rsidR="00321D2C" w:rsidRPr="0036355D">
        <w:rPr>
          <w:rFonts w:ascii="Arial" w:eastAsia="Arial" w:hAnsi="Arial" w:cs="Arial"/>
        </w:rPr>
        <w:t xml:space="preserve"> focal points. Australia </w:t>
      </w:r>
      <w:r w:rsidR="00337F16">
        <w:rPr>
          <w:rFonts w:ascii="Arial" w:eastAsia="Arial" w:hAnsi="Arial" w:cs="Arial"/>
        </w:rPr>
        <w:t>also engages</w:t>
      </w:r>
      <w:r w:rsidR="00321D2C" w:rsidRPr="0036355D">
        <w:rPr>
          <w:rFonts w:ascii="Arial" w:eastAsia="Arial" w:hAnsi="Arial" w:cs="Arial"/>
        </w:rPr>
        <w:t xml:space="preserve"> strongly in d</w:t>
      </w:r>
      <w:r w:rsidR="00321D2C">
        <w:rPr>
          <w:rFonts w:ascii="Arial" w:eastAsia="Arial" w:hAnsi="Arial" w:cs="Arial"/>
        </w:rPr>
        <w:t>ialogue with SPF partners</w:t>
      </w:r>
      <w:r w:rsidR="000E7367">
        <w:rPr>
          <w:rFonts w:ascii="Arial" w:eastAsia="Arial" w:hAnsi="Arial" w:cs="Arial"/>
        </w:rPr>
        <w:t xml:space="preserve"> in</w:t>
      </w:r>
      <w:r w:rsidR="00321D2C">
        <w:rPr>
          <w:rFonts w:ascii="Arial" w:eastAsia="Arial" w:hAnsi="Arial" w:cs="Arial"/>
        </w:rPr>
        <w:t xml:space="preserve"> Pacific </w:t>
      </w:r>
      <w:r w:rsidR="00321D2C" w:rsidRPr="00376A76">
        <w:rPr>
          <w:rFonts w:ascii="Arial" w:eastAsia="Arial" w:hAnsi="Arial" w:cs="Arial"/>
        </w:rPr>
        <w:t xml:space="preserve">regional </w:t>
      </w:r>
      <w:r w:rsidR="00321D2C">
        <w:rPr>
          <w:rFonts w:ascii="Arial" w:eastAsia="Arial" w:hAnsi="Arial" w:cs="Arial"/>
        </w:rPr>
        <w:t xml:space="preserve">offices and in key </w:t>
      </w:r>
      <w:r w:rsidR="00321D2C" w:rsidRPr="00337F16">
        <w:rPr>
          <w:rFonts w:ascii="Arial" w:eastAsia="Arial" w:hAnsi="Arial" w:cs="Arial"/>
        </w:rPr>
        <w:t>countries</w:t>
      </w:r>
      <w:r w:rsidR="00321D2C" w:rsidRPr="00664B7A">
        <w:rPr>
          <w:rFonts w:ascii="Arial" w:eastAsia="Arial" w:hAnsi="Arial" w:cs="Arial"/>
          <w:b/>
          <w:bCs/>
        </w:rPr>
        <w:t xml:space="preserve"> </w:t>
      </w:r>
      <w:r w:rsidR="00321D2C">
        <w:rPr>
          <w:rFonts w:ascii="Arial" w:eastAsia="Arial" w:hAnsi="Arial" w:cs="Arial"/>
        </w:rPr>
        <w:t xml:space="preserve">where Australia has a strong presence, such as Bangladesh, Myanmar, </w:t>
      </w:r>
      <w:r w:rsidR="000E7367">
        <w:rPr>
          <w:rFonts w:ascii="Arial" w:eastAsia="Arial" w:hAnsi="Arial" w:cs="Arial"/>
        </w:rPr>
        <w:t>Lebanon</w:t>
      </w:r>
      <w:r w:rsidR="00321D2C">
        <w:rPr>
          <w:rFonts w:ascii="Arial" w:eastAsia="Arial" w:hAnsi="Arial" w:cs="Arial"/>
        </w:rPr>
        <w:t>, Jordan</w:t>
      </w:r>
      <w:r w:rsidR="000E7367">
        <w:rPr>
          <w:rFonts w:ascii="Arial" w:eastAsia="Arial" w:hAnsi="Arial" w:cs="Arial"/>
        </w:rPr>
        <w:t>,</w:t>
      </w:r>
      <w:r w:rsidR="00321D2C">
        <w:rPr>
          <w:rFonts w:ascii="Arial" w:eastAsia="Arial" w:hAnsi="Arial" w:cs="Arial"/>
        </w:rPr>
        <w:t xml:space="preserve"> and Pakistan.</w:t>
      </w:r>
      <w:r w:rsidR="00321D2C">
        <w:rPr>
          <w:rStyle w:val="FootnoteReference"/>
          <w:rFonts w:ascii="Arial" w:eastAsia="Arial" w:hAnsi="Arial" w:cs="Arial"/>
        </w:rPr>
        <w:footnoteReference w:id="48"/>
      </w:r>
    </w:p>
    <w:p w14:paraId="68BB0975" w14:textId="3805FA96" w:rsidR="008C5EA8" w:rsidRDefault="0088454E" w:rsidP="00AE5464">
      <w:pPr>
        <w:spacing w:before="240"/>
        <w:rPr>
          <w:rFonts w:ascii="Arial" w:eastAsia="Arial" w:hAnsi="Arial" w:cs="Arial"/>
        </w:rPr>
      </w:pPr>
      <w:r>
        <w:rPr>
          <w:rFonts w:ascii="Arial" w:eastAsia="Arial" w:hAnsi="Arial" w:cs="Arial"/>
        </w:rPr>
        <w:lastRenderedPageBreak/>
        <w:t xml:space="preserve">The remaining </w:t>
      </w:r>
      <w:r w:rsidR="00C9241D">
        <w:rPr>
          <w:rFonts w:ascii="Arial" w:eastAsia="Arial" w:hAnsi="Arial" w:cs="Arial"/>
        </w:rPr>
        <w:t>objectives have not been progressed to the same extent.</w:t>
      </w:r>
      <w:r w:rsidR="00913D96">
        <w:rPr>
          <w:rFonts w:ascii="Arial" w:eastAsia="Arial" w:hAnsi="Arial" w:cs="Arial"/>
        </w:rPr>
        <w:t xml:space="preserve"> </w:t>
      </w:r>
      <w:r w:rsidR="008C5EA8" w:rsidRPr="0020655A">
        <w:rPr>
          <w:rFonts w:ascii="Arial" w:eastAsia="Arial" w:hAnsi="Arial" w:cs="Arial"/>
        </w:rPr>
        <w:t xml:space="preserve">Australia has held </w:t>
      </w:r>
      <w:r w:rsidR="008C5EA8">
        <w:rPr>
          <w:rFonts w:ascii="Arial" w:eastAsia="Arial" w:hAnsi="Arial" w:cs="Arial"/>
        </w:rPr>
        <w:t>only</w:t>
      </w:r>
      <w:r w:rsidR="008C5EA8" w:rsidRPr="0020655A">
        <w:rPr>
          <w:rFonts w:ascii="Arial" w:eastAsia="Arial" w:hAnsi="Arial" w:cs="Arial"/>
        </w:rPr>
        <w:t xml:space="preserve"> one formal </w:t>
      </w:r>
      <w:r w:rsidR="000E7367">
        <w:rPr>
          <w:rFonts w:ascii="Arial" w:eastAsia="Arial" w:hAnsi="Arial" w:cs="Arial"/>
        </w:rPr>
        <w:t>HLC</w:t>
      </w:r>
      <w:r w:rsidR="008C5EA8" w:rsidRPr="0020655A">
        <w:rPr>
          <w:rFonts w:ascii="Arial" w:eastAsia="Arial" w:hAnsi="Arial" w:cs="Arial"/>
        </w:rPr>
        <w:t xml:space="preserve"> with SPF partners since the agreements were signed (with ICRC)</w:t>
      </w:r>
      <w:r w:rsidR="008C5EA8">
        <w:rPr>
          <w:rFonts w:ascii="Arial" w:eastAsia="Arial" w:hAnsi="Arial" w:cs="Arial"/>
        </w:rPr>
        <w:t xml:space="preserve">. However, </w:t>
      </w:r>
      <w:r w:rsidR="00A13338">
        <w:rPr>
          <w:rFonts w:ascii="Arial" w:eastAsia="Arial" w:hAnsi="Arial" w:cs="Arial"/>
        </w:rPr>
        <w:t>DFAT reported they took alternative approaches to engaging at high levels across the period</w:t>
      </w:r>
      <w:r w:rsidR="000E7367">
        <w:rPr>
          <w:rFonts w:ascii="Arial" w:eastAsia="Arial" w:hAnsi="Arial" w:cs="Arial"/>
        </w:rPr>
        <w:t xml:space="preserve"> under review</w:t>
      </w:r>
      <w:r w:rsidR="00A13338">
        <w:rPr>
          <w:rFonts w:ascii="Arial" w:eastAsia="Arial" w:hAnsi="Arial" w:cs="Arial"/>
        </w:rPr>
        <w:t>.</w:t>
      </w:r>
      <w:r w:rsidR="000E7367">
        <w:rPr>
          <w:rFonts w:ascii="Arial" w:eastAsia="Arial" w:hAnsi="Arial" w:cs="Arial"/>
        </w:rPr>
        <w:t xml:space="preserve"> For instance,</w:t>
      </w:r>
      <w:r w:rsidR="00A13338">
        <w:rPr>
          <w:rFonts w:ascii="Arial" w:eastAsia="Arial" w:hAnsi="Arial" w:cs="Arial"/>
        </w:rPr>
        <w:t xml:space="preserve"> </w:t>
      </w:r>
      <w:r w:rsidR="008C5EA8">
        <w:rPr>
          <w:rFonts w:ascii="Arial" w:eastAsia="Arial" w:hAnsi="Arial" w:cs="Arial"/>
        </w:rPr>
        <w:t xml:space="preserve">DFAT </w:t>
      </w:r>
      <w:r w:rsidR="00A13338">
        <w:rPr>
          <w:rFonts w:ascii="Arial" w:eastAsia="Arial" w:hAnsi="Arial" w:cs="Arial"/>
        </w:rPr>
        <w:t>hosted</w:t>
      </w:r>
      <w:r w:rsidR="008C5EA8">
        <w:rPr>
          <w:rFonts w:ascii="Arial" w:eastAsia="Arial" w:hAnsi="Arial" w:cs="Arial"/>
        </w:rPr>
        <w:t xml:space="preserve"> visits by the </w:t>
      </w:r>
      <w:r w:rsidR="00D4362A">
        <w:t xml:space="preserve">head of WFP in </w:t>
      </w:r>
      <w:r w:rsidR="00DB2FA1">
        <w:t>2022</w:t>
      </w:r>
      <w:r w:rsidR="00D4362A">
        <w:t xml:space="preserve">, the head of UNHCR in </w:t>
      </w:r>
      <w:r w:rsidR="00E03931">
        <w:t>2023</w:t>
      </w:r>
      <w:r w:rsidR="000E7367">
        <w:t>,</w:t>
      </w:r>
      <w:r w:rsidR="00D4362A">
        <w:t xml:space="preserve"> and other senior level consultations with ICRC. DFAT staff reported that regular official level engagement may offer more value than</w:t>
      </w:r>
      <w:r w:rsidR="000E7367">
        <w:t xml:space="preserve"> </w:t>
      </w:r>
      <w:r w:rsidR="00B43CB5">
        <w:t>HLCs because</w:t>
      </w:r>
      <w:r w:rsidR="00D4362A">
        <w:t xml:space="preserve"> it </w:t>
      </w:r>
      <w:r w:rsidR="0080771B">
        <w:t>allows for more</w:t>
      </w:r>
      <w:r w:rsidR="00D4362A">
        <w:t xml:space="preserve"> in-depth discussion on performance issues.</w:t>
      </w:r>
      <w:r w:rsidR="0080771B">
        <w:rPr>
          <w:rStyle w:val="FootnoteReference"/>
          <w:rFonts w:ascii="Arial" w:eastAsia="Arial" w:hAnsi="Arial" w:cs="Arial"/>
        </w:rPr>
        <w:footnoteReference w:id="49"/>
      </w:r>
      <w:r w:rsidR="00B22F26">
        <w:rPr>
          <w:rFonts w:ascii="Arial" w:eastAsia="Arial" w:hAnsi="Arial" w:cs="Arial"/>
        </w:rPr>
        <w:t xml:space="preserve"> Ho</w:t>
      </w:r>
      <w:r w:rsidR="00A21A29">
        <w:rPr>
          <w:rFonts w:ascii="Arial" w:eastAsia="Arial" w:hAnsi="Arial" w:cs="Arial"/>
        </w:rPr>
        <w:t xml:space="preserve">wever, </w:t>
      </w:r>
      <w:r w:rsidR="00990B7A">
        <w:rPr>
          <w:rFonts w:ascii="Arial" w:eastAsia="Arial" w:hAnsi="Arial" w:cs="Arial"/>
        </w:rPr>
        <w:t xml:space="preserve">several </w:t>
      </w:r>
      <w:r w:rsidR="0013430C">
        <w:rPr>
          <w:rFonts w:ascii="Arial" w:eastAsia="Arial" w:hAnsi="Arial" w:cs="Arial"/>
        </w:rPr>
        <w:t xml:space="preserve">partner staff </w:t>
      </w:r>
      <w:r w:rsidR="00B32DD4">
        <w:rPr>
          <w:rFonts w:ascii="Arial" w:eastAsia="Arial" w:hAnsi="Arial" w:cs="Arial"/>
        </w:rPr>
        <w:t>reported</w:t>
      </w:r>
      <w:r w:rsidR="0013430C">
        <w:rPr>
          <w:rFonts w:ascii="Arial" w:eastAsia="Arial" w:hAnsi="Arial" w:cs="Arial"/>
        </w:rPr>
        <w:t xml:space="preserve"> that more </w:t>
      </w:r>
      <w:r w:rsidR="000E7367">
        <w:rPr>
          <w:rFonts w:ascii="Arial" w:eastAsia="Arial" w:hAnsi="Arial" w:cs="Arial"/>
        </w:rPr>
        <w:t>HLCs</w:t>
      </w:r>
      <w:r w:rsidR="0033002C">
        <w:rPr>
          <w:rFonts w:ascii="Arial" w:eastAsia="Arial" w:hAnsi="Arial" w:cs="Arial"/>
        </w:rPr>
        <w:t xml:space="preserve"> would help to strengthen partnership implementation by providing </w:t>
      </w:r>
      <w:r w:rsidR="00E03931">
        <w:rPr>
          <w:rFonts w:ascii="Arial" w:eastAsia="Arial" w:hAnsi="Arial" w:cs="Arial"/>
        </w:rPr>
        <w:t>more</w:t>
      </w:r>
      <w:r w:rsidR="0033002C">
        <w:rPr>
          <w:rFonts w:ascii="Arial" w:eastAsia="Arial" w:hAnsi="Arial" w:cs="Arial"/>
        </w:rPr>
        <w:t xml:space="preserve"> </w:t>
      </w:r>
      <w:r w:rsidR="00F04B2A">
        <w:rPr>
          <w:rFonts w:ascii="Arial" w:eastAsia="Arial" w:hAnsi="Arial" w:cs="Arial"/>
        </w:rPr>
        <w:t xml:space="preserve">regular </w:t>
      </w:r>
      <w:r w:rsidR="0033002C">
        <w:rPr>
          <w:rFonts w:ascii="Arial" w:eastAsia="Arial" w:hAnsi="Arial" w:cs="Arial"/>
        </w:rPr>
        <w:t>opportunit</w:t>
      </w:r>
      <w:r w:rsidR="00E03931">
        <w:rPr>
          <w:rFonts w:ascii="Arial" w:eastAsia="Arial" w:hAnsi="Arial" w:cs="Arial"/>
        </w:rPr>
        <w:t>ies</w:t>
      </w:r>
      <w:r w:rsidR="0033002C">
        <w:rPr>
          <w:rFonts w:ascii="Arial" w:eastAsia="Arial" w:hAnsi="Arial" w:cs="Arial"/>
        </w:rPr>
        <w:t xml:space="preserve"> to </w:t>
      </w:r>
      <w:r w:rsidR="00A3755B">
        <w:rPr>
          <w:rFonts w:ascii="Arial" w:eastAsia="Arial" w:hAnsi="Arial" w:cs="Arial"/>
        </w:rPr>
        <w:t>agree on</w:t>
      </w:r>
      <w:r w:rsidR="000E7367">
        <w:rPr>
          <w:rFonts w:ascii="Arial" w:eastAsia="Arial" w:hAnsi="Arial" w:cs="Arial"/>
        </w:rPr>
        <w:t>,</w:t>
      </w:r>
      <w:r w:rsidR="00A3755B">
        <w:rPr>
          <w:rFonts w:ascii="Arial" w:eastAsia="Arial" w:hAnsi="Arial" w:cs="Arial"/>
        </w:rPr>
        <w:t xml:space="preserve"> and refocus</w:t>
      </w:r>
      <w:r w:rsidR="000E7367">
        <w:rPr>
          <w:rFonts w:ascii="Arial" w:eastAsia="Arial" w:hAnsi="Arial" w:cs="Arial"/>
        </w:rPr>
        <w:t>,</w:t>
      </w:r>
      <w:r w:rsidR="00A3755B">
        <w:rPr>
          <w:rFonts w:ascii="Arial" w:eastAsia="Arial" w:hAnsi="Arial" w:cs="Arial"/>
        </w:rPr>
        <w:t xml:space="preserve"> strategic</w:t>
      </w:r>
      <w:r w:rsidR="001C2A01">
        <w:rPr>
          <w:rFonts w:ascii="Arial" w:eastAsia="Arial" w:hAnsi="Arial" w:cs="Arial"/>
        </w:rPr>
        <w:t xml:space="preserve"> </w:t>
      </w:r>
      <w:r w:rsidR="00CC113E">
        <w:rPr>
          <w:rFonts w:ascii="Arial" w:eastAsia="Arial" w:hAnsi="Arial" w:cs="Arial"/>
        </w:rPr>
        <w:t>priorities.</w:t>
      </w:r>
      <w:r w:rsidR="00CC113E">
        <w:rPr>
          <w:rStyle w:val="FootnoteReference"/>
          <w:rFonts w:ascii="Arial" w:eastAsia="Arial" w:hAnsi="Arial" w:cs="Arial"/>
        </w:rPr>
        <w:footnoteReference w:id="50"/>
      </w:r>
    </w:p>
    <w:p w14:paraId="195AD1C3" w14:textId="147FA749" w:rsidR="004E6533" w:rsidRDefault="00EB63EC" w:rsidP="00AE5464">
      <w:pPr>
        <w:spacing w:before="240"/>
        <w:rPr>
          <w:rFonts w:ascii="Arial" w:eastAsia="Arial" w:hAnsi="Arial" w:cs="Arial"/>
        </w:rPr>
      </w:pPr>
      <w:r>
        <w:rPr>
          <w:rFonts w:ascii="Arial" w:eastAsia="Arial" w:hAnsi="Arial" w:cs="Arial"/>
        </w:rPr>
        <w:t xml:space="preserve">Since </w:t>
      </w:r>
      <w:r w:rsidR="00AE5464">
        <w:rPr>
          <w:rFonts w:ascii="Arial" w:eastAsia="Arial" w:hAnsi="Arial" w:cs="Arial"/>
        </w:rPr>
        <w:t>mid-2022</w:t>
      </w:r>
      <w:r>
        <w:rPr>
          <w:rFonts w:ascii="Arial" w:eastAsia="Arial" w:hAnsi="Arial" w:cs="Arial"/>
        </w:rPr>
        <w:t xml:space="preserve">, Australia has </w:t>
      </w:r>
      <w:r w:rsidR="00DC2020" w:rsidRPr="0020655A">
        <w:rPr>
          <w:rFonts w:ascii="Arial" w:eastAsia="Arial" w:hAnsi="Arial" w:cs="Arial"/>
        </w:rPr>
        <w:t xml:space="preserve">attended just two of the annual official </w:t>
      </w:r>
      <w:r w:rsidR="00AE5464" w:rsidRPr="005F0E4F">
        <w:rPr>
          <w:rFonts w:ascii="Arial" w:eastAsia="Arial" w:hAnsi="Arial" w:cs="Arial"/>
        </w:rPr>
        <w:t>joint</w:t>
      </w:r>
      <w:r w:rsidR="00DC2020" w:rsidRPr="005F0E4F">
        <w:rPr>
          <w:rFonts w:ascii="Arial" w:eastAsia="Arial" w:hAnsi="Arial" w:cs="Arial"/>
        </w:rPr>
        <w:t xml:space="preserve"> field visits</w:t>
      </w:r>
      <w:r w:rsidR="00D634B2" w:rsidRPr="00AE5464">
        <w:rPr>
          <w:rFonts w:ascii="Arial" w:eastAsia="Arial" w:hAnsi="Arial" w:cs="Arial"/>
          <w:b/>
          <w:bCs/>
        </w:rPr>
        <w:t xml:space="preserve"> </w:t>
      </w:r>
      <w:r w:rsidR="00D634B2">
        <w:rPr>
          <w:rFonts w:ascii="Arial" w:eastAsia="Arial" w:hAnsi="Arial" w:cs="Arial"/>
        </w:rPr>
        <w:t>organised by humanitarian SPF partners</w:t>
      </w:r>
      <w:r w:rsidR="00DC2020" w:rsidRPr="0020655A">
        <w:rPr>
          <w:rFonts w:ascii="Arial" w:eastAsia="Arial" w:hAnsi="Arial" w:cs="Arial"/>
        </w:rPr>
        <w:t xml:space="preserve"> (with OCHA and UNHCR</w:t>
      </w:r>
      <w:r w:rsidR="000E7367">
        <w:rPr>
          <w:rFonts w:ascii="Arial" w:eastAsia="Arial" w:hAnsi="Arial" w:cs="Arial"/>
        </w:rPr>
        <w:t>, each</w:t>
      </w:r>
      <w:r w:rsidR="00DC2020" w:rsidRPr="0020655A">
        <w:rPr>
          <w:rFonts w:ascii="Arial" w:eastAsia="Arial" w:hAnsi="Arial" w:cs="Arial"/>
        </w:rPr>
        <w:t xml:space="preserve"> in 2023)</w:t>
      </w:r>
      <w:r w:rsidR="00DC2020">
        <w:rPr>
          <w:rFonts w:ascii="Arial" w:eastAsia="Arial" w:hAnsi="Arial" w:cs="Arial"/>
        </w:rPr>
        <w:t>.</w:t>
      </w:r>
      <w:r w:rsidR="00DC2020">
        <w:rPr>
          <w:rStyle w:val="FootnoteReference"/>
          <w:rFonts w:ascii="Arial" w:eastAsia="Arial" w:hAnsi="Arial" w:cs="Arial"/>
        </w:rPr>
        <w:footnoteReference w:id="51"/>
      </w:r>
      <w:r w:rsidR="00D634B2">
        <w:rPr>
          <w:rFonts w:ascii="Arial" w:eastAsia="Arial" w:hAnsi="Arial" w:cs="Arial"/>
        </w:rPr>
        <w:t xml:space="preserve"> DFAT staff reported that there would be considerable benefits for Australia in attending these visits, both to build DFAT’s understanding of the operational and contextual constraints that SPF partners are addressing</w:t>
      </w:r>
      <w:r w:rsidR="000E7367">
        <w:rPr>
          <w:rFonts w:ascii="Arial" w:eastAsia="Arial" w:hAnsi="Arial" w:cs="Arial"/>
        </w:rPr>
        <w:t>,</w:t>
      </w:r>
      <w:r w:rsidR="00D634B2">
        <w:rPr>
          <w:rFonts w:ascii="Arial" w:eastAsia="Arial" w:hAnsi="Arial" w:cs="Arial"/>
        </w:rPr>
        <w:t xml:space="preserve"> and to build networks and strengthen collaboration with other humanitarian multilateral donors. However, budget constraints and challenges </w:t>
      </w:r>
      <w:r w:rsidR="000548F2">
        <w:rPr>
          <w:rFonts w:ascii="Arial" w:eastAsia="Arial" w:hAnsi="Arial" w:cs="Arial"/>
        </w:rPr>
        <w:t>acquiring</w:t>
      </w:r>
      <w:r w:rsidR="00D634B2">
        <w:rPr>
          <w:rFonts w:ascii="Arial" w:eastAsia="Arial" w:hAnsi="Arial" w:cs="Arial"/>
        </w:rPr>
        <w:t xml:space="preserve"> security approval for travel to </w:t>
      </w:r>
      <w:r w:rsidR="00C9241D">
        <w:rPr>
          <w:rFonts w:ascii="Arial" w:eastAsia="Arial" w:hAnsi="Arial" w:cs="Arial"/>
        </w:rPr>
        <w:t>high-risk</w:t>
      </w:r>
      <w:r w:rsidR="00D634B2">
        <w:rPr>
          <w:rFonts w:ascii="Arial" w:eastAsia="Arial" w:hAnsi="Arial" w:cs="Arial"/>
        </w:rPr>
        <w:t xml:space="preserve"> contexts were consistent barriers preventing Australia from attending field visits.</w:t>
      </w:r>
      <w:r w:rsidR="00D634B2">
        <w:rPr>
          <w:rStyle w:val="FootnoteReference"/>
          <w:rFonts w:ascii="Arial" w:eastAsia="Arial" w:hAnsi="Arial" w:cs="Arial"/>
        </w:rPr>
        <w:footnoteReference w:id="52"/>
      </w:r>
      <w:r w:rsidR="00AE5464">
        <w:rPr>
          <w:rFonts w:ascii="Arial" w:eastAsia="Arial" w:hAnsi="Arial" w:cs="Arial"/>
        </w:rPr>
        <w:t xml:space="preserve"> </w:t>
      </w:r>
    </w:p>
    <w:p w14:paraId="0D769CD3" w14:textId="08DB5A4F" w:rsidR="00957DC2" w:rsidRPr="00121A77" w:rsidRDefault="0053362B" w:rsidP="00E17D1A">
      <w:pPr>
        <w:pStyle w:val="ListParagraph"/>
        <w:numPr>
          <w:ilvl w:val="1"/>
          <w:numId w:val="12"/>
        </w:numPr>
        <w:spacing w:before="240"/>
        <w:rPr>
          <w:rFonts w:ascii="Arial" w:eastAsia="Arial" w:hAnsi="Arial" w:cs="Arial"/>
        </w:rPr>
      </w:pPr>
      <w:r w:rsidRPr="00121A77">
        <w:rPr>
          <w:rFonts w:ascii="Arial" w:eastAsia="Arial" w:hAnsi="Arial" w:cs="Arial"/>
          <w:b/>
          <w:bCs/>
        </w:rPr>
        <w:t xml:space="preserve">To what extent have SPFs as a modality influenced individual partner performance globally and at country level? </w:t>
      </w:r>
    </w:p>
    <w:p w14:paraId="6809D611" w14:textId="6DF6D210" w:rsidR="00460580" w:rsidRDefault="00255CA4" w:rsidP="000B297A">
      <w:pPr>
        <w:spacing w:before="240"/>
        <w:rPr>
          <w:rFonts w:ascii="Arial" w:eastAsia="Arial" w:hAnsi="Arial" w:cs="Arial"/>
        </w:rPr>
      </w:pPr>
      <w:r>
        <w:rPr>
          <w:rFonts w:ascii="Arial" w:eastAsia="Arial" w:hAnsi="Arial" w:cs="Arial"/>
        </w:rPr>
        <w:t xml:space="preserve">The broad </w:t>
      </w:r>
      <w:r w:rsidR="00B75DEF">
        <w:rPr>
          <w:rFonts w:ascii="Arial" w:eastAsia="Arial" w:hAnsi="Arial" w:cs="Arial"/>
        </w:rPr>
        <w:t>nature of SPFs</w:t>
      </w:r>
      <w:r w:rsidR="002F2C67">
        <w:rPr>
          <w:rFonts w:ascii="Arial" w:eastAsia="Arial" w:hAnsi="Arial" w:cs="Arial"/>
        </w:rPr>
        <w:t xml:space="preserve"> </w:t>
      </w:r>
      <w:r w:rsidR="007C1932">
        <w:rPr>
          <w:rFonts w:ascii="Arial" w:eastAsia="Arial" w:hAnsi="Arial" w:cs="Arial"/>
        </w:rPr>
        <w:t>has</w:t>
      </w:r>
      <w:r w:rsidR="002F2C67">
        <w:rPr>
          <w:rFonts w:ascii="Arial" w:eastAsia="Arial" w:hAnsi="Arial" w:cs="Arial"/>
        </w:rPr>
        <w:t xml:space="preserve"> facilitated </w:t>
      </w:r>
      <w:r w:rsidR="007C1932">
        <w:rPr>
          <w:rFonts w:ascii="Arial" w:eastAsia="Arial" w:hAnsi="Arial" w:cs="Arial"/>
        </w:rPr>
        <w:t xml:space="preserve">their </w:t>
      </w:r>
      <w:r w:rsidR="002F2C67">
        <w:rPr>
          <w:rFonts w:ascii="Arial" w:eastAsia="Arial" w:hAnsi="Arial" w:cs="Arial"/>
        </w:rPr>
        <w:t xml:space="preserve">flexibility and relevance, </w:t>
      </w:r>
      <w:r w:rsidR="00EF7E0F">
        <w:rPr>
          <w:rFonts w:ascii="Arial" w:eastAsia="Arial" w:hAnsi="Arial" w:cs="Arial"/>
        </w:rPr>
        <w:t xml:space="preserve">and enabled partners to work towards their own priorities </w:t>
      </w:r>
      <w:r w:rsidR="00306B4B">
        <w:rPr>
          <w:rFonts w:ascii="Arial" w:eastAsia="Arial" w:hAnsi="Arial" w:cs="Arial"/>
        </w:rPr>
        <w:t>for effective humanitarian action.</w:t>
      </w:r>
      <w:r w:rsidR="006E4C8C">
        <w:rPr>
          <w:rStyle w:val="FootnoteReference"/>
          <w:rFonts w:ascii="Arial" w:eastAsia="Arial" w:hAnsi="Arial" w:cs="Arial"/>
        </w:rPr>
        <w:footnoteReference w:id="53"/>
      </w:r>
      <w:r w:rsidR="00306B4B">
        <w:rPr>
          <w:rFonts w:ascii="Arial" w:eastAsia="Arial" w:hAnsi="Arial" w:cs="Arial"/>
        </w:rPr>
        <w:t xml:space="preserve"> </w:t>
      </w:r>
      <w:r w:rsidR="00017645">
        <w:rPr>
          <w:rFonts w:ascii="Arial" w:eastAsia="Arial" w:hAnsi="Arial" w:cs="Arial"/>
        </w:rPr>
        <w:t>SPF</w:t>
      </w:r>
      <w:r w:rsidR="000930FA">
        <w:rPr>
          <w:rFonts w:ascii="Arial" w:eastAsia="Arial" w:hAnsi="Arial" w:cs="Arial"/>
        </w:rPr>
        <w:t>s as a</w:t>
      </w:r>
      <w:r w:rsidR="00017645">
        <w:rPr>
          <w:rFonts w:ascii="Arial" w:eastAsia="Arial" w:hAnsi="Arial" w:cs="Arial"/>
        </w:rPr>
        <w:t xml:space="preserve"> contract</w:t>
      </w:r>
      <w:r w:rsidR="000930FA">
        <w:rPr>
          <w:rFonts w:ascii="Arial" w:eastAsia="Arial" w:hAnsi="Arial" w:cs="Arial"/>
        </w:rPr>
        <w:t xml:space="preserve">ing modality provide a broad range of hooks that DFAT staff can leverage to progress policy and risk discussions on a broad range of </w:t>
      </w:r>
      <w:r w:rsidR="000E7367">
        <w:rPr>
          <w:rFonts w:ascii="Arial" w:eastAsia="Arial" w:hAnsi="Arial" w:cs="Arial"/>
        </w:rPr>
        <w:t>issue</w:t>
      </w:r>
      <w:r w:rsidR="000930FA">
        <w:rPr>
          <w:rFonts w:ascii="Arial" w:eastAsia="Arial" w:hAnsi="Arial" w:cs="Arial"/>
        </w:rPr>
        <w:t xml:space="preserve">s, </w:t>
      </w:r>
      <w:r w:rsidR="003547AB">
        <w:rPr>
          <w:rFonts w:ascii="Arial" w:eastAsia="Arial" w:hAnsi="Arial" w:cs="Arial"/>
        </w:rPr>
        <w:t xml:space="preserve">including ongoing Australian engagement on </w:t>
      </w:r>
      <w:r w:rsidR="000E7367">
        <w:rPr>
          <w:rFonts w:ascii="Arial" w:eastAsia="Arial" w:hAnsi="Arial" w:cs="Arial"/>
        </w:rPr>
        <w:t xml:space="preserve">GEDSI </w:t>
      </w:r>
      <w:r w:rsidR="003547AB">
        <w:rPr>
          <w:rFonts w:ascii="Arial" w:eastAsia="Arial" w:hAnsi="Arial" w:cs="Arial"/>
        </w:rPr>
        <w:t>and the Indo-Pacific region (</w:t>
      </w:r>
      <w:r w:rsidR="00C332DD">
        <w:rPr>
          <w:rFonts w:ascii="Arial" w:eastAsia="Arial" w:hAnsi="Arial" w:cs="Arial"/>
        </w:rPr>
        <w:t>KEQ</w:t>
      </w:r>
      <w:r w:rsidR="001E0D5F">
        <w:rPr>
          <w:rFonts w:ascii="Arial" w:eastAsia="Arial" w:hAnsi="Arial" w:cs="Arial"/>
        </w:rPr>
        <w:t xml:space="preserve"> </w:t>
      </w:r>
      <w:r w:rsidR="003547AB">
        <w:rPr>
          <w:rFonts w:ascii="Arial" w:eastAsia="Arial" w:hAnsi="Arial" w:cs="Arial"/>
        </w:rPr>
        <w:t>2.6)</w:t>
      </w:r>
      <w:r w:rsidR="00017645">
        <w:rPr>
          <w:rFonts w:ascii="Arial" w:eastAsia="Arial" w:hAnsi="Arial" w:cs="Arial"/>
        </w:rPr>
        <w:t>.</w:t>
      </w:r>
      <w:r w:rsidR="00C65602">
        <w:rPr>
          <w:rFonts w:ascii="Arial" w:eastAsia="Arial" w:hAnsi="Arial" w:cs="Arial"/>
        </w:rPr>
        <w:t xml:space="preserve"> </w:t>
      </w:r>
      <w:r w:rsidR="00306A1C">
        <w:rPr>
          <w:rFonts w:ascii="Arial" w:eastAsia="Arial" w:hAnsi="Arial" w:cs="Arial"/>
        </w:rPr>
        <w:t>SPFs do allow Australia to invest quickly in new cris</w:t>
      </w:r>
      <w:r w:rsidR="000E7367">
        <w:rPr>
          <w:rFonts w:ascii="Arial" w:eastAsia="Arial" w:hAnsi="Arial" w:cs="Arial"/>
        </w:rPr>
        <w:t>e</w:t>
      </w:r>
      <w:r w:rsidR="00306A1C">
        <w:rPr>
          <w:rFonts w:ascii="Arial" w:eastAsia="Arial" w:hAnsi="Arial" w:cs="Arial"/>
        </w:rPr>
        <w:t>s that matter to Australia (</w:t>
      </w:r>
      <w:r w:rsidR="00C332DD">
        <w:rPr>
          <w:rFonts w:ascii="Arial" w:eastAsia="Arial" w:hAnsi="Arial" w:cs="Arial"/>
        </w:rPr>
        <w:t>KEQ</w:t>
      </w:r>
      <w:r w:rsidR="001E0D5F">
        <w:rPr>
          <w:rFonts w:ascii="Arial" w:eastAsia="Arial" w:hAnsi="Arial" w:cs="Arial"/>
        </w:rPr>
        <w:t xml:space="preserve"> </w:t>
      </w:r>
      <w:r w:rsidR="00306A1C">
        <w:rPr>
          <w:rFonts w:ascii="Arial" w:eastAsia="Arial" w:hAnsi="Arial" w:cs="Arial"/>
        </w:rPr>
        <w:t>3.2) and play a key role in driving risk discussions with partners (</w:t>
      </w:r>
      <w:r w:rsidR="00C332DD">
        <w:rPr>
          <w:rFonts w:ascii="Arial" w:eastAsia="Arial" w:hAnsi="Arial" w:cs="Arial"/>
        </w:rPr>
        <w:t>KEQ</w:t>
      </w:r>
      <w:r w:rsidR="001E0D5F">
        <w:rPr>
          <w:rFonts w:ascii="Arial" w:eastAsia="Arial" w:hAnsi="Arial" w:cs="Arial"/>
        </w:rPr>
        <w:t xml:space="preserve"> </w:t>
      </w:r>
      <w:r w:rsidR="00306A1C">
        <w:rPr>
          <w:rFonts w:ascii="Arial" w:eastAsia="Arial" w:hAnsi="Arial" w:cs="Arial"/>
        </w:rPr>
        <w:t xml:space="preserve">3.3). </w:t>
      </w:r>
      <w:r w:rsidR="00151E9A">
        <w:rPr>
          <w:rFonts w:ascii="Arial" w:eastAsia="Arial" w:hAnsi="Arial" w:cs="Arial"/>
        </w:rPr>
        <w:t>However, SPFs on their own do not influence performance. This requires broader and consistent engagement with partners</w:t>
      </w:r>
      <w:r w:rsidR="57CE928B">
        <w:rPr>
          <w:rFonts w:ascii="Arial" w:eastAsia="Arial" w:hAnsi="Arial" w:cs="Arial"/>
        </w:rPr>
        <w:t xml:space="preserve"> for which the SPFs provide a framework</w:t>
      </w:r>
      <w:r w:rsidR="66589D36">
        <w:rPr>
          <w:rFonts w:ascii="Arial" w:eastAsia="Arial" w:hAnsi="Arial" w:cs="Arial"/>
        </w:rPr>
        <w:t xml:space="preserve"> (per Table </w:t>
      </w:r>
      <w:r w:rsidR="001E0D5F">
        <w:rPr>
          <w:rFonts w:ascii="Arial" w:eastAsia="Arial" w:hAnsi="Arial" w:cs="Arial"/>
        </w:rPr>
        <w:t>2</w:t>
      </w:r>
      <w:r w:rsidR="66589D36">
        <w:rPr>
          <w:rFonts w:ascii="Arial" w:eastAsia="Arial" w:hAnsi="Arial" w:cs="Arial"/>
        </w:rPr>
        <w:t>, KEQ 2.4)</w:t>
      </w:r>
      <w:r w:rsidR="00151E9A">
        <w:rPr>
          <w:rFonts w:ascii="Arial" w:eastAsia="Arial" w:hAnsi="Arial" w:cs="Arial"/>
        </w:rPr>
        <w:t>. B</w:t>
      </w:r>
      <w:r w:rsidR="00F861C6" w:rsidRPr="00306A1C">
        <w:rPr>
          <w:rFonts w:ascii="Arial" w:eastAsia="Arial" w:hAnsi="Arial" w:cs="Arial"/>
        </w:rPr>
        <w:t xml:space="preserve">ecause </w:t>
      </w:r>
      <w:r w:rsidR="00306A1C">
        <w:rPr>
          <w:rFonts w:ascii="Arial" w:eastAsia="Arial" w:hAnsi="Arial" w:cs="Arial"/>
        </w:rPr>
        <w:t>the current framework is so</w:t>
      </w:r>
      <w:r w:rsidR="00F861C6" w:rsidRPr="00306A1C">
        <w:rPr>
          <w:rFonts w:ascii="Arial" w:eastAsia="Arial" w:hAnsi="Arial" w:cs="Arial"/>
        </w:rPr>
        <w:t xml:space="preserve"> broad and flexible, it is not</w:t>
      </w:r>
      <w:r w:rsidR="00D262AC">
        <w:rPr>
          <w:rFonts w:ascii="Arial" w:eastAsia="Arial" w:hAnsi="Arial" w:cs="Arial"/>
        </w:rPr>
        <w:t xml:space="preserve"> always</w:t>
      </w:r>
      <w:r w:rsidR="00F861C6" w:rsidRPr="00306A1C">
        <w:rPr>
          <w:rFonts w:ascii="Arial" w:eastAsia="Arial" w:hAnsi="Arial" w:cs="Arial"/>
        </w:rPr>
        <w:t xml:space="preserve"> clear to partners</w:t>
      </w:r>
      <w:r w:rsidR="00306A1C">
        <w:rPr>
          <w:rFonts w:ascii="Arial" w:eastAsia="Arial" w:hAnsi="Arial" w:cs="Arial"/>
        </w:rPr>
        <w:t>, or even DFAT staff, on exactly</w:t>
      </w:r>
      <w:r w:rsidR="00F861C6" w:rsidRPr="00306A1C">
        <w:rPr>
          <w:rFonts w:ascii="Arial" w:eastAsia="Arial" w:hAnsi="Arial" w:cs="Arial"/>
        </w:rPr>
        <w:t xml:space="preserve"> what changes Australia wants to see</w:t>
      </w:r>
      <w:r w:rsidR="004455BA" w:rsidRPr="00306A1C">
        <w:rPr>
          <w:rFonts w:ascii="Arial" w:eastAsia="Arial" w:hAnsi="Arial" w:cs="Arial"/>
        </w:rPr>
        <w:t>.</w:t>
      </w:r>
    </w:p>
    <w:p w14:paraId="2B7F1DE7" w14:textId="67E368C9" w:rsidR="00644B9A" w:rsidRDefault="00D57985" w:rsidP="0020655A">
      <w:pPr>
        <w:spacing w:before="240"/>
        <w:rPr>
          <w:rFonts w:ascii="Arial" w:eastAsia="Arial" w:hAnsi="Arial" w:cs="Arial"/>
        </w:rPr>
      </w:pPr>
      <w:r>
        <w:rPr>
          <w:rFonts w:ascii="Arial" w:eastAsia="Arial" w:hAnsi="Arial" w:cs="Arial"/>
        </w:rPr>
        <w:t>At the global level,</w:t>
      </w:r>
      <w:r w:rsidR="000E7367">
        <w:rPr>
          <w:rFonts w:ascii="Arial" w:eastAsia="Arial" w:hAnsi="Arial" w:cs="Arial"/>
        </w:rPr>
        <w:t xml:space="preserve"> and as discussed above,</w:t>
      </w:r>
      <w:r>
        <w:rPr>
          <w:rFonts w:ascii="Arial" w:eastAsia="Arial" w:hAnsi="Arial" w:cs="Arial"/>
        </w:rPr>
        <w:t xml:space="preserve"> b</w:t>
      </w:r>
      <w:r w:rsidR="00B46081">
        <w:rPr>
          <w:rFonts w:ascii="Arial" w:eastAsia="Arial" w:hAnsi="Arial" w:cs="Arial"/>
        </w:rPr>
        <w:t>oth DFAT and SPF partners reported that having</w:t>
      </w:r>
      <w:r w:rsidR="00FF4AD6">
        <w:rPr>
          <w:rFonts w:ascii="Arial" w:eastAsia="Arial" w:hAnsi="Arial" w:cs="Arial"/>
        </w:rPr>
        <w:t xml:space="preserve"> a large number of</w:t>
      </w:r>
      <w:r w:rsidR="00B46081">
        <w:rPr>
          <w:rFonts w:ascii="Arial" w:eastAsia="Arial" w:hAnsi="Arial" w:cs="Arial"/>
        </w:rPr>
        <w:t xml:space="preserve"> </w:t>
      </w:r>
      <w:r w:rsidR="00B46081" w:rsidRPr="009E106B">
        <w:rPr>
          <w:rFonts w:ascii="Arial" w:eastAsia="Arial" w:hAnsi="Arial" w:cs="Arial"/>
        </w:rPr>
        <w:t>priorities</w:t>
      </w:r>
      <w:r w:rsidR="00B46081">
        <w:rPr>
          <w:rFonts w:ascii="Arial" w:eastAsia="Arial" w:hAnsi="Arial" w:cs="Arial"/>
        </w:rPr>
        <w:t xml:space="preserve"> </w:t>
      </w:r>
      <w:r w:rsidR="001022A7">
        <w:rPr>
          <w:rFonts w:ascii="Arial" w:eastAsia="Arial" w:hAnsi="Arial" w:cs="Arial"/>
        </w:rPr>
        <w:t>documented in the</w:t>
      </w:r>
      <w:r w:rsidR="00B46081">
        <w:rPr>
          <w:rFonts w:ascii="Arial" w:eastAsia="Arial" w:hAnsi="Arial" w:cs="Arial"/>
        </w:rPr>
        <w:t xml:space="preserve"> shared objective</w:t>
      </w:r>
      <w:r w:rsidR="00FF4AD6">
        <w:rPr>
          <w:rFonts w:ascii="Arial" w:eastAsia="Arial" w:hAnsi="Arial" w:cs="Arial"/>
        </w:rPr>
        <w:t>s</w:t>
      </w:r>
      <w:r w:rsidR="00B46081">
        <w:rPr>
          <w:rFonts w:ascii="Arial" w:eastAsia="Arial" w:hAnsi="Arial" w:cs="Arial"/>
        </w:rPr>
        <w:t xml:space="preserve"> </w:t>
      </w:r>
      <w:r w:rsidR="00B46081" w:rsidRPr="00B83F5F">
        <w:rPr>
          <w:rFonts w:ascii="Arial" w:eastAsia="Arial" w:hAnsi="Arial" w:cs="Arial"/>
        </w:rPr>
        <w:t xml:space="preserve">and deliverables </w:t>
      </w:r>
      <w:r w:rsidR="000455EF">
        <w:rPr>
          <w:rFonts w:ascii="Arial" w:eastAsia="Arial" w:hAnsi="Arial" w:cs="Arial"/>
        </w:rPr>
        <w:t>enabled</w:t>
      </w:r>
      <w:r w:rsidR="00B46081" w:rsidRPr="00B83F5F">
        <w:rPr>
          <w:rFonts w:ascii="Arial" w:eastAsia="Arial" w:hAnsi="Arial" w:cs="Arial"/>
        </w:rPr>
        <w:t xml:space="preserve"> discussions on performance</w:t>
      </w:r>
      <w:r w:rsidR="00FF4AD6">
        <w:rPr>
          <w:rFonts w:ascii="Arial" w:eastAsia="Arial" w:hAnsi="Arial" w:cs="Arial"/>
        </w:rPr>
        <w:t xml:space="preserve"> regarding any of these issues</w:t>
      </w:r>
      <w:r w:rsidR="00B46081" w:rsidRPr="00B83F5F">
        <w:rPr>
          <w:rFonts w:ascii="Arial" w:eastAsia="Arial" w:hAnsi="Arial" w:cs="Arial"/>
        </w:rPr>
        <w:t>, especially with turnover in SPF</w:t>
      </w:r>
      <w:r w:rsidR="00B46081">
        <w:rPr>
          <w:rFonts w:ascii="Arial" w:eastAsia="Arial" w:hAnsi="Arial" w:cs="Arial"/>
        </w:rPr>
        <w:t xml:space="preserve"> management teams on both sides.</w:t>
      </w:r>
      <w:r w:rsidR="00B46081">
        <w:rPr>
          <w:rStyle w:val="FootnoteReference"/>
          <w:rFonts w:ascii="Arial" w:eastAsia="Arial" w:hAnsi="Arial" w:cs="Arial"/>
        </w:rPr>
        <w:footnoteReference w:id="54"/>
      </w:r>
      <w:r w:rsidR="00B46081">
        <w:rPr>
          <w:rFonts w:ascii="Arial" w:eastAsia="Arial" w:hAnsi="Arial" w:cs="Arial"/>
        </w:rPr>
        <w:t xml:space="preserve"> The objectives were an “important hook that allows staff to push for various clauses</w:t>
      </w:r>
      <w:r w:rsidR="000E7367">
        <w:rPr>
          <w:rFonts w:ascii="Arial" w:eastAsia="Arial" w:hAnsi="Arial" w:cs="Arial"/>
        </w:rPr>
        <w:t xml:space="preserve">” </w:t>
      </w:r>
      <w:r w:rsidR="00B46081">
        <w:rPr>
          <w:rFonts w:ascii="Arial" w:eastAsia="Arial" w:hAnsi="Arial" w:cs="Arial"/>
        </w:rPr>
        <w:t>(</w:t>
      </w:r>
      <w:r w:rsidR="000E7367">
        <w:rPr>
          <w:rFonts w:ascii="Arial" w:eastAsia="Arial" w:hAnsi="Arial" w:cs="Arial"/>
        </w:rPr>
        <w:t>KEQ</w:t>
      </w:r>
      <w:r w:rsidR="002E3F68">
        <w:rPr>
          <w:rFonts w:ascii="Arial" w:eastAsia="Arial" w:hAnsi="Arial" w:cs="Arial"/>
        </w:rPr>
        <w:t xml:space="preserve"> </w:t>
      </w:r>
      <w:r w:rsidR="00B46081">
        <w:rPr>
          <w:rFonts w:ascii="Arial" w:eastAsia="Arial" w:hAnsi="Arial" w:cs="Arial"/>
        </w:rPr>
        <w:t>2.6).</w:t>
      </w:r>
      <w:r w:rsidR="00B46081">
        <w:rPr>
          <w:rStyle w:val="FootnoteReference"/>
          <w:rFonts w:ascii="Arial" w:eastAsia="Arial" w:hAnsi="Arial" w:cs="Arial"/>
        </w:rPr>
        <w:footnoteReference w:id="55"/>
      </w:r>
    </w:p>
    <w:p w14:paraId="0B7EAC05" w14:textId="418C0A36" w:rsidR="00CE7821" w:rsidRDefault="00745650" w:rsidP="00BC0217">
      <w:pPr>
        <w:spacing w:before="240"/>
        <w:rPr>
          <w:rFonts w:ascii="Arial" w:eastAsia="Arial" w:hAnsi="Arial" w:cs="Arial"/>
        </w:rPr>
      </w:pPr>
      <w:r>
        <w:rPr>
          <w:rFonts w:ascii="Arial" w:eastAsia="Arial" w:hAnsi="Arial" w:cs="Arial"/>
        </w:rPr>
        <w:t xml:space="preserve">However, the ability for SPFs to influence partner performance has been limited. </w:t>
      </w:r>
      <w:r w:rsidR="006040A2">
        <w:rPr>
          <w:rFonts w:ascii="Arial" w:eastAsia="Arial" w:hAnsi="Arial" w:cs="Arial"/>
        </w:rPr>
        <w:t>The SPFs and EOLs do not define what performance improvements Australia expected to see or how to measure progress towards these changes (</w:t>
      </w:r>
      <w:r w:rsidR="000E7367">
        <w:rPr>
          <w:rFonts w:ascii="Arial" w:eastAsia="Arial" w:hAnsi="Arial" w:cs="Arial"/>
        </w:rPr>
        <w:t>KEQ</w:t>
      </w:r>
      <w:r w:rsidR="001F036E">
        <w:rPr>
          <w:rFonts w:ascii="Arial" w:eastAsia="Arial" w:hAnsi="Arial" w:cs="Arial"/>
        </w:rPr>
        <w:t xml:space="preserve"> </w:t>
      </w:r>
      <w:r w:rsidR="006040A2">
        <w:rPr>
          <w:rFonts w:ascii="Arial" w:eastAsia="Arial" w:hAnsi="Arial" w:cs="Arial"/>
        </w:rPr>
        <w:t>2.2).</w:t>
      </w:r>
      <w:r w:rsidR="006040A2">
        <w:rPr>
          <w:rStyle w:val="FootnoteReference"/>
          <w:rFonts w:ascii="Arial" w:eastAsia="Arial" w:hAnsi="Arial" w:cs="Arial"/>
        </w:rPr>
        <w:footnoteReference w:id="56"/>
      </w:r>
      <w:r w:rsidR="006040A2">
        <w:rPr>
          <w:rFonts w:ascii="Arial" w:eastAsia="Arial" w:hAnsi="Arial" w:cs="Arial"/>
        </w:rPr>
        <w:t xml:space="preserve"> </w:t>
      </w:r>
      <w:r w:rsidR="007E33CE">
        <w:rPr>
          <w:rFonts w:ascii="Arial" w:eastAsia="Arial" w:hAnsi="Arial" w:cs="Arial"/>
        </w:rPr>
        <w:t>Some</w:t>
      </w:r>
      <w:r w:rsidR="006040A2">
        <w:rPr>
          <w:rFonts w:ascii="Arial" w:eastAsia="Arial" w:hAnsi="Arial" w:cs="Arial"/>
        </w:rPr>
        <w:t xml:space="preserve"> DFAT </w:t>
      </w:r>
      <w:r w:rsidR="007E33CE">
        <w:rPr>
          <w:rFonts w:ascii="Arial" w:eastAsia="Arial" w:hAnsi="Arial" w:cs="Arial"/>
        </w:rPr>
        <w:t>Canberra</w:t>
      </w:r>
      <w:r w:rsidR="006040A2">
        <w:rPr>
          <w:rFonts w:ascii="Arial" w:eastAsia="Arial" w:hAnsi="Arial" w:cs="Arial"/>
        </w:rPr>
        <w:t xml:space="preserve"> staff reported that this ambiguity allowed SPF partners to “agree to objectives without the need to follow through.”</w:t>
      </w:r>
      <w:r w:rsidR="006040A2">
        <w:rPr>
          <w:rStyle w:val="FootnoteReference"/>
          <w:rFonts w:ascii="Arial" w:eastAsia="Arial" w:hAnsi="Arial" w:cs="Arial"/>
        </w:rPr>
        <w:footnoteReference w:id="57"/>
      </w:r>
      <w:r w:rsidR="001F036E">
        <w:rPr>
          <w:rFonts w:ascii="Arial" w:eastAsia="Arial" w:hAnsi="Arial" w:cs="Arial"/>
        </w:rPr>
        <w:t xml:space="preserve"> For instance, a DFAT official noted: </w:t>
      </w:r>
    </w:p>
    <w:p w14:paraId="46DD7F70" w14:textId="3A6FA0BC" w:rsidR="00D048B8" w:rsidRPr="00A20793" w:rsidRDefault="00D048B8" w:rsidP="00D048B8">
      <w:pPr>
        <w:ind w:left="568"/>
        <w:rPr>
          <w:i/>
          <w:iCs/>
          <w:color w:val="auto"/>
        </w:rPr>
      </w:pPr>
      <w:r w:rsidRPr="00A20793">
        <w:rPr>
          <w:i/>
          <w:iCs/>
          <w:color w:val="auto"/>
        </w:rPr>
        <w:t>“Partners</w:t>
      </w:r>
      <w:r w:rsidRPr="008F131C">
        <w:rPr>
          <w:i/>
          <w:iCs/>
        </w:rPr>
        <w:t xml:space="preserve"> already</w:t>
      </w:r>
      <w:r w:rsidRPr="00A20793">
        <w:rPr>
          <w:i/>
          <w:iCs/>
          <w:color w:val="auto"/>
        </w:rPr>
        <w:t xml:space="preserve"> feel Australia has a lot of </w:t>
      </w:r>
      <w:proofErr w:type="gramStart"/>
      <w:r w:rsidRPr="00A20793">
        <w:rPr>
          <w:i/>
          <w:iCs/>
          <w:color w:val="auto"/>
        </w:rPr>
        <w:t>asks, and</w:t>
      </w:r>
      <w:proofErr w:type="gramEnd"/>
      <w:r w:rsidRPr="00A20793">
        <w:rPr>
          <w:i/>
          <w:iCs/>
          <w:color w:val="auto"/>
        </w:rPr>
        <w:t xml:space="preserve"> often seek prioritisation on what Australia really wants them to focus on. </w:t>
      </w:r>
      <w:r w:rsidRPr="00A20793">
        <w:rPr>
          <w:b/>
          <w:bCs/>
          <w:i/>
          <w:iCs/>
          <w:color w:val="auto"/>
        </w:rPr>
        <w:t xml:space="preserve">Australia is not </w:t>
      </w:r>
      <w:proofErr w:type="gramStart"/>
      <w:r w:rsidRPr="00A20793">
        <w:rPr>
          <w:b/>
          <w:bCs/>
          <w:i/>
          <w:iCs/>
          <w:color w:val="auto"/>
        </w:rPr>
        <w:t>really able</w:t>
      </w:r>
      <w:proofErr w:type="gramEnd"/>
      <w:r w:rsidRPr="00A20793">
        <w:rPr>
          <w:b/>
          <w:bCs/>
          <w:i/>
          <w:iCs/>
          <w:color w:val="auto"/>
        </w:rPr>
        <w:t xml:space="preserve"> to articulate that to them.</w:t>
      </w:r>
      <w:r w:rsidRPr="00A20793">
        <w:rPr>
          <w:i/>
          <w:iCs/>
          <w:color w:val="auto"/>
        </w:rPr>
        <w:t xml:space="preserve"> It’s an interesting time to be doing that work. We’re conscious that demands will increase on partners in a very </w:t>
      </w:r>
      <w:r w:rsidRPr="00A20793">
        <w:rPr>
          <w:i/>
          <w:iCs/>
          <w:color w:val="auto"/>
        </w:rPr>
        <w:lastRenderedPageBreak/>
        <w:t xml:space="preserve">underfunded system. </w:t>
      </w:r>
      <w:r w:rsidR="004A59C0" w:rsidRPr="00A20793">
        <w:rPr>
          <w:i/>
          <w:iCs/>
          <w:color w:val="auto"/>
        </w:rPr>
        <w:t>…</w:t>
      </w:r>
      <w:r w:rsidRPr="00A20793">
        <w:rPr>
          <w:i/>
          <w:iCs/>
          <w:color w:val="auto"/>
        </w:rPr>
        <w:t xml:space="preserve"> </w:t>
      </w:r>
      <w:r w:rsidRPr="00A20793">
        <w:rPr>
          <w:b/>
          <w:bCs/>
          <w:i/>
          <w:iCs/>
          <w:color w:val="auto"/>
        </w:rPr>
        <w:t>a lot of partners will need to pull away from Australia’s reform priorities to deliver basic lifesaving assistance.</w:t>
      </w:r>
      <w:r w:rsidRPr="00A20793">
        <w:rPr>
          <w:i/>
          <w:iCs/>
          <w:color w:val="auto"/>
        </w:rPr>
        <w:t xml:space="preserve"> We are sensitive to that as well moving forward. </w:t>
      </w:r>
      <w:r w:rsidRPr="00A20793">
        <w:rPr>
          <w:b/>
          <w:bCs/>
          <w:i/>
          <w:iCs/>
          <w:color w:val="auto"/>
        </w:rPr>
        <w:t>We will need to do more with less.</w:t>
      </w:r>
      <w:r w:rsidRPr="00A20793">
        <w:rPr>
          <w:i/>
          <w:iCs/>
          <w:color w:val="auto"/>
        </w:rPr>
        <w:t xml:space="preserve"> </w:t>
      </w:r>
    </w:p>
    <w:p w14:paraId="3A6ECFDE" w14:textId="77777777" w:rsidR="00D048B8" w:rsidRPr="00A20793" w:rsidRDefault="00D048B8" w:rsidP="00D048B8">
      <w:pPr>
        <w:ind w:left="568"/>
        <w:rPr>
          <w:b/>
          <w:bCs/>
          <w:i/>
          <w:iCs/>
          <w:color w:val="auto"/>
        </w:rPr>
      </w:pPr>
      <w:r w:rsidRPr="00A20793">
        <w:rPr>
          <w:b/>
          <w:bCs/>
          <w:i/>
          <w:iCs/>
          <w:color w:val="auto"/>
        </w:rPr>
        <w:t>It may be worth revising existing expectations.”</w:t>
      </w:r>
    </w:p>
    <w:p w14:paraId="16C016C8" w14:textId="2B1F1A94" w:rsidR="00DF6993" w:rsidRDefault="00016777">
      <w:pPr>
        <w:spacing w:before="240"/>
        <w:rPr>
          <w:rFonts w:ascii="Arial" w:eastAsia="Arial" w:hAnsi="Arial" w:cs="Arial"/>
        </w:rPr>
      </w:pPr>
      <w:r>
        <w:rPr>
          <w:rFonts w:ascii="Arial" w:eastAsia="Arial" w:hAnsi="Arial" w:cs="Arial"/>
        </w:rPr>
        <w:t>Australia provides multi-year core funding to enable partners to deliver against their Strategic Plans</w:t>
      </w:r>
      <w:r w:rsidR="00A05B2E">
        <w:rPr>
          <w:rStyle w:val="FootnoteReference"/>
          <w:rFonts w:ascii="Arial" w:eastAsia="Arial" w:hAnsi="Arial" w:cs="Arial"/>
        </w:rPr>
        <w:footnoteReference w:id="58"/>
      </w:r>
      <w:r w:rsidR="00D73D40">
        <w:rPr>
          <w:rFonts w:ascii="Arial" w:eastAsia="Arial" w:hAnsi="Arial" w:cs="Arial"/>
        </w:rPr>
        <w:t xml:space="preserve"> and measures performance against </w:t>
      </w:r>
      <w:r w:rsidR="00D73D40" w:rsidRPr="00145742">
        <w:rPr>
          <w:rFonts w:ascii="Arial" w:eastAsia="Arial" w:hAnsi="Arial" w:cs="Arial"/>
        </w:rPr>
        <w:t>SPF shared partnership</w:t>
      </w:r>
      <w:r w:rsidR="00D73D40">
        <w:rPr>
          <w:rFonts w:ascii="Arial" w:eastAsia="Arial" w:hAnsi="Arial" w:cs="Arial"/>
        </w:rPr>
        <w:t xml:space="preserve"> objectives and deliverables</w:t>
      </w:r>
      <w:r>
        <w:rPr>
          <w:rFonts w:ascii="Arial" w:eastAsia="Arial" w:hAnsi="Arial" w:cs="Arial"/>
        </w:rPr>
        <w:t xml:space="preserve">. </w:t>
      </w:r>
      <w:r w:rsidR="00DF6993">
        <w:rPr>
          <w:rFonts w:ascii="Arial" w:eastAsia="Arial" w:hAnsi="Arial" w:cs="Arial"/>
        </w:rPr>
        <w:t xml:space="preserve">SPF partners and </w:t>
      </w:r>
      <w:r w:rsidR="00FE2700">
        <w:rPr>
          <w:rFonts w:ascii="Arial" w:eastAsia="Arial" w:hAnsi="Arial" w:cs="Arial"/>
        </w:rPr>
        <w:t>DFAT had</w:t>
      </w:r>
      <w:r w:rsidR="00DF6993">
        <w:rPr>
          <w:rFonts w:ascii="Arial" w:eastAsia="Arial" w:hAnsi="Arial" w:cs="Arial"/>
        </w:rPr>
        <w:t xml:space="preserve"> divergent views on the extent to which the multi-year, </w:t>
      </w:r>
      <w:r w:rsidR="00C9309A">
        <w:rPr>
          <w:rFonts w:ascii="Arial" w:eastAsia="Arial" w:hAnsi="Arial" w:cs="Arial"/>
        </w:rPr>
        <w:t xml:space="preserve">core </w:t>
      </w:r>
      <w:r w:rsidR="00DF6993">
        <w:rPr>
          <w:rFonts w:ascii="Arial" w:eastAsia="Arial" w:hAnsi="Arial" w:cs="Arial"/>
        </w:rPr>
        <w:t xml:space="preserve">funding contained in the SPFs improved partner performance. SPF partners reported that </w:t>
      </w:r>
      <w:r w:rsidR="00E610F7">
        <w:rPr>
          <w:rFonts w:ascii="Arial" w:eastAsia="Arial" w:hAnsi="Arial" w:cs="Arial"/>
        </w:rPr>
        <w:t xml:space="preserve">predictable </w:t>
      </w:r>
      <w:r w:rsidR="00B945DB">
        <w:rPr>
          <w:rFonts w:ascii="Arial" w:eastAsia="Arial" w:hAnsi="Arial" w:cs="Arial"/>
        </w:rPr>
        <w:t>core</w:t>
      </w:r>
      <w:r w:rsidR="00DF6993">
        <w:rPr>
          <w:rFonts w:ascii="Arial" w:eastAsia="Arial" w:hAnsi="Arial" w:cs="Arial"/>
        </w:rPr>
        <w:t xml:space="preserve"> funding w</w:t>
      </w:r>
      <w:r w:rsidR="000E7367">
        <w:rPr>
          <w:rFonts w:ascii="Arial" w:eastAsia="Arial" w:hAnsi="Arial" w:cs="Arial"/>
        </w:rPr>
        <w:t>as</w:t>
      </w:r>
      <w:r w:rsidR="00DF6993">
        <w:rPr>
          <w:rFonts w:ascii="Arial" w:eastAsia="Arial" w:hAnsi="Arial" w:cs="Arial"/>
        </w:rPr>
        <w:t xml:space="preserve"> critical to agency performance by allowing them to allocate </w:t>
      </w:r>
      <w:r w:rsidR="000E7367">
        <w:rPr>
          <w:rFonts w:ascii="Arial" w:eastAsia="Arial" w:hAnsi="Arial" w:cs="Arial"/>
        </w:rPr>
        <w:t xml:space="preserve">financing </w:t>
      </w:r>
      <w:r w:rsidR="00DF6993">
        <w:rPr>
          <w:rFonts w:ascii="Arial" w:eastAsia="Arial" w:hAnsi="Arial" w:cs="Arial"/>
        </w:rPr>
        <w:t>to</w:t>
      </w:r>
      <w:r w:rsidR="3E91176B">
        <w:rPr>
          <w:rFonts w:ascii="Arial" w:eastAsia="Arial" w:hAnsi="Arial" w:cs="Arial"/>
        </w:rPr>
        <w:t xml:space="preserve"> their </w:t>
      </w:r>
      <w:r w:rsidR="53FD21F4" w:rsidRPr="2C54FF09">
        <w:rPr>
          <w:rFonts w:ascii="Arial" w:eastAsia="Arial" w:hAnsi="Arial" w:cs="Arial"/>
        </w:rPr>
        <w:t>own</w:t>
      </w:r>
      <w:r w:rsidR="00DF6993">
        <w:rPr>
          <w:rFonts w:ascii="Arial" w:eastAsia="Arial" w:hAnsi="Arial" w:cs="Arial"/>
        </w:rPr>
        <w:t xml:space="preserve"> priority areas </w:t>
      </w:r>
      <w:r w:rsidR="00952EBA">
        <w:rPr>
          <w:rFonts w:ascii="Arial" w:eastAsia="Arial" w:hAnsi="Arial" w:cs="Arial"/>
        </w:rPr>
        <w:t>(including advance financing or again</w:t>
      </w:r>
      <w:r w:rsidR="00091D92">
        <w:rPr>
          <w:rFonts w:ascii="Arial" w:eastAsia="Arial" w:hAnsi="Arial" w:cs="Arial"/>
        </w:rPr>
        <w:t>s</w:t>
      </w:r>
      <w:r w:rsidR="00952EBA">
        <w:rPr>
          <w:rFonts w:ascii="Arial" w:eastAsia="Arial" w:hAnsi="Arial" w:cs="Arial"/>
        </w:rPr>
        <w:t>t internal advances</w:t>
      </w:r>
      <w:r w:rsidR="00673D0A">
        <w:rPr>
          <w:rFonts w:ascii="Arial" w:eastAsia="Arial" w:hAnsi="Arial" w:cs="Arial"/>
        </w:rPr>
        <w:t>)</w:t>
      </w:r>
      <w:r w:rsidR="00091D92">
        <w:rPr>
          <w:rStyle w:val="FootnoteReference"/>
          <w:rFonts w:ascii="Arial" w:eastAsia="Arial" w:hAnsi="Arial" w:cs="Arial"/>
        </w:rPr>
        <w:footnoteReference w:id="59"/>
      </w:r>
      <w:r w:rsidR="00952EBA">
        <w:rPr>
          <w:rFonts w:ascii="Arial" w:eastAsia="Arial" w:hAnsi="Arial" w:cs="Arial"/>
        </w:rPr>
        <w:t xml:space="preserve"> </w:t>
      </w:r>
      <w:r w:rsidR="00DF6993">
        <w:rPr>
          <w:rFonts w:ascii="Arial" w:eastAsia="Arial" w:hAnsi="Arial" w:cs="Arial"/>
        </w:rPr>
        <w:t>and reducing the resources needed for contract management, increasing those available for delivery.</w:t>
      </w:r>
      <w:r w:rsidR="00DF6993">
        <w:rPr>
          <w:rStyle w:val="FootnoteReference"/>
          <w:rFonts w:ascii="Arial" w:eastAsia="Arial" w:hAnsi="Arial" w:cs="Arial"/>
        </w:rPr>
        <w:footnoteReference w:id="60"/>
      </w:r>
      <w:r w:rsidR="00DF6993">
        <w:rPr>
          <w:rFonts w:ascii="Arial" w:eastAsia="Arial" w:hAnsi="Arial" w:cs="Arial"/>
        </w:rPr>
        <w:t xml:space="preserve"> However, some DFAT respondents reported tha</w:t>
      </w:r>
      <w:r w:rsidR="00313999">
        <w:rPr>
          <w:rFonts w:ascii="Arial" w:eastAsia="Arial" w:hAnsi="Arial" w:cs="Arial"/>
        </w:rPr>
        <w:t>t</w:t>
      </w:r>
      <w:r w:rsidR="00673D0A">
        <w:rPr>
          <w:rFonts w:ascii="Arial" w:eastAsia="Arial" w:hAnsi="Arial" w:cs="Arial"/>
        </w:rPr>
        <w:t xml:space="preserve"> </w:t>
      </w:r>
      <w:r w:rsidR="00313999">
        <w:rPr>
          <w:rFonts w:ascii="Arial" w:eastAsia="Arial" w:hAnsi="Arial" w:cs="Arial"/>
        </w:rPr>
        <w:t>c</w:t>
      </w:r>
      <w:r w:rsidR="00382935">
        <w:rPr>
          <w:rFonts w:ascii="Arial" w:eastAsia="Arial" w:hAnsi="Arial" w:cs="Arial"/>
        </w:rPr>
        <w:t>o</w:t>
      </w:r>
      <w:r w:rsidR="004F0A39">
        <w:rPr>
          <w:rFonts w:ascii="Arial" w:eastAsia="Arial" w:hAnsi="Arial" w:cs="Arial"/>
        </w:rPr>
        <w:t>re</w:t>
      </w:r>
      <w:r w:rsidR="00DF6993">
        <w:rPr>
          <w:rFonts w:ascii="Arial" w:eastAsia="Arial" w:hAnsi="Arial" w:cs="Arial"/>
        </w:rPr>
        <w:t xml:space="preserve"> funding reduced Australia’s ability to push for performance. They noted that earmarked funding and standalone agreements would greatly increase Australia’s ability to </w:t>
      </w:r>
      <w:r w:rsidR="000E7367">
        <w:rPr>
          <w:rFonts w:ascii="Arial" w:eastAsia="Arial" w:hAnsi="Arial" w:cs="Arial"/>
        </w:rPr>
        <w:t>incentivise</w:t>
      </w:r>
      <w:r w:rsidR="00DF6993">
        <w:rPr>
          <w:rFonts w:ascii="Arial" w:eastAsia="Arial" w:hAnsi="Arial" w:cs="Arial"/>
        </w:rPr>
        <w:t xml:space="preserve"> performance on </w:t>
      </w:r>
      <w:r w:rsidR="000E7367">
        <w:rPr>
          <w:rFonts w:ascii="Arial" w:eastAsia="Arial" w:hAnsi="Arial" w:cs="Arial"/>
        </w:rPr>
        <w:t>priority</w:t>
      </w:r>
      <w:r w:rsidR="00DF6993">
        <w:rPr>
          <w:rFonts w:ascii="Arial" w:eastAsia="Arial" w:hAnsi="Arial" w:cs="Arial"/>
        </w:rPr>
        <w:t xml:space="preserve"> areas, but that this would require a significant increase in DFAT resourcing </w:t>
      </w:r>
      <w:proofErr w:type="gramStart"/>
      <w:r w:rsidR="00DF6993">
        <w:rPr>
          <w:rFonts w:ascii="Arial" w:eastAsia="Arial" w:hAnsi="Arial" w:cs="Arial"/>
        </w:rPr>
        <w:t>in order to</w:t>
      </w:r>
      <w:proofErr w:type="gramEnd"/>
      <w:r w:rsidR="00DF6993">
        <w:rPr>
          <w:rFonts w:ascii="Arial" w:eastAsia="Arial" w:hAnsi="Arial" w:cs="Arial"/>
        </w:rPr>
        <w:t xml:space="preserve"> drive this change.</w:t>
      </w:r>
      <w:r w:rsidR="00DF6993">
        <w:rPr>
          <w:rStyle w:val="FootnoteReference"/>
          <w:rFonts w:ascii="Arial" w:eastAsia="Arial" w:hAnsi="Arial" w:cs="Arial"/>
        </w:rPr>
        <w:footnoteReference w:id="61"/>
      </w:r>
      <w:r w:rsidR="00673D0A">
        <w:rPr>
          <w:rFonts w:ascii="Arial" w:eastAsia="Arial" w:hAnsi="Arial" w:cs="Arial"/>
        </w:rPr>
        <w:t xml:space="preserve"> For instance, a DFAT officer noted</w:t>
      </w:r>
      <w:r w:rsidR="00E82666">
        <w:rPr>
          <w:rFonts w:ascii="Arial" w:eastAsia="Arial" w:hAnsi="Arial" w:cs="Arial"/>
        </w:rPr>
        <w:t xml:space="preserve"> that: </w:t>
      </w:r>
    </w:p>
    <w:p w14:paraId="6236B991" w14:textId="66EF60AC" w:rsidR="00DF6993" w:rsidRPr="009F56A2" w:rsidRDefault="00E82666" w:rsidP="00DF6993">
      <w:pPr>
        <w:ind w:left="568"/>
        <w:rPr>
          <w:i/>
          <w:iCs/>
          <w:color w:val="1D336D" w:themeColor="background2"/>
        </w:rPr>
      </w:pPr>
      <w:r w:rsidRPr="009F56A2">
        <w:rPr>
          <w:i/>
          <w:iCs/>
          <w:color w:val="1D336D" w:themeColor="background2"/>
        </w:rPr>
        <w:t>“</w:t>
      </w:r>
      <w:r w:rsidR="00DF6993" w:rsidRPr="009F56A2">
        <w:rPr>
          <w:i/>
          <w:iCs/>
          <w:color w:val="1D336D" w:themeColor="background2"/>
        </w:rPr>
        <w:t>SPFs are all carrot, no stick. While this gives Australia a good reputation as a flexible donor, it limits our capacity to drive change.</w:t>
      </w:r>
      <w:r w:rsidRPr="009F56A2">
        <w:rPr>
          <w:i/>
          <w:iCs/>
          <w:color w:val="1D336D" w:themeColor="background2"/>
        </w:rPr>
        <w:t>”</w:t>
      </w:r>
    </w:p>
    <w:p w14:paraId="2994FE90" w14:textId="70E4CDE4" w:rsidR="008F1747" w:rsidRPr="00906D48" w:rsidRDefault="000E7367" w:rsidP="008F1747">
      <w:pPr>
        <w:spacing w:before="240"/>
        <w:rPr>
          <w:rFonts w:ascii="Arial" w:eastAsia="Arial" w:hAnsi="Arial" w:cs="Arial"/>
          <w:b/>
          <w:bCs/>
        </w:rPr>
      </w:pPr>
      <w:r>
        <w:rPr>
          <w:rFonts w:ascii="Arial" w:eastAsia="Arial" w:hAnsi="Arial" w:cs="Arial"/>
        </w:rPr>
        <w:t xml:space="preserve">Almost half of all </w:t>
      </w:r>
      <w:r w:rsidR="008F1747">
        <w:rPr>
          <w:rFonts w:ascii="Arial" w:eastAsia="Arial" w:hAnsi="Arial" w:cs="Arial"/>
        </w:rPr>
        <w:t xml:space="preserve">DFAT staff surveyed (11 of 23) did not know whether SPFs influenced partner performance at the global level. Views on influence at the country level were slightly more positive, but only 4 </w:t>
      </w:r>
      <w:r>
        <w:rPr>
          <w:rFonts w:ascii="Arial" w:eastAsia="Arial" w:hAnsi="Arial" w:cs="Arial"/>
        </w:rPr>
        <w:t>out of</w:t>
      </w:r>
      <w:r w:rsidR="008F1747">
        <w:rPr>
          <w:rFonts w:ascii="Arial" w:eastAsia="Arial" w:hAnsi="Arial" w:cs="Arial"/>
        </w:rPr>
        <w:t xml:space="preserve"> 23 respondents thought SPFs and EOLs influenced partner performance </w:t>
      </w:r>
      <w:r>
        <w:rPr>
          <w:rFonts w:ascii="Arial" w:eastAsia="Arial" w:hAnsi="Arial" w:cs="Arial"/>
        </w:rPr>
        <w:t>“</w:t>
      </w:r>
      <w:r w:rsidR="008F1747">
        <w:rPr>
          <w:rFonts w:ascii="Arial" w:eastAsia="Arial" w:hAnsi="Arial" w:cs="Arial"/>
        </w:rPr>
        <w:t>very much</w:t>
      </w:r>
      <w:r>
        <w:rPr>
          <w:rFonts w:ascii="Arial" w:eastAsia="Arial" w:hAnsi="Arial" w:cs="Arial"/>
        </w:rPr>
        <w:t>”.</w:t>
      </w:r>
      <w:r w:rsidR="008F1747">
        <w:rPr>
          <w:rFonts w:ascii="Arial" w:eastAsia="Arial" w:hAnsi="Arial" w:cs="Arial"/>
        </w:rPr>
        <w:t xml:space="preserve"> </w:t>
      </w:r>
      <w:r>
        <w:rPr>
          <w:rFonts w:ascii="Arial" w:eastAsia="Arial" w:hAnsi="Arial" w:cs="Arial"/>
        </w:rPr>
        <w:t>Instead, m</w:t>
      </w:r>
      <w:r w:rsidR="008F1747">
        <w:rPr>
          <w:rFonts w:ascii="Arial" w:eastAsia="Arial" w:hAnsi="Arial" w:cs="Arial"/>
        </w:rPr>
        <w:t xml:space="preserve">ost respondents reported that SPFs influenced partner performance </w:t>
      </w:r>
      <w:r>
        <w:rPr>
          <w:rFonts w:ascii="Arial" w:eastAsia="Arial" w:hAnsi="Arial" w:cs="Arial"/>
        </w:rPr>
        <w:t>“</w:t>
      </w:r>
      <w:r w:rsidR="008F1747">
        <w:rPr>
          <w:rFonts w:ascii="Arial" w:eastAsia="Arial" w:hAnsi="Arial" w:cs="Arial"/>
        </w:rPr>
        <w:t>a little</w:t>
      </w:r>
      <w:r>
        <w:rPr>
          <w:rFonts w:ascii="Arial" w:eastAsia="Arial" w:hAnsi="Arial" w:cs="Arial"/>
        </w:rPr>
        <w:t>”</w:t>
      </w:r>
      <w:r w:rsidR="008F1747">
        <w:rPr>
          <w:rFonts w:ascii="Arial" w:eastAsia="Arial" w:hAnsi="Arial" w:cs="Arial"/>
        </w:rPr>
        <w:t xml:space="preserve"> or </w:t>
      </w:r>
      <w:r>
        <w:rPr>
          <w:rFonts w:ascii="Arial" w:eastAsia="Arial" w:hAnsi="Arial" w:cs="Arial"/>
        </w:rPr>
        <w:t>“</w:t>
      </w:r>
      <w:r w:rsidR="008F1747">
        <w:rPr>
          <w:rFonts w:ascii="Arial" w:eastAsia="Arial" w:hAnsi="Arial" w:cs="Arial"/>
        </w:rPr>
        <w:t>somewhat</w:t>
      </w:r>
      <w:r>
        <w:rPr>
          <w:rFonts w:ascii="Arial" w:eastAsia="Arial" w:hAnsi="Arial" w:cs="Arial"/>
        </w:rPr>
        <w:t xml:space="preserve">” </w:t>
      </w:r>
      <w:r w:rsidR="008F1747">
        <w:rPr>
          <w:rFonts w:ascii="Arial" w:eastAsia="Arial" w:hAnsi="Arial" w:cs="Arial"/>
        </w:rPr>
        <w:t>at the global level (10 of 23 respondents) and the country level (11 of 23 respondents</w:t>
      </w:r>
      <w:r w:rsidR="008F1747" w:rsidRPr="00014AF9">
        <w:rPr>
          <w:rFonts w:ascii="Arial" w:eastAsia="Arial" w:hAnsi="Arial" w:cs="Arial"/>
        </w:rPr>
        <w:t>).</w:t>
      </w:r>
      <w:r w:rsidR="008F1747" w:rsidRPr="00014AF9">
        <w:rPr>
          <w:rStyle w:val="FootnoteReference"/>
          <w:rFonts w:ascii="Arial" w:eastAsia="Arial" w:hAnsi="Arial" w:cs="Arial"/>
        </w:rPr>
        <w:footnoteReference w:id="62"/>
      </w:r>
    </w:p>
    <w:p w14:paraId="1B236F53" w14:textId="00D94149" w:rsidR="00BC0217" w:rsidRPr="00B26550" w:rsidRDefault="008C115E" w:rsidP="00BC0217">
      <w:pPr>
        <w:spacing w:before="240"/>
        <w:rPr>
          <w:rFonts w:ascii="Arial" w:eastAsia="Arial" w:hAnsi="Arial" w:cs="Arial"/>
          <w:b/>
          <w:bCs/>
          <w:i/>
          <w:iCs/>
        </w:rPr>
      </w:pPr>
      <w:r w:rsidRPr="00B26550">
        <w:rPr>
          <w:rFonts w:ascii="Arial" w:eastAsia="Arial" w:hAnsi="Arial" w:cs="Arial"/>
          <w:b/>
          <w:bCs/>
          <w:i/>
          <w:iCs/>
        </w:rPr>
        <w:t>En</w:t>
      </w:r>
      <w:r w:rsidR="00BC0217" w:rsidRPr="00B26550">
        <w:rPr>
          <w:rFonts w:ascii="Arial" w:eastAsia="Arial" w:hAnsi="Arial" w:cs="Arial"/>
          <w:b/>
          <w:bCs/>
          <w:i/>
          <w:iCs/>
        </w:rPr>
        <w:t>gagement in the Indo-Pacific</w:t>
      </w:r>
    </w:p>
    <w:p w14:paraId="091D411C" w14:textId="77777777" w:rsidR="00457BC8" w:rsidRDefault="00BC0217" w:rsidP="00BC0217">
      <w:pPr>
        <w:spacing w:before="240"/>
        <w:rPr>
          <w:rFonts w:ascii="Arial" w:eastAsia="Arial" w:hAnsi="Arial" w:cs="Arial"/>
        </w:rPr>
      </w:pPr>
      <w:r>
        <w:rPr>
          <w:rFonts w:ascii="Arial" w:eastAsia="Arial" w:hAnsi="Arial" w:cs="Arial"/>
        </w:rPr>
        <w:t xml:space="preserve">The </w:t>
      </w:r>
      <w:r w:rsidR="00631562" w:rsidRPr="00EA1283">
        <w:rPr>
          <w:rFonts w:ascii="Arial" w:eastAsia="Arial" w:hAnsi="Arial" w:cs="Arial"/>
        </w:rPr>
        <w:t>Evaluation Team</w:t>
      </w:r>
      <w:r w:rsidRPr="00EA1283">
        <w:rPr>
          <w:rFonts w:ascii="Arial" w:eastAsia="Arial" w:hAnsi="Arial" w:cs="Arial"/>
        </w:rPr>
        <w:t xml:space="preserve"> found </w:t>
      </w:r>
      <w:r w:rsidR="00C33EF8">
        <w:rPr>
          <w:rFonts w:ascii="Arial" w:eastAsia="Arial" w:hAnsi="Arial" w:cs="Arial"/>
        </w:rPr>
        <w:t>limited</w:t>
      </w:r>
      <w:r w:rsidRPr="00EA1283">
        <w:rPr>
          <w:rFonts w:ascii="Arial" w:eastAsia="Arial" w:hAnsi="Arial" w:cs="Arial"/>
        </w:rPr>
        <w:t xml:space="preserve"> evidence to suggest that SPFs influenced </w:t>
      </w:r>
      <w:r w:rsidR="00C33EF8">
        <w:rPr>
          <w:rFonts w:ascii="Arial" w:eastAsia="Arial" w:hAnsi="Arial" w:cs="Arial"/>
        </w:rPr>
        <w:t xml:space="preserve">increased </w:t>
      </w:r>
      <w:r w:rsidRPr="00EA1283">
        <w:rPr>
          <w:rFonts w:ascii="Arial" w:eastAsia="Arial" w:hAnsi="Arial" w:cs="Arial"/>
        </w:rPr>
        <w:t>partner engagement in the Indo-Pacific</w:t>
      </w:r>
      <w:r w:rsidR="008F131C" w:rsidRPr="00EA1283">
        <w:rPr>
          <w:rFonts w:ascii="Arial" w:eastAsia="Arial" w:hAnsi="Arial" w:cs="Arial"/>
        </w:rPr>
        <w:t>, beyond earmarking that directly restricts funding to the region</w:t>
      </w:r>
      <w:r w:rsidRPr="00EA1283">
        <w:rPr>
          <w:rFonts w:ascii="Arial" w:eastAsia="Arial" w:hAnsi="Arial" w:cs="Arial"/>
        </w:rPr>
        <w:t xml:space="preserve">. SPF partners were </w:t>
      </w:r>
      <w:proofErr w:type="gramStart"/>
      <w:r w:rsidRPr="00EA1283">
        <w:rPr>
          <w:rFonts w:ascii="Arial" w:eastAsia="Arial" w:hAnsi="Arial" w:cs="Arial"/>
        </w:rPr>
        <w:t>well aware</w:t>
      </w:r>
      <w:proofErr w:type="gramEnd"/>
      <w:r w:rsidRPr="00EA1283">
        <w:rPr>
          <w:rFonts w:ascii="Arial" w:eastAsia="Arial" w:hAnsi="Arial" w:cs="Arial"/>
        </w:rPr>
        <w:t xml:space="preserve"> of Australia’s focus on, and advocacy for, the Indo-Pacific region but </w:t>
      </w:r>
      <w:r w:rsidR="0046610F" w:rsidRPr="00EA1283">
        <w:rPr>
          <w:rFonts w:ascii="Arial" w:eastAsia="Arial" w:hAnsi="Arial" w:cs="Arial"/>
        </w:rPr>
        <w:t xml:space="preserve">attributed </w:t>
      </w:r>
      <w:r w:rsidRPr="00EA1283">
        <w:rPr>
          <w:rFonts w:ascii="Arial" w:eastAsia="Arial" w:hAnsi="Arial" w:cs="Arial"/>
        </w:rPr>
        <w:t xml:space="preserve">this to consistent Australian policy engagement rather than the </w:t>
      </w:r>
      <w:r w:rsidR="0046610F" w:rsidRPr="00EA1283">
        <w:rPr>
          <w:rFonts w:ascii="Arial" w:eastAsia="Arial" w:hAnsi="Arial" w:cs="Arial"/>
        </w:rPr>
        <w:t>influence</w:t>
      </w:r>
      <w:r w:rsidR="0046610F">
        <w:rPr>
          <w:rFonts w:ascii="Arial" w:eastAsia="Arial" w:hAnsi="Arial" w:cs="Arial"/>
        </w:rPr>
        <w:t xml:space="preserve"> of </w:t>
      </w:r>
      <w:proofErr w:type="gramStart"/>
      <w:r>
        <w:rPr>
          <w:rFonts w:ascii="Arial" w:eastAsia="Arial" w:hAnsi="Arial" w:cs="Arial"/>
        </w:rPr>
        <w:t>SPFs in particular</w:t>
      </w:r>
      <w:proofErr w:type="gramEnd"/>
      <w:r>
        <w:rPr>
          <w:rFonts w:ascii="Arial" w:eastAsia="Arial" w:hAnsi="Arial" w:cs="Arial"/>
        </w:rPr>
        <w:t>.</w:t>
      </w:r>
      <w:r>
        <w:rPr>
          <w:rStyle w:val="FootnoteReference"/>
          <w:rFonts w:ascii="Arial" w:eastAsia="Arial" w:hAnsi="Arial" w:cs="Arial"/>
        </w:rPr>
        <w:footnoteReference w:id="63"/>
      </w:r>
      <w:r>
        <w:rPr>
          <w:rFonts w:ascii="Arial" w:eastAsia="Arial" w:hAnsi="Arial" w:cs="Arial"/>
        </w:rPr>
        <w:t xml:space="preserve"> </w:t>
      </w:r>
    </w:p>
    <w:p w14:paraId="39728DDB" w14:textId="71F924DA" w:rsidR="00BC0217" w:rsidRPr="00A92258" w:rsidRDefault="00BC0217" w:rsidP="00BC0217">
      <w:pPr>
        <w:spacing w:before="240"/>
        <w:rPr>
          <w:rFonts w:ascii="Arial" w:eastAsia="Arial" w:hAnsi="Arial" w:cs="Arial"/>
        </w:rPr>
      </w:pPr>
      <w:r>
        <w:rPr>
          <w:rFonts w:ascii="Arial" w:eastAsia="Arial" w:hAnsi="Arial" w:cs="Arial"/>
        </w:rPr>
        <w:t xml:space="preserve">Similar to the overall view on whether SPFs influenced partner performance, </w:t>
      </w:r>
      <w:r w:rsidR="0046610F">
        <w:rPr>
          <w:rFonts w:ascii="Arial" w:eastAsia="Arial" w:hAnsi="Arial" w:cs="Arial"/>
        </w:rPr>
        <w:t>almost half of all</w:t>
      </w:r>
      <w:r>
        <w:rPr>
          <w:rFonts w:ascii="Arial" w:eastAsia="Arial" w:hAnsi="Arial" w:cs="Arial"/>
        </w:rPr>
        <w:t xml:space="preserve"> DFAT officers who responded to the survey thought that the humanitarian SPFs were a </w:t>
      </w:r>
      <w:r w:rsidR="0046610F">
        <w:rPr>
          <w:rFonts w:ascii="Arial" w:eastAsia="Arial" w:hAnsi="Arial" w:cs="Arial"/>
        </w:rPr>
        <w:t>“</w:t>
      </w:r>
      <w:r>
        <w:rPr>
          <w:rFonts w:ascii="Arial" w:eastAsia="Arial" w:hAnsi="Arial" w:cs="Arial"/>
        </w:rPr>
        <w:t>little</w:t>
      </w:r>
      <w:r w:rsidR="0046610F">
        <w:rPr>
          <w:rFonts w:ascii="Arial" w:eastAsia="Arial" w:hAnsi="Arial" w:cs="Arial"/>
        </w:rPr>
        <w:t>”</w:t>
      </w:r>
      <w:r>
        <w:rPr>
          <w:rFonts w:ascii="Arial" w:eastAsia="Arial" w:hAnsi="Arial" w:cs="Arial"/>
        </w:rPr>
        <w:t xml:space="preserve"> or </w:t>
      </w:r>
      <w:r w:rsidR="0046610F">
        <w:rPr>
          <w:rFonts w:ascii="Arial" w:eastAsia="Arial" w:hAnsi="Arial" w:cs="Arial"/>
        </w:rPr>
        <w:t>“</w:t>
      </w:r>
      <w:r>
        <w:rPr>
          <w:rFonts w:ascii="Arial" w:eastAsia="Arial" w:hAnsi="Arial" w:cs="Arial"/>
        </w:rPr>
        <w:t>somewhat</w:t>
      </w:r>
      <w:r w:rsidR="0046610F">
        <w:rPr>
          <w:rFonts w:ascii="Arial" w:eastAsia="Arial" w:hAnsi="Arial" w:cs="Arial"/>
        </w:rPr>
        <w:t>”</w:t>
      </w:r>
      <w:r>
        <w:rPr>
          <w:rFonts w:ascii="Arial" w:eastAsia="Arial" w:hAnsi="Arial" w:cs="Arial"/>
        </w:rPr>
        <w:t xml:space="preserve"> useful as a modality to achieve Australia’s strategic priority of a stronger Indo</w:t>
      </w:r>
      <w:r w:rsidR="0046610F">
        <w:rPr>
          <w:rFonts w:ascii="Arial" w:eastAsia="Arial" w:hAnsi="Arial" w:cs="Arial"/>
        </w:rPr>
        <w:t>-</w:t>
      </w:r>
      <w:r>
        <w:rPr>
          <w:rFonts w:ascii="Arial" w:eastAsia="Arial" w:hAnsi="Arial" w:cs="Arial"/>
        </w:rPr>
        <w:t xml:space="preserve">Pacific focus among SPF partners (11 of 23 respondents), but only 2 of 23 thought they helped </w:t>
      </w:r>
      <w:r w:rsidR="0046610F">
        <w:rPr>
          <w:rFonts w:ascii="Arial" w:eastAsia="Arial" w:hAnsi="Arial" w:cs="Arial"/>
        </w:rPr>
        <w:t>“</w:t>
      </w:r>
      <w:r>
        <w:rPr>
          <w:rFonts w:ascii="Arial" w:eastAsia="Arial" w:hAnsi="Arial" w:cs="Arial"/>
        </w:rPr>
        <w:t>very muc</w:t>
      </w:r>
      <w:r w:rsidR="0046610F">
        <w:rPr>
          <w:rFonts w:ascii="Arial" w:eastAsia="Arial" w:hAnsi="Arial" w:cs="Arial"/>
        </w:rPr>
        <w:t xml:space="preserve">h” </w:t>
      </w:r>
      <w:r>
        <w:rPr>
          <w:rFonts w:ascii="Arial" w:eastAsia="Arial" w:hAnsi="Arial" w:cs="Arial"/>
        </w:rPr>
        <w:t xml:space="preserve">(7 of 23 </w:t>
      </w:r>
      <w:r w:rsidR="0046610F">
        <w:rPr>
          <w:rFonts w:ascii="Arial" w:eastAsia="Arial" w:hAnsi="Arial" w:cs="Arial"/>
        </w:rPr>
        <w:t>reported they “</w:t>
      </w:r>
      <w:r>
        <w:rPr>
          <w:rFonts w:ascii="Arial" w:eastAsia="Arial" w:hAnsi="Arial" w:cs="Arial"/>
        </w:rPr>
        <w:t>did not know</w:t>
      </w:r>
      <w:r w:rsidR="0046610F">
        <w:rPr>
          <w:rFonts w:ascii="Arial" w:eastAsia="Arial" w:hAnsi="Arial" w:cs="Arial"/>
        </w:rPr>
        <w:t>”</w:t>
      </w:r>
      <w:r>
        <w:rPr>
          <w:rFonts w:ascii="Arial" w:eastAsia="Arial" w:hAnsi="Arial" w:cs="Arial"/>
        </w:rPr>
        <w:t>).</w:t>
      </w:r>
      <w:r>
        <w:rPr>
          <w:rStyle w:val="FootnoteReference"/>
          <w:rFonts w:ascii="Arial" w:eastAsia="Arial" w:hAnsi="Arial" w:cs="Arial"/>
        </w:rPr>
        <w:footnoteReference w:id="64"/>
      </w:r>
      <w:r>
        <w:rPr>
          <w:rFonts w:ascii="Arial" w:eastAsia="Arial" w:hAnsi="Arial" w:cs="Arial"/>
        </w:rPr>
        <w:t xml:space="preserve"> </w:t>
      </w:r>
      <w:r w:rsidR="006B4BE2">
        <w:rPr>
          <w:rFonts w:ascii="Arial" w:eastAsia="Arial" w:hAnsi="Arial" w:cs="Arial"/>
        </w:rPr>
        <w:t xml:space="preserve">DFAT’s management of </w:t>
      </w:r>
      <w:r w:rsidR="00BB2B75">
        <w:rPr>
          <w:rFonts w:ascii="Arial" w:eastAsia="Arial" w:hAnsi="Arial" w:cs="Arial"/>
        </w:rPr>
        <w:t>a</w:t>
      </w:r>
      <w:r w:rsidR="00CE58A4">
        <w:rPr>
          <w:rFonts w:ascii="Arial" w:eastAsia="Arial" w:hAnsi="Arial" w:cs="Arial"/>
        </w:rPr>
        <w:t xml:space="preserve"> WFP </w:t>
      </w:r>
      <w:r w:rsidR="00A03D10">
        <w:rPr>
          <w:rFonts w:ascii="Arial" w:eastAsia="Arial" w:hAnsi="Arial" w:cs="Arial"/>
        </w:rPr>
        <w:t xml:space="preserve">multi-year </w:t>
      </w:r>
      <w:r w:rsidR="006B4BE2">
        <w:rPr>
          <w:rFonts w:ascii="Arial" w:eastAsia="Arial" w:hAnsi="Arial" w:cs="Arial"/>
        </w:rPr>
        <w:t xml:space="preserve">EOL in Bangladesh is </w:t>
      </w:r>
      <w:r w:rsidR="00CE58A4">
        <w:rPr>
          <w:rFonts w:ascii="Arial" w:eastAsia="Arial" w:hAnsi="Arial" w:cs="Arial"/>
        </w:rPr>
        <w:t xml:space="preserve">a good example of how the modality was able to support </w:t>
      </w:r>
      <w:r w:rsidR="00457BC8">
        <w:rPr>
          <w:rFonts w:ascii="Arial" w:eastAsia="Arial" w:hAnsi="Arial" w:cs="Arial"/>
        </w:rPr>
        <w:t xml:space="preserve">effective performance in the Indo-Pacific. </w:t>
      </w:r>
      <w:r w:rsidR="00457BC8">
        <w:t>DFAT</w:t>
      </w:r>
      <w:r w:rsidR="00A03D10">
        <w:t xml:space="preserve"> was able</w:t>
      </w:r>
      <w:r w:rsidR="00457BC8">
        <w:t xml:space="preserve"> disburse one tranche of funding early and provide additional assistance</w:t>
      </w:r>
      <w:r w:rsidR="00BB2B75">
        <w:t>. W</w:t>
      </w:r>
      <w:r w:rsidR="00457BC8">
        <w:t xml:space="preserve">ith the support of other donors this meant WFP was able to avert a ration cut from </w:t>
      </w:r>
      <w:r w:rsidR="00BB2B75">
        <w:t>USD</w:t>
      </w:r>
      <w:r w:rsidR="00457BC8">
        <w:t xml:space="preserve">12.50 per person per month to </w:t>
      </w:r>
      <w:r w:rsidR="00BB2B75">
        <w:t>USD</w:t>
      </w:r>
      <w:r w:rsidR="00457BC8">
        <w:t>6 per person per month in early 2025.</w:t>
      </w:r>
      <w:r w:rsidR="00457BC8" w:rsidRPr="00F6111E">
        <w:rPr>
          <w:vertAlign w:val="superscript"/>
        </w:rPr>
        <w:footnoteReference w:id="65"/>
      </w:r>
      <w:r w:rsidR="00457BC8">
        <w:t xml:space="preserve"> </w:t>
      </w:r>
    </w:p>
    <w:p w14:paraId="7AB8E811" w14:textId="0E5C4CC9" w:rsidR="00BC0217" w:rsidRPr="00B26550" w:rsidRDefault="008C115E" w:rsidP="00BC0217">
      <w:pPr>
        <w:spacing w:before="240"/>
        <w:rPr>
          <w:rFonts w:ascii="Arial" w:eastAsia="Arial" w:hAnsi="Arial" w:cs="Arial"/>
          <w:b/>
          <w:bCs/>
          <w:i/>
          <w:iCs/>
        </w:rPr>
      </w:pPr>
      <w:r w:rsidRPr="00B26550">
        <w:rPr>
          <w:rFonts w:ascii="Arial" w:eastAsia="Arial" w:hAnsi="Arial" w:cs="Arial"/>
          <w:b/>
          <w:bCs/>
          <w:i/>
          <w:iCs/>
        </w:rPr>
        <w:lastRenderedPageBreak/>
        <w:t>E</w:t>
      </w:r>
      <w:r w:rsidR="00BC0217" w:rsidRPr="00B26550">
        <w:rPr>
          <w:rFonts w:ascii="Arial" w:eastAsia="Arial" w:hAnsi="Arial" w:cs="Arial"/>
          <w:b/>
          <w:bCs/>
          <w:i/>
          <w:iCs/>
        </w:rPr>
        <w:t xml:space="preserve">ngagement on </w:t>
      </w:r>
      <w:r w:rsidR="00CF6D32" w:rsidRPr="00B26550">
        <w:rPr>
          <w:rFonts w:ascii="Arial" w:eastAsia="Arial" w:hAnsi="Arial" w:cs="Arial"/>
          <w:b/>
          <w:bCs/>
          <w:i/>
          <w:iCs/>
        </w:rPr>
        <w:t>GEDSI</w:t>
      </w:r>
    </w:p>
    <w:p w14:paraId="19C02094" w14:textId="00531B20" w:rsidR="0061543E" w:rsidRDefault="00BC0217" w:rsidP="00BC0217">
      <w:pPr>
        <w:spacing w:before="240"/>
        <w:rPr>
          <w:rFonts w:ascii="Arial" w:eastAsia="Arial" w:hAnsi="Arial" w:cs="Arial"/>
        </w:rPr>
      </w:pPr>
      <w:r>
        <w:rPr>
          <w:rFonts w:ascii="Arial" w:eastAsia="Arial" w:hAnsi="Arial" w:cs="Arial"/>
        </w:rPr>
        <w:t xml:space="preserve">DFAT respondents also thought that SPFs were </w:t>
      </w:r>
      <w:r w:rsidR="0046610F">
        <w:rPr>
          <w:rFonts w:ascii="Arial" w:eastAsia="Arial" w:hAnsi="Arial" w:cs="Arial"/>
        </w:rPr>
        <w:t>“</w:t>
      </w:r>
      <w:r>
        <w:rPr>
          <w:rFonts w:ascii="Arial" w:eastAsia="Arial" w:hAnsi="Arial" w:cs="Arial"/>
        </w:rPr>
        <w:t>a little</w:t>
      </w:r>
      <w:r w:rsidR="0046610F">
        <w:rPr>
          <w:rFonts w:ascii="Arial" w:eastAsia="Arial" w:hAnsi="Arial" w:cs="Arial"/>
        </w:rPr>
        <w:t xml:space="preserve">” </w:t>
      </w:r>
      <w:r>
        <w:rPr>
          <w:rFonts w:ascii="Arial" w:eastAsia="Arial" w:hAnsi="Arial" w:cs="Arial"/>
        </w:rPr>
        <w:t xml:space="preserve">or </w:t>
      </w:r>
      <w:r w:rsidR="0046610F">
        <w:rPr>
          <w:rFonts w:ascii="Arial" w:eastAsia="Arial" w:hAnsi="Arial" w:cs="Arial"/>
        </w:rPr>
        <w:t>“</w:t>
      </w:r>
      <w:r>
        <w:rPr>
          <w:rFonts w:ascii="Arial" w:eastAsia="Arial" w:hAnsi="Arial" w:cs="Arial"/>
        </w:rPr>
        <w:t>somewhat</w:t>
      </w:r>
      <w:r w:rsidR="0046610F">
        <w:rPr>
          <w:rFonts w:ascii="Arial" w:eastAsia="Arial" w:hAnsi="Arial" w:cs="Arial"/>
        </w:rPr>
        <w:t>”</w:t>
      </w:r>
      <w:r>
        <w:rPr>
          <w:rFonts w:ascii="Arial" w:eastAsia="Arial" w:hAnsi="Arial" w:cs="Arial"/>
        </w:rPr>
        <w:t xml:space="preserve"> useful for progressing DFAT’s gender equality (15 of 23) and disability equity </w:t>
      </w:r>
      <w:r w:rsidR="00E01260">
        <w:rPr>
          <w:rFonts w:ascii="Arial" w:eastAsia="Arial" w:hAnsi="Arial" w:cs="Arial"/>
        </w:rPr>
        <w:t xml:space="preserve">and rights </w:t>
      </w:r>
      <w:r>
        <w:rPr>
          <w:rFonts w:ascii="Arial" w:eastAsia="Arial" w:hAnsi="Arial" w:cs="Arial"/>
        </w:rPr>
        <w:t>strategic priorities (16 of 23), but only one respondent reported</w:t>
      </w:r>
      <w:r w:rsidR="0046610F">
        <w:rPr>
          <w:rFonts w:ascii="Arial" w:eastAsia="Arial" w:hAnsi="Arial" w:cs="Arial"/>
        </w:rPr>
        <w:t xml:space="preserve"> that</w:t>
      </w:r>
      <w:r>
        <w:rPr>
          <w:rFonts w:ascii="Arial" w:eastAsia="Arial" w:hAnsi="Arial" w:cs="Arial"/>
        </w:rPr>
        <w:t xml:space="preserve"> they helped </w:t>
      </w:r>
      <w:r w:rsidR="0046610F">
        <w:rPr>
          <w:rFonts w:ascii="Arial" w:eastAsia="Arial" w:hAnsi="Arial" w:cs="Arial"/>
        </w:rPr>
        <w:t>“</w:t>
      </w:r>
      <w:r>
        <w:rPr>
          <w:rFonts w:ascii="Arial" w:eastAsia="Arial" w:hAnsi="Arial" w:cs="Arial"/>
        </w:rPr>
        <w:t xml:space="preserve">very </w:t>
      </w:r>
      <w:r w:rsidRPr="00EE5795">
        <w:rPr>
          <w:rFonts w:ascii="Arial" w:eastAsia="Arial" w:hAnsi="Arial" w:cs="Arial"/>
        </w:rPr>
        <w:t>much</w:t>
      </w:r>
      <w:r w:rsidR="0046610F">
        <w:rPr>
          <w:rFonts w:ascii="Arial" w:eastAsia="Arial" w:hAnsi="Arial" w:cs="Arial"/>
        </w:rPr>
        <w:t>”</w:t>
      </w:r>
      <w:r w:rsidR="009210BB" w:rsidRPr="00EE5795">
        <w:rPr>
          <w:rFonts w:ascii="Arial" w:eastAsia="Arial" w:hAnsi="Arial" w:cs="Arial"/>
        </w:rPr>
        <w:t>.</w:t>
      </w:r>
      <w:r w:rsidR="00BA2E05" w:rsidRPr="00EE5795">
        <w:rPr>
          <w:rStyle w:val="FootnoteReference"/>
          <w:rFonts w:ascii="Arial" w:eastAsia="Arial" w:hAnsi="Arial" w:cs="Arial"/>
        </w:rPr>
        <w:footnoteReference w:id="66"/>
      </w:r>
      <w:r w:rsidR="009442D5" w:rsidRPr="00EE5795">
        <w:rPr>
          <w:rFonts w:ascii="Arial" w:eastAsia="Arial" w:hAnsi="Arial" w:cs="Arial"/>
        </w:rPr>
        <w:t xml:space="preserve"> </w:t>
      </w:r>
      <w:r w:rsidR="004E4471">
        <w:rPr>
          <w:rFonts w:ascii="Arial" w:eastAsia="Arial" w:hAnsi="Arial" w:cs="Arial"/>
        </w:rPr>
        <w:t>Performance Arrangement</w:t>
      </w:r>
      <w:r w:rsidR="009442D5" w:rsidRPr="00EE5795">
        <w:rPr>
          <w:rFonts w:ascii="Arial" w:eastAsia="Arial" w:hAnsi="Arial" w:cs="Arial"/>
        </w:rPr>
        <w:t xml:space="preserve"> </w:t>
      </w:r>
      <w:r w:rsidR="00CF6D32">
        <w:rPr>
          <w:rFonts w:ascii="Arial" w:eastAsia="Arial" w:hAnsi="Arial" w:cs="Arial"/>
        </w:rPr>
        <w:t>r</w:t>
      </w:r>
      <w:r w:rsidR="009442D5" w:rsidRPr="00EE5795">
        <w:rPr>
          <w:rFonts w:ascii="Arial" w:eastAsia="Arial" w:hAnsi="Arial" w:cs="Arial"/>
        </w:rPr>
        <w:t xml:space="preserve">eports </w:t>
      </w:r>
      <w:r w:rsidR="00F07014" w:rsidRPr="00EE5795">
        <w:rPr>
          <w:rFonts w:ascii="Arial" w:eastAsia="Arial" w:hAnsi="Arial" w:cs="Arial"/>
        </w:rPr>
        <w:t xml:space="preserve">for 2022-24 </w:t>
      </w:r>
      <w:r w:rsidR="00B800F9" w:rsidRPr="00EE5795">
        <w:rPr>
          <w:rFonts w:ascii="Arial" w:eastAsia="Arial" w:hAnsi="Arial" w:cs="Arial"/>
        </w:rPr>
        <w:t xml:space="preserve">found </w:t>
      </w:r>
      <w:r w:rsidR="00845F50" w:rsidRPr="00EE5795">
        <w:rPr>
          <w:rFonts w:ascii="Arial" w:eastAsia="Arial" w:hAnsi="Arial" w:cs="Arial"/>
        </w:rPr>
        <w:t>clear evidence of activities designed to address G</w:t>
      </w:r>
      <w:r w:rsidR="00845F50" w:rsidRPr="00623D97">
        <w:rPr>
          <w:rFonts w:ascii="Arial" w:eastAsia="Arial" w:hAnsi="Arial" w:cs="Arial"/>
        </w:rPr>
        <w:t xml:space="preserve">EDSI, </w:t>
      </w:r>
      <w:r w:rsidR="001A6895" w:rsidRPr="00623D97">
        <w:rPr>
          <w:rFonts w:ascii="Arial" w:eastAsia="Arial" w:hAnsi="Arial" w:cs="Arial"/>
        </w:rPr>
        <w:t>however it is not</w:t>
      </w:r>
      <w:r w:rsidR="00C3462D" w:rsidRPr="00623D97">
        <w:rPr>
          <w:rFonts w:ascii="Arial" w:eastAsia="Arial" w:hAnsi="Arial" w:cs="Arial"/>
        </w:rPr>
        <w:t xml:space="preserve"> </w:t>
      </w:r>
      <w:r w:rsidR="00845F50" w:rsidRPr="00623D97">
        <w:rPr>
          <w:rFonts w:ascii="Arial" w:eastAsia="Arial" w:hAnsi="Arial" w:cs="Arial"/>
        </w:rPr>
        <w:t xml:space="preserve">possible </w:t>
      </w:r>
      <w:r w:rsidR="003A68B4" w:rsidRPr="00623D97">
        <w:rPr>
          <w:rFonts w:ascii="Arial" w:eastAsia="Arial" w:hAnsi="Arial" w:cs="Arial"/>
        </w:rPr>
        <w:t>to track the extent to which progress was achieve</w:t>
      </w:r>
      <w:r w:rsidR="001A6895" w:rsidRPr="00623D97">
        <w:rPr>
          <w:rFonts w:ascii="Arial" w:eastAsia="Arial" w:hAnsi="Arial" w:cs="Arial"/>
        </w:rPr>
        <w:t xml:space="preserve">d </w:t>
      </w:r>
      <w:r w:rsidR="0023576F" w:rsidRPr="00623D97">
        <w:rPr>
          <w:rFonts w:ascii="Arial" w:eastAsia="Arial" w:hAnsi="Arial" w:cs="Arial"/>
        </w:rPr>
        <w:t>(</w:t>
      </w:r>
      <w:r w:rsidR="0046610F" w:rsidRPr="00623D97">
        <w:rPr>
          <w:rFonts w:ascii="Arial" w:eastAsia="Arial" w:hAnsi="Arial" w:cs="Arial"/>
        </w:rPr>
        <w:t xml:space="preserve">e.g., </w:t>
      </w:r>
      <w:r w:rsidR="0020423C" w:rsidRPr="00623D97">
        <w:rPr>
          <w:rFonts w:ascii="Arial" w:eastAsia="Arial" w:hAnsi="Arial" w:cs="Arial"/>
        </w:rPr>
        <w:t xml:space="preserve">see </w:t>
      </w:r>
      <w:r w:rsidR="0046610F" w:rsidRPr="00623D97">
        <w:rPr>
          <w:rFonts w:ascii="Arial" w:eastAsia="Arial" w:hAnsi="Arial" w:cs="Arial"/>
        </w:rPr>
        <w:t>KEQ</w:t>
      </w:r>
      <w:r w:rsidR="001A6895" w:rsidRPr="00623D97">
        <w:rPr>
          <w:rFonts w:ascii="Arial" w:eastAsia="Arial" w:hAnsi="Arial" w:cs="Arial"/>
        </w:rPr>
        <w:t xml:space="preserve"> </w:t>
      </w:r>
      <w:r w:rsidR="0020423C" w:rsidRPr="00623D97">
        <w:rPr>
          <w:rFonts w:ascii="Arial" w:eastAsia="Arial" w:hAnsi="Arial" w:cs="Arial"/>
        </w:rPr>
        <w:t>2</w:t>
      </w:r>
      <w:r w:rsidR="0023576F" w:rsidRPr="00623D97">
        <w:rPr>
          <w:rFonts w:ascii="Arial" w:eastAsia="Arial" w:hAnsi="Arial" w:cs="Arial"/>
        </w:rPr>
        <w:t xml:space="preserve">). </w:t>
      </w:r>
    </w:p>
    <w:p w14:paraId="42C0F8B0" w14:textId="7D51AB5D" w:rsidR="00BC0217" w:rsidRPr="00BC0217" w:rsidRDefault="00BC0217" w:rsidP="00BC0217">
      <w:pPr>
        <w:spacing w:before="240"/>
        <w:rPr>
          <w:rFonts w:ascii="Arial" w:eastAsia="Arial" w:hAnsi="Arial" w:cs="Arial"/>
        </w:rPr>
      </w:pPr>
      <w:r>
        <w:rPr>
          <w:rFonts w:ascii="Arial" w:eastAsia="Arial" w:hAnsi="Arial" w:cs="Arial"/>
        </w:rPr>
        <w:t xml:space="preserve">SPF partnership managers in WFP, UNHCR, ICRC and OCHA were </w:t>
      </w:r>
      <w:proofErr w:type="gramStart"/>
      <w:r>
        <w:rPr>
          <w:rFonts w:ascii="Arial" w:eastAsia="Arial" w:hAnsi="Arial" w:cs="Arial"/>
        </w:rPr>
        <w:t>well aware</w:t>
      </w:r>
      <w:proofErr w:type="gramEnd"/>
      <w:r>
        <w:rPr>
          <w:rFonts w:ascii="Arial" w:eastAsia="Arial" w:hAnsi="Arial" w:cs="Arial"/>
        </w:rPr>
        <w:t xml:space="preserve"> of Australia’s priorities in this area but largely cited sustained Australian policy engagement and advocacy </w:t>
      </w:r>
      <w:r w:rsidR="0061543E">
        <w:rPr>
          <w:rFonts w:ascii="Arial" w:eastAsia="Arial" w:hAnsi="Arial" w:cs="Arial"/>
        </w:rPr>
        <w:t xml:space="preserve">as </w:t>
      </w:r>
      <w:r w:rsidR="00A317A4">
        <w:rPr>
          <w:rFonts w:ascii="Arial" w:eastAsia="Arial" w:hAnsi="Arial" w:cs="Arial"/>
        </w:rPr>
        <w:t xml:space="preserve">the reason for their awareness </w:t>
      </w:r>
      <w:r>
        <w:rPr>
          <w:rFonts w:ascii="Arial" w:eastAsia="Arial" w:hAnsi="Arial" w:cs="Arial"/>
        </w:rPr>
        <w:t xml:space="preserve">rather than the SPFs </w:t>
      </w:r>
      <w:r w:rsidR="00B17D15">
        <w:rPr>
          <w:rFonts w:ascii="Arial" w:eastAsia="Arial" w:hAnsi="Arial" w:cs="Arial"/>
        </w:rPr>
        <w:t>(</w:t>
      </w:r>
      <w:r w:rsidR="00C332DD">
        <w:rPr>
          <w:rFonts w:ascii="Arial" w:eastAsia="Arial" w:hAnsi="Arial" w:cs="Arial"/>
        </w:rPr>
        <w:t>KEQ</w:t>
      </w:r>
      <w:r w:rsidR="001A6895">
        <w:rPr>
          <w:rFonts w:ascii="Arial" w:eastAsia="Arial" w:hAnsi="Arial" w:cs="Arial"/>
        </w:rPr>
        <w:t xml:space="preserve"> </w:t>
      </w:r>
      <w:r w:rsidR="00B17D15" w:rsidRPr="00CF6D32">
        <w:rPr>
          <w:rFonts w:ascii="Arial" w:eastAsia="Arial" w:hAnsi="Arial" w:cs="Arial"/>
        </w:rPr>
        <w:t>2.6</w:t>
      </w:r>
      <w:r w:rsidR="00B17D15">
        <w:rPr>
          <w:rFonts w:ascii="Arial" w:eastAsia="Arial" w:hAnsi="Arial" w:cs="Arial"/>
        </w:rPr>
        <w:t>)</w:t>
      </w:r>
      <w:r>
        <w:rPr>
          <w:rFonts w:ascii="Arial" w:eastAsia="Arial" w:hAnsi="Arial" w:cs="Arial"/>
        </w:rPr>
        <w:t>.</w:t>
      </w:r>
      <w:r>
        <w:rPr>
          <w:rStyle w:val="FootnoteReference"/>
          <w:rFonts w:ascii="Arial" w:eastAsia="Arial" w:hAnsi="Arial" w:cs="Arial"/>
        </w:rPr>
        <w:footnoteReference w:id="67"/>
      </w:r>
    </w:p>
    <w:p w14:paraId="0EC22186" w14:textId="7673728B" w:rsidR="0018192F" w:rsidRPr="009404ED" w:rsidRDefault="0053362B" w:rsidP="009404ED">
      <w:pPr>
        <w:pStyle w:val="ListParagraph"/>
        <w:numPr>
          <w:ilvl w:val="1"/>
          <w:numId w:val="12"/>
        </w:numPr>
        <w:spacing w:before="240"/>
        <w:rPr>
          <w:rFonts w:ascii="Arial" w:eastAsia="Arial" w:hAnsi="Arial" w:cs="Arial"/>
        </w:rPr>
      </w:pPr>
      <w:r w:rsidRPr="0020655A">
        <w:rPr>
          <w:rFonts w:ascii="Arial" w:eastAsia="Arial" w:hAnsi="Arial" w:cs="Arial"/>
          <w:b/>
          <w:bCs/>
        </w:rPr>
        <w:t>To what extent have SPFs strengthened Australia’s influence and international standing?</w:t>
      </w:r>
      <w:r w:rsidRPr="00A93DAE">
        <w:rPr>
          <w:rFonts w:ascii="Arial" w:eastAsia="Arial" w:hAnsi="Arial" w:cs="Arial"/>
          <w:b/>
          <w:bCs/>
          <w:color w:val="00B050"/>
        </w:rPr>
        <w:t xml:space="preserve"> </w:t>
      </w:r>
    </w:p>
    <w:p w14:paraId="71144D93" w14:textId="082BB5E0" w:rsidR="0053362B" w:rsidRPr="00263907" w:rsidRDefault="0053362B" w:rsidP="00CE1530">
      <w:pPr>
        <w:spacing w:before="240"/>
        <w:rPr>
          <w:rFonts w:ascii="Arial" w:eastAsia="Arial" w:hAnsi="Arial" w:cs="Arial"/>
        </w:rPr>
      </w:pPr>
      <w:r w:rsidRPr="00CE1530">
        <w:rPr>
          <w:rFonts w:ascii="Arial" w:eastAsia="Arial" w:hAnsi="Arial" w:cs="Arial"/>
        </w:rPr>
        <w:t>DFAT and partners report that providing multi-year, flexible</w:t>
      </w:r>
      <w:r w:rsidR="001A6895">
        <w:rPr>
          <w:rFonts w:ascii="Arial" w:eastAsia="Arial" w:hAnsi="Arial" w:cs="Arial"/>
        </w:rPr>
        <w:t xml:space="preserve"> core</w:t>
      </w:r>
      <w:r w:rsidRPr="00CE1530">
        <w:rPr>
          <w:rFonts w:ascii="Arial" w:eastAsia="Arial" w:hAnsi="Arial" w:cs="Arial"/>
        </w:rPr>
        <w:t xml:space="preserve"> funding through SPFs increases the visibility of Australia’s contribution to the multilateral system and supports DFAT’s international standing as a principled and </w:t>
      </w:r>
      <w:r w:rsidRPr="00263907">
        <w:rPr>
          <w:rFonts w:ascii="Arial" w:eastAsia="Arial" w:hAnsi="Arial" w:cs="Arial"/>
        </w:rPr>
        <w:t>pragmatic donor.</w:t>
      </w:r>
      <w:r w:rsidRPr="00263907">
        <w:rPr>
          <w:rStyle w:val="FootnoteReference"/>
          <w:rFonts w:ascii="Arial" w:eastAsia="Arial" w:hAnsi="Arial" w:cs="Arial"/>
        </w:rPr>
        <w:footnoteReference w:id="68"/>
      </w:r>
      <w:r w:rsidRPr="00263907">
        <w:rPr>
          <w:rFonts w:ascii="Arial" w:eastAsia="Arial" w:hAnsi="Arial" w:cs="Arial"/>
        </w:rPr>
        <w:t xml:space="preserve"> The value of the </w:t>
      </w:r>
      <w:r w:rsidR="001A6895">
        <w:rPr>
          <w:rFonts w:ascii="Arial" w:eastAsia="Arial" w:hAnsi="Arial" w:cs="Arial"/>
        </w:rPr>
        <w:t>core</w:t>
      </w:r>
      <w:r w:rsidRPr="00263907">
        <w:rPr>
          <w:rFonts w:ascii="Arial" w:eastAsia="Arial" w:hAnsi="Arial" w:cs="Arial"/>
        </w:rPr>
        <w:t>, multi-year funding reported by partners cannot be overstated</w:t>
      </w:r>
      <w:r w:rsidR="0046610F">
        <w:rPr>
          <w:rFonts w:ascii="Arial" w:eastAsia="Arial" w:hAnsi="Arial" w:cs="Arial"/>
        </w:rPr>
        <w:t>.</w:t>
      </w:r>
      <w:r w:rsidR="0046610F" w:rsidRPr="00263907">
        <w:rPr>
          <w:rStyle w:val="FootnoteReference"/>
          <w:rFonts w:ascii="Arial" w:eastAsia="Arial" w:hAnsi="Arial" w:cs="Arial"/>
        </w:rPr>
        <w:footnoteReference w:id="69"/>
      </w:r>
    </w:p>
    <w:p w14:paraId="5ED1AD1B" w14:textId="5C402C45" w:rsidR="00FA71FC" w:rsidRDefault="005C7112" w:rsidP="0053362B">
      <w:pPr>
        <w:spacing w:before="240"/>
        <w:rPr>
          <w:rFonts w:ascii="Arial" w:eastAsia="Arial" w:hAnsi="Arial" w:cs="Arial"/>
          <w:b/>
          <w:bCs/>
        </w:rPr>
      </w:pPr>
      <w:r>
        <w:rPr>
          <w:rFonts w:ascii="Arial" w:eastAsia="Arial" w:hAnsi="Arial" w:cs="Arial"/>
        </w:rPr>
        <w:t xml:space="preserve">DFAT </w:t>
      </w:r>
      <w:r w:rsidR="00A317A4">
        <w:rPr>
          <w:rFonts w:ascii="Arial" w:eastAsia="Arial" w:hAnsi="Arial" w:cs="Arial"/>
        </w:rPr>
        <w:t>officers</w:t>
      </w:r>
      <w:r>
        <w:rPr>
          <w:rFonts w:ascii="Arial" w:eastAsia="Arial" w:hAnsi="Arial" w:cs="Arial"/>
        </w:rPr>
        <w:t xml:space="preserve"> </w:t>
      </w:r>
      <w:r w:rsidR="001A6895">
        <w:rPr>
          <w:rFonts w:ascii="Arial" w:eastAsia="Arial" w:hAnsi="Arial" w:cs="Arial"/>
        </w:rPr>
        <w:t>in</w:t>
      </w:r>
      <w:r>
        <w:rPr>
          <w:rFonts w:ascii="Arial" w:eastAsia="Arial" w:hAnsi="Arial" w:cs="Arial"/>
        </w:rPr>
        <w:t xml:space="preserve"> Canberra and</w:t>
      </w:r>
      <w:r w:rsidR="001A6895">
        <w:rPr>
          <w:rFonts w:ascii="Arial" w:eastAsia="Arial" w:hAnsi="Arial" w:cs="Arial"/>
        </w:rPr>
        <w:t xml:space="preserve"> at</w:t>
      </w:r>
      <w:r>
        <w:rPr>
          <w:rFonts w:ascii="Arial" w:eastAsia="Arial" w:hAnsi="Arial" w:cs="Arial"/>
        </w:rPr>
        <w:t xml:space="preserve"> Post reported that providing multi-year, flexible</w:t>
      </w:r>
      <w:r w:rsidR="001A6895">
        <w:rPr>
          <w:rFonts w:ascii="Arial" w:eastAsia="Arial" w:hAnsi="Arial" w:cs="Arial"/>
        </w:rPr>
        <w:t xml:space="preserve"> core</w:t>
      </w:r>
      <w:r>
        <w:rPr>
          <w:rFonts w:ascii="Arial" w:eastAsia="Arial" w:hAnsi="Arial" w:cs="Arial"/>
        </w:rPr>
        <w:t xml:space="preserve"> funding, </w:t>
      </w:r>
      <w:r w:rsidR="006E4F05">
        <w:rPr>
          <w:rFonts w:ascii="Arial" w:eastAsia="Arial" w:hAnsi="Arial" w:cs="Arial"/>
        </w:rPr>
        <w:t>explicit</w:t>
      </w:r>
      <w:r>
        <w:rPr>
          <w:rFonts w:ascii="Arial" w:eastAsia="Arial" w:hAnsi="Arial" w:cs="Arial"/>
        </w:rPr>
        <w:t xml:space="preserve"> in SPFs</w:t>
      </w:r>
      <w:r w:rsidR="00EB610E">
        <w:rPr>
          <w:rFonts w:ascii="Arial" w:eastAsia="Arial" w:hAnsi="Arial" w:cs="Arial"/>
        </w:rPr>
        <w:t>,</w:t>
      </w:r>
      <w:r>
        <w:rPr>
          <w:rFonts w:ascii="Arial" w:eastAsia="Arial" w:hAnsi="Arial" w:cs="Arial"/>
        </w:rPr>
        <w:t xml:space="preserve"> increases the visibility of Australia’s contribution to the multilateral system and positions </w:t>
      </w:r>
      <w:r w:rsidR="00595945">
        <w:rPr>
          <w:rFonts w:ascii="Arial" w:eastAsia="Arial" w:hAnsi="Arial" w:cs="Arial"/>
        </w:rPr>
        <w:t>Australia</w:t>
      </w:r>
      <w:r>
        <w:rPr>
          <w:rFonts w:ascii="Arial" w:eastAsia="Arial" w:hAnsi="Arial" w:cs="Arial"/>
        </w:rPr>
        <w:t xml:space="preserve"> as </w:t>
      </w:r>
      <w:r w:rsidR="00595945">
        <w:rPr>
          <w:rFonts w:ascii="Arial" w:eastAsia="Arial" w:hAnsi="Arial" w:cs="Arial"/>
        </w:rPr>
        <w:t xml:space="preserve">a </w:t>
      </w:r>
      <w:r>
        <w:rPr>
          <w:rFonts w:ascii="Arial" w:eastAsia="Arial" w:hAnsi="Arial" w:cs="Arial"/>
        </w:rPr>
        <w:t xml:space="preserve">principled contributor to the global </w:t>
      </w:r>
      <w:r w:rsidR="001775EB">
        <w:rPr>
          <w:rFonts w:ascii="Arial" w:eastAsia="Arial" w:hAnsi="Arial" w:cs="Arial"/>
        </w:rPr>
        <w:t>humanitarian</w:t>
      </w:r>
      <w:r w:rsidR="18EE7AE2">
        <w:rPr>
          <w:rFonts w:ascii="Arial" w:eastAsia="Arial" w:hAnsi="Arial" w:cs="Arial"/>
        </w:rPr>
        <w:t xml:space="preserve"> system</w:t>
      </w:r>
      <w:r>
        <w:rPr>
          <w:rFonts w:ascii="Arial" w:eastAsia="Arial" w:hAnsi="Arial" w:cs="Arial"/>
        </w:rPr>
        <w:t>.</w:t>
      </w:r>
      <w:r>
        <w:rPr>
          <w:rStyle w:val="FootnoteReference"/>
          <w:rFonts w:ascii="Arial" w:eastAsia="Arial" w:hAnsi="Arial" w:cs="Arial"/>
        </w:rPr>
        <w:footnoteReference w:id="70"/>
      </w:r>
      <w:r>
        <w:rPr>
          <w:rFonts w:ascii="Arial" w:eastAsia="Arial" w:hAnsi="Arial" w:cs="Arial"/>
        </w:rPr>
        <w:t xml:space="preserve"> SPF partners unanimously reported that Australia’s SPFs, in particular the unearmarked, multi-year </w:t>
      </w:r>
      <w:r w:rsidR="001A6895">
        <w:rPr>
          <w:rFonts w:ascii="Arial" w:eastAsia="Arial" w:hAnsi="Arial" w:cs="Arial"/>
        </w:rPr>
        <w:t xml:space="preserve">core </w:t>
      </w:r>
      <w:r>
        <w:rPr>
          <w:rFonts w:ascii="Arial" w:eastAsia="Arial" w:hAnsi="Arial" w:cs="Arial"/>
        </w:rPr>
        <w:t xml:space="preserve">funding put Australia in the top tier of donors applying </w:t>
      </w:r>
      <w:r w:rsidR="001A6895">
        <w:rPr>
          <w:rFonts w:ascii="Arial" w:eastAsia="Arial" w:hAnsi="Arial" w:cs="Arial"/>
        </w:rPr>
        <w:t>G</w:t>
      </w:r>
      <w:r>
        <w:rPr>
          <w:rFonts w:ascii="Arial" w:eastAsia="Arial" w:hAnsi="Arial" w:cs="Arial"/>
        </w:rPr>
        <w:t xml:space="preserve">ood </w:t>
      </w:r>
      <w:r w:rsidR="001A6895">
        <w:rPr>
          <w:rFonts w:ascii="Arial" w:eastAsia="Arial" w:hAnsi="Arial" w:cs="Arial"/>
        </w:rPr>
        <w:t>Humanitarian D</w:t>
      </w:r>
      <w:r>
        <w:rPr>
          <w:rFonts w:ascii="Arial" w:eastAsia="Arial" w:hAnsi="Arial" w:cs="Arial"/>
        </w:rPr>
        <w:t>onorship principles and contributed to Australia’s a reputation as a pragmatic and responsive partner.</w:t>
      </w:r>
      <w:r>
        <w:rPr>
          <w:rStyle w:val="FootnoteReference"/>
          <w:rFonts w:ascii="Arial" w:eastAsia="Arial" w:hAnsi="Arial" w:cs="Arial"/>
        </w:rPr>
        <w:footnoteReference w:id="71"/>
      </w:r>
    </w:p>
    <w:p w14:paraId="54EE4663" w14:textId="250A6DAA" w:rsidR="00022233" w:rsidRDefault="009404ED" w:rsidP="00270BFF">
      <w:pPr>
        <w:spacing w:before="240"/>
        <w:rPr>
          <w:rFonts w:ascii="Arial" w:eastAsia="Arial" w:hAnsi="Arial" w:cs="Arial"/>
        </w:rPr>
      </w:pPr>
      <w:r>
        <w:rPr>
          <w:rFonts w:ascii="Arial" w:eastAsia="Arial" w:hAnsi="Arial" w:cs="Arial"/>
        </w:rPr>
        <w:t xml:space="preserve">The evidence on whether Australia was able to leverage its good standing for influence was more mixed. DFAT respondents cautioned that the system was still </w:t>
      </w:r>
      <w:r w:rsidR="0046610F">
        <w:rPr>
          <w:rFonts w:ascii="Arial" w:eastAsia="Arial" w:hAnsi="Arial" w:cs="Arial"/>
        </w:rPr>
        <w:t>“</w:t>
      </w:r>
      <w:r>
        <w:rPr>
          <w:rFonts w:ascii="Arial" w:eastAsia="Arial" w:hAnsi="Arial" w:cs="Arial"/>
        </w:rPr>
        <w:t>pay to play</w:t>
      </w:r>
      <w:r w:rsidR="0046610F">
        <w:rPr>
          <w:rFonts w:ascii="Arial" w:eastAsia="Arial" w:hAnsi="Arial" w:cs="Arial"/>
        </w:rPr>
        <w:t>”</w:t>
      </w:r>
      <w:r>
        <w:rPr>
          <w:rFonts w:ascii="Arial" w:eastAsia="Arial" w:hAnsi="Arial" w:cs="Arial"/>
        </w:rPr>
        <w:t xml:space="preserve">. </w:t>
      </w:r>
      <w:r w:rsidR="00E82110">
        <w:rPr>
          <w:rFonts w:ascii="Arial" w:eastAsia="Arial" w:hAnsi="Arial" w:cs="Arial"/>
        </w:rPr>
        <w:t xml:space="preserve">For example, donors need to make a minimum contribution to earn a seat on the board of </w:t>
      </w:r>
      <w:r w:rsidR="00577C84">
        <w:rPr>
          <w:rFonts w:ascii="Arial" w:eastAsia="Arial" w:hAnsi="Arial" w:cs="Arial"/>
        </w:rPr>
        <w:t>multilateral</w:t>
      </w:r>
      <w:r w:rsidR="0046610F">
        <w:rPr>
          <w:rFonts w:ascii="Arial" w:eastAsia="Arial" w:hAnsi="Arial" w:cs="Arial"/>
        </w:rPr>
        <w:t xml:space="preserve"> humanitarian</w:t>
      </w:r>
      <w:r w:rsidR="00577C84">
        <w:rPr>
          <w:rFonts w:ascii="Arial" w:eastAsia="Arial" w:hAnsi="Arial" w:cs="Arial"/>
        </w:rPr>
        <w:t xml:space="preserve"> partners. </w:t>
      </w:r>
      <w:r>
        <w:rPr>
          <w:rFonts w:ascii="Arial" w:eastAsia="Arial" w:hAnsi="Arial" w:cs="Arial"/>
        </w:rPr>
        <w:t xml:space="preserve">The proportion of Australia’s financial contribution, the strength of its engagement at the headquarter </w:t>
      </w:r>
      <w:r w:rsidR="00B2533C">
        <w:rPr>
          <w:rFonts w:ascii="Arial" w:eastAsia="Arial" w:hAnsi="Arial" w:cs="Arial"/>
        </w:rPr>
        <w:t>and</w:t>
      </w:r>
      <w:r>
        <w:rPr>
          <w:rFonts w:ascii="Arial" w:eastAsia="Arial" w:hAnsi="Arial" w:cs="Arial"/>
        </w:rPr>
        <w:t xml:space="preserve"> country level</w:t>
      </w:r>
      <w:r w:rsidR="0046610F">
        <w:rPr>
          <w:rFonts w:ascii="Arial" w:eastAsia="Arial" w:hAnsi="Arial" w:cs="Arial"/>
        </w:rPr>
        <w:t>,</w:t>
      </w:r>
      <w:r>
        <w:rPr>
          <w:rFonts w:ascii="Arial" w:eastAsia="Arial" w:hAnsi="Arial" w:cs="Arial"/>
        </w:rPr>
        <w:t xml:space="preserve"> and how hard DFAT cho</w:t>
      </w:r>
      <w:r w:rsidR="00564C14">
        <w:rPr>
          <w:rFonts w:ascii="Arial" w:eastAsia="Arial" w:hAnsi="Arial" w:cs="Arial"/>
        </w:rPr>
        <w:t>o</w:t>
      </w:r>
      <w:r>
        <w:rPr>
          <w:rFonts w:ascii="Arial" w:eastAsia="Arial" w:hAnsi="Arial" w:cs="Arial"/>
        </w:rPr>
        <w:t xml:space="preserve">ses to push on particular policy priorities were </w:t>
      </w:r>
      <w:r w:rsidR="0046610F">
        <w:rPr>
          <w:rFonts w:ascii="Arial" w:eastAsia="Arial" w:hAnsi="Arial" w:cs="Arial"/>
        </w:rPr>
        <w:t xml:space="preserve">instead </w:t>
      </w:r>
      <w:r w:rsidR="00B2533C">
        <w:rPr>
          <w:rFonts w:ascii="Arial" w:eastAsia="Arial" w:hAnsi="Arial" w:cs="Arial"/>
        </w:rPr>
        <w:t xml:space="preserve">seen as </w:t>
      </w:r>
      <w:r>
        <w:rPr>
          <w:rFonts w:ascii="Arial" w:eastAsia="Arial" w:hAnsi="Arial" w:cs="Arial"/>
        </w:rPr>
        <w:t>the key factors in driving influence.</w:t>
      </w:r>
      <w:r>
        <w:rPr>
          <w:rStyle w:val="FootnoteReference"/>
          <w:rFonts w:ascii="Arial" w:eastAsia="Arial" w:hAnsi="Arial" w:cs="Arial"/>
        </w:rPr>
        <w:footnoteReference w:id="72"/>
      </w:r>
      <w:r>
        <w:rPr>
          <w:rFonts w:ascii="Arial" w:eastAsia="Arial" w:hAnsi="Arial" w:cs="Arial"/>
        </w:rPr>
        <w:t xml:space="preserve"> SPF partners were quick to point out that agency</w:t>
      </w:r>
      <w:r w:rsidR="0046610F">
        <w:rPr>
          <w:rFonts w:ascii="Arial" w:eastAsia="Arial" w:hAnsi="Arial" w:cs="Arial"/>
        </w:rPr>
        <w:t>-</w:t>
      </w:r>
      <w:r>
        <w:rPr>
          <w:rFonts w:ascii="Arial" w:eastAsia="Arial" w:hAnsi="Arial" w:cs="Arial"/>
        </w:rPr>
        <w:t xml:space="preserve">wide strategies and performance standards set by </w:t>
      </w:r>
      <w:r w:rsidR="008D73F9">
        <w:rPr>
          <w:rFonts w:ascii="Arial" w:eastAsia="Arial" w:hAnsi="Arial" w:cs="Arial"/>
        </w:rPr>
        <w:t>e</w:t>
      </w:r>
      <w:r>
        <w:rPr>
          <w:rFonts w:ascii="Arial" w:eastAsia="Arial" w:hAnsi="Arial" w:cs="Arial"/>
        </w:rPr>
        <w:t xml:space="preserve">xecutive </w:t>
      </w:r>
      <w:r w:rsidR="008D73F9">
        <w:rPr>
          <w:rFonts w:ascii="Arial" w:eastAsia="Arial" w:hAnsi="Arial" w:cs="Arial"/>
        </w:rPr>
        <w:t>b</w:t>
      </w:r>
      <w:r>
        <w:rPr>
          <w:rFonts w:ascii="Arial" w:eastAsia="Arial" w:hAnsi="Arial" w:cs="Arial"/>
        </w:rPr>
        <w:t>oards</w:t>
      </w:r>
      <w:r w:rsidR="008D73F9">
        <w:rPr>
          <w:rFonts w:ascii="Arial" w:eastAsia="Arial" w:hAnsi="Arial" w:cs="Arial"/>
        </w:rPr>
        <w:t xml:space="preserve"> or their equivalent</w:t>
      </w:r>
      <w:r>
        <w:rPr>
          <w:rFonts w:ascii="Arial" w:eastAsia="Arial" w:hAnsi="Arial" w:cs="Arial"/>
        </w:rPr>
        <w:t xml:space="preserve"> were the key factors influencing agency performance.</w:t>
      </w:r>
      <w:r>
        <w:rPr>
          <w:rStyle w:val="FootnoteReference"/>
          <w:rFonts w:ascii="Arial" w:eastAsia="Arial" w:hAnsi="Arial" w:cs="Arial"/>
        </w:rPr>
        <w:footnoteReference w:id="73"/>
      </w:r>
      <w:r>
        <w:rPr>
          <w:rFonts w:ascii="Arial" w:eastAsia="Arial" w:hAnsi="Arial" w:cs="Arial"/>
        </w:rPr>
        <w:t xml:space="preserve"> DFAT staff </w:t>
      </w:r>
      <w:r w:rsidR="00B2533C">
        <w:rPr>
          <w:rFonts w:ascii="Arial" w:eastAsia="Arial" w:hAnsi="Arial" w:cs="Arial"/>
        </w:rPr>
        <w:t>in</w:t>
      </w:r>
      <w:r>
        <w:rPr>
          <w:rFonts w:ascii="Arial" w:eastAsia="Arial" w:hAnsi="Arial" w:cs="Arial"/>
        </w:rPr>
        <w:t xml:space="preserve"> both Canberra and </w:t>
      </w:r>
      <w:r w:rsidR="00B2533C">
        <w:rPr>
          <w:rFonts w:ascii="Arial" w:eastAsia="Arial" w:hAnsi="Arial" w:cs="Arial"/>
        </w:rPr>
        <w:t xml:space="preserve">at </w:t>
      </w:r>
      <w:r>
        <w:rPr>
          <w:rFonts w:ascii="Arial" w:eastAsia="Arial" w:hAnsi="Arial" w:cs="Arial"/>
        </w:rPr>
        <w:t xml:space="preserve">Post reported that they believed Australia could gain more influence from its SPF funding than it currently was, but this </w:t>
      </w:r>
      <w:r w:rsidR="0046610F">
        <w:rPr>
          <w:rFonts w:ascii="Arial" w:eastAsia="Arial" w:hAnsi="Arial" w:cs="Arial"/>
        </w:rPr>
        <w:t xml:space="preserve">would </w:t>
      </w:r>
      <w:r>
        <w:rPr>
          <w:rFonts w:ascii="Arial" w:eastAsia="Arial" w:hAnsi="Arial" w:cs="Arial"/>
        </w:rPr>
        <w:t xml:space="preserve">require a </w:t>
      </w:r>
      <w:r w:rsidR="0046610F">
        <w:rPr>
          <w:rFonts w:ascii="Arial" w:eastAsia="Arial" w:hAnsi="Arial" w:cs="Arial"/>
        </w:rPr>
        <w:t xml:space="preserve">commensurate </w:t>
      </w:r>
      <w:r>
        <w:rPr>
          <w:rFonts w:ascii="Arial" w:eastAsia="Arial" w:hAnsi="Arial" w:cs="Arial"/>
        </w:rPr>
        <w:t>investment in policy coordination across Canberra and Posts</w:t>
      </w:r>
      <w:r w:rsidR="0046610F">
        <w:rPr>
          <w:rFonts w:ascii="Arial" w:eastAsia="Arial" w:hAnsi="Arial" w:cs="Arial"/>
        </w:rPr>
        <w:t>,</w:t>
      </w:r>
      <w:r>
        <w:rPr>
          <w:rFonts w:ascii="Arial" w:eastAsia="Arial" w:hAnsi="Arial" w:cs="Arial"/>
        </w:rPr>
        <w:t xml:space="preserve"> and stronger Australian engagement</w:t>
      </w:r>
      <w:r w:rsidR="00314204">
        <w:rPr>
          <w:rFonts w:ascii="Arial" w:eastAsia="Arial" w:hAnsi="Arial" w:cs="Arial"/>
        </w:rPr>
        <w:t xml:space="preserve"> for example</w:t>
      </w:r>
      <w:r>
        <w:rPr>
          <w:rFonts w:ascii="Arial" w:eastAsia="Arial" w:hAnsi="Arial" w:cs="Arial"/>
        </w:rPr>
        <w:t xml:space="preserve"> in </w:t>
      </w:r>
      <w:r w:rsidR="0046610F">
        <w:rPr>
          <w:rFonts w:ascii="Arial" w:eastAsia="Arial" w:hAnsi="Arial" w:cs="Arial"/>
        </w:rPr>
        <w:t>HLCs</w:t>
      </w:r>
      <w:r w:rsidR="006A0A60">
        <w:rPr>
          <w:rFonts w:ascii="Arial" w:eastAsia="Arial" w:hAnsi="Arial" w:cs="Arial"/>
        </w:rPr>
        <w:t xml:space="preserve"> and</w:t>
      </w:r>
      <w:r w:rsidR="00606BAA">
        <w:rPr>
          <w:rFonts w:ascii="Arial" w:eastAsia="Arial" w:hAnsi="Arial" w:cs="Arial"/>
        </w:rPr>
        <w:t xml:space="preserve"> </w:t>
      </w:r>
      <w:r>
        <w:rPr>
          <w:rFonts w:ascii="Arial" w:eastAsia="Arial" w:hAnsi="Arial" w:cs="Arial"/>
        </w:rPr>
        <w:t>field visits.</w:t>
      </w:r>
      <w:r>
        <w:rPr>
          <w:rStyle w:val="FootnoteReference"/>
          <w:rFonts w:ascii="Arial" w:eastAsia="Arial" w:hAnsi="Arial" w:cs="Arial"/>
        </w:rPr>
        <w:footnoteReference w:id="74"/>
      </w:r>
    </w:p>
    <w:p w14:paraId="1D9E60A4" w14:textId="42AC12AA" w:rsidR="0020655A" w:rsidRPr="0020655A" w:rsidRDefault="0053362B" w:rsidP="00E17D1A">
      <w:pPr>
        <w:pStyle w:val="ListParagraph"/>
        <w:numPr>
          <w:ilvl w:val="1"/>
          <w:numId w:val="12"/>
        </w:numPr>
        <w:spacing w:before="240"/>
        <w:rPr>
          <w:rFonts w:ascii="Arial" w:eastAsia="Arial" w:hAnsi="Arial" w:cs="Arial"/>
          <w:b/>
          <w:bCs/>
        </w:rPr>
      </w:pPr>
      <w:r w:rsidRPr="0020655A">
        <w:rPr>
          <w:rFonts w:ascii="Arial" w:eastAsia="Arial" w:hAnsi="Arial" w:cs="Arial"/>
          <w:b/>
          <w:bCs/>
        </w:rPr>
        <w:t>What changes may be needed to strengthen coherence between core funding through SPFs and country funding through the EOLs?</w:t>
      </w:r>
      <w:r w:rsidR="00492E52">
        <w:rPr>
          <w:rFonts w:ascii="Arial" w:eastAsia="Arial" w:hAnsi="Arial" w:cs="Arial"/>
          <w:b/>
          <w:bCs/>
        </w:rPr>
        <w:t xml:space="preserve"> </w:t>
      </w:r>
    </w:p>
    <w:p w14:paraId="4A683F1A" w14:textId="32BB2E4C" w:rsidR="00555506" w:rsidRPr="00B1673B" w:rsidRDefault="00263907" w:rsidP="00B1673B">
      <w:pPr>
        <w:spacing w:before="240"/>
        <w:rPr>
          <w:rFonts w:ascii="Arial" w:eastAsia="Arial" w:hAnsi="Arial" w:cs="Arial"/>
        </w:rPr>
      </w:pPr>
      <w:r w:rsidRPr="2C54FF09">
        <w:rPr>
          <w:rFonts w:ascii="Arial" w:eastAsia="Arial" w:hAnsi="Arial" w:cs="Arial"/>
        </w:rPr>
        <w:t>There is no evidence of incoherence between SPFs and EOL</w:t>
      </w:r>
      <w:r w:rsidR="00470D72" w:rsidRPr="2C54FF09">
        <w:rPr>
          <w:rFonts w:ascii="Arial" w:eastAsia="Arial" w:hAnsi="Arial" w:cs="Arial"/>
        </w:rPr>
        <w:t xml:space="preserve"> templates</w:t>
      </w:r>
      <w:r w:rsidR="005702C0">
        <w:rPr>
          <w:rFonts w:ascii="Arial" w:eastAsia="Arial" w:hAnsi="Arial" w:cs="Arial"/>
        </w:rPr>
        <w:t>, including EOL template optional clauses,</w:t>
      </w:r>
      <w:r w:rsidR="00032676" w:rsidRPr="2C54FF09">
        <w:rPr>
          <w:rFonts w:ascii="Arial" w:eastAsia="Arial" w:hAnsi="Arial" w:cs="Arial"/>
        </w:rPr>
        <w:t xml:space="preserve"> as written</w:t>
      </w:r>
      <w:r w:rsidRPr="2C54FF09">
        <w:rPr>
          <w:rFonts w:ascii="Arial" w:eastAsia="Arial" w:hAnsi="Arial" w:cs="Arial"/>
        </w:rPr>
        <w:t xml:space="preserve">. This is because EOLs are subject to the terms and conditions of the SPFs unless </w:t>
      </w:r>
      <w:r w:rsidRPr="2C54FF09">
        <w:rPr>
          <w:rFonts w:ascii="Arial" w:eastAsia="Arial" w:hAnsi="Arial" w:cs="Arial"/>
        </w:rPr>
        <w:lastRenderedPageBreak/>
        <w:t>otherwise specified. In practice, however, EOLs can supersede their headline SPF in cases where there is “any inconsistency” between the instruments.</w:t>
      </w:r>
      <w:r w:rsidR="00906121">
        <w:rPr>
          <w:rFonts w:ascii="Arial" w:eastAsia="Arial" w:hAnsi="Arial" w:cs="Arial"/>
        </w:rPr>
        <w:t xml:space="preserve"> Although the review did not identify any significant irregularities, it observed that EOLs are often the vehicle through which key </w:t>
      </w:r>
      <w:r w:rsidR="00B83ABD">
        <w:rPr>
          <w:rFonts w:ascii="Arial" w:eastAsia="Arial" w:hAnsi="Arial" w:cs="Arial"/>
        </w:rPr>
        <w:t xml:space="preserve">operational </w:t>
      </w:r>
      <w:r w:rsidR="00906121">
        <w:rPr>
          <w:rFonts w:ascii="Arial" w:eastAsia="Arial" w:hAnsi="Arial" w:cs="Arial"/>
        </w:rPr>
        <w:t>performance expectations</w:t>
      </w:r>
      <w:r w:rsidR="005139D3">
        <w:rPr>
          <w:rFonts w:ascii="Arial" w:eastAsia="Arial" w:hAnsi="Arial" w:cs="Arial"/>
        </w:rPr>
        <w:t xml:space="preserve"> and</w:t>
      </w:r>
      <w:r w:rsidR="00906121">
        <w:rPr>
          <w:rFonts w:ascii="Arial" w:eastAsia="Arial" w:hAnsi="Arial" w:cs="Arial"/>
        </w:rPr>
        <w:t xml:space="preserve"> reporting requiremen</w:t>
      </w:r>
      <w:r w:rsidR="00F90E9B">
        <w:rPr>
          <w:rFonts w:ascii="Arial" w:eastAsia="Arial" w:hAnsi="Arial" w:cs="Arial"/>
        </w:rPr>
        <w:t>t</w:t>
      </w:r>
      <w:r w:rsidR="00906121">
        <w:rPr>
          <w:rFonts w:ascii="Arial" w:eastAsia="Arial" w:hAnsi="Arial" w:cs="Arial"/>
        </w:rPr>
        <w:t>s</w:t>
      </w:r>
      <w:r w:rsidR="00F90E9B">
        <w:rPr>
          <w:rFonts w:ascii="Arial" w:eastAsia="Arial" w:hAnsi="Arial" w:cs="Arial"/>
        </w:rPr>
        <w:t xml:space="preserve"> </w:t>
      </w:r>
      <w:r w:rsidR="00E424BB">
        <w:rPr>
          <w:rFonts w:ascii="Arial" w:eastAsia="Arial" w:hAnsi="Arial" w:cs="Arial"/>
        </w:rPr>
        <w:t>are articulated</w:t>
      </w:r>
      <w:r w:rsidR="00544C86">
        <w:rPr>
          <w:rFonts w:ascii="Arial" w:eastAsia="Arial" w:hAnsi="Arial" w:cs="Arial"/>
        </w:rPr>
        <w:t>.</w:t>
      </w:r>
      <w:r w:rsidRPr="2C54FF09">
        <w:rPr>
          <w:rFonts w:ascii="Arial" w:eastAsia="Arial" w:hAnsi="Arial" w:cs="Arial"/>
        </w:rPr>
        <w:t xml:space="preserve"> </w:t>
      </w:r>
      <w:r w:rsidR="00832240">
        <w:rPr>
          <w:rFonts w:ascii="Arial" w:eastAsia="Arial" w:hAnsi="Arial" w:cs="Arial"/>
        </w:rPr>
        <w:t>On</w:t>
      </w:r>
      <w:r w:rsidR="00032676">
        <w:rPr>
          <w:rFonts w:ascii="Arial" w:eastAsia="Arial" w:hAnsi="Arial" w:cs="Arial"/>
        </w:rPr>
        <w:t xml:space="preserve">e </w:t>
      </w:r>
      <w:r w:rsidR="00213854">
        <w:rPr>
          <w:rFonts w:ascii="Arial" w:eastAsia="Arial" w:hAnsi="Arial" w:cs="Arial"/>
        </w:rPr>
        <w:t>interviewee</w:t>
      </w:r>
      <w:r w:rsidR="00032676">
        <w:rPr>
          <w:rFonts w:ascii="Arial" w:eastAsia="Arial" w:hAnsi="Arial" w:cs="Arial"/>
        </w:rPr>
        <w:t xml:space="preserve"> cautioned that there is a disconnect between what </w:t>
      </w:r>
      <w:r w:rsidR="00CA1702">
        <w:rPr>
          <w:rFonts w:ascii="Arial" w:eastAsia="Arial" w:hAnsi="Arial" w:cs="Arial"/>
        </w:rPr>
        <w:t xml:space="preserve">partner </w:t>
      </w:r>
      <w:r w:rsidR="00032676">
        <w:rPr>
          <w:rFonts w:ascii="Arial" w:eastAsia="Arial" w:hAnsi="Arial" w:cs="Arial"/>
        </w:rPr>
        <w:t>head office</w:t>
      </w:r>
      <w:r w:rsidR="00CA1702">
        <w:rPr>
          <w:rFonts w:ascii="Arial" w:eastAsia="Arial" w:hAnsi="Arial" w:cs="Arial"/>
        </w:rPr>
        <w:t>s</w:t>
      </w:r>
      <w:r w:rsidR="00032676">
        <w:rPr>
          <w:rFonts w:ascii="Arial" w:eastAsia="Arial" w:hAnsi="Arial" w:cs="Arial"/>
        </w:rPr>
        <w:t xml:space="preserve"> commit to </w:t>
      </w:r>
      <w:r w:rsidR="0046610F">
        <w:rPr>
          <w:rFonts w:ascii="Arial" w:eastAsia="Arial" w:hAnsi="Arial" w:cs="Arial"/>
        </w:rPr>
        <w:t xml:space="preserve">via the SPF, </w:t>
      </w:r>
      <w:r w:rsidR="00032676">
        <w:rPr>
          <w:rFonts w:ascii="Arial" w:eastAsia="Arial" w:hAnsi="Arial" w:cs="Arial"/>
        </w:rPr>
        <w:t xml:space="preserve">and </w:t>
      </w:r>
      <w:r w:rsidR="00470D72">
        <w:rPr>
          <w:rFonts w:ascii="Arial" w:eastAsia="Arial" w:hAnsi="Arial" w:cs="Arial"/>
        </w:rPr>
        <w:t>what country offices are positioned to deliver</w:t>
      </w:r>
      <w:r w:rsidR="0046610F">
        <w:rPr>
          <w:rFonts w:ascii="Arial" w:eastAsia="Arial" w:hAnsi="Arial" w:cs="Arial"/>
        </w:rPr>
        <w:t xml:space="preserve"> via the</w:t>
      </w:r>
      <w:r w:rsidR="00F52B69">
        <w:rPr>
          <w:rFonts w:ascii="Arial" w:eastAsia="Arial" w:hAnsi="Arial" w:cs="Arial"/>
        </w:rPr>
        <w:t xml:space="preserve"> respective</w:t>
      </w:r>
      <w:r w:rsidR="0046610F">
        <w:rPr>
          <w:rFonts w:ascii="Arial" w:eastAsia="Arial" w:hAnsi="Arial" w:cs="Arial"/>
        </w:rPr>
        <w:t xml:space="preserve"> EOL</w:t>
      </w:r>
      <w:r w:rsidR="00F52B69">
        <w:rPr>
          <w:rFonts w:ascii="Arial" w:eastAsia="Arial" w:hAnsi="Arial" w:cs="Arial"/>
        </w:rPr>
        <w:t>s</w:t>
      </w:r>
      <w:r w:rsidR="00DF7CFB">
        <w:rPr>
          <w:rFonts w:ascii="Arial" w:eastAsia="Arial" w:hAnsi="Arial" w:cs="Arial"/>
        </w:rPr>
        <w:t>.</w:t>
      </w:r>
      <w:r w:rsidR="00F6572B">
        <w:rPr>
          <w:rStyle w:val="FootnoteReference"/>
          <w:rFonts w:ascii="Arial" w:eastAsia="Arial" w:hAnsi="Arial" w:cs="Arial"/>
        </w:rPr>
        <w:footnoteReference w:id="75"/>
      </w:r>
      <w:r w:rsidR="00803F21">
        <w:rPr>
          <w:rFonts w:ascii="Arial" w:eastAsia="Arial" w:hAnsi="Arial" w:cs="Arial"/>
        </w:rPr>
        <w:t xml:space="preserve"> </w:t>
      </w:r>
    </w:p>
    <w:p w14:paraId="74FDADA2" w14:textId="72922473" w:rsidR="005C0AD4" w:rsidRDefault="005C0AD4" w:rsidP="005C0AD4">
      <w:pPr>
        <w:pStyle w:val="Heading1"/>
        <w:rPr>
          <w:rFonts w:eastAsia="Arial"/>
        </w:rPr>
      </w:pPr>
      <w:bookmarkStart w:id="20" w:name="_Toc201437959"/>
      <w:bookmarkStart w:id="21" w:name="_Toc201438374"/>
      <w:r w:rsidRPr="1C3620C9">
        <w:rPr>
          <w:rFonts w:eastAsia="Arial"/>
        </w:rPr>
        <w:t>K</w:t>
      </w:r>
      <w:r>
        <w:rPr>
          <w:rFonts w:eastAsia="Arial"/>
        </w:rPr>
        <w:t>ey evaluation question 3</w:t>
      </w:r>
      <w:r w:rsidR="00CA1C6F">
        <w:rPr>
          <w:rFonts w:eastAsia="Arial"/>
        </w:rPr>
        <w:t>: Efficiency</w:t>
      </w:r>
      <w:bookmarkEnd w:id="20"/>
      <w:bookmarkEnd w:id="21"/>
    </w:p>
    <w:p w14:paraId="39D701BF" w14:textId="2F6EA057" w:rsidR="0053362B" w:rsidRPr="005E1C5F" w:rsidRDefault="0053362B" w:rsidP="0053362B">
      <w:pPr>
        <w:pStyle w:val="Heading3NOTOC"/>
        <w:rPr>
          <w:color w:val="auto"/>
        </w:rPr>
      </w:pPr>
      <w:r w:rsidRPr="005E1C5F">
        <w:rPr>
          <w:color w:val="auto"/>
        </w:rPr>
        <w:t xml:space="preserve">To what extent are the SPFs an efficient financial, compliance and partnership modality for DFAT and Partners?  </w:t>
      </w:r>
    </w:p>
    <w:p w14:paraId="13EE6666" w14:textId="32FC5B21" w:rsidR="00C37EBB" w:rsidRDefault="00C37EBB" w:rsidP="00C37EBB">
      <w:pPr>
        <w:pStyle w:val="Heading3NOTOC"/>
        <w:rPr>
          <w:rFonts w:ascii="Arial" w:eastAsia="Arial" w:hAnsi="Arial" w:cs="Arial"/>
          <w:b w:val="0"/>
          <w:iCs w:val="0"/>
          <w:color w:val="000000" w:themeColor="text1"/>
          <w:sz w:val="20"/>
          <w:szCs w:val="24"/>
        </w:rPr>
      </w:pPr>
      <w:r>
        <w:rPr>
          <w:rFonts w:ascii="Arial" w:eastAsia="Arial" w:hAnsi="Arial" w:cs="Arial"/>
          <w:b w:val="0"/>
          <w:iCs w:val="0"/>
          <w:color w:val="000000" w:themeColor="text1"/>
          <w:sz w:val="20"/>
          <w:szCs w:val="24"/>
        </w:rPr>
        <w:t xml:space="preserve">The evaluation found that once SPFs were agreed, funding through </w:t>
      </w:r>
      <w:r w:rsidR="004A7A27">
        <w:rPr>
          <w:rFonts w:ascii="Arial" w:eastAsia="Arial" w:hAnsi="Arial" w:cs="Arial"/>
          <w:b w:val="0"/>
          <w:iCs w:val="0"/>
          <w:color w:val="000000" w:themeColor="text1"/>
          <w:sz w:val="20"/>
          <w:szCs w:val="24"/>
        </w:rPr>
        <w:t xml:space="preserve">SPFs and </w:t>
      </w:r>
      <w:r>
        <w:rPr>
          <w:rFonts w:ascii="Arial" w:eastAsia="Arial" w:hAnsi="Arial" w:cs="Arial"/>
          <w:b w:val="0"/>
          <w:iCs w:val="0"/>
          <w:color w:val="000000" w:themeColor="text1"/>
          <w:sz w:val="20"/>
          <w:szCs w:val="24"/>
        </w:rPr>
        <w:t xml:space="preserve">EOLs was highly efficient for </w:t>
      </w:r>
      <w:r w:rsidR="00AA407E">
        <w:rPr>
          <w:rFonts w:ascii="Arial" w:eastAsia="Arial" w:hAnsi="Arial" w:cs="Arial"/>
          <w:b w:val="0"/>
          <w:iCs w:val="0"/>
          <w:color w:val="000000" w:themeColor="text1"/>
          <w:sz w:val="20"/>
          <w:szCs w:val="24"/>
        </w:rPr>
        <w:t xml:space="preserve">both </w:t>
      </w:r>
      <w:r>
        <w:rPr>
          <w:rFonts w:ascii="Arial" w:eastAsia="Arial" w:hAnsi="Arial" w:cs="Arial"/>
          <w:b w:val="0"/>
          <w:iCs w:val="0"/>
          <w:color w:val="000000" w:themeColor="text1"/>
          <w:sz w:val="20"/>
          <w:szCs w:val="24"/>
        </w:rPr>
        <w:t>DFAT and the partner. The template approach to risk management clauses in EOLs has</w:t>
      </w:r>
      <w:r w:rsidR="0046610F">
        <w:rPr>
          <w:rFonts w:ascii="Arial" w:eastAsia="Arial" w:hAnsi="Arial" w:cs="Arial"/>
          <w:b w:val="0"/>
          <w:iCs w:val="0"/>
          <w:color w:val="000000" w:themeColor="text1"/>
          <w:sz w:val="20"/>
          <w:szCs w:val="24"/>
        </w:rPr>
        <w:t xml:space="preserve"> likewise</w:t>
      </w:r>
      <w:r>
        <w:rPr>
          <w:rFonts w:ascii="Arial" w:eastAsia="Arial" w:hAnsi="Arial" w:cs="Arial"/>
          <w:b w:val="0"/>
          <w:iCs w:val="0"/>
          <w:color w:val="000000" w:themeColor="text1"/>
          <w:sz w:val="20"/>
          <w:szCs w:val="24"/>
        </w:rPr>
        <w:t xml:space="preserve"> been effective in supporting risk management across DFAT’s investments.  </w:t>
      </w:r>
    </w:p>
    <w:p w14:paraId="3BDB1313" w14:textId="394639ED" w:rsidR="00C37EBB" w:rsidRDefault="00C37EBB" w:rsidP="00C37EBB">
      <w:pPr>
        <w:pStyle w:val="Heading3NOTOC"/>
        <w:rPr>
          <w:rFonts w:ascii="Arial" w:eastAsia="Arial" w:hAnsi="Arial" w:cs="Arial"/>
          <w:b w:val="0"/>
          <w:iCs w:val="0"/>
          <w:color w:val="000000" w:themeColor="text1"/>
          <w:sz w:val="20"/>
          <w:szCs w:val="24"/>
        </w:rPr>
      </w:pPr>
      <w:r>
        <w:rPr>
          <w:rFonts w:ascii="Arial" w:eastAsia="Arial" w:hAnsi="Arial" w:cs="Arial"/>
          <w:b w:val="0"/>
          <w:iCs w:val="0"/>
          <w:color w:val="000000" w:themeColor="text1"/>
          <w:sz w:val="20"/>
          <w:szCs w:val="24"/>
        </w:rPr>
        <w:t>While monitoring and reporting against SPFs has been highly efficient for partners, DFAT has entirely borne the cost of interpreting global reporting to understand performance</w:t>
      </w:r>
      <w:r w:rsidR="00630D72">
        <w:rPr>
          <w:rFonts w:ascii="Arial" w:eastAsia="Arial" w:hAnsi="Arial" w:cs="Arial"/>
          <w:b w:val="0"/>
          <w:iCs w:val="0"/>
          <w:color w:val="000000" w:themeColor="text1"/>
          <w:sz w:val="20"/>
          <w:szCs w:val="24"/>
        </w:rPr>
        <w:t xml:space="preserve"> against core funding</w:t>
      </w:r>
      <w:r>
        <w:rPr>
          <w:rFonts w:ascii="Arial" w:eastAsia="Arial" w:hAnsi="Arial" w:cs="Arial"/>
          <w:b w:val="0"/>
          <w:iCs w:val="0"/>
          <w:color w:val="000000" w:themeColor="text1"/>
          <w:sz w:val="20"/>
          <w:szCs w:val="24"/>
        </w:rPr>
        <w:t>. Some EOLs have successfully negotiated clauses that share the</w:t>
      </w:r>
      <w:r w:rsidR="00D26AB4">
        <w:rPr>
          <w:rFonts w:ascii="Arial" w:eastAsia="Arial" w:hAnsi="Arial" w:cs="Arial"/>
          <w:b w:val="0"/>
          <w:iCs w:val="0"/>
          <w:color w:val="000000" w:themeColor="text1"/>
          <w:sz w:val="20"/>
          <w:szCs w:val="24"/>
        </w:rPr>
        <w:t xml:space="preserve"> resourcing and responsibility for</w:t>
      </w:r>
      <w:r>
        <w:rPr>
          <w:rFonts w:ascii="Arial" w:eastAsia="Arial" w:hAnsi="Arial" w:cs="Arial"/>
          <w:b w:val="0"/>
          <w:iCs w:val="0"/>
          <w:color w:val="000000" w:themeColor="text1"/>
          <w:sz w:val="20"/>
          <w:szCs w:val="24"/>
        </w:rPr>
        <w:t xml:space="preserve"> monitoring and reporting with partners (though there </w:t>
      </w:r>
      <w:r w:rsidR="0046610F">
        <w:rPr>
          <w:rFonts w:ascii="Arial" w:eastAsia="Arial" w:hAnsi="Arial" w:cs="Arial"/>
          <w:b w:val="0"/>
          <w:iCs w:val="0"/>
          <w:color w:val="000000" w:themeColor="text1"/>
          <w:sz w:val="20"/>
          <w:szCs w:val="24"/>
        </w:rPr>
        <w:t>are</w:t>
      </w:r>
      <w:r>
        <w:rPr>
          <w:rFonts w:ascii="Arial" w:eastAsia="Arial" w:hAnsi="Arial" w:cs="Arial"/>
          <w:b w:val="0"/>
          <w:iCs w:val="0"/>
          <w:color w:val="000000" w:themeColor="text1"/>
          <w:sz w:val="20"/>
          <w:szCs w:val="24"/>
        </w:rPr>
        <w:t xml:space="preserve"> at least two examples of EOLs that have not aligned reporting requirements across the EOL and annexes, making it </w:t>
      </w:r>
      <w:r w:rsidR="0046610F">
        <w:rPr>
          <w:rFonts w:ascii="Arial" w:eastAsia="Arial" w:hAnsi="Arial" w:cs="Arial"/>
          <w:b w:val="0"/>
          <w:iCs w:val="0"/>
          <w:color w:val="000000" w:themeColor="text1"/>
          <w:sz w:val="20"/>
          <w:szCs w:val="24"/>
        </w:rPr>
        <w:t>even more resource intensive</w:t>
      </w:r>
      <w:r>
        <w:rPr>
          <w:rFonts w:ascii="Arial" w:eastAsia="Arial" w:hAnsi="Arial" w:cs="Arial"/>
          <w:b w:val="0"/>
          <w:iCs w:val="0"/>
          <w:color w:val="000000" w:themeColor="text1"/>
          <w:sz w:val="20"/>
          <w:szCs w:val="24"/>
        </w:rPr>
        <w:t xml:space="preserve"> for DFAT and partners), with the added benefit to DFAT that reporting is received in time to inform DFAT’s investment level quality assurance processes. </w:t>
      </w:r>
    </w:p>
    <w:p w14:paraId="7B3F59F1" w14:textId="7C8D51FB" w:rsidR="00630D72" w:rsidRDefault="00630D72" w:rsidP="00C37EBB">
      <w:pPr>
        <w:pStyle w:val="Heading3NOTOC"/>
        <w:rPr>
          <w:rFonts w:ascii="Arial" w:eastAsia="Arial" w:hAnsi="Arial" w:cs="Arial"/>
          <w:b w:val="0"/>
          <w:iCs w:val="0"/>
          <w:color w:val="000000" w:themeColor="text1"/>
          <w:sz w:val="20"/>
          <w:szCs w:val="24"/>
        </w:rPr>
      </w:pPr>
      <w:r>
        <w:rPr>
          <w:rFonts w:ascii="Arial" w:eastAsia="Arial" w:hAnsi="Arial" w:cs="Arial"/>
          <w:b w:val="0"/>
          <w:iCs w:val="0"/>
          <w:color w:val="000000" w:themeColor="text1"/>
          <w:sz w:val="20"/>
          <w:szCs w:val="24"/>
        </w:rPr>
        <w:t>DFAT has emphasised that speed is about efficiency, but also effectiveness</w:t>
      </w:r>
      <w:r w:rsidR="00CF211D">
        <w:rPr>
          <w:rFonts w:ascii="Arial" w:eastAsia="Arial" w:hAnsi="Arial" w:cs="Arial"/>
          <w:b w:val="0"/>
          <w:iCs w:val="0"/>
          <w:color w:val="000000" w:themeColor="text1"/>
          <w:sz w:val="20"/>
          <w:szCs w:val="24"/>
        </w:rPr>
        <w:t>, for instance:</w:t>
      </w:r>
      <w:r w:rsidR="00D7222F">
        <w:rPr>
          <w:rFonts w:ascii="Arial" w:eastAsia="Arial" w:hAnsi="Arial" w:cs="Arial"/>
          <w:b w:val="0"/>
          <w:iCs w:val="0"/>
          <w:color w:val="000000" w:themeColor="text1"/>
          <w:sz w:val="20"/>
          <w:szCs w:val="24"/>
        </w:rPr>
        <w:t xml:space="preserve"> “delays in funding and therefore delays in assistance leads to increased suffering and higher mortality rates”.</w:t>
      </w:r>
      <w:r w:rsidR="007866CD">
        <w:rPr>
          <w:rStyle w:val="FootnoteReference"/>
          <w:rFonts w:ascii="Arial" w:eastAsia="Arial" w:hAnsi="Arial" w:cs="Arial"/>
          <w:b w:val="0"/>
          <w:iCs w:val="0"/>
          <w:color w:val="000000" w:themeColor="text1"/>
          <w:sz w:val="20"/>
          <w:szCs w:val="24"/>
        </w:rPr>
        <w:footnoteReference w:id="76"/>
      </w:r>
      <w:r w:rsidR="00D7222F">
        <w:rPr>
          <w:rFonts w:ascii="Arial" w:eastAsia="Arial" w:hAnsi="Arial" w:cs="Arial"/>
          <w:b w:val="0"/>
          <w:iCs w:val="0"/>
          <w:color w:val="000000" w:themeColor="text1"/>
          <w:sz w:val="20"/>
          <w:szCs w:val="24"/>
        </w:rPr>
        <w:t xml:space="preserve"> The speed of the SPF funding model works on two levels: (a) core funding allows agencies to pre-finance new and rapidly deteriorating crises while waiting for additional donor resourc</w:t>
      </w:r>
      <w:r w:rsidR="00CF211D">
        <w:rPr>
          <w:rFonts w:ascii="Arial" w:eastAsia="Arial" w:hAnsi="Arial" w:cs="Arial"/>
          <w:b w:val="0"/>
          <w:iCs w:val="0"/>
          <w:color w:val="000000" w:themeColor="text1"/>
          <w:sz w:val="20"/>
          <w:szCs w:val="24"/>
        </w:rPr>
        <w:t>e</w:t>
      </w:r>
      <w:r w:rsidR="00D7222F">
        <w:rPr>
          <w:rFonts w:ascii="Arial" w:eastAsia="Arial" w:hAnsi="Arial" w:cs="Arial"/>
          <w:b w:val="0"/>
          <w:iCs w:val="0"/>
          <w:color w:val="000000" w:themeColor="text1"/>
          <w:sz w:val="20"/>
          <w:szCs w:val="24"/>
        </w:rPr>
        <w:t>s to be made available, at which point it goes back to the organisation’s central reserves, and (b) rapid funding through EOLs to get funding on the ground as quickly as possible.</w:t>
      </w:r>
      <w:r w:rsidR="007866CD">
        <w:rPr>
          <w:rStyle w:val="FootnoteReference"/>
          <w:rFonts w:ascii="Arial" w:eastAsia="Arial" w:hAnsi="Arial" w:cs="Arial"/>
          <w:b w:val="0"/>
          <w:iCs w:val="0"/>
          <w:color w:val="000000" w:themeColor="text1"/>
          <w:sz w:val="20"/>
          <w:szCs w:val="24"/>
        </w:rPr>
        <w:footnoteReference w:id="77"/>
      </w:r>
      <w:r w:rsidR="00D7222F">
        <w:rPr>
          <w:rFonts w:ascii="Arial" w:eastAsia="Arial" w:hAnsi="Arial" w:cs="Arial"/>
          <w:b w:val="0"/>
          <w:iCs w:val="0"/>
          <w:color w:val="000000" w:themeColor="text1"/>
          <w:sz w:val="20"/>
          <w:szCs w:val="24"/>
        </w:rPr>
        <w:t xml:space="preserve"> </w:t>
      </w:r>
    </w:p>
    <w:p w14:paraId="105B77C9" w14:textId="452421C8" w:rsidR="0020655A" w:rsidRPr="0020655A" w:rsidRDefault="0053362B" w:rsidP="00E17D1A">
      <w:pPr>
        <w:pStyle w:val="ListParagraph"/>
        <w:numPr>
          <w:ilvl w:val="0"/>
          <w:numId w:val="11"/>
        </w:numPr>
        <w:spacing w:before="240"/>
        <w:rPr>
          <w:rFonts w:ascii="Arial" w:eastAsia="Arial" w:hAnsi="Arial" w:cs="Arial"/>
        </w:rPr>
      </w:pPr>
      <w:r w:rsidRPr="0020655A">
        <w:rPr>
          <w:rFonts w:ascii="Arial" w:eastAsia="Arial" w:hAnsi="Arial" w:cs="Arial"/>
          <w:b/>
          <w:bCs/>
        </w:rPr>
        <w:t xml:space="preserve">To what extent have SPFs maximised programming efficiencies and decreased overhead and related costs for DFAT and partners? </w:t>
      </w:r>
    </w:p>
    <w:p w14:paraId="04DC5EC2" w14:textId="0F422FDD" w:rsidR="00E63927" w:rsidRDefault="005E58F8" w:rsidP="0020655A">
      <w:pPr>
        <w:spacing w:before="240"/>
        <w:rPr>
          <w:rFonts w:ascii="Arial" w:eastAsia="Arial" w:hAnsi="Arial" w:cs="Arial"/>
        </w:rPr>
      </w:pPr>
      <w:r>
        <w:rPr>
          <w:rFonts w:ascii="Arial" w:eastAsia="Arial" w:hAnsi="Arial" w:cs="Arial"/>
        </w:rPr>
        <w:t xml:space="preserve">SPFs have maximised </w:t>
      </w:r>
      <w:r w:rsidR="00A47953">
        <w:rPr>
          <w:rFonts w:ascii="Arial" w:eastAsia="Arial" w:hAnsi="Arial" w:cs="Arial"/>
        </w:rPr>
        <w:t>programming efficiencies and decreased overhead and related costs to partners</w:t>
      </w:r>
      <w:r w:rsidR="00877B4A">
        <w:rPr>
          <w:rFonts w:ascii="Arial" w:eastAsia="Arial" w:hAnsi="Arial" w:cs="Arial"/>
        </w:rPr>
        <w:t xml:space="preserve">. SPFs enable highly efficient </w:t>
      </w:r>
      <w:r w:rsidR="00175623">
        <w:rPr>
          <w:rFonts w:ascii="Arial" w:eastAsia="Arial" w:hAnsi="Arial" w:cs="Arial"/>
        </w:rPr>
        <w:t>engagements</w:t>
      </w:r>
      <w:r w:rsidR="007D6FD6">
        <w:rPr>
          <w:rFonts w:ascii="Arial" w:eastAsia="Arial" w:hAnsi="Arial" w:cs="Arial"/>
        </w:rPr>
        <w:t xml:space="preserve"> through </w:t>
      </w:r>
      <w:proofErr w:type="gramStart"/>
      <w:r w:rsidR="007D6FD6">
        <w:rPr>
          <w:rFonts w:ascii="Arial" w:eastAsia="Arial" w:hAnsi="Arial" w:cs="Arial"/>
        </w:rPr>
        <w:t>EOLs</w:t>
      </w:r>
      <w:r w:rsidR="00877B4A">
        <w:rPr>
          <w:rFonts w:ascii="Arial" w:eastAsia="Arial" w:hAnsi="Arial" w:cs="Arial"/>
        </w:rPr>
        <w:t xml:space="preserve">, </w:t>
      </w:r>
      <w:r w:rsidR="00A47953">
        <w:rPr>
          <w:rFonts w:ascii="Arial" w:eastAsia="Arial" w:hAnsi="Arial" w:cs="Arial"/>
        </w:rPr>
        <w:t>but</w:t>
      </w:r>
      <w:proofErr w:type="gramEnd"/>
      <w:r w:rsidR="00383B11">
        <w:rPr>
          <w:rFonts w:ascii="Arial" w:eastAsia="Arial" w:hAnsi="Arial" w:cs="Arial"/>
        </w:rPr>
        <w:t xml:space="preserve"> incur</w:t>
      </w:r>
      <w:r w:rsidR="00A47953">
        <w:rPr>
          <w:rFonts w:ascii="Arial" w:eastAsia="Arial" w:hAnsi="Arial" w:cs="Arial"/>
        </w:rPr>
        <w:t xml:space="preserve"> a </w:t>
      </w:r>
      <w:r w:rsidR="00DD5E28">
        <w:rPr>
          <w:rFonts w:ascii="Arial" w:eastAsia="Arial" w:hAnsi="Arial" w:cs="Arial"/>
        </w:rPr>
        <w:t xml:space="preserve">resourcing and financial </w:t>
      </w:r>
      <w:r w:rsidR="00A47953">
        <w:rPr>
          <w:rFonts w:ascii="Arial" w:eastAsia="Arial" w:hAnsi="Arial" w:cs="Arial"/>
        </w:rPr>
        <w:t>cost to DFAT</w:t>
      </w:r>
      <w:r w:rsidR="00A33762">
        <w:rPr>
          <w:rFonts w:ascii="Arial" w:eastAsia="Arial" w:hAnsi="Arial" w:cs="Arial"/>
        </w:rPr>
        <w:t xml:space="preserve"> </w:t>
      </w:r>
      <w:r w:rsidR="0046610F">
        <w:rPr>
          <w:rFonts w:ascii="Arial" w:eastAsia="Arial" w:hAnsi="Arial" w:cs="Arial"/>
        </w:rPr>
        <w:t>which must</w:t>
      </w:r>
      <w:r w:rsidR="00A33762">
        <w:rPr>
          <w:rFonts w:ascii="Arial" w:eastAsia="Arial" w:hAnsi="Arial" w:cs="Arial"/>
        </w:rPr>
        <w:t xml:space="preserve"> overs</w:t>
      </w:r>
      <w:r w:rsidR="0046610F">
        <w:rPr>
          <w:rFonts w:ascii="Arial" w:eastAsia="Arial" w:hAnsi="Arial" w:cs="Arial"/>
        </w:rPr>
        <w:t xml:space="preserve">ee </w:t>
      </w:r>
      <w:r w:rsidR="00A33762">
        <w:rPr>
          <w:rFonts w:ascii="Arial" w:eastAsia="Arial" w:hAnsi="Arial" w:cs="Arial"/>
        </w:rPr>
        <w:t>and manage performance</w:t>
      </w:r>
      <w:r w:rsidR="00A47953">
        <w:rPr>
          <w:rFonts w:ascii="Arial" w:eastAsia="Arial" w:hAnsi="Arial" w:cs="Arial"/>
        </w:rPr>
        <w:t xml:space="preserve">. </w:t>
      </w:r>
    </w:p>
    <w:p w14:paraId="045F4300" w14:textId="3BF72225" w:rsidR="00065A41" w:rsidRDefault="00394850" w:rsidP="00015E66">
      <w:pPr>
        <w:spacing w:before="240"/>
        <w:rPr>
          <w:rFonts w:ascii="Arial" w:eastAsia="Arial" w:hAnsi="Arial" w:cs="Arial"/>
        </w:rPr>
      </w:pPr>
      <w:r>
        <w:rPr>
          <w:rFonts w:ascii="Arial" w:eastAsia="Arial" w:hAnsi="Arial" w:cs="Arial"/>
        </w:rPr>
        <w:t>Efficiencies attained</w:t>
      </w:r>
      <w:r w:rsidR="0053362B" w:rsidRPr="0020655A">
        <w:rPr>
          <w:rFonts w:ascii="Arial" w:eastAsia="Arial" w:hAnsi="Arial" w:cs="Arial"/>
        </w:rPr>
        <w:t xml:space="preserve"> </w:t>
      </w:r>
      <w:r w:rsidR="00FF43B4">
        <w:rPr>
          <w:rFonts w:ascii="Arial" w:eastAsia="Arial" w:hAnsi="Arial" w:cs="Arial"/>
        </w:rPr>
        <w:t>through SPFs were mainly due to decreased</w:t>
      </w:r>
      <w:r w:rsidR="0053362B" w:rsidRPr="0020655A">
        <w:rPr>
          <w:rFonts w:ascii="Arial" w:eastAsia="Arial" w:hAnsi="Arial" w:cs="Arial"/>
        </w:rPr>
        <w:t xml:space="preserve"> negotiation time of interlocutors and the legal teams of each organisation. </w:t>
      </w:r>
      <w:r w:rsidR="00FC30EE">
        <w:rPr>
          <w:rFonts w:ascii="Arial" w:eastAsia="Arial" w:hAnsi="Arial" w:cs="Arial"/>
        </w:rPr>
        <w:t>C</w:t>
      </w:r>
      <w:r w:rsidR="00C61497">
        <w:rPr>
          <w:rFonts w:ascii="Arial" w:eastAsia="Arial" w:hAnsi="Arial" w:cs="Arial"/>
        </w:rPr>
        <w:t xml:space="preserve">ore funding tranches agreed in the SPF </w:t>
      </w:r>
      <w:r w:rsidR="004A0AA9">
        <w:rPr>
          <w:rFonts w:ascii="Arial" w:eastAsia="Arial" w:hAnsi="Arial" w:cs="Arial"/>
        </w:rPr>
        <w:t>are</w:t>
      </w:r>
      <w:r w:rsidR="00C164F7">
        <w:rPr>
          <w:rFonts w:ascii="Arial" w:eastAsia="Arial" w:hAnsi="Arial" w:cs="Arial"/>
        </w:rPr>
        <w:t xml:space="preserve"> </w:t>
      </w:r>
      <w:r w:rsidR="00FC30EE">
        <w:rPr>
          <w:rFonts w:ascii="Arial" w:eastAsia="Arial" w:hAnsi="Arial" w:cs="Arial"/>
        </w:rPr>
        <w:t xml:space="preserve">disbursed </w:t>
      </w:r>
      <w:r w:rsidR="00C164F7">
        <w:rPr>
          <w:rFonts w:ascii="Arial" w:eastAsia="Arial" w:hAnsi="Arial" w:cs="Arial"/>
        </w:rPr>
        <w:t>on receipt of a letter requesting payment with no additional requirement for additional delegate approval, aid contracting</w:t>
      </w:r>
      <w:r w:rsidR="00B130B5">
        <w:rPr>
          <w:rFonts w:ascii="Arial" w:eastAsia="Arial" w:hAnsi="Arial" w:cs="Arial"/>
        </w:rPr>
        <w:t>,</w:t>
      </w:r>
      <w:r w:rsidR="00C164F7">
        <w:rPr>
          <w:rFonts w:ascii="Arial" w:eastAsia="Arial" w:hAnsi="Arial" w:cs="Arial"/>
        </w:rPr>
        <w:t xml:space="preserve"> or legal clearances</w:t>
      </w:r>
      <w:r w:rsidR="004A0AA9">
        <w:rPr>
          <w:rFonts w:ascii="Arial" w:eastAsia="Arial" w:hAnsi="Arial" w:cs="Arial"/>
        </w:rPr>
        <w:t xml:space="preserve"> (by DFAT and the partner) because these are completed prior to signing the SPF</w:t>
      </w:r>
      <w:r w:rsidR="00C164F7">
        <w:rPr>
          <w:rFonts w:ascii="Arial" w:eastAsia="Arial" w:hAnsi="Arial" w:cs="Arial"/>
        </w:rPr>
        <w:t>.</w:t>
      </w:r>
      <w:r w:rsidR="00C164F7">
        <w:rPr>
          <w:rStyle w:val="FootnoteReference"/>
          <w:rFonts w:ascii="Arial" w:eastAsia="Arial" w:hAnsi="Arial" w:cs="Arial"/>
        </w:rPr>
        <w:footnoteReference w:id="78"/>
      </w:r>
      <w:r w:rsidR="00C164F7">
        <w:rPr>
          <w:rFonts w:ascii="Arial" w:eastAsia="Arial" w:hAnsi="Arial" w:cs="Arial"/>
        </w:rPr>
        <w:t xml:space="preserve"> </w:t>
      </w:r>
      <w:r w:rsidR="0053362B" w:rsidRPr="0020655A">
        <w:rPr>
          <w:rFonts w:ascii="Arial" w:eastAsia="Arial" w:hAnsi="Arial" w:cs="Arial"/>
        </w:rPr>
        <w:t>DFAT staff compared timeframes to sign EOLs of 2-3 days</w:t>
      </w:r>
      <w:r w:rsidR="00A962CA">
        <w:rPr>
          <w:rFonts w:ascii="Arial" w:eastAsia="Arial" w:hAnsi="Arial" w:cs="Arial"/>
        </w:rPr>
        <w:t xml:space="preserve"> and up to some weeks</w:t>
      </w:r>
      <w:r w:rsidR="002C741B">
        <w:rPr>
          <w:rFonts w:ascii="Arial" w:eastAsia="Arial" w:hAnsi="Arial" w:cs="Arial"/>
        </w:rPr>
        <w:t>,</w:t>
      </w:r>
      <w:r w:rsidR="002C741B">
        <w:rPr>
          <w:rStyle w:val="FootnoteReference"/>
          <w:rFonts w:ascii="Arial" w:eastAsia="Arial" w:hAnsi="Arial" w:cs="Arial"/>
        </w:rPr>
        <w:footnoteReference w:id="79"/>
      </w:r>
      <w:r w:rsidR="0053362B" w:rsidRPr="0020655A">
        <w:rPr>
          <w:rFonts w:ascii="Arial" w:eastAsia="Arial" w:hAnsi="Arial" w:cs="Arial"/>
        </w:rPr>
        <w:t xml:space="preserve"> versus weeks and even months without an SPF</w:t>
      </w:r>
      <w:r w:rsidR="00B57983">
        <w:rPr>
          <w:rFonts w:ascii="Arial" w:eastAsia="Arial" w:hAnsi="Arial" w:cs="Arial"/>
        </w:rPr>
        <w:t>.</w:t>
      </w:r>
      <w:r w:rsidR="0053362B">
        <w:rPr>
          <w:rStyle w:val="FootnoteReference"/>
          <w:rFonts w:ascii="Arial" w:eastAsia="Arial" w:hAnsi="Arial" w:cs="Arial"/>
        </w:rPr>
        <w:footnoteReference w:id="80"/>
      </w:r>
      <w:r w:rsidR="0053362B" w:rsidRPr="0020655A">
        <w:rPr>
          <w:rFonts w:ascii="Arial" w:eastAsia="Arial" w:hAnsi="Arial" w:cs="Arial"/>
        </w:rPr>
        <w:t xml:space="preserve"> </w:t>
      </w:r>
      <w:r w:rsidR="00065A41">
        <w:rPr>
          <w:rFonts w:ascii="Arial" w:eastAsia="Arial" w:hAnsi="Arial" w:cs="Arial"/>
        </w:rPr>
        <w:t xml:space="preserve">17 of 23 DFAT staff who responded to the survey said the SPFs made delivery </w:t>
      </w:r>
      <w:r w:rsidR="00065A41">
        <w:rPr>
          <w:rFonts w:ascii="Arial" w:eastAsia="Arial" w:hAnsi="Arial" w:cs="Arial"/>
        </w:rPr>
        <w:lastRenderedPageBreak/>
        <w:t xml:space="preserve">more efficient (1 reported </w:t>
      </w:r>
      <w:r w:rsidR="0046610F">
        <w:rPr>
          <w:rFonts w:ascii="Arial" w:eastAsia="Arial" w:hAnsi="Arial" w:cs="Arial"/>
        </w:rPr>
        <w:t>“</w:t>
      </w:r>
      <w:r w:rsidR="00065A41">
        <w:rPr>
          <w:rFonts w:ascii="Arial" w:eastAsia="Arial" w:hAnsi="Arial" w:cs="Arial"/>
        </w:rPr>
        <w:t>no impact</w:t>
      </w:r>
      <w:r w:rsidR="0046610F">
        <w:rPr>
          <w:rFonts w:ascii="Arial" w:eastAsia="Arial" w:hAnsi="Arial" w:cs="Arial"/>
        </w:rPr>
        <w:t>”</w:t>
      </w:r>
      <w:r w:rsidR="00065A41">
        <w:rPr>
          <w:rFonts w:ascii="Arial" w:eastAsia="Arial" w:hAnsi="Arial" w:cs="Arial"/>
        </w:rPr>
        <w:t>,</w:t>
      </w:r>
      <w:r w:rsidR="0046610F">
        <w:rPr>
          <w:rFonts w:ascii="Arial" w:eastAsia="Arial" w:hAnsi="Arial" w:cs="Arial"/>
        </w:rPr>
        <w:t xml:space="preserve"> and</w:t>
      </w:r>
      <w:r w:rsidR="00065A41">
        <w:rPr>
          <w:rFonts w:ascii="Arial" w:eastAsia="Arial" w:hAnsi="Arial" w:cs="Arial"/>
        </w:rPr>
        <w:t xml:space="preserve"> 5 did </w:t>
      </w:r>
      <w:r w:rsidR="0046610F">
        <w:rPr>
          <w:rFonts w:ascii="Arial" w:eastAsia="Arial" w:hAnsi="Arial" w:cs="Arial"/>
        </w:rPr>
        <w:t>“</w:t>
      </w:r>
      <w:r w:rsidR="00065A41">
        <w:rPr>
          <w:rFonts w:ascii="Arial" w:eastAsia="Arial" w:hAnsi="Arial" w:cs="Arial"/>
        </w:rPr>
        <w:t>not know</w:t>
      </w:r>
      <w:r w:rsidR="0046610F">
        <w:rPr>
          <w:rFonts w:ascii="Arial" w:eastAsia="Arial" w:hAnsi="Arial" w:cs="Arial"/>
        </w:rPr>
        <w:t>”</w:t>
      </w:r>
      <w:r w:rsidR="00065A41">
        <w:rPr>
          <w:rFonts w:ascii="Arial" w:eastAsia="Arial" w:hAnsi="Arial" w:cs="Arial"/>
        </w:rPr>
        <w:t xml:space="preserve">) and 16 said the EOLs improved efficiency (1 </w:t>
      </w:r>
      <w:r w:rsidR="0046610F">
        <w:rPr>
          <w:rFonts w:ascii="Arial" w:eastAsia="Arial" w:hAnsi="Arial" w:cs="Arial"/>
        </w:rPr>
        <w:t>reporting “</w:t>
      </w:r>
      <w:r w:rsidR="00065A41">
        <w:rPr>
          <w:rFonts w:ascii="Arial" w:eastAsia="Arial" w:hAnsi="Arial" w:cs="Arial"/>
        </w:rPr>
        <w:t>no impact</w:t>
      </w:r>
      <w:r w:rsidR="0046610F">
        <w:rPr>
          <w:rFonts w:ascii="Arial" w:eastAsia="Arial" w:hAnsi="Arial" w:cs="Arial"/>
        </w:rPr>
        <w:t>”</w:t>
      </w:r>
      <w:r w:rsidR="00065A41">
        <w:rPr>
          <w:rFonts w:ascii="Arial" w:eastAsia="Arial" w:hAnsi="Arial" w:cs="Arial"/>
        </w:rPr>
        <w:t>,</w:t>
      </w:r>
      <w:r w:rsidR="0046610F">
        <w:rPr>
          <w:rFonts w:ascii="Arial" w:eastAsia="Arial" w:hAnsi="Arial" w:cs="Arial"/>
        </w:rPr>
        <w:t xml:space="preserve"> and</w:t>
      </w:r>
      <w:r w:rsidR="00065A41">
        <w:rPr>
          <w:rFonts w:ascii="Arial" w:eastAsia="Arial" w:hAnsi="Arial" w:cs="Arial"/>
        </w:rPr>
        <w:t xml:space="preserve"> 6 </w:t>
      </w:r>
      <w:r w:rsidR="0046610F">
        <w:rPr>
          <w:rFonts w:ascii="Arial" w:eastAsia="Arial" w:hAnsi="Arial" w:cs="Arial"/>
        </w:rPr>
        <w:t xml:space="preserve">did “not </w:t>
      </w:r>
      <w:r w:rsidR="00065A41">
        <w:rPr>
          <w:rFonts w:ascii="Arial" w:eastAsia="Arial" w:hAnsi="Arial" w:cs="Arial"/>
        </w:rPr>
        <w:t>know</w:t>
      </w:r>
      <w:r w:rsidR="0046610F">
        <w:rPr>
          <w:rFonts w:ascii="Arial" w:eastAsia="Arial" w:hAnsi="Arial" w:cs="Arial"/>
        </w:rPr>
        <w:t>”</w:t>
      </w:r>
      <w:r w:rsidR="00065A41">
        <w:rPr>
          <w:rFonts w:ascii="Arial" w:eastAsia="Arial" w:hAnsi="Arial" w:cs="Arial"/>
        </w:rPr>
        <w:t>).</w:t>
      </w:r>
      <w:r w:rsidR="00065A41">
        <w:rPr>
          <w:rStyle w:val="FootnoteReference"/>
          <w:rFonts w:ascii="Arial" w:eastAsia="Arial" w:hAnsi="Arial" w:cs="Arial"/>
        </w:rPr>
        <w:footnoteReference w:id="81"/>
      </w:r>
    </w:p>
    <w:p w14:paraId="1D9A4A74" w14:textId="7BFB63CD" w:rsidR="00B57983" w:rsidRDefault="00B57983" w:rsidP="00015E66">
      <w:pPr>
        <w:spacing w:before="240"/>
        <w:rPr>
          <w:rFonts w:ascii="Arial" w:eastAsia="Arial" w:hAnsi="Arial" w:cs="Arial"/>
        </w:rPr>
      </w:pPr>
      <w:r>
        <w:rPr>
          <w:rFonts w:ascii="Arial" w:eastAsia="Arial" w:hAnsi="Arial" w:cs="Arial"/>
        </w:rPr>
        <w:t>DFAT officers</w:t>
      </w:r>
      <w:r w:rsidRPr="0020655A">
        <w:rPr>
          <w:rFonts w:ascii="Arial" w:eastAsia="Arial" w:hAnsi="Arial" w:cs="Arial"/>
        </w:rPr>
        <w:t xml:space="preserve"> reported that they could “not deliver their current humanitarian caseload without the SPFs.” </w:t>
      </w:r>
      <w:r>
        <w:rPr>
          <w:rFonts w:ascii="Arial" w:eastAsia="Arial" w:hAnsi="Arial" w:cs="Arial"/>
        </w:rPr>
        <w:t xml:space="preserve">Delivering the same level of humanitarian funding on a </w:t>
      </w:r>
      <w:proofErr w:type="gramStart"/>
      <w:r>
        <w:rPr>
          <w:rFonts w:ascii="Arial" w:eastAsia="Arial" w:hAnsi="Arial" w:cs="Arial"/>
        </w:rPr>
        <w:t>contract by contract</w:t>
      </w:r>
      <w:proofErr w:type="gramEnd"/>
      <w:r>
        <w:rPr>
          <w:rFonts w:ascii="Arial" w:eastAsia="Arial" w:hAnsi="Arial" w:cs="Arial"/>
        </w:rPr>
        <w:t xml:space="preserve"> basis would either require a </w:t>
      </w:r>
      <w:r w:rsidR="0046610F">
        <w:rPr>
          <w:rFonts w:ascii="Arial" w:eastAsia="Arial" w:hAnsi="Arial" w:cs="Arial"/>
        </w:rPr>
        <w:t xml:space="preserve">significant </w:t>
      </w:r>
      <w:r>
        <w:rPr>
          <w:rFonts w:ascii="Arial" w:eastAsia="Arial" w:hAnsi="Arial" w:cs="Arial"/>
        </w:rPr>
        <w:t xml:space="preserve">increase in DFAT staffing and management </w:t>
      </w:r>
      <w:proofErr w:type="gramStart"/>
      <w:r w:rsidR="00DE03CA">
        <w:rPr>
          <w:rFonts w:ascii="Arial" w:eastAsia="Arial" w:hAnsi="Arial" w:cs="Arial"/>
        </w:rPr>
        <w:t>resources</w:t>
      </w:r>
      <w:r w:rsidR="001C5BA4">
        <w:rPr>
          <w:rFonts w:ascii="Arial" w:eastAsia="Arial" w:hAnsi="Arial" w:cs="Arial"/>
        </w:rPr>
        <w:t>,</w:t>
      </w:r>
      <w:r w:rsidR="00DE03CA">
        <w:rPr>
          <w:rFonts w:ascii="Arial" w:eastAsia="Arial" w:hAnsi="Arial" w:cs="Arial"/>
        </w:rPr>
        <w:t xml:space="preserve"> or</w:t>
      </w:r>
      <w:proofErr w:type="gramEnd"/>
      <w:r>
        <w:rPr>
          <w:rFonts w:ascii="Arial" w:eastAsia="Arial" w:hAnsi="Arial" w:cs="Arial"/>
        </w:rPr>
        <w:t xml:space="preserve"> require DFAT to focus its assistance through a narrow set of partners, decreasing DFAT’s ability to tailor support to specific contexts and regional and bilateral priorities.</w:t>
      </w:r>
      <w:r>
        <w:rPr>
          <w:rStyle w:val="FootnoteReference"/>
          <w:rFonts w:ascii="Arial" w:eastAsia="Arial" w:hAnsi="Arial" w:cs="Arial"/>
        </w:rPr>
        <w:footnoteReference w:id="82"/>
      </w:r>
    </w:p>
    <w:p w14:paraId="010A0E40" w14:textId="71A182F8" w:rsidR="00015E66" w:rsidRDefault="0046610F" w:rsidP="00015E66">
      <w:pPr>
        <w:spacing w:before="240"/>
        <w:rPr>
          <w:rFonts w:ascii="Arial" w:eastAsia="Arial" w:hAnsi="Arial" w:cs="Arial"/>
        </w:rPr>
      </w:pPr>
      <w:r w:rsidRPr="00046BE4">
        <w:rPr>
          <w:rFonts w:ascii="Arial" w:eastAsia="Arial" w:hAnsi="Arial" w:cs="Arial"/>
        </w:rPr>
        <w:t xml:space="preserve">The </w:t>
      </w:r>
      <w:r w:rsidR="0053362B" w:rsidRPr="00046BE4">
        <w:rPr>
          <w:rFonts w:ascii="Arial" w:eastAsia="Arial" w:hAnsi="Arial" w:cs="Arial"/>
        </w:rPr>
        <w:t xml:space="preserve">efficiency </w:t>
      </w:r>
      <w:r w:rsidRPr="00046BE4">
        <w:rPr>
          <w:rFonts w:ascii="Arial" w:eastAsia="Arial" w:hAnsi="Arial" w:cs="Arial"/>
        </w:rPr>
        <w:t xml:space="preserve">of SPFs </w:t>
      </w:r>
      <w:r w:rsidR="0053362B" w:rsidRPr="00046BE4">
        <w:rPr>
          <w:rFonts w:ascii="Arial" w:eastAsia="Arial" w:hAnsi="Arial" w:cs="Arial"/>
        </w:rPr>
        <w:t xml:space="preserve">was reinforced in interviews and surveys of SPF partners. One SPF partner shared anecdotally that Australia’s arrangement required 0.5 FTE to manage, compared to up to </w:t>
      </w:r>
      <w:r w:rsidR="00665167" w:rsidRPr="00046BE4">
        <w:rPr>
          <w:rFonts w:ascii="Arial" w:eastAsia="Arial" w:hAnsi="Arial" w:cs="Arial"/>
        </w:rPr>
        <w:t>eight</w:t>
      </w:r>
      <w:r w:rsidR="0053362B" w:rsidRPr="00046BE4">
        <w:rPr>
          <w:rFonts w:ascii="Arial" w:eastAsia="Arial" w:hAnsi="Arial" w:cs="Arial"/>
        </w:rPr>
        <w:t xml:space="preserve"> </w:t>
      </w:r>
      <w:r w:rsidR="00DD5E28" w:rsidRPr="00046BE4">
        <w:rPr>
          <w:rFonts w:ascii="Arial" w:eastAsia="Arial" w:hAnsi="Arial" w:cs="Arial"/>
        </w:rPr>
        <w:t xml:space="preserve">FTE </w:t>
      </w:r>
      <w:r w:rsidR="0053362B" w:rsidRPr="00046BE4">
        <w:rPr>
          <w:rFonts w:ascii="Arial" w:eastAsia="Arial" w:hAnsi="Arial" w:cs="Arial"/>
        </w:rPr>
        <w:t>for other donors.</w:t>
      </w:r>
      <w:r w:rsidR="0053362B" w:rsidRPr="00046BE4">
        <w:rPr>
          <w:rStyle w:val="FootnoteReference"/>
          <w:rFonts w:ascii="Arial" w:eastAsia="Arial" w:hAnsi="Arial" w:cs="Arial"/>
        </w:rPr>
        <w:footnoteReference w:id="83"/>
      </w:r>
      <w:r w:rsidR="0053362B" w:rsidRPr="00046BE4">
        <w:rPr>
          <w:rFonts w:ascii="Arial" w:eastAsia="Arial" w:hAnsi="Arial" w:cs="Arial"/>
        </w:rPr>
        <w:t xml:space="preserve"> </w:t>
      </w:r>
      <w:r w:rsidR="00145374" w:rsidRPr="00046BE4">
        <w:rPr>
          <w:rFonts w:ascii="Arial" w:eastAsia="Arial" w:hAnsi="Arial" w:cs="Arial"/>
        </w:rPr>
        <w:t xml:space="preserve">None of the </w:t>
      </w:r>
      <w:r w:rsidR="00DF2AEA" w:rsidRPr="00046BE4">
        <w:rPr>
          <w:rFonts w:ascii="Arial" w:eastAsia="Arial" w:hAnsi="Arial" w:cs="Arial"/>
        </w:rPr>
        <w:t>37</w:t>
      </w:r>
      <w:r w:rsidR="00145374" w:rsidRPr="00046BE4">
        <w:rPr>
          <w:rFonts w:ascii="Arial" w:eastAsia="Arial" w:hAnsi="Arial" w:cs="Arial"/>
        </w:rPr>
        <w:t xml:space="preserve"> SPF partners surveyed said that Australia’s SPFs and EOLs were less efficient than other arrangements. </w:t>
      </w:r>
      <w:r w:rsidR="004B1849" w:rsidRPr="00046BE4">
        <w:rPr>
          <w:rFonts w:ascii="Arial" w:eastAsia="Arial" w:hAnsi="Arial" w:cs="Arial"/>
        </w:rPr>
        <w:t>11</w:t>
      </w:r>
      <w:r w:rsidR="00145374" w:rsidRPr="00046BE4">
        <w:rPr>
          <w:rFonts w:ascii="Arial" w:eastAsia="Arial" w:hAnsi="Arial" w:cs="Arial"/>
        </w:rPr>
        <w:t xml:space="preserve"> said they were </w:t>
      </w:r>
      <w:r w:rsidR="001C5BA4" w:rsidRPr="00046BE4">
        <w:rPr>
          <w:rFonts w:ascii="Arial" w:eastAsia="Arial" w:hAnsi="Arial" w:cs="Arial"/>
        </w:rPr>
        <w:t>“</w:t>
      </w:r>
      <w:r w:rsidR="00145374" w:rsidRPr="00046BE4">
        <w:rPr>
          <w:rFonts w:ascii="Arial" w:eastAsia="Arial" w:hAnsi="Arial" w:cs="Arial"/>
        </w:rPr>
        <w:t>much better</w:t>
      </w:r>
      <w:r w:rsidR="001C5BA4" w:rsidRPr="00046BE4">
        <w:rPr>
          <w:rFonts w:ascii="Arial" w:eastAsia="Arial" w:hAnsi="Arial" w:cs="Arial"/>
        </w:rPr>
        <w:t>”</w:t>
      </w:r>
      <w:r w:rsidR="00145374" w:rsidRPr="00046BE4">
        <w:rPr>
          <w:rFonts w:ascii="Arial" w:eastAsia="Arial" w:hAnsi="Arial" w:cs="Arial"/>
        </w:rPr>
        <w:t xml:space="preserve"> or </w:t>
      </w:r>
      <w:r w:rsidR="001C5BA4" w:rsidRPr="00046BE4">
        <w:rPr>
          <w:rFonts w:ascii="Arial" w:eastAsia="Arial" w:hAnsi="Arial" w:cs="Arial"/>
        </w:rPr>
        <w:t>“</w:t>
      </w:r>
      <w:r w:rsidR="00145374" w:rsidRPr="00046BE4">
        <w:rPr>
          <w:rFonts w:ascii="Arial" w:eastAsia="Arial" w:hAnsi="Arial" w:cs="Arial"/>
        </w:rPr>
        <w:t>slightly better</w:t>
      </w:r>
      <w:r w:rsidR="001C5BA4" w:rsidRPr="00046BE4">
        <w:rPr>
          <w:rFonts w:ascii="Arial" w:eastAsia="Arial" w:hAnsi="Arial" w:cs="Arial"/>
        </w:rPr>
        <w:t>”</w:t>
      </w:r>
      <w:r w:rsidR="00145374" w:rsidRPr="00046BE4">
        <w:rPr>
          <w:rFonts w:ascii="Arial" w:eastAsia="Arial" w:hAnsi="Arial" w:cs="Arial"/>
        </w:rPr>
        <w:t>, 1</w:t>
      </w:r>
      <w:r w:rsidR="00A42FBA" w:rsidRPr="00046BE4">
        <w:rPr>
          <w:rFonts w:ascii="Arial" w:eastAsia="Arial" w:hAnsi="Arial" w:cs="Arial"/>
        </w:rPr>
        <w:t>8</w:t>
      </w:r>
      <w:r w:rsidR="00145374" w:rsidRPr="00046BE4">
        <w:rPr>
          <w:rFonts w:ascii="Arial" w:eastAsia="Arial" w:hAnsi="Arial" w:cs="Arial"/>
        </w:rPr>
        <w:t xml:space="preserve"> thought they were the </w:t>
      </w:r>
      <w:r w:rsidR="001C5BA4" w:rsidRPr="00046BE4">
        <w:rPr>
          <w:rFonts w:ascii="Arial" w:eastAsia="Arial" w:hAnsi="Arial" w:cs="Arial"/>
        </w:rPr>
        <w:t>“</w:t>
      </w:r>
      <w:r w:rsidR="00145374" w:rsidRPr="00046BE4">
        <w:rPr>
          <w:rFonts w:ascii="Arial" w:eastAsia="Arial" w:hAnsi="Arial" w:cs="Arial"/>
        </w:rPr>
        <w:t>same</w:t>
      </w:r>
      <w:r w:rsidR="001C5BA4" w:rsidRPr="00046BE4">
        <w:rPr>
          <w:rFonts w:ascii="Arial" w:eastAsia="Arial" w:hAnsi="Arial" w:cs="Arial"/>
        </w:rPr>
        <w:t>”</w:t>
      </w:r>
      <w:r w:rsidR="00145374" w:rsidRPr="00046BE4">
        <w:rPr>
          <w:rFonts w:ascii="Arial" w:eastAsia="Arial" w:hAnsi="Arial" w:cs="Arial"/>
        </w:rPr>
        <w:t xml:space="preserve"> as other donor modalities</w:t>
      </w:r>
      <w:r w:rsidRPr="00046BE4">
        <w:rPr>
          <w:rFonts w:ascii="Arial" w:eastAsia="Arial" w:hAnsi="Arial" w:cs="Arial"/>
        </w:rPr>
        <w:t>,</w:t>
      </w:r>
      <w:r w:rsidR="00145374" w:rsidRPr="00046BE4">
        <w:rPr>
          <w:rFonts w:ascii="Arial" w:eastAsia="Arial" w:hAnsi="Arial" w:cs="Arial"/>
        </w:rPr>
        <w:t xml:space="preserve"> and </w:t>
      </w:r>
      <w:r w:rsidR="00665167" w:rsidRPr="00046BE4">
        <w:rPr>
          <w:rFonts w:ascii="Arial" w:eastAsia="Arial" w:hAnsi="Arial" w:cs="Arial"/>
        </w:rPr>
        <w:t>eight</w:t>
      </w:r>
      <w:r w:rsidR="00145374" w:rsidRPr="00046BE4">
        <w:rPr>
          <w:rFonts w:ascii="Arial" w:eastAsia="Arial" w:hAnsi="Arial" w:cs="Arial"/>
        </w:rPr>
        <w:t xml:space="preserve"> </w:t>
      </w:r>
      <w:r w:rsidRPr="00046BE4">
        <w:rPr>
          <w:rFonts w:ascii="Arial" w:eastAsia="Arial" w:hAnsi="Arial" w:cs="Arial"/>
        </w:rPr>
        <w:t xml:space="preserve">reported they </w:t>
      </w:r>
      <w:r w:rsidR="001C5BA4" w:rsidRPr="00046BE4">
        <w:rPr>
          <w:rFonts w:ascii="Arial" w:eastAsia="Arial" w:hAnsi="Arial" w:cs="Arial"/>
        </w:rPr>
        <w:t>“</w:t>
      </w:r>
      <w:r w:rsidR="00145374" w:rsidRPr="00046BE4">
        <w:rPr>
          <w:rFonts w:ascii="Arial" w:eastAsia="Arial" w:hAnsi="Arial" w:cs="Arial"/>
        </w:rPr>
        <w:t>did not know</w:t>
      </w:r>
      <w:r w:rsidR="001C5BA4" w:rsidRPr="00046BE4">
        <w:rPr>
          <w:rFonts w:ascii="Arial" w:eastAsia="Arial" w:hAnsi="Arial" w:cs="Arial"/>
        </w:rPr>
        <w:t>”</w:t>
      </w:r>
      <w:r w:rsidR="00254224" w:rsidRPr="00046BE4">
        <w:rPr>
          <w:rFonts w:ascii="Arial" w:eastAsia="Arial" w:hAnsi="Arial" w:cs="Arial"/>
        </w:rPr>
        <w:t>.</w:t>
      </w:r>
      <w:r w:rsidR="00E06425" w:rsidRPr="00046BE4">
        <w:rPr>
          <w:rStyle w:val="FootnoteReference"/>
          <w:rFonts w:ascii="Arial" w:eastAsia="Arial" w:hAnsi="Arial" w:cs="Arial"/>
        </w:rPr>
        <w:footnoteReference w:id="84"/>
      </w:r>
      <w:r w:rsidR="00254224" w:rsidRPr="00046BE4">
        <w:rPr>
          <w:rFonts w:ascii="Arial" w:eastAsia="Arial" w:hAnsi="Arial" w:cs="Arial"/>
        </w:rPr>
        <w:t xml:space="preserve"> </w:t>
      </w:r>
      <w:r w:rsidR="00D07728" w:rsidRPr="00046BE4">
        <w:rPr>
          <w:rFonts w:ascii="Arial" w:eastAsia="Arial" w:hAnsi="Arial" w:cs="Arial"/>
        </w:rPr>
        <w:t xml:space="preserve">Some </w:t>
      </w:r>
      <w:r w:rsidR="0053362B" w:rsidRPr="00046BE4">
        <w:rPr>
          <w:rFonts w:ascii="Arial" w:eastAsia="Arial" w:hAnsi="Arial" w:cs="Arial"/>
        </w:rPr>
        <w:t>SPF partners report</w:t>
      </w:r>
      <w:r w:rsidR="00D07728" w:rsidRPr="00046BE4">
        <w:rPr>
          <w:rFonts w:ascii="Arial" w:eastAsia="Arial" w:hAnsi="Arial" w:cs="Arial"/>
        </w:rPr>
        <w:t xml:space="preserve">ed </w:t>
      </w:r>
      <w:r w:rsidR="0053362B" w:rsidRPr="00046BE4">
        <w:rPr>
          <w:rFonts w:ascii="Arial" w:eastAsia="Arial" w:hAnsi="Arial" w:cs="Arial"/>
        </w:rPr>
        <w:t>examples of more efficient modalities which allow parties to agree to draw down funding without a separate</w:t>
      </w:r>
      <w:r w:rsidR="001C5BA4" w:rsidRPr="00046BE4">
        <w:rPr>
          <w:rFonts w:ascii="Arial" w:eastAsia="Arial" w:hAnsi="Arial" w:cs="Arial"/>
        </w:rPr>
        <w:t xml:space="preserve"> EOL</w:t>
      </w:r>
      <w:r w:rsidR="0053362B" w:rsidRPr="00046BE4">
        <w:rPr>
          <w:rFonts w:ascii="Arial" w:eastAsia="Arial" w:hAnsi="Arial" w:cs="Arial"/>
        </w:rPr>
        <w:t>.</w:t>
      </w:r>
      <w:r w:rsidR="0053362B" w:rsidRPr="00046BE4">
        <w:rPr>
          <w:rStyle w:val="FootnoteReference"/>
          <w:rFonts w:ascii="Arial" w:eastAsia="Arial" w:hAnsi="Arial" w:cs="Arial"/>
        </w:rPr>
        <w:footnoteReference w:id="85"/>
      </w:r>
    </w:p>
    <w:p w14:paraId="502E0FBE" w14:textId="253E8BF8" w:rsidR="00BB5F33" w:rsidRPr="008D4172" w:rsidRDefault="4FDE94E2" w:rsidP="0020655A">
      <w:pPr>
        <w:spacing w:before="240"/>
        <w:rPr>
          <w:rFonts w:ascii="Arial" w:eastAsia="Arial" w:hAnsi="Arial" w:cs="Arial"/>
          <w:color w:val="auto"/>
        </w:rPr>
      </w:pPr>
      <w:r w:rsidRPr="00F41B8E">
        <w:rPr>
          <w:rFonts w:ascii="Arial" w:eastAsia="Arial" w:hAnsi="Arial" w:cs="Arial"/>
        </w:rPr>
        <w:t xml:space="preserve">Relatedly, </w:t>
      </w:r>
      <w:r w:rsidR="43B7E79B" w:rsidRPr="00F41B8E">
        <w:rPr>
          <w:rFonts w:ascii="Arial" w:eastAsia="Arial" w:hAnsi="Arial" w:cs="Arial"/>
        </w:rPr>
        <w:t xml:space="preserve">DFAT headquarters staff reported </w:t>
      </w:r>
      <w:r w:rsidR="3A846A51" w:rsidRPr="00F41B8E">
        <w:rPr>
          <w:rFonts w:ascii="Arial" w:eastAsia="Arial" w:hAnsi="Arial" w:cs="Arial"/>
        </w:rPr>
        <w:t xml:space="preserve">that this </w:t>
      </w:r>
      <w:r w:rsidR="1D9E4C0D" w:rsidRPr="00F41B8E">
        <w:rPr>
          <w:rFonts w:ascii="Arial" w:eastAsia="Arial" w:hAnsi="Arial" w:cs="Arial"/>
        </w:rPr>
        <w:t>front-end</w:t>
      </w:r>
      <w:r w:rsidR="3A846A51" w:rsidRPr="00F41B8E">
        <w:rPr>
          <w:rFonts w:ascii="Arial" w:eastAsia="Arial" w:hAnsi="Arial" w:cs="Arial"/>
        </w:rPr>
        <w:t xml:space="preserve"> efficiency came at </w:t>
      </w:r>
      <w:r w:rsidR="00571FE5" w:rsidRPr="00F41B8E">
        <w:rPr>
          <w:rFonts w:ascii="Arial" w:eastAsia="Arial" w:hAnsi="Arial" w:cs="Arial"/>
        </w:rPr>
        <w:t xml:space="preserve">a </w:t>
      </w:r>
      <w:r w:rsidR="3A846A51" w:rsidRPr="00F41B8E">
        <w:rPr>
          <w:rFonts w:ascii="Arial" w:eastAsia="Arial" w:hAnsi="Arial" w:cs="Arial"/>
        </w:rPr>
        <w:t xml:space="preserve">cost in terms of </w:t>
      </w:r>
      <w:r w:rsidR="529E30DB" w:rsidRPr="00F41B8E">
        <w:rPr>
          <w:rFonts w:ascii="Arial" w:eastAsia="Arial" w:hAnsi="Arial" w:cs="Arial"/>
        </w:rPr>
        <w:t xml:space="preserve">monitoring </w:t>
      </w:r>
      <w:r w:rsidR="6E5A8E7C" w:rsidRPr="00F41B8E">
        <w:rPr>
          <w:rFonts w:ascii="Arial" w:eastAsia="Arial" w:hAnsi="Arial" w:cs="Arial"/>
        </w:rPr>
        <w:t xml:space="preserve">and </w:t>
      </w:r>
      <w:r w:rsidR="3A846A51" w:rsidRPr="00F41B8E">
        <w:rPr>
          <w:rFonts w:ascii="Arial" w:eastAsia="Arial" w:hAnsi="Arial" w:cs="Arial"/>
        </w:rPr>
        <w:t>reporting</w:t>
      </w:r>
      <w:r w:rsidR="6E5A8E7C" w:rsidRPr="00F41B8E">
        <w:rPr>
          <w:rFonts w:ascii="Arial" w:eastAsia="Arial" w:hAnsi="Arial" w:cs="Arial"/>
        </w:rPr>
        <w:t xml:space="preserve">. DFAT staff reported spending significant </w:t>
      </w:r>
      <w:r w:rsidR="2BAD0E97" w:rsidRPr="00F41B8E">
        <w:rPr>
          <w:rFonts w:ascii="Arial" w:eastAsia="Arial" w:hAnsi="Arial" w:cs="Arial"/>
        </w:rPr>
        <w:t xml:space="preserve">time </w:t>
      </w:r>
      <w:r w:rsidR="2BAD0E97" w:rsidRPr="00F41B8E">
        <w:t>trawling through generalised reporting to fulfil oversight and performance reporting requirements</w:t>
      </w:r>
      <w:r w:rsidR="2BAD0E97" w:rsidRPr="00F41B8E">
        <w:rPr>
          <w:rFonts w:ascii="Arial" w:eastAsia="Arial" w:hAnsi="Arial" w:cs="Arial"/>
        </w:rPr>
        <w:t>,</w:t>
      </w:r>
      <w:r w:rsidR="00D96DC0" w:rsidRPr="00F41B8E">
        <w:rPr>
          <w:rFonts w:ascii="Arial" w:eastAsia="Arial" w:hAnsi="Arial" w:cs="Arial"/>
        </w:rPr>
        <w:t xml:space="preserve"> in addition to </w:t>
      </w:r>
      <w:r w:rsidR="009C5334" w:rsidRPr="00F41B8E">
        <w:rPr>
          <w:rFonts w:ascii="Arial" w:eastAsia="Arial" w:hAnsi="Arial" w:cs="Arial"/>
        </w:rPr>
        <w:t>engagin</w:t>
      </w:r>
      <w:r w:rsidR="00324EA1" w:rsidRPr="00F41B8E">
        <w:rPr>
          <w:rFonts w:ascii="Arial" w:eastAsia="Arial" w:hAnsi="Arial" w:cs="Arial"/>
        </w:rPr>
        <w:t>g</w:t>
      </w:r>
      <w:r w:rsidR="009C5334" w:rsidRPr="00F41B8E">
        <w:rPr>
          <w:rFonts w:ascii="Arial" w:eastAsia="Arial" w:hAnsi="Arial" w:cs="Arial"/>
        </w:rPr>
        <w:t xml:space="preserve"> </w:t>
      </w:r>
      <w:r w:rsidR="00D96DC0" w:rsidRPr="00F41B8E">
        <w:rPr>
          <w:rFonts w:ascii="Arial" w:eastAsia="Arial" w:hAnsi="Arial" w:cs="Arial"/>
        </w:rPr>
        <w:t xml:space="preserve">an external </w:t>
      </w:r>
      <w:r w:rsidR="00324EA1" w:rsidRPr="00F41B8E">
        <w:rPr>
          <w:rFonts w:ascii="Arial" w:eastAsia="Arial" w:hAnsi="Arial" w:cs="Arial"/>
        </w:rPr>
        <w:t>provider</w:t>
      </w:r>
      <w:r w:rsidR="00D96DC0" w:rsidRPr="00F41B8E">
        <w:rPr>
          <w:rFonts w:ascii="Arial" w:eastAsia="Arial" w:hAnsi="Arial" w:cs="Arial"/>
        </w:rPr>
        <w:t xml:space="preserve"> to support annual performance arrangements.</w:t>
      </w:r>
      <w:r w:rsidR="0026065B" w:rsidRPr="00F41B8E">
        <w:rPr>
          <w:rStyle w:val="FootnoteReference"/>
          <w:rFonts w:ascii="Arial" w:eastAsia="Arial" w:hAnsi="Arial" w:cs="Arial"/>
          <w:color w:val="auto"/>
        </w:rPr>
        <w:footnoteReference w:id="86"/>
      </w:r>
      <w:r w:rsidR="7D09D620" w:rsidRPr="008D4172">
        <w:rPr>
          <w:rFonts w:ascii="Arial" w:eastAsia="Arial" w:hAnsi="Arial" w:cs="Arial"/>
          <w:color w:val="auto"/>
        </w:rPr>
        <w:t xml:space="preserve"> </w:t>
      </w:r>
    </w:p>
    <w:p w14:paraId="66E43DC4" w14:textId="5B4C2E3B" w:rsidR="0020655A" w:rsidRPr="008D4172" w:rsidRDefault="0053362B" w:rsidP="00E17D1A">
      <w:pPr>
        <w:pStyle w:val="ListParagraph"/>
        <w:numPr>
          <w:ilvl w:val="1"/>
          <w:numId w:val="11"/>
        </w:numPr>
        <w:spacing w:after="0"/>
        <w:rPr>
          <w:rFonts w:ascii="Arial" w:eastAsia="Arial" w:hAnsi="Arial" w:cs="Arial"/>
          <w:color w:val="auto"/>
        </w:rPr>
      </w:pPr>
      <w:r w:rsidRPr="008D4172">
        <w:rPr>
          <w:rFonts w:ascii="Arial" w:eastAsia="Arial" w:hAnsi="Arial" w:cs="Arial"/>
          <w:b/>
          <w:bCs/>
          <w:color w:val="auto"/>
        </w:rPr>
        <w:t xml:space="preserve">To what extent have SPFs supported timely and efficient humanitarian responses through the provision of funding that is earmarked to respond to humanitarian crises? </w:t>
      </w:r>
    </w:p>
    <w:p w14:paraId="2828DF2E" w14:textId="77777777" w:rsidR="0020655A" w:rsidRPr="008D4172" w:rsidRDefault="0020655A" w:rsidP="0020655A">
      <w:pPr>
        <w:spacing w:after="0"/>
        <w:rPr>
          <w:rFonts w:ascii="Arial" w:eastAsia="Arial" w:hAnsi="Arial" w:cs="Arial"/>
          <w:color w:val="auto"/>
        </w:rPr>
      </w:pPr>
    </w:p>
    <w:p w14:paraId="54910032" w14:textId="2F9535F8" w:rsidR="009E7A9D" w:rsidRDefault="0053362B" w:rsidP="0020655A">
      <w:pPr>
        <w:spacing w:after="0"/>
      </w:pPr>
      <w:r w:rsidRPr="0020655A">
        <w:rPr>
          <w:rFonts w:ascii="Arial" w:eastAsia="Arial" w:hAnsi="Arial" w:cs="Arial"/>
        </w:rPr>
        <w:t xml:space="preserve">SPFs </w:t>
      </w:r>
      <w:r w:rsidR="00233F1B">
        <w:rPr>
          <w:rFonts w:ascii="Arial" w:eastAsia="Arial" w:hAnsi="Arial" w:cs="Arial"/>
        </w:rPr>
        <w:t xml:space="preserve">are a crucial tool to support </w:t>
      </w:r>
      <w:r w:rsidRPr="0020655A">
        <w:rPr>
          <w:rFonts w:ascii="Arial" w:eastAsia="Arial" w:hAnsi="Arial" w:cs="Arial"/>
        </w:rPr>
        <w:t>timely and efficient response</w:t>
      </w:r>
      <w:r w:rsidR="00233F1B">
        <w:rPr>
          <w:rFonts w:ascii="Arial" w:eastAsia="Arial" w:hAnsi="Arial" w:cs="Arial"/>
        </w:rPr>
        <w:t xml:space="preserve"> to humanitarian crises, particularly in contexts where Australia d</w:t>
      </w:r>
      <w:r w:rsidR="00D07728">
        <w:rPr>
          <w:rFonts w:ascii="Arial" w:eastAsia="Arial" w:hAnsi="Arial" w:cs="Arial"/>
        </w:rPr>
        <w:t>oes</w:t>
      </w:r>
      <w:r w:rsidR="00233F1B">
        <w:rPr>
          <w:rFonts w:ascii="Arial" w:eastAsia="Arial" w:hAnsi="Arial" w:cs="Arial"/>
        </w:rPr>
        <w:t xml:space="preserve"> not have a strong bilateral presence</w:t>
      </w:r>
      <w:r w:rsidRPr="0020655A">
        <w:rPr>
          <w:rFonts w:ascii="Arial" w:eastAsia="Arial" w:hAnsi="Arial" w:cs="Arial"/>
        </w:rPr>
        <w:t xml:space="preserve">. </w:t>
      </w:r>
    </w:p>
    <w:p w14:paraId="52225830" w14:textId="77777777" w:rsidR="009E7A9D" w:rsidRDefault="009E7A9D" w:rsidP="0020655A">
      <w:pPr>
        <w:spacing w:after="0"/>
      </w:pPr>
    </w:p>
    <w:p w14:paraId="79D15CC0" w14:textId="7BB377D0" w:rsidR="0053362B" w:rsidRDefault="0053362B" w:rsidP="0020655A">
      <w:pPr>
        <w:spacing w:after="0"/>
        <w:rPr>
          <w:rFonts w:ascii="Arial" w:eastAsia="Arial" w:hAnsi="Arial" w:cs="Arial"/>
        </w:rPr>
      </w:pPr>
      <w:r>
        <w:t xml:space="preserve">SPF partners cited the </w:t>
      </w:r>
      <w:r w:rsidR="00665167">
        <w:t xml:space="preserve">core </w:t>
      </w:r>
      <w:r>
        <w:t xml:space="preserve">funding in DFAT’s SPFs as crucial in allowing </w:t>
      </w:r>
      <w:r w:rsidR="003D5699">
        <w:t>organisations</w:t>
      </w:r>
      <w:r>
        <w:t xml:space="preserve"> to respond quickly to new and emerging crises. SPF partners described using </w:t>
      </w:r>
      <w:r w:rsidR="00665167">
        <w:t xml:space="preserve">core </w:t>
      </w:r>
      <w:r>
        <w:t>funding to launch crisis response in Gaza, Myanmar, and Sudan. One SPF partner was able to respond within 24 hours of the Myanmar earthquake in March 2025 due to global core funding.</w:t>
      </w:r>
      <w:r>
        <w:rPr>
          <w:rStyle w:val="FootnoteReference"/>
        </w:rPr>
        <w:footnoteReference w:id="87"/>
      </w:r>
      <w:r w:rsidRPr="0020655A">
        <w:rPr>
          <w:rFonts w:ascii="Arial" w:eastAsia="Arial" w:hAnsi="Arial" w:cs="Arial"/>
        </w:rPr>
        <w:t xml:space="preserve"> Another said that DFAT’s flexibility to release a tranche of its multiyear</w:t>
      </w:r>
      <w:r w:rsidR="00665167">
        <w:rPr>
          <w:rFonts w:ascii="Arial" w:eastAsia="Arial" w:hAnsi="Arial" w:cs="Arial"/>
        </w:rPr>
        <w:t xml:space="preserve"> core</w:t>
      </w:r>
      <w:r w:rsidRPr="0020655A">
        <w:rPr>
          <w:rFonts w:ascii="Arial" w:eastAsia="Arial" w:hAnsi="Arial" w:cs="Arial"/>
        </w:rPr>
        <w:t xml:space="preserve"> funding early, together with other donors, helped to prevent an impending 50 per cent cut to rations.</w:t>
      </w:r>
      <w:r>
        <w:rPr>
          <w:rStyle w:val="FootnoteReference"/>
          <w:rFonts w:ascii="Arial" w:eastAsia="Arial" w:hAnsi="Arial" w:cs="Arial"/>
        </w:rPr>
        <w:footnoteReference w:id="88"/>
      </w:r>
      <w:r w:rsidRPr="0020655A">
        <w:rPr>
          <w:rFonts w:ascii="Arial" w:eastAsia="Arial" w:hAnsi="Arial" w:cs="Arial"/>
        </w:rPr>
        <w:t xml:space="preserve"> </w:t>
      </w:r>
      <w:r>
        <w:t xml:space="preserve">One DFAT respondent was sceptical, however, noting that </w:t>
      </w:r>
      <w:r w:rsidR="00665167">
        <w:t xml:space="preserve">earmarked </w:t>
      </w:r>
      <w:r w:rsidR="00D15100">
        <w:t>EOL funding allocated to a response</w:t>
      </w:r>
      <w:r w:rsidR="00B16025">
        <w:t xml:space="preserve"> at country level</w:t>
      </w:r>
      <w:r w:rsidR="008E0612">
        <w:t>,</w:t>
      </w:r>
      <w:r w:rsidR="00D15100">
        <w:t xml:space="preserve"> </w:t>
      </w:r>
      <w:r>
        <w:t xml:space="preserve">“was </w:t>
      </w:r>
      <w:r w:rsidR="00377376">
        <w:t xml:space="preserve">often </w:t>
      </w:r>
      <w:r>
        <w:t>used last”, and that Australia was often asked to grant no-cost extensions to its funding.</w:t>
      </w:r>
      <w:r>
        <w:rPr>
          <w:rStyle w:val="FootnoteReference"/>
        </w:rPr>
        <w:footnoteReference w:id="89"/>
      </w:r>
      <w:r>
        <w:t xml:space="preserve"> </w:t>
      </w:r>
      <w:r w:rsidR="001F73A0">
        <w:rPr>
          <w:rFonts w:ascii="Arial" w:eastAsia="Arial" w:hAnsi="Arial" w:cs="Arial"/>
        </w:rPr>
        <w:t xml:space="preserve"> </w:t>
      </w:r>
      <w:r w:rsidRPr="0020655A">
        <w:rPr>
          <w:rFonts w:ascii="Arial" w:eastAsia="Arial" w:hAnsi="Arial" w:cs="Arial"/>
        </w:rPr>
        <w:t>Interviewees spoke to opportunities to support even faster funding arrangements and pre-position funding for known crises.</w:t>
      </w:r>
      <w:r>
        <w:rPr>
          <w:rStyle w:val="FootnoteReference"/>
          <w:rFonts w:ascii="Arial" w:eastAsia="Arial" w:hAnsi="Arial" w:cs="Arial"/>
        </w:rPr>
        <w:footnoteReference w:id="90"/>
      </w:r>
      <w:r w:rsidRPr="0020655A">
        <w:rPr>
          <w:rFonts w:ascii="Arial" w:eastAsia="Arial" w:hAnsi="Arial" w:cs="Arial"/>
        </w:rPr>
        <w:t xml:space="preserve"> </w:t>
      </w:r>
    </w:p>
    <w:p w14:paraId="72D2CFEF" w14:textId="5D565F53" w:rsidR="00AD501C" w:rsidRDefault="00AD501C" w:rsidP="00AD501C">
      <w:pPr>
        <w:spacing w:before="240"/>
      </w:pPr>
      <w:r>
        <w:t xml:space="preserve">The majority of DFAT staff surveyed (15 of 23) said that having to negotiate funding based on DFAT’s standard </w:t>
      </w:r>
      <w:r w:rsidR="008E0612">
        <w:t>grant arrangement</w:t>
      </w:r>
      <w:r>
        <w:t>, rather than SPFs, would have a very negative impact on Australia’s ability to deliver timely, efficient</w:t>
      </w:r>
      <w:r w:rsidR="00D07728">
        <w:t>,</w:t>
      </w:r>
      <w:r>
        <w:t xml:space="preserve"> and effective assistance (</w:t>
      </w:r>
      <w:r w:rsidR="00D07728">
        <w:t xml:space="preserve">five </w:t>
      </w:r>
      <w:r>
        <w:t xml:space="preserve">thought there would be a </w:t>
      </w:r>
      <w:r w:rsidR="005F1BF5">
        <w:t>“</w:t>
      </w:r>
      <w:r>
        <w:t>slightly negative</w:t>
      </w:r>
      <w:r w:rsidR="005F1BF5">
        <w:t>”</w:t>
      </w:r>
      <w:r>
        <w:t xml:space="preserve"> impact, </w:t>
      </w:r>
      <w:r w:rsidR="00D07728">
        <w:t>two</w:t>
      </w:r>
      <w:r>
        <w:t xml:space="preserve"> </w:t>
      </w:r>
      <w:r w:rsidR="005F1BF5">
        <w:lastRenderedPageBreak/>
        <w:t>“</w:t>
      </w:r>
      <w:r>
        <w:t>did not know</w:t>
      </w:r>
      <w:r w:rsidR="005F1BF5">
        <w:t>”</w:t>
      </w:r>
      <w:r>
        <w:t xml:space="preserve"> and one saw </w:t>
      </w:r>
      <w:r w:rsidR="005F1BF5">
        <w:t>“</w:t>
      </w:r>
      <w:r>
        <w:t>slight positives</w:t>
      </w:r>
      <w:r w:rsidR="005F1BF5">
        <w:t>”</w:t>
      </w:r>
      <w:r>
        <w:t xml:space="preserve"> in terms of greater transparency over deliverables).</w:t>
      </w:r>
      <w:r w:rsidR="00BE0E2C">
        <w:rPr>
          <w:rStyle w:val="FootnoteReference"/>
        </w:rPr>
        <w:footnoteReference w:id="91"/>
      </w:r>
      <w:r>
        <w:t xml:space="preserve"> DFAT staff noted that h</w:t>
      </w:r>
      <w:r w:rsidRPr="00350035">
        <w:t xml:space="preserve">aving pre-negotiated clauses </w:t>
      </w:r>
      <w:r>
        <w:t xml:space="preserve">on </w:t>
      </w:r>
      <w:r w:rsidRPr="00350035">
        <w:t>safeguarding</w:t>
      </w:r>
      <w:r>
        <w:t xml:space="preserve"> and</w:t>
      </w:r>
      <w:r w:rsidRPr="00350035">
        <w:t xml:space="preserve"> counter-terrorist financing</w:t>
      </w:r>
      <w:r>
        <w:t xml:space="preserve"> was important</w:t>
      </w:r>
      <w:r w:rsidRPr="00350035">
        <w:t xml:space="preserve"> to enable funds to be disbursed through EOLs quickly at country level</w:t>
      </w:r>
      <w:r w:rsidR="00326731">
        <w:t xml:space="preserve"> (</w:t>
      </w:r>
      <w:r w:rsidR="00D07728">
        <w:t>KEQ</w:t>
      </w:r>
      <w:r w:rsidR="005F1BF5">
        <w:t xml:space="preserve"> </w:t>
      </w:r>
      <w:r w:rsidR="00326731" w:rsidRPr="008D1C8F">
        <w:t>3.3</w:t>
      </w:r>
      <w:r w:rsidR="00326731">
        <w:t>)</w:t>
      </w:r>
      <w:r w:rsidRPr="00350035">
        <w:t>.</w:t>
      </w:r>
      <w:r>
        <w:rPr>
          <w:rStyle w:val="FootnoteReference"/>
        </w:rPr>
        <w:footnoteReference w:id="92"/>
      </w:r>
      <w:r w:rsidRPr="00350035">
        <w:t xml:space="preserve"> </w:t>
      </w:r>
      <w:r>
        <w:t>One DFAT respondent said that it took</w:t>
      </w:r>
      <w:r w:rsidR="00D07728">
        <w:t>,</w:t>
      </w:r>
      <w:r>
        <w:t xml:space="preserve"> on average</w:t>
      </w:r>
      <w:r w:rsidR="00D07728">
        <w:t>,</w:t>
      </w:r>
      <w:r>
        <w:t xml:space="preserve"> three weeks to negotiate standard </w:t>
      </w:r>
      <w:r w:rsidR="008E0612">
        <w:t xml:space="preserve">grant </w:t>
      </w:r>
      <w:r>
        <w:t>arrangements compared to 72 hours for EOLs</w:t>
      </w:r>
      <w:r w:rsidR="005F1BF5">
        <w:t>.</w:t>
      </w:r>
      <w:r>
        <w:rPr>
          <w:rStyle w:val="FootnoteReference"/>
        </w:rPr>
        <w:footnoteReference w:id="93"/>
      </w:r>
      <w:r w:rsidR="005F1BF5">
        <w:t xml:space="preserve"> Other relevant reflections </w:t>
      </w:r>
      <w:r w:rsidR="00375BDC">
        <w:t xml:space="preserve">from DFAT officials at Post and in Canberra </w:t>
      </w:r>
      <w:r w:rsidR="005F1BF5">
        <w:t xml:space="preserve">included: </w:t>
      </w:r>
    </w:p>
    <w:p w14:paraId="1C7FFF4F" w14:textId="22FA1000" w:rsidR="00AD501C" w:rsidRPr="00076E57" w:rsidRDefault="00C23A2C" w:rsidP="00081DA9">
      <w:pPr>
        <w:ind w:left="568"/>
        <w:rPr>
          <w:i/>
          <w:iCs/>
          <w:color w:val="1D336D" w:themeColor="background2"/>
        </w:rPr>
      </w:pPr>
      <w:r w:rsidRPr="00076E57">
        <w:rPr>
          <w:i/>
          <w:iCs/>
          <w:color w:val="1D336D" w:themeColor="background2"/>
        </w:rPr>
        <w:t>“</w:t>
      </w:r>
      <w:r w:rsidR="00AD501C" w:rsidRPr="00076E57">
        <w:rPr>
          <w:i/>
          <w:iCs/>
          <w:color w:val="1D336D" w:themeColor="background2"/>
        </w:rPr>
        <w:t>SPFs are effective and efficient in allowing Posts to engage quickly with partners, especially during humanitarian emergencies.</w:t>
      </w:r>
      <w:r w:rsidRPr="00076E57">
        <w:rPr>
          <w:i/>
          <w:iCs/>
          <w:color w:val="1D336D" w:themeColor="background2"/>
        </w:rPr>
        <w:t>”</w:t>
      </w:r>
    </w:p>
    <w:p w14:paraId="3A35D242" w14:textId="40C2DE3D" w:rsidR="00AD501C" w:rsidRPr="00076E57" w:rsidRDefault="00C23A2C" w:rsidP="00375BDC">
      <w:pPr>
        <w:ind w:left="568"/>
        <w:rPr>
          <w:i/>
          <w:iCs/>
          <w:color w:val="1D336D" w:themeColor="background2"/>
        </w:rPr>
      </w:pPr>
      <w:r w:rsidRPr="00076E57">
        <w:rPr>
          <w:i/>
          <w:iCs/>
          <w:color w:val="1D336D" w:themeColor="background2"/>
        </w:rPr>
        <w:t>“</w:t>
      </w:r>
      <w:r w:rsidR="00AD501C" w:rsidRPr="00076E57">
        <w:rPr>
          <w:i/>
          <w:iCs/>
          <w:color w:val="1D336D" w:themeColor="background2"/>
        </w:rPr>
        <w:t>SPFs and E</w:t>
      </w:r>
      <w:r w:rsidR="00335BD4" w:rsidRPr="00076E57">
        <w:rPr>
          <w:i/>
          <w:iCs/>
          <w:color w:val="1D336D" w:themeColor="background2"/>
        </w:rPr>
        <w:t>O</w:t>
      </w:r>
      <w:r w:rsidR="00AD501C" w:rsidRPr="00076E57">
        <w:rPr>
          <w:i/>
          <w:iCs/>
          <w:color w:val="1D336D" w:themeColor="background2"/>
        </w:rPr>
        <w:t>Ls are a useful and efficient modality for engaging the partners. I have experience engaging partners where an SPF is not in place, and E</w:t>
      </w:r>
      <w:r w:rsidR="00335BD4" w:rsidRPr="00076E57">
        <w:rPr>
          <w:i/>
          <w:iCs/>
          <w:color w:val="1D336D" w:themeColor="background2"/>
        </w:rPr>
        <w:t>O</w:t>
      </w:r>
      <w:r w:rsidR="00AD501C" w:rsidRPr="00076E57">
        <w:rPr>
          <w:i/>
          <w:iCs/>
          <w:color w:val="1D336D" w:themeColor="background2"/>
        </w:rPr>
        <w:t>Ls take considerably longer to establish and may not be consistent across engagements.</w:t>
      </w:r>
      <w:r w:rsidRPr="00076E57">
        <w:rPr>
          <w:i/>
          <w:iCs/>
          <w:color w:val="1D336D" w:themeColor="background2"/>
        </w:rPr>
        <w:t>”</w:t>
      </w:r>
    </w:p>
    <w:p w14:paraId="671460F1" w14:textId="0959A6C4" w:rsidR="0020655A" w:rsidRPr="0020655A" w:rsidRDefault="0053362B" w:rsidP="00E17D1A">
      <w:pPr>
        <w:pStyle w:val="ListParagraph"/>
        <w:numPr>
          <w:ilvl w:val="1"/>
          <w:numId w:val="11"/>
        </w:numPr>
        <w:spacing w:before="240"/>
        <w:rPr>
          <w:rFonts w:ascii="Arial" w:eastAsia="Arial" w:hAnsi="Arial" w:cs="Arial"/>
          <w:b/>
          <w:bCs/>
        </w:rPr>
      </w:pPr>
      <w:r w:rsidRPr="0020655A">
        <w:rPr>
          <w:rFonts w:ascii="Arial" w:eastAsia="Arial" w:hAnsi="Arial" w:cs="Arial"/>
          <w:b/>
          <w:bCs/>
        </w:rPr>
        <w:t xml:space="preserve">To what extent have SPFs supported DFAT in robust risk management of Australian funding? </w:t>
      </w:r>
    </w:p>
    <w:p w14:paraId="54114F57" w14:textId="3C10ACDE" w:rsidR="00360D34" w:rsidRDefault="0053362B" w:rsidP="0020655A">
      <w:pPr>
        <w:spacing w:before="240"/>
        <w:rPr>
          <w:rFonts w:ascii="Arial" w:eastAsia="Arial" w:hAnsi="Arial" w:cs="Arial"/>
        </w:rPr>
      </w:pPr>
      <w:r w:rsidRPr="0020655A">
        <w:rPr>
          <w:rFonts w:ascii="Arial" w:eastAsia="Arial" w:hAnsi="Arial" w:cs="Arial"/>
        </w:rPr>
        <w:t>SPFs are important tools supporting DFAT’s ability to manage risk. Humanitarian contexts demand risk-informed, rather than risk-averse, decision-making.</w:t>
      </w:r>
      <w:r>
        <w:rPr>
          <w:rStyle w:val="FootnoteReference"/>
          <w:rFonts w:ascii="Arial" w:eastAsia="Arial" w:hAnsi="Arial" w:cs="Arial"/>
        </w:rPr>
        <w:footnoteReference w:id="94"/>
      </w:r>
      <w:r w:rsidRPr="0020655A">
        <w:rPr>
          <w:rFonts w:ascii="Arial" w:eastAsia="Arial" w:hAnsi="Arial" w:cs="Arial"/>
        </w:rPr>
        <w:t xml:space="preserve"> SPFs and EOLs contain important clauses needed to manage risk in line with DFAT standards, with optional clauses for </w:t>
      </w:r>
      <w:r w:rsidRPr="0020655A" w:rsidDel="00E51D66">
        <w:rPr>
          <w:rFonts w:ascii="Arial" w:eastAsia="Arial" w:hAnsi="Arial" w:cs="Arial"/>
        </w:rPr>
        <w:t>high</w:t>
      </w:r>
      <w:r w:rsidRPr="0020655A">
        <w:rPr>
          <w:rFonts w:ascii="Arial" w:eastAsia="Arial" w:hAnsi="Arial" w:cs="Arial"/>
        </w:rPr>
        <w:t>-risk contexts in the EOLs (</w:t>
      </w:r>
      <w:r w:rsidR="00D07728">
        <w:rPr>
          <w:rFonts w:ascii="Arial" w:eastAsia="Arial" w:hAnsi="Arial" w:cs="Arial"/>
        </w:rPr>
        <w:t>KEQ</w:t>
      </w:r>
      <w:r w:rsidR="00C11A90">
        <w:rPr>
          <w:rFonts w:ascii="Arial" w:eastAsia="Arial" w:hAnsi="Arial" w:cs="Arial"/>
        </w:rPr>
        <w:t xml:space="preserve"> </w:t>
      </w:r>
      <w:r w:rsidRPr="00B31364">
        <w:rPr>
          <w:rFonts w:ascii="Arial" w:eastAsia="Arial" w:hAnsi="Arial" w:cs="Arial"/>
        </w:rPr>
        <w:t>1.3</w:t>
      </w:r>
      <w:r w:rsidRPr="0020655A">
        <w:rPr>
          <w:rFonts w:ascii="Arial" w:eastAsia="Arial" w:hAnsi="Arial" w:cs="Arial"/>
        </w:rPr>
        <w:t xml:space="preserve">). Several DFAT officers noted that without SPFs, it would be too complex to ensure all humanitarian </w:t>
      </w:r>
      <w:r w:rsidR="002A6601">
        <w:rPr>
          <w:rFonts w:ascii="Arial" w:eastAsia="Arial" w:hAnsi="Arial" w:cs="Arial"/>
        </w:rPr>
        <w:t>arrangements</w:t>
      </w:r>
      <w:r w:rsidRPr="0020655A">
        <w:rPr>
          <w:rFonts w:ascii="Arial" w:eastAsia="Arial" w:hAnsi="Arial" w:cs="Arial"/>
        </w:rPr>
        <w:t xml:space="preserve"> contained sufficient risk management clauses.</w:t>
      </w:r>
      <w:r>
        <w:rPr>
          <w:rStyle w:val="FootnoteReference"/>
          <w:rFonts w:ascii="Arial" w:eastAsia="Arial" w:hAnsi="Arial" w:cs="Arial"/>
        </w:rPr>
        <w:footnoteReference w:id="95"/>
      </w:r>
      <w:r w:rsidRPr="0020655A">
        <w:rPr>
          <w:rFonts w:ascii="Arial" w:eastAsia="Arial" w:hAnsi="Arial" w:cs="Arial"/>
        </w:rPr>
        <w:t xml:space="preserve"> </w:t>
      </w:r>
    </w:p>
    <w:p w14:paraId="430EFAFF" w14:textId="25E018DF" w:rsidR="00B54418" w:rsidRDefault="00B54418" w:rsidP="0020655A">
      <w:pPr>
        <w:spacing w:before="240"/>
        <w:rPr>
          <w:rFonts w:ascii="Arial" w:eastAsia="Arial" w:hAnsi="Arial" w:cs="Arial"/>
        </w:rPr>
      </w:pPr>
      <w:r>
        <w:rPr>
          <w:rFonts w:ascii="Arial" w:eastAsia="Arial" w:hAnsi="Arial" w:cs="Arial"/>
        </w:rPr>
        <w:t>DFAT officials involved in negotiating the SPFs noted that the extensive negotiation process, and the C</w:t>
      </w:r>
      <w:r w:rsidR="000F689E">
        <w:rPr>
          <w:rFonts w:ascii="Arial" w:eastAsia="Arial" w:hAnsi="Arial" w:cs="Arial"/>
        </w:rPr>
        <w:t xml:space="preserve">entral </w:t>
      </w:r>
      <w:r>
        <w:rPr>
          <w:rFonts w:ascii="Arial" w:eastAsia="Arial" w:hAnsi="Arial" w:cs="Arial"/>
        </w:rPr>
        <w:t>Assurance Assessments of each SPF partner conducted jointly with the UK in 2020-21</w:t>
      </w:r>
      <w:r w:rsidR="001A0B20">
        <w:rPr>
          <w:rFonts w:ascii="Arial" w:eastAsia="Arial" w:hAnsi="Arial" w:cs="Arial"/>
        </w:rPr>
        <w:t xml:space="preserve"> </w:t>
      </w:r>
      <w:r>
        <w:rPr>
          <w:rFonts w:ascii="Arial" w:eastAsia="Arial" w:hAnsi="Arial" w:cs="Arial"/>
        </w:rPr>
        <w:t>greatly increased their understanding of partner risk capacities and systems</w:t>
      </w:r>
      <w:r w:rsidR="00874878">
        <w:rPr>
          <w:rFonts w:ascii="Arial" w:eastAsia="Arial" w:hAnsi="Arial" w:cs="Arial"/>
        </w:rPr>
        <w:t>,</w:t>
      </w:r>
      <w:r>
        <w:rPr>
          <w:rFonts w:ascii="Arial" w:eastAsia="Arial" w:hAnsi="Arial" w:cs="Arial"/>
        </w:rPr>
        <w:t xml:space="preserve"> and helped them work with DFAT decision makers to take a more risk informed, as opposed to risk averse, approach to funding decisions.</w:t>
      </w:r>
      <w:r>
        <w:rPr>
          <w:rStyle w:val="FootnoteReference"/>
          <w:rFonts w:ascii="Arial" w:eastAsia="Arial" w:hAnsi="Arial" w:cs="Arial"/>
        </w:rPr>
        <w:footnoteReference w:id="96"/>
      </w:r>
    </w:p>
    <w:p w14:paraId="6CA3ECC5" w14:textId="0475829D" w:rsidR="00FB636B" w:rsidRDefault="00FB636B" w:rsidP="00FB636B">
      <w:pPr>
        <w:spacing w:before="240"/>
        <w:rPr>
          <w:rFonts w:ascii="Arial" w:eastAsia="Arial" w:hAnsi="Arial" w:cs="Arial"/>
        </w:rPr>
      </w:pPr>
      <w:r w:rsidRPr="00346AC2">
        <w:rPr>
          <w:rFonts w:ascii="Arial" w:eastAsia="Arial" w:hAnsi="Arial" w:cs="Arial"/>
        </w:rPr>
        <w:t xml:space="preserve">Posted officers largely reported relying on country specific risk management systems in place at Post to manage </w:t>
      </w:r>
      <w:r w:rsidR="0043022F" w:rsidRPr="00346AC2">
        <w:rPr>
          <w:rFonts w:ascii="Arial" w:eastAsia="Arial" w:hAnsi="Arial" w:cs="Arial"/>
        </w:rPr>
        <w:t xml:space="preserve">EOL </w:t>
      </w:r>
      <w:r w:rsidRPr="00346AC2">
        <w:rPr>
          <w:rFonts w:ascii="Arial" w:eastAsia="Arial" w:hAnsi="Arial" w:cs="Arial"/>
        </w:rPr>
        <w:t>funding. However, several respondents said it was useful to be able to refer back to the headquarters</w:t>
      </w:r>
      <w:r w:rsidR="00D07728" w:rsidRPr="00346AC2">
        <w:rPr>
          <w:rFonts w:ascii="Arial" w:eastAsia="Arial" w:hAnsi="Arial" w:cs="Arial"/>
        </w:rPr>
        <w:t>-</w:t>
      </w:r>
      <w:r w:rsidRPr="00346AC2">
        <w:rPr>
          <w:rFonts w:ascii="Arial" w:eastAsia="Arial" w:hAnsi="Arial" w:cs="Arial"/>
        </w:rPr>
        <w:t>agreed clauses in the SPFs when managing risk and compliance issues.</w:t>
      </w:r>
      <w:r w:rsidRPr="00346AC2">
        <w:rPr>
          <w:rStyle w:val="FootnoteReference"/>
          <w:rFonts w:ascii="Arial" w:eastAsia="Arial" w:hAnsi="Arial" w:cs="Arial"/>
        </w:rPr>
        <w:footnoteReference w:id="97"/>
      </w:r>
      <w:r w:rsidRPr="00346AC2">
        <w:rPr>
          <w:rFonts w:ascii="Arial" w:eastAsia="Arial" w:hAnsi="Arial" w:cs="Arial"/>
        </w:rPr>
        <w:t xml:space="preserve"> </w:t>
      </w:r>
      <w:r w:rsidR="00D07728" w:rsidRPr="00346AC2">
        <w:rPr>
          <w:rFonts w:ascii="Arial" w:eastAsia="Arial" w:hAnsi="Arial" w:cs="Arial"/>
        </w:rPr>
        <w:t>DFAT p</w:t>
      </w:r>
      <w:r w:rsidRPr="00346AC2">
        <w:rPr>
          <w:rFonts w:ascii="Arial" w:eastAsia="Arial" w:hAnsi="Arial" w:cs="Arial"/>
        </w:rPr>
        <w:t>osted officers also reported that, while they engaged closely with SPF partners in country on contextual, reputational</w:t>
      </w:r>
      <w:r w:rsidR="00D07728" w:rsidRPr="00346AC2">
        <w:rPr>
          <w:rFonts w:ascii="Arial" w:eastAsia="Arial" w:hAnsi="Arial" w:cs="Arial"/>
        </w:rPr>
        <w:t>,</w:t>
      </w:r>
      <w:r w:rsidRPr="00346AC2">
        <w:rPr>
          <w:rFonts w:ascii="Arial" w:eastAsia="Arial" w:hAnsi="Arial" w:cs="Arial"/>
        </w:rPr>
        <w:t xml:space="preserve"> and performance risks, they relied on the global assessment of partners</w:t>
      </w:r>
      <w:r w:rsidR="00874878" w:rsidRPr="00346AC2">
        <w:rPr>
          <w:rFonts w:ascii="Arial" w:eastAsia="Arial" w:hAnsi="Arial" w:cs="Arial"/>
        </w:rPr>
        <w:t>’</w:t>
      </w:r>
      <w:r w:rsidRPr="00346AC2">
        <w:rPr>
          <w:rFonts w:ascii="Arial" w:eastAsia="Arial" w:hAnsi="Arial" w:cs="Arial"/>
        </w:rPr>
        <w:t xml:space="preserve"> systems for fraud control, anti-corruption</w:t>
      </w:r>
      <w:r>
        <w:rPr>
          <w:rFonts w:ascii="Arial" w:eastAsia="Arial" w:hAnsi="Arial" w:cs="Arial"/>
        </w:rPr>
        <w:t xml:space="preserve">, environmental and social safeguards, child protection, </w:t>
      </w:r>
      <w:r w:rsidR="00D07728">
        <w:rPr>
          <w:rFonts w:ascii="Arial" w:eastAsia="Arial" w:hAnsi="Arial" w:cs="Arial"/>
        </w:rPr>
        <w:t>PSEAH</w:t>
      </w:r>
      <w:r>
        <w:rPr>
          <w:rFonts w:ascii="Arial" w:eastAsia="Arial" w:hAnsi="Arial" w:cs="Arial"/>
        </w:rPr>
        <w:t xml:space="preserve">, sexual abuse and due diligence. Posted staff lacked the resources or time to ensure compliance with these risks on a </w:t>
      </w:r>
      <w:r w:rsidR="00404B98">
        <w:rPr>
          <w:rFonts w:ascii="Arial" w:eastAsia="Arial" w:hAnsi="Arial" w:cs="Arial"/>
        </w:rPr>
        <w:t>country-by-country</w:t>
      </w:r>
      <w:r>
        <w:rPr>
          <w:rFonts w:ascii="Arial" w:eastAsia="Arial" w:hAnsi="Arial" w:cs="Arial"/>
        </w:rPr>
        <w:t xml:space="preserve"> basis.</w:t>
      </w:r>
      <w:r>
        <w:rPr>
          <w:rStyle w:val="FootnoteReference"/>
          <w:rFonts w:ascii="Arial" w:eastAsia="Arial" w:hAnsi="Arial" w:cs="Arial"/>
        </w:rPr>
        <w:footnoteReference w:id="98"/>
      </w:r>
      <w:r>
        <w:rPr>
          <w:rFonts w:ascii="Arial" w:eastAsia="Arial" w:hAnsi="Arial" w:cs="Arial"/>
        </w:rPr>
        <w:t xml:space="preserve"> </w:t>
      </w:r>
      <w:r w:rsidR="00075917">
        <w:rPr>
          <w:rFonts w:ascii="Arial" w:eastAsia="Arial" w:hAnsi="Arial" w:cs="Arial"/>
        </w:rPr>
        <w:t xml:space="preserve">Two DFAT Posts (one bilateral, one multilateral) </w:t>
      </w:r>
      <w:r>
        <w:rPr>
          <w:rFonts w:ascii="Arial" w:eastAsia="Arial" w:hAnsi="Arial" w:cs="Arial"/>
        </w:rPr>
        <w:t>reported at times being drawn into risk and compliance discussions which they felt they were not resourced to manage.</w:t>
      </w:r>
      <w:r>
        <w:rPr>
          <w:rStyle w:val="FootnoteReference"/>
          <w:rFonts w:ascii="Arial" w:eastAsia="Arial" w:hAnsi="Arial" w:cs="Arial"/>
        </w:rPr>
        <w:footnoteReference w:id="99"/>
      </w:r>
    </w:p>
    <w:p w14:paraId="69E89689" w14:textId="1A816695" w:rsidR="00FB636B" w:rsidRPr="0020655A" w:rsidRDefault="00175AF2" w:rsidP="0020655A">
      <w:pPr>
        <w:spacing w:before="240"/>
        <w:rPr>
          <w:rFonts w:ascii="Arial" w:eastAsia="Arial" w:hAnsi="Arial" w:cs="Arial"/>
        </w:rPr>
      </w:pPr>
      <w:r>
        <w:rPr>
          <w:rFonts w:ascii="Arial" w:eastAsia="Arial" w:hAnsi="Arial" w:cs="Arial"/>
        </w:rPr>
        <w:t>The survey revealed widely divergent views among DFAT staff, both in Canberra and at Post, on whether the SPFs performed better than other donor modalities in f</w:t>
      </w:r>
      <w:r w:rsidRPr="00C07E99">
        <w:rPr>
          <w:rFonts w:ascii="Arial" w:eastAsia="Arial" w:hAnsi="Arial" w:cs="Arial"/>
        </w:rPr>
        <w:t>acilitat</w:t>
      </w:r>
      <w:r>
        <w:rPr>
          <w:rFonts w:ascii="Arial" w:eastAsia="Arial" w:hAnsi="Arial" w:cs="Arial"/>
        </w:rPr>
        <w:t>ing</w:t>
      </w:r>
      <w:r w:rsidRPr="00C07E99">
        <w:rPr>
          <w:rFonts w:ascii="Arial" w:eastAsia="Arial" w:hAnsi="Arial" w:cs="Arial"/>
        </w:rPr>
        <w:t xml:space="preserve"> risk management, compliance and incident reporting</w:t>
      </w:r>
      <w:r>
        <w:rPr>
          <w:rFonts w:ascii="Arial" w:eastAsia="Arial" w:hAnsi="Arial" w:cs="Arial"/>
        </w:rPr>
        <w:t xml:space="preserve">. </w:t>
      </w:r>
      <w:proofErr w:type="gramStart"/>
      <w:r>
        <w:rPr>
          <w:rFonts w:ascii="Arial" w:eastAsia="Arial" w:hAnsi="Arial" w:cs="Arial"/>
        </w:rPr>
        <w:t>A majority of</w:t>
      </w:r>
      <w:proofErr w:type="gramEnd"/>
      <w:r>
        <w:rPr>
          <w:rFonts w:ascii="Arial" w:eastAsia="Arial" w:hAnsi="Arial" w:cs="Arial"/>
        </w:rPr>
        <w:t xml:space="preserve"> respondents </w:t>
      </w:r>
      <w:r w:rsidR="000C0820">
        <w:rPr>
          <w:rFonts w:ascii="Arial" w:eastAsia="Arial" w:hAnsi="Arial" w:cs="Arial"/>
        </w:rPr>
        <w:t>“</w:t>
      </w:r>
      <w:r>
        <w:rPr>
          <w:rFonts w:ascii="Arial" w:eastAsia="Arial" w:hAnsi="Arial" w:cs="Arial"/>
        </w:rPr>
        <w:t>did not know</w:t>
      </w:r>
      <w:r w:rsidR="000C0820">
        <w:rPr>
          <w:rFonts w:ascii="Arial" w:eastAsia="Arial" w:hAnsi="Arial" w:cs="Arial"/>
        </w:rPr>
        <w:t>”</w:t>
      </w:r>
      <w:r>
        <w:rPr>
          <w:rFonts w:ascii="Arial" w:eastAsia="Arial" w:hAnsi="Arial" w:cs="Arial"/>
        </w:rPr>
        <w:t xml:space="preserve"> (</w:t>
      </w:r>
      <w:r w:rsidR="00D07728">
        <w:rPr>
          <w:rFonts w:ascii="Arial" w:eastAsia="Arial" w:hAnsi="Arial" w:cs="Arial"/>
        </w:rPr>
        <w:t>seven</w:t>
      </w:r>
      <w:r>
        <w:rPr>
          <w:rFonts w:ascii="Arial" w:eastAsia="Arial" w:hAnsi="Arial" w:cs="Arial"/>
        </w:rPr>
        <w:t xml:space="preserve"> of 22), followed by those who thought it performed </w:t>
      </w:r>
      <w:r w:rsidR="000C0820">
        <w:rPr>
          <w:rFonts w:ascii="Arial" w:eastAsia="Arial" w:hAnsi="Arial" w:cs="Arial"/>
        </w:rPr>
        <w:t>“</w:t>
      </w:r>
      <w:r>
        <w:rPr>
          <w:rFonts w:ascii="Arial" w:eastAsia="Arial" w:hAnsi="Arial" w:cs="Arial"/>
        </w:rPr>
        <w:t>slightly better</w:t>
      </w:r>
      <w:r w:rsidR="000C0820">
        <w:rPr>
          <w:rFonts w:ascii="Arial" w:eastAsia="Arial" w:hAnsi="Arial" w:cs="Arial"/>
        </w:rPr>
        <w:t>”</w:t>
      </w:r>
      <w:r>
        <w:rPr>
          <w:rFonts w:ascii="Arial" w:eastAsia="Arial" w:hAnsi="Arial" w:cs="Arial"/>
        </w:rPr>
        <w:t xml:space="preserve"> (</w:t>
      </w:r>
      <w:r w:rsidR="00D07728">
        <w:rPr>
          <w:rFonts w:ascii="Arial" w:eastAsia="Arial" w:hAnsi="Arial" w:cs="Arial"/>
        </w:rPr>
        <w:t>five</w:t>
      </w:r>
      <w:r>
        <w:rPr>
          <w:rFonts w:ascii="Arial" w:eastAsia="Arial" w:hAnsi="Arial" w:cs="Arial"/>
        </w:rPr>
        <w:t xml:space="preserve"> of 22) or </w:t>
      </w:r>
      <w:r w:rsidR="000C0820">
        <w:rPr>
          <w:rFonts w:ascii="Arial" w:eastAsia="Arial" w:hAnsi="Arial" w:cs="Arial"/>
        </w:rPr>
        <w:t>“</w:t>
      </w:r>
      <w:r>
        <w:rPr>
          <w:rFonts w:ascii="Arial" w:eastAsia="Arial" w:hAnsi="Arial" w:cs="Arial"/>
        </w:rPr>
        <w:t>slightly worse</w:t>
      </w:r>
      <w:r w:rsidR="000C0820">
        <w:rPr>
          <w:rFonts w:ascii="Arial" w:eastAsia="Arial" w:hAnsi="Arial" w:cs="Arial"/>
        </w:rPr>
        <w:t>”</w:t>
      </w:r>
      <w:r>
        <w:rPr>
          <w:rFonts w:ascii="Arial" w:eastAsia="Arial" w:hAnsi="Arial" w:cs="Arial"/>
        </w:rPr>
        <w:t xml:space="preserve"> (</w:t>
      </w:r>
      <w:r w:rsidR="00D07728">
        <w:rPr>
          <w:rFonts w:ascii="Arial" w:eastAsia="Arial" w:hAnsi="Arial" w:cs="Arial"/>
        </w:rPr>
        <w:t>four</w:t>
      </w:r>
      <w:r>
        <w:rPr>
          <w:rFonts w:ascii="Arial" w:eastAsia="Arial" w:hAnsi="Arial" w:cs="Arial"/>
        </w:rPr>
        <w:t xml:space="preserve"> of 22)</w:t>
      </w:r>
      <w:r w:rsidRPr="003F60EA">
        <w:rPr>
          <w:rFonts w:ascii="Arial" w:eastAsia="Arial" w:hAnsi="Arial" w:cs="Arial"/>
        </w:rPr>
        <w:t xml:space="preserve">. Only </w:t>
      </w:r>
      <w:r w:rsidR="00D07728">
        <w:rPr>
          <w:rFonts w:ascii="Arial" w:eastAsia="Arial" w:hAnsi="Arial" w:cs="Arial"/>
        </w:rPr>
        <w:t>three</w:t>
      </w:r>
      <w:r w:rsidRPr="003F60EA">
        <w:rPr>
          <w:rFonts w:ascii="Arial" w:eastAsia="Arial" w:hAnsi="Arial" w:cs="Arial"/>
        </w:rPr>
        <w:t xml:space="preserve"> of 22 respondents thought the SPFs performed </w:t>
      </w:r>
      <w:r w:rsidR="000C0820">
        <w:rPr>
          <w:rFonts w:ascii="Arial" w:eastAsia="Arial" w:hAnsi="Arial" w:cs="Arial"/>
        </w:rPr>
        <w:t>“</w:t>
      </w:r>
      <w:r w:rsidRPr="003F60EA">
        <w:rPr>
          <w:rFonts w:ascii="Arial" w:eastAsia="Arial" w:hAnsi="Arial" w:cs="Arial"/>
        </w:rPr>
        <w:t>much better</w:t>
      </w:r>
      <w:r w:rsidR="000C0820">
        <w:rPr>
          <w:rFonts w:ascii="Arial" w:eastAsia="Arial" w:hAnsi="Arial" w:cs="Arial"/>
        </w:rPr>
        <w:t>”</w:t>
      </w:r>
      <w:r w:rsidRPr="003F60EA">
        <w:rPr>
          <w:rFonts w:ascii="Arial" w:eastAsia="Arial" w:hAnsi="Arial" w:cs="Arial"/>
        </w:rPr>
        <w:t xml:space="preserve"> than other donor modalities</w:t>
      </w:r>
      <w:r>
        <w:rPr>
          <w:rFonts w:ascii="Arial" w:eastAsia="Arial" w:hAnsi="Arial" w:cs="Arial"/>
        </w:rPr>
        <w:t>.</w:t>
      </w:r>
      <w:r>
        <w:rPr>
          <w:rStyle w:val="FootnoteReference"/>
          <w:rFonts w:ascii="Arial" w:eastAsia="Arial" w:hAnsi="Arial" w:cs="Arial"/>
        </w:rPr>
        <w:footnoteReference w:id="100"/>
      </w:r>
    </w:p>
    <w:p w14:paraId="293DE694" w14:textId="6E0DE49D" w:rsidR="0020655A" w:rsidRPr="0020655A" w:rsidRDefault="0053362B" w:rsidP="00E17D1A">
      <w:pPr>
        <w:pStyle w:val="ListParagraph"/>
        <w:numPr>
          <w:ilvl w:val="1"/>
          <w:numId w:val="11"/>
        </w:numPr>
        <w:spacing w:before="240"/>
        <w:rPr>
          <w:rFonts w:ascii="Arial" w:eastAsia="Arial" w:hAnsi="Arial" w:cs="Arial"/>
          <w:b/>
          <w:bCs/>
        </w:rPr>
      </w:pPr>
      <w:r w:rsidRPr="0020655A">
        <w:rPr>
          <w:rFonts w:ascii="Arial" w:eastAsia="Arial" w:hAnsi="Arial" w:cs="Arial"/>
          <w:b/>
          <w:bCs/>
        </w:rPr>
        <w:lastRenderedPageBreak/>
        <w:t xml:space="preserve">To what extent have the SPFs influenced partners’ management of risk, transparency, safeguarding and incident reporting? </w:t>
      </w:r>
    </w:p>
    <w:p w14:paraId="07D4F053" w14:textId="2C185204" w:rsidR="0053362B" w:rsidRPr="0020655A" w:rsidRDefault="0053362B" w:rsidP="0020655A">
      <w:pPr>
        <w:spacing w:before="240"/>
        <w:rPr>
          <w:rFonts w:ascii="Arial" w:eastAsia="Arial" w:hAnsi="Arial" w:cs="Arial"/>
        </w:rPr>
      </w:pPr>
      <w:r w:rsidRPr="0020655A">
        <w:rPr>
          <w:rFonts w:ascii="Arial" w:eastAsia="Arial" w:hAnsi="Arial" w:cs="Arial"/>
        </w:rPr>
        <w:t>Partners generally reported no change in their management of risk, transparency</w:t>
      </w:r>
      <w:r w:rsidR="00D07728">
        <w:rPr>
          <w:rFonts w:ascii="Arial" w:eastAsia="Arial" w:hAnsi="Arial" w:cs="Arial"/>
        </w:rPr>
        <w:t>,</w:t>
      </w:r>
      <w:r w:rsidRPr="0020655A">
        <w:rPr>
          <w:rFonts w:ascii="Arial" w:eastAsia="Arial" w:hAnsi="Arial" w:cs="Arial"/>
        </w:rPr>
        <w:t xml:space="preserve"> and safeguarding, and incident reporting</w:t>
      </w:r>
      <w:r w:rsidR="00F9487C">
        <w:rPr>
          <w:rFonts w:ascii="Arial" w:eastAsia="Arial" w:hAnsi="Arial" w:cs="Arial"/>
        </w:rPr>
        <w:t xml:space="preserve"> </w:t>
      </w:r>
      <w:proofErr w:type="gramStart"/>
      <w:r w:rsidR="00F9487C">
        <w:rPr>
          <w:rFonts w:ascii="Arial" w:eastAsia="Arial" w:hAnsi="Arial" w:cs="Arial"/>
        </w:rPr>
        <w:t>as a result of</w:t>
      </w:r>
      <w:proofErr w:type="gramEnd"/>
      <w:r w:rsidR="00F9487C">
        <w:rPr>
          <w:rFonts w:ascii="Arial" w:eastAsia="Arial" w:hAnsi="Arial" w:cs="Arial"/>
        </w:rPr>
        <w:t xml:space="preserve"> the</w:t>
      </w:r>
      <w:r w:rsidR="000C0820">
        <w:rPr>
          <w:rFonts w:ascii="Arial" w:eastAsia="Arial" w:hAnsi="Arial" w:cs="Arial"/>
        </w:rPr>
        <w:t>ir</w:t>
      </w:r>
      <w:r w:rsidR="00F9487C">
        <w:rPr>
          <w:rFonts w:ascii="Arial" w:eastAsia="Arial" w:hAnsi="Arial" w:cs="Arial"/>
        </w:rPr>
        <w:t xml:space="preserve"> SPF</w:t>
      </w:r>
      <w:r w:rsidRPr="0020655A">
        <w:rPr>
          <w:rFonts w:ascii="Arial" w:eastAsia="Arial" w:hAnsi="Arial" w:cs="Arial"/>
        </w:rPr>
        <w:t xml:space="preserve">, although there are some examples of change. One partner had employed a full time risk officer at country level which they attributed to </w:t>
      </w:r>
      <w:r w:rsidR="00C65515">
        <w:rPr>
          <w:rFonts w:ascii="Arial" w:eastAsia="Arial" w:hAnsi="Arial" w:cs="Arial"/>
        </w:rPr>
        <w:t xml:space="preserve">multiple </w:t>
      </w:r>
      <w:r w:rsidRPr="0020655A">
        <w:rPr>
          <w:rFonts w:ascii="Arial" w:eastAsia="Arial" w:hAnsi="Arial" w:cs="Arial"/>
        </w:rPr>
        <w:t>donor</w:t>
      </w:r>
      <w:r w:rsidR="00C65515">
        <w:rPr>
          <w:rFonts w:ascii="Arial" w:eastAsia="Arial" w:hAnsi="Arial" w:cs="Arial"/>
        </w:rPr>
        <w:t>s’</w:t>
      </w:r>
      <w:r w:rsidRPr="0020655A">
        <w:rPr>
          <w:rFonts w:ascii="Arial" w:eastAsia="Arial" w:hAnsi="Arial" w:cs="Arial"/>
        </w:rPr>
        <w:t xml:space="preserve"> attention to risk,</w:t>
      </w:r>
      <w:r>
        <w:rPr>
          <w:rStyle w:val="FootnoteReference"/>
          <w:rFonts w:ascii="Arial" w:eastAsia="Arial" w:hAnsi="Arial" w:cs="Arial"/>
        </w:rPr>
        <w:footnoteReference w:id="101"/>
      </w:r>
      <w:r w:rsidRPr="0020655A">
        <w:rPr>
          <w:rFonts w:ascii="Arial" w:eastAsia="Arial" w:hAnsi="Arial" w:cs="Arial"/>
        </w:rPr>
        <w:t xml:space="preserve"> and a DFAT officer reported deep engagement with a partner to ensure that </w:t>
      </w:r>
      <w:r w:rsidR="000C0820">
        <w:rPr>
          <w:rFonts w:ascii="Arial" w:eastAsia="Arial" w:hAnsi="Arial" w:cs="Arial"/>
        </w:rPr>
        <w:t>the commitments of Austra</w:t>
      </w:r>
      <w:r w:rsidR="00444E07">
        <w:rPr>
          <w:rFonts w:ascii="Arial" w:eastAsia="Arial" w:hAnsi="Arial" w:cs="Arial"/>
        </w:rPr>
        <w:t xml:space="preserve">lia’s </w:t>
      </w:r>
      <w:r w:rsidRPr="0020655A">
        <w:rPr>
          <w:rFonts w:ascii="Arial" w:eastAsia="Arial" w:hAnsi="Arial" w:cs="Arial"/>
        </w:rPr>
        <w:t>counter terrorism legislation w</w:t>
      </w:r>
      <w:r w:rsidR="005368B0">
        <w:rPr>
          <w:rFonts w:ascii="Arial" w:eastAsia="Arial" w:hAnsi="Arial" w:cs="Arial"/>
        </w:rPr>
        <w:t>ere</w:t>
      </w:r>
      <w:r w:rsidRPr="0020655A">
        <w:rPr>
          <w:rFonts w:ascii="Arial" w:eastAsia="Arial" w:hAnsi="Arial" w:cs="Arial"/>
        </w:rPr>
        <w:t xml:space="preserve"> upheld by geographically targeting humanitarian assistance.</w:t>
      </w:r>
      <w:r>
        <w:rPr>
          <w:rStyle w:val="FootnoteReference"/>
          <w:rFonts w:ascii="Arial" w:eastAsia="Arial" w:hAnsi="Arial" w:cs="Arial"/>
        </w:rPr>
        <w:footnoteReference w:id="102"/>
      </w:r>
      <w:r w:rsidRPr="0020655A">
        <w:rPr>
          <w:rFonts w:ascii="Arial" w:eastAsia="Arial" w:hAnsi="Arial" w:cs="Arial"/>
        </w:rPr>
        <w:t xml:space="preserve"> DFAT staff in Canberra </w:t>
      </w:r>
      <w:r w:rsidR="00D07728">
        <w:rPr>
          <w:rFonts w:ascii="Arial" w:eastAsia="Arial" w:hAnsi="Arial" w:cs="Arial"/>
        </w:rPr>
        <w:t>were doubtful</w:t>
      </w:r>
      <w:r w:rsidRPr="0020655A">
        <w:rPr>
          <w:rFonts w:ascii="Arial" w:eastAsia="Arial" w:hAnsi="Arial" w:cs="Arial"/>
        </w:rPr>
        <w:t xml:space="preserve"> about the extent to which SPFs had encouraged stronger </w:t>
      </w:r>
      <w:r w:rsidR="008A3ED2">
        <w:rPr>
          <w:rFonts w:ascii="Arial" w:eastAsia="Arial" w:hAnsi="Arial" w:cs="Arial"/>
        </w:rPr>
        <w:t>incident</w:t>
      </w:r>
      <w:r w:rsidRPr="0020655A">
        <w:rPr>
          <w:rFonts w:ascii="Arial" w:eastAsia="Arial" w:hAnsi="Arial" w:cs="Arial"/>
        </w:rPr>
        <w:t xml:space="preserve"> reporting, particularly </w:t>
      </w:r>
      <w:r w:rsidR="00D07728">
        <w:rPr>
          <w:rFonts w:ascii="Arial" w:eastAsia="Arial" w:hAnsi="Arial" w:cs="Arial"/>
        </w:rPr>
        <w:t>PSEAH</w:t>
      </w:r>
      <w:r w:rsidRPr="0020655A">
        <w:rPr>
          <w:rFonts w:ascii="Arial" w:eastAsia="Arial" w:hAnsi="Arial" w:cs="Arial"/>
        </w:rPr>
        <w:t xml:space="preserve"> and child protection.</w:t>
      </w:r>
      <w:r>
        <w:rPr>
          <w:rStyle w:val="FootnoteReference"/>
          <w:rFonts w:ascii="Arial" w:eastAsia="Arial" w:hAnsi="Arial" w:cs="Arial"/>
        </w:rPr>
        <w:footnoteReference w:id="103"/>
      </w:r>
      <w:r w:rsidRPr="0020655A">
        <w:rPr>
          <w:rFonts w:ascii="Arial" w:eastAsia="Arial" w:hAnsi="Arial" w:cs="Arial"/>
        </w:rPr>
        <w:t xml:space="preserve"> </w:t>
      </w:r>
    </w:p>
    <w:p w14:paraId="0F146085" w14:textId="7FFE843C" w:rsidR="0053362B" w:rsidRPr="00345BDB" w:rsidRDefault="01A2ACDF" w:rsidP="0053362B">
      <w:pPr>
        <w:spacing w:before="240"/>
        <w:rPr>
          <w:rFonts w:ascii="Arial" w:eastAsia="Arial" w:hAnsi="Arial" w:cs="Arial"/>
        </w:rPr>
      </w:pPr>
      <w:r>
        <w:rPr>
          <w:rFonts w:ascii="Arial" w:eastAsia="Arial" w:hAnsi="Arial" w:cs="Arial"/>
        </w:rPr>
        <w:t xml:space="preserve">Partners </w:t>
      </w:r>
      <w:r w:rsidRPr="00345BDB">
        <w:rPr>
          <w:rFonts w:ascii="Arial" w:eastAsia="Arial" w:hAnsi="Arial" w:cs="Arial"/>
        </w:rPr>
        <w:t xml:space="preserve">emphasised that they are subject to robust standards and cautioned against tailored approaches that could increase overheads, slow response times, and contravene UN privileges and immunities. </w:t>
      </w:r>
    </w:p>
    <w:p w14:paraId="34B8EFEC" w14:textId="58C4DEF7" w:rsidR="0020655A" w:rsidRPr="00345BDB" w:rsidRDefault="0053362B" w:rsidP="00BC0D9D">
      <w:pPr>
        <w:pStyle w:val="ListParagraph"/>
        <w:numPr>
          <w:ilvl w:val="1"/>
          <w:numId w:val="11"/>
        </w:numPr>
        <w:spacing w:before="240"/>
        <w:rPr>
          <w:rFonts w:ascii="Arial" w:eastAsia="Arial" w:hAnsi="Arial" w:cs="Arial"/>
          <w:b/>
          <w:bCs/>
        </w:rPr>
      </w:pPr>
      <w:r w:rsidRPr="00345BDB">
        <w:rPr>
          <w:rFonts w:ascii="Arial" w:eastAsia="Arial" w:hAnsi="Arial" w:cs="Arial"/>
          <w:b/>
          <w:bCs/>
        </w:rPr>
        <w:t xml:space="preserve">To what extent has the SPF modality supported efficient, consistent and high-quality monitoring, evaluation and reporting? </w:t>
      </w:r>
    </w:p>
    <w:p w14:paraId="77A0F172" w14:textId="3C16AE78" w:rsidR="004640DC" w:rsidRDefault="00D07D70" w:rsidP="004640DC">
      <w:pPr>
        <w:spacing w:before="240"/>
        <w:rPr>
          <w:rFonts w:ascii="Arial" w:eastAsia="Aptos" w:hAnsi="Arial" w:cs="Arial"/>
          <w:color w:val="auto"/>
          <w:kern w:val="2"/>
          <w:szCs w:val="20"/>
          <w:lang w:val="en-GB" w:eastAsia="en-US"/>
          <w14:ligatures w14:val="standardContextual"/>
        </w:rPr>
      </w:pPr>
      <w:r>
        <w:rPr>
          <w:rFonts w:ascii="Arial" w:eastAsia="Aptos" w:hAnsi="Arial" w:cs="Arial"/>
          <w:color w:val="auto"/>
          <w:kern w:val="2"/>
          <w:szCs w:val="20"/>
          <w:lang w:val="en-GB" w:eastAsia="en-US"/>
          <w14:ligatures w14:val="standardContextual"/>
        </w:rPr>
        <w:t>T</w:t>
      </w:r>
      <w:r w:rsidR="004640DC" w:rsidRPr="004640DC">
        <w:rPr>
          <w:rFonts w:ascii="Arial" w:eastAsia="Aptos" w:hAnsi="Arial" w:cs="Arial"/>
          <w:color w:val="auto"/>
          <w:kern w:val="2"/>
          <w:szCs w:val="20"/>
          <w:lang w:val="en-GB" w:eastAsia="en-US"/>
          <w14:ligatures w14:val="standardContextual"/>
        </w:rPr>
        <w:t>he SPF modality has</w:t>
      </w:r>
      <w:r w:rsidR="00E76E06">
        <w:rPr>
          <w:rFonts w:ascii="Arial" w:eastAsia="Aptos" w:hAnsi="Arial" w:cs="Arial"/>
          <w:color w:val="auto"/>
          <w:kern w:val="2"/>
          <w:szCs w:val="20"/>
          <w:lang w:val="en-GB" w:eastAsia="en-US"/>
          <w14:ligatures w14:val="standardContextual"/>
        </w:rPr>
        <w:t xml:space="preserve">, to </w:t>
      </w:r>
      <w:r w:rsidR="007612A8">
        <w:rPr>
          <w:rFonts w:ascii="Arial" w:eastAsia="Aptos" w:hAnsi="Arial" w:cs="Arial"/>
          <w:color w:val="auto"/>
          <w:kern w:val="2"/>
          <w:szCs w:val="20"/>
          <w:lang w:val="en-GB" w:eastAsia="en-US"/>
          <w14:ligatures w14:val="standardContextual"/>
        </w:rPr>
        <w:t>some</w:t>
      </w:r>
      <w:r w:rsidR="00E76E06">
        <w:rPr>
          <w:rFonts w:ascii="Arial" w:eastAsia="Aptos" w:hAnsi="Arial" w:cs="Arial"/>
          <w:color w:val="auto"/>
          <w:kern w:val="2"/>
          <w:szCs w:val="20"/>
          <w:lang w:val="en-GB" w:eastAsia="en-US"/>
          <w14:ligatures w14:val="standardContextual"/>
        </w:rPr>
        <w:t xml:space="preserve"> extent,</w:t>
      </w:r>
      <w:r w:rsidR="004640DC" w:rsidRPr="004640DC">
        <w:rPr>
          <w:rFonts w:ascii="Arial" w:eastAsia="Aptos" w:hAnsi="Arial" w:cs="Arial"/>
          <w:color w:val="auto"/>
          <w:kern w:val="2"/>
          <w:szCs w:val="20"/>
          <w:lang w:val="en-GB" w:eastAsia="en-US"/>
          <w14:ligatures w14:val="standardContextual"/>
        </w:rPr>
        <w:t xml:space="preserve"> supported </w:t>
      </w:r>
      <w:r w:rsidR="00534E7C">
        <w:rPr>
          <w:rFonts w:ascii="Arial" w:eastAsia="Aptos" w:hAnsi="Arial" w:cs="Arial"/>
          <w:color w:val="auto"/>
          <w:kern w:val="2"/>
          <w:szCs w:val="20"/>
          <w:lang w:val="en-GB" w:eastAsia="en-US"/>
          <w14:ligatures w14:val="standardContextual"/>
        </w:rPr>
        <w:t xml:space="preserve">efficient, consistent, and high-quality </w:t>
      </w:r>
      <w:r w:rsidR="004640DC" w:rsidRPr="004640DC">
        <w:rPr>
          <w:rFonts w:ascii="Arial" w:eastAsia="Aptos" w:hAnsi="Arial" w:cs="Arial"/>
          <w:color w:val="auto"/>
          <w:kern w:val="2"/>
          <w:szCs w:val="20"/>
          <w:lang w:val="en-GB" w:eastAsia="en-US"/>
          <w14:ligatures w14:val="standardContextual"/>
        </w:rPr>
        <w:t>monitoring, evaluation and reporting for the purpose of understanding performance</w:t>
      </w:r>
      <w:r w:rsidR="007612A8">
        <w:rPr>
          <w:rFonts w:ascii="Arial" w:eastAsia="Aptos" w:hAnsi="Arial" w:cs="Arial"/>
          <w:color w:val="auto"/>
          <w:kern w:val="2"/>
          <w:szCs w:val="20"/>
          <w:lang w:val="en-GB" w:eastAsia="en-US"/>
          <w14:ligatures w14:val="standardContextual"/>
        </w:rPr>
        <w:t xml:space="preserve"> over the life of the arrangement</w:t>
      </w:r>
      <w:r w:rsidR="00444E07">
        <w:rPr>
          <w:rFonts w:ascii="Arial" w:eastAsia="Aptos" w:hAnsi="Arial" w:cs="Arial"/>
          <w:color w:val="auto"/>
          <w:kern w:val="2"/>
          <w:szCs w:val="20"/>
          <w:lang w:val="en-GB" w:eastAsia="en-US"/>
          <w14:ligatures w14:val="standardContextual"/>
        </w:rPr>
        <w:t xml:space="preserve">. </w:t>
      </w:r>
      <w:r w:rsidR="00756A70">
        <w:rPr>
          <w:rFonts w:ascii="Arial" w:eastAsia="Aptos" w:hAnsi="Arial" w:cs="Arial"/>
          <w:color w:val="auto"/>
          <w:kern w:val="2"/>
          <w:szCs w:val="20"/>
          <w:lang w:val="en-GB" w:eastAsia="en-US"/>
          <w14:ligatures w14:val="standardContextual"/>
        </w:rPr>
        <w:t xml:space="preserve">Some EOLs have supported efficient, consistent and high-quality monitoring, evaluation and reporting to a far higher extent, especially given DFAT requirements for IMRs and PPAs. </w:t>
      </w:r>
      <w:r w:rsidR="008E68CC">
        <w:rPr>
          <w:rFonts w:ascii="Arial" w:eastAsia="Aptos" w:hAnsi="Arial" w:cs="Arial"/>
          <w:color w:val="auto"/>
          <w:kern w:val="2"/>
          <w:szCs w:val="20"/>
          <w:lang w:val="en-GB" w:eastAsia="en-US"/>
          <w14:ligatures w14:val="standardContextual"/>
        </w:rPr>
        <w:t>Monitoring core SPF funding can</w:t>
      </w:r>
      <w:r w:rsidR="0066041C">
        <w:rPr>
          <w:rFonts w:ascii="Arial" w:eastAsia="Aptos" w:hAnsi="Arial" w:cs="Arial"/>
          <w:color w:val="auto"/>
          <w:kern w:val="2"/>
          <w:szCs w:val="20"/>
          <w:lang w:val="en-GB" w:eastAsia="en-US"/>
          <w14:ligatures w14:val="standardContextual"/>
        </w:rPr>
        <w:t xml:space="preserve"> be challenging</w:t>
      </w:r>
      <w:r w:rsidR="008E68CC">
        <w:rPr>
          <w:rFonts w:ascii="Arial" w:eastAsia="Aptos" w:hAnsi="Arial" w:cs="Arial"/>
          <w:color w:val="auto"/>
          <w:kern w:val="2"/>
          <w:szCs w:val="20"/>
          <w:lang w:val="en-GB" w:eastAsia="en-US"/>
          <w14:ligatures w14:val="standardContextual"/>
        </w:rPr>
        <w:t xml:space="preserve"> with policy settings that align with Good Humanitarian Donorship. </w:t>
      </w:r>
    </w:p>
    <w:p w14:paraId="465F4524" w14:textId="3B492A17" w:rsidR="00C76B76" w:rsidRPr="004640DC" w:rsidRDefault="00C76B76" w:rsidP="00C76B76">
      <w:pPr>
        <w:spacing w:before="240"/>
        <w:rPr>
          <w:rFonts w:ascii="Arial" w:eastAsia="Aptos" w:hAnsi="Arial" w:cs="Arial"/>
          <w:color w:val="auto"/>
          <w:kern w:val="2"/>
          <w:lang w:eastAsia="en-US"/>
          <w14:ligatures w14:val="standardContextual"/>
        </w:rPr>
      </w:pPr>
      <w:r w:rsidRPr="016E0351">
        <w:rPr>
          <w:rFonts w:ascii="Arial" w:eastAsia="Aptos" w:hAnsi="Arial" w:cs="Arial"/>
          <w:color w:val="auto"/>
          <w:kern w:val="2"/>
          <w:lang w:eastAsia="en-US"/>
          <w14:ligatures w14:val="standardContextual"/>
        </w:rPr>
        <w:t xml:space="preserve">This </w:t>
      </w:r>
      <w:r w:rsidR="00756A70" w:rsidRPr="016E0351">
        <w:rPr>
          <w:rFonts w:ascii="Arial" w:eastAsia="Aptos" w:hAnsi="Arial" w:cs="Arial"/>
          <w:color w:val="auto"/>
          <w:kern w:val="2"/>
          <w:lang w:eastAsia="en-US"/>
          <w14:ligatures w14:val="standardContextual"/>
        </w:rPr>
        <w:t xml:space="preserve">section </w:t>
      </w:r>
      <w:r w:rsidRPr="016E0351">
        <w:rPr>
          <w:rFonts w:ascii="Arial" w:eastAsia="Aptos" w:hAnsi="Arial" w:cs="Arial"/>
          <w:color w:val="auto"/>
          <w:kern w:val="2"/>
          <w:lang w:eastAsia="en-US"/>
          <w14:ligatures w14:val="standardContextual"/>
        </w:rPr>
        <w:t>is not an assessment of the</w:t>
      </w:r>
      <w:r w:rsidR="00C60187" w:rsidRPr="016E0351">
        <w:rPr>
          <w:rFonts w:ascii="Arial" w:eastAsia="Aptos" w:hAnsi="Arial" w:cs="Arial"/>
          <w:color w:val="auto"/>
          <w:kern w:val="2"/>
          <w:lang w:eastAsia="en-US"/>
          <w14:ligatures w14:val="standardContextual"/>
        </w:rPr>
        <w:t xml:space="preserve"> monitoring, evaluation and</w:t>
      </w:r>
      <w:r w:rsidRPr="016E0351">
        <w:rPr>
          <w:rFonts w:ascii="Arial" w:eastAsia="Aptos" w:hAnsi="Arial" w:cs="Arial"/>
          <w:color w:val="auto"/>
          <w:kern w:val="2"/>
          <w:lang w:eastAsia="en-US"/>
          <w14:ligatures w14:val="standardContextual"/>
        </w:rPr>
        <w:t xml:space="preserve"> reporting produced by multilateral partners independently of the SPFs. Instead, this evaluation finds only that</w:t>
      </w:r>
      <w:r w:rsidR="004E20C2" w:rsidRPr="016E0351">
        <w:rPr>
          <w:rFonts w:ascii="Arial" w:eastAsia="Aptos" w:hAnsi="Arial" w:cs="Arial"/>
          <w:color w:val="auto"/>
          <w:kern w:val="2"/>
          <w:lang w:eastAsia="en-US"/>
          <w14:ligatures w14:val="standardContextual"/>
        </w:rPr>
        <w:t xml:space="preserve"> there is opportunity to strengthen </w:t>
      </w:r>
      <w:r w:rsidR="005D34A0" w:rsidRPr="016E0351">
        <w:rPr>
          <w:rFonts w:ascii="Arial" w:eastAsia="Aptos" w:hAnsi="Arial" w:cs="Arial"/>
          <w:color w:val="auto"/>
          <w:kern w:val="2"/>
          <w:lang w:eastAsia="en-US"/>
          <w14:ligatures w14:val="standardContextual"/>
        </w:rPr>
        <w:t xml:space="preserve">systems to more </w:t>
      </w:r>
      <w:r w:rsidRPr="016E0351">
        <w:rPr>
          <w:rFonts w:ascii="Arial" w:eastAsia="Aptos" w:hAnsi="Arial" w:cs="Arial"/>
          <w:color w:val="auto"/>
          <w:kern w:val="2"/>
          <w:lang w:eastAsia="en-US"/>
          <w14:ligatures w14:val="standardContextual"/>
        </w:rPr>
        <w:t xml:space="preserve">efficiently support understanding of global-level performance and progress against the </w:t>
      </w:r>
      <w:r w:rsidR="00993472" w:rsidRPr="016E0351">
        <w:rPr>
          <w:rFonts w:ascii="Arial" w:eastAsia="Aptos" w:hAnsi="Arial" w:cs="Arial"/>
          <w:color w:val="auto"/>
          <w:kern w:val="2"/>
          <w:lang w:eastAsia="en-US"/>
          <w14:ligatures w14:val="standardContextual"/>
        </w:rPr>
        <w:t>shared partnership objectives and deliverables specified in the SPFs</w:t>
      </w:r>
      <w:r w:rsidRPr="016E0351">
        <w:rPr>
          <w:rFonts w:ascii="Arial" w:eastAsia="Aptos" w:hAnsi="Arial" w:cs="Arial"/>
          <w:color w:val="auto"/>
          <w:kern w:val="2"/>
          <w:lang w:eastAsia="en-US"/>
          <w14:ligatures w14:val="standardContextual"/>
        </w:rPr>
        <w:t xml:space="preserve">.   </w:t>
      </w:r>
    </w:p>
    <w:p w14:paraId="69BFEB19" w14:textId="77777777" w:rsidR="00FF0301" w:rsidRPr="00FF0301" w:rsidRDefault="00FF0301" w:rsidP="00F57CA9">
      <w:pPr>
        <w:spacing w:before="240"/>
        <w:rPr>
          <w:rFonts w:ascii="Arial" w:eastAsia="Aptos" w:hAnsi="Arial" w:cs="Arial"/>
          <w:b/>
          <w:bCs/>
          <w:color w:val="auto"/>
          <w:kern w:val="2"/>
          <w:szCs w:val="20"/>
          <w:lang w:val="en-GB" w:eastAsia="en-US"/>
          <w14:ligatures w14:val="standardContextual"/>
        </w:rPr>
      </w:pPr>
      <w:r w:rsidRPr="00FF0301">
        <w:rPr>
          <w:rFonts w:ascii="Arial" w:eastAsia="Aptos" w:hAnsi="Arial" w:cs="Arial"/>
          <w:b/>
          <w:bCs/>
          <w:color w:val="auto"/>
          <w:kern w:val="2"/>
          <w:szCs w:val="20"/>
          <w:lang w:val="en-GB" w:eastAsia="en-US"/>
          <w14:ligatures w14:val="standardContextual"/>
        </w:rPr>
        <w:t>SPF core funding</w:t>
      </w:r>
    </w:p>
    <w:p w14:paraId="4FEBE8D1" w14:textId="67A5AFC3" w:rsidR="00771034" w:rsidRDefault="00F57CA9" w:rsidP="00F57CA9">
      <w:pPr>
        <w:spacing w:before="240"/>
        <w:rPr>
          <w:rFonts w:ascii="Arial" w:eastAsia="Aptos" w:hAnsi="Arial" w:cs="Arial"/>
          <w:color w:val="auto"/>
          <w:kern w:val="2"/>
          <w:szCs w:val="20"/>
          <w:lang w:val="en-GB" w:eastAsia="en-US"/>
          <w14:ligatures w14:val="standardContextual"/>
        </w:rPr>
      </w:pPr>
      <w:r>
        <w:rPr>
          <w:rFonts w:ascii="Arial" w:eastAsia="Aptos" w:hAnsi="Arial" w:cs="Arial"/>
          <w:color w:val="auto"/>
          <w:kern w:val="2"/>
          <w:szCs w:val="20"/>
          <w:lang w:val="en-GB" w:eastAsia="en-US"/>
          <w14:ligatures w14:val="standardContextual"/>
        </w:rPr>
        <w:t>DFAT’s Aid Programming Guide (2024</w:t>
      </w:r>
      <w:r w:rsidR="00252456">
        <w:rPr>
          <w:rFonts w:ascii="Arial" w:eastAsia="Aptos" w:hAnsi="Arial" w:cs="Arial"/>
          <w:color w:val="auto"/>
          <w:kern w:val="2"/>
          <w:szCs w:val="20"/>
          <w:lang w:val="en-GB" w:eastAsia="en-US"/>
          <w14:ligatures w14:val="standardContextual"/>
        </w:rPr>
        <w:t>, page 19</w:t>
      </w:r>
      <w:r>
        <w:rPr>
          <w:rFonts w:ascii="Arial" w:eastAsia="Aptos" w:hAnsi="Arial" w:cs="Arial"/>
          <w:color w:val="auto"/>
          <w:kern w:val="2"/>
          <w:szCs w:val="20"/>
          <w:lang w:val="en-GB" w:eastAsia="en-US"/>
          <w14:ligatures w14:val="standardContextual"/>
        </w:rPr>
        <w:t xml:space="preserve">) </w:t>
      </w:r>
      <w:r w:rsidR="00771034">
        <w:rPr>
          <w:rFonts w:ascii="Arial" w:eastAsia="Aptos" w:hAnsi="Arial" w:cs="Arial"/>
          <w:color w:val="auto"/>
          <w:kern w:val="2"/>
          <w:szCs w:val="20"/>
          <w:lang w:val="en-GB" w:eastAsia="en-US"/>
          <w14:ligatures w14:val="standardContextual"/>
        </w:rPr>
        <w:t>sets out several requirements</w:t>
      </w:r>
      <w:r w:rsidR="0069781C">
        <w:rPr>
          <w:rFonts w:ascii="Arial" w:eastAsia="Aptos" w:hAnsi="Arial" w:cs="Arial"/>
          <w:color w:val="auto"/>
          <w:kern w:val="2"/>
          <w:szCs w:val="20"/>
          <w:lang w:val="en-GB" w:eastAsia="en-US"/>
          <w14:ligatures w14:val="standardContextual"/>
        </w:rPr>
        <w:t xml:space="preserve"> for </w:t>
      </w:r>
      <w:r w:rsidR="00E7617D">
        <w:rPr>
          <w:rFonts w:ascii="Arial" w:eastAsia="Aptos" w:hAnsi="Arial" w:cs="Arial"/>
          <w:color w:val="auto"/>
          <w:kern w:val="2"/>
          <w:szCs w:val="20"/>
          <w:lang w:val="en-GB" w:eastAsia="en-US"/>
          <w14:ligatures w14:val="standardContextual"/>
        </w:rPr>
        <w:t xml:space="preserve">the </w:t>
      </w:r>
      <w:r w:rsidR="0069781C">
        <w:rPr>
          <w:rFonts w:ascii="Arial" w:eastAsia="Aptos" w:hAnsi="Arial" w:cs="Arial"/>
          <w:color w:val="auto"/>
          <w:kern w:val="2"/>
          <w:szCs w:val="20"/>
          <w:lang w:val="en-GB" w:eastAsia="en-US"/>
          <w14:ligatures w14:val="standardContextual"/>
        </w:rPr>
        <w:t>performance and deliver</w:t>
      </w:r>
      <w:r w:rsidR="00E7617D">
        <w:rPr>
          <w:rFonts w:ascii="Arial" w:eastAsia="Aptos" w:hAnsi="Arial" w:cs="Arial"/>
          <w:color w:val="auto"/>
          <w:kern w:val="2"/>
          <w:szCs w:val="20"/>
          <w:lang w:val="en-GB" w:eastAsia="en-US"/>
          <w14:ligatures w14:val="standardContextual"/>
        </w:rPr>
        <w:t>y of multilateral programs</w:t>
      </w:r>
      <w:r w:rsidR="00CC1987">
        <w:rPr>
          <w:rFonts w:ascii="Arial" w:eastAsia="Aptos" w:hAnsi="Arial" w:cs="Arial"/>
          <w:color w:val="auto"/>
          <w:kern w:val="2"/>
          <w:szCs w:val="20"/>
          <w:lang w:val="en-GB" w:eastAsia="en-US"/>
          <w14:ligatures w14:val="standardContextual"/>
        </w:rPr>
        <w:t xml:space="preserve">. </w:t>
      </w:r>
    </w:p>
    <w:p w14:paraId="68F6DC2D" w14:textId="375C9680" w:rsidR="00D86AE9" w:rsidRDefault="00931D4C" w:rsidP="00FD29F1">
      <w:pPr>
        <w:pStyle w:val="ListParagraph"/>
        <w:numPr>
          <w:ilvl w:val="0"/>
          <w:numId w:val="58"/>
        </w:numPr>
        <w:spacing w:before="240"/>
        <w:ind w:hanging="357"/>
        <w:contextualSpacing w:val="0"/>
        <w:rPr>
          <w:rFonts w:ascii="Arial" w:eastAsia="Aptos" w:hAnsi="Arial" w:cs="Arial"/>
          <w:color w:val="auto"/>
          <w:kern w:val="2"/>
          <w:szCs w:val="20"/>
          <w:lang w:val="en-GB" w:eastAsia="en-US"/>
          <w14:ligatures w14:val="standardContextual"/>
        </w:rPr>
      </w:pPr>
      <w:r>
        <w:rPr>
          <w:rFonts w:ascii="Arial" w:eastAsia="Aptos" w:hAnsi="Arial" w:cs="Arial"/>
          <w:color w:val="auto"/>
          <w:kern w:val="2"/>
          <w:szCs w:val="20"/>
          <w:lang w:val="en-GB" w:eastAsia="en-US"/>
          <w14:ligatures w14:val="standardContextual"/>
        </w:rPr>
        <w:t xml:space="preserve">Policy settings are established in strategic partnership frameworks </w:t>
      </w:r>
      <w:r w:rsidR="00D86AE9" w:rsidRPr="00D86AE9">
        <w:rPr>
          <w:rFonts w:ascii="Arial" w:eastAsia="Aptos" w:hAnsi="Arial" w:cs="Arial"/>
          <w:color w:val="auto"/>
          <w:kern w:val="2"/>
          <w:szCs w:val="20"/>
          <w:lang w:val="en-GB" w:eastAsia="en-US"/>
          <w14:ligatures w14:val="standardContextual"/>
        </w:rPr>
        <w:t xml:space="preserve"> </w:t>
      </w:r>
    </w:p>
    <w:p w14:paraId="1AF68C22" w14:textId="77777777" w:rsidR="004F63A7" w:rsidRDefault="00931D4C" w:rsidP="00FD29F1">
      <w:pPr>
        <w:pStyle w:val="ListParagraph"/>
        <w:numPr>
          <w:ilvl w:val="0"/>
          <w:numId w:val="58"/>
        </w:numPr>
        <w:spacing w:before="240"/>
        <w:ind w:hanging="357"/>
        <w:contextualSpacing w:val="0"/>
        <w:rPr>
          <w:rFonts w:ascii="Arial" w:eastAsia="Aptos" w:hAnsi="Arial" w:cs="Arial"/>
          <w:color w:val="auto"/>
          <w:kern w:val="2"/>
          <w:szCs w:val="20"/>
          <w:lang w:val="en-GB" w:eastAsia="en-US"/>
          <w14:ligatures w14:val="standardContextual"/>
        </w:rPr>
      </w:pPr>
      <w:r>
        <w:rPr>
          <w:rFonts w:ascii="Arial" w:eastAsia="Aptos" w:hAnsi="Arial" w:cs="Arial"/>
          <w:color w:val="auto"/>
          <w:kern w:val="2"/>
          <w:szCs w:val="20"/>
          <w:lang w:val="en-GB" w:eastAsia="en-US"/>
          <w14:ligatures w14:val="standardContextual"/>
        </w:rPr>
        <w:t>Performance is assessed</w:t>
      </w:r>
      <w:r w:rsidR="00C36A3C">
        <w:rPr>
          <w:rFonts w:ascii="Arial" w:eastAsia="Aptos" w:hAnsi="Arial" w:cs="Arial"/>
          <w:color w:val="auto"/>
          <w:kern w:val="2"/>
          <w:szCs w:val="20"/>
          <w:lang w:val="en-GB" w:eastAsia="en-US"/>
          <w14:ligatures w14:val="standardContextual"/>
        </w:rPr>
        <w:t xml:space="preserve"> using</w:t>
      </w:r>
      <w:r w:rsidR="00D86AE9">
        <w:rPr>
          <w:rFonts w:ascii="Arial" w:eastAsia="Aptos" w:hAnsi="Arial" w:cs="Arial"/>
          <w:color w:val="auto"/>
          <w:kern w:val="2"/>
          <w:szCs w:val="20"/>
          <w:lang w:val="en-GB" w:eastAsia="en-US"/>
          <w14:ligatures w14:val="standardContextual"/>
        </w:rPr>
        <w:t xml:space="preserve"> p</w:t>
      </w:r>
      <w:r w:rsidR="00395140" w:rsidRPr="00D86AE9">
        <w:rPr>
          <w:rFonts w:ascii="Arial" w:eastAsia="Aptos" w:hAnsi="Arial" w:cs="Arial"/>
          <w:color w:val="auto"/>
          <w:kern w:val="2"/>
          <w:szCs w:val="20"/>
          <w:lang w:val="en-GB" w:eastAsia="en-US"/>
          <w14:ligatures w14:val="standardContextual"/>
        </w:rPr>
        <w:t>eriodic</w:t>
      </w:r>
      <w:r w:rsidR="00656ED1">
        <w:rPr>
          <w:rFonts w:ascii="Arial" w:eastAsia="Aptos" w:hAnsi="Arial" w:cs="Arial"/>
          <w:color w:val="auto"/>
          <w:kern w:val="2"/>
          <w:szCs w:val="20"/>
          <w:lang w:val="en-GB" w:eastAsia="en-US"/>
          <w14:ligatures w14:val="standardContextual"/>
        </w:rPr>
        <w:t xml:space="preserve"> MPAs</w:t>
      </w:r>
      <w:r w:rsidR="004F63A7">
        <w:rPr>
          <w:rFonts w:ascii="Arial" w:eastAsia="Aptos" w:hAnsi="Arial" w:cs="Arial"/>
          <w:color w:val="auto"/>
          <w:kern w:val="2"/>
          <w:szCs w:val="20"/>
          <w:lang w:val="en-GB" w:eastAsia="en-US"/>
          <w14:ligatures w14:val="standardContextual"/>
        </w:rPr>
        <w:t>.</w:t>
      </w:r>
    </w:p>
    <w:p w14:paraId="3CC2DFD1" w14:textId="59FACB1A" w:rsidR="00570E14" w:rsidRPr="00D86AE9" w:rsidRDefault="004F63A7" w:rsidP="00FD29F1">
      <w:pPr>
        <w:pStyle w:val="ListParagraph"/>
        <w:numPr>
          <w:ilvl w:val="0"/>
          <w:numId w:val="58"/>
        </w:numPr>
        <w:spacing w:before="240"/>
        <w:ind w:hanging="357"/>
        <w:contextualSpacing w:val="0"/>
        <w:rPr>
          <w:rFonts w:ascii="Arial" w:eastAsia="Aptos" w:hAnsi="Arial" w:cs="Arial"/>
          <w:color w:val="auto"/>
          <w:kern w:val="2"/>
          <w:szCs w:val="20"/>
          <w:lang w:val="en-GB" w:eastAsia="en-US"/>
          <w14:ligatures w14:val="standardContextual"/>
        </w:rPr>
      </w:pPr>
      <w:r>
        <w:rPr>
          <w:rFonts w:ascii="Arial" w:eastAsia="Aptos" w:hAnsi="Arial" w:cs="Arial"/>
          <w:color w:val="auto"/>
          <w:kern w:val="2"/>
          <w:szCs w:val="20"/>
          <w:lang w:val="en-GB" w:eastAsia="en-US"/>
          <w14:ligatures w14:val="standardContextual"/>
        </w:rPr>
        <w:t xml:space="preserve">Reporting </w:t>
      </w:r>
      <w:r w:rsidR="00252456">
        <w:rPr>
          <w:rFonts w:ascii="Arial" w:eastAsia="Aptos" w:hAnsi="Arial" w:cs="Arial"/>
          <w:color w:val="auto"/>
          <w:kern w:val="2"/>
          <w:szCs w:val="20"/>
          <w:lang w:val="en-GB" w:eastAsia="en-US"/>
          <w14:ligatures w14:val="standardContextual"/>
        </w:rPr>
        <w:t>is required for</w:t>
      </w:r>
      <w:r w:rsidR="00D86AE9">
        <w:rPr>
          <w:rFonts w:ascii="Arial" w:eastAsia="Aptos" w:hAnsi="Arial" w:cs="Arial"/>
          <w:color w:val="auto"/>
          <w:kern w:val="2"/>
          <w:szCs w:val="20"/>
          <w:lang w:val="en-GB" w:eastAsia="en-US"/>
          <w14:ligatures w14:val="standardContextual"/>
        </w:rPr>
        <w:t xml:space="preserve"> DFAT’s: </w:t>
      </w:r>
    </w:p>
    <w:p w14:paraId="69D590E3" w14:textId="5C36FB41" w:rsidR="00D86AE9" w:rsidRDefault="00570E14" w:rsidP="00FD29F1">
      <w:pPr>
        <w:pStyle w:val="ListParagraph"/>
        <w:numPr>
          <w:ilvl w:val="1"/>
          <w:numId w:val="58"/>
        </w:numPr>
        <w:spacing w:before="240"/>
        <w:ind w:hanging="357"/>
        <w:contextualSpacing w:val="0"/>
        <w:rPr>
          <w:rFonts w:ascii="Arial" w:eastAsia="Aptos" w:hAnsi="Arial" w:cs="Arial"/>
          <w:color w:val="auto"/>
          <w:kern w:val="2"/>
          <w:szCs w:val="20"/>
          <w:lang w:val="en-GB" w:eastAsia="en-US"/>
          <w14:ligatures w14:val="standardContextual"/>
        </w:rPr>
      </w:pPr>
      <w:r>
        <w:rPr>
          <w:rFonts w:ascii="Arial" w:eastAsia="Aptos" w:hAnsi="Arial" w:cs="Arial"/>
          <w:color w:val="auto"/>
          <w:kern w:val="2"/>
          <w:szCs w:val="20"/>
          <w:lang w:val="en-GB" w:eastAsia="en-US"/>
          <w14:ligatures w14:val="standardContextual"/>
        </w:rPr>
        <w:t>Annual Report</w:t>
      </w:r>
      <w:r w:rsidR="00656ED1">
        <w:rPr>
          <w:rFonts w:ascii="Arial" w:eastAsia="Aptos" w:hAnsi="Arial" w:cs="Arial"/>
          <w:color w:val="auto"/>
          <w:kern w:val="2"/>
          <w:szCs w:val="20"/>
          <w:lang w:val="en-GB" w:eastAsia="en-US"/>
          <w14:ligatures w14:val="standardContextual"/>
        </w:rPr>
        <w:t xml:space="preserve">, </w:t>
      </w:r>
    </w:p>
    <w:p w14:paraId="7FEBE848" w14:textId="7CAAE6B3" w:rsidR="00D86AE9" w:rsidRDefault="00570E14" w:rsidP="00FD29F1">
      <w:pPr>
        <w:pStyle w:val="ListParagraph"/>
        <w:numPr>
          <w:ilvl w:val="1"/>
          <w:numId w:val="58"/>
        </w:numPr>
        <w:spacing w:before="240"/>
        <w:ind w:hanging="357"/>
        <w:contextualSpacing w:val="0"/>
        <w:rPr>
          <w:rFonts w:ascii="Arial" w:eastAsia="Aptos" w:hAnsi="Arial" w:cs="Arial"/>
          <w:color w:val="auto"/>
          <w:kern w:val="2"/>
          <w:szCs w:val="20"/>
          <w:lang w:val="en-GB" w:eastAsia="en-US"/>
          <w14:ligatures w14:val="standardContextual"/>
        </w:rPr>
      </w:pPr>
      <w:r>
        <w:rPr>
          <w:rFonts w:ascii="Arial" w:eastAsia="Aptos" w:hAnsi="Arial" w:cs="Arial"/>
          <w:color w:val="auto"/>
          <w:kern w:val="2"/>
          <w:szCs w:val="20"/>
          <w:lang w:val="en-GB" w:eastAsia="en-US"/>
          <w14:ligatures w14:val="standardContextual"/>
        </w:rPr>
        <w:t>Annual Bilateral Development Partnership Talks</w:t>
      </w:r>
      <w:r w:rsidR="00656ED1">
        <w:rPr>
          <w:rFonts w:ascii="Arial" w:eastAsia="Aptos" w:hAnsi="Arial" w:cs="Arial"/>
          <w:color w:val="auto"/>
          <w:kern w:val="2"/>
          <w:szCs w:val="20"/>
          <w:lang w:val="en-GB" w:eastAsia="en-US"/>
          <w14:ligatures w14:val="standardContextual"/>
        </w:rPr>
        <w:t>,</w:t>
      </w:r>
    </w:p>
    <w:p w14:paraId="2996B5AC" w14:textId="7D223F2D" w:rsidR="00D86AE9" w:rsidRPr="004F63A7" w:rsidRDefault="00570E14" w:rsidP="00FD29F1">
      <w:pPr>
        <w:pStyle w:val="ListParagraph"/>
        <w:numPr>
          <w:ilvl w:val="1"/>
          <w:numId w:val="58"/>
        </w:numPr>
        <w:spacing w:before="240"/>
        <w:ind w:hanging="357"/>
        <w:contextualSpacing w:val="0"/>
        <w:rPr>
          <w:rFonts w:ascii="Arial" w:eastAsia="Aptos" w:hAnsi="Arial" w:cs="Arial"/>
          <w:color w:val="auto"/>
          <w:kern w:val="2"/>
          <w:szCs w:val="20"/>
          <w:lang w:val="en-GB" w:eastAsia="en-US"/>
          <w14:ligatures w14:val="standardContextual"/>
        </w:rPr>
      </w:pPr>
      <w:r>
        <w:rPr>
          <w:rFonts w:ascii="Arial" w:eastAsia="Aptos" w:hAnsi="Arial" w:cs="Arial"/>
          <w:color w:val="auto"/>
          <w:kern w:val="2"/>
          <w:szCs w:val="20"/>
          <w:lang w:val="en-GB" w:eastAsia="en-US"/>
          <w14:ligatures w14:val="standardContextual"/>
        </w:rPr>
        <w:t xml:space="preserve">Annual </w:t>
      </w:r>
      <w:r w:rsidRPr="004F63A7">
        <w:rPr>
          <w:rFonts w:ascii="Arial" w:eastAsia="Aptos" w:hAnsi="Arial" w:cs="Arial"/>
          <w:color w:val="auto"/>
          <w:kern w:val="2"/>
          <w:szCs w:val="20"/>
          <w:lang w:val="en-GB" w:eastAsia="en-US"/>
          <w14:ligatures w14:val="standardContextual"/>
        </w:rPr>
        <w:t>Performance of Australian Development Cooperation Report, and</w:t>
      </w:r>
    </w:p>
    <w:p w14:paraId="4EB37E5D" w14:textId="3E78E37B" w:rsidR="00F57CA9" w:rsidRPr="004F63A7" w:rsidRDefault="00D86AE9" w:rsidP="00FD29F1">
      <w:pPr>
        <w:pStyle w:val="ListParagraph"/>
        <w:numPr>
          <w:ilvl w:val="1"/>
          <w:numId w:val="58"/>
        </w:numPr>
        <w:spacing w:before="240"/>
        <w:ind w:hanging="357"/>
        <w:contextualSpacing w:val="0"/>
        <w:rPr>
          <w:rFonts w:ascii="Arial" w:eastAsia="Aptos" w:hAnsi="Arial" w:cs="Arial"/>
          <w:color w:val="auto"/>
          <w:kern w:val="2"/>
          <w:szCs w:val="20"/>
          <w:lang w:val="en-GB" w:eastAsia="en-US"/>
          <w14:ligatures w14:val="standardContextual"/>
        </w:rPr>
      </w:pPr>
      <w:r w:rsidRPr="004F63A7">
        <w:rPr>
          <w:rFonts w:ascii="Arial" w:eastAsia="Aptos" w:hAnsi="Arial" w:cs="Arial"/>
          <w:color w:val="auto"/>
          <w:kern w:val="2"/>
          <w:szCs w:val="20"/>
          <w:lang w:val="en-GB" w:eastAsia="en-US"/>
          <w14:ligatures w14:val="standardContextual"/>
        </w:rPr>
        <w:t>Online</w:t>
      </w:r>
      <w:r w:rsidR="00570E14" w:rsidRPr="004F63A7">
        <w:rPr>
          <w:rFonts w:ascii="Arial" w:eastAsia="Aptos" w:hAnsi="Arial" w:cs="Arial"/>
          <w:color w:val="auto"/>
          <w:kern w:val="2"/>
          <w:szCs w:val="20"/>
          <w:lang w:val="en-GB" w:eastAsia="en-US"/>
          <w14:ligatures w14:val="standardContextual"/>
        </w:rPr>
        <w:t xml:space="preserve"> </w:t>
      </w:r>
      <w:r w:rsidR="00177C10" w:rsidRPr="004F63A7">
        <w:rPr>
          <w:rFonts w:ascii="Arial" w:eastAsia="Aptos" w:hAnsi="Arial" w:cs="Arial"/>
          <w:color w:val="auto"/>
          <w:kern w:val="2"/>
          <w:szCs w:val="20"/>
          <w:lang w:val="en-GB" w:eastAsia="en-US"/>
          <w14:ligatures w14:val="standardContextual"/>
        </w:rPr>
        <w:t>data portal</w:t>
      </w:r>
      <w:r w:rsidR="004F63A7">
        <w:rPr>
          <w:rFonts w:ascii="Arial" w:eastAsia="Aptos" w:hAnsi="Arial" w:cs="Arial"/>
          <w:color w:val="auto"/>
          <w:kern w:val="2"/>
          <w:szCs w:val="20"/>
          <w:lang w:val="en-GB" w:eastAsia="en-US"/>
          <w14:ligatures w14:val="standardContextual"/>
        </w:rPr>
        <w:t>.</w:t>
      </w:r>
      <w:r w:rsidR="00771034" w:rsidRPr="004F63A7">
        <w:rPr>
          <w:rFonts w:ascii="Arial" w:eastAsia="Aptos" w:hAnsi="Arial" w:cs="Arial"/>
          <w:color w:val="auto"/>
          <w:kern w:val="2"/>
          <w:szCs w:val="20"/>
          <w:lang w:val="en-GB" w:eastAsia="en-US"/>
          <w14:ligatures w14:val="standardContextual"/>
        </w:rPr>
        <w:t xml:space="preserve"> </w:t>
      </w:r>
    </w:p>
    <w:p w14:paraId="38C17178" w14:textId="6FD08D2B" w:rsidR="00F57CA9" w:rsidRDefault="00F57CA9" w:rsidP="00F57CA9">
      <w:pPr>
        <w:spacing w:before="240"/>
        <w:rPr>
          <w:rFonts w:ascii="Arial" w:eastAsia="Aptos" w:hAnsi="Arial" w:cs="Arial"/>
          <w:color w:val="auto"/>
          <w:kern w:val="2"/>
          <w:szCs w:val="20"/>
          <w:lang w:val="en-GB" w:eastAsia="en-US"/>
          <w14:ligatures w14:val="standardContextual"/>
        </w:rPr>
      </w:pPr>
      <w:r>
        <w:rPr>
          <w:rFonts w:ascii="Arial" w:eastAsia="Aptos" w:hAnsi="Arial" w:cs="Arial"/>
          <w:color w:val="auto"/>
          <w:kern w:val="2"/>
          <w:szCs w:val="20"/>
          <w:lang w:val="en-GB" w:eastAsia="en-US"/>
          <w14:ligatures w14:val="standardContextual"/>
        </w:rPr>
        <w:lastRenderedPageBreak/>
        <w:t xml:space="preserve">During the </w:t>
      </w:r>
      <w:r w:rsidR="001B6DDE">
        <w:rPr>
          <w:rFonts w:ascii="Arial" w:eastAsia="Aptos" w:hAnsi="Arial" w:cs="Arial"/>
          <w:color w:val="auto"/>
          <w:kern w:val="2"/>
          <w:szCs w:val="20"/>
          <w:lang w:val="en-GB" w:eastAsia="en-US"/>
          <w14:ligatures w14:val="standardContextual"/>
        </w:rPr>
        <w:t>timeframe of this evaluation,</w:t>
      </w:r>
      <w:r w:rsidR="00EC3456">
        <w:rPr>
          <w:rFonts w:ascii="Arial" w:eastAsia="Aptos" w:hAnsi="Arial" w:cs="Arial"/>
          <w:color w:val="auto"/>
          <w:kern w:val="2"/>
          <w:szCs w:val="20"/>
          <w:lang w:val="en-GB" w:eastAsia="en-US"/>
          <w14:ligatures w14:val="standardContextual"/>
        </w:rPr>
        <w:t xml:space="preserve"> except for a pilot MPA for WFP,</w:t>
      </w:r>
      <w:r w:rsidR="001B6DDE">
        <w:rPr>
          <w:rFonts w:ascii="Arial" w:eastAsia="Aptos" w:hAnsi="Arial" w:cs="Arial"/>
          <w:color w:val="auto"/>
          <w:kern w:val="2"/>
          <w:szCs w:val="20"/>
          <w:lang w:val="en-GB" w:eastAsia="en-US"/>
          <w14:ligatures w14:val="standardContextual"/>
        </w:rPr>
        <w:t xml:space="preserve"> DFAT paused the requirement for </w:t>
      </w:r>
      <w:r w:rsidR="00C778B9">
        <w:rPr>
          <w:rFonts w:ascii="Arial" w:eastAsia="Aptos" w:hAnsi="Arial" w:cs="Arial"/>
          <w:color w:val="auto"/>
          <w:kern w:val="2"/>
          <w:szCs w:val="20"/>
          <w:lang w:val="en-GB" w:eastAsia="en-US"/>
          <w14:ligatures w14:val="standardContextual"/>
        </w:rPr>
        <w:t>MPAs</w:t>
      </w:r>
      <w:r w:rsidR="00BA2A0F">
        <w:rPr>
          <w:rFonts w:ascii="Arial" w:eastAsia="Aptos" w:hAnsi="Arial" w:cs="Arial"/>
          <w:color w:val="auto"/>
          <w:kern w:val="2"/>
          <w:szCs w:val="20"/>
          <w:lang w:val="en-GB" w:eastAsia="en-US"/>
          <w14:ligatures w14:val="standardContextual"/>
        </w:rPr>
        <w:t xml:space="preserve"> to assess performance</w:t>
      </w:r>
      <w:r w:rsidR="001B6DDE">
        <w:rPr>
          <w:rFonts w:ascii="Arial" w:eastAsia="Aptos" w:hAnsi="Arial" w:cs="Arial"/>
          <w:color w:val="auto"/>
          <w:kern w:val="2"/>
          <w:szCs w:val="20"/>
          <w:lang w:val="en-GB" w:eastAsia="en-US"/>
          <w14:ligatures w14:val="standardContextual"/>
        </w:rPr>
        <w:t xml:space="preserve">. This has been an important gap in </w:t>
      </w:r>
      <w:r w:rsidR="00584D76">
        <w:rPr>
          <w:rFonts w:ascii="Arial" w:eastAsia="Aptos" w:hAnsi="Arial" w:cs="Arial"/>
          <w:color w:val="auto"/>
          <w:kern w:val="2"/>
          <w:szCs w:val="20"/>
          <w:lang w:val="en-GB" w:eastAsia="en-US"/>
          <w14:ligatures w14:val="standardContextual"/>
        </w:rPr>
        <w:t xml:space="preserve">the </w:t>
      </w:r>
      <w:r w:rsidR="002A07D2">
        <w:rPr>
          <w:rFonts w:ascii="Arial" w:eastAsia="Aptos" w:hAnsi="Arial" w:cs="Arial"/>
          <w:color w:val="auto"/>
          <w:kern w:val="2"/>
          <w:szCs w:val="20"/>
          <w:lang w:val="en-GB" w:eastAsia="en-US"/>
          <w14:ligatures w14:val="standardContextual"/>
        </w:rPr>
        <w:t>monitoring, evaluation and reporting of SPF core funding</w:t>
      </w:r>
      <w:r w:rsidR="0081232A">
        <w:rPr>
          <w:rFonts w:ascii="Arial" w:eastAsia="Aptos" w:hAnsi="Arial" w:cs="Arial"/>
          <w:color w:val="auto"/>
          <w:kern w:val="2"/>
          <w:szCs w:val="20"/>
          <w:lang w:val="en-GB" w:eastAsia="en-US"/>
          <w14:ligatures w14:val="standardContextual"/>
        </w:rPr>
        <w:t xml:space="preserve"> over the period</w:t>
      </w:r>
      <w:r w:rsidR="002A07D2">
        <w:rPr>
          <w:rFonts w:ascii="Arial" w:eastAsia="Aptos" w:hAnsi="Arial" w:cs="Arial"/>
          <w:color w:val="auto"/>
          <w:kern w:val="2"/>
          <w:szCs w:val="20"/>
          <w:lang w:val="en-GB" w:eastAsia="en-US"/>
          <w14:ligatures w14:val="standardContextual"/>
        </w:rPr>
        <w:t>.</w:t>
      </w:r>
      <w:r w:rsidR="0081232A">
        <w:rPr>
          <w:rFonts w:ascii="Arial" w:eastAsia="Aptos" w:hAnsi="Arial" w:cs="Arial"/>
          <w:color w:val="auto"/>
          <w:kern w:val="2"/>
          <w:szCs w:val="20"/>
          <w:lang w:val="en-GB" w:eastAsia="en-US"/>
          <w14:ligatures w14:val="standardContextual"/>
        </w:rPr>
        <w:t xml:space="preserve"> </w:t>
      </w:r>
      <w:r w:rsidR="005663E6">
        <w:rPr>
          <w:rFonts w:ascii="Arial" w:eastAsia="Aptos" w:hAnsi="Arial" w:cs="Arial"/>
          <w:color w:val="auto"/>
          <w:kern w:val="2"/>
          <w:szCs w:val="20"/>
          <w:lang w:val="en-GB" w:eastAsia="en-US"/>
          <w14:ligatures w14:val="standardContextual"/>
        </w:rPr>
        <w:t xml:space="preserve">DFAT </w:t>
      </w:r>
      <w:r w:rsidR="00FD29F1">
        <w:rPr>
          <w:rFonts w:ascii="Arial" w:eastAsia="Aptos" w:hAnsi="Arial" w:cs="Arial"/>
          <w:color w:val="auto"/>
          <w:kern w:val="2"/>
          <w:szCs w:val="20"/>
          <w:lang w:val="en-GB" w:eastAsia="en-US"/>
          <w14:ligatures w14:val="standardContextual"/>
        </w:rPr>
        <w:t>advises</w:t>
      </w:r>
      <w:r w:rsidR="005663E6">
        <w:rPr>
          <w:rFonts w:ascii="Arial" w:eastAsia="Aptos" w:hAnsi="Arial" w:cs="Arial"/>
          <w:color w:val="auto"/>
          <w:kern w:val="2"/>
          <w:szCs w:val="20"/>
          <w:lang w:val="en-GB" w:eastAsia="en-US"/>
          <w14:ligatures w14:val="standardContextual"/>
        </w:rPr>
        <w:t xml:space="preserve"> that</w:t>
      </w:r>
      <w:r w:rsidR="00EC3456">
        <w:rPr>
          <w:rFonts w:ascii="Arial" w:eastAsia="Aptos" w:hAnsi="Arial" w:cs="Arial"/>
          <w:color w:val="auto"/>
          <w:kern w:val="2"/>
          <w:szCs w:val="20"/>
          <w:lang w:val="en-GB" w:eastAsia="en-US"/>
          <w14:ligatures w14:val="standardContextual"/>
        </w:rPr>
        <w:t xml:space="preserve"> following the successful pilot,</w:t>
      </w:r>
      <w:r w:rsidR="005663E6">
        <w:rPr>
          <w:rFonts w:ascii="Arial" w:eastAsia="Aptos" w:hAnsi="Arial" w:cs="Arial"/>
          <w:color w:val="auto"/>
          <w:kern w:val="2"/>
          <w:szCs w:val="20"/>
          <w:lang w:val="en-GB" w:eastAsia="en-US"/>
          <w14:ligatures w14:val="standardContextual"/>
        </w:rPr>
        <w:t xml:space="preserve"> MPAs </w:t>
      </w:r>
      <w:r w:rsidR="0081232A">
        <w:rPr>
          <w:rFonts w:ascii="Arial" w:eastAsia="Aptos" w:hAnsi="Arial" w:cs="Arial"/>
          <w:color w:val="auto"/>
          <w:kern w:val="2"/>
          <w:szCs w:val="20"/>
          <w:lang w:val="en-GB" w:eastAsia="en-US"/>
          <w14:ligatures w14:val="standardContextual"/>
        </w:rPr>
        <w:t>are due to resume</w:t>
      </w:r>
      <w:r w:rsidR="002E028F">
        <w:rPr>
          <w:rFonts w:ascii="Arial" w:eastAsia="Aptos" w:hAnsi="Arial" w:cs="Arial"/>
          <w:color w:val="auto"/>
          <w:kern w:val="2"/>
          <w:szCs w:val="20"/>
          <w:lang w:val="en-GB" w:eastAsia="en-US"/>
          <w14:ligatures w14:val="standardContextual"/>
        </w:rPr>
        <w:t xml:space="preserve"> shortly</w:t>
      </w:r>
      <w:r w:rsidR="0081232A">
        <w:rPr>
          <w:rFonts w:ascii="Arial" w:eastAsia="Aptos" w:hAnsi="Arial" w:cs="Arial"/>
          <w:color w:val="auto"/>
          <w:kern w:val="2"/>
          <w:szCs w:val="20"/>
          <w:lang w:val="en-GB" w:eastAsia="en-US"/>
          <w14:ligatures w14:val="standardContextual"/>
        </w:rPr>
        <w:t>.</w:t>
      </w:r>
      <w:r w:rsidR="00DF73A5">
        <w:rPr>
          <w:rFonts w:ascii="Arial" w:eastAsia="Aptos" w:hAnsi="Arial" w:cs="Arial"/>
          <w:color w:val="auto"/>
          <w:kern w:val="2"/>
          <w:szCs w:val="20"/>
          <w:lang w:val="en-GB" w:eastAsia="en-US"/>
          <w14:ligatures w14:val="standardContextual"/>
        </w:rPr>
        <w:t xml:space="preserve"> </w:t>
      </w:r>
    </w:p>
    <w:p w14:paraId="1E252161" w14:textId="13559ADA" w:rsidR="00CF35F1" w:rsidRDefault="00A5337F" w:rsidP="00CF35F1">
      <w:pPr>
        <w:spacing w:before="240"/>
        <w:rPr>
          <w:rFonts w:ascii="Arial" w:eastAsia="Arial" w:hAnsi="Arial" w:cs="Arial"/>
        </w:rPr>
      </w:pPr>
      <w:r>
        <w:rPr>
          <w:rFonts w:ascii="Arial" w:eastAsia="Arial" w:hAnsi="Arial" w:cs="Arial"/>
        </w:rPr>
        <w:t xml:space="preserve">Assessments of </w:t>
      </w:r>
      <w:r w:rsidR="002E028F">
        <w:rPr>
          <w:rFonts w:ascii="Arial" w:eastAsia="Arial" w:hAnsi="Arial" w:cs="Arial"/>
        </w:rPr>
        <w:t>SPF</w:t>
      </w:r>
      <w:r>
        <w:rPr>
          <w:rFonts w:ascii="Arial" w:eastAsia="Arial" w:hAnsi="Arial" w:cs="Arial"/>
        </w:rPr>
        <w:t xml:space="preserve"> performance</w:t>
      </w:r>
      <w:r w:rsidR="002E028F">
        <w:rPr>
          <w:rFonts w:ascii="Arial" w:eastAsia="Arial" w:hAnsi="Arial" w:cs="Arial"/>
        </w:rPr>
        <w:t xml:space="preserve"> rely on </w:t>
      </w:r>
      <w:r w:rsidR="002E028F" w:rsidRPr="72FB7E4F">
        <w:rPr>
          <w:rFonts w:ascii="Arial" w:eastAsia="Aptos" w:hAnsi="Arial" w:cs="Arial"/>
          <w:color w:val="auto"/>
          <w:kern w:val="2"/>
          <w:lang w:val="en-GB" w:eastAsia="en-US"/>
          <w14:ligatures w14:val="standardContextual"/>
        </w:rPr>
        <w:t>partners’ own global, public reporting</w:t>
      </w:r>
      <w:r w:rsidR="002E028F">
        <w:rPr>
          <w:rFonts w:ascii="Arial" w:eastAsia="Arial" w:hAnsi="Arial" w:cs="Arial"/>
        </w:rPr>
        <w:t xml:space="preserve"> for monitoring, evaluating and reporting against global </w:t>
      </w:r>
      <w:r w:rsidR="002E028F" w:rsidRPr="00345BDB">
        <w:rPr>
          <w:rFonts w:ascii="Arial" w:eastAsia="Arial" w:hAnsi="Arial" w:cs="Arial"/>
        </w:rPr>
        <w:t>core funding</w:t>
      </w:r>
      <w:r w:rsidR="002E028F" w:rsidRPr="00345BDB">
        <w:rPr>
          <w:rFonts w:ascii="Arial" w:eastAsia="Aptos" w:hAnsi="Arial" w:cs="Arial"/>
          <w:color w:val="auto"/>
          <w:kern w:val="2"/>
          <w:lang w:val="en-GB" w:eastAsia="en-US"/>
          <w14:ligatures w14:val="standardContextual"/>
        </w:rPr>
        <w:t>. This is by design (KEQ</w:t>
      </w:r>
      <w:r w:rsidR="005663E6" w:rsidRPr="00345BDB">
        <w:rPr>
          <w:rFonts w:ascii="Arial" w:eastAsia="Aptos" w:hAnsi="Arial" w:cs="Arial"/>
          <w:color w:val="auto"/>
          <w:kern w:val="2"/>
          <w:lang w:val="en-GB" w:eastAsia="en-US"/>
          <w14:ligatures w14:val="standardContextual"/>
        </w:rPr>
        <w:t xml:space="preserve"> </w:t>
      </w:r>
      <w:r w:rsidR="002E028F" w:rsidRPr="00345BDB">
        <w:rPr>
          <w:rFonts w:ascii="Arial" w:eastAsia="Aptos" w:hAnsi="Arial" w:cs="Arial"/>
          <w:color w:val="auto"/>
          <w:kern w:val="2"/>
          <w:lang w:val="en-GB" w:eastAsia="en-US"/>
          <w14:ligatures w14:val="standardContextual"/>
        </w:rPr>
        <w:t xml:space="preserve">2.2) and explicit in the SPF common clause </w:t>
      </w:r>
      <w:r w:rsidR="002E028F" w:rsidRPr="00345BDB">
        <w:rPr>
          <w:rFonts w:ascii="Arial" w:eastAsia="Arial" w:hAnsi="Arial" w:cs="Arial"/>
        </w:rPr>
        <w:t xml:space="preserve">that notes “partners’ own monitoring and evaluation systems will form the </w:t>
      </w:r>
      <w:r w:rsidR="00A910AA" w:rsidRPr="00345BDB">
        <w:rPr>
          <w:rFonts w:ascii="Arial" w:eastAsia="Arial" w:hAnsi="Arial" w:cs="Arial"/>
        </w:rPr>
        <w:t>principal</w:t>
      </w:r>
      <w:r w:rsidR="002E028F" w:rsidRPr="00345BDB">
        <w:rPr>
          <w:rFonts w:ascii="Arial" w:eastAsia="Arial" w:hAnsi="Arial" w:cs="Arial"/>
        </w:rPr>
        <w:t xml:space="preserve"> basis for performance monitoring and reporting”.</w:t>
      </w:r>
      <w:r w:rsidR="002E028F" w:rsidRPr="00345BDB">
        <w:rPr>
          <w:rStyle w:val="FootnoteReference"/>
          <w:rFonts w:ascii="Arial" w:eastAsia="Arial" w:hAnsi="Arial" w:cs="Arial"/>
        </w:rPr>
        <w:footnoteReference w:id="104"/>
      </w:r>
      <w:r w:rsidR="002E028F" w:rsidRPr="00345BDB">
        <w:rPr>
          <w:rFonts w:ascii="Arial" w:eastAsia="Aptos" w:hAnsi="Arial" w:cs="Arial"/>
          <w:color w:val="auto"/>
          <w:kern w:val="2"/>
          <w:lang w:val="en-GB" w:eastAsia="en-US"/>
          <w14:ligatures w14:val="standardContextual"/>
        </w:rPr>
        <w:t xml:space="preserve"> </w:t>
      </w:r>
      <w:r w:rsidR="00D21C52" w:rsidRPr="00345BDB">
        <w:rPr>
          <w:rFonts w:ascii="Arial" w:eastAsia="Aptos" w:hAnsi="Arial" w:cs="Arial"/>
          <w:color w:val="auto"/>
          <w:kern w:val="2"/>
          <w:szCs w:val="20"/>
          <w:lang w:val="en-GB" w:eastAsia="en-US"/>
          <w14:ligatures w14:val="standardContextual"/>
        </w:rPr>
        <w:t>While core funding to SPFs is intended to support partner delivery of their strategic plans</w:t>
      </w:r>
      <w:r w:rsidR="00D21C52" w:rsidRPr="00345BDB">
        <w:rPr>
          <w:rStyle w:val="FootnoteReference"/>
          <w:rFonts w:ascii="Arial" w:eastAsia="Aptos" w:hAnsi="Arial" w:cs="Arial"/>
          <w:color w:val="auto"/>
          <w:kern w:val="2"/>
          <w:szCs w:val="20"/>
          <w:lang w:val="en-GB" w:eastAsia="en-US"/>
          <w14:ligatures w14:val="standardContextual"/>
        </w:rPr>
        <w:footnoteReference w:id="105"/>
      </w:r>
      <w:r w:rsidR="00D21C52" w:rsidRPr="00345BDB">
        <w:rPr>
          <w:rFonts w:ascii="Arial" w:eastAsia="Aptos" w:hAnsi="Arial" w:cs="Arial"/>
          <w:color w:val="auto"/>
          <w:kern w:val="2"/>
          <w:szCs w:val="20"/>
          <w:lang w:val="en-GB" w:eastAsia="en-US"/>
          <w14:ligatures w14:val="standardContextual"/>
        </w:rPr>
        <w:t xml:space="preserve"> performance is assessed against the SPF </w:t>
      </w:r>
      <w:r w:rsidR="00676E93" w:rsidRPr="00345BDB">
        <w:rPr>
          <w:rFonts w:ascii="Arial" w:eastAsia="Aptos" w:hAnsi="Arial" w:cs="Arial"/>
          <w:color w:val="auto"/>
          <w:kern w:val="2"/>
          <w:szCs w:val="20"/>
          <w:lang w:val="en-GB" w:eastAsia="en-US"/>
          <w14:ligatures w14:val="standardContextual"/>
        </w:rPr>
        <w:t>shared</w:t>
      </w:r>
      <w:r w:rsidR="00D21C52" w:rsidRPr="00345BDB">
        <w:rPr>
          <w:rFonts w:ascii="Arial" w:eastAsia="Aptos" w:hAnsi="Arial" w:cs="Arial"/>
          <w:color w:val="auto"/>
          <w:kern w:val="2"/>
          <w:szCs w:val="20"/>
          <w:lang w:val="en-GB" w:eastAsia="en-US"/>
          <w14:ligatures w14:val="standardContextual"/>
        </w:rPr>
        <w:t xml:space="preserve"> partnership objectives and deliverables. </w:t>
      </w:r>
      <w:r w:rsidR="00BB4209" w:rsidRPr="00345BDB">
        <w:rPr>
          <w:rFonts w:ascii="Arial" w:eastAsia="Aptos" w:hAnsi="Arial" w:cs="Arial"/>
          <w:color w:val="auto"/>
          <w:kern w:val="2"/>
          <w:szCs w:val="20"/>
          <w:lang w:val="en-GB" w:eastAsia="en-US"/>
          <w14:ligatures w14:val="standardContextual"/>
        </w:rPr>
        <w:t xml:space="preserve">DFAT interprets partners’ public reporting against the SPF </w:t>
      </w:r>
      <w:r w:rsidR="00676E93" w:rsidRPr="00345BDB">
        <w:rPr>
          <w:rFonts w:ascii="Arial" w:eastAsia="Aptos" w:hAnsi="Arial" w:cs="Arial"/>
          <w:color w:val="auto"/>
          <w:kern w:val="2"/>
          <w:szCs w:val="20"/>
          <w:lang w:val="en-GB" w:eastAsia="en-US"/>
          <w14:ligatures w14:val="standardContextual"/>
        </w:rPr>
        <w:t>shared</w:t>
      </w:r>
      <w:r w:rsidR="00BB4209" w:rsidRPr="00345BDB">
        <w:rPr>
          <w:rFonts w:ascii="Arial" w:eastAsia="Aptos" w:hAnsi="Arial" w:cs="Arial"/>
          <w:color w:val="auto"/>
          <w:kern w:val="2"/>
          <w:szCs w:val="20"/>
          <w:lang w:val="en-GB" w:eastAsia="en-US"/>
          <w14:ligatures w14:val="standardContextual"/>
        </w:rPr>
        <w:t xml:space="preserve"> partnership objectives and deliverables to understand performance and inform its own internal reporting requirements.</w:t>
      </w:r>
      <w:r w:rsidR="00BB4209" w:rsidRPr="00345BDB">
        <w:rPr>
          <w:rFonts w:ascii="Arial" w:eastAsia="Arial" w:hAnsi="Arial" w:cs="Arial"/>
        </w:rPr>
        <w:t xml:space="preserve"> DFAT does not assess performance against partners’ own monitoring and evaluation systems.</w:t>
      </w:r>
      <w:r w:rsidR="00195B39" w:rsidRPr="00345BDB">
        <w:rPr>
          <w:rFonts w:ascii="Arial" w:eastAsia="Arial" w:hAnsi="Arial" w:cs="Arial"/>
        </w:rPr>
        <w:t xml:space="preserve"> DFAT </w:t>
      </w:r>
      <w:r w:rsidR="003E6F1F">
        <w:rPr>
          <w:rFonts w:ascii="Arial" w:eastAsia="Arial" w:hAnsi="Arial" w:cs="Arial"/>
        </w:rPr>
        <w:t xml:space="preserve">has </w:t>
      </w:r>
      <w:r w:rsidR="00195B39" w:rsidRPr="00345BDB">
        <w:rPr>
          <w:rFonts w:ascii="Arial" w:eastAsia="Arial" w:hAnsi="Arial" w:cs="Arial"/>
        </w:rPr>
        <w:t>supplement</w:t>
      </w:r>
      <w:r w:rsidR="003E6F1F">
        <w:rPr>
          <w:rFonts w:ascii="Arial" w:eastAsia="Arial" w:hAnsi="Arial" w:cs="Arial"/>
        </w:rPr>
        <w:t>ed</w:t>
      </w:r>
      <w:r w:rsidR="00195B39" w:rsidRPr="00345BDB">
        <w:rPr>
          <w:rFonts w:ascii="Arial" w:eastAsia="Arial" w:hAnsi="Arial" w:cs="Arial"/>
        </w:rPr>
        <w:t xml:space="preserve"> this approach with Central Assurance Assessments of </w:t>
      </w:r>
      <w:r w:rsidR="001609C5">
        <w:rPr>
          <w:rFonts w:ascii="Arial" w:eastAsia="Arial" w:hAnsi="Arial" w:cs="Arial"/>
        </w:rPr>
        <w:t>OCHA, ICRC and WFP</w:t>
      </w:r>
      <w:r w:rsidR="00195B39" w:rsidRPr="00345BDB">
        <w:rPr>
          <w:rFonts w:ascii="Arial" w:eastAsia="Arial" w:hAnsi="Arial" w:cs="Arial"/>
        </w:rPr>
        <w:t xml:space="preserve"> (conducted jointly with the UK in 2020-21, see section 3.3), and MOPAN</w:t>
      </w:r>
      <w:r w:rsidR="008F0912" w:rsidRPr="00345BDB">
        <w:rPr>
          <w:rFonts w:ascii="Arial" w:eastAsia="Arial" w:hAnsi="Arial" w:cs="Arial"/>
        </w:rPr>
        <w:t xml:space="preserve"> Assessments</w:t>
      </w:r>
      <w:r w:rsidR="00D668FE" w:rsidRPr="00345BDB">
        <w:rPr>
          <w:rFonts w:ascii="Arial" w:eastAsia="Arial" w:hAnsi="Arial" w:cs="Arial"/>
        </w:rPr>
        <w:t>.</w:t>
      </w:r>
      <w:r w:rsidR="006D09EF">
        <w:rPr>
          <w:rFonts w:ascii="Arial" w:eastAsia="Arial" w:hAnsi="Arial" w:cs="Arial"/>
        </w:rPr>
        <w:t xml:space="preserve"> </w:t>
      </w:r>
      <w:r w:rsidR="001609C5">
        <w:rPr>
          <w:rFonts w:ascii="Arial" w:eastAsia="Arial" w:hAnsi="Arial" w:cs="Arial"/>
        </w:rPr>
        <w:t>DFAT conducted a due diligence asses</w:t>
      </w:r>
      <w:r w:rsidR="00FB2BA2">
        <w:rPr>
          <w:rFonts w:ascii="Arial" w:eastAsia="Arial" w:hAnsi="Arial" w:cs="Arial"/>
        </w:rPr>
        <w:t>sment of UNHCR in 2022 and a comprehensive due diligence assessment in 2024.</w:t>
      </w:r>
      <w:r w:rsidR="00434524">
        <w:rPr>
          <w:rStyle w:val="FootnoteReference"/>
          <w:rFonts w:ascii="Arial" w:eastAsia="Arial" w:hAnsi="Arial" w:cs="Arial"/>
        </w:rPr>
        <w:footnoteReference w:id="106"/>
      </w:r>
    </w:p>
    <w:p w14:paraId="1E6C7420" w14:textId="3175AB8A" w:rsidR="00507867" w:rsidRPr="004640DC" w:rsidRDefault="00507867" w:rsidP="00507867">
      <w:pPr>
        <w:spacing w:before="240"/>
        <w:rPr>
          <w:rFonts w:ascii="Arial" w:eastAsia="Aptos" w:hAnsi="Arial" w:cs="Arial"/>
          <w:color w:val="auto"/>
          <w:kern w:val="2"/>
          <w:szCs w:val="20"/>
          <w:lang w:val="en-GB" w:eastAsia="en-US"/>
          <w14:ligatures w14:val="standardContextual"/>
        </w:rPr>
      </w:pPr>
      <w:r w:rsidRPr="61A3331C">
        <w:rPr>
          <w:rFonts w:ascii="Arial" w:eastAsia="Aptos" w:hAnsi="Arial" w:cs="Arial"/>
          <w:color w:val="auto"/>
          <w:kern w:val="2"/>
          <w:lang w:val="en-GB" w:eastAsia="en-US"/>
          <w14:ligatures w14:val="standardContextual"/>
        </w:rPr>
        <w:t>Th</w:t>
      </w:r>
      <w:r w:rsidR="00C239C6">
        <w:rPr>
          <w:rFonts w:ascii="Arial" w:eastAsia="Aptos" w:hAnsi="Arial" w:cs="Arial"/>
          <w:color w:val="auto"/>
          <w:kern w:val="2"/>
          <w:lang w:val="en-GB" w:eastAsia="en-US"/>
          <w14:ligatures w14:val="standardContextual"/>
        </w:rPr>
        <w:t xml:space="preserve">is </w:t>
      </w:r>
      <w:r w:rsidRPr="61A3331C">
        <w:rPr>
          <w:rFonts w:ascii="Arial" w:eastAsia="Aptos" w:hAnsi="Arial" w:cs="Arial"/>
          <w:color w:val="auto"/>
          <w:kern w:val="2"/>
          <w:lang w:val="en-GB" w:eastAsia="en-US"/>
          <w14:ligatures w14:val="standardContextual"/>
        </w:rPr>
        <w:t>approach may be a function of a policy decision related to Good Humanitarian Donorship</w:t>
      </w:r>
      <w:r w:rsidR="008E3739">
        <w:rPr>
          <w:rFonts w:ascii="Arial" w:eastAsia="Aptos" w:hAnsi="Arial" w:cs="Arial"/>
          <w:color w:val="auto"/>
          <w:kern w:val="2"/>
          <w:lang w:val="en-GB" w:eastAsia="en-US"/>
          <w14:ligatures w14:val="standardContextual"/>
        </w:rPr>
        <w:t xml:space="preserve"> and internal quality and reporting requirements</w:t>
      </w:r>
      <w:r w:rsidRPr="61A3331C">
        <w:rPr>
          <w:rFonts w:ascii="Arial" w:eastAsia="Aptos" w:hAnsi="Arial" w:cs="Arial"/>
          <w:color w:val="auto"/>
          <w:kern w:val="2"/>
          <w:lang w:val="en-GB" w:eastAsia="en-US"/>
          <w14:ligatures w14:val="standardContextual"/>
        </w:rPr>
        <w:t>, although this is not explicit nor commonly agreed amongst DFAT staff.</w:t>
      </w:r>
      <w:r w:rsidRPr="61A3331C">
        <w:rPr>
          <w:rStyle w:val="FootnoteReference"/>
          <w:rFonts w:ascii="Arial" w:eastAsia="Aptos" w:hAnsi="Arial" w:cs="Arial"/>
          <w:color w:val="auto"/>
          <w:kern w:val="2"/>
          <w:lang w:val="en-GB" w:eastAsia="en-US"/>
          <w14:ligatures w14:val="standardContextual"/>
        </w:rPr>
        <w:footnoteReference w:id="107"/>
      </w:r>
      <w:r w:rsidRPr="61A3331C">
        <w:rPr>
          <w:rFonts w:ascii="Arial" w:eastAsia="Aptos" w:hAnsi="Arial" w:cs="Arial"/>
          <w:color w:val="auto"/>
          <w:kern w:val="2"/>
          <w:lang w:val="en-GB" w:eastAsia="en-US"/>
          <w14:ligatures w14:val="standardContextual"/>
        </w:rPr>
        <w:t xml:space="preserve"> Australia’s current Humanitarian Policy (2024) is silent on Good Humanitarian Donorship. It commits to “</w:t>
      </w:r>
      <w:r w:rsidRPr="61A3331C">
        <w:rPr>
          <w:rFonts w:ascii="Arial" w:eastAsia="Aptos" w:hAnsi="Arial" w:cs="Arial"/>
          <w:color w:val="auto"/>
          <w:kern w:val="2"/>
          <w:lang w:eastAsia="en-US"/>
          <w14:ligatures w14:val="standardContextual"/>
        </w:rPr>
        <w:t xml:space="preserve">leveraging our strategic partnership agreements with international organisations to drive our priority reform areas and improve the performance of the humanitarian system” but </w:t>
      </w:r>
      <w:r w:rsidR="007F0943">
        <w:rPr>
          <w:rFonts w:ascii="Arial" w:eastAsia="Aptos" w:hAnsi="Arial" w:cs="Arial"/>
          <w:color w:val="auto"/>
          <w:kern w:val="2"/>
          <w:lang w:eastAsia="en-US"/>
          <w14:ligatures w14:val="standardContextual"/>
        </w:rPr>
        <w:t>is not explicit as to how</w:t>
      </w:r>
      <w:r w:rsidR="006309E4">
        <w:rPr>
          <w:rFonts w:ascii="Arial" w:eastAsia="Aptos" w:hAnsi="Arial" w:cs="Arial"/>
          <w:color w:val="auto"/>
          <w:kern w:val="2"/>
          <w:lang w:eastAsia="en-US"/>
          <w14:ligatures w14:val="standardContextual"/>
        </w:rPr>
        <w:t xml:space="preserve"> this relates to reporting</w:t>
      </w:r>
      <w:r w:rsidR="007F0943">
        <w:rPr>
          <w:rFonts w:ascii="Arial" w:eastAsia="Aptos" w:hAnsi="Arial" w:cs="Arial"/>
          <w:color w:val="auto"/>
          <w:kern w:val="2"/>
          <w:lang w:eastAsia="en-US"/>
          <w14:ligatures w14:val="standardContextual"/>
        </w:rPr>
        <w:t>.</w:t>
      </w:r>
      <w:r w:rsidRPr="61A3331C">
        <w:rPr>
          <w:rFonts w:ascii="Arial" w:eastAsia="Aptos" w:hAnsi="Arial" w:cs="Arial"/>
          <w:color w:val="auto"/>
          <w:kern w:val="2"/>
          <w:lang w:eastAsia="en-US"/>
          <w14:ligatures w14:val="standardContextual"/>
        </w:rPr>
        <w:t xml:space="preserve"> </w:t>
      </w:r>
    </w:p>
    <w:p w14:paraId="2AB7EED1" w14:textId="44EF876E" w:rsidR="004D3A9A" w:rsidRDefault="004D3A9A" w:rsidP="004D3A9A">
      <w:pPr>
        <w:spacing w:before="240"/>
        <w:rPr>
          <w:rFonts w:ascii="Arial" w:eastAsia="Aptos" w:hAnsi="Arial" w:cs="Arial"/>
          <w:color w:val="auto"/>
          <w:kern w:val="2"/>
          <w:szCs w:val="20"/>
          <w:lang w:val="en-GB" w:eastAsia="en-US"/>
          <w14:ligatures w14:val="standardContextual"/>
        </w:rPr>
      </w:pPr>
      <w:r>
        <w:rPr>
          <w:rFonts w:ascii="Arial" w:eastAsia="Aptos" w:hAnsi="Arial" w:cs="Arial"/>
          <w:color w:val="auto"/>
          <w:kern w:val="2"/>
          <w:szCs w:val="20"/>
          <w:lang w:val="en-GB" w:eastAsia="en-US"/>
          <w14:ligatures w14:val="standardContextual"/>
        </w:rPr>
        <w:t xml:space="preserve">Following signature of the SPFs, DFAT commissioned an external agency to develop </w:t>
      </w:r>
      <w:r w:rsidR="004E4471">
        <w:rPr>
          <w:rFonts w:ascii="Arial" w:eastAsia="Aptos" w:hAnsi="Arial" w:cs="Arial"/>
          <w:color w:val="auto"/>
          <w:kern w:val="2"/>
          <w:szCs w:val="20"/>
          <w:lang w:val="en-GB" w:eastAsia="en-US"/>
          <w14:ligatures w14:val="standardContextual"/>
        </w:rPr>
        <w:t>Performance Arrangement</w:t>
      </w:r>
      <w:r>
        <w:rPr>
          <w:rFonts w:ascii="Arial" w:eastAsia="Aptos" w:hAnsi="Arial" w:cs="Arial"/>
          <w:color w:val="auto"/>
          <w:kern w:val="2"/>
          <w:szCs w:val="20"/>
          <w:lang w:val="en-GB" w:eastAsia="en-US"/>
          <w14:ligatures w14:val="standardContextual"/>
        </w:rPr>
        <w:t>s, which are referred to</w:t>
      </w:r>
      <w:r w:rsidR="009A73BE">
        <w:rPr>
          <w:rFonts w:ascii="Arial" w:eastAsia="Aptos" w:hAnsi="Arial" w:cs="Arial"/>
          <w:color w:val="auto"/>
          <w:kern w:val="2"/>
          <w:szCs w:val="20"/>
          <w:lang w:val="en-GB" w:eastAsia="en-US"/>
          <w14:ligatures w14:val="standardContextual"/>
        </w:rPr>
        <w:t>,</w:t>
      </w:r>
      <w:r>
        <w:rPr>
          <w:rFonts w:ascii="Arial" w:eastAsia="Aptos" w:hAnsi="Arial" w:cs="Arial"/>
          <w:color w:val="auto"/>
          <w:kern w:val="2"/>
          <w:szCs w:val="20"/>
          <w:lang w:val="en-GB" w:eastAsia="en-US"/>
          <w14:ligatures w14:val="standardContextual"/>
        </w:rPr>
        <w:t xml:space="preserve"> but not annexed to the </w:t>
      </w:r>
      <w:r w:rsidR="005A60C3">
        <w:rPr>
          <w:rFonts w:ascii="Arial" w:eastAsia="Aptos" w:hAnsi="Arial" w:cs="Arial"/>
          <w:color w:val="auto"/>
          <w:kern w:val="2"/>
          <w:szCs w:val="20"/>
          <w:lang w:val="en-GB" w:eastAsia="en-US"/>
          <w14:ligatures w14:val="standardContextual"/>
        </w:rPr>
        <w:t xml:space="preserve">signed </w:t>
      </w:r>
      <w:r>
        <w:rPr>
          <w:rFonts w:ascii="Arial" w:eastAsia="Aptos" w:hAnsi="Arial" w:cs="Arial"/>
          <w:color w:val="auto"/>
          <w:kern w:val="2"/>
          <w:szCs w:val="20"/>
          <w:lang w:val="en-GB" w:eastAsia="en-US"/>
          <w14:ligatures w14:val="standardContextual"/>
        </w:rPr>
        <w:t>SPFs. The</w:t>
      </w:r>
      <w:r w:rsidR="007C6888">
        <w:rPr>
          <w:rFonts w:ascii="Arial" w:eastAsia="Aptos" w:hAnsi="Arial" w:cs="Arial"/>
          <w:color w:val="auto"/>
          <w:kern w:val="2"/>
          <w:szCs w:val="20"/>
          <w:lang w:val="en-GB" w:eastAsia="en-US"/>
          <w14:ligatures w14:val="standardContextual"/>
        </w:rPr>
        <w:t xml:space="preserve"> external agency</w:t>
      </w:r>
      <w:r>
        <w:rPr>
          <w:rFonts w:ascii="Arial" w:eastAsia="Aptos" w:hAnsi="Arial" w:cs="Arial"/>
          <w:color w:val="auto"/>
          <w:kern w:val="2"/>
          <w:szCs w:val="20"/>
          <w:lang w:val="en-GB" w:eastAsia="en-US"/>
          <w14:ligatures w14:val="standardContextual"/>
        </w:rPr>
        <w:t xml:space="preserve"> </w:t>
      </w:r>
      <w:r w:rsidR="007C6888">
        <w:rPr>
          <w:rFonts w:ascii="Arial" w:eastAsia="Aptos" w:hAnsi="Arial" w:cs="Arial"/>
          <w:color w:val="auto"/>
          <w:kern w:val="2"/>
          <w:szCs w:val="20"/>
          <w:lang w:val="en-GB" w:eastAsia="en-US"/>
          <w14:ligatures w14:val="standardContextual"/>
        </w:rPr>
        <w:t xml:space="preserve">engaged in a consultative process to identify </w:t>
      </w:r>
      <w:r w:rsidR="007C57F1">
        <w:rPr>
          <w:rFonts w:ascii="Arial" w:eastAsia="Aptos" w:hAnsi="Arial" w:cs="Arial"/>
          <w:color w:val="auto"/>
          <w:kern w:val="2"/>
          <w:szCs w:val="20"/>
          <w:lang w:val="en-GB" w:eastAsia="en-US"/>
          <w14:ligatures w14:val="standardContextual"/>
        </w:rPr>
        <w:t xml:space="preserve">23 </w:t>
      </w:r>
      <w:r w:rsidR="007C6888">
        <w:rPr>
          <w:rFonts w:ascii="Arial" w:eastAsia="Aptos" w:hAnsi="Arial" w:cs="Arial"/>
          <w:color w:val="auto"/>
          <w:kern w:val="2"/>
          <w:szCs w:val="20"/>
          <w:lang w:val="en-GB" w:eastAsia="en-US"/>
          <w14:ligatures w14:val="standardContextual"/>
        </w:rPr>
        <w:t xml:space="preserve">publicly available indicators </w:t>
      </w:r>
      <w:r w:rsidR="007C57F1">
        <w:rPr>
          <w:rFonts w:ascii="Arial" w:eastAsia="Aptos" w:hAnsi="Arial" w:cs="Arial"/>
          <w:color w:val="auto"/>
          <w:kern w:val="2"/>
          <w:szCs w:val="20"/>
          <w:lang w:val="en-GB" w:eastAsia="en-US"/>
          <w14:ligatures w14:val="standardContextual"/>
        </w:rPr>
        <w:t>to</w:t>
      </w:r>
      <w:r w:rsidR="00CC5B49">
        <w:rPr>
          <w:rFonts w:ascii="Arial" w:eastAsia="Aptos" w:hAnsi="Arial" w:cs="Arial"/>
          <w:color w:val="auto"/>
          <w:kern w:val="2"/>
          <w:szCs w:val="20"/>
          <w:lang w:val="en-GB" w:eastAsia="en-US"/>
          <w14:ligatures w14:val="standardContextual"/>
        </w:rPr>
        <w:t xml:space="preserve"> support DFAT’s understanding of performance against the </w:t>
      </w:r>
      <w:r w:rsidR="00676E93">
        <w:rPr>
          <w:rFonts w:ascii="Arial" w:eastAsia="Aptos" w:hAnsi="Arial" w:cs="Arial"/>
          <w:color w:val="auto"/>
          <w:kern w:val="2"/>
          <w:szCs w:val="20"/>
          <w:lang w:val="en-GB" w:eastAsia="en-US"/>
          <w14:ligatures w14:val="standardContextual"/>
        </w:rPr>
        <w:t>shared partnership objectives</w:t>
      </w:r>
      <w:r w:rsidR="007C57F1">
        <w:rPr>
          <w:rFonts w:ascii="Arial" w:eastAsia="Aptos" w:hAnsi="Arial" w:cs="Arial"/>
          <w:color w:val="auto"/>
          <w:kern w:val="2"/>
          <w:szCs w:val="20"/>
          <w:lang w:val="en-GB" w:eastAsia="en-US"/>
          <w14:ligatures w14:val="standardContextual"/>
        </w:rPr>
        <w:t xml:space="preserve"> and deliverables.</w:t>
      </w:r>
      <w:r w:rsidR="001F1E58">
        <w:rPr>
          <w:rStyle w:val="FootnoteReference"/>
          <w:rFonts w:ascii="Arial" w:eastAsia="Aptos" w:hAnsi="Arial" w:cs="Arial"/>
          <w:color w:val="auto"/>
          <w:kern w:val="2"/>
          <w:szCs w:val="20"/>
          <w:lang w:val="en-GB" w:eastAsia="en-US"/>
          <w14:ligatures w14:val="standardContextual"/>
        </w:rPr>
        <w:footnoteReference w:id="108"/>
      </w:r>
      <w:r w:rsidR="007C57F1">
        <w:rPr>
          <w:rFonts w:ascii="Arial" w:eastAsia="Aptos" w:hAnsi="Arial" w:cs="Arial"/>
          <w:color w:val="auto"/>
          <w:kern w:val="2"/>
          <w:szCs w:val="20"/>
          <w:lang w:val="en-GB" w:eastAsia="en-US"/>
          <w14:ligatures w14:val="standardContextual"/>
        </w:rPr>
        <w:t xml:space="preserve"> </w:t>
      </w:r>
      <w:r w:rsidR="005A60C3">
        <w:rPr>
          <w:rFonts w:ascii="Arial" w:eastAsia="Aptos" w:hAnsi="Arial" w:cs="Arial"/>
          <w:color w:val="auto"/>
          <w:kern w:val="2"/>
          <w:szCs w:val="20"/>
          <w:lang w:val="en-GB" w:eastAsia="en-US"/>
          <w14:ligatures w14:val="standardContextual"/>
        </w:rPr>
        <w:t xml:space="preserve">It has provided DFAT with annual reports </w:t>
      </w:r>
      <w:r w:rsidR="00BA3542">
        <w:rPr>
          <w:rFonts w:ascii="Arial" w:eastAsia="Aptos" w:hAnsi="Arial" w:cs="Arial"/>
          <w:color w:val="auto"/>
          <w:kern w:val="2"/>
          <w:szCs w:val="20"/>
          <w:lang w:val="en-GB" w:eastAsia="en-US"/>
          <w14:ligatures w14:val="standardContextual"/>
        </w:rPr>
        <w:t xml:space="preserve">with available data </w:t>
      </w:r>
      <w:r w:rsidR="005A60C3">
        <w:rPr>
          <w:rFonts w:ascii="Arial" w:eastAsia="Aptos" w:hAnsi="Arial" w:cs="Arial"/>
          <w:color w:val="auto"/>
          <w:kern w:val="2"/>
          <w:szCs w:val="20"/>
          <w:lang w:val="en-GB" w:eastAsia="en-US"/>
          <w14:ligatures w14:val="standardContextual"/>
        </w:rPr>
        <w:t xml:space="preserve">against </w:t>
      </w:r>
      <w:r w:rsidR="00CA6BA5">
        <w:rPr>
          <w:rFonts w:ascii="Arial" w:eastAsia="Aptos" w:hAnsi="Arial" w:cs="Arial"/>
          <w:color w:val="auto"/>
          <w:kern w:val="2"/>
          <w:szCs w:val="20"/>
          <w:lang w:val="en-GB" w:eastAsia="en-US"/>
          <w14:ligatures w14:val="standardContextual"/>
        </w:rPr>
        <w:t xml:space="preserve">each of the indicators, drawing on publicly available data and at least in some instances, </w:t>
      </w:r>
      <w:r w:rsidR="004315A6">
        <w:rPr>
          <w:rFonts w:ascii="Arial" w:eastAsia="Aptos" w:hAnsi="Arial" w:cs="Arial"/>
          <w:color w:val="auto"/>
          <w:kern w:val="2"/>
          <w:szCs w:val="20"/>
          <w:lang w:val="en-GB" w:eastAsia="en-US"/>
          <w14:ligatures w14:val="standardContextual"/>
        </w:rPr>
        <w:t>additional inputs</w:t>
      </w:r>
      <w:r w:rsidR="00CA6BA5">
        <w:rPr>
          <w:rFonts w:ascii="Arial" w:eastAsia="Aptos" w:hAnsi="Arial" w:cs="Arial"/>
          <w:color w:val="auto"/>
          <w:kern w:val="2"/>
          <w:szCs w:val="20"/>
          <w:lang w:val="en-GB" w:eastAsia="en-US"/>
          <w14:ligatures w14:val="standardContextual"/>
        </w:rPr>
        <w:t xml:space="preserve"> from partners.</w:t>
      </w:r>
      <w:r w:rsidR="00951A50">
        <w:rPr>
          <w:rStyle w:val="FootnoteReference"/>
          <w:rFonts w:ascii="Arial" w:eastAsia="Aptos" w:hAnsi="Arial" w:cs="Arial"/>
          <w:color w:val="auto"/>
          <w:kern w:val="2"/>
          <w:szCs w:val="20"/>
          <w:lang w:val="en-GB" w:eastAsia="en-US"/>
          <w14:ligatures w14:val="standardContextual"/>
        </w:rPr>
        <w:footnoteReference w:id="109"/>
      </w:r>
      <w:r w:rsidR="00CA6BA5">
        <w:rPr>
          <w:rFonts w:ascii="Arial" w:eastAsia="Aptos" w:hAnsi="Arial" w:cs="Arial"/>
          <w:color w:val="auto"/>
          <w:kern w:val="2"/>
          <w:szCs w:val="20"/>
          <w:lang w:val="en-GB" w:eastAsia="en-US"/>
          <w14:ligatures w14:val="standardContextual"/>
        </w:rPr>
        <w:t xml:space="preserve"> </w:t>
      </w:r>
    </w:p>
    <w:p w14:paraId="4619BA81" w14:textId="77777777" w:rsidR="002B4A00" w:rsidRDefault="009816A6" w:rsidP="002B4A00">
      <w:pPr>
        <w:spacing w:before="240"/>
        <w:rPr>
          <w:rFonts w:ascii="Arial" w:eastAsia="Arial" w:hAnsi="Arial" w:cs="Arial"/>
        </w:rPr>
      </w:pPr>
      <w:r>
        <w:rPr>
          <w:rFonts w:ascii="Arial" w:eastAsia="Aptos" w:hAnsi="Arial" w:cs="Arial"/>
          <w:color w:val="auto"/>
          <w:kern w:val="2"/>
          <w:szCs w:val="20"/>
          <w:lang w:val="en-GB" w:eastAsia="en-US"/>
          <w14:ligatures w14:val="standardContextual"/>
        </w:rPr>
        <w:t xml:space="preserve">As outlined in </w:t>
      </w:r>
      <w:r w:rsidRPr="00A24716">
        <w:rPr>
          <w:rFonts w:ascii="Arial" w:eastAsia="Aptos" w:hAnsi="Arial" w:cs="Arial"/>
          <w:color w:val="auto"/>
          <w:kern w:val="2"/>
          <w:szCs w:val="20"/>
          <w:lang w:val="en-GB" w:eastAsia="en-US"/>
          <w14:ligatures w14:val="standardContextual"/>
        </w:rPr>
        <w:t>response to KE</w:t>
      </w:r>
      <w:r w:rsidR="00A24716" w:rsidRPr="00A24716">
        <w:rPr>
          <w:rFonts w:ascii="Arial" w:eastAsia="Aptos" w:hAnsi="Arial" w:cs="Arial"/>
          <w:color w:val="auto"/>
          <w:kern w:val="2"/>
          <w:szCs w:val="20"/>
          <w:lang w:val="en-GB" w:eastAsia="en-US"/>
          <w14:ligatures w14:val="standardContextual"/>
        </w:rPr>
        <w:t>Q</w:t>
      </w:r>
      <w:r w:rsidR="009A73BE">
        <w:rPr>
          <w:rFonts w:ascii="Arial" w:eastAsia="Aptos" w:hAnsi="Arial" w:cs="Arial"/>
          <w:color w:val="auto"/>
          <w:kern w:val="2"/>
          <w:szCs w:val="20"/>
          <w:lang w:val="en-GB" w:eastAsia="en-US"/>
          <w14:ligatures w14:val="standardContextual"/>
        </w:rPr>
        <w:t xml:space="preserve"> </w:t>
      </w:r>
      <w:r w:rsidR="00A24716" w:rsidRPr="00A24716">
        <w:rPr>
          <w:rFonts w:ascii="Arial" w:eastAsia="Aptos" w:hAnsi="Arial" w:cs="Arial"/>
          <w:color w:val="auto"/>
          <w:kern w:val="2"/>
          <w:szCs w:val="20"/>
          <w:lang w:val="en-GB" w:eastAsia="en-US"/>
          <w14:ligatures w14:val="standardContextual"/>
        </w:rPr>
        <w:t>2,</w:t>
      </w:r>
      <w:r w:rsidRPr="00A24716">
        <w:rPr>
          <w:rFonts w:ascii="Arial" w:eastAsia="Aptos" w:hAnsi="Arial" w:cs="Arial"/>
          <w:color w:val="auto"/>
          <w:kern w:val="2"/>
          <w:szCs w:val="20"/>
          <w:lang w:val="en-GB" w:eastAsia="en-US"/>
          <w14:ligatures w14:val="standardContextual"/>
        </w:rPr>
        <w:t xml:space="preserve"> this data</w:t>
      </w:r>
      <w:r>
        <w:rPr>
          <w:rFonts w:ascii="Arial" w:eastAsia="Aptos" w:hAnsi="Arial" w:cs="Arial"/>
          <w:color w:val="auto"/>
          <w:kern w:val="2"/>
          <w:szCs w:val="20"/>
          <w:lang w:val="en-GB" w:eastAsia="en-US"/>
          <w14:ligatures w14:val="standardContextual"/>
        </w:rPr>
        <w:t xml:space="preserve"> has been useful to provide an evidence base of activities undertaken to progress the </w:t>
      </w:r>
      <w:r w:rsidR="00676E93">
        <w:rPr>
          <w:rFonts w:ascii="Arial" w:eastAsia="Aptos" w:hAnsi="Arial" w:cs="Arial"/>
          <w:color w:val="auto"/>
          <w:kern w:val="2"/>
          <w:szCs w:val="20"/>
          <w:lang w:val="en-GB" w:eastAsia="en-US"/>
          <w14:ligatures w14:val="standardContextual"/>
        </w:rPr>
        <w:t>shared partnership objectives</w:t>
      </w:r>
      <w:r>
        <w:rPr>
          <w:rFonts w:ascii="Arial" w:eastAsia="Aptos" w:hAnsi="Arial" w:cs="Arial"/>
          <w:color w:val="auto"/>
          <w:kern w:val="2"/>
          <w:szCs w:val="20"/>
          <w:lang w:val="en-GB" w:eastAsia="en-US"/>
          <w14:ligatures w14:val="standardContextual"/>
        </w:rPr>
        <w:t xml:space="preserve"> and deliverables. A </w:t>
      </w:r>
      <w:r w:rsidR="009A73BE">
        <w:rPr>
          <w:rFonts w:ascii="Arial" w:eastAsia="Aptos" w:hAnsi="Arial" w:cs="Arial"/>
          <w:color w:val="auto"/>
          <w:kern w:val="2"/>
          <w:szCs w:val="20"/>
          <w:lang w:val="en-GB" w:eastAsia="en-US"/>
          <w14:ligatures w14:val="standardContextual"/>
        </w:rPr>
        <w:t>t</w:t>
      </w:r>
      <w:r>
        <w:rPr>
          <w:rFonts w:ascii="Arial" w:eastAsia="Aptos" w:hAnsi="Arial" w:cs="Arial"/>
          <w:color w:val="auto"/>
          <w:kern w:val="2"/>
          <w:szCs w:val="20"/>
          <w:lang w:val="en-GB" w:eastAsia="en-US"/>
          <w14:ligatures w14:val="standardContextual"/>
        </w:rPr>
        <w:t xml:space="preserve">rend </w:t>
      </w:r>
      <w:r w:rsidR="009A73BE">
        <w:rPr>
          <w:rFonts w:ascii="Arial" w:eastAsia="Aptos" w:hAnsi="Arial" w:cs="Arial"/>
          <w:color w:val="auto"/>
          <w:kern w:val="2"/>
          <w:szCs w:val="20"/>
          <w:lang w:val="en-GB" w:eastAsia="en-US"/>
          <w14:ligatures w14:val="standardContextual"/>
        </w:rPr>
        <w:t>a</w:t>
      </w:r>
      <w:r>
        <w:rPr>
          <w:rFonts w:ascii="Arial" w:eastAsia="Aptos" w:hAnsi="Arial" w:cs="Arial"/>
          <w:color w:val="auto"/>
          <w:kern w:val="2"/>
          <w:szCs w:val="20"/>
          <w:lang w:val="en-GB" w:eastAsia="en-US"/>
          <w14:ligatures w14:val="standardContextual"/>
        </w:rPr>
        <w:t>nalysis by the external agency has found that the quality of partner reporting is improving over time.</w:t>
      </w:r>
      <w:r>
        <w:rPr>
          <w:rStyle w:val="FootnoteReference"/>
          <w:rFonts w:ascii="Arial" w:eastAsia="Aptos" w:hAnsi="Arial" w:cs="Arial"/>
          <w:color w:val="auto"/>
          <w:kern w:val="2"/>
          <w:szCs w:val="20"/>
          <w:lang w:val="en-GB" w:eastAsia="en-US"/>
          <w14:ligatures w14:val="standardContextual"/>
        </w:rPr>
        <w:footnoteReference w:id="110"/>
      </w:r>
      <w:r>
        <w:rPr>
          <w:rFonts w:ascii="Arial" w:eastAsia="Aptos" w:hAnsi="Arial" w:cs="Arial"/>
          <w:color w:val="auto"/>
          <w:kern w:val="2"/>
          <w:szCs w:val="20"/>
          <w:lang w:val="en-GB" w:eastAsia="en-US"/>
          <w14:ligatures w14:val="standardContextual"/>
        </w:rPr>
        <w:t xml:space="preserve"> </w:t>
      </w:r>
      <w:r w:rsidR="002B4A00">
        <w:rPr>
          <w:rFonts w:ascii="Arial" w:eastAsia="Arial" w:hAnsi="Arial" w:cs="Arial"/>
        </w:rPr>
        <w:t>It further identified o</w:t>
      </w:r>
      <w:r w:rsidR="002B4A00" w:rsidRPr="00556977">
        <w:rPr>
          <w:rFonts w:ascii="Arial" w:eastAsia="Arial" w:hAnsi="Arial" w:cs="Arial"/>
        </w:rPr>
        <w:t>ngoing challenges</w:t>
      </w:r>
      <w:r w:rsidR="002B4A00">
        <w:rPr>
          <w:rFonts w:ascii="Arial" w:eastAsia="Arial" w:hAnsi="Arial" w:cs="Arial"/>
        </w:rPr>
        <w:t xml:space="preserve"> including several indicators for which reporting is lagging, and that the MOPAN assessment cycles </w:t>
      </w:r>
      <w:r w:rsidR="002B4A00" w:rsidRPr="00892BC9">
        <w:rPr>
          <w:rFonts w:ascii="Arial" w:eastAsia="Arial" w:hAnsi="Arial" w:cs="Arial"/>
        </w:rPr>
        <w:t>are sporadic.</w:t>
      </w:r>
      <w:r w:rsidR="002B4A00" w:rsidRPr="00892BC9">
        <w:rPr>
          <w:rStyle w:val="FootnoteReference"/>
          <w:rFonts w:ascii="Arial" w:eastAsia="Arial" w:hAnsi="Arial" w:cs="Arial"/>
        </w:rPr>
        <w:footnoteReference w:id="111"/>
      </w:r>
      <w:r w:rsidR="002B4A00" w:rsidRPr="00892BC9">
        <w:rPr>
          <w:rFonts w:ascii="Arial" w:eastAsia="Arial" w:hAnsi="Arial" w:cs="Arial"/>
        </w:rPr>
        <w:t xml:space="preserve"> Several DFAT staff reported that there continued to be major gaps in reporting sex, age, gender and disability related data for many SPF partners even after several years of sustained engagement on this matter.</w:t>
      </w:r>
      <w:r w:rsidR="002B4A00" w:rsidRPr="00892BC9">
        <w:rPr>
          <w:rStyle w:val="FootnoteReference"/>
          <w:rFonts w:ascii="Arial" w:eastAsia="Arial" w:hAnsi="Arial" w:cs="Arial"/>
        </w:rPr>
        <w:footnoteReference w:id="112"/>
      </w:r>
      <w:r w:rsidR="002B4A00">
        <w:rPr>
          <w:rFonts w:ascii="Arial" w:eastAsia="Arial" w:hAnsi="Arial" w:cs="Arial"/>
        </w:rPr>
        <w:t xml:space="preserve"> </w:t>
      </w:r>
    </w:p>
    <w:p w14:paraId="00E891C6" w14:textId="0B938ACF" w:rsidR="002B4A00" w:rsidRDefault="00256AB7" w:rsidP="009816A6">
      <w:pPr>
        <w:spacing w:before="240"/>
        <w:rPr>
          <w:rFonts w:ascii="Arial" w:eastAsia="Aptos" w:hAnsi="Arial" w:cs="Arial"/>
          <w:color w:val="auto"/>
          <w:kern w:val="2"/>
          <w:szCs w:val="20"/>
          <w:lang w:val="en-GB" w:eastAsia="en-US"/>
          <w14:ligatures w14:val="standardContextual"/>
        </w:rPr>
      </w:pPr>
      <w:r>
        <w:rPr>
          <w:rFonts w:ascii="Arial" w:eastAsia="Aptos" w:hAnsi="Arial" w:cs="Arial"/>
          <w:color w:val="auto"/>
          <w:kern w:val="2"/>
          <w:szCs w:val="20"/>
          <w:lang w:val="en-GB" w:eastAsia="en-US"/>
          <w14:ligatures w14:val="standardContextual"/>
        </w:rPr>
        <w:t>The</w:t>
      </w:r>
      <w:r w:rsidR="00D02F51">
        <w:rPr>
          <w:rFonts w:ascii="Arial" w:eastAsia="Aptos" w:hAnsi="Arial" w:cs="Arial"/>
          <w:color w:val="auto"/>
          <w:kern w:val="2"/>
          <w:szCs w:val="20"/>
          <w:lang w:val="en-GB" w:eastAsia="en-US"/>
          <w14:ligatures w14:val="standardContextual"/>
        </w:rPr>
        <w:t xml:space="preserve"> performance arrangements and trend analysis do</w:t>
      </w:r>
      <w:r>
        <w:rPr>
          <w:rFonts w:ascii="Arial" w:eastAsia="Aptos" w:hAnsi="Arial" w:cs="Arial"/>
          <w:color w:val="auto"/>
          <w:kern w:val="2"/>
          <w:szCs w:val="20"/>
          <w:lang w:val="en-GB" w:eastAsia="en-US"/>
          <w14:ligatures w14:val="standardContextual"/>
        </w:rPr>
        <w:t xml:space="preserve"> not rate</w:t>
      </w:r>
      <w:r w:rsidR="00170924">
        <w:rPr>
          <w:rFonts w:ascii="Arial" w:eastAsia="Aptos" w:hAnsi="Arial" w:cs="Arial"/>
          <w:color w:val="auto"/>
          <w:kern w:val="2"/>
          <w:szCs w:val="20"/>
          <w:lang w:val="en-GB" w:eastAsia="en-US"/>
          <w14:ligatures w14:val="standardContextual"/>
        </w:rPr>
        <w:t xml:space="preserve"> investment</w:t>
      </w:r>
      <w:r>
        <w:rPr>
          <w:rFonts w:ascii="Arial" w:eastAsia="Aptos" w:hAnsi="Arial" w:cs="Arial"/>
          <w:color w:val="auto"/>
          <w:kern w:val="2"/>
          <w:szCs w:val="20"/>
          <w:lang w:val="en-GB" w:eastAsia="en-US"/>
          <w14:ligatures w14:val="standardContextual"/>
        </w:rPr>
        <w:t xml:space="preserve"> performance</w:t>
      </w:r>
      <w:r w:rsidR="00170924">
        <w:rPr>
          <w:rFonts w:ascii="Arial" w:eastAsia="Aptos" w:hAnsi="Arial" w:cs="Arial"/>
          <w:color w:val="auto"/>
          <w:kern w:val="2"/>
          <w:szCs w:val="20"/>
          <w:lang w:val="en-GB" w:eastAsia="en-US"/>
          <w14:ligatures w14:val="standardContextual"/>
        </w:rPr>
        <w:t xml:space="preserve"> </w:t>
      </w:r>
      <w:r w:rsidR="006131B4">
        <w:rPr>
          <w:rFonts w:ascii="Arial" w:eastAsia="Aptos" w:hAnsi="Arial" w:cs="Arial"/>
          <w:color w:val="auto"/>
          <w:kern w:val="2"/>
          <w:szCs w:val="20"/>
          <w:lang w:val="en-GB" w:eastAsia="en-US"/>
          <w14:ligatures w14:val="standardContextual"/>
        </w:rPr>
        <w:t xml:space="preserve">or </w:t>
      </w:r>
      <w:r w:rsidR="00170924">
        <w:rPr>
          <w:rFonts w:ascii="Arial" w:eastAsia="Aptos" w:hAnsi="Arial" w:cs="Arial"/>
          <w:color w:val="auto"/>
          <w:kern w:val="2"/>
          <w:szCs w:val="20"/>
          <w:lang w:val="en-GB" w:eastAsia="en-US"/>
          <w14:ligatures w14:val="standardContextual"/>
        </w:rPr>
        <w:t>partner performance</w:t>
      </w:r>
      <w:r>
        <w:rPr>
          <w:rFonts w:ascii="Arial" w:eastAsia="Aptos" w:hAnsi="Arial" w:cs="Arial"/>
          <w:color w:val="auto"/>
          <w:kern w:val="2"/>
          <w:szCs w:val="20"/>
          <w:lang w:val="en-GB" w:eastAsia="en-US"/>
          <w14:ligatures w14:val="standardContextual"/>
        </w:rPr>
        <w:t xml:space="preserve"> </w:t>
      </w:r>
      <w:r w:rsidRPr="004640DC">
        <w:rPr>
          <w:rFonts w:ascii="Arial" w:eastAsia="Aptos" w:hAnsi="Arial" w:cs="Arial"/>
          <w:color w:val="auto"/>
          <w:kern w:val="2"/>
          <w:szCs w:val="20"/>
          <w:lang w:val="en-GB" w:eastAsia="en-US"/>
          <w14:ligatures w14:val="standardContextual"/>
        </w:rPr>
        <w:t xml:space="preserve">(as DFAT’s </w:t>
      </w:r>
      <w:r w:rsidR="00143F49">
        <w:rPr>
          <w:rFonts w:ascii="Arial" w:eastAsia="Aptos" w:hAnsi="Arial" w:cs="Arial"/>
          <w:color w:val="auto"/>
          <w:kern w:val="2"/>
          <w:szCs w:val="20"/>
          <w:lang w:val="en-GB" w:eastAsia="en-US"/>
          <w14:ligatures w14:val="standardContextual"/>
        </w:rPr>
        <w:t>H</w:t>
      </w:r>
      <w:r w:rsidR="009A73BE">
        <w:rPr>
          <w:rFonts w:ascii="Arial" w:eastAsia="Aptos" w:hAnsi="Arial" w:cs="Arial"/>
          <w:color w:val="auto"/>
          <w:kern w:val="2"/>
          <w:szCs w:val="20"/>
          <w:lang w:val="en-GB" w:eastAsia="en-US"/>
          <w14:ligatures w14:val="standardContextual"/>
        </w:rPr>
        <w:t>IMR and MPA</w:t>
      </w:r>
      <w:r w:rsidRPr="004640DC">
        <w:rPr>
          <w:rFonts w:ascii="Arial" w:eastAsia="Aptos" w:hAnsi="Arial" w:cs="Arial"/>
          <w:color w:val="auto"/>
          <w:kern w:val="2"/>
          <w:szCs w:val="20"/>
          <w:lang w:val="en-GB" w:eastAsia="en-US"/>
          <w14:ligatures w14:val="standardContextual"/>
        </w:rPr>
        <w:t xml:space="preserve"> processes do</w:t>
      </w:r>
      <w:r w:rsidR="00170924">
        <w:rPr>
          <w:rFonts w:ascii="Arial" w:eastAsia="Aptos" w:hAnsi="Arial" w:cs="Arial"/>
          <w:color w:val="auto"/>
          <w:kern w:val="2"/>
          <w:szCs w:val="20"/>
          <w:lang w:val="en-GB" w:eastAsia="en-US"/>
          <w14:ligatures w14:val="standardContextual"/>
        </w:rPr>
        <w:t>, respectively</w:t>
      </w:r>
      <w:r w:rsidRPr="004640DC">
        <w:rPr>
          <w:rFonts w:ascii="Arial" w:eastAsia="Aptos" w:hAnsi="Arial" w:cs="Arial"/>
          <w:color w:val="auto"/>
          <w:kern w:val="2"/>
          <w:szCs w:val="20"/>
          <w:lang w:val="en-GB" w:eastAsia="en-US"/>
          <w14:ligatures w14:val="standardContextual"/>
        </w:rPr>
        <w:t xml:space="preserve">), which makes it difficult to compare </w:t>
      </w:r>
      <w:r w:rsidRPr="004640DC">
        <w:rPr>
          <w:rFonts w:ascii="Arial" w:eastAsia="Aptos" w:hAnsi="Arial" w:cs="Arial"/>
          <w:color w:val="auto"/>
          <w:kern w:val="2"/>
          <w:szCs w:val="20"/>
          <w:lang w:val="en-GB" w:eastAsia="en-US"/>
          <w14:ligatures w14:val="standardContextual"/>
        </w:rPr>
        <w:lastRenderedPageBreak/>
        <w:t>data across years or partners</w:t>
      </w:r>
      <w:r w:rsidR="00CA3923">
        <w:rPr>
          <w:rFonts w:ascii="Arial" w:eastAsia="Aptos" w:hAnsi="Arial" w:cs="Arial"/>
          <w:color w:val="auto"/>
          <w:kern w:val="2"/>
          <w:szCs w:val="20"/>
          <w:lang w:val="en-GB" w:eastAsia="en-US"/>
          <w14:ligatures w14:val="standardContextual"/>
        </w:rPr>
        <w:t xml:space="preserve">, and </w:t>
      </w:r>
      <w:r w:rsidR="009816A6">
        <w:rPr>
          <w:rFonts w:ascii="Arial" w:eastAsia="Aptos" w:hAnsi="Arial" w:cs="Arial"/>
          <w:color w:val="auto"/>
          <w:kern w:val="2"/>
          <w:szCs w:val="20"/>
          <w:lang w:val="en-GB" w:eastAsia="en-US"/>
          <w14:ligatures w14:val="standardContextual"/>
        </w:rPr>
        <w:t>understand whether activities have resulted in progress</w:t>
      </w:r>
      <w:r w:rsidR="00D30002">
        <w:rPr>
          <w:rFonts w:ascii="Arial" w:eastAsia="Aptos" w:hAnsi="Arial" w:cs="Arial"/>
          <w:color w:val="auto"/>
          <w:kern w:val="2"/>
          <w:szCs w:val="20"/>
          <w:lang w:val="en-GB" w:eastAsia="en-US"/>
          <w14:ligatures w14:val="standardContextual"/>
        </w:rPr>
        <w:t xml:space="preserve"> and improvements in performance</w:t>
      </w:r>
      <w:r w:rsidR="009816A6">
        <w:rPr>
          <w:rFonts w:ascii="Arial" w:eastAsia="Aptos" w:hAnsi="Arial" w:cs="Arial"/>
          <w:color w:val="auto"/>
          <w:kern w:val="2"/>
          <w:szCs w:val="20"/>
          <w:lang w:val="en-GB" w:eastAsia="en-US"/>
          <w14:ligatures w14:val="standardContextual"/>
        </w:rPr>
        <w:t xml:space="preserve">. </w:t>
      </w:r>
    </w:p>
    <w:p w14:paraId="5F26B8CE" w14:textId="0066B296" w:rsidR="009816A6" w:rsidRDefault="00D30002" w:rsidP="009816A6">
      <w:pPr>
        <w:spacing w:before="240"/>
        <w:rPr>
          <w:rFonts w:ascii="Arial" w:eastAsia="Aptos" w:hAnsi="Arial" w:cs="Arial"/>
          <w:color w:val="auto"/>
          <w:kern w:val="2"/>
          <w:szCs w:val="20"/>
          <w:lang w:val="en-GB" w:eastAsia="en-US"/>
          <w14:ligatures w14:val="standardContextual"/>
        </w:rPr>
      </w:pPr>
      <w:r>
        <w:rPr>
          <w:rFonts w:ascii="Arial" w:eastAsia="Aptos" w:hAnsi="Arial" w:cs="Arial"/>
          <w:color w:val="auto"/>
          <w:kern w:val="2"/>
          <w:szCs w:val="20"/>
          <w:lang w:val="en-GB" w:eastAsia="en-US"/>
          <w14:ligatures w14:val="standardContextual"/>
        </w:rPr>
        <w:t>This gap</w:t>
      </w:r>
      <w:r w:rsidR="00D83500">
        <w:rPr>
          <w:rFonts w:ascii="Arial" w:eastAsia="Aptos" w:hAnsi="Arial" w:cs="Arial"/>
          <w:color w:val="auto"/>
          <w:kern w:val="2"/>
          <w:szCs w:val="20"/>
          <w:lang w:val="en-GB" w:eastAsia="en-US"/>
          <w14:ligatures w14:val="standardContextual"/>
        </w:rPr>
        <w:t xml:space="preserve"> in understanding performance</w:t>
      </w:r>
      <w:r>
        <w:rPr>
          <w:rFonts w:ascii="Arial" w:eastAsia="Aptos" w:hAnsi="Arial" w:cs="Arial"/>
          <w:color w:val="auto"/>
          <w:kern w:val="2"/>
          <w:szCs w:val="20"/>
          <w:lang w:val="en-GB" w:eastAsia="en-US"/>
          <w14:ligatures w14:val="standardContextual"/>
        </w:rPr>
        <w:t xml:space="preserve"> </w:t>
      </w:r>
      <w:r w:rsidR="005B6735">
        <w:rPr>
          <w:rFonts w:ascii="Arial" w:eastAsia="Aptos" w:hAnsi="Arial" w:cs="Arial"/>
          <w:color w:val="auto"/>
          <w:kern w:val="2"/>
          <w:szCs w:val="20"/>
          <w:lang w:val="en-GB" w:eastAsia="en-US"/>
          <w14:ligatures w14:val="standardContextual"/>
        </w:rPr>
        <w:t>may</w:t>
      </w:r>
      <w:r w:rsidR="00260672">
        <w:rPr>
          <w:rFonts w:ascii="Arial" w:eastAsia="Aptos" w:hAnsi="Arial" w:cs="Arial"/>
          <w:color w:val="auto"/>
          <w:kern w:val="2"/>
          <w:szCs w:val="20"/>
          <w:lang w:val="en-GB" w:eastAsia="en-US"/>
          <w14:ligatures w14:val="standardContextual"/>
        </w:rPr>
        <w:t xml:space="preserve"> be addressed</w:t>
      </w:r>
      <w:r>
        <w:rPr>
          <w:rFonts w:ascii="Arial" w:eastAsia="Aptos" w:hAnsi="Arial" w:cs="Arial"/>
          <w:color w:val="auto"/>
          <w:kern w:val="2"/>
          <w:szCs w:val="20"/>
          <w:lang w:val="en-GB" w:eastAsia="en-US"/>
          <w14:ligatures w14:val="standardContextual"/>
        </w:rPr>
        <w:t xml:space="preserve"> </w:t>
      </w:r>
      <w:r w:rsidR="00D83500">
        <w:rPr>
          <w:rFonts w:ascii="Arial" w:eastAsia="Aptos" w:hAnsi="Arial" w:cs="Arial"/>
          <w:color w:val="auto"/>
          <w:kern w:val="2"/>
          <w:szCs w:val="20"/>
          <w:lang w:val="en-GB" w:eastAsia="en-US"/>
          <w14:ligatures w14:val="standardContextual"/>
        </w:rPr>
        <w:t>with</w:t>
      </w:r>
      <w:r w:rsidR="00EF77D1">
        <w:rPr>
          <w:rFonts w:ascii="Arial" w:eastAsia="Aptos" w:hAnsi="Arial" w:cs="Arial"/>
          <w:color w:val="auto"/>
          <w:kern w:val="2"/>
          <w:szCs w:val="20"/>
          <w:lang w:val="en-GB" w:eastAsia="en-US"/>
          <w14:ligatures w14:val="standardContextual"/>
        </w:rPr>
        <w:t xml:space="preserve"> MPAs</w:t>
      </w:r>
      <w:r w:rsidR="00D83500">
        <w:rPr>
          <w:rFonts w:ascii="Arial" w:eastAsia="Aptos" w:hAnsi="Arial" w:cs="Arial"/>
          <w:color w:val="auto"/>
          <w:kern w:val="2"/>
          <w:szCs w:val="20"/>
          <w:lang w:val="en-GB" w:eastAsia="en-US"/>
          <w14:ligatures w14:val="standardContextual"/>
        </w:rPr>
        <w:t xml:space="preserve"> </w:t>
      </w:r>
      <w:r w:rsidR="005B6735">
        <w:rPr>
          <w:rFonts w:ascii="Arial" w:eastAsia="Aptos" w:hAnsi="Arial" w:cs="Arial"/>
          <w:color w:val="auto"/>
          <w:kern w:val="2"/>
          <w:szCs w:val="20"/>
          <w:lang w:val="en-GB" w:eastAsia="en-US"/>
          <w14:ligatures w14:val="standardContextual"/>
        </w:rPr>
        <w:t>which are due to be reintroduced</w:t>
      </w:r>
      <w:r>
        <w:rPr>
          <w:rFonts w:ascii="Arial" w:eastAsia="Aptos" w:hAnsi="Arial" w:cs="Arial"/>
          <w:color w:val="auto"/>
          <w:kern w:val="2"/>
          <w:szCs w:val="20"/>
          <w:lang w:val="en-GB" w:eastAsia="en-US"/>
          <w14:ligatures w14:val="standardContextual"/>
        </w:rPr>
        <w:t xml:space="preserve">. </w:t>
      </w:r>
      <w:r w:rsidR="002F72B0" w:rsidRPr="61A3331C">
        <w:rPr>
          <w:rFonts w:ascii="Arial" w:eastAsia="Aptos" w:hAnsi="Arial" w:cs="Arial"/>
          <w:color w:val="auto"/>
          <w:kern w:val="2"/>
          <w:lang w:val="en-GB" w:eastAsia="en-US"/>
          <w14:ligatures w14:val="standardContextual"/>
        </w:rPr>
        <w:t xml:space="preserve">DFAT </w:t>
      </w:r>
      <w:r w:rsidR="00CB47C0">
        <w:rPr>
          <w:rFonts w:ascii="Arial" w:eastAsia="Aptos" w:hAnsi="Arial" w:cs="Arial"/>
          <w:color w:val="auto"/>
          <w:kern w:val="2"/>
          <w:lang w:val="en-GB" w:eastAsia="en-US"/>
          <w14:ligatures w14:val="standardContextual"/>
        </w:rPr>
        <w:t>piloted</w:t>
      </w:r>
      <w:r w:rsidR="002F72B0" w:rsidRPr="61A3331C">
        <w:rPr>
          <w:rFonts w:ascii="Arial" w:eastAsia="Aptos" w:hAnsi="Arial" w:cs="Arial"/>
          <w:color w:val="auto"/>
          <w:kern w:val="2"/>
          <w:lang w:val="en-GB" w:eastAsia="en-US"/>
          <w14:ligatures w14:val="standardContextual"/>
        </w:rPr>
        <w:t xml:space="preserve"> the new </w:t>
      </w:r>
      <w:r w:rsidR="00EF77D1">
        <w:rPr>
          <w:rFonts w:ascii="Arial" w:eastAsia="Aptos" w:hAnsi="Arial" w:cs="Arial"/>
          <w:color w:val="auto"/>
          <w:kern w:val="2"/>
          <w:lang w:val="en-GB" w:eastAsia="en-US"/>
          <w14:ligatures w14:val="standardContextual"/>
        </w:rPr>
        <w:t>MPA</w:t>
      </w:r>
      <w:r w:rsidR="002F72B0" w:rsidRPr="61A3331C">
        <w:rPr>
          <w:rFonts w:ascii="Arial" w:eastAsia="Aptos" w:hAnsi="Arial" w:cs="Arial"/>
          <w:color w:val="auto"/>
          <w:kern w:val="2"/>
          <w:lang w:val="en-GB" w:eastAsia="en-US"/>
          <w14:ligatures w14:val="standardContextual"/>
        </w:rPr>
        <w:t xml:space="preserve"> process </w:t>
      </w:r>
      <w:r w:rsidR="00EF77D1">
        <w:rPr>
          <w:rFonts w:ascii="Arial" w:eastAsia="Aptos" w:hAnsi="Arial" w:cs="Arial"/>
          <w:color w:val="auto"/>
          <w:kern w:val="2"/>
          <w:lang w:val="en-GB" w:eastAsia="en-US"/>
          <w14:ligatures w14:val="standardContextual"/>
        </w:rPr>
        <w:t>with</w:t>
      </w:r>
      <w:r w:rsidR="002F72B0" w:rsidRPr="61A3331C">
        <w:rPr>
          <w:rFonts w:ascii="Arial" w:eastAsia="Aptos" w:hAnsi="Arial" w:cs="Arial"/>
          <w:color w:val="auto"/>
          <w:kern w:val="2"/>
          <w:lang w:val="en-GB" w:eastAsia="en-US"/>
          <w14:ligatures w14:val="standardContextual"/>
        </w:rPr>
        <w:t xml:space="preserve"> WFP during the evaluation period. DFAT officers report a rigorous and highly useful process, combining peer review from WFP investment managers in Canberra and </w:t>
      </w:r>
      <w:r w:rsidR="00EF77D1">
        <w:rPr>
          <w:rFonts w:ascii="Arial" w:eastAsia="Aptos" w:hAnsi="Arial" w:cs="Arial"/>
          <w:color w:val="auto"/>
          <w:kern w:val="2"/>
          <w:lang w:val="en-GB" w:eastAsia="en-US"/>
          <w14:ligatures w14:val="standardContextual"/>
        </w:rPr>
        <w:t>P</w:t>
      </w:r>
      <w:r w:rsidR="002F72B0" w:rsidRPr="61A3331C">
        <w:rPr>
          <w:rFonts w:ascii="Arial" w:eastAsia="Aptos" w:hAnsi="Arial" w:cs="Arial"/>
          <w:color w:val="auto"/>
          <w:kern w:val="2"/>
          <w:lang w:val="en-GB" w:eastAsia="en-US"/>
          <w14:ligatures w14:val="standardContextual"/>
        </w:rPr>
        <w:t>ost to agree a consolidated performance rating against each criterion.</w:t>
      </w:r>
      <w:r w:rsidR="002F72B0" w:rsidRPr="61A3331C">
        <w:rPr>
          <w:rStyle w:val="FootnoteReference"/>
          <w:rFonts w:ascii="Arial" w:eastAsia="Aptos" w:hAnsi="Arial" w:cs="Arial"/>
          <w:color w:val="auto"/>
          <w:kern w:val="2"/>
          <w:lang w:val="en-GB" w:eastAsia="en-US"/>
          <w14:ligatures w14:val="standardContextual"/>
        </w:rPr>
        <w:footnoteReference w:id="113"/>
      </w:r>
      <w:r w:rsidR="002F72B0" w:rsidRPr="61A3331C">
        <w:rPr>
          <w:rFonts w:ascii="Arial" w:eastAsia="Aptos" w:hAnsi="Arial" w:cs="Arial"/>
          <w:color w:val="auto"/>
          <w:kern w:val="2"/>
          <w:lang w:val="en-GB" w:eastAsia="en-US"/>
          <w14:ligatures w14:val="standardContextual"/>
        </w:rPr>
        <w:t xml:space="preserve"> </w:t>
      </w:r>
    </w:p>
    <w:p w14:paraId="0F94D3AC" w14:textId="4DB7BC53" w:rsidR="00BA3542" w:rsidRDefault="000F2436" w:rsidP="004D3A9A">
      <w:pPr>
        <w:spacing w:before="240"/>
        <w:rPr>
          <w:rFonts w:ascii="Arial" w:eastAsia="Aptos" w:hAnsi="Arial" w:cs="Arial"/>
          <w:color w:val="auto"/>
          <w:kern w:val="2"/>
          <w:szCs w:val="20"/>
          <w:lang w:val="en-GB" w:eastAsia="en-US"/>
          <w14:ligatures w14:val="standardContextual"/>
        </w:rPr>
      </w:pPr>
      <w:r>
        <w:rPr>
          <w:rFonts w:ascii="Arial" w:eastAsia="Aptos" w:hAnsi="Arial" w:cs="Arial"/>
          <w:color w:val="auto"/>
          <w:kern w:val="2"/>
          <w:szCs w:val="20"/>
          <w:lang w:val="en-GB" w:eastAsia="en-US"/>
          <w14:ligatures w14:val="standardContextual"/>
        </w:rPr>
        <w:t xml:space="preserve">Separately, </w:t>
      </w:r>
      <w:r w:rsidR="002F72B0">
        <w:rPr>
          <w:rFonts w:ascii="Arial" w:eastAsia="Aptos" w:hAnsi="Arial" w:cs="Arial"/>
          <w:color w:val="auto"/>
          <w:kern w:val="2"/>
          <w:szCs w:val="20"/>
          <w:lang w:val="en-GB" w:eastAsia="en-US"/>
          <w14:ligatures w14:val="standardContextual"/>
        </w:rPr>
        <w:t xml:space="preserve">DFAT has </w:t>
      </w:r>
      <w:r w:rsidR="006420B8">
        <w:rPr>
          <w:rFonts w:ascii="Arial" w:eastAsia="Aptos" w:hAnsi="Arial" w:cs="Arial"/>
          <w:color w:val="auto"/>
          <w:kern w:val="2"/>
          <w:szCs w:val="20"/>
          <w:lang w:val="en-GB" w:eastAsia="en-US"/>
          <w14:ligatures w14:val="standardContextual"/>
        </w:rPr>
        <w:t>produced</w:t>
      </w:r>
      <w:r w:rsidR="00D87937">
        <w:rPr>
          <w:rFonts w:ascii="Arial" w:eastAsia="Aptos" w:hAnsi="Arial" w:cs="Arial"/>
          <w:color w:val="auto"/>
          <w:kern w:val="2"/>
          <w:szCs w:val="20"/>
          <w:lang w:val="en-GB" w:eastAsia="en-US"/>
          <w14:ligatures w14:val="standardContextual"/>
        </w:rPr>
        <w:t xml:space="preserve"> a </w:t>
      </w:r>
      <w:r w:rsidR="000E01C9">
        <w:rPr>
          <w:rFonts w:ascii="Arial" w:eastAsia="Aptos" w:hAnsi="Arial" w:cs="Arial"/>
          <w:color w:val="auto"/>
          <w:kern w:val="2"/>
          <w:szCs w:val="20"/>
          <w:lang w:val="en-GB" w:eastAsia="en-US"/>
          <w14:ligatures w14:val="standardContextual"/>
        </w:rPr>
        <w:t>theory of change</w:t>
      </w:r>
      <w:r w:rsidR="00E6263A">
        <w:rPr>
          <w:rStyle w:val="FootnoteReference"/>
          <w:rFonts w:ascii="Arial" w:eastAsia="Aptos" w:hAnsi="Arial" w:cs="Arial"/>
          <w:color w:val="auto"/>
          <w:kern w:val="2"/>
          <w:szCs w:val="20"/>
          <w:lang w:val="en-GB" w:eastAsia="en-US"/>
          <w14:ligatures w14:val="standardContextual"/>
        </w:rPr>
        <w:footnoteReference w:id="114"/>
      </w:r>
      <w:r w:rsidR="000E01C9">
        <w:rPr>
          <w:rFonts w:ascii="Arial" w:eastAsia="Aptos" w:hAnsi="Arial" w:cs="Arial"/>
          <w:color w:val="auto"/>
          <w:kern w:val="2"/>
          <w:szCs w:val="20"/>
          <w:lang w:val="en-GB" w:eastAsia="en-US"/>
          <w14:ligatures w14:val="standardContextual"/>
        </w:rPr>
        <w:t xml:space="preserve"> which establish</w:t>
      </w:r>
      <w:r w:rsidR="00F80F03">
        <w:rPr>
          <w:rFonts w:ascii="Arial" w:eastAsia="Aptos" w:hAnsi="Arial" w:cs="Arial"/>
          <w:color w:val="auto"/>
          <w:kern w:val="2"/>
          <w:szCs w:val="20"/>
          <w:lang w:val="en-GB" w:eastAsia="en-US"/>
          <w14:ligatures w14:val="standardContextual"/>
        </w:rPr>
        <w:t>es</w:t>
      </w:r>
      <w:r w:rsidR="000E01C9">
        <w:rPr>
          <w:rFonts w:ascii="Arial" w:eastAsia="Aptos" w:hAnsi="Arial" w:cs="Arial"/>
          <w:color w:val="auto"/>
          <w:kern w:val="2"/>
          <w:szCs w:val="20"/>
          <w:lang w:val="en-GB" w:eastAsia="en-US"/>
          <w14:ligatures w14:val="standardContextual"/>
        </w:rPr>
        <w:t xml:space="preserve"> the links between Australia’s </w:t>
      </w:r>
      <w:r w:rsidR="006420B8">
        <w:rPr>
          <w:rFonts w:ascii="Arial" w:eastAsia="Aptos" w:hAnsi="Arial" w:cs="Arial"/>
          <w:color w:val="auto"/>
          <w:kern w:val="2"/>
          <w:szCs w:val="20"/>
          <w:lang w:val="en-GB" w:eastAsia="en-US"/>
          <w14:ligatures w14:val="standardContextual"/>
        </w:rPr>
        <w:t xml:space="preserve">SPF </w:t>
      </w:r>
      <w:r w:rsidR="000E01C9">
        <w:rPr>
          <w:rFonts w:ascii="Arial" w:eastAsia="Aptos" w:hAnsi="Arial" w:cs="Arial"/>
          <w:color w:val="auto"/>
          <w:kern w:val="2"/>
          <w:szCs w:val="20"/>
          <w:lang w:val="en-GB" w:eastAsia="en-US"/>
          <w14:ligatures w14:val="standardContextual"/>
        </w:rPr>
        <w:t>partnerships</w:t>
      </w:r>
      <w:r w:rsidR="008A619F">
        <w:rPr>
          <w:rFonts w:ascii="Arial" w:eastAsia="Aptos" w:hAnsi="Arial" w:cs="Arial"/>
          <w:color w:val="auto"/>
          <w:kern w:val="2"/>
          <w:szCs w:val="20"/>
          <w:lang w:val="en-GB" w:eastAsia="en-US"/>
          <w14:ligatures w14:val="standardContextual"/>
        </w:rPr>
        <w:t>, common performance and reform objectives, agency-specific performance expectations</w:t>
      </w:r>
      <w:r w:rsidR="00F80F03">
        <w:rPr>
          <w:rFonts w:ascii="Arial" w:eastAsia="Aptos" w:hAnsi="Arial" w:cs="Arial"/>
          <w:color w:val="auto"/>
          <w:kern w:val="2"/>
          <w:szCs w:val="20"/>
          <w:lang w:val="en-GB" w:eastAsia="en-US"/>
          <w14:ligatures w14:val="standardContextual"/>
        </w:rPr>
        <w:t xml:space="preserve"> and performance management actions. </w:t>
      </w:r>
      <w:r w:rsidR="00E44C04">
        <w:rPr>
          <w:rFonts w:ascii="Arial" w:eastAsia="Aptos" w:hAnsi="Arial" w:cs="Arial"/>
          <w:color w:val="auto"/>
          <w:kern w:val="2"/>
          <w:szCs w:val="20"/>
          <w:lang w:val="en-GB" w:eastAsia="en-US"/>
          <w14:ligatures w14:val="standardContextual"/>
        </w:rPr>
        <w:t>As</w:t>
      </w:r>
      <w:r w:rsidR="005A0E66">
        <w:rPr>
          <w:rFonts w:ascii="Arial" w:eastAsia="Aptos" w:hAnsi="Arial" w:cs="Arial"/>
          <w:color w:val="auto"/>
          <w:kern w:val="2"/>
          <w:szCs w:val="20"/>
          <w:lang w:val="en-GB" w:eastAsia="en-US"/>
          <w14:ligatures w14:val="standardContextual"/>
        </w:rPr>
        <w:t xml:space="preserve"> DFAT is measuring performance against the SPF </w:t>
      </w:r>
      <w:r w:rsidR="00676E93">
        <w:rPr>
          <w:rFonts w:ascii="Arial" w:eastAsia="Aptos" w:hAnsi="Arial" w:cs="Arial"/>
          <w:color w:val="auto"/>
          <w:kern w:val="2"/>
          <w:szCs w:val="20"/>
          <w:lang w:val="en-GB" w:eastAsia="en-US"/>
          <w14:ligatures w14:val="standardContextual"/>
        </w:rPr>
        <w:t>shared partnership objectives</w:t>
      </w:r>
      <w:r w:rsidR="005A0E66">
        <w:rPr>
          <w:rFonts w:ascii="Arial" w:eastAsia="Aptos" w:hAnsi="Arial" w:cs="Arial"/>
          <w:color w:val="auto"/>
          <w:kern w:val="2"/>
          <w:szCs w:val="20"/>
          <w:lang w:val="en-GB" w:eastAsia="en-US"/>
          <w14:ligatures w14:val="standardContextual"/>
        </w:rPr>
        <w:t xml:space="preserve"> and deliverables, i</w:t>
      </w:r>
      <w:r w:rsidR="00F80F03">
        <w:rPr>
          <w:rFonts w:ascii="Arial" w:eastAsia="Aptos" w:hAnsi="Arial" w:cs="Arial"/>
          <w:color w:val="auto"/>
          <w:kern w:val="2"/>
          <w:szCs w:val="20"/>
          <w:lang w:val="en-GB" w:eastAsia="en-US"/>
          <w14:ligatures w14:val="standardContextual"/>
        </w:rPr>
        <w:t xml:space="preserve">t would be useful to </w:t>
      </w:r>
      <w:r w:rsidR="00D7784D">
        <w:rPr>
          <w:rFonts w:ascii="Arial" w:eastAsia="Aptos" w:hAnsi="Arial" w:cs="Arial"/>
          <w:color w:val="auto"/>
          <w:kern w:val="2"/>
          <w:szCs w:val="20"/>
          <w:lang w:val="en-GB" w:eastAsia="en-US"/>
          <w14:ligatures w14:val="standardContextual"/>
        </w:rPr>
        <w:t xml:space="preserve">adapt the </w:t>
      </w:r>
      <w:r w:rsidR="00062186">
        <w:rPr>
          <w:rFonts w:ascii="Arial" w:eastAsia="Aptos" w:hAnsi="Arial" w:cs="Arial"/>
          <w:color w:val="auto"/>
          <w:kern w:val="2"/>
          <w:szCs w:val="20"/>
          <w:lang w:val="en-GB" w:eastAsia="en-US"/>
          <w14:ligatures w14:val="standardContextual"/>
        </w:rPr>
        <w:t xml:space="preserve">theory of change </w:t>
      </w:r>
      <w:r w:rsidR="00D7784D">
        <w:rPr>
          <w:rFonts w:ascii="Arial" w:eastAsia="Aptos" w:hAnsi="Arial" w:cs="Arial"/>
          <w:color w:val="auto"/>
          <w:kern w:val="2"/>
          <w:szCs w:val="20"/>
          <w:lang w:val="en-GB" w:eastAsia="en-US"/>
          <w14:ligatures w14:val="standardContextual"/>
        </w:rPr>
        <w:t xml:space="preserve">to </w:t>
      </w:r>
      <w:r w:rsidR="00062186">
        <w:rPr>
          <w:rFonts w:ascii="Arial" w:eastAsia="Aptos" w:hAnsi="Arial" w:cs="Arial"/>
          <w:color w:val="auto"/>
          <w:kern w:val="2"/>
          <w:szCs w:val="20"/>
          <w:lang w:val="en-GB" w:eastAsia="en-US"/>
          <w14:ligatures w14:val="standardContextual"/>
        </w:rPr>
        <w:t xml:space="preserve">more explicitly </w:t>
      </w:r>
      <w:r w:rsidR="0063389F">
        <w:rPr>
          <w:rFonts w:ascii="Arial" w:eastAsia="Aptos" w:hAnsi="Arial" w:cs="Arial"/>
          <w:color w:val="auto"/>
          <w:kern w:val="2"/>
          <w:szCs w:val="20"/>
          <w:lang w:val="en-GB" w:eastAsia="en-US"/>
          <w14:ligatures w14:val="standardContextual"/>
        </w:rPr>
        <w:t>addresses the</w:t>
      </w:r>
      <w:r w:rsidR="005A0E66">
        <w:rPr>
          <w:rFonts w:ascii="Arial" w:eastAsia="Aptos" w:hAnsi="Arial" w:cs="Arial"/>
          <w:color w:val="auto"/>
          <w:kern w:val="2"/>
          <w:szCs w:val="20"/>
          <w:lang w:val="en-GB" w:eastAsia="en-US"/>
          <w14:ligatures w14:val="standardContextual"/>
        </w:rPr>
        <w:t>se</w:t>
      </w:r>
      <w:r w:rsidR="006420B8">
        <w:rPr>
          <w:rFonts w:ascii="Arial" w:eastAsia="Aptos" w:hAnsi="Arial" w:cs="Arial"/>
          <w:color w:val="auto"/>
          <w:kern w:val="2"/>
          <w:szCs w:val="20"/>
          <w:lang w:val="en-GB" w:eastAsia="en-US"/>
          <w14:ligatures w14:val="standardContextual"/>
        </w:rPr>
        <w:t xml:space="preserve"> going forward</w:t>
      </w:r>
      <w:r w:rsidR="0063389F">
        <w:rPr>
          <w:rFonts w:ascii="Arial" w:eastAsia="Aptos" w:hAnsi="Arial" w:cs="Arial"/>
          <w:color w:val="auto"/>
          <w:kern w:val="2"/>
          <w:szCs w:val="20"/>
          <w:lang w:val="en-GB" w:eastAsia="en-US"/>
          <w14:ligatures w14:val="standardContextual"/>
        </w:rPr>
        <w:t xml:space="preserve">. </w:t>
      </w:r>
    </w:p>
    <w:p w14:paraId="11669810" w14:textId="734BE8B9" w:rsidR="0039394D" w:rsidRPr="004640DC" w:rsidRDefault="001B5D34" w:rsidP="0039394D">
      <w:pPr>
        <w:spacing w:before="240"/>
        <w:rPr>
          <w:rFonts w:ascii="Arial" w:eastAsia="Aptos" w:hAnsi="Arial" w:cs="Arial"/>
          <w:color w:val="auto"/>
          <w:kern w:val="2"/>
          <w:szCs w:val="20"/>
          <w:lang w:val="en-GB" w:eastAsia="en-US"/>
          <w14:ligatures w14:val="standardContextual"/>
        </w:rPr>
      </w:pPr>
      <w:r w:rsidRPr="004640DC">
        <w:rPr>
          <w:rFonts w:ascii="Arial" w:eastAsia="Aptos" w:hAnsi="Arial" w:cs="Arial"/>
          <w:color w:val="auto"/>
          <w:kern w:val="2"/>
          <w:szCs w:val="20"/>
          <w:lang w:val="en-GB" w:eastAsia="en-US"/>
          <w14:ligatures w14:val="standardContextual"/>
        </w:rPr>
        <w:t xml:space="preserve">Inherent in these investments is a substantive resourcing </w:t>
      </w:r>
      <w:r w:rsidR="00E128B1">
        <w:rPr>
          <w:rFonts w:ascii="Arial" w:eastAsia="Aptos" w:hAnsi="Arial" w:cs="Arial"/>
          <w:color w:val="auto"/>
          <w:kern w:val="2"/>
          <w:szCs w:val="20"/>
          <w:lang w:val="en-GB" w:eastAsia="en-US"/>
          <w14:ligatures w14:val="standardContextual"/>
        </w:rPr>
        <w:t>investment</w:t>
      </w:r>
      <w:r w:rsidRPr="004640DC">
        <w:rPr>
          <w:rFonts w:ascii="Arial" w:eastAsia="Aptos" w:hAnsi="Arial" w:cs="Arial"/>
          <w:color w:val="auto"/>
          <w:kern w:val="2"/>
          <w:szCs w:val="20"/>
          <w:lang w:val="en-GB" w:eastAsia="en-US"/>
          <w14:ligatures w14:val="standardContextual"/>
        </w:rPr>
        <w:t xml:space="preserve"> to understand performance specific to </w:t>
      </w:r>
      <w:r w:rsidR="00CA29FB">
        <w:rPr>
          <w:rFonts w:ascii="Arial" w:eastAsia="Aptos" w:hAnsi="Arial" w:cs="Arial"/>
          <w:color w:val="auto"/>
          <w:kern w:val="2"/>
          <w:szCs w:val="20"/>
          <w:lang w:val="en-GB" w:eastAsia="en-US"/>
          <w14:ligatures w14:val="standardContextual"/>
        </w:rPr>
        <w:t>the shared objectives and deliverables</w:t>
      </w:r>
      <w:r w:rsidRPr="004640DC">
        <w:rPr>
          <w:rFonts w:ascii="Arial" w:eastAsia="Aptos" w:hAnsi="Arial" w:cs="Arial"/>
          <w:color w:val="auto"/>
          <w:kern w:val="2"/>
          <w:szCs w:val="20"/>
          <w:lang w:val="en-GB" w:eastAsia="en-US"/>
          <w14:ligatures w14:val="standardContextual"/>
        </w:rPr>
        <w:t xml:space="preserve"> which must be resourced by either the partner or the donor. </w:t>
      </w:r>
      <w:r w:rsidR="00164C63" w:rsidRPr="004640DC">
        <w:rPr>
          <w:rFonts w:ascii="Arial" w:eastAsia="Aptos" w:hAnsi="Arial" w:cs="Arial"/>
          <w:color w:val="auto"/>
          <w:kern w:val="2"/>
          <w:szCs w:val="20"/>
          <w:lang w:val="en-GB" w:eastAsia="en-US"/>
          <w14:ligatures w14:val="standardContextual"/>
        </w:rPr>
        <w:t xml:space="preserve">The </w:t>
      </w:r>
      <w:r w:rsidR="00164C63">
        <w:rPr>
          <w:rFonts w:ascii="Arial" w:eastAsia="Aptos" w:hAnsi="Arial" w:cs="Arial"/>
          <w:color w:val="auto"/>
          <w:kern w:val="2"/>
          <w:szCs w:val="20"/>
          <w:lang w:val="en-GB" w:eastAsia="en-US"/>
          <w14:ligatures w14:val="standardContextual"/>
        </w:rPr>
        <w:t>responsibility and resourcing</w:t>
      </w:r>
      <w:r w:rsidR="00164C63" w:rsidRPr="004640DC">
        <w:rPr>
          <w:rFonts w:ascii="Arial" w:eastAsia="Aptos" w:hAnsi="Arial" w:cs="Arial"/>
          <w:color w:val="auto"/>
          <w:kern w:val="2"/>
          <w:szCs w:val="20"/>
          <w:lang w:val="en-GB" w:eastAsia="en-US"/>
          <w14:ligatures w14:val="standardContextual"/>
        </w:rPr>
        <w:t xml:space="preserve"> currently rest</w:t>
      </w:r>
      <w:r w:rsidR="00164C63">
        <w:rPr>
          <w:rFonts w:ascii="Arial" w:eastAsia="Aptos" w:hAnsi="Arial" w:cs="Arial"/>
          <w:color w:val="auto"/>
          <w:kern w:val="2"/>
          <w:szCs w:val="20"/>
          <w:lang w:val="en-GB" w:eastAsia="en-US"/>
          <w14:ligatures w14:val="standardContextual"/>
        </w:rPr>
        <w:t xml:space="preserve"> largely</w:t>
      </w:r>
      <w:r w:rsidR="00164C63" w:rsidRPr="004640DC">
        <w:rPr>
          <w:rFonts w:ascii="Arial" w:eastAsia="Aptos" w:hAnsi="Arial" w:cs="Arial"/>
          <w:color w:val="auto"/>
          <w:kern w:val="2"/>
          <w:szCs w:val="20"/>
          <w:lang w:val="en-GB" w:eastAsia="en-US"/>
          <w14:ligatures w14:val="standardContextual"/>
        </w:rPr>
        <w:t xml:space="preserve"> with DFAT</w:t>
      </w:r>
      <w:r w:rsidR="00164C63">
        <w:rPr>
          <w:rFonts w:ascii="Arial" w:eastAsia="Aptos" w:hAnsi="Arial" w:cs="Arial"/>
          <w:color w:val="auto"/>
          <w:kern w:val="2"/>
          <w:szCs w:val="20"/>
          <w:lang w:val="en-GB" w:eastAsia="en-US"/>
          <w14:ligatures w14:val="standardContextual"/>
        </w:rPr>
        <w:t>.</w:t>
      </w:r>
      <w:r w:rsidR="00164C63" w:rsidRPr="00360F6B">
        <w:rPr>
          <w:rFonts w:ascii="Arial" w:eastAsia="Arial" w:hAnsi="Arial" w:cs="Arial"/>
        </w:rPr>
        <w:t xml:space="preserve"> </w:t>
      </w:r>
      <w:r w:rsidR="00610FF5">
        <w:rPr>
          <w:rFonts w:ascii="Arial" w:eastAsia="Arial" w:hAnsi="Arial" w:cs="Arial"/>
        </w:rPr>
        <w:t>As outlined in KEQ</w:t>
      </w:r>
      <w:r w:rsidR="00771668">
        <w:rPr>
          <w:rFonts w:ascii="Arial" w:eastAsia="Arial" w:hAnsi="Arial" w:cs="Arial"/>
        </w:rPr>
        <w:t xml:space="preserve"> </w:t>
      </w:r>
      <w:r w:rsidR="00610FF5">
        <w:rPr>
          <w:rFonts w:ascii="Arial" w:eastAsia="Arial" w:hAnsi="Arial" w:cs="Arial"/>
        </w:rPr>
        <w:t xml:space="preserve">3.1, </w:t>
      </w:r>
      <w:r w:rsidR="0039394D" w:rsidRPr="00360F6B">
        <w:rPr>
          <w:rFonts w:ascii="Arial" w:eastAsia="Arial" w:hAnsi="Arial" w:cs="Arial"/>
        </w:rPr>
        <w:t>many DFAT staff reported monitoring and reporting performance against the SPFs to be a resource intensive</w:t>
      </w:r>
      <w:r w:rsidR="00FB4693">
        <w:rPr>
          <w:rFonts w:ascii="Arial" w:eastAsia="Arial" w:hAnsi="Arial" w:cs="Arial"/>
        </w:rPr>
        <w:t xml:space="preserve"> (taking a lot of their time</w:t>
      </w:r>
      <w:r w:rsidR="00C075B7">
        <w:rPr>
          <w:rFonts w:ascii="Arial" w:eastAsia="Arial" w:hAnsi="Arial" w:cs="Arial"/>
        </w:rPr>
        <w:t>, and consultant time to find and interpret data</w:t>
      </w:r>
      <w:r w:rsidR="009715E6">
        <w:rPr>
          <w:rFonts w:ascii="Arial" w:eastAsia="Arial" w:hAnsi="Arial" w:cs="Arial"/>
        </w:rPr>
        <w:t>, while not requiring much resourcing from par</w:t>
      </w:r>
      <w:r w:rsidR="00470BAE">
        <w:rPr>
          <w:rFonts w:ascii="Arial" w:eastAsia="Arial" w:hAnsi="Arial" w:cs="Arial"/>
        </w:rPr>
        <w:t>tners</w:t>
      </w:r>
      <w:r w:rsidR="00FB4693">
        <w:rPr>
          <w:rFonts w:ascii="Arial" w:eastAsia="Arial" w:hAnsi="Arial" w:cs="Arial"/>
        </w:rPr>
        <w:t>)</w:t>
      </w:r>
      <w:r w:rsidR="0039394D" w:rsidRPr="00360F6B">
        <w:rPr>
          <w:rFonts w:ascii="Arial" w:eastAsia="Arial" w:hAnsi="Arial" w:cs="Arial"/>
        </w:rPr>
        <w:t xml:space="preserve"> and imperfect process</w:t>
      </w:r>
      <w:r w:rsidR="00610FF5">
        <w:rPr>
          <w:rFonts w:ascii="Arial" w:eastAsia="Arial" w:hAnsi="Arial" w:cs="Arial"/>
        </w:rPr>
        <w:t>, though</w:t>
      </w:r>
      <w:r w:rsidR="0039394D">
        <w:rPr>
          <w:rFonts w:ascii="Arial" w:eastAsia="Arial" w:hAnsi="Arial" w:cs="Arial"/>
        </w:rPr>
        <w:t xml:space="preserve"> at least one DFAT officer believes that it is not resource intensive.</w:t>
      </w:r>
      <w:r w:rsidR="0039394D">
        <w:rPr>
          <w:rStyle w:val="FootnoteReference"/>
          <w:rFonts w:ascii="Arial" w:eastAsia="Arial" w:hAnsi="Arial" w:cs="Arial"/>
        </w:rPr>
        <w:footnoteReference w:id="115"/>
      </w:r>
      <w:r w:rsidR="0039394D" w:rsidRPr="004640DC">
        <w:rPr>
          <w:rFonts w:ascii="Arial" w:eastAsia="Aptos" w:hAnsi="Arial" w:cs="Arial"/>
          <w:color w:val="auto"/>
          <w:kern w:val="2"/>
          <w:szCs w:val="20"/>
          <w:lang w:val="en-GB" w:eastAsia="en-US"/>
          <w14:ligatures w14:val="standardContextual"/>
        </w:rPr>
        <w:t xml:space="preserve"> </w:t>
      </w:r>
      <w:r w:rsidRPr="004640DC">
        <w:rPr>
          <w:rFonts w:ascii="Arial" w:eastAsia="Aptos" w:hAnsi="Arial" w:cs="Arial"/>
          <w:color w:val="auto"/>
          <w:kern w:val="2"/>
          <w:szCs w:val="20"/>
          <w:lang w:val="en-GB" w:eastAsia="en-US"/>
          <w14:ligatures w14:val="standardContextual"/>
        </w:rPr>
        <w:t xml:space="preserve">Regardless of where the </w:t>
      </w:r>
      <w:r w:rsidR="00E128B1">
        <w:rPr>
          <w:rFonts w:ascii="Arial" w:eastAsia="Aptos" w:hAnsi="Arial" w:cs="Arial"/>
          <w:color w:val="auto"/>
          <w:kern w:val="2"/>
          <w:szCs w:val="20"/>
          <w:lang w:val="en-GB" w:eastAsia="en-US"/>
          <w14:ligatures w14:val="standardContextual"/>
        </w:rPr>
        <w:t>responsibility</w:t>
      </w:r>
      <w:r w:rsidRPr="004640DC">
        <w:rPr>
          <w:rFonts w:ascii="Arial" w:eastAsia="Aptos" w:hAnsi="Arial" w:cs="Arial"/>
          <w:color w:val="auto"/>
          <w:kern w:val="2"/>
          <w:szCs w:val="20"/>
          <w:lang w:val="en-GB" w:eastAsia="en-US"/>
          <w14:ligatures w14:val="standardContextual"/>
        </w:rPr>
        <w:t xml:space="preserve"> falls, establishing expectations and frameworks in advance of signing agreements</w:t>
      </w:r>
      <w:r w:rsidR="00164C63">
        <w:rPr>
          <w:rFonts w:ascii="Arial" w:eastAsia="Aptos" w:hAnsi="Arial" w:cs="Arial"/>
          <w:color w:val="auto"/>
          <w:kern w:val="2"/>
          <w:szCs w:val="20"/>
          <w:lang w:val="en-GB" w:eastAsia="en-US"/>
          <w14:ligatures w14:val="standardContextual"/>
        </w:rPr>
        <w:t xml:space="preserve"> </w:t>
      </w:r>
      <w:r w:rsidR="00771668">
        <w:rPr>
          <w:rFonts w:ascii="Arial" w:eastAsia="Aptos" w:hAnsi="Arial" w:cs="Arial"/>
          <w:color w:val="auto"/>
          <w:kern w:val="2"/>
          <w:szCs w:val="20"/>
          <w:lang w:val="en-GB" w:eastAsia="en-US"/>
          <w14:ligatures w14:val="standardContextual"/>
        </w:rPr>
        <w:t>will increase</w:t>
      </w:r>
      <w:r w:rsidR="00164C63">
        <w:rPr>
          <w:rFonts w:ascii="Arial" w:eastAsia="Aptos" w:hAnsi="Arial" w:cs="Arial"/>
          <w:color w:val="auto"/>
          <w:kern w:val="2"/>
          <w:szCs w:val="20"/>
          <w:lang w:val="en-GB" w:eastAsia="en-US"/>
          <w14:ligatures w14:val="standardContextual"/>
        </w:rPr>
        <w:t xml:space="preserve"> likelihood that</w:t>
      </w:r>
      <w:r w:rsidRPr="004640DC">
        <w:rPr>
          <w:rFonts w:ascii="Arial" w:eastAsia="Aptos" w:hAnsi="Arial" w:cs="Arial"/>
          <w:color w:val="auto"/>
          <w:kern w:val="2"/>
          <w:szCs w:val="20"/>
          <w:lang w:val="en-GB" w:eastAsia="en-US"/>
          <w14:ligatures w14:val="standardContextual"/>
        </w:rPr>
        <w:t xml:space="preserve"> the process </w:t>
      </w:r>
      <w:r w:rsidR="00771668">
        <w:rPr>
          <w:rFonts w:ascii="Arial" w:eastAsia="Aptos" w:hAnsi="Arial" w:cs="Arial"/>
          <w:color w:val="auto"/>
          <w:kern w:val="2"/>
          <w:szCs w:val="20"/>
          <w:lang w:val="en-GB" w:eastAsia="en-US"/>
          <w14:ligatures w14:val="standardContextual"/>
        </w:rPr>
        <w:t xml:space="preserve">will be </w:t>
      </w:r>
      <w:r w:rsidRPr="004640DC">
        <w:rPr>
          <w:rFonts w:ascii="Arial" w:eastAsia="Aptos" w:hAnsi="Arial" w:cs="Arial"/>
          <w:color w:val="auto"/>
          <w:kern w:val="2"/>
          <w:szCs w:val="20"/>
          <w:lang w:val="en-GB" w:eastAsia="en-US"/>
          <w14:ligatures w14:val="standardContextual"/>
        </w:rPr>
        <w:t>less resource intensive and more useful</w:t>
      </w:r>
      <w:r w:rsidR="007C1932">
        <w:rPr>
          <w:rFonts w:ascii="Arial" w:eastAsia="Aptos" w:hAnsi="Arial" w:cs="Arial"/>
          <w:color w:val="auto"/>
          <w:kern w:val="2"/>
          <w:szCs w:val="20"/>
          <w:lang w:val="en-GB" w:eastAsia="en-US"/>
          <w14:ligatures w14:val="standardContextual"/>
        </w:rPr>
        <w:t xml:space="preserve"> in future</w:t>
      </w:r>
      <w:r w:rsidRPr="004640DC">
        <w:rPr>
          <w:rFonts w:ascii="Arial" w:eastAsia="Aptos" w:hAnsi="Arial" w:cs="Arial"/>
          <w:color w:val="auto"/>
          <w:kern w:val="2"/>
          <w:szCs w:val="20"/>
          <w:lang w:val="en-GB" w:eastAsia="en-US"/>
          <w14:ligatures w14:val="standardContextual"/>
        </w:rPr>
        <w:t xml:space="preserve">. </w:t>
      </w:r>
    </w:p>
    <w:p w14:paraId="73E29524" w14:textId="77777777" w:rsidR="006E40D8" w:rsidRPr="006E40D8" w:rsidRDefault="006E40D8" w:rsidP="006E40D8">
      <w:pPr>
        <w:spacing w:before="240"/>
        <w:contextualSpacing/>
        <w:rPr>
          <w:rFonts w:ascii="Arial" w:eastAsia="Aptos" w:hAnsi="Arial" w:cs="Arial"/>
          <w:b/>
          <w:bCs/>
          <w:color w:val="auto"/>
          <w:kern w:val="2"/>
          <w:szCs w:val="20"/>
          <w:lang w:val="en-GB" w:eastAsia="en-US"/>
          <w14:ligatures w14:val="standardContextual"/>
        </w:rPr>
      </w:pPr>
      <w:r w:rsidRPr="006E40D8">
        <w:rPr>
          <w:rFonts w:ascii="Arial" w:eastAsia="Aptos" w:hAnsi="Arial" w:cs="Arial"/>
          <w:b/>
          <w:bCs/>
          <w:color w:val="auto"/>
          <w:kern w:val="2"/>
          <w:szCs w:val="20"/>
          <w:lang w:val="en-GB" w:eastAsia="en-US"/>
          <w14:ligatures w14:val="standardContextual"/>
        </w:rPr>
        <w:t>Funding through EOLs</w:t>
      </w:r>
    </w:p>
    <w:p w14:paraId="1A934803" w14:textId="094F05C0" w:rsidR="00735B80" w:rsidRDefault="001B5D34" w:rsidP="0020655A">
      <w:pPr>
        <w:spacing w:before="240"/>
        <w:rPr>
          <w:rFonts w:ascii="Arial" w:eastAsia="Aptos" w:hAnsi="Arial" w:cs="Arial"/>
          <w:color w:val="auto"/>
          <w:kern w:val="2"/>
          <w:szCs w:val="20"/>
          <w:lang w:val="en-GB" w:eastAsia="en-US"/>
          <w14:ligatures w14:val="standardContextual"/>
        </w:rPr>
      </w:pPr>
      <w:r>
        <w:rPr>
          <w:rFonts w:ascii="Arial" w:eastAsia="Aptos" w:hAnsi="Arial" w:cs="Arial"/>
          <w:color w:val="auto"/>
          <w:kern w:val="2"/>
          <w:szCs w:val="20"/>
          <w:lang w:val="en-GB" w:eastAsia="en-US"/>
          <w14:ligatures w14:val="standardContextual"/>
        </w:rPr>
        <w:t>T</w:t>
      </w:r>
      <w:r w:rsidR="0053362B" w:rsidRPr="0020655A">
        <w:rPr>
          <w:rFonts w:ascii="Arial" w:eastAsia="Aptos" w:hAnsi="Arial" w:cs="Arial"/>
          <w:color w:val="auto"/>
          <w:kern w:val="2"/>
          <w:szCs w:val="20"/>
          <w:lang w:val="en-GB" w:eastAsia="en-US"/>
          <w14:ligatures w14:val="standardContextual"/>
        </w:rPr>
        <w:t xml:space="preserve">here has been some success with </w:t>
      </w:r>
      <w:r>
        <w:rPr>
          <w:rFonts w:ascii="Arial" w:eastAsia="Aptos" w:hAnsi="Arial" w:cs="Arial"/>
          <w:color w:val="auto"/>
          <w:kern w:val="2"/>
          <w:szCs w:val="20"/>
          <w:lang w:val="en-GB" w:eastAsia="en-US"/>
          <w14:ligatures w14:val="standardContextual"/>
        </w:rPr>
        <w:t>monitoring and reporting against</w:t>
      </w:r>
      <w:r w:rsidR="0053362B" w:rsidRPr="0020655A">
        <w:rPr>
          <w:rFonts w:ascii="Arial" w:eastAsia="Aptos" w:hAnsi="Arial" w:cs="Arial"/>
          <w:color w:val="auto"/>
          <w:kern w:val="2"/>
          <w:szCs w:val="20"/>
          <w:lang w:val="en-GB" w:eastAsia="en-US"/>
          <w14:ligatures w14:val="standardContextual"/>
        </w:rPr>
        <w:t xml:space="preserve"> EOLs. </w:t>
      </w:r>
      <w:r w:rsidR="00342C8C">
        <w:rPr>
          <w:rFonts w:ascii="Arial" w:eastAsia="Aptos" w:hAnsi="Arial" w:cs="Arial"/>
          <w:color w:val="auto"/>
          <w:kern w:val="2"/>
          <w:szCs w:val="20"/>
          <w:lang w:val="en-GB" w:eastAsia="en-US"/>
          <w14:ligatures w14:val="standardContextual"/>
        </w:rPr>
        <w:t>Internal quality assurance processes have incentivised DFAT staff to collect this data, as</w:t>
      </w:r>
      <w:r w:rsidR="00342C8C" w:rsidRPr="00665560">
        <w:rPr>
          <w:rFonts w:ascii="Arial" w:eastAsia="Aptos" w:hAnsi="Arial" w:cs="Arial"/>
          <w:color w:val="auto"/>
          <w:kern w:val="2"/>
          <w:szCs w:val="20"/>
          <w:lang w:val="en-GB" w:eastAsia="en-US"/>
          <w14:ligatures w14:val="standardContextual"/>
        </w:rPr>
        <w:t xml:space="preserve"> </w:t>
      </w:r>
      <w:r w:rsidR="00342C8C">
        <w:rPr>
          <w:rFonts w:ascii="Arial" w:eastAsia="Aptos" w:hAnsi="Arial" w:cs="Arial"/>
          <w:color w:val="auto"/>
          <w:kern w:val="2"/>
          <w:szCs w:val="20"/>
          <w:lang w:val="en-GB" w:eastAsia="en-US"/>
          <w14:ligatures w14:val="standardContextual"/>
        </w:rPr>
        <w:t xml:space="preserve">they are required to complete IMRs for investments over </w:t>
      </w:r>
      <w:r w:rsidR="00475517">
        <w:rPr>
          <w:rFonts w:ascii="Arial" w:eastAsia="Aptos" w:hAnsi="Arial" w:cs="Arial"/>
          <w:color w:val="auto"/>
          <w:kern w:val="2"/>
          <w:szCs w:val="20"/>
          <w:lang w:val="en-GB" w:eastAsia="en-US"/>
          <w14:ligatures w14:val="standardContextual"/>
        </w:rPr>
        <w:t>AUD</w:t>
      </w:r>
      <w:r w:rsidR="00342C8C">
        <w:rPr>
          <w:rFonts w:ascii="Arial" w:eastAsia="Aptos" w:hAnsi="Arial" w:cs="Arial"/>
          <w:color w:val="auto"/>
          <w:kern w:val="2"/>
          <w:szCs w:val="20"/>
          <w:lang w:val="en-GB" w:eastAsia="en-US"/>
          <w14:ligatures w14:val="standardContextual"/>
        </w:rPr>
        <w:t>3 million, and</w:t>
      </w:r>
      <w:r w:rsidR="00F3396B">
        <w:rPr>
          <w:rFonts w:ascii="Arial" w:eastAsia="Aptos" w:hAnsi="Arial" w:cs="Arial"/>
          <w:color w:val="auto"/>
          <w:kern w:val="2"/>
          <w:szCs w:val="20"/>
          <w:lang w:val="en-GB" w:eastAsia="en-US"/>
          <w14:ligatures w14:val="standardContextual"/>
        </w:rPr>
        <w:t xml:space="preserve"> </w:t>
      </w:r>
      <w:r w:rsidR="00475517">
        <w:rPr>
          <w:rFonts w:ascii="Arial" w:eastAsia="Aptos" w:hAnsi="Arial" w:cs="Arial"/>
          <w:color w:val="auto"/>
          <w:kern w:val="2"/>
          <w:szCs w:val="20"/>
          <w:lang w:val="en-GB" w:eastAsia="en-US"/>
          <w14:ligatures w14:val="standardContextual"/>
        </w:rPr>
        <w:t xml:space="preserve">PPAs </w:t>
      </w:r>
      <w:r w:rsidR="00342C8C">
        <w:rPr>
          <w:rFonts w:ascii="Arial" w:eastAsia="Aptos" w:hAnsi="Arial" w:cs="Arial"/>
          <w:color w:val="auto"/>
          <w:kern w:val="2"/>
          <w:szCs w:val="20"/>
          <w:lang w:val="en-GB" w:eastAsia="en-US"/>
          <w14:ligatures w14:val="standardContextual"/>
        </w:rPr>
        <w:t>each year. DFAT has negotiated some highly useful clauses in EOLs</w:t>
      </w:r>
      <w:r w:rsidR="00475517">
        <w:rPr>
          <w:rFonts w:ascii="Arial" w:eastAsia="Aptos" w:hAnsi="Arial" w:cs="Arial"/>
          <w:color w:val="auto"/>
          <w:kern w:val="2"/>
          <w:szCs w:val="20"/>
          <w:lang w:val="en-GB" w:eastAsia="en-US"/>
          <w14:ligatures w14:val="standardContextual"/>
        </w:rPr>
        <w:t>. F</w:t>
      </w:r>
      <w:r w:rsidR="00342C8C">
        <w:rPr>
          <w:rFonts w:ascii="Arial" w:eastAsia="Aptos" w:hAnsi="Arial" w:cs="Arial"/>
          <w:color w:val="auto"/>
          <w:kern w:val="2"/>
          <w:szCs w:val="20"/>
          <w:lang w:val="en-GB" w:eastAsia="en-US"/>
          <w14:ligatures w14:val="standardContextual"/>
        </w:rPr>
        <w:t xml:space="preserve">or instance, some EOLs for the Syria response require partners to submit data against DFAT’s Protracted Crisis MEL Framework, and for the </w:t>
      </w:r>
      <w:r w:rsidR="009D0E0C">
        <w:rPr>
          <w:rFonts w:ascii="Arial" w:eastAsia="Aptos" w:hAnsi="Arial" w:cs="Arial"/>
          <w:color w:val="auto"/>
          <w:kern w:val="2"/>
          <w:szCs w:val="20"/>
          <w:lang w:val="en-GB" w:eastAsia="en-US"/>
          <w14:ligatures w14:val="standardContextual"/>
        </w:rPr>
        <w:t>Bangladesh Rohingya and Host Community Humanitarian Investment</w:t>
      </w:r>
      <w:r w:rsidR="001843E8">
        <w:rPr>
          <w:rFonts w:ascii="Arial" w:eastAsia="Aptos" w:hAnsi="Arial" w:cs="Arial"/>
          <w:color w:val="auto"/>
          <w:kern w:val="2"/>
          <w:szCs w:val="20"/>
          <w:lang w:val="en-GB" w:eastAsia="en-US"/>
          <w14:ligatures w14:val="standardContextual"/>
        </w:rPr>
        <w:t xml:space="preserve"> </w:t>
      </w:r>
      <w:r w:rsidR="00342C8C">
        <w:rPr>
          <w:rFonts w:ascii="Arial" w:eastAsia="Aptos" w:hAnsi="Arial" w:cs="Arial"/>
          <w:color w:val="auto"/>
          <w:kern w:val="2"/>
          <w:szCs w:val="20"/>
          <w:lang w:val="en-GB" w:eastAsia="en-US"/>
          <w14:ligatures w14:val="standardContextual"/>
        </w:rPr>
        <w:t>response</w:t>
      </w:r>
      <w:r w:rsidR="00040515">
        <w:rPr>
          <w:rFonts w:ascii="Arial" w:eastAsia="Aptos" w:hAnsi="Arial" w:cs="Arial"/>
          <w:color w:val="auto"/>
          <w:kern w:val="2"/>
          <w:szCs w:val="20"/>
          <w:lang w:val="en-GB" w:eastAsia="en-US"/>
          <w14:ligatures w14:val="standardContextual"/>
        </w:rPr>
        <w:t>,</w:t>
      </w:r>
      <w:r w:rsidR="00342C8C">
        <w:rPr>
          <w:rFonts w:ascii="Arial" w:eastAsia="Aptos" w:hAnsi="Arial" w:cs="Arial"/>
          <w:color w:val="auto"/>
          <w:kern w:val="2"/>
          <w:szCs w:val="20"/>
          <w:lang w:val="en-GB" w:eastAsia="en-US"/>
          <w14:ligatures w14:val="standardContextual"/>
        </w:rPr>
        <w:t xml:space="preserve"> partners are required to submit an additional 8+3 report in advance of DFAT’s internal reporting deadlines. </w:t>
      </w:r>
      <w:r w:rsidR="00D13C22">
        <w:rPr>
          <w:rFonts w:ascii="Arial" w:eastAsia="Aptos" w:hAnsi="Arial" w:cs="Arial"/>
          <w:color w:val="auto"/>
          <w:kern w:val="2"/>
          <w:szCs w:val="20"/>
          <w:lang w:val="en-GB" w:eastAsia="en-US"/>
          <w14:ligatures w14:val="standardContextual"/>
        </w:rPr>
        <w:t xml:space="preserve">8+3 reports are </w:t>
      </w:r>
      <w:r w:rsidR="002C69E8">
        <w:rPr>
          <w:rFonts w:ascii="Arial" w:eastAsia="Aptos" w:hAnsi="Arial" w:cs="Arial"/>
          <w:color w:val="auto"/>
          <w:kern w:val="2"/>
          <w:szCs w:val="20"/>
          <w:lang w:val="en-GB" w:eastAsia="en-US"/>
          <w14:ligatures w14:val="standardContextual"/>
        </w:rPr>
        <w:t xml:space="preserve">templates common to multiple donors which facilitate efficient reporting for </w:t>
      </w:r>
      <w:r w:rsidR="00475517">
        <w:rPr>
          <w:rFonts w:ascii="Arial" w:eastAsia="Aptos" w:hAnsi="Arial" w:cs="Arial"/>
          <w:color w:val="auto"/>
          <w:kern w:val="2"/>
          <w:szCs w:val="20"/>
          <w:lang w:val="en-GB" w:eastAsia="en-US"/>
          <w14:ligatures w14:val="standardContextual"/>
        </w:rPr>
        <w:t xml:space="preserve">humanitarian </w:t>
      </w:r>
      <w:r w:rsidR="002C69E8">
        <w:rPr>
          <w:rFonts w:ascii="Arial" w:eastAsia="Aptos" w:hAnsi="Arial" w:cs="Arial"/>
          <w:color w:val="auto"/>
          <w:kern w:val="2"/>
          <w:szCs w:val="20"/>
          <w:lang w:val="en-GB" w:eastAsia="en-US"/>
          <w14:ligatures w14:val="standardContextual"/>
        </w:rPr>
        <w:t xml:space="preserve">partners with </w:t>
      </w:r>
      <w:proofErr w:type="gramStart"/>
      <w:r w:rsidR="002C69E8">
        <w:rPr>
          <w:rFonts w:ascii="Arial" w:eastAsia="Aptos" w:hAnsi="Arial" w:cs="Arial"/>
          <w:color w:val="auto"/>
          <w:kern w:val="2"/>
          <w:szCs w:val="20"/>
          <w:lang w:val="en-GB" w:eastAsia="en-US"/>
          <w14:ligatures w14:val="standardContextual"/>
        </w:rPr>
        <w:t>a large number of</w:t>
      </w:r>
      <w:proofErr w:type="gramEnd"/>
      <w:r w:rsidR="002C69E8">
        <w:rPr>
          <w:rFonts w:ascii="Arial" w:eastAsia="Aptos" w:hAnsi="Arial" w:cs="Arial"/>
          <w:color w:val="auto"/>
          <w:kern w:val="2"/>
          <w:szCs w:val="20"/>
          <w:lang w:val="en-GB" w:eastAsia="en-US"/>
          <w14:ligatures w14:val="standardContextual"/>
        </w:rPr>
        <w:t xml:space="preserve"> donors. </w:t>
      </w:r>
      <w:r w:rsidR="00342C8C">
        <w:rPr>
          <w:rFonts w:ascii="Arial" w:eastAsia="Aptos" w:hAnsi="Arial" w:cs="Arial"/>
          <w:color w:val="auto"/>
          <w:kern w:val="2"/>
          <w:szCs w:val="20"/>
          <w:lang w:val="en-GB" w:eastAsia="en-US"/>
          <w14:ligatures w14:val="standardContextual"/>
        </w:rPr>
        <w:t xml:space="preserve">DFAT officers </w:t>
      </w:r>
      <w:r w:rsidR="007C1932">
        <w:rPr>
          <w:rFonts w:ascii="Arial" w:eastAsia="Aptos" w:hAnsi="Arial" w:cs="Arial"/>
          <w:color w:val="auto"/>
          <w:kern w:val="2"/>
          <w:szCs w:val="20"/>
          <w:lang w:val="en-GB" w:eastAsia="en-US"/>
          <w14:ligatures w14:val="standardContextual"/>
        </w:rPr>
        <w:t>indicated</w:t>
      </w:r>
      <w:r w:rsidR="00342C8C">
        <w:rPr>
          <w:rFonts w:ascii="Arial" w:eastAsia="Aptos" w:hAnsi="Arial" w:cs="Arial"/>
          <w:color w:val="auto"/>
          <w:kern w:val="2"/>
          <w:szCs w:val="20"/>
          <w:lang w:val="en-GB" w:eastAsia="en-US"/>
          <w14:ligatures w14:val="standardContextual"/>
        </w:rPr>
        <w:t xml:space="preserve"> that this</w:t>
      </w:r>
      <w:r w:rsidR="00D22588">
        <w:rPr>
          <w:rFonts w:ascii="Arial" w:eastAsia="Aptos" w:hAnsi="Arial" w:cs="Arial"/>
          <w:color w:val="auto"/>
          <w:kern w:val="2"/>
          <w:szCs w:val="20"/>
          <w:lang w:val="en-GB" w:eastAsia="en-US"/>
          <w14:ligatures w14:val="standardContextual"/>
        </w:rPr>
        <w:t xml:space="preserve"> additional reporting</w:t>
      </w:r>
      <w:r w:rsidR="00342C8C">
        <w:rPr>
          <w:rFonts w:ascii="Arial" w:eastAsia="Aptos" w:hAnsi="Arial" w:cs="Arial"/>
          <w:color w:val="auto"/>
          <w:kern w:val="2"/>
          <w:szCs w:val="20"/>
          <w:lang w:val="en-GB" w:eastAsia="en-US"/>
          <w14:ligatures w14:val="standardContextual"/>
        </w:rPr>
        <w:t xml:space="preserve"> has been helpful for understanding performance and completing </w:t>
      </w:r>
      <w:r w:rsidR="002216B7">
        <w:rPr>
          <w:rFonts w:ascii="Arial" w:eastAsia="Aptos" w:hAnsi="Arial" w:cs="Arial"/>
          <w:color w:val="auto"/>
          <w:kern w:val="2"/>
          <w:szCs w:val="20"/>
          <w:lang w:val="en-GB" w:eastAsia="en-US"/>
          <w14:ligatures w14:val="standardContextual"/>
        </w:rPr>
        <w:t>IMRs and PPAs</w:t>
      </w:r>
      <w:r w:rsidR="00342C8C">
        <w:rPr>
          <w:rFonts w:ascii="Arial" w:eastAsia="Aptos" w:hAnsi="Arial" w:cs="Arial"/>
          <w:color w:val="auto"/>
          <w:kern w:val="2"/>
          <w:szCs w:val="20"/>
          <w:lang w:val="en-GB" w:eastAsia="en-US"/>
          <w14:ligatures w14:val="standardContextual"/>
        </w:rPr>
        <w:t>.</w:t>
      </w:r>
    </w:p>
    <w:p w14:paraId="60438BFF" w14:textId="00528310" w:rsidR="00616AA0" w:rsidRDefault="00616AA0" w:rsidP="004F08A4">
      <w:pPr>
        <w:spacing w:before="240"/>
        <w:contextualSpacing/>
        <w:rPr>
          <w:rFonts w:ascii="Arial" w:eastAsia="Aptos" w:hAnsi="Arial" w:cs="Arial"/>
          <w:color w:val="auto"/>
          <w:kern w:val="2"/>
          <w:szCs w:val="20"/>
          <w:lang w:val="en-GB" w:eastAsia="en-US"/>
          <w14:ligatures w14:val="standardContextual"/>
        </w:rPr>
      </w:pPr>
      <w:r>
        <w:rPr>
          <w:rFonts w:ascii="Arial" w:eastAsia="Aptos" w:hAnsi="Arial" w:cs="Arial"/>
          <w:color w:val="auto"/>
          <w:kern w:val="2"/>
          <w:szCs w:val="20"/>
          <w:lang w:val="en-GB" w:eastAsia="en-US"/>
          <w14:ligatures w14:val="standardContextual"/>
        </w:rPr>
        <w:t>When negotiating EOLs</w:t>
      </w:r>
      <w:r w:rsidR="002216B7">
        <w:rPr>
          <w:rFonts w:ascii="Arial" w:eastAsia="Aptos" w:hAnsi="Arial" w:cs="Arial"/>
          <w:color w:val="auto"/>
          <w:kern w:val="2"/>
          <w:szCs w:val="20"/>
          <w:lang w:val="en-GB" w:eastAsia="en-US"/>
          <w14:ligatures w14:val="standardContextual"/>
        </w:rPr>
        <w:t xml:space="preserve"> </w:t>
      </w:r>
      <w:r>
        <w:rPr>
          <w:rFonts w:ascii="Arial" w:eastAsia="Aptos" w:hAnsi="Arial" w:cs="Arial"/>
          <w:color w:val="auto"/>
          <w:kern w:val="2"/>
          <w:szCs w:val="20"/>
          <w:lang w:val="en-GB" w:eastAsia="en-US"/>
          <w14:ligatures w14:val="standardContextual"/>
        </w:rPr>
        <w:t xml:space="preserve">it is important to ensure reporting requirements are aligned, and that DFAT only requests the data it needs. </w:t>
      </w:r>
      <w:r w:rsidR="00480059">
        <w:rPr>
          <w:rFonts w:ascii="Arial" w:eastAsia="Aptos" w:hAnsi="Arial" w:cs="Arial"/>
          <w:color w:val="auto"/>
          <w:kern w:val="2"/>
          <w:szCs w:val="20"/>
          <w:lang w:val="en-GB" w:eastAsia="en-US"/>
          <w14:ligatures w14:val="standardContextual"/>
        </w:rPr>
        <w:t xml:space="preserve">Analysis of the </w:t>
      </w:r>
      <w:r w:rsidR="009D0E0C">
        <w:rPr>
          <w:rFonts w:ascii="Arial" w:eastAsia="Aptos" w:hAnsi="Arial" w:cs="Arial"/>
          <w:color w:val="auto"/>
          <w:kern w:val="2"/>
          <w:szCs w:val="20"/>
          <w:lang w:val="en-GB" w:eastAsia="en-US"/>
          <w14:ligatures w14:val="standardContextual"/>
        </w:rPr>
        <w:t>Bangladesh Rohingya and Host Community Humanitarian Investment</w:t>
      </w:r>
      <w:r w:rsidR="00480059">
        <w:rPr>
          <w:rFonts w:ascii="Arial" w:eastAsia="Aptos" w:hAnsi="Arial" w:cs="Arial"/>
          <w:color w:val="auto"/>
          <w:kern w:val="2"/>
          <w:szCs w:val="20"/>
          <w:lang w:val="en-GB" w:eastAsia="en-US"/>
          <w14:ligatures w14:val="standardContextual"/>
        </w:rPr>
        <w:t xml:space="preserve"> EOLs</w:t>
      </w:r>
      <w:r>
        <w:rPr>
          <w:rFonts w:ascii="Arial" w:eastAsia="Aptos" w:hAnsi="Arial" w:cs="Arial"/>
          <w:color w:val="auto"/>
          <w:kern w:val="2"/>
          <w:szCs w:val="20"/>
          <w:lang w:val="en-GB" w:eastAsia="en-US"/>
          <w14:ligatures w14:val="standardContextual"/>
        </w:rPr>
        <w:t xml:space="preserve"> </w:t>
      </w:r>
      <w:r w:rsidR="00480059">
        <w:rPr>
          <w:rFonts w:ascii="Arial" w:eastAsia="Aptos" w:hAnsi="Arial" w:cs="Arial"/>
          <w:color w:val="auto"/>
          <w:kern w:val="2"/>
          <w:szCs w:val="20"/>
          <w:lang w:val="en-GB" w:eastAsia="en-US"/>
          <w14:ligatures w14:val="standardContextual"/>
        </w:rPr>
        <w:t>(see c</w:t>
      </w:r>
      <w:r>
        <w:rPr>
          <w:rFonts w:ascii="Arial" w:eastAsia="Aptos" w:hAnsi="Arial" w:cs="Arial"/>
          <w:color w:val="auto"/>
          <w:kern w:val="2"/>
          <w:szCs w:val="20"/>
          <w:lang w:val="en-GB" w:eastAsia="en-US"/>
          <w14:ligatures w14:val="standardContextual"/>
        </w:rPr>
        <w:t xml:space="preserve">ase </w:t>
      </w:r>
      <w:r w:rsidR="00480059">
        <w:rPr>
          <w:rFonts w:ascii="Arial" w:eastAsia="Aptos" w:hAnsi="Arial" w:cs="Arial"/>
          <w:color w:val="auto"/>
          <w:kern w:val="2"/>
          <w:szCs w:val="20"/>
          <w:lang w:val="en-GB" w:eastAsia="en-US"/>
          <w14:ligatures w14:val="standardContextual"/>
        </w:rPr>
        <w:t>s</w:t>
      </w:r>
      <w:r>
        <w:rPr>
          <w:rFonts w:ascii="Arial" w:eastAsia="Aptos" w:hAnsi="Arial" w:cs="Arial"/>
          <w:color w:val="auto"/>
          <w:kern w:val="2"/>
          <w:szCs w:val="20"/>
          <w:lang w:val="en-GB" w:eastAsia="en-US"/>
          <w14:ligatures w14:val="standardContextual"/>
        </w:rPr>
        <w:t xml:space="preserve">tudy </w:t>
      </w:r>
      <w:r w:rsidR="00480059">
        <w:rPr>
          <w:rFonts w:ascii="Arial" w:eastAsia="Aptos" w:hAnsi="Arial" w:cs="Arial"/>
          <w:color w:val="auto"/>
          <w:kern w:val="2"/>
          <w:szCs w:val="20"/>
          <w:lang w:val="en-GB" w:eastAsia="en-US"/>
          <w14:ligatures w14:val="standardContextual"/>
        </w:rPr>
        <w:t xml:space="preserve">in </w:t>
      </w:r>
      <w:r w:rsidRPr="00EE10D2">
        <w:rPr>
          <w:rFonts w:ascii="Arial" w:eastAsia="Aptos" w:hAnsi="Arial" w:cs="Arial"/>
          <w:b/>
          <w:bCs/>
          <w:color w:val="auto"/>
          <w:kern w:val="2"/>
          <w:szCs w:val="20"/>
          <w:lang w:val="en-GB" w:eastAsia="en-US"/>
          <w14:ligatures w14:val="standardContextual"/>
        </w:rPr>
        <w:t xml:space="preserve">Annex </w:t>
      </w:r>
      <w:r w:rsidR="00480059" w:rsidRPr="00EE10D2">
        <w:rPr>
          <w:rFonts w:ascii="Arial" w:eastAsia="Aptos" w:hAnsi="Arial" w:cs="Arial"/>
          <w:b/>
          <w:bCs/>
          <w:color w:val="auto"/>
          <w:kern w:val="2"/>
          <w:szCs w:val="20"/>
          <w:lang w:val="en-GB" w:eastAsia="en-US"/>
          <w14:ligatures w14:val="standardContextual"/>
        </w:rPr>
        <w:t>2</w:t>
      </w:r>
      <w:r>
        <w:rPr>
          <w:rFonts w:ascii="Arial" w:eastAsia="Aptos" w:hAnsi="Arial" w:cs="Arial"/>
          <w:color w:val="auto"/>
          <w:kern w:val="2"/>
          <w:szCs w:val="20"/>
          <w:lang w:val="en-GB" w:eastAsia="en-US"/>
          <w14:ligatures w14:val="standardContextual"/>
        </w:rPr>
        <w:t>) found that reporting requirements were specified in three different locations in the EOL</w:t>
      </w:r>
      <w:r w:rsidR="00480059">
        <w:rPr>
          <w:rFonts w:ascii="Arial" w:eastAsia="Aptos" w:hAnsi="Arial" w:cs="Arial"/>
          <w:color w:val="auto"/>
          <w:kern w:val="2"/>
          <w:szCs w:val="20"/>
          <w:lang w:val="en-GB" w:eastAsia="en-US"/>
          <w14:ligatures w14:val="standardContextual"/>
        </w:rPr>
        <w:t xml:space="preserve"> for UNHCR and WFP</w:t>
      </w:r>
      <w:r w:rsidR="007C1932">
        <w:rPr>
          <w:rFonts w:ascii="Arial" w:eastAsia="Aptos" w:hAnsi="Arial" w:cs="Arial"/>
          <w:color w:val="auto"/>
          <w:kern w:val="2"/>
          <w:szCs w:val="20"/>
          <w:lang w:val="en-GB" w:eastAsia="en-US"/>
          <w14:ligatures w14:val="standardContextual"/>
        </w:rPr>
        <w:t xml:space="preserve">, </w:t>
      </w:r>
      <w:r>
        <w:rPr>
          <w:rFonts w:ascii="Arial" w:eastAsia="Aptos" w:hAnsi="Arial" w:cs="Arial"/>
          <w:color w:val="auto"/>
          <w:kern w:val="2"/>
          <w:szCs w:val="20"/>
          <w:lang w:val="en-GB" w:eastAsia="en-US"/>
          <w14:ligatures w14:val="standardContextual"/>
        </w:rPr>
        <w:t>and that the</w:t>
      </w:r>
      <w:r w:rsidR="00D22588">
        <w:rPr>
          <w:rFonts w:ascii="Arial" w:eastAsia="Aptos" w:hAnsi="Arial" w:cs="Arial"/>
          <w:color w:val="auto"/>
          <w:kern w:val="2"/>
          <w:szCs w:val="20"/>
          <w:lang w:val="en-GB" w:eastAsia="en-US"/>
          <w14:ligatures w14:val="standardContextual"/>
        </w:rPr>
        <w:t xml:space="preserve"> data requested</w:t>
      </w:r>
      <w:r>
        <w:rPr>
          <w:rFonts w:ascii="Arial" w:eastAsia="Aptos" w:hAnsi="Arial" w:cs="Arial"/>
          <w:color w:val="auto"/>
          <w:kern w:val="2"/>
          <w:szCs w:val="20"/>
          <w:lang w:val="en-GB" w:eastAsia="en-US"/>
          <w14:ligatures w14:val="standardContextual"/>
        </w:rPr>
        <w:t xml:space="preserve"> did not directly align</w:t>
      </w:r>
      <w:r w:rsidR="00D22588">
        <w:rPr>
          <w:rFonts w:ascii="Arial" w:eastAsia="Aptos" w:hAnsi="Arial" w:cs="Arial"/>
          <w:color w:val="auto"/>
          <w:kern w:val="2"/>
          <w:szCs w:val="20"/>
          <w:lang w:val="en-GB" w:eastAsia="en-US"/>
          <w14:ligatures w14:val="standardContextual"/>
        </w:rPr>
        <w:t>, making it difficult for the partner to understand where to</w:t>
      </w:r>
      <w:r w:rsidR="00D31150">
        <w:rPr>
          <w:rFonts w:ascii="Arial" w:eastAsia="Aptos" w:hAnsi="Arial" w:cs="Arial"/>
          <w:color w:val="auto"/>
          <w:kern w:val="2"/>
          <w:szCs w:val="20"/>
          <w:lang w:val="en-GB" w:eastAsia="en-US"/>
          <w14:ligatures w14:val="standardContextual"/>
        </w:rPr>
        <w:t xml:space="preserve"> invest resources in measuring each of the indicators requested.</w:t>
      </w:r>
      <w:r w:rsidR="007127E2">
        <w:rPr>
          <w:rFonts w:ascii="Arial" w:eastAsia="Aptos" w:hAnsi="Arial" w:cs="Arial"/>
          <w:color w:val="auto"/>
          <w:kern w:val="2"/>
          <w:szCs w:val="20"/>
          <w:lang w:val="en-GB" w:eastAsia="en-US"/>
          <w14:ligatures w14:val="standardContextual"/>
        </w:rPr>
        <w:t xml:space="preserve"> </w:t>
      </w:r>
      <w:r w:rsidR="00020AA7">
        <w:rPr>
          <w:rFonts w:ascii="Arial" w:eastAsia="Aptos" w:hAnsi="Arial" w:cs="Arial"/>
          <w:color w:val="auto"/>
          <w:kern w:val="2"/>
          <w:szCs w:val="20"/>
          <w:lang w:val="en-GB" w:eastAsia="en-US"/>
          <w14:ligatures w14:val="standardContextual"/>
        </w:rPr>
        <w:t xml:space="preserve">The </w:t>
      </w:r>
      <w:r w:rsidR="00631562">
        <w:rPr>
          <w:rFonts w:ascii="Arial" w:eastAsia="Aptos" w:hAnsi="Arial" w:cs="Arial"/>
          <w:color w:val="auto"/>
          <w:kern w:val="2"/>
          <w:szCs w:val="20"/>
          <w:lang w:val="en-GB" w:eastAsia="en-US"/>
          <w14:ligatures w14:val="standardContextual"/>
        </w:rPr>
        <w:t>Evaluation Team</w:t>
      </w:r>
      <w:r w:rsidR="00020AA7">
        <w:rPr>
          <w:rFonts w:ascii="Arial" w:eastAsia="Aptos" w:hAnsi="Arial" w:cs="Arial"/>
          <w:color w:val="auto"/>
          <w:kern w:val="2"/>
          <w:szCs w:val="20"/>
          <w:lang w:val="en-GB" w:eastAsia="en-US"/>
          <w14:ligatures w14:val="standardContextual"/>
        </w:rPr>
        <w:t xml:space="preserve"> notes that this represents learning from some of DFAT’s first EOLs established under the current SPFs</w:t>
      </w:r>
      <w:r w:rsidR="007127E2">
        <w:rPr>
          <w:rFonts w:ascii="Arial" w:eastAsia="Aptos" w:hAnsi="Arial" w:cs="Arial"/>
          <w:color w:val="auto"/>
          <w:kern w:val="2"/>
          <w:szCs w:val="20"/>
          <w:lang w:val="en-GB" w:eastAsia="en-US"/>
          <w14:ligatures w14:val="standardContextual"/>
        </w:rPr>
        <w:t>.</w:t>
      </w:r>
    </w:p>
    <w:p w14:paraId="6DD5E5F7" w14:textId="77777777" w:rsidR="00B37B29" w:rsidRDefault="00B37B29" w:rsidP="00616AA0">
      <w:pPr>
        <w:spacing w:before="240"/>
        <w:contextualSpacing/>
        <w:rPr>
          <w:rFonts w:ascii="Arial" w:eastAsia="Aptos" w:hAnsi="Arial" w:cs="Arial"/>
          <w:color w:val="auto"/>
          <w:kern w:val="2"/>
          <w:szCs w:val="20"/>
          <w:lang w:val="en-GB" w:eastAsia="en-US"/>
          <w14:ligatures w14:val="standardContextual"/>
        </w:rPr>
      </w:pPr>
    </w:p>
    <w:p w14:paraId="1DAB3B95" w14:textId="23C2AAAC" w:rsidR="005F04D1" w:rsidRDefault="00D13C22" w:rsidP="00B1673B">
      <w:pPr>
        <w:spacing w:before="240"/>
        <w:contextualSpacing/>
        <w:rPr>
          <w:rFonts w:ascii="Arial" w:eastAsia="Aptos" w:hAnsi="Arial" w:cs="Arial"/>
          <w:color w:val="auto"/>
          <w:kern w:val="2"/>
          <w:szCs w:val="20"/>
          <w:lang w:val="en-GB" w:eastAsia="en-US"/>
          <w14:ligatures w14:val="standardContextual"/>
        </w:rPr>
      </w:pPr>
      <w:r>
        <w:rPr>
          <w:rFonts w:ascii="Arial" w:eastAsia="Aptos" w:hAnsi="Arial" w:cs="Arial"/>
          <w:color w:val="auto"/>
          <w:kern w:val="2"/>
          <w:szCs w:val="20"/>
          <w:lang w:val="en-GB" w:eastAsia="en-US"/>
          <w14:ligatures w14:val="standardContextual"/>
        </w:rPr>
        <w:t xml:space="preserve">When considering future approaches to reporting requirements, </w:t>
      </w:r>
      <w:r w:rsidR="00371019">
        <w:rPr>
          <w:rFonts w:ascii="Arial" w:eastAsia="Aptos" w:hAnsi="Arial" w:cs="Arial"/>
          <w:color w:val="auto"/>
          <w:kern w:val="2"/>
          <w:szCs w:val="20"/>
          <w:lang w:val="en-GB" w:eastAsia="en-US"/>
          <w14:ligatures w14:val="standardContextual"/>
        </w:rPr>
        <w:t xml:space="preserve">interviews for the </w:t>
      </w:r>
      <w:r w:rsidR="009D0E0C">
        <w:rPr>
          <w:rFonts w:ascii="Arial" w:eastAsia="Aptos" w:hAnsi="Arial" w:cs="Arial"/>
          <w:color w:val="auto"/>
          <w:kern w:val="2"/>
          <w:szCs w:val="20"/>
          <w:lang w:val="en-GB" w:eastAsia="en-US"/>
          <w14:ligatures w14:val="standardContextual"/>
        </w:rPr>
        <w:t>Bangladesh Rohingya and Host Community Humanitarian Investment</w:t>
      </w:r>
      <w:r w:rsidR="00371019">
        <w:rPr>
          <w:rFonts w:ascii="Arial" w:eastAsia="Aptos" w:hAnsi="Arial" w:cs="Arial"/>
          <w:color w:val="auto"/>
          <w:kern w:val="2"/>
          <w:szCs w:val="20"/>
          <w:lang w:val="en-GB" w:eastAsia="en-US"/>
          <w14:ligatures w14:val="standardContextual"/>
        </w:rPr>
        <w:t xml:space="preserve"> case study (</w:t>
      </w:r>
      <w:r w:rsidR="00475517">
        <w:rPr>
          <w:rFonts w:ascii="Arial" w:eastAsia="Aptos" w:hAnsi="Arial" w:cs="Arial"/>
          <w:color w:val="auto"/>
          <w:kern w:val="2"/>
          <w:szCs w:val="20"/>
          <w:lang w:val="en-GB" w:eastAsia="en-US"/>
          <w14:ligatures w14:val="standardContextual"/>
        </w:rPr>
        <w:t xml:space="preserve">at </w:t>
      </w:r>
      <w:r w:rsidR="00371019" w:rsidRPr="00EE10D2">
        <w:rPr>
          <w:rFonts w:ascii="Arial" w:eastAsia="Aptos" w:hAnsi="Arial" w:cs="Arial"/>
          <w:b/>
          <w:bCs/>
          <w:color w:val="auto"/>
          <w:kern w:val="2"/>
          <w:szCs w:val="20"/>
          <w:lang w:val="en-GB" w:eastAsia="en-US"/>
          <w14:ligatures w14:val="standardContextual"/>
        </w:rPr>
        <w:t>Annex 2</w:t>
      </w:r>
      <w:r w:rsidR="00371019">
        <w:rPr>
          <w:rFonts w:ascii="Arial" w:eastAsia="Aptos" w:hAnsi="Arial" w:cs="Arial"/>
          <w:color w:val="auto"/>
          <w:kern w:val="2"/>
          <w:szCs w:val="20"/>
          <w:lang w:val="en-GB" w:eastAsia="en-US"/>
          <w14:ligatures w14:val="standardContextual"/>
        </w:rPr>
        <w:t>) found that</w:t>
      </w:r>
      <w:r w:rsidR="00616AA0">
        <w:rPr>
          <w:rFonts w:ascii="Arial" w:eastAsia="Aptos" w:hAnsi="Arial" w:cs="Arial"/>
          <w:color w:val="auto"/>
          <w:kern w:val="2"/>
          <w:szCs w:val="20"/>
          <w:lang w:val="en-GB" w:eastAsia="en-US"/>
          <w14:ligatures w14:val="standardContextual"/>
        </w:rPr>
        <w:t xml:space="preserve"> Australia </w:t>
      </w:r>
      <w:r w:rsidR="00371019">
        <w:rPr>
          <w:rFonts w:ascii="Arial" w:eastAsia="Aptos" w:hAnsi="Arial" w:cs="Arial"/>
          <w:color w:val="auto"/>
          <w:kern w:val="2"/>
          <w:szCs w:val="20"/>
          <w:lang w:val="en-GB" w:eastAsia="en-US"/>
          <w14:ligatures w14:val="standardContextual"/>
        </w:rPr>
        <w:t>wa</w:t>
      </w:r>
      <w:r w:rsidR="00616AA0">
        <w:rPr>
          <w:rFonts w:ascii="Arial" w:eastAsia="Aptos" w:hAnsi="Arial" w:cs="Arial"/>
          <w:color w:val="auto"/>
          <w:kern w:val="2"/>
          <w:szCs w:val="20"/>
          <w:lang w:val="en-GB" w:eastAsia="en-US"/>
          <w14:ligatures w14:val="standardContextual"/>
        </w:rPr>
        <w:t xml:space="preserve">s the only donor requesting reporting using the 8+3 template. </w:t>
      </w:r>
      <w:r w:rsidR="00AA0FB6">
        <w:rPr>
          <w:rFonts w:ascii="Arial" w:eastAsia="Aptos" w:hAnsi="Arial" w:cs="Arial"/>
          <w:color w:val="auto"/>
          <w:kern w:val="2"/>
          <w:szCs w:val="20"/>
          <w:lang w:val="en-GB" w:eastAsia="en-US"/>
          <w14:ligatures w14:val="standardContextual"/>
        </w:rPr>
        <w:t xml:space="preserve">This undermines the intention of </w:t>
      </w:r>
      <w:r w:rsidR="003569F5">
        <w:rPr>
          <w:rFonts w:ascii="Arial" w:eastAsia="Aptos" w:hAnsi="Arial" w:cs="Arial"/>
          <w:color w:val="auto"/>
          <w:kern w:val="2"/>
          <w:szCs w:val="20"/>
          <w:lang w:val="en-GB" w:eastAsia="en-US"/>
          <w14:ligatures w14:val="standardContextual"/>
        </w:rPr>
        <w:t xml:space="preserve">a more coordinated approach </w:t>
      </w:r>
      <w:r w:rsidR="003569F5">
        <w:rPr>
          <w:rFonts w:ascii="Arial" w:eastAsia="Aptos" w:hAnsi="Arial" w:cs="Arial"/>
          <w:color w:val="auto"/>
          <w:kern w:val="2"/>
          <w:szCs w:val="20"/>
          <w:lang w:val="en-GB" w:eastAsia="en-US"/>
          <w14:ligatures w14:val="standardContextual"/>
        </w:rPr>
        <w:lastRenderedPageBreak/>
        <w:t>to reporting across donors</w:t>
      </w:r>
      <w:r w:rsidR="00395637">
        <w:rPr>
          <w:rFonts w:ascii="Arial" w:eastAsia="Aptos" w:hAnsi="Arial" w:cs="Arial"/>
          <w:color w:val="auto"/>
          <w:kern w:val="2"/>
          <w:szCs w:val="20"/>
          <w:lang w:val="en-GB" w:eastAsia="en-US"/>
          <w14:ligatures w14:val="standardContextual"/>
        </w:rPr>
        <w:t>.</w:t>
      </w:r>
      <w:r w:rsidR="00616AA0">
        <w:rPr>
          <w:rFonts w:ascii="Arial" w:eastAsia="Aptos" w:hAnsi="Arial" w:cs="Arial"/>
          <w:color w:val="auto"/>
          <w:kern w:val="2"/>
          <w:szCs w:val="20"/>
          <w:lang w:val="en-GB" w:eastAsia="en-US"/>
          <w14:ligatures w14:val="standardContextual"/>
        </w:rPr>
        <w:t xml:space="preserve"> Australia may wish to consider with partners </w:t>
      </w:r>
      <w:r w:rsidR="00AA0FB6">
        <w:rPr>
          <w:rFonts w:ascii="Arial" w:eastAsia="Aptos" w:hAnsi="Arial" w:cs="Arial"/>
          <w:color w:val="auto"/>
          <w:kern w:val="2"/>
          <w:szCs w:val="20"/>
          <w:lang w:val="en-GB" w:eastAsia="en-US"/>
          <w14:ligatures w14:val="standardContextual"/>
        </w:rPr>
        <w:t xml:space="preserve">whether </w:t>
      </w:r>
      <w:r w:rsidR="00616AA0">
        <w:rPr>
          <w:rFonts w:ascii="Arial" w:eastAsia="Aptos" w:hAnsi="Arial" w:cs="Arial"/>
          <w:color w:val="auto"/>
          <w:kern w:val="2"/>
          <w:szCs w:val="20"/>
          <w:lang w:val="en-GB" w:eastAsia="en-US"/>
          <w14:ligatures w14:val="standardContextual"/>
        </w:rPr>
        <w:t>pursuing 8+3 template reporting</w:t>
      </w:r>
      <w:r w:rsidR="00AA0FB6">
        <w:rPr>
          <w:rFonts w:ascii="Arial" w:eastAsia="Aptos" w:hAnsi="Arial" w:cs="Arial"/>
          <w:color w:val="auto"/>
          <w:kern w:val="2"/>
          <w:szCs w:val="20"/>
          <w:lang w:val="en-GB" w:eastAsia="en-US"/>
          <w14:ligatures w14:val="standardContextual"/>
        </w:rPr>
        <w:t xml:space="preserve"> will achieve </w:t>
      </w:r>
      <w:r w:rsidR="00395637">
        <w:rPr>
          <w:rFonts w:ascii="Arial" w:eastAsia="Aptos" w:hAnsi="Arial" w:cs="Arial"/>
          <w:color w:val="auto"/>
          <w:kern w:val="2"/>
          <w:szCs w:val="20"/>
          <w:lang w:val="en-GB" w:eastAsia="en-US"/>
          <w14:ligatures w14:val="standardContextual"/>
        </w:rPr>
        <w:t>the intended objectives</w:t>
      </w:r>
      <w:r w:rsidR="00616AA0">
        <w:rPr>
          <w:rFonts w:ascii="Arial" w:eastAsia="Aptos" w:hAnsi="Arial" w:cs="Arial"/>
          <w:color w:val="auto"/>
          <w:kern w:val="2"/>
          <w:szCs w:val="20"/>
          <w:lang w:val="en-GB" w:eastAsia="en-US"/>
          <w14:ligatures w14:val="standardContextual"/>
        </w:rPr>
        <w:t xml:space="preserve">. </w:t>
      </w:r>
    </w:p>
    <w:p w14:paraId="10E4B281" w14:textId="393B97F8" w:rsidR="005F04D1" w:rsidRDefault="005F04D1" w:rsidP="005F04D1">
      <w:pPr>
        <w:pStyle w:val="Heading1"/>
        <w:rPr>
          <w:rFonts w:eastAsia="Arial"/>
        </w:rPr>
      </w:pPr>
      <w:r w:rsidRPr="1C3620C9">
        <w:rPr>
          <w:rFonts w:eastAsia="Arial"/>
        </w:rPr>
        <w:t>K</w:t>
      </w:r>
      <w:r>
        <w:rPr>
          <w:rFonts w:eastAsia="Arial"/>
        </w:rPr>
        <w:t>ey evaluation question 4: Alternative modalities</w:t>
      </w:r>
    </w:p>
    <w:p w14:paraId="62B74817" w14:textId="1ECC2BD9" w:rsidR="005F04D1" w:rsidRPr="005F04D1" w:rsidRDefault="005F04D1" w:rsidP="005F04D1">
      <w:pPr>
        <w:spacing w:before="240" w:after="120" w:line="259" w:lineRule="auto"/>
        <w:rPr>
          <w:b/>
          <w:bCs/>
        </w:rPr>
      </w:pPr>
      <w:r w:rsidRPr="005F04D1">
        <w:rPr>
          <w:rFonts w:ascii="Arial" w:eastAsia="Arial" w:hAnsi="Arial" w:cs="Arial"/>
          <w:b/>
          <w:bCs/>
        </w:rPr>
        <w:t>4. What alternative modalities exist?</w:t>
      </w:r>
    </w:p>
    <w:p w14:paraId="211C9000" w14:textId="77777777" w:rsidR="005F04D1" w:rsidRDefault="005F04D1" w:rsidP="005F04D1">
      <w:r w:rsidRPr="00F93FE7">
        <w:rPr>
          <w:rFonts w:ascii="Arial" w:eastAsia="Arial" w:hAnsi="Arial" w:cs="Arial"/>
          <w:bCs/>
          <w:iCs/>
        </w:rPr>
        <w:t xml:space="preserve">Consultations with other donors found that </w:t>
      </w:r>
      <w:r>
        <w:rPr>
          <w:bCs/>
        </w:rPr>
        <w:t>t</w:t>
      </w:r>
      <w:r w:rsidRPr="00B34951">
        <w:rPr>
          <w:bCs/>
        </w:rPr>
        <w:t>here is no perfect approach to multilateral partnership modalities.</w:t>
      </w:r>
      <w:r>
        <w:rPr>
          <w:bCs/>
        </w:rPr>
        <w:t xml:space="preserve"> Donors consulted applied similar approaches to multilateral funding as </w:t>
      </w:r>
      <w:proofErr w:type="gramStart"/>
      <w:r>
        <w:rPr>
          <w:bCs/>
        </w:rPr>
        <w:t>DFAT, and</w:t>
      </w:r>
      <w:proofErr w:type="gramEnd"/>
      <w:r>
        <w:rPr>
          <w:bCs/>
        </w:rPr>
        <w:t xml:space="preserve"> calibrated their</w:t>
      </w:r>
      <w:r w:rsidRPr="00B34951">
        <w:rPr>
          <w:bCs/>
        </w:rPr>
        <w:t xml:space="preserve"> partnership modalities to their level of resourcing, </w:t>
      </w:r>
      <w:r>
        <w:t xml:space="preserve">strategic priorities, and risk appetite. Donor partners also noted that the humanitarian system was under extreme pressure and is being asked to do more with less. </w:t>
      </w:r>
    </w:p>
    <w:p w14:paraId="5C38CB41" w14:textId="77777777" w:rsidR="002D137D" w:rsidRDefault="002D137D" w:rsidP="005F04D1">
      <w:pPr>
        <w:rPr>
          <w:rFonts w:eastAsia="Arial"/>
        </w:rPr>
      </w:pPr>
      <w:r>
        <w:rPr>
          <w:rFonts w:eastAsia="Arial"/>
        </w:rPr>
        <w:t>The strength of evidence underpinning these findings is reasonable, drawing on KIIs with three donors.</w:t>
      </w:r>
    </w:p>
    <w:p w14:paraId="5FCD1036" w14:textId="47C62954" w:rsidR="005F04D1" w:rsidRPr="00345BDB" w:rsidRDefault="005F04D1" w:rsidP="005F04D1">
      <w:pPr>
        <w:rPr>
          <w:b/>
          <w:bCs/>
        </w:rPr>
      </w:pPr>
      <w:r w:rsidRPr="00F93FE7">
        <w:t xml:space="preserve">The review of </w:t>
      </w:r>
      <w:r>
        <w:t>alternative</w:t>
      </w:r>
      <w:r w:rsidRPr="00F93FE7">
        <w:t xml:space="preserve"> modalities </w:t>
      </w:r>
      <w:r>
        <w:t>found</w:t>
      </w:r>
      <w:r w:rsidRPr="00F93FE7">
        <w:t xml:space="preserve"> the potential for</w:t>
      </w:r>
      <w:r>
        <w:rPr>
          <w:b/>
          <w:bCs/>
        </w:rPr>
        <w:t xml:space="preserve"> </w:t>
      </w:r>
      <w:r>
        <w:t xml:space="preserve">DFAT to improve the efficiency of its partnership modality by </w:t>
      </w:r>
      <w:r w:rsidRPr="00345BDB">
        <w:t>frontloading key clauses in the SPF and introducing a lighter-touch EOL or draw down mechanism for earmarked funding. However, DFAT would need to ensure sufficient time and resources to manage lengthy up-front negotiations,</w:t>
      </w:r>
      <w:r w:rsidRPr="00345BDB">
        <w:rPr>
          <w:rStyle w:val="FootnoteReference"/>
        </w:rPr>
        <w:t xml:space="preserve"> </w:t>
      </w:r>
      <w:r w:rsidRPr="00345BDB">
        <w:t>and weigh up the potential efficiency gains against reduced flexibility to tailor EOLs to country priorities.</w:t>
      </w:r>
    </w:p>
    <w:p w14:paraId="58F3DB01" w14:textId="587308B6" w:rsidR="005F04D1" w:rsidRDefault="005F04D1" w:rsidP="005F04D1">
      <w:r w:rsidRPr="00345BDB">
        <w:t xml:space="preserve">Consultations with donors found that SPFs are only one </w:t>
      </w:r>
      <w:r w:rsidR="007C5C18" w:rsidRPr="00345BDB">
        <w:t>aspect of</w:t>
      </w:r>
      <w:r w:rsidRPr="00345BDB">
        <w:t xml:space="preserve"> effective multilateral engagement. Clear and consistent policy engagement, particularly when it is progressed with other donors, is likely to be the key factor in influencing multilateral performance</w:t>
      </w:r>
      <w:r>
        <w:t xml:space="preserve">. Donors noted the importance of more coordinated work on language and expectations and the need to continue to advocate strongly for partner’s humanitarian mandates at a time when these are under significant pressure. </w:t>
      </w:r>
    </w:p>
    <w:p w14:paraId="43688D48" w14:textId="6D84A4AB" w:rsidR="005F04D1" w:rsidRPr="00882CB0" w:rsidRDefault="00BD6A1C" w:rsidP="00882CB0">
      <w:pPr>
        <w:spacing w:before="240"/>
        <w:contextualSpacing/>
        <w:rPr>
          <w:rFonts w:ascii="Arial" w:eastAsia="Aptos" w:hAnsi="Arial" w:cs="Arial"/>
          <w:color w:val="auto"/>
          <w:kern w:val="2"/>
          <w:szCs w:val="20"/>
          <w:lang w:val="en-GB" w:eastAsia="en-US"/>
          <w14:ligatures w14:val="standardContextual"/>
        </w:rPr>
      </w:pPr>
      <w:r>
        <w:rPr>
          <w:rFonts w:ascii="Arial" w:eastAsia="Aptos" w:hAnsi="Arial" w:cs="Arial"/>
          <w:color w:val="auto"/>
          <w:kern w:val="2"/>
          <w:szCs w:val="20"/>
          <w:lang w:val="en-GB" w:eastAsia="en-US"/>
          <w14:ligatures w14:val="standardContextual"/>
        </w:rPr>
        <w:t>The</w:t>
      </w:r>
      <w:r w:rsidR="00882CB0">
        <w:rPr>
          <w:rFonts w:ascii="Arial" w:eastAsia="Aptos" w:hAnsi="Arial" w:cs="Arial"/>
          <w:color w:val="auto"/>
          <w:kern w:val="2"/>
          <w:szCs w:val="20"/>
          <w:lang w:val="en-GB" w:eastAsia="en-US"/>
          <w14:ligatures w14:val="standardContextual"/>
        </w:rPr>
        <w:t xml:space="preserve"> full text analysis responding to KEQ4 has been provided separately </w:t>
      </w:r>
      <w:r w:rsidR="005F04D1">
        <w:rPr>
          <w:rFonts w:eastAsia="Arial"/>
        </w:rPr>
        <w:t xml:space="preserve">to support a frank discussion with donor partners on the strengths and weaknesses of their multilateral partnership modalities. </w:t>
      </w:r>
    </w:p>
    <w:p w14:paraId="64D6AAC1" w14:textId="77777777" w:rsidR="00916472" w:rsidRDefault="00916472" w:rsidP="00616AA0">
      <w:pPr>
        <w:spacing w:before="240"/>
        <w:contextualSpacing/>
        <w:rPr>
          <w:rFonts w:ascii="Arial" w:eastAsia="Arial" w:hAnsi="Arial" w:cs="Arial"/>
          <w:b/>
          <w:bCs/>
          <w:highlight w:val="magenta"/>
        </w:rPr>
      </w:pPr>
    </w:p>
    <w:p w14:paraId="457CA4B9" w14:textId="064E2E37" w:rsidR="004873A8" w:rsidRPr="00232D6F" w:rsidRDefault="005C0AD4" w:rsidP="00232D6F">
      <w:pPr>
        <w:pStyle w:val="ListParagraph"/>
        <w:numPr>
          <w:ilvl w:val="0"/>
          <w:numId w:val="60"/>
        </w:numPr>
        <w:spacing w:after="0" w:line="240" w:lineRule="auto"/>
        <w:rPr>
          <w:szCs w:val="20"/>
          <w:lang w:val="en-GB"/>
        </w:rPr>
      </w:pPr>
      <w:r w:rsidRPr="00232D6F">
        <w:rPr>
          <w:szCs w:val="20"/>
          <w:lang w:val="en-GB"/>
        </w:rPr>
        <w:br w:type="page"/>
      </w:r>
    </w:p>
    <w:p w14:paraId="603FC1A3" w14:textId="63EDEC82" w:rsidR="009711D7" w:rsidRDefault="00795642" w:rsidP="007E2F28">
      <w:pPr>
        <w:pStyle w:val="Style1"/>
      </w:pPr>
      <w:r>
        <w:lastRenderedPageBreak/>
        <w:t xml:space="preserve">findings and </w:t>
      </w:r>
      <w:r w:rsidR="009711D7">
        <w:t>Recommendations</w:t>
      </w:r>
    </w:p>
    <w:p w14:paraId="5A184FCE" w14:textId="77777777" w:rsidR="00441081" w:rsidRDefault="00D30D3E" w:rsidP="00501484">
      <w:pPr>
        <w:spacing w:before="240"/>
        <w:rPr>
          <w:rFonts w:eastAsia="Arial"/>
          <w:bCs/>
        </w:rPr>
      </w:pPr>
      <w:r w:rsidRPr="00DD4EF8">
        <w:rPr>
          <w:rFonts w:eastAsia="Arial"/>
          <w:b/>
          <w:bCs/>
        </w:rPr>
        <w:t>Finding 1</w:t>
      </w:r>
      <w:r w:rsidR="00D22AD7" w:rsidRPr="00DD4EF8">
        <w:rPr>
          <w:rFonts w:eastAsia="Arial"/>
          <w:b/>
          <w:bCs/>
        </w:rPr>
        <w:t xml:space="preserve">: </w:t>
      </w:r>
      <w:r w:rsidR="00C73FCC" w:rsidRPr="00DD4EF8">
        <w:rPr>
          <w:rFonts w:eastAsia="Arial"/>
          <w:b/>
          <w:bCs/>
        </w:rPr>
        <w:t>SPFs as a modality are relevant and efficient, and effective at managing risk.</w:t>
      </w:r>
      <w:r w:rsidR="00C73FCC" w:rsidRPr="00DD4EF8">
        <w:rPr>
          <w:rFonts w:eastAsia="Arial"/>
        </w:rPr>
        <w:t xml:space="preserve"> SPFs are critical tools supporting Australia’s humanitarian objectives, enabling DFAT to provide high volumes of humanitarian assistance in short timeframes </w:t>
      </w:r>
      <w:r w:rsidR="00244975" w:rsidRPr="00DD4EF8">
        <w:rPr>
          <w:rFonts w:eastAsia="Arial"/>
        </w:rPr>
        <w:t>and with solid risk management approaches, within</w:t>
      </w:r>
      <w:r w:rsidR="00C73FCC" w:rsidRPr="00DD4EF8">
        <w:rPr>
          <w:rFonts w:eastAsia="Arial"/>
        </w:rPr>
        <w:t xml:space="preserve"> existing staffing capacity</w:t>
      </w:r>
      <w:r w:rsidR="00244975" w:rsidRPr="00DD4EF8">
        <w:rPr>
          <w:rFonts w:eastAsia="Arial"/>
        </w:rPr>
        <w:t>.</w:t>
      </w:r>
      <w:r w:rsidR="0059527E" w:rsidRPr="00DD4EF8">
        <w:rPr>
          <w:rFonts w:eastAsia="Arial"/>
        </w:rPr>
        <w:t xml:space="preserve"> </w:t>
      </w:r>
      <w:r w:rsidR="0053119C" w:rsidRPr="00DD4EF8">
        <w:rPr>
          <w:rFonts w:eastAsia="Arial"/>
        </w:rPr>
        <w:t>EOLs can be established relatively quickly with minimal resource investment</w:t>
      </w:r>
      <w:r w:rsidR="0053119C" w:rsidRPr="00DD4EF8">
        <w:rPr>
          <w:rFonts w:eastAsia="Arial"/>
          <w:bCs/>
          <w:iCs/>
        </w:rPr>
        <w:t xml:space="preserve"> when compared to investments without SPFs in place</w:t>
      </w:r>
      <w:r w:rsidR="0053119C" w:rsidRPr="00DD4EF8">
        <w:rPr>
          <w:rFonts w:eastAsia="Arial"/>
          <w:bCs/>
        </w:rPr>
        <w:t xml:space="preserve">. </w:t>
      </w:r>
    </w:p>
    <w:p w14:paraId="291459E2" w14:textId="58EB6897" w:rsidR="0053119C" w:rsidRPr="00DD4EF8" w:rsidRDefault="00CF6CAE" w:rsidP="00501484">
      <w:pPr>
        <w:spacing w:before="240"/>
        <w:rPr>
          <w:rFonts w:eastAsia="Arial"/>
          <w:bCs/>
        </w:rPr>
      </w:pPr>
      <w:r w:rsidRPr="00DD4EF8">
        <w:rPr>
          <w:rFonts w:eastAsia="Arial"/>
          <w:bCs/>
        </w:rPr>
        <w:t xml:space="preserve">The evidence base for this finding is </w:t>
      </w:r>
      <w:r w:rsidRPr="001F1860">
        <w:rPr>
          <w:rFonts w:eastAsia="Arial"/>
          <w:bCs/>
        </w:rPr>
        <w:t>strong,</w:t>
      </w:r>
      <w:r w:rsidRPr="00DD4EF8">
        <w:rPr>
          <w:rFonts w:eastAsia="Arial"/>
          <w:bCs/>
        </w:rPr>
        <w:t xml:space="preserve"> confirmed by DFAT reporting</w:t>
      </w:r>
      <w:r w:rsidR="00CE51E0" w:rsidRPr="00DD4EF8">
        <w:rPr>
          <w:rFonts w:eastAsia="Arial"/>
          <w:bCs/>
        </w:rPr>
        <w:t xml:space="preserve"> and triangulated across interviews and survey responses from </w:t>
      </w:r>
      <w:r w:rsidR="00AD14DA" w:rsidRPr="00DD4EF8">
        <w:rPr>
          <w:rFonts w:eastAsia="Arial"/>
          <w:bCs/>
        </w:rPr>
        <w:t>SPF partners and DFAT staff at headquarters, multilateral and bilateral Posts.</w:t>
      </w:r>
    </w:p>
    <w:p w14:paraId="6CFCCE21" w14:textId="1306B08A" w:rsidR="00100134" w:rsidRPr="00DD4EF8" w:rsidRDefault="00100134" w:rsidP="00501484">
      <w:pPr>
        <w:spacing w:before="240"/>
        <w:rPr>
          <w:rFonts w:eastAsia="Arial"/>
        </w:rPr>
      </w:pPr>
      <w:r w:rsidRPr="00DD4EF8">
        <w:rPr>
          <w:rFonts w:eastAsia="Arial"/>
        </w:rPr>
        <w:t>Discussions with other donors on alternative modalities indicate</w:t>
      </w:r>
      <w:r w:rsidR="0053119C" w:rsidRPr="00DD4EF8">
        <w:rPr>
          <w:rFonts w:eastAsia="Arial"/>
        </w:rPr>
        <w:t xml:space="preserve"> there may be opportunity </w:t>
      </w:r>
      <w:r w:rsidR="00377461" w:rsidRPr="00DD4EF8">
        <w:rPr>
          <w:rFonts w:eastAsia="Arial"/>
        </w:rPr>
        <w:t>for</w:t>
      </w:r>
      <w:r w:rsidR="00233FA0" w:rsidRPr="00DD4EF8">
        <w:rPr>
          <w:szCs w:val="20"/>
          <w:lang w:val="en-GB"/>
        </w:rPr>
        <w:t xml:space="preserve"> more efficient funding transfers, with the potential trade-offs including less opportunity to contextualise funding parameters, and possibly the need to pre-position funding upfront (rather than drawing down </w:t>
      </w:r>
      <w:r w:rsidR="001C0989" w:rsidRPr="00DD4EF8">
        <w:rPr>
          <w:szCs w:val="20"/>
          <w:lang w:val="en-GB"/>
        </w:rPr>
        <w:t xml:space="preserve">on </w:t>
      </w:r>
      <w:r w:rsidR="00233FA0" w:rsidRPr="00DD4EF8">
        <w:rPr>
          <w:szCs w:val="20"/>
          <w:lang w:val="en-GB"/>
        </w:rPr>
        <w:t>response funding), or earmark core funding to future responses.</w:t>
      </w:r>
    </w:p>
    <w:p w14:paraId="73B52EE5" w14:textId="02D0D2CC" w:rsidR="00B66A9C" w:rsidRPr="00DD4EF8" w:rsidRDefault="00100134" w:rsidP="00501484">
      <w:pPr>
        <w:spacing w:before="240"/>
        <w:rPr>
          <w:rFonts w:eastAsia="Arial"/>
        </w:rPr>
      </w:pPr>
      <w:r w:rsidRPr="00DD4EF8">
        <w:rPr>
          <w:b/>
          <w:bCs/>
          <w:szCs w:val="20"/>
          <w:lang w:val="en-GB"/>
        </w:rPr>
        <w:t>Recommendation 1</w:t>
      </w:r>
      <w:r w:rsidR="002740CA" w:rsidRPr="00DD4EF8">
        <w:rPr>
          <w:b/>
          <w:bCs/>
          <w:szCs w:val="20"/>
          <w:lang w:val="en-GB"/>
        </w:rPr>
        <w:t xml:space="preserve">: </w:t>
      </w:r>
      <w:r w:rsidR="00401467" w:rsidRPr="00DD4EF8">
        <w:rPr>
          <w:rFonts w:eastAsia="Arial"/>
          <w:b/>
          <w:bCs/>
        </w:rPr>
        <w:t>DFAT</w:t>
      </w:r>
      <w:r w:rsidR="00272B36">
        <w:rPr>
          <w:rFonts w:eastAsia="Arial"/>
          <w:b/>
          <w:bCs/>
        </w:rPr>
        <w:t xml:space="preserve"> HPD</w:t>
      </w:r>
      <w:r w:rsidR="00401467" w:rsidRPr="00DD4EF8">
        <w:rPr>
          <w:rFonts w:eastAsia="Arial"/>
          <w:b/>
          <w:bCs/>
        </w:rPr>
        <w:t xml:space="preserve"> r</w:t>
      </w:r>
      <w:r w:rsidRPr="00DD4EF8">
        <w:rPr>
          <w:rFonts w:eastAsia="Arial"/>
          <w:b/>
          <w:bCs/>
        </w:rPr>
        <w:t xml:space="preserve">etain </w:t>
      </w:r>
      <w:r w:rsidR="00741A2A" w:rsidRPr="00DD4EF8">
        <w:rPr>
          <w:rFonts w:eastAsia="Arial"/>
          <w:b/>
          <w:bCs/>
        </w:rPr>
        <w:t xml:space="preserve">SPFs or </w:t>
      </w:r>
      <w:r w:rsidRPr="00DD4EF8">
        <w:rPr>
          <w:rFonts w:eastAsia="Arial"/>
          <w:b/>
          <w:bCs/>
        </w:rPr>
        <w:t xml:space="preserve">a </w:t>
      </w:r>
      <w:r w:rsidR="00741A2A" w:rsidRPr="00DD4EF8">
        <w:rPr>
          <w:rFonts w:eastAsia="Arial"/>
          <w:b/>
          <w:bCs/>
        </w:rPr>
        <w:t xml:space="preserve">similar </w:t>
      </w:r>
      <w:r w:rsidRPr="00DD4EF8">
        <w:rPr>
          <w:rFonts w:eastAsia="Arial"/>
          <w:b/>
          <w:bCs/>
        </w:rPr>
        <w:t xml:space="preserve">modality to SPFs to engage humanitarian </w:t>
      </w:r>
      <w:r w:rsidR="001C0989" w:rsidRPr="00DD4EF8">
        <w:rPr>
          <w:rFonts w:eastAsia="Arial"/>
          <w:b/>
          <w:bCs/>
        </w:rPr>
        <w:t xml:space="preserve">partners </w:t>
      </w:r>
      <w:r w:rsidRPr="00DD4EF8">
        <w:rPr>
          <w:rFonts w:eastAsia="Arial"/>
          <w:b/>
          <w:bCs/>
        </w:rPr>
        <w:t>to deliver Australia’s humanitarian objectives</w:t>
      </w:r>
      <w:r w:rsidRPr="00DD4EF8">
        <w:rPr>
          <w:rFonts w:eastAsia="Arial"/>
        </w:rPr>
        <w:t xml:space="preserve">. </w:t>
      </w:r>
      <w:r w:rsidR="00B66A9C" w:rsidRPr="00DD4EF8">
        <w:rPr>
          <w:rFonts w:eastAsia="Arial"/>
        </w:rPr>
        <w:t>Ensure any future iterations retain at least existing levels of contracting efficiencies and effective risk management.</w:t>
      </w:r>
      <w:r w:rsidR="00A81D3D" w:rsidRPr="00DD4EF8">
        <w:rPr>
          <w:rFonts w:eastAsia="Arial"/>
        </w:rPr>
        <w:t xml:space="preserve"> </w:t>
      </w:r>
      <w:r w:rsidR="00AC0DE4" w:rsidRPr="00DD4EF8">
        <w:rPr>
          <w:rFonts w:eastAsia="Arial"/>
        </w:rPr>
        <w:t>Future iterations</w:t>
      </w:r>
      <w:r w:rsidR="00A81D3D" w:rsidRPr="00DD4EF8">
        <w:rPr>
          <w:rFonts w:eastAsia="Arial"/>
        </w:rPr>
        <w:t xml:space="preserve"> will need to remove reference to past policy priorities (e.g.</w:t>
      </w:r>
      <w:r w:rsidR="001C0989" w:rsidRPr="00DD4EF8">
        <w:rPr>
          <w:rFonts w:eastAsia="Arial"/>
        </w:rPr>
        <w:t>,</w:t>
      </w:r>
      <w:r w:rsidR="00A81D3D" w:rsidRPr="00DD4EF8">
        <w:rPr>
          <w:rFonts w:eastAsia="Arial"/>
        </w:rPr>
        <w:t xml:space="preserve"> </w:t>
      </w:r>
      <w:r w:rsidR="00A81D3D" w:rsidRPr="00DD4EF8">
        <w:rPr>
          <w:rFonts w:eastAsia="Arial"/>
          <w:i/>
          <w:iCs/>
        </w:rPr>
        <w:t>Partnerships for Recovery</w:t>
      </w:r>
      <w:r w:rsidR="00A81D3D" w:rsidRPr="00DD4EF8">
        <w:rPr>
          <w:rFonts w:eastAsia="Arial"/>
        </w:rPr>
        <w:t xml:space="preserve">) </w:t>
      </w:r>
      <w:r w:rsidR="00896360" w:rsidRPr="00DD4EF8">
        <w:rPr>
          <w:rFonts w:eastAsia="Arial"/>
        </w:rPr>
        <w:t xml:space="preserve">and update risk management clauses in line with legislative and policy changes </w:t>
      </w:r>
      <w:r w:rsidR="00A81D3D" w:rsidRPr="00DD4EF8">
        <w:rPr>
          <w:rFonts w:eastAsia="Arial"/>
        </w:rPr>
        <w:t>to support ongoing relevance.</w:t>
      </w:r>
    </w:p>
    <w:p w14:paraId="01E377B6" w14:textId="6760B8E6" w:rsidR="00100134" w:rsidRPr="00DD4EF8" w:rsidRDefault="00091FAE" w:rsidP="00501484">
      <w:pPr>
        <w:spacing w:before="240"/>
        <w:rPr>
          <w:szCs w:val="20"/>
          <w:lang w:val="en-GB"/>
        </w:rPr>
      </w:pPr>
      <w:r>
        <w:rPr>
          <w:rFonts w:eastAsia="Arial"/>
        </w:rPr>
        <w:t>It</w:t>
      </w:r>
      <w:r w:rsidR="00100134" w:rsidRPr="00DD4EF8">
        <w:rPr>
          <w:rFonts w:eastAsia="Arial"/>
        </w:rPr>
        <w:t xml:space="preserve"> is recommended that DFAT </w:t>
      </w:r>
      <w:r w:rsidR="00D4779C">
        <w:rPr>
          <w:rFonts w:eastAsia="Arial"/>
        </w:rPr>
        <w:t xml:space="preserve">HUS </w:t>
      </w:r>
      <w:r w:rsidR="001C0989" w:rsidRPr="00DD4EF8">
        <w:rPr>
          <w:szCs w:val="20"/>
          <w:lang w:val="en-GB"/>
        </w:rPr>
        <w:t>review</w:t>
      </w:r>
      <w:r w:rsidR="00100134" w:rsidRPr="00DD4EF8">
        <w:rPr>
          <w:szCs w:val="20"/>
          <w:lang w:val="en-GB"/>
        </w:rPr>
        <w:t xml:space="preserve"> alternative m</w:t>
      </w:r>
      <w:r w:rsidR="00100134" w:rsidRPr="00345BDB">
        <w:rPr>
          <w:szCs w:val="20"/>
          <w:lang w:val="en-GB"/>
        </w:rPr>
        <w:t xml:space="preserve">odalities </w:t>
      </w:r>
      <w:r w:rsidR="00DD5932" w:rsidRPr="00345BDB">
        <w:rPr>
          <w:szCs w:val="20"/>
          <w:lang w:val="en-GB"/>
        </w:rPr>
        <w:t>used by other donors</w:t>
      </w:r>
      <w:r w:rsidR="00100134" w:rsidRPr="00345BDB">
        <w:rPr>
          <w:szCs w:val="20"/>
          <w:lang w:val="en-GB"/>
        </w:rPr>
        <w:t xml:space="preserve"> and determine</w:t>
      </w:r>
      <w:r w:rsidR="00DD5932" w:rsidRPr="00345BDB">
        <w:rPr>
          <w:szCs w:val="20"/>
          <w:lang w:val="en-GB"/>
        </w:rPr>
        <w:t xml:space="preserve"> whether there is opportunity to </w:t>
      </w:r>
      <w:r w:rsidR="006B0522" w:rsidRPr="00345BDB">
        <w:rPr>
          <w:szCs w:val="20"/>
          <w:lang w:val="en-GB"/>
        </w:rPr>
        <w:t>adopt similar approaches as part of SPFs or similar</w:t>
      </w:r>
      <w:r w:rsidR="001C0989" w:rsidRPr="00345BDB">
        <w:rPr>
          <w:szCs w:val="20"/>
          <w:lang w:val="en-GB"/>
        </w:rPr>
        <w:t xml:space="preserve"> modalities</w:t>
      </w:r>
      <w:r w:rsidR="006B0522" w:rsidRPr="00345BDB">
        <w:rPr>
          <w:szCs w:val="20"/>
          <w:lang w:val="en-GB"/>
        </w:rPr>
        <w:t>. Given any changes are likely to have trade-offs that impact</w:t>
      </w:r>
      <w:r w:rsidR="000B3A6B" w:rsidRPr="00345BDB">
        <w:rPr>
          <w:szCs w:val="20"/>
          <w:lang w:val="en-GB"/>
        </w:rPr>
        <w:t xml:space="preserve"> funding</w:t>
      </w:r>
      <w:r w:rsidR="003B524F" w:rsidRPr="00345BDB">
        <w:rPr>
          <w:szCs w:val="20"/>
          <w:lang w:val="en-GB"/>
        </w:rPr>
        <w:t>, risk management</w:t>
      </w:r>
      <w:r w:rsidR="001C0989" w:rsidRPr="00345BDB">
        <w:rPr>
          <w:szCs w:val="20"/>
          <w:lang w:val="en-GB"/>
        </w:rPr>
        <w:t>,</w:t>
      </w:r>
      <w:r w:rsidR="000B3A6B" w:rsidRPr="00345BDB">
        <w:rPr>
          <w:szCs w:val="20"/>
          <w:lang w:val="en-GB"/>
        </w:rPr>
        <w:t xml:space="preserve"> and</w:t>
      </w:r>
      <w:r w:rsidR="006B0522" w:rsidRPr="00345BDB">
        <w:rPr>
          <w:szCs w:val="20"/>
          <w:lang w:val="en-GB"/>
        </w:rPr>
        <w:t xml:space="preserve"> </w:t>
      </w:r>
      <w:r w:rsidR="000B3A6B" w:rsidRPr="00345BDB">
        <w:rPr>
          <w:szCs w:val="20"/>
          <w:lang w:val="en-GB"/>
        </w:rPr>
        <w:t>policies</w:t>
      </w:r>
      <w:r w:rsidR="001C0989" w:rsidRPr="00345BDB">
        <w:rPr>
          <w:szCs w:val="20"/>
          <w:lang w:val="en-GB"/>
        </w:rPr>
        <w:t>,</w:t>
      </w:r>
      <w:r w:rsidR="000B3A6B" w:rsidRPr="00345BDB">
        <w:rPr>
          <w:szCs w:val="20"/>
          <w:lang w:val="en-GB"/>
        </w:rPr>
        <w:t xml:space="preserve"> </w:t>
      </w:r>
      <w:r w:rsidR="00954118" w:rsidRPr="00345BDB">
        <w:rPr>
          <w:szCs w:val="20"/>
          <w:lang w:val="en-GB"/>
        </w:rPr>
        <w:t>it is recommended that DFAT officers provide an options paper to senior management outlining funding, risk</w:t>
      </w:r>
      <w:r w:rsidR="001C0989" w:rsidRPr="00345BDB">
        <w:rPr>
          <w:szCs w:val="20"/>
          <w:lang w:val="en-GB"/>
        </w:rPr>
        <w:t>,</w:t>
      </w:r>
      <w:r w:rsidR="00954118" w:rsidRPr="00345BDB">
        <w:rPr>
          <w:szCs w:val="20"/>
          <w:lang w:val="en-GB"/>
        </w:rPr>
        <w:t xml:space="preserve"> and policy impacts of proposed changes for decision in advance of entering SPF negotiations.</w:t>
      </w:r>
      <w:r w:rsidR="00954118" w:rsidRPr="00345BDB">
        <w:rPr>
          <w:rFonts w:eastAsia="Arial"/>
        </w:rPr>
        <w:t xml:space="preserve"> </w:t>
      </w:r>
      <w:r w:rsidR="008835CC" w:rsidRPr="00345BDB">
        <w:rPr>
          <w:rFonts w:eastAsia="Arial"/>
        </w:rPr>
        <w:t>F</w:t>
      </w:r>
      <w:proofErr w:type="spellStart"/>
      <w:r w:rsidR="000B3A6B" w:rsidRPr="00345BDB">
        <w:rPr>
          <w:szCs w:val="20"/>
          <w:lang w:val="en-GB"/>
        </w:rPr>
        <w:t>or</w:t>
      </w:r>
      <w:proofErr w:type="spellEnd"/>
      <w:r w:rsidR="000B3A6B" w:rsidRPr="00345BDB">
        <w:rPr>
          <w:szCs w:val="20"/>
          <w:lang w:val="en-GB"/>
        </w:rPr>
        <w:t xml:space="preserve"> example,</w:t>
      </w:r>
      <w:r w:rsidR="00512739" w:rsidRPr="00345BDB">
        <w:rPr>
          <w:szCs w:val="20"/>
          <w:lang w:val="en-GB"/>
        </w:rPr>
        <w:t xml:space="preserve"> specifying</w:t>
      </w:r>
      <w:r w:rsidR="000B3A6B" w:rsidRPr="00345BDB">
        <w:rPr>
          <w:szCs w:val="20"/>
          <w:lang w:val="en-GB"/>
        </w:rPr>
        <w:t xml:space="preserve"> an </w:t>
      </w:r>
      <w:r w:rsidR="003B524F" w:rsidRPr="00345BDB">
        <w:rPr>
          <w:szCs w:val="20"/>
          <w:lang w:val="en-GB"/>
        </w:rPr>
        <w:t>annual response amount in the SPF</w:t>
      </w:r>
      <w:r w:rsidR="00591758" w:rsidRPr="00345BDB">
        <w:rPr>
          <w:szCs w:val="20"/>
          <w:lang w:val="en-GB"/>
        </w:rPr>
        <w:t xml:space="preserve"> for each partner </w:t>
      </w:r>
      <w:r w:rsidR="00B3458F" w:rsidRPr="00345BDB">
        <w:rPr>
          <w:szCs w:val="20"/>
          <w:lang w:val="en-GB"/>
        </w:rPr>
        <w:t>could</w:t>
      </w:r>
      <w:r w:rsidR="00271906" w:rsidRPr="00345BDB">
        <w:rPr>
          <w:szCs w:val="20"/>
          <w:lang w:val="en-GB"/>
        </w:rPr>
        <w:t xml:space="preserve"> improve </w:t>
      </w:r>
      <w:r w:rsidR="00591758" w:rsidRPr="00345BDB">
        <w:rPr>
          <w:szCs w:val="20"/>
          <w:lang w:val="en-GB"/>
        </w:rPr>
        <w:t>the speed</w:t>
      </w:r>
      <w:r w:rsidR="00B51684" w:rsidRPr="00345BDB">
        <w:rPr>
          <w:szCs w:val="20"/>
          <w:lang w:val="en-GB"/>
        </w:rPr>
        <w:t xml:space="preserve"> to</w:t>
      </w:r>
      <w:r w:rsidR="00271906" w:rsidRPr="00345BDB">
        <w:rPr>
          <w:szCs w:val="20"/>
          <w:lang w:val="en-GB"/>
        </w:rPr>
        <w:t xml:space="preserve"> provi</w:t>
      </w:r>
      <w:r w:rsidR="00B51684" w:rsidRPr="00345BDB">
        <w:rPr>
          <w:szCs w:val="20"/>
          <w:lang w:val="en-GB"/>
        </w:rPr>
        <w:t>de</w:t>
      </w:r>
      <w:r w:rsidR="00271906" w:rsidRPr="00DD4EF8">
        <w:rPr>
          <w:szCs w:val="20"/>
          <w:lang w:val="en-GB"/>
        </w:rPr>
        <w:t xml:space="preserve"> funding, but may require earmarking </w:t>
      </w:r>
      <w:r w:rsidR="00512739" w:rsidRPr="00DD4EF8">
        <w:rPr>
          <w:szCs w:val="20"/>
          <w:lang w:val="en-GB"/>
        </w:rPr>
        <w:t xml:space="preserve">a portion of the core </w:t>
      </w:r>
      <w:r w:rsidR="00271906" w:rsidRPr="00DD4EF8">
        <w:rPr>
          <w:szCs w:val="20"/>
          <w:lang w:val="en-GB"/>
        </w:rPr>
        <w:t>funding within the SPF</w:t>
      </w:r>
      <w:r w:rsidR="00B3458F" w:rsidRPr="00DD4EF8">
        <w:rPr>
          <w:szCs w:val="20"/>
          <w:lang w:val="en-GB"/>
        </w:rPr>
        <w:t xml:space="preserve"> (reducing total core funding)</w:t>
      </w:r>
      <w:r w:rsidR="00795CA6" w:rsidRPr="00DD4EF8">
        <w:rPr>
          <w:szCs w:val="20"/>
          <w:lang w:val="en-GB"/>
        </w:rPr>
        <w:t>.</w:t>
      </w:r>
    </w:p>
    <w:p w14:paraId="031701AB" w14:textId="07F483C9" w:rsidR="005E01FE" w:rsidRPr="00DD4EF8" w:rsidRDefault="00B0466E" w:rsidP="00501484">
      <w:pPr>
        <w:spacing w:before="240"/>
        <w:rPr>
          <w:rFonts w:eastAsia="Arial"/>
        </w:rPr>
      </w:pPr>
      <w:r w:rsidRPr="00DD4EF8">
        <w:rPr>
          <w:b/>
          <w:bCs/>
          <w:szCs w:val="20"/>
          <w:lang w:val="en-GB"/>
        </w:rPr>
        <w:t>Finding 2</w:t>
      </w:r>
      <w:r w:rsidR="00EE5814" w:rsidRPr="00DD4EF8">
        <w:rPr>
          <w:b/>
          <w:bCs/>
          <w:szCs w:val="20"/>
          <w:lang w:val="en-GB"/>
        </w:rPr>
        <w:t>:</w:t>
      </w:r>
      <w:r w:rsidR="00D06493" w:rsidRPr="00DD4EF8">
        <w:rPr>
          <w:b/>
          <w:bCs/>
          <w:szCs w:val="20"/>
          <w:lang w:val="en-GB"/>
        </w:rPr>
        <w:t xml:space="preserve"> </w:t>
      </w:r>
      <w:r w:rsidR="00D06493" w:rsidRPr="00DD4EF8">
        <w:rPr>
          <w:rFonts w:eastAsia="Arial"/>
          <w:b/>
          <w:bCs/>
        </w:rPr>
        <w:t xml:space="preserve">Available data indicates SPFs support effectiveness. </w:t>
      </w:r>
      <w:r w:rsidR="00D06493" w:rsidRPr="00DD4EF8">
        <w:rPr>
          <w:rFonts w:eastAsia="Arial"/>
        </w:rPr>
        <w:t>Core funding enables partners to allocate</w:t>
      </w:r>
      <w:r w:rsidR="00E52C0A" w:rsidRPr="00DD4EF8">
        <w:rPr>
          <w:rFonts w:eastAsia="Arial"/>
        </w:rPr>
        <w:t xml:space="preserve"> funding</w:t>
      </w:r>
      <w:r w:rsidR="00D06493" w:rsidRPr="00DD4EF8">
        <w:rPr>
          <w:rFonts w:eastAsia="Arial"/>
        </w:rPr>
        <w:t xml:space="preserve"> to critical needs, and partners are engaging in activities to progress SPF shared partnership objectives and deliverables.</w:t>
      </w:r>
      <w:r w:rsidR="00FB3A96" w:rsidRPr="00DD4EF8">
        <w:rPr>
          <w:rFonts w:eastAsia="Arial"/>
        </w:rPr>
        <w:t xml:space="preserve"> </w:t>
      </w:r>
    </w:p>
    <w:p w14:paraId="14C715E1" w14:textId="77777777" w:rsidR="006A3062" w:rsidRPr="00DD4EF8" w:rsidRDefault="00FB3A96" w:rsidP="00501484">
      <w:pPr>
        <w:spacing w:before="240"/>
        <w:rPr>
          <w:rFonts w:eastAsia="Arial"/>
        </w:rPr>
      </w:pPr>
      <w:r w:rsidRPr="00DD4EF8">
        <w:rPr>
          <w:rFonts w:eastAsia="Arial"/>
          <w:bCs/>
          <w:iCs/>
        </w:rPr>
        <w:t>The evidence base for this finding is</w:t>
      </w:r>
      <w:r w:rsidRPr="001F1860">
        <w:rPr>
          <w:rFonts w:eastAsia="Arial"/>
          <w:bCs/>
          <w:iCs/>
        </w:rPr>
        <w:t xml:space="preserve"> mixed.</w:t>
      </w:r>
      <w:r w:rsidRPr="00DD4EF8">
        <w:rPr>
          <w:rFonts w:eastAsia="Arial"/>
          <w:bCs/>
          <w:iCs/>
        </w:rPr>
        <w:t xml:space="preserve"> While DFAT produces a large volume of reporting, differences in the timing, focus</w:t>
      </w:r>
      <w:r w:rsidR="00346A12" w:rsidRPr="00DD4EF8">
        <w:rPr>
          <w:rFonts w:eastAsia="Arial"/>
          <w:bCs/>
          <w:iCs/>
        </w:rPr>
        <w:t>,</w:t>
      </w:r>
      <w:r w:rsidRPr="00DD4EF8">
        <w:rPr>
          <w:rFonts w:eastAsia="Arial"/>
          <w:bCs/>
          <w:iCs/>
        </w:rPr>
        <w:t xml:space="preserve"> </w:t>
      </w:r>
      <w:r w:rsidR="002662E0" w:rsidRPr="00DD4EF8">
        <w:rPr>
          <w:rFonts w:eastAsia="Arial"/>
        </w:rPr>
        <w:t xml:space="preserve">and scale </w:t>
      </w:r>
      <w:r w:rsidR="002C5A6D" w:rsidRPr="00DD4EF8">
        <w:rPr>
          <w:rFonts w:eastAsia="Arial"/>
        </w:rPr>
        <w:t xml:space="preserve">of reporting mechanisms makes it difficult to consistently assess progress against key outcomes. </w:t>
      </w:r>
      <w:r w:rsidR="00B730EF" w:rsidRPr="00DD4EF8">
        <w:rPr>
          <w:rFonts w:eastAsia="Arial"/>
        </w:rPr>
        <w:t xml:space="preserve">There are also differing opinions within both DFAT and SPF partners on the </w:t>
      </w:r>
      <w:r w:rsidR="00C242EE" w:rsidRPr="00DD4EF8">
        <w:rPr>
          <w:rFonts w:eastAsia="Arial"/>
        </w:rPr>
        <w:t xml:space="preserve">extent to which the purpose of the </w:t>
      </w:r>
      <w:r w:rsidR="00B730EF" w:rsidRPr="00DD4EF8">
        <w:rPr>
          <w:rFonts w:eastAsia="Arial"/>
        </w:rPr>
        <w:t xml:space="preserve">SPFs </w:t>
      </w:r>
      <w:r w:rsidR="00C242EE" w:rsidRPr="00DD4EF8">
        <w:rPr>
          <w:rFonts w:eastAsia="Arial"/>
        </w:rPr>
        <w:t>alone is to drive</w:t>
      </w:r>
      <w:r w:rsidR="000F30FB" w:rsidRPr="00DD4EF8">
        <w:rPr>
          <w:rFonts w:eastAsia="Arial"/>
        </w:rPr>
        <w:t xml:space="preserve"> partner performance</w:t>
      </w:r>
      <w:r w:rsidR="00C242EE" w:rsidRPr="00DD4EF8">
        <w:rPr>
          <w:rFonts w:eastAsia="Arial"/>
        </w:rPr>
        <w:t>. Some suggest SPFs are intended</w:t>
      </w:r>
      <w:r w:rsidR="006F735E" w:rsidRPr="00DD4EF8">
        <w:rPr>
          <w:rFonts w:eastAsia="Arial"/>
        </w:rPr>
        <w:t xml:space="preserve"> to facilitate </w:t>
      </w:r>
      <w:r w:rsidR="000F30FB" w:rsidRPr="00DD4EF8">
        <w:rPr>
          <w:rFonts w:eastAsia="Arial"/>
        </w:rPr>
        <w:t xml:space="preserve">timely and efficient humanitarian action and </w:t>
      </w:r>
      <w:r w:rsidR="00B33C5F" w:rsidRPr="00DD4EF8">
        <w:rPr>
          <w:rFonts w:eastAsia="Arial"/>
        </w:rPr>
        <w:t>effective risk management.</w:t>
      </w:r>
    </w:p>
    <w:p w14:paraId="76F75502" w14:textId="627F2017" w:rsidR="0082673F" w:rsidRPr="00DD4EF8" w:rsidRDefault="0082673F" w:rsidP="00501484">
      <w:pPr>
        <w:spacing w:before="240"/>
        <w:rPr>
          <w:rFonts w:eastAsia="Arial"/>
        </w:rPr>
      </w:pPr>
      <w:r w:rsidRPr="00DD4EF8">
        <w:rPr>
          <w:szCs w:val="20"/>
          <w:lang w:val="en-GB"/>
        </w:rPr>
        <w:t xml:space="preserve">Partners consistently emphasised that </w:t>
      </w:r>
      <w:r w:rsidRPr="00DD4EF8">
        <w:rPr>
          <w:b/>
          <w:bCs/>
          <w:szCs w:val="20"/>
          <w:lang w:val="en-GB"/>
        </w:rPr>
        <w:t xml:space="preserve">DFAT’s multi-year, core funding is critical to their effectiveness and ability </w:t>
      </w:r>
      <w:r w:rsidR="00593800">
        <w:rPr>
          <w:b/>
          <w:bCs/>
          <w:szCs w:val="20"/>
          <w:lang w:val="en-GB"/>
        </w:rPr>
        <w:t xml:space="preserve">to </w:t>
      </w:r>
      <w:r w:rsidRPr="00DD4EF8">
        <w:rPr>
          <w:b/>
          <w:bCs/>
          <w:szCs w:val="20"/>
          <w:lang w:val="en-GB"/>
        </w:rPr>
        <w:t>meet lifesaving needs</w:t>
      </w:r>
      <w:r w:rsidRPr="00DD4EF8">
        <w:rPr>
          <w:szCs w:val="20"/>
          <w:lang w:val="en-GB"/>
        </w:rPr>
        <w:t>. They report that it has enabled them to allocate funding to where they deem it is most needed, and to retain important staff and processes longer. Some DFAT staff raised questions about whether DFAT may be able to elicit more influence and visibility from increased earmarking of its funding.</w:t>
      </w:r>
    </w:p>
    <w:p w14:paraId="0B88C8D2" w14:textId="7D31ED1C" w:rsidR="006753C0" w:rsidRDefault="00D06493" w:rsidP="00501484">
      <w:pPr>
        <w:spacing w:before="240"/>
      </w:pPr>
      <w:r w:rsidRPr="00DD4EF8">
        <w:rPr>
          <w:rFonts w:eastAsia="Arial"/>
        </w:rPr>
        <w:t xml:space="preserve">Once </w:t>
      </w:r>
      <w:r w:rsidR="008F51A1" w:rsidRPr="00DD4EF8">
        <w:rPr>
          <w:rFonts w:eastAsia="Arial"/>
        </w:rPr>
        <w:t>frameworks are agreed</w:t>
      </w:r>
      <w:r w:rsidRPr="00DD4EF8">
        <w:rPr>
          <w:rFonts w:eastAsia="Arial"/>
        </w:rPr>
        <w:t>, other aspects of partnership management become more important for effectiveness and influencing performance than the SPFs or EOLs, such as partnership engagement</w:t>
      </w:r>
      <w:r w:rsidR="00266276">
        <w:rPr>
          <w:rFonts w:eastAsia="Arial"/>
        </w:rPr>
        <w:t xml:space="preserve"> and </w:t>
      </w:r>
      <w:r w:rsidR="00266276">
        <w:rPr>
          <w:rFonts w:eastAsia="Arial"/>
        </w:rPr>
        <w:lastRenderedPageBreak/>
        <w:t>advocacy with other donors and across the international humanitarian system</w:t>
      </w:r>
      <w:r w:rsidRPr="00DD4EF8">
        <w:rPr>
          <w:rFonts w:eastAsia="Arial"/>
        </w:rPr>
        <w:t xml:space="preserve">. </w:t>
      </w:r>
      <w:r w:rsidR="0015768B" w:rsidRPr="00FD703F">
        <w:rPr>
          <w:szCs w:val="20"/>
          <w:lang w:val="en-GB"/>
        </w:rPr>
        <w:t xml:space="preserve">Clear and consistent policy engagement, particularly when it is progressed with other donors, is likely to be the key factor in influencing </w:t>
      </w:r>
      <w:r w:rsidR="007F59A4">
        <w:rPr>
          <w:szCs w:val="20"/>
          <w:lang w:val="en-GB"/>
        </w:rPr>
        <w:t>partner</w:t>
      </w:r>
      <w:r w:rsidR="0015768B" w:rsidRPr="00FD703F">
        <w:rPr>
          <w:szCs w:val="20"/>
          <w:lang w:val="en-GB"/>
        </w:rPr>
        <w:t xml:space="preserve"> performance.</w:t>
      </w:r>
      <w:r w:rsidR="0015768B" w:rsidRPr="00DD4EF8">
        <w:t xml:space="preserve"> </w:t>
      </w:r>
    </w:p>
    <w:p w14:paraId="164B6AD5" w14:textId="307A55AF" w:rsidR="00900525" w:rsidRDefault="0066045C" w:rsidP="00501484">
      <w:pPr>
        <w:spacing w:before="240"/>
        <w:rPr>
          <w:rFonts w:eastAsia="Arial"/>
        </w:rPr>
      </w:pPr>
      <w:r w:rsidRPr="00DD4EF8">
        <w:rPr>
          <w:rFonts w:eastAsia="Arial"/>
        </w:rPr>
        <w:t xml:space="preserve">Considering the SPFs together with all DFAT’s levers to influence international organisations </w:t>
      </w:r>
      <w:r w:rsidR="009578CF" w:rsidRPr="00DD4EF8">
        <w:rPr>
          <w:rFonts w:eastAsia="Arial"/>
        </w:rPr>
        <w:t xml:space="preserve">is likely to improve DFAT’s </w:t>
      </w:r>
      <w:r w:rsidR="007657BA">
        <w:rPr>
          <w:rFonts w:eastAsia="Arial"/>
        </w:rPr>
        <w:t>ability to influence effectiveness</w:t>
      </w:r>
      <w:r w:rsidR="00582594" w:rsidRPr="00DD4EF8">
        <w:rPr>
          <w:rFonts w:eastAsia="Arial"/>
        </w:rPr>
        <w:t xml:space="preserve"> and incentivise performance</w:t>
      </w:r>
      <w:r w:rsidR="009578CF" w:rsidRPr="00DD4EF8">
        <w:rPr>
          <w:rFonts w:eastAsia="Arial"/>
        </w:rPr>
        <w:t>.</w:t>
      </w:r>
      <w:r w:rsidR="00DD209C" w:rsidRPr="00DD4EF8">
        <w:rPr>
          <w:rFonts w:eastAsia="Arial"/>
        </w:rPr>
        <w:t xml:space="preserve"> Some of these levers represent</w:t>
      </w:r>
      <w:r w:rsidR="00582594" w:rsidRPr="00DD4EF8">
        <w:rPr>
          <w:rFonts w:eastAsia="Arial"/>
        </w:rPr>
        <w:t xml:space="preserve"> policy trade-offs that are </w:t>
      </w:r>
      <w:r w:rsidR="00732F4F">
        <w:rPr>
          <w:rFonts w:eastAsia="Arial"/>
        </w:rPr>
        <w:t xml:space="preserve">unsettled and </w:t>
      </w:r>
      <w:r w:rsidR="00582594" w:rsidRPr="00732F4F">
        <w:rPr>
          <w:rFonts w:eastAsia="Arial"/>
        </w:rPr>
        <w:t xml:space="preserve">currently </w:t>
      </w:r>
      <w:r w:rsidR="00110656" w:rsidRPr="00732F4F">
        <w:rPr>
          <w:rFonts w:eastAsia="Arial"/>
        </w:rPr>
        <w:t xml:space="preserve">being considered </w:t>
      </w:r>
      <w:r w:rsidR="00582594" w:rsidRPr="00732F4F">
        <w:rPr>
          <w:rFonts w:eastAsia="Arial"/>
        </w:rPr>
        <w:t>amongst</w:t>
      </w:r>
      <w:r w:rsidR="00582594" w:rsidRPr="00DD4EF8">
        <w:rPr>
          <w:rFonts w:eastAsia="Arial"/>
        </w:rPr>
        <w:t xml:space="preserve"> DFAT staff interviewed for this evaluation</w:t>
      </w:r>
      <w:r w:rsidR="00170300" w:rsidRPr="00DD4EF8">
        <w:rPr>
          <w:rFonts w:eastAsia="Arial"/>
        </w:rPr>
        <w:t xml:space="preserve">, particularly </w:t>
      </w:r>
      <w:r w:rsidR="002246E8" w:rsidRPr="00DD4EF8">
        <w:rPr>
          <w:rFonts w:eastAsia="Arial"/>
        </w:rPr>
        <w:t xml:space="preserve">to what extent </w:t>
      </w:r>
      <w:r w:rsidR="00170300" w:rsidRPr="00DD4EF8">
        <w:rPr>
          <w:rFonts w:eastAsia="Arial"/>
        </w:rPr>
        <w:t>DFAT would like to</w:t>
      </w:r>
      <w:r w:rsidR="00F52A5B" w:rsidRPr="00DD4EF8">
        <w:rPr>
          <w:rFonts w:eastAsia="Arial"/>
        </w:rPr>
        <w:t xml:space="preserve"> </w:t>
      </w:r>
      <w:r w:rsidR="00FC22BA" w:rsidRPr="00DD4EF8">
        <w:rPr>
          <w:rFonts w:eastAsia="Arial"/>
        </w:rPr>
        <w:t>support each organisation</w:t>
      </w:r>
      <w:r w:rsidR="00526E4A">
        <w:rPr>
          <w:rFonts w:eastAsia="Arial"/>
        </w:rPr>
        <w:t>’s</w:t>
      </w:r>
      <w:r w:rsidR="00FC22BA" w:rsidRPr="00DD4EF8">
        <w:rPr>
          <w:rFonts w:eastAsia="Arial"/>
        </w:rPr>
        <w:t xml:space="preserve"> own objectives</w:t>
      </w:r>
      <w:r w:rsidR="002246E8" w:rsidRPr="00DD4EF8">
        <w:rPr>
          <w:rFonts w:eastAsia="Arial"/>
        </w:rPr>
        <w:t xml:space="preserve"> </w:t>
      </w:r>
      <w:r w:rsidR="00FC22BA" w:rsidRPr="00DD4EF8">
        <w:rPr>
          <w:rFonts w:eastAsia="Arial"/>
        </w:rPr>
        <w:t>or to incentiv</w:t>
      </w:r>
      <w:r w:rsidR="002246E8" w:rsidRPr="00DD4EF8">
        <w:rPr>
          <w:rFonts w:eastAsia="Arial"/>
        </w:rPr>
        <w:t>ise</w:t>
      </w:r>
      <w:r w:rsidR="00FC22BA" w:rsidRPr="00DD4EF8">
        <w:rPr>
          <w:rFonts w:eastAsia="Arial"/>
        </w:rPr>
        <w:t xml:space="preserve"> focus on </w:t>
      </w:r>
      <w:r w:rsidR="00E41243" w:rsidRPr="00DD4EF8">
        <w:rPr>
          <w:rFonts w:eastAsia="Arial"/>
        </w:rPr>
        <w:t>areas that</w:t>
      </w:r>
      <w:r w:rsidR="00FC22BA" w:rsidRPr="00DD4EF8">
        <w:rPr>
          <w:rFonts w:eastAsia="Arial"/>
        </w:rPr>
        <w:t xml:space="preserve"> DFAT prioritises</w:t>
      </w:r>
      <w:r w:rsidR="00E41243" w:rsidRPr="00DD4EF8">
        <w:rPr>
          <w:rFonts w:eastAsia="Arial"/>
        </w:rPr>
        <w:t>, and how SPFs and associated levers should best be</w:t>
      </w:r>
      <w:r w:rsidR="00AA4DB6" w:rsidRPr="00DD4EF8">
        <w:rPr>
          <w:rFonts w:eastAsia="Arial"/>
        </w:rPr>
        <w:t xml:space="preserve"> activated to this end</w:t>
      </w:r>
      <w:r w:rsidR="00FC22BA" w:rsidRPr="00DD4EF8">
        <w:rPr>
          <w:rFonts w:eastAsia="Arial"/>
        </w:rPr>
        <w:t xml:space="preserve">. </w:t>
      </w:r>
    </w:p>
    <w:p w14:paraId="0E0B7861" w14:textId="374D63BA" w:rsidR="00D06493" w:rsidRPr="00DD4EF8" w:rsidRDefault="00900525" w:rsidP="00501484">
      <w:pPr>
        <w:spacing w:before="240"/>
        <w:rPr>
          <w:rFonts w:eastAsia="Arial"/>
          <w:bCs/>
          <w:iCs/>
        </w:rPr>
      </w:pPr>
      <w:r w:rsidRPr="00DD4EF8">
        <w:rPr>
          <w:rFonts w:eastAsia="Arial"/>
        </w:rPr>
        <w:t xml:space="preserve">Considering holistically what DFAT would like to achieve through these partners, and </w:t>
      </w:r>
      <w:r w:rsidR="00B3144F" w:rsidRPr="00DD4EF8">
        <w:rPr>
          <w:rFonts w:eastAsia="Arial"/>
        </w:rPr>
        <w:t xml:space="preserve">across all its levers to influence performance will support a key action under its </w:t>
      </w:r>
      <w:r w:rsidR="00701C6E" w:rsidRPr="00DD4EF8">
        <w:rPr>
          <w:rFonts w:eastAsia="Arial"/>
          <w:bCs/>
          <w:iCs/>
        </w:rPr>
        <w:t>Humanitarian Policy (2024</w:t>
      </w:r>
      <w:r w:rsidR="00B3144F" w:rsidRPr="00DD4EF8">
        <w:rPr>
          <w:rFonts w:eastAsia="Arial"/>
          <w:bCs/>
          <w:iCs/>
        </w:rPr>
        <w:t>), to</w:t>
      </w:r>
      <w:r w:rsidR="00701C6E" w:rsidRPr="00DD4EF8">
        <w:rPr>
          <w:rFonts w:eastAsia="Arial"/>
          <w:bCs/>
          <w:iCs/>
        </w:rPr>
        <w:t xml:space="preserve">: </w:t>
      </w:r>
      <w:r w:rsidR="00701C6E" w:rsidRPr="00DD4EF8">
        <w:rPr>
          <w:rFonts w:eastAsia="Arial"/>
          <w:bCs/>
          <w:i/>
        </w:rPr>
        <w:t>leverage our strategic partnership agreements with international organisations to drive our priority reform areas and improve the performance of the international humanitarian system</w:t>
      </w:r>
      <w:r w:rsidR="00701C6E" w:rsidRPr="00DD4EF8">
        <w:rPr>
          <w:rFonts w:eastAsia="Arial"/>
          <w:bCs/>
          <w:iCs/>
        </w:rPr>
        <w:t>.</w:t>
      </w:r>
    </w:p>
    <w:p w14:paraId="4517F908" w14:textId="040E2C20" w:rsidR="00B0466E" w:rsidRDefault="00371BA1" w:rsidP="00501484">
      <w:pPr>
        <w:spacing w:before="240"/>
        <w:rPr>
          <w:rFonts w:eastAsia="Arial"/>
          <w:bCs/>
          <w:iCs/>
        </w:rPr>
      </w:pPr>
      <w:r w:rsidRPr="00DD4EF8">
        <w:rPr>
          <w:rFonts w:eastAsia="Arial"/>
          <w:bCs/>
          <w:iCs/>
        </w:rPr>
        <w:t xml:space="preserve">This finding is made in the context of evolutions to the humanitarian funding environment </w:t>
      </w:r>
      <w:r w:rsidR="000D1439" w:rsidRPr="00DD4EF8">
        <w:rPr>
          <w:rFonts w:eastAsia="Arial"/>
          <w:bCs/>
          <w:iCs/>
        </w:rPr>
        <w:t xml:space="preserve">and architecture, which will </w:t>
      </w:r>
      <w:r w:rsidR="00AA4DB6" w:rsidRPr="00DD4EF8">
        <w:rPr>
          <w:rFonts w:eastAsia="Arial"/>
          <w:bCs/>
          <w:iCs/>
        </w:rPr>
        <w:t>directly influence the success of DFAT’s future approach to SPFs and engagement with partners.</w:t>
      </w:r>
      <w:r w:rsidR="00A45022" w:rsidRPr="00DD4EF8">
        <w:rPr>
          <w:rFonts w:eastAsia="Arial"/>
          <w:bCs/>
          <w:iCs/>
        </w:rPr>
        <w:t xml:space="preserve"> </w:t>
      </w:r>
    </w:p>
    <w:p w14:paraId="7CBFF8BE" w14:textId="3F5A7874" w:rsidR="00684D71" w:rsidRPr="00513231" w:rsidRDefault="00A26855" w:rsidP="00501484">
      <w:pPr>
        <w:spacing w:before="240"/>
        <w:rPr>
          <w:b/>
          <w:bCs/>
          <w:szCs w:val="20"/>
          <w:lang w:val="en-GB"/>
        </w:rPr>
      </w:pPr>
      <w:r w:rsidRPr="00DD4EF8">
        <w:rPr>
          <w:b/>
          <w:bCs/>
          <w:szCs w:val="20"/>
          <w:lang w:val="en-GB"/>
        </w:rPr>
        <w:t>Recommendation 2</w:t>
      </w:r>
      <w:r w:rsidR="007C2704" w:rsidRPr="00DD4EF8">
        <w:rPr>
          <w:b/>
          <w:bCs/>
          <w:szCs w:val="20"/>
          <w:lang w:val="en-GB"/>
        </w:rPr>
        <w:t>:</w:t>
      </w:r>
      <w:r w:rsidR="00191699" w:rsidRPr="00DD4EF8">
        <w:rPr>
          <w:b/>
          <w:bCs/>
          <w:szCs w:val="20"/>
          <w:lang w:val="en-GB"/>
        </w:rPr>
        <w:t xml:space="preserve"> </w:t>
      </w:r>
      <w:r w:rsidR="00C43B10" w:rsidRPr="00C43B10">
        <w:rPr>
          <w:b/>
          <w:bCs/>
          <w:szCs w:val="20"/>
          <w:lang w:val="en-GB"/>
        </w:rPr>
        <w:t>DFAT HUS lead</w:t>
      </w:r>
      <w:r w:rsidR="00782F29">
        <w:rPr>
          <w:b/>
          <w:bCs/>
          <w:szCs w:val="20"/>
          <w:lang w:val="en-GB"/>
        </w:rPr>
        <w:t>s</w:t>
      </w:r>
      <w:r w:rsidR="00C43B10" w:rsidRPr="00C43B10">
        <w:rPr>
          <w:b/>
          <w:bCs/>
          <w:szCs w:val="20"/>
          <w:lang w:val="en-GB"/>
        </w:rPr>
        <w:t xml:space="preserve"> a planning process that considers all DFAT’s levers for engaging with humanitarian partners, structures future arrangements and supports their implementation to maximise effectiveness</w:t>
      </w:r>
      <w:r w:rsidR="00C43B10" w:rsidRPr="00482082">
        <w:rPr>
          <w:szCs w:val="20"/>
          <w:lang w:val="en-GB"/>
        </w:rPr>
        <w:t>.</w:t>
      </w:r>
      <w:r w:rsidR="00C43B10">
        <w:rPr>
          <w:szCs w:val="20"/>
          <w:lang w:val="en-GB"/>
        </w:rPr>
        <w:t xml:space="preserve"> </w:t>
      </w:r>
      <w:r w:rsidR="00684D71" w:rsidRPr="00DD4EF8">
        <w:rPr>
          <w:szCs w:val="20"/>
          <w:lang w:val="en-GB"/>
        </w:rPr>
        <w:t xml:space="preserve">It is recommended that DFAT engage in planning </w:t>
      </w:r>
      <w:r w:rsidR="006763EE" w:rsidRPr="00DD4EF8">
        <w:rPr>
          <w:szCs w:val="20"/>
          <w:lang w:val="en-GB"/>
        </w:rPr>
        <w:t xml:space="preserve">to determine </w:t>
      </w:r>
      <w:r w:rsidR="00684D71" w:rsidRPr="00DD4EF8">
        <w:rPr>
          <w:szCs w:val="20"/>
          <w:lang w:val="en-GB"/>
        </w:rPr>
        <w:t>what it wants to achieve and how</w:t>
      </w:r>
      <w:r w:rsidR="008D4569" w:rsidRPr="00DD4EF8">
        <w:rPr>
          <w:szCs w:val="20"/>
          <w:lang w:val="en-GB"/>
        </w:rPr>
        <w:t xml:space="preserve">, to maximise achievement of </w:t>
      </w:r>
      <w:r w:rsidR="00E97694" w:rsidRPr="00DD4EF8">
        <w:rPr>
          <w:szCs w:val="20"/>
          <w:lang w:val="en-GB"/>
        </w:rPr>
        <w:t>its</w:t>
      </w:r>
      <w:r w:rsidR="008D4569" w:rsidRPr="00DD4EF8">
        <w:rPr>
          <w:szCs w:val="20"/>
          <w:lang w:val="en-GB"/>
        </w:rPr>
        <w:t xml:space="preserve"> </w:t>
      </w:r>
      <w:r w:rsidR="00771157" w:rsidRPr="00DD4EF8">
        <w:rPr>
          <w:szCs w:val="20"/>
          <w:lang w:val="en-GB"/>
        </w:rPr>
        <w:t xml:space="preserve">objectives. </w:t>
      </w:r>
      <w:r w:rsidR="004B157D">
        <w:rPr>
          <w:szCs w:val="20"/>
          <w:lang w:val="en-GB"/>
        </w:rPr>
        <w:t xml:space="preserve">Many of the important questions underpinning this planning process have been asked in response to this evaluation and </w:t>
      </w:r>
      <w:r w:rsidR="00E71923">
        <w:rPr>
          <w:szCs w:val="20"/>
          <w:lang w:val="en-GB"/>
        </w:rPr>
        <w:t>have been</w:t>
      </w:r>
      <w:r w:rsidR="00A132C4">
        <w:rPr>
          <w:szCs w:val="20"/>
          <w:lang w:val="en-GB"/>
        </w:rPr>
        <w:t xml:space="preserve"> documented and</w:t>
      </w:r>
      <w:r w:rsidR="00E71923">
        <w:rPr>
          <w:szCs w:val="20"/>
          <w:lang w:val="en-GB"/>
        </w:rPr>
        <w:t xml:space="preserve"> shared separately with DFAT</w:t>
      </w:r>
      <w:r w:rsidR="004B157D">
        <w:rPr>
          <w:szCs w:val="20"/>
          <w:lang w:val="en-GB"/>
        </w:rPr>
        <w:t xml:space="preserve">. </w:t>
      </w:r>
      <w:r w:rsidR="007C2704" w:rsidRPr="00DD4EF8">
        <w:rPr>
          <w:szCs w:val="20"/>
          <w:lang w:val="en-GB"/>
        </w:rPr>
        <w:t>At minimum, the Evaluation Team recommends this planning process should:</w:t>
      </w:r>
    </w:p>
    <w:p w14:paraId="2109C3BD" w14:textId="7463AB8C" w:rsidR="00D30075" w:rsidRPr="00DD4EF8" w:rsidRDefault="00D30075" w:rsidP="00FE7D8B">
      <w:pPr>
        <w:pStyle w:val="ListParagraph"/>
        <w:numPr>
          <w:ilvl w:val="1"/>
          <w:numId w:val="57"/>
        </w:numPr>
        <w:spacing w:before="240"/>
        <w:ind w:left="720"/>
        <w:contextualSpacing w:val="0"/>
        <w:rPr>
          <w:szCs w:val="20"/>
          <w:lang w:val="en-GB"/>
        </w:rPr>
      </w:pPr>
      <w:r w:rsidRPr="00DD4EF8">
        <w:rPr>
          <w:szCs w:val="20"/>
          <w:lang w:val="en-GB"/>
        </w:rPr>
        <w:t xml:space="preserve">Define what DFAT wants to achieve through </w:t>
      </w:r>
      <w:r w:rsidR="004D0605" w:rsidRPr="00DD4EF8">
        <w:rPr>
          <w:szCs w:val="20"/>
          <w:lang w:val="en-GB"/>
        </w:rPr>
        <w:t>its partnership with these humanitarian organisations</w:t>
      </w:r>
      <w:r w:rsidRPr="00DD4EF8">
        <w:rPr>
          <w:szCs w:val="20"/>
          <w:lang w:val="en-GB"/>
        </w:rPr>
        <w:t xml:space="preserve">. </w:t>
      </w:r>
      <w:r w:rsidR="00474009" w:rsidRPr="00DD4EF8">
        <w:rPr>
          <w:szCs w:val="20"/>
          <w:lang w:val="en-GB"/>
        </w:rPr>
        <w:t>Is it</w:t>
      </w:r>
      <w:r w:rsidRPr="00DD4EF8">
        <w:rPr>
          <w:szCs w:val="20"/>
          <w:lang w:val="en-GB"/>
        </w:rPr>
        <w:t xml:space="preserve"> the shared partnership objectives and deliverables</w:t>
      </w:r>
      <w:r w:rsidR="002D0332" w:rsidRPr="00DD4EF8">
        <w:rPr>
          <w:szCs w:val="20"/>
          <w:lang w:val="en-GB"/>
        </w:rPr>
        <w:t>, or do these need revising?</w:t>
      </w:r>
    </w:p>
    <w:p w14:paraId="75846380" w14:textId="460D8355" w:rsidR="00A3711A" w:rsidRPr="00DD4EF8" w:rsidRDefault="00A3711A" w:rsidP="00FE7D8B">
      <w:pPr>
        <w:pStyle w:val="ListParagraph"/>
        <w:numPr>
          <w:ilvl w:val="1"/>
          <w:numId w:val="57"/>
        </w:numPr>
        <w:spacing w:before="240"/>
        <w:ind w:left="720"/>
        <w:contextualSpacing w:val="0"/>
        <w:rPr>
          <w:szCs w:val="20"/>
          <w:lang w:val="en-GB"/>
        </w:rPr>
      </w:pPr>
      <w:r w:rsidRPr="00DD4EF8">
        <w:rPr>
          <w:szCs w:val="20"/>
          <w:lang w:val="en-GB"/>
        </w:rPr>
        <w:t xml:space="preserve">Determine whether </w:t>
      </w:r>
      <w:r w:rsidR="00284022" w:rsidRPr="00DD4EF8">
        <w:rPr>
          <w:szCs w:val="20"/>
          <w:lang w:val="en-GB"/>
        </w:rPr>
        <w:t xml:space="preserve">DFAT’s objectives </w:t>
      </w:r>
      <w:r w:rsidR="008F114D" w:rsidRPr="00DD4EF8">
        <w:rPr>
          <w:szCs w:val="20"/>
          <w:lang w:val="en-GB"/>
        </w:rPr>
        <w:t>are</w:t>
      </w:r>
      <w:r w:rsidRPr="00DD4EF8">
        <w:rPr>
          <w:szCs w:val="20"/>
          <w:lang w:val="en-GB"/>
        </w:rPr>
        <w:t xml:space="preserve"> best achieved through </w:t>
      </w:r>
      <w:r w:rsidR="0031329B" w:rsidRPr="00DD4EF8">
        <w:rPr>
          <w:szCs w:val="20"/>
          <w:lang w:val="en-GB"/>
        </w:rPr>
        <w:t xml:space="preserve">a more efficient </w:t>
      </w:r>
      <w:r w:rsidR="007C2704" w:rsidRPr="00DD4EF8">
        <w:rPr>
          <w:szCs w:val="20"/>
          <w:lang w:val="en-GB"/>
        </w:rPr>
        <w:t>“</w:t>
      </w:r>
      <w:r w:rsidR="0031329B" w:rsidRPr="00DD4EF8">
        <w:rPr>
          <w:szCs w:val="20"/>
          <w:lang w:val="en-GB"/>
        </w:rPr>
        <w:t>hands off</w:t>
      </w:r>
      <w:r w:rsidR="007C2704" w:rsidRPr="00DD4EF8">
        <w:rPr>
          <w:szCs w:val="20"/>
          <w:lang w:val="en-GB"/>
        </w:rPr>
        <w:t xml:space="preserve">” </w:t>
      </w:r>
      <w:r w:rsidR="0031329B" w:rsidRPr="00DD4EF8">
        <w:rPr>
          <w:szCs w:val="20"/>
          <w:lang w:val="en-GB"/>
        </w:rPr>
        <w:t>approach aligned with Good Humanitarian Donorship, or whether DFAT would like to more actively incentivise performance</w:t>
      </w:r>
      <w:r w:rsidR="00C812B7" w:rsidRPr="00DD4EF8">
        <w:rPr>
          <w:szCs w:val="20"/>
          <w:lang w:val="en-GB"/>
        </w:rPr>
        <w:t xml:space="preserve"> through clauses in an SPF or similar modality</w:t>
      </w:r>
      <w:r w:rsidR="0031329B" w:rsidRPr="00DD4EF8">
        <w:rPr>
          <w:szCs w:val="20"/>
          <w:lang w:val="en-GB"/>
        </w:rPr>
        <w:t xml:space="preserve">. </w:t>
      </w:r>
      <w:r w:rsidR="00AA0E9C">
        <w:rPr>
          <w:szCs w:val="20"/>
          <w:lang w:val="en-GB"/>
        </w:rPr>
        <w:t xml:space="preserve">Review and set resourcing in line with the chosen approach. </w:t>
      </w:r>
      <w:r w:rsidR="008F114D" w:rsidRPr="00DD4EF8">
        <w:rPr>
          <w:szCs w:val="20"/>
          <w:lang w:val="en-GB"/>
        </w:rPr>
        <w:t xml:space="preserve">Ensure the approach is feasible within DFAT staffing </w:t>
      </w:r>
      <w:r w:rsidR="00F433C6" w:rsidRPr="00DD4EF8">
        <w:rPr>
          <w:szCs w:val="20"/>
          <w:lang w:val="en-GB"/>
        </w:rPr>
        <w:t>constraints</w:t>
      </w:r>
      <w:r w:rsidR="007129CF" w:rsidRPr="00DD4EF8">
        <w:rPr>
          <w:szCs w:val="20"/>
          <w:lang w:val="en-GB"/>
        </w:rPr>
        <w:t xml:space="preserve">, and within the changing </w:t>
      </w:r>
      <w:r w:rsidR="00191699" w:rsidRPr="00DD4EF8">
        <w:rPr>
          <w:szCs w:val="20"/>
          <w:lang w:val="en-GB"/>
        </w:rPr>
        <w:t xml:space="preserve">global </w:t>
      </w:r>
      <w:r w:rsidR="007129CF" w:rsidRPr="00DD4EF8">
        <w:rPr>
          <w:szCs w:val="20"/>
          <w:lang w:val="en-GB"/>
        </w:rPr>
        <w:t xml:space="preserve">humanitarian architecture and </w:t>
      </w:r>
      <w:r w:rsidR="00191699" w:rsidRPr="00DD4EF8">
        <w:rPr>
          <w:szCs w:val="20"/>
          <w:lang w:val="en-GB"/>
        </w:rPr>
        <w:t>resourcing</w:t>
      </w:r>
      <w:r w:rsidR="008F114D" w:rsidRPr="00DD4EF8">
        <w:rPr>
          <w:szCs w:val="20"/>
          <w:lang w:val="en-GB"/>
        </w:rPr>
        <w:t xml:space="preserve">. </w:t>
      </w:r>
    </w:p>
    <w:p w14:paraId="44C2EDE6" w14:textId="14910A3A" w:rsidR="00474009" w:rsidRPr="00DD4EF8" w:rsidRDefault="001D6D97" w:rsidP="00FE7D8B">
      <w:pPr>
        <w:pStyle w:val="ListParagraph"/>
        <w:numPr>
          <w:ilvl w:val="1"/>
          <w:numId w:val="57"/>
        </w:numPr>
        <w:spacing w:before="240"/>
        <w:ind w:left="720"/>
        <w:contextualSpacing w:val="0"/>
        <w:rPr>
          <w:szCs w:val="20"/>
          <w:lang w:val="en-GB"/>
        </w:rPr>
      </w:pPr>
      <w:r w:rsidRPr="00DD4EF8">
        <w:rPr>
          <w:szCs w:val="20"/>
          <w:lang w:val="en-GB"/>
        </w:rPr>
        <w:t>D</w:t>
      </w:r>
      <w:r w:rsidR="00474009" w:rsidRPr="00DD4EF8">
        <w:rPr>
          <w:szCs w:val="20"/>
          <w:lang w:val="en-GB"/>
        </w:rPr>
        <w:t xml:space="preserve">etermine </w:t>
      </w:r>
      <w:r w:rsidR="005A02A6" w:rsidRPr="00DD4EF8">
        <w:rPr>
          <w:szCs w:val="20"/>
          <w:lang w:val="en-GB"/>
        </w:rPr>
        <w:t xml:space="preserve">a small number of </w:t>
      </w:r>
      <w:r w:rsidR="00F45D3A">
        <w:rPr>
          <w:szCs w:val="20"/>
          <w:lang w:val="en-GB"/>
        </w:rPr>
        <w:t xml:space="preserve">reforms or </w:t>
      </w:r>
      <w:r w:rsidR="005A02A6" w:rsidRPr="00DD4EF8">
        <w:rPr>
          <w:szCs w:val="20"/>
          <w:lang w:val="en-GB"/>
        </w:rPr>
        <w:t>performance</w:t>
      </w:r>
      <w:r w:rsidR="00474009" w:rsidRPr="00DD4EF8">
        <w:rPr>
          <w:szCs w:val="20"/>
          <w:lang w:val="en-GB"/>
        </w:rPr>
        <w:t xml:space="preserve"> improvements </w:t>
      </w:r>
      <w:r w:rsidR="005A02A6" w:rsidRPr="00DD4EF8">
        <w:rPr>
          <w:szCs w:val="20"/>
          <w:lang w:val="en-GB"/>
        </w:rPr>
        <w:t xml:space="preserve">that </w:t>
      </w:r>
      <w:r w:rsidR="00474009" w:rsidRPr="00DD4EF8">
        <w:rPr>
          <w:szCs w:val="20"/>
          <w:lang w:val="en-GB"/>
        </w:rPr>
        <w:t xml:space="preserve">DFAT wants to see across the duration of the SPF and/or whether it wants to be able to </w:t>
      </w:r>
      <w:r w:rsidR="005A02A6" w:rsidRPr="00DD4EF8">
        <w:rPr>
          <w:szCs w:val="20"/>
          <w:lang w:val="en-GB"/>
        </w:rPr>
        <w:t>agree a</w:t>
      </w:r>
      <w:r w:rsidRPr="00DD4EF8">
        <w:rPr>
          <w:szCs w:val="20"/>
          <w:lang w:val="en-GB"/>
        </w:rPr>
        <w:t xml:space="preserve"> new</w:t>
      </w:r>
      <w:r w:rsidR="005A02A6" w:rsidRPr="00DD4EF8">
        <w:rPr>
          <w:szCs w:val="20"/>
          <w:lang w:val="en-GB"/>
        </w:rPr>
        <w:t xml:space="preserve"> focus each year with partners.</w:t>
      </w:r>
    </w:p>
    <w:p w14:paraId="19DD8DB4" w14:textId="09F7B4C9" w:rsidR="00A463AC" w:rsidRPr="00DD4EF8" w:rsidRDefault="005A02A6" w:rsidP="00D4752B">
      <w:pPr>
        <w:pStyle w:val="ListParagraph"/>
        <w:numPr>
          <w:ilvl w:val="1"/>
          <w:numId w:val="57"/>
        </w:numPr>
        <w:spacing w:before="240"/>
        <w:ind w:left="709"/>
        <w:contextualSpacing w:val="0"/>
        <w:rPr>
          <w:szCs w:val="20"/>
          <w:lang w:val="en-GB"/>
        </w:rPr>
      </w:pPr>
      <w:r w:rsidRPr="00DD4EF8">
        <w:rPr>
          <w:szCs w:val="20"/>
          <w:lang w:val="en-GB"/>
        </w:rPr>
        <w:t xml:space="preserve">Plan </w:t>
      </w:r>
      <w:r w:rsidR="009277FB" w:rsidRPr="00DD4EF8">
        <w:rPr>
          <w:szCs w:val="20"/>
          <w:lang w:val="en-GB"/>
        </w:rPr>
        <w:t>an approach</w:t>
      </w:r>
      <w:r w:rsidR="001D6D97" w:rsidRPr="00DD4EF8">
        <w:rPr>
          <w:szCs w:val="20"/>
          <w:lang w:val="en-GB"/>
        </w:rPr>
        <w:t xml:space="preserve"> that aligns with (</w:t>
      </w:r>
      <w:r w:rsidR="00B846AC">
        <w:rPr>
          <w:szCs w:val="20"/>
          <w:lang w:val="en-GB"/>
        </w:rPr>
        <w:t>2</w:t>
      </w:r>
      <w:r w:rsidR="001D6D97" w:rsidRPr="00DD4EF8">
        <w:rPr>
          <w:szCs w:val="20"/>
          <w:lang w:val="en-GB"/>
        </w:rPr>
        <w:t>b) above</w:t>
      </w:r>
      <w:r w:rsidR="009277FB" w:rsidRPr="00DD4EF8">
        <w:rPr>
          <w:szCs w:val="20"/>
          <w:lang w:val="en-GB"/>
        </w:rPr>
        <w:t xml:space="preserve"> across each of DFAT’s levers for supporting partner performance to achieve </w:t>
      </w:r>
      <w:r w:rsidR="00284022" w:rsidRPr="00DD4EF8">
        <w:rPr>
          <w:szCs w:val="20"/>
          <w:lang w:val="en-GB"/>
        </w:rPr>
        <w:t>DFAT’s objectives</w:t>
      </w:r>
      <w:r w:rsidR="00CE2955" w:rsidRPr="00DD4EF8">
        <w:rPr>
          <w:szCs w:val="20"/>
          <w:lang w:val="en-GB"/>
        </w:rPr>
        <w:t xml:space="preserve"> </w:t>
      </w:r>
      <w:r w:rsidR="007C542D" w:rsidRPr="00DD4EF8">
        <w:rPr>
          <w:szCs w:val="20"/>
          <w:lang w:val="en-GB"/>
        </w:rPr>
        <w:t>in a way that also responds to</w:t>
      </w:r>
      <w:r w:rsidR="00CE2955" w:rsidRPr="00DD4EF8">
        <w:rPr>
          <w:szCs w:val="20"/>
          <w:lang w:val="en-GB"/>
        </w:rPr>
        <w:t xml:space="preserve"> the current funding context for the humanitarian sector</w:t>
      </w:r>
      <w:r w:rsidR="009277FB" w:rsidRPr="00DD4EF8">
        <w:rPr>
          <w:szCs w:val="20"/>
          <w:lang w:val="en-GB"/>
        </w:rPr>
        <w:t>.</w:t>
      </w:r>
      <w:r w:rsidR="00B74420" w:rsidRPr="00DD4EF8">
        <w:rPr>
          <w:szCs w:val="20"/>
          <w:lang w:val="en-GB"/>
        </w:rPr>
        <w:t xml:space="preserve"> This may be facilitated by a theory of change.</w:t>
      </w:r>
      <w:r w:rsidR="009852D8" w:rsidRPr="00DD4EF8">
        <w:rPr>
          <w:szCs w:val="20"/>
          <w:lang w:val="en-GB"/>
        </w:rPr>
        <w:t xml:space="preserve"> </w:t>
      </w:r>
      <w:r w:rsidR="00426D70" w:rsidRPr="00DD4EF8">
        <w:rPr>
          <w:szCs w:val="20"/>
          <w:lang w:val="en-GB"/>
        </w:rPr>
        <w:t>Within this discussion, consider</w:t>
      </w:r>
      <w:r w:rsidR="007C2704" w:rsidRPr="00DD4EF8">
        <w:rPr>
          <w:szCs w:val="20"/>
          <w:lang w:val="en-GB"/>
        </w:rPr>
        <w:t xml:space="preserve"> at minimum</w:t>
      </w:r>
      <w:r w:rsidR="00A463AC" w:rsidRPr="00DD4EF8">
        <w:rPr>
          <w:szCs w:val="20"/>
          <w:lang w:val="en-GB"/>
        </w:rPr>
        <w:t>:</w:t>
      </w:r>
    </w:p>
    <w:p w14:paraId="3F04EADD" w14:textId="3AB2F3C2" w:rsidR="00A463AC" w:rsidRPr="00DD4EF8" w:rsidRDefault="00426D70" w:rsidP="00D4752B">
      <w:pPr>
        <w:pStyle w:val="ListParagraph"/>
        <w:numPr>
          <w:ilvl w:val="2"/>
          <w:numId w:val="57"/>
        </w:numPr>
        <w:spacing w:before="240"/>
        <w:ind w:left="1440"/>
        <w:contextualSpacing w:val="0"/>
        <w:rPr>
          <w:szCs w:val="20"/>
          <w:lang w:val="en-GB"/>
        </w:rPr>
      </w:pPr>
      <w:r w:rsidRPr="00DD4EF8">
        <w:rPr>
          <w:szCs w:val="20"/>
          <w:lang w:val="en-GB"/>
        </w:rPr>
        <w:t xml:space="preserve">the balance of core and earmarked funding, </w:t>
      </w:r>
    </w:p>
    <w:p w14:paraId="3328164E" w14:textId="4CD5DCC8" w:rsidR="00C41C51" w:rsidRPr="00DD4EF8" w:rsidRDefault="00C41C51" w:rsidP="00D4752B">
      <w:pPr>
        <w:pStyle w:val="ListParagraph"/>
        <w:numPr>
          <w:ilvl w:val="2"/>
          <w:numId w:val="57"/>
        </w:numPr>
        <w:spacing w:before="240"/>
        <w:ind w:left="1440"/>
        <w:contextualSpacing w:val="0"/>
        <w:rPr>
          <w:szCs w:val="20"/>
          <w:lang w:val="en-GB"/>
        </w:rPr>
      </w:pPr>
      <w:r w:rsidRPr="00DD4EF8">
        <w:rPr>
          <w:szCs w:val="20"/>
          <w:lang w:val="en-GB"/>
        </w:rPr>
        <w:t xml:space="preserve">the balance </w:t>
      </w:r>
      <w:r w:rsidR="00DB0A9B" w:rsidRPr="00DD4EF8">
        <w:rPr>
          <w:szCs w:val="20"/>
          <w:lang w:val="en-GB"/>
        </w:rPr>
        <w:t>between</w:t>
      </w:r>
      <w:r w:rsidRPr="00DD4EF8">
        <w:rPr>
          <w:szCs w:val="20"/>
          <w:lang w:val="en-GB"/>
        </w:rPr>
        <w:t xml:space="preserve"> flexibility and relevance</w:t>
      </w:r>
      <w:r w:rsidR="00796752" w:rsidRPr="00DD4EF8">
        <w:rPr>
          <w:szCs w:val="20"/>
          <w:lang w:val="en-GB"/>
        </w:rPr>
        <w:t xml:space="preserve"> of priorities</w:t>
      </w:r>
      <w:r w:rsidRPr="00DD4EF8">
        <w:rPr>
          <w:szCs w:val="20"/>
          <w:lang w:val="en-GB"/>
        </w:rPr>
        <w:t xml:space="preserve"> across the duration of the arrangements, versus focus</w:t>
      </w:r>
      <w:r w:rsidR="00796752" w:rsidRPr="00DD4EF8">
        <w:rPr>
          <w:szCs w:val="20"/>
          <w:lang w:val="en-GB"/>
        </w:rPr>
        <w:t>ing</w:t>
      </w:r>
      <w:r w:rsidRPr="00DD4EF8">
        <w:rPr>
          <w:szCs w:val="20"/>
          <w:lang w:val="en-GB"/>
        </w:rPr>
        <w:t xml:space="preserve"> on priorities</w:t>
      </w:r>
      <w:r w:rsidR="00796752" w:rsidRPr="00DD4EF8">
        <w:rPr>
          <w:szCs w:val="20"/>
          <w:lang w:val="en-GB"/>
        </w:rPr>
        <w:t xml:space="preserve"> for change</w:t>
      </w:r>
      <w:r w:rsidRPr="00DD4EF8">
        <w:rPr>
          <w:szCs w:val="20"/>
          <w:lang w:val="en-GB"/>
        </w:rPr>
        <w:t>,</w:t>
      </w:r>
    </w:p>
    <w:p w14:paraId="2F83674B" w14:textId="779F3E5B" w:rsidR="00A463AC" w:rsidRPr="00DD4EF8" w:rsidRDefault="0068712F" w:rsidP="00D4752B">
      <w:pPr>
        <w:pStyle w:val="ListParagraph"/>
        <w:numPr>
          <w:ilvl w:val="2"/>
          <w:numId w:val="57"/>
        </w:numPr>
        <w:spacing w:before="240"/>
        <w:ind w:left="1440"/>
        <w:contextualSpacing w:val="0"/>
        <w:rPr>
          <w:szCs w:val="20"/>
          <w:lang w:val="en-GB"/>
        </w:rPr>
      </w:pPr>
      <w:r w:rsidRPr="00DD4EF8">
        <w:rPr>
          <w:szCs w:val="20"/>
          <w:lang w:val="en-GB"/>
        </w:rPr>
        <w:lastRenderedPageBreak/>
        <w:t xml:space="preserve">DFAT and partner staff and resourcing capacity, </w:t>
      </w:r>
    </w:p>
    <w:p w14:paraId="4F338E45" w14:textId="77777777" w:rsidR="00F1040E" w:rsidRDefault="00A463AC" w:rsidP="00D4752B">
      <w:pPr>
        <w:pStyle w:val="ListParagraph"/>
        <w:numPr>
          <w:ilvl w:val="2"/>
          <w:numId w:val="57"/>
        </w:numPr>
        <w:spacing w:before="240"/>
        <w:ind w:left="1440"/>
        <w:contextualSpacing w:val="0"/>
        <w:rPr>
          <w:szCs w:val="20"/>
          <w:lang w:val="en-GB"/>
        </w:rPr>
      </w:pPr>
      <w:r w:rsidRPr="00DD4EF8">
        <w:rPr>
          <w:szCs w:val="20"/>
          <w:lang w:val="en-GB"/>
        </w:rPr>
        <w:t>D</w:t>
      </w:r>
      <w:r w:rsidR="0068712F" w:rsidRPr="00DD4EF8">
        <w:rPr>
          <w:szCs w:val="20"/>
          <w:lang w:val="en-GB"/>
        </w:rPr>
        <w:t>FAT’s approach to Good Humanitarian Donorship</w:t>
      </w:r>
      <w:r w:rsidRPr="00DD4EF8">
        <w:rPr>
          <w:szCs w:val="20"/>
          <w:lang w:val="en-GB"/>
        </w:rPr>
        <w:t>,</w:t>
      </w:r>
      <w:r w:rsidR="007C2704" w:rsidRPr="00DD4EF8">
        <w:rPr>
          <w:szCs w:val="20"/>
          <w:lang w:val="en-GB"/>
        </w:rPr>
        <w:t xml:space="preserve"> </w:t>
      </w:r>
    </w:p>
    <w:p w14:paraId="765F84B5" w14:textId="568DBE4B" w:rsidR="0007733E" w:rsidRPr="00DD4EF8" w:rsidRDefault="0007733E" w:rsidP="0007733E">
      <w:pPr>
        <w:pStyle w:val="ListParagraph"/>
        <w:numPr>
          <w:ilvl w:val="2"/>
          <w:numId w:val="57"/>
        </w:numPr>
        <w:spacing w:before="240"/>
        <w:ind w:left="1440"/>
        <w:contextualSpacing w:val="0"/>
        <w:rPr>
          <w:szCs w:val="20"/>
          <w:lang w:val="en-GB"/>
        </w:rPr>
      </w:pPr>
      <w:r w:rsidRPr="00DD4EF8">
        <w:rPr>
          <w:szCs w:val="20"/>
          <w:lang w:val="en-GB"/>
        </w:rPr>
        <w:t>DFAT’s approach to risk management</w:t>
      </w:r>
      <w:r>
        <w:rPr>
          <w:szCs w:val="20"/>
          <w:lang w:val="en-GB"/>
        </w:rPr>
        <w:t>, and</w:t>
      </w:r>
    </w:p>
    <w:p w14:paraId="68EDF6C9" w14:textId="1FF43B3B" w:rsidR="005A02A6" w:rsidRPr="00DD4EF8" w:rsidRDefault="004C74B1" w:rsidP="00D4752B">
      <w:pPr>
        <w:pStyle w:val="ListParagraph"/>
        <w:numPr>
          <w:ilvl w:val="2"/>
          <w:numId w:val="57"/>
        </w:numPr>
        <w:spacing w:before="240"/>
        <w:ind w:left="1440"/>
        <w:contextualSpacing w:val="0"/>
        <w:rPr>
          <w:szCs w:val="20"/>
          <w:lang w:val="en-GB"/>
        </w:rPr>
      </w:pPr>
      <w:r>
        <w:rPr>
          <w:szCs w:val="20"/>
          <w:lang w:val="en-GB"/>
        </w:rPr>
        <w:t>How DFAT will progress</w:t>
      </w:r>
      <w:r w:rsidR="00F01EE3">
        <w:rPr>
          <w:szCs w:val="20"/>
          <w:lang w:val="en-GB"/>
        </w:rPr>
        <w:t xml:space="preserve"> </w:t>
      </w:r>
      <w:r w:rsidR="00216E9C">
        <w:rPr>
          <w:szCs w:val="20"/>
          <w:lang w:val="en-GB"/>
        </w:rPr>
        <w:t xml:space="preserve">its </w:t>
      </w:r>
      <w:r w:rsidR="00F01EE3">
        <w:rPr>
          <w:szCs w:val="20"/>
          <w:lang w:val="en-GB"/>
        </w:rPr>
        <w:t>objectives through engagement</w:t>
      </w:r>
      <w:r w:rsidR="004E1639">
        <w:rPr>
          <w:szCs w:val="20"/>
          <w:lang w:val="en-GB"/>
        </w:rPr>
        <w:t xml:space="preserve"> with partners</w:t>
      </w:r>
      <w:r w:rsidR="0007733E">
        <w:rPr>
          <w:szCs w:val="20"/>
          <w:lang w:val="en-GB"/>
        </w:rPr>
        <w:t>.</w:t>
      </w:r>
    </w:p>
    <w:p w14:paraId="4AE41508" w14:textId="55030731" w:rsidR="006753C0" w:rsidRPr="00E81C23" w:rsidRDefault="006753C0" w:rsidP="00D4752B">
      <w:pPr>
        <w:pStyle w:val="ListParagraph"/>
        <w:numPr>
          <w:ilvl w:val="1"/>
          <w:numId w:val="57"/>
        </w:numPr>
        <w:spacing w:before="240"/>
        <w:ind w:left="709"/>
        <w:contextualSpacing w:val="0"/>
        <w:rPr>
          <w:szCs w:val="20"/>
          <w:lang w:val="en-GB"/>
        </w:rPr>
      </w:pPr>
      <w:r w:rsidRPr="00E81C23">
        <w:rPr>
          <w:szCs w:val="20"/>
          <w:lang w:val="en-GB"/>
        </w:rPr>
        <w:t xml:space="preserve">Seek opportunities to coordinate with other donors to </w:t>
      </w:r>
      <w:r w:rsidR="00E81C23" w:rsidRPr="00E81C23">
        <w:rPr>
          <w:szCs w:val="20"/>
          <w:lang w:val="en-GB"/>
        </w:rPr>
        <w:t>progress shared priorities</w:t>
      </w:r>
      <w:r w:rsidR="00E81C23">
        <w:rPr>
          <w:szCs w:val="20"/>
          <w:lang w:val="en-GB"/>
        </w:rPr>
        <w:t xml:space="preserve"> together</w:t>
      </w:r>
      <w:r w:rsidR="00E81C23" w:rsidRPr="00E81C23">
        <w:rPr>
          <w:szCs w:val="20"/>
          <w:lang w:val="en-GB"/>
        </w:rPr>
        <w:t xml:space="preserve">. </w:t>
      </w:r>
    </w:p>
    <w:p w14:paraId="4D0F2911" w14:textId="198CD56A" w:rsidR="00293971" w:rsidRPr="005C7CFA" w:rsidRDefault="002746D8" w:rsidP="00D4752B">
      <w:pPr>
        <w:pStyle w:val="ListParagraph"/>
        <w:numPr>
          <w:ilvl w:val="1"/>
          <w:numId w:val="57"/>
        </w:numPr>
        <w:spacing w:before="240"/>
        <w:ind w:left="709"/>
        <w:contextualSpacing w:val="0"/>
        <w:rPr>
          <w:szCs w:val="20"/>
          <w:lang w:val="en-GB"/>
        </w:rPr>
      </w:pPr>
      <w:r w:rsidRPr="00DD4EF8">
        <w:rPr>
          <w:szCs w:val="20"/>
          <w:lang w:val="en-GB"/>
        </w:rPr>
        <w:t xml:space="preserve">Translate this approach </w:t>
      </w:r>
      <w:r w:rsidR="00284022" w:rsidRPr="00DD4EF8">
        <w:rPr>
          <w:szCs w:val="20"/>
          <w:lang w:val="en-GB"/>
        </w:rPr>
        <w:t>into</w:t>
      </w:r>
      <w:r w:rsidRPr="00DD4EF8">
        <w:rPr>
          <w:szCs w:val="20"/>
          <w:lang w:val="en-GB"/>
        </w:rPr>
        <w:t xml:space="preserve"> clauses for negotiation with partners</w:t>
      </w:r>
      <w:r w:rsidRPr="00526E4A">
        <w:rPr>
          <w:szCs w:val="20"/>
          <w:lang w:val="en-GB"/>
        </w:rPr>
        <w:t xml:space="preserve">. </w:t>
      </w:r>
    </w:p>
    <w:p w14:paraId="3718F1FB" w14:textId="7A2349EE" w:rsidR="00F40A0A" w:rsidRPr="001A409A" w:rsidRDefault="008E55B7" w:rsidP="001A409A">
      <w:pPr>
        <w:pStyle w:val="ListParagraph"/>
        <w:numPr>
          <w:ilvl w:val="1"/>
          <w:numId w:val="57"/>
        </w:numPr>
        <w:spacing w:before="240"/>
        <w:ind w:left="709"/>
        <w:rPr>
          <w:szCs w:val="20"/>
          <w:lang w:val="en-GB"/>
        </w:rPr>
      </w:pPr>
      <w:r>
        <w:rPr>
          <w:szCs w:val="20"/>
          <w:lang w:val="en-GB"/>
        </w:rPr>
        <w:t>Translate this approach into partnership engagement plans and e</w:t>
      </w:r>
      <w:r w:rsidR="00F40A0A" w:rsidRPr="001A409A">
        <w:rPr>
          <w:szCs w:val="20"/>
          <w:lang w:val="en-GB"/>
        </w:rPr>
        <w:t xml:space="preserve">levate </w:t>
      </w:r>
      <w:r w:rsidR="00A369B6">
        <w:rPr>
          <w:szCs w:val="20"/>
          <w:lang w:val="en-GB"/>
        </w:rPr>
        <w:t xml:space="preserve">the visibility of </w:t>
      </w:r>
      <w:r w:rsidR="009377CD">
        <w:rPr>
          <w:szCs w:val="20"/>
          <w:lang w:val="en-GB"/>
        </w:rPr>
        <w:t>these</w:t>
      </w:r>
      <w:r w:rsidR="00F40A0A" w:rsidRPr="001A409A">
        <w:rPr>
          <w:szCs w:val="20"/>
          <w:lang w:val="en-GB"/>
        </w:rPr>
        <w:t xml:space="preserve"> plans, </w:t>
      </w:r>
      <w:r w:rsidR="00A369B6">
        <w:rPr>
          <w:szCs w:val="20"/>
          <w:lang w:val="en-GB"/>
        </w:rPr>
        <w:t>supporting</w:t>
      </w:r>
      <w:r w:rsidR="00F40A0A" w:rsidRPr="001A409A">
        <w:rPr>
          <w:szCs w:val="20"/>
          <w:lang w:val="en-GB"/>
        </w:rPr>
        <w:t xml:space="preserve"> DFAT staff in Canberra and at Post </w:t>
      </w:r>
      <w:r w:rsidR="00A369B6">
        <w:rPr>
          <w:szCs w:val="20"/>
          <w:lang w:val="en-GB"/>
        </w:rPr>
        <w:t>with</w:t>
      </w:r>
      <w:r w:rsidR="00F40A0A" w:rsidRPr="001A409A">
        <w:rPr>
          <w:szCs w:val="20"/>
          <w:lang w:val="en-GB"/>
        </w:rPr>
        <w:t xml:space="preserve"> a common understanding of priority areas and </w:t>
      </w:r>
      <w:r w:rsidR="00D10BF0">
        <w:rPr>
          <w:szCs w:val="20"/>
          <w:lang w:val="en-GB"/>
        </w:rPr>
        <w:t xml:space="preserve">key </w:t>
      </w:r>
      <w:r w:rsidR="00F40A0A" w:rsidRPr="001A409A">
        <w:rPr>
          <w:szCs w:val="20"/>
          <w:lang w:val="en-GB"/>
        </w:rPr>
        <w:t>approaches to engage</w:t>
      </w:r>
      <w:r w:rsidR="0069720A">
        <w:rPr>
          <w:szCs w:val="20"/>
          <w:lang w:val="en-GB"/>
        </w:rPr>
        <w:t>.</w:t>
      </w:r>
    </w:p>
    <w:p w14:paraId="2E5AF3AF" w14:textId="5792FDF1" w:rsidR="00215DA2" w:rsidRPr="00345BDB" w:rsidRDefault="009E6F76" w:rsidP="00EA5980">
      <w:pPr>
        <w:spacing w:before="240"/>
        <w:rPr>
          <w:szCs w:val="20"/>
          <w:lang w:val="en-GB"/>
        </w:rPr>
      </w:pPr>
      <w:r w:rsidRPr="00DD4EF8">
        <w:rPr>
          <w:szCs w:val="20"/>
          <w:lang w:val="en-GB"/>
        </w:rPr>
        <w:t xml:space="preserve">Should </w:t>
      </w:r>
      <w:r w:rsidR="00003A2E" w:rsidRPr="00DD4EF8">
        <w:rPr>
          <w:szCs w:val="20"/>
          <w:lang w:val="en-GB"/>
        </w:rPr>
        <w:t xml:space="preserve">DFAT </w:t>
      </w:r>
      <w:r w:rsidRPr="00DD4EF8">
        <w:rPr>
          <w:szCs w:val="20"/>
          <w:lang w:val="en-GB"/>
        </w:rPr>
        <w:t xml:space="preserve">consider altering the </w:t>
      </w:r>
      <w:r w:rsidR="00F42D81" w:rsidRPr="00DD4EF8">
        <w:rPr>
          <w:szCs w:val="20"/>
          <w:lang w:val="en-GB"/>
        </w:rPr>
        <w:t xml:space="preserve">structure of its funding </w:t>
      </w:r>
      <w:r w:rsidR="0056661A" w:rsidRPr="00DD4EF8">
        <w:rPr>
          <w:szCs w:val="20"/>
          <w:lang w:val="en-GB"/>
        </w:rPr>
        <w:t>to international organisations</w:t>
      </w:r>
      <w:r w:rsidRPr="00DD4EF8">
        <w:rPr>
          <w:szCs w:val="20"/>
          <w:lang w:val="en-GB"/>
        </w:rPr>
        <w:t xml:space="preserve">, </w:t>
      </w:r>
      <w:r w:rsidR="00AD3A77" w:rsidRPr="00DD4EF8">
        <w:rPr>
          <w:szCs w:val="20"/>
          <w:lang w:val="en-GB"/>
        </w:rPr>
        <w:t xml:space="preserve">it is recommended </w:t>
      </w:r>
      <w:r w:rsidRPr="00DD4EF8">
        <w:rPr>
          <w:szCs w:val="20"/>
          <w:lang w:val="en-GB"/>
        </w:rPr>
        <w:t xml:space="preserve">that it do so with thorough consideration of the </w:t>
      </w:r>
      <w:r w:rsidR="00D015A8">
        <w:rPr>
          <w:szCs w:val="20"/>
          <w:lang w:val="en-GB"/>
        </w:rPr>
        <w:t>likely impact on</w:t>
      </w:r>
      <w:r w:rsidR="00480DEF" w:rsidRPr="00DD4EF8">
        <w:rPr>
          <w:szCs w:val="20"/>
          <w:lang w:val="en-GB"/>
        </w:rPr>
        <w:t xml:space="preserve"> people in need of lifesaving assistance, and </w:t>
      </w:r>
      <w:r w:rsidRPr="00DD4EF8">
        <w:rPr>
          <w:szCs w:val="20"/>
          <w:lang w:val="en-GB"/>
        </w:rPr>
        <w:t xml:space="preserve">for partners managing </w:t>
      </w:r>
      <w:r w:rsidR="00480DEF" w:rsidRPr="00345BDB">
        <w:rPr>
          <w:szCs w:val="20"/>
          <w:lang w:val="en-GB"/>
        </w:rPr>
        <w:t xml:space="preserve">a multitude of donors with varying </w:t>
      </w:r>
      <w:r w:rsidR="00E64492" w:rsidRPr="00345BDB">
        <w:rPr>
          <w:szCs w:val="20"/>
          <w:lang w:val="en-GB"/>
        </w:rPr>
        <w:t>conditions including</w:t>
      </w:r>
      <w:r w:rsidR="00480DEF" w:rsidRPr="00345BDB">
        <w:rPr>
          <w:szCs w:val="20"/>
          <w:lang w:val="en-GB"/>
        </w:rPr>
        <w:t xml:space="preserve"> short-term, </w:t>
      </w:r>
      <w:r w:rsidR="007348A4" w:rsidRPr="00345BDB">
        <w:rPr>
          <w:szCs w:val="20"/>
          <w:lang w:val="en-GB"/>
        </w:rPr>
        <w:t>project-based</w:t>
      </w:r>
      <w:r w:rsidR="00480DEF" w:rsidRPr="00345BDB">
        <w:rPr>
          <w:szCs w:val="20"/>
          <w:lang w:val="en-GB"/>
        </w:rPr>
        <w:t xml:space="preserve"> funding</w:t>
      </w:r>
      <w:r w:rsidR="0056661A" w:rsidRPr="00345BDB">
        <w:rPr>
          <w:szCs w:val="20"/>
          <w:lang w:val="en-GB"/>
        </w:rPr>
        <w:t xml:space="preserve">. </w:t>
      </w:r>
    </w:p>
    <w:p w14:paraId="7DC0D2FE" w14:textId="15817F10" w:rsidR="0022076E" w:rsidRPr="00345BDB" w:rsidRDefault="0022076E" w:rsidP="00EA5980">
      <w:pPr>
        <w:spacing w:before="240"/>
        <w:rPr>
          <w:b/>
          <w:bCs/>
          <w:szCs w:val="20"/>
          <w:lang w:val="en-GB"/>
        </w:rPr>
      </w:pPr>
      <w:r w:rsidRPr="00345BDB">
        <w:rPr>
          <w:szCs w:val="20"/>
          <w:lang w:val="en-GB"/>
        </w:rPr>
        <w:t>The Evaluation Team recognises th</w:t>
      </w:r>
      <w:r w:rsidR="004738B9" w:rsidRPr="00345BDB">
        <w:rPr>
          <w:szCs w:val="20"/>
          <w:lang w:val="en-GB"/>
        </w:rPr>
        <w:t>at the expiry of existing SPFs</w:t>
      </w:r>
      <w:r w:rsidRPr="00345BDB">
        <w:rPr>
          <w:szCs w:val="20"/>
          <w:lang w:val="en-GB"/>
        </w:rPr>
        <w:t xml:space="preserve"> may make it infeasible to complete this recommendation in advance of starting negotiations for new arrangements. </w:t>
      </w:r>
      <w:r w:rsidR="00905307" w:rsidRPr="00345BDB">
        <w:rPr>
          <w:szCs w:val="20"/>
          <w:lang w:val="en-GB"/>
        </w:rPr>
        <w:t>However, these steps remain important and should be completed, within the limitations of signed arrangements if required.</w:t>
      </w:r>
    </w:p>
    <w:p w14:paraId="08CC3EAD" w14:textId="42477520" w:rsidR="00463EC9" w:rsidRPr="00345BDB" w:rsidRDefault="005E7EE3" w:rsidP="005E01FE">
      <w:pPr>
        <w:spacing w:before="240"/>
        <w:rPr>
          <w:szCs w:val="20"/>
          <w:lang w:val="en-GB"/>
        </w:rPr>
      </w:pPr>
      <w:r w:rsidRPr="00345BDB">
        <w:rPr>
          <w:b/>
          <w:bCs/>
          <w:szCs w:val="20"/>
          <w:lang w:val="en-GB"/>
        </w:rPr>
        <w:t xml:space="preserve">Finding </w:t>
      </w:r>
      <w:r w:rsidR="00567FFE" w:rsidRPr="00345BDB">
        <w:rPr>
          <w:b/>
          <w:bCs/>
          <w:szCs w:val="20"/>
          <w:lang w:val="en-GB"/>
        </w:rPr>
        <w:t>3</w:t>
      </w:r>
      <w:r w:rsidR="004F08A4" w:rsidRPr="00345BDB">
        <w:rPr>
          <w:b/>
          <w:bCs/>
          <w:szCs w:val="20"/>
          <w:lang w:val="en-GB"/>
        </w:rPr>
        <w:t xml:space="preserve">: </w:t>
      </w:r>
      <w:r w:rsidR="00B10D87" w:rsidRPr="00345BDB">
        <w:rPr>
          <w:b/>
          <w:bCs/>
          <w:szCs w:val="20"/>
          <w:lang w:val="en-GB"/>
        </w:rPr>
        <w:t>DFAT has implemented important systems to support the understanding of performance against the shared partnership objectives and deliverables</w:t>
      </w:r>
      <w:r w:rsidR="00B10D87" w:rsidRPr="00345BDB">
        <w:rPr>
          <w:szCs w:val="20"/>
          <w:lang w:val="en-GB"/>
        </w:rPr>
        <w:t xml:space="preserve"> in the absence of </w:t>
      </w:r>
      <w:r w:rsidR="004F08A4" w:rsidRPr="00345BDB">
        <w:rPr>
          <w:szCs w:val="20"/>
          <w:lang w:val="en-GB"/>
        </w:rPr>
        <w:t xml:space="preserve">MPAs </w:t>
      </w:r>
      <w:r w:rsidR="00B302AA" w:rsidRPr="00345BDB">
        <w:rPr>
          <w:szCs w:val="20"/>
          <w:lang w:val="en-GB"/>
        </w:rPr>
        <w:t>(</w:t>
      </w:r>
      <w:proofErr w:type="gramStart"/>
      <w:r w:rsidR="00B302AA" w:rsidRPr="00345BDB">
        <w:rPr>
          <w:szCs w:val="20"/>
          <w:lang w:val="en-GB"/>
        </w:rPr>
        <w:t>with the exception of</w:t>
      </w:r>
      <w:proofErr w:type="gramEnd"/>
      <w:r w:rsidR="00B302AA" w:rsidRPr="00345BDB">
        <w:rPr>
          <w:szCs w:val="20"/>
          <w:lang w:val="en-GB"/>
        </w:rPr>
        <w:t xml:space="preserve"> WFP)</w:t>
      </w:r>
      <w:r w:rsidR="00D508A4" w:rsidRPr="00345BDB">
        <w:rPr>
          <w:szCs w:val="20"/>
          <w:lang w:val="en-GB"/>
        </w:rPr>
        <w:t>.</w:t>
      </w:r>
      <w:r w:rsidR="002F26BF" w:rsidRPr="00345BDB">
        <w:rPr>
          <w:b/>
          <w:bCs/>
          <w:szCs w:val="20"/>
          <w:lang w:val="en-GB"/>
        </w:rPr>
        <w:t xml:space="preserve"> </w:t>
      </w:r>
      <w:r w:rsidR="00463EC9" w:rsidRPr="00345BDB">
        <w:rPr>
          <w:szCs w:val="20"/>
          <w:lang w:val="en-GB"/>
        </w:rPr>
        <w:t>C</w:t>
      </w:r>
      <w:r w:rsidR="004E4471" w:rsidRPr="00345BDB">
        <w:rPr>
          <w:szCs w:val="20"/>
          <w:lang w:val="en-GB"/>
        </w:rPr>
        <w:t xml:space="preserve">entral Assurance </w:t>
      </w:r>
      <w:r w:rsidR="004F08A4" w:rsidRPr="00345BDB">
        <w:rPr>
          <w:szCs w:val="20"/>
          <w:lang w:val="en-GB"/>
        </w:rPr>
        <w:t>Assessments</w:t>
      </w:r>
      <w:r w:rsidR="00463EC9" w:rsidRPr="00345BDB">
        <w:rPr>
          <w:szCs w:val="20"/>
          <w:lang w:val="en-GB"/>
        </w:rPr>
        <w:t>, MOPAN assessments</w:t>
      </w:r>
      <w:r w:rsidR="004F08A4" w:rsidRPr="00345BDB">
        <w:rPr>
          <w:szCs w:val="20"/>
          <w:lang w:val="en-GB"/>
        </w:rPr>
        <w:t>,</w:t>
      </w:r>
      <w:r w:rsidR="00463EC9" w:rsidRPr="00345BDB">
        <w:rPr>
          <w:szCs w:val="20"/>
          <w:lang w:val="en-GB"/>
        </w:rPr>
        <w:t xml:space="preserve"> and international organisations’ own evaluations have been important data sources.</w:t>
      </w:r>
    </w:p>
    <w:p w14:paraId="74C8197B" w14:textId="7160CBC6" w:rsidR="00F058BE" w:rsidRPr="00DD4EF8" w:rsidRDefault="002F26BF" w:rsidP="005E01FE">
      <w:pPr>
        <w:spacing w:before="240"/>
        <w:rPr>
          <w:szCs w:val="20"/>
          <w:lang w:val="en-GB"/>
        </w:rPr>
      </w:pPr>
      <w:r w:rsidRPr="00345BDB">
        <w:rPr>
          <w:b/>
          <w:bCs/>
          <w:szCs w:val="20"/>
          <w:lang w:val="en-GB"/>
        </w:rPr>
        <w:t>It does however remain d</w:t>
      </w:r>
      <w:r w:rsidR="005339C4" w:rsidRPr="00345BDB">
        <w:rPr>
          <w:b/>
          <w:bCs/>
          <w:szCs w:val="20"/>
          <w:lang w:val="en-GB"/>
        </w:rPr>
        <w:t>ifficult to identify trends in performance using the current monitoring and evaluation system.</w:t>
      </w:r>
      <w:r w:rsidR="005339C4" w:rsidRPr="00345BDB">
        <w:rPr>
          <w:szCs w:val="20"/>
          <w:lang w:val="en-GB"/>
        </w:rPr>
        <w:t xml:space="preserve"> </w:t>
      </w:r>
      <w:r w:rsidR="00516657" w:rsidRPr="00345BDB">
        <w:rPr>
          <w:szCs w:val="20"/>
          <w:lang w:val="en-GB"/>
        </w:rPr>
        <w:t>M</w:t>
      </w:r>
      <w:r w:rsidR="00163902" w:rsidRPr="00345BDB">
        <w:rPr>
          <w:szCs w:val="20"/>
          <w:lang w:val="en-GB"/>
        </w:rPr>
        <w:t>any</w:t>
      </w:r>
      <w:r w:rsidR="00516657" w:rsidRPr="00345BDB">
        <w:rPr>
          <w:szCs w:val="20"/>
          <w:lang w:val="en-GB"/>
        </w:rPr>
        <w:t xml:space="preserve"> DFAT officers </w:t>
      </w:r>
      <w:r w:rsidR="005339C4" w:rsidRPr="00345BDB">
        <w:rPr>
          <w:szCs w:val="20"/>
          <w:lang w:val="en-GB"/>
        </w:rPr>
        <w:t xml:space="preserve">also </w:t>
      </w:r>
      <w:r w:rsidR="00516657" w:rsidRPr="00345BDB">
        <w:rPr>
          <w:szCs w:val="20"/>
          <w:lang w:val="en-GB"/>
        </w:rPr>
        <w:t>find</w:t>
      </w:r>
      <w:r w:rsidR="00516657" w:rsidRPr="00DD4EF8">
        <w:rPr>
          <w:szCs w:val="20"/>
          <w:lang w:val="en-GB"/>
        </w:rPr>
        <w:t xml:space="preserve"> </w:t>
      </w:r>
      <w:r w:rsidR="00B302AA" w:rsidRPr="00DD4EF8">
        <w:rPr>
          <w:szCs w:val="20"/>
          <w:lang w:val="en-GB"/>
        </w:rPr>
        <w:t>the current reporting system</w:t>
      </w:r>
      <w:r w:rsidR="005339C4" w:rsidRPr="00DD4EF8">
        <w:rPr>
          <w:szCs w:val="20"/>
          <w:lang w:val="en-GB"/>
        </w:rPr>
        <w:t xml:space="preserve"> </w:t>
      </w:r>
      <w:r w:rsidR="00516657" w:rsidRPr="00DD4EF8">
        <w:rPr>
          <w:szCs w:val="20"/>
          <w:lang w:val="en-GB"/>
        </w:rPr>
        <w:t>to be resource intensive</w:t>
      </w:r>
      <w:r w:rsidR="0068330B">
        <w:rPr>
          <w:szCs w:val="20"/>
          <w:lang w:val="en-GB"/>
        </w:rPr>
        <w:t xml:space="preserve"> (in terms of their time required to interpret the data)</w:t>
      </w:r>
      <w:r w:rsidR="004A733B" w:rsidRPr="00DD4EF8">
        <w:rPr>
          <w:szCs w:val="20"/>
          <w:lang w:val="en-GB"/>
        </w:rPr>
        <w:t>, though others</w:t>
      </w:r>
      <w:r w:rsidR="00B302AA" w:rsidRPr="00DD4EF8">
        <w:rPr>
          <w:szCs w:val="20"/>
          <w:lang w:val="en-GB"/>
        </w:rPr>
        <w:t xml:space="preserve"> disagree</w:t>
      </w:r>
      <w:r w:rsidR="005E7EE3" w:rsidRPr="00DD4EF8">
        <w:rPr>
          <w:szCs w:val="20"/>
          <w:lang w:val="en-GB"/>
        </w:rPr>
        <w:t xml:space="preserve">. </w:t>
      </w:r>
      <w:r w:rsidR="005339C4" w:rsidRPr="00DD4EF8">
        <w:rPr>
          <w:szCs w:val="20"/>
          <w:lang w:val="en-GB"/>
        </w:rPr>
        <w:t xml:space="preserve">While </w:t>
      </w:r>
      <w:r w:rsidR="007651F6" w:rsidRPr="00DD4EF8">
        <w:rPr>
          <w:szCs w:val="20"/>
          <w:lang w:val="en-GB"/>
        </w:rPr>
        <w:t>the system will</w:t>
      </w:r>
      <w:r w:rsidR="00D95AA8" w:rsidRPr="00DD4EF8">
        <w:rPr>
          <w:szCs w:val="20"/>
          <w:lang w:val="en-GB"/>
        </w:rPr>
        <w:t xml:space="preserve"> improve </w:t>
      </w:r>
      <w:r w:rsidR="00163902" w:rsidRPr="00DD4EF8">
        <w:rPr>
          <w:szCs w:val="20"/>
          <w:lang w:val="en-GB"/>
        </w:rPr>
        <w:t xml:space="preserve">substantially with the reintroduction </w:t>
      </w:r>
      <w:r w:rsidR="00095BEA" w:rsidRPr="00DD4EF8">
        <w:rPr>
          <w:szCs w:val="20"/>
          <w:lang w:val="en-GB"/>
        </w:rPr>
        <w:t>of MPAs</w:t>
      </w:r>
      <w:r w:rsidR="005339C4" w:rsidRPr="00DD4EF8">
        <w:rPr>
          <w:szCs w:val="20"/>
          <w:lang w:val="en-GB"/>
        </w:rPr>
        <w:t xml:space="preserve">, there is opportunity to </w:t>
      </w:r>
      <w:r w:rsidR="00E367BA" w:rsidRPr="00DD4EF8">
        <w:rPr>
          <w:szCs w:val="20"/>
          <w:lang w:val="en-GB"/>
        </w:rPr>
        <w:t xml:space="preserve">further strengthen the </w:t>
      </w:r>
      <w:proofErr w:type="gramStart"/>
      <w:r w:rsidR="00E367BA" w:rsidRPr="00DD4EF8">
        <w:rPr>
          <w:szCs w:val="20"/>
          <w:lang w:val="en-GB"/>
        </w:rPr>
        <w:t>system</w:t>
      </w:r>
      <w:proofErr w:type="gramEnd"/>
      <w:r w:rsidR="00E367BA" w:rsidRPr="00DD4EF8">
        <w:rPr>
          <w:szCs w:val="20"/>
          <w:lang w:val="en-GB"/>
        </w:rPr>
        <w:t xml:space="preserve"> so it is less time consuming for DFAT and provides a better indication of progress in performance.</w:t>
      </w:r>
      <w:r w:rsidR="0041292A" w:rsidRPr="00DD4EF8">
        <w:rPr>
          <w:szCs w:val="20"/>
          <w:lang w:val="en-GB"/>
        </w:rPr>
        <w:t xml:space="preserve"> </w:t>
      </w:r>
    </w:p>
    <w:p w14:paraId="4688D683" w14:textId="77777777" w:rsidR="00F058BE" w:rsidRDefault="0041292A" w:rsidP="005E01FE">
      <w:pPr>
        <w:spacing w:before="240"/>
        <w:rPr>
          <w:szCs w:val="20"/>
          <w:lang w:val="en-GB"/>
        </w:rPr>
      </w:pPr>
      <w:r w:rsidRPr="00DD4EF8">
        <w:rPr>
          <w:szCs w:val="20"/>
          <w:lang w:val="en-GB"/>
        </w:rPr>
        <w:t xml:space="preserve">This finding is backed by </w:t>
      </w:r>
      <w:r w:rsidRPr="004D3DE9">
        <w:rPr>
          <w:szCs w:val="20"/>
          <w:lang w:val="en-GB"/>
        </w:rPr>
        <w:t>strong evidence.</w:t>
      </w:r>
      <w:r w:rsidRPr="00DD4EF8">
        <w:rPr>
          <w:szCs w:val="20"/>
          <w:lang w:val="en-GB"/>
        </w:rPr>
        <w:t xml:space="preserve"> While there </w:t>
      </w:r>
      <w:r w:rsidR="00136BC4" w:rsidRPr="00DD4EF8">
        <w:rPr>
          <w:szCs w:val="20"/>
          <w:lang w:val="en-GB"/>
        </w:rPr>
        <w:t>are</w:t>
      </w:r>
      <w:r w:rsidRPr="00DD4EF8">
        <w:rPr>
          <w:szCs w:val="20"/>
          <w:lang w:val="en-GB"/>
        </w:rPr>
        <w:t xml:space="preserve"> some dissenting views in DFAT, most of the DFAT staff </w:t>
      </w:r>
      <w:r w:rsidR="00F371E0" w:rsidRPr="00DD4EF8">
        <w:rPr>
          <w:szCs w:val="20"/>
          <w:lang w:val="en-GB"/>
        </w:rPr>
        <w:t xml:space="preserve">and SPF partners interviewed for this </w:t>
      </w:r>
      <w:r w:rsidR="00097F07" w:rsidRPr="00DD4EF8">
        <w:rPr>
          <w:szCs w:val="20"/>
          <w:lang w:val="en-GB"/>
        </w:rPr>
        <w:t>evaluation</w:t>
      </w:r>
      <w:r w:rsidR="00F371E0" w:rsidRPr="00DD4EF8">
        <w:rPr>
          <w:szCs w:val="20"/>
          <w:lang w:val="en-GB"/>
        </w:rPr>
        <w:t xml:space="preserve"> noted the potential to improve reporting mechanisms</w:t>
      </w:r>
      <w:r w:rsidR="00136BC4" w:rsidRPr="00DD4EF8">
        <w:rPr>
          <w:szCs w:val="20"/>
          <w:lang w:val="en-GB"/>
        </w:rPr>
        <w:t xml:space="preserve">, </w:t>
      </w:r>
      <w:r w:rsidR="00787888" w:rsidRPr="00DD4EF8">
        <w:rPr>
          <w:szCs w:val="20"/>
          <w:lang w:val="en-GB"/>
        </w:rPr>
        <w:t xml:space="preserve">which was confirmed through </w:t>
      </w:r>
      <w:r w:rsidR="00987BEA" w:rsidRPr="00DD4EF8">
        <w:rPr>
          <w:szCs w:val="20"/>
          <w:lang w:val="en-GB"/>
        </w:rPr>
        <w:t xml:space="preserve">the </w:t>
      </w:r>
      <w:r w:rsidR="00631562" w:rsidRPr="00DD4EF8">
        <w:rPr>
          <w:szCs w:val="20"/>
          <w:lang w:val="en-GB"/>
        </w:rPr>
        <w:t>Evaluation Team</w:t>
      </w:r>
      <w:r w:rsidR="00136BC4" w:rsidRPr="00DD4EF8">
        <w:rPr>
          <w:szCs w:val="20"/>
          <w:lang w:val="en-GB"/>
        </w:rPr>
        <w:t xml:space="preserve">’s </w:t>
      </w:r>
      <w:r w:rsidR="00987BEA" w:rsidRPr="00DD4EF8">
        <w:rPr>
          <w:szCs w:val="20"/>
          <w:lang w:val="en-GB"/>
        </w:rPr>
        <w:t>analysis</w:t>
      </w:r>
      <w:r w:rsidR="00136BC4" w:rsidRPr="00DD4EF8">
        <w:rPr>
          <w:szCs w:val="20"/>
          <w:lang w:val="en-GB"/>
        </w:rPr>
        <w:t xml:space="preserve"> of current systems</w:t>
      </w:r>
      <w:r w:rsidR="00F058BE">
        <w:rPr>
          <w:szCs w:val="20"/>
          <w:lang w:val="en-GB"/>
        </w:rPr>
        <w:t>.</w:t>
      </w:r>
    </w:p>
    <w:p w14:paraId="2EF3C348" w14:textId="6A076BEE" w:rsidR="005E7EE3" w:rsidRDefault="00F058BE" w:rsidP="005E01FE">
      <w:pPr>
        <w:spacing w:before="240"/>
        <w:rPr>
          <w:rFonts w:ascii="Arial" w:eastAsia="Arial" w:hAnsi="Arial" w:cs="Arial"/>
        </w:rPr>
      </w:pPr>
      <w:r w:rsidRPr="00892BC9">
        <w:rPr>
          <w:rFonts w:ascii="Arial" w:eastAsia="Arial" w:hAnsi="Arial" w:cs="Arial"/>
        </w:rPr>
        <w:t>Several DFAT staff reported that there continued to be major gaps in reporting sex, age, gender and disability related data for many SPF partners</w:t>
      </w:r>
      <w:r w:rsidR="00095BEA">
        <w:rPr>
          <w:rFonts w:ascii="Arial" w:eastAsia="Arial" w:hAnsi="Arial" w:cs="Arial"/>
        </w:rPr>
        <w:t>.</w:t>
      </w:r>
    </w:p>
    <w:p w14:paraId="41F54CBF" w14:textId="2AC4A47F" w:rsidR="005E7EE3" w:rsidRPr="00DD4EF8" w:rsidRDefault="005E7EE3" w:rsidP="00DD4EF8">
      <w:pPr>
        <w:spacing w:before="240"/>
        <w:rPr>
          <w:b/>
          <w:bCs/>
          <w:szCs w:val="20"/>
          <w:lang w:val="en-GB"/>
        </w:rPr>
      </w:pPr>
      <w:r w:rsidRPr="00DD4EF8">
        <w:rPr>
          <w:b/>
          <w:bCs/>
          <w:szCs w:val="20"/>
          <w:lang w:val="en-GB"/>
        </w:rPr>
        <w:t xml:space="preserve">Recommendation </w:t>
      </w:r>
      <w:r w:rsidR="00567FFE" w:rsidRPr="00DD4EF8">
        <w:rPr>
          <w:b/>
          <w:bCs/>
          <w:szCs w:val="20"/>
          <w:lang w:val="en-GB"/>
        </w:rPr>
        <w:t>3</w:t>
      </w:r>
      <w:r w:rsidR="00097F07" w:rsidRPr="00DD4EF8">
        <w:rPr>
          <w:b/>
          <w:bCs/>
          <w:szCs w:val="20"/>
          <w:lang w:val="en-GB"/>
        </w:rPr>
        <w:t xml:space="preserve">: </w:t>
      </w:r>
      <w:r w:rsidR="00987BEA" w:rsidRPr="00DD4EF8">
        <w:rPr>
          <w:b/>
          <w:bCs/>
          <w:szCs w:val="20"/>
          <w:lang w:val="en-GB"/>
        </w:rPr>
        <w:t>DFAT</w:t>
      </w:r>
      <w:r w:rsidR="00377983">
        <w:rPr>
          <w:b/>
          <w:bCs/>
          <w:szCs w:val="20"/>
          <w:lang w:val="en-GB"/>
        </w:rPr>
        <w:t xml:space="preserve"> HUS</w:t>
      </w:r>
      <w:r w:rsidR="00A04450">
        <w:rPr>
          <w:b/>
          <w:bCs/>
          <w:szCs w:val="20"/>
          <w:lang w:val="en-GB"/>
        </w:rPr>
        <w:t xml:space="preserve"> </w:t>
      </w:r>
      <w:r w:rsidR="00987BEA" w:rsidRPr="00DD4EF8">
        <w:rPr>
          <w:b/>
          <w:bCs/>
          <w:szCs w:val="20"/>
          <w:lang w:val="en-GB"/>
        </w:rPr>
        <w:t>s</w:t>
      </w:r>
      <w:r w:rsidRPr="00DD4EF8">
        <w:rPr>
          <w:b/>
          <w:bCs/>
          <w:szCs w:val="20"/>
          <w:lang w:val="en-GB"/>
        </w:rPr>
        <w:t xml:space="preserve">trengthen </w:t>
      </w:r>
      <w:r w:rsidR="00987BEA" w:rsidRPr="00DD4EF8">
        <w:rPr>
          <w:b/>
          <w:bCs/>
          <w:szCs w:val="20"/>
          <w:lang w:val="en-GB"/>
        </w:rPr>
        <w:t xml:space="preserve">SPF </w:t>
      </w:r>
      <w:r w:rsidRPr="00DD4EF8">
        <w:rPr>
          <w:b/>
          <w:bCs/>
          <w:szCs w:val="20"/>
          <w:lang w:val="en-GB"/>
        </w:rPr>
        <w:t>monitoring and evaluation systems</w:t>
      </w:r>
      <w:r w:rsidR="00097F07" w:rsidRPr="00DD4EF8">
        <w:rPr>
          <w:szCs w:val="20"/>
          <w:lang w:val="en-GB"/>
        </w:rPr>
        <w:t>, namely:</w:t>
      </w:r>
    </w:p>
    <w:p w14:paraId="2B2E8C38" w14:textId="7250CADC" w:rsidR="00DC0E7A" w:rsidRPr="00DD4EF8" w:rsidRDefault="00DC0E7A" w:rsidP="00FD6AAD">
      <w:pPr>
        <w:pStyle w:val="ListParagraph"/>
        <w:numPr>
          <w:ilvl w:val="0"/>
          <w:numId w:val="61"/>
        </w:numPr>
        <w:spacing w:before="240"/>
        <w:contextualSpacing w:val="0"/>
        <w:rPr>
          <w:szCs w:val="20"/>
          <w:lang w:val="en-GB"/>
        </w:rPr>
      </w:pPr>
      <w:r w:rsidRPr="00DD4EF8">
        <w:rPr>
          <w:szCs w:val="20"/>
          <w:lang w:val="en-GB"/>
        </w:rPr>
        <w:t xml:space="preserve">Determine how </w:t>
      </w:r>
      <w:r w:rsidR="006C4534" w:rsidRPr="00DD4EF8">
        <w:rPr>
          <w:szCs w:val="20"/>
          <w:lang w:val="en-GB"/>
        </w:rPr>
        <w:t xml:space="preserve">the share of </w:t>
      </w:r>
      <w:r w:rsidRPr="00DD4EF8">
        <w:rPr>
          <w:szCs w:val="20"/>
          <w:lang w:val="en-GB"/>
        </w:rPr>
        <w:t>reporting responsibilities</w:t>
      </w:r>
      <w:r w:rsidR="006C4534" w:rsidRPr="00DD4EF8">
        <w:rPr>
          <w:szCs w:val="20"/>
          <w:lang w:val="en-GB"/>
        </w:rPr>
        <w:t xml:space="preserve"> between DFAT and the partner</w:t>
      </w:r>
      <w:r w:rsidRPr="00DD4EF8">
        <w:rPr>
          <w:szCs w:val="20"/>
          <w:lang w:val="en-GB"/>
        </w:rPr>
        <w:t xml:space="preserve"> will support achievement </w:t>
      </w:r>
      <w:r w:rsidR="006C4534" w:rsidRPr="00DD4EF8">
        <w:rPr>
          <w:szCs w:val="20"/>
          <w:lang w:val="en-GB"/>
        </w:rPr>
        <w:t>of the performance improvements</w:t>
      </w:r>
      <w:r w:rsidR="00DB0A9B" w:rsidRPr="00DD4EF8">
        <w:rPr>
          <w:szCs w:val="20"/>
          <w:lang w:val="en-GB"/>
        </w:rPr>
        <w:t xml:space="preserve"> (see Recommendation 2)</w:t>
      </w:r>
      <w:r w:rsidR="00627A06" w:rsidRPr="00DD4EF8">
        <w:rPr>
          <w:szCs w:val="20"/>
          <w:lang w:val="en-GB"/>
        </w:rPr>
        <w:t xml:space="preserve"> and Good Humanitarian Donorship objectives. </w:t>
      </w:r>
      <w:r w:rsidR="00DB0A9B" w:rsidRPr="00DD4EF8">
        <w:rPr>
          <w:szCs w:val="20"/>
          <w:lang w:val="en-GB"/>
        </w:rPr>
        <w:t xml:space="preserve">Consider </w:t>
      </w:r>
      <w:r w:rsidR="00627A06" w:rsidRPr="00DD4EF8">
        <w:rPr>
          <w:szCs w:val="20"/>
          <w:lang w:val="en-GB"/>
        </w:rPr>
        <w:t>the different approaches that have been negotiated</w:t>
      </w:r>
      <w:r w:rsidR="00DB0A9B" w:rsidRPr="00DD4EF8">
        <w:rPr>
          <w:szCs w:val="20"/>
          <w:lang w:val="en-GB"/>
        </w:rPr>
        <w:t xml:space="preserve"> through EOLs, e.g. </w:t>
      </w:r>
      <w:r w:rsidR="00F237E4" w:rsidRPr="00DD4EF8">
        <w:rPr>
          <w:szCs w:val="20"/>
          <w:lang w:val="en-GB"/>
        </w:rPr>
        <w:t>partner contribution to the P</w:t>
      </w:r>
      <w:r w:rsidR="006D6383" w:rsidRPr="00DD4EF8">
        <w:rPr>
          <w:szCs w:val="20"/>
          <w:lang w:val="en-GB"/>
        </w:rPr>
        <w:t>rotracted Crises Monitoring, Evaluation, and Learning Framework</w:t>
      </w:r>
      <w:r w:rsidR="00F237E4" w:rsidRPr="00DD4EF8">
        <w:rPr>
          <w:szCs w:val="20"/>
          <w:lang w:val="en-GB"/>
        </w:rPr>
        <w:t xml:space="preserve">. </w:t>
      </w:r>
    </w:p>
    <w:p w14:paraId="3A402E0F" w14:textId="3B771FC9" w:rsidR="009277FB" w:rsidRPr="00DD4EF8" w:rsidRDefault="00B74420" w:rsidP="22422B83">
      <w:pPr>
        <w:pStyle w:val="ListParagraph"/>
        <w:numPr>
          <w:ilvl w:val="0"/>
          <w:numId w:val="61"/>
        </w:numPr>
        <w:spacing w:before="240"/>
      </w:pPr>
      <w:r w:rsidRPr="22422B83">
        <w:lastRenderedPageBreak/>
        <w:t xml:space="preserve">Develop a monitoring and evaluation framework and plan that </w:t>
      </w:r>
      <w:r w:rsidR="003F0D20" w:rsidRPr="22422B83">
        <w:t xml:space="preserve">enables comparison of performance across partners and </w:t>
      </w:r>
      <w:proofErr w:type="gramStart"/>
      <w:r w:rsidR="003F0D20" w:rsidRPr="22422B83">
        <w:t>years</w:t>
      </w:r>
      <w:r w:rsidR="006D6383" w:rsidRPr="22422B83">
        <w:t>,</w:t>
      </w:r>
      <w:r w:rsidR="003F0D20" w:rsidRPr="22422B83">
        <w:t xml:space="preserve"> and</w:t>
      </w:r>
      <w:proofErr w:type="gramEnd"/>
      <w:r w:rsidR="003F0D20" w:rsidRPr="22422B83">
        <w:t xml:space="preserve"> can feed </w:t>
      </w:r>
      <w:r w:rsidR="006F30F6" w:rsidRPr="22422B83">
        <w:t xml:space="preserve">directly </w:t>
      </w:r>
      <w:r w:rsidR="00933690" w:rsidRPr="22422B83">
        <w:t>into</w:t>
      </w:r>
      <w:r w:rsidR="003F0D20" w:rsidRPr="22422B83">
        <w:t xml:space="preserve"> HPD</w:t>
      </w:r>
      <w:r w:rsidR="006D6383" w:rsidRPr="22422B83">
        <w:t>-managed performance</w:t>
      </w:r>
      <w:r w:rsidR="003F0D20" w:rsidRPr="22422B83">
        <w:t xml:space="preserve"> dashboards.</w:t>
      </w:r>
      <w:r w:rsidR="00DB0A9B" w:rsidRPr="22422B83">
        <w:t xml:space="preserve"> </w:t>
      </w:r>
      <w:r w:rsidR="008716F7" w:rsidRPr="22422B83">
        <w:t>Ideally, this will align with DFAT’s other humanitarian reporting</w:t>
      </w:r>
      <w:r w:rsidR="008C71E5" w:rsidRPr="22422B83">
        <w:t xml:space="preserve"> and inform </w:t>
      </w:r>
      <w:r w:rsidR="00E16034" w:rsidRPr="22422B83">
        <w:t xml:space="preserve">understanding of </w:t>
      </w:r>
      <w:r w:rsidR="008C71E5" w:rsidRPr="22422B83">
        <w:t>contribution</w:t>
      </w:r>
      <w:r w:rsidR="00E16034" w:rsidRPr="22422B83">
        <w:t>s</w:t>
      </w:r>
      <w:r w:rsidR="008C71E5" w:rsidRPr="22422B83">
        <w:t xml:space="preserve"> to the</w:t>
      </w:r>
      <w:r w:rsidR="0095751D" w:rsidRPr="22422B83">
        <w:t xml:space="preserve"> Australia’s </w:t>
      </w:r>
      <w:r w:rsidR="008C71E5" w:rsidRPr="22422B83">
        <w:t>Humanitarian Policy</w:t>
      </w:r>
      <w:r w:rsidR="008716F7" w:rsidRPr="22422B83">
        <w:t>.</w:t>
      </w:r>
      <w:r w:rsidR="006D6383" w:rsidRPr="22422B83">
        <w:t xml:space="preserve"> For</w:t>
      </w:r>
      <w:r w:rsidR="001C1439" w:rsidRPr="22422B83">
        <w:t xml:space="preserve"> the years where MPAs are not mandatory, </w:t>
      </w:r>
      <w:r w:rsidR="00626166" w:rsidRPr="22422B83">
        <w:t xml:space="preserve">it </w:t>
      </w:r>
      <w:r w:rsidR="0021264C" w:rsidRPr="22422B83">
        <w:t>would</w:t>
      </w:r>
      <w:r w:rsidR="00626166" w:rsidRPr="22422B83">
        <w:t xml:space="preserve"> support DFAT’s understanding of performance to produce an </w:t>
      </w:r>
      <w:r w:rsidR="00CD0DEA" w:rsidRPr="22422B83">
        <w:t>informal MPA</w:t>
      </w:r>
      <w:r w:rsidR="00626166" w:rsidRPr="22422B83">
        <w:t xml:space="preserve"> for each partner</w:t>
      </w:r>
      <w:r w:rsidR="00CD0DEA" w:rsidRPr="22422B83">
        <w:t xml:space="preserve"> using the same template and with </w:t>
      </w:r>
      <w:r w:rsidR="00626166" w:rsidRPr="22422B83">
        <w:t>a smaller group engaging in peer review</w:t>
      </w:r>
      <w:r w:rsidR="0021264C" w:rsidRPr="22422B83">
        <w:t>.</w:t>
      </w:r>
      <w:r w:rsidR="004A5D2F" w:rsidRPr="22422B83">
        <w:t xml:space="preserve"> </w:t>
      </w:r>
      <w:r w:rsidR="001C1439" w:rsidRPr="22422B83">
        <w:t xml:space="preserve"> </w:t>
      </w:r>
    </w:p>
    <w:p w14:paraId="168B9B95" w14:textId="1F6B0EEA" w:rsidR="00E16034" w:rsidRPr="00DD4EF8" w:rsidRDefault="003370E3" w:rsidP="00662381">
      <w:pPr>
        <w:pStyle w:val="ListParagraph"/>
        <w:numPr>
          <w:ilvl w:val="0"/>
          <w:numId w:val="61"/>
        </w:numPr>
        <w:spacing w:before="240"/>
        <w:contextualSpacing w:val="0"/>
        <w:rPr>
          <w:szCs w:val="20"/>
          <w:lang w:val="en-GB"/>
        </w:rPr>
      </w:pPr>
      <w:r>
        <w:rPr>
          <w:szCs w:val="20"/>
          <w:lang w:val="en-GB"/>
        </w:rPr>
        <w:t>Prioritise</w:t>
      </w:r>
      <w:r w:rsidR="00E16034" w:rsidRPr="00DD4EF8">
        <w:rPr>
          <w:szCs w:val="20"/>
          <w:lang w:val="en-GB"/>
        </w:rPr>
        <w:t xml:space="preserve"> a small number of indicators that DFAT </w:t>
      </w:r>
      <w:r w:rsidR="00C43FC6">
        <w:rPr>
          <w:szCs w:val="20"/>
          <w:lang w:val="en-GB"/>
        </w:rPr>
        <w:t>requires</w:t>
      </w:r>
      <w:r w:rsidR="00DE6A9C">
        <w:rPr>
          <w:szCs w:val="20"/>
          <w:lang w:val="en-GB"/>
        </w:rPr>
        <w:t xml:space="preserve"> and that will be used </w:t>
      </w:r>
      <w:r w:rsidR="00C43FC6">
        <w:rPr>
          <w:szCs w:val="20"/>
          <w:lang w:val="en-GB"/>
        </w:rPr>
        <w:t>for partnership management.</w:t>
      </w:r>
    </w:p>
    <w:p w14:paraId="78F01714" w14:textId="291F6EC1" w:rsidR="00037B6B" w:rsidRPr="00DD4EF8" w:rsidRDefault="00037B6B" w:rsidP="00662381">
      <w:pPr>
        <w:pStyle w:val="ListParagraph"/>
        <w:numPr>
          <w:ilvl w:val="0"/>
          <w:numId w:val="61"/>
        </w:numPr>
        <w:spacing w:before="240"/>
        <w:contextualSpacing w:val="0"/>
        <w:rPr>
          <w:szCs w:val="20"/>
          <w:lang w:val="en-GB"/>
        </w:rPr>
      </w:pPr>
      <w:r w:rsidRPr="00DD4EF8">
        <w:rPr>
          <w:szCs w:val="20"/>
          <w:lang w:val="en-GB"/>
        </w:rPr>
        <w:t>Ensure</w:t>
      </w:r>
      <w:r w:rsidR="008C04D9" w:rsidRPr="00DD4EF8">
        <w:rPr>
          <w:szCs w:val="20"/>
          <w:lang w:val="en-GB"/>
        </w:rPr>
        <w:t xml:space="preserve"> </w:t>
      </w:r>
      <w:r w:rsidR="003E26AD">
        <w:rPr>
          <w:szCs w:val="20"/>
          <w:lang w:val="en-GB"/>
        </w:rPr>
        <w:t xml:space="preserve">all </w:t>
      </w:r>
      <w:r w:rsidR="008C04D9" w:rsidRPr="00DD4EF8">
        <w:rPr>
          <w:szCs w:val="20"/>
          <w:lang w:val="en-GB"/>
        </w:rPr>
        <w:t xml:space="preserve">DFAT officers </w:t>
      </w:r>
      <w:r w:rsidR="003E26AD">
        <w:rPr>
          <w:szCs w:val="20"/>
          <w:lang w:val="en-GB"/>
        </w:rPr>
        <w:t xml:space="preserve">engaged in </w:t>
      </w:r>
      <w:r w:rsidR="008C04D9" w:rsidRPr="00DD4EF8">
        <w:rPr>
          <w:szCs w:val="20"/>
          <w:lang w:val="en-GB"/>
        </w:rPr>
        <w:t xml:space="preserve">managing </w:t>
      </w:r>
      <w:r w:rsidR="003E26AD">
        <w:rPr>
          <w:szCs w:val="20"/>
          <w:lang w:val="en-GB"/>
        </w:rPr>
        <w:t xml:space="preserve">these partnerships work together to progress agreed policy priorities </w:t>
      </w:r>
      <w:r w:rsidR="008C04D9" w:rsidRPr="00DD4EF8">
        <w:rPr>
          <w:szCs w:val="20"/>
          <w:lang w:val="en-GB"/>
        </w:rPr>
        <w:t>and the indicators that are most important</w:t>
      </w:r>
      <w:r w:rsidR="003370E3">
        <w:rPr>
          <w:szCs w:val="20"/>
          <w:lang w:val="en-GB"/>
        </w:rPr>
        <w:t xml:space="preserve"> to</w:t>
      </w:r>
      <w:r w:rsidR="008C04D9" w:rsidRPr="00DD4EF8">
        <w:rPr>
          <w:szCs w:val="20"/>
          <w:lang w:val="en-GB"/>
        </w:rPr>
        <w:t xml:space="preserve"> DFAT</w:t>
      </w:r>
      <w:r w:rsidR="000133E4">
        <w:rPr>
          <w:szCs w:val="20"/>
          <w:lang w:val="en-GB"/>
        </w:rPr>
        <w:t xml:space="preserve"> (supported through partnership engagement plans)</w:t>
      </w:r>
      <w:r w:rsidR="008C04D9" w:rsidRPr="00DD4EF8">
        <w:rPr>
          <w:szCs w:val="20"/>
          <w:lang w:val="en-GB"/>
        </w:rPr>
        <w:t xml:space="preserve">. </w:t>
      </w:r>
    </w:p>
    <w:p w14:paraId="55E7DCD2" w14:textId="32A9C110" w:rsidR="00CE2955" w:rsidRPr="00DD4EF8" w:rsidRDefault="00085F87" w:rsidP="00662381">
      <w:pPr>
        <w:pStyle w:val="ListParagraph"/>
        <w:numPr>
          <w:ilvl w:val="0"/>
          <w:numId w:val="61"/>
        </w:numPr>
        <w:spacing w:before="240"/>
        <w:contextualSpacing w:val="0"/>
        <w:rPr>
          <w:szCs w:val="20"/>
          <w:lang w:val="en-GB"/>
        </w:rPr>
      </w:pPr>
      <w:r>
        <w:rPr>
          <w:szCs w:val="20"/>
          <w:lang w:val="en-GB"/>
        </w:rPr>
        <w:t xml:space="preserve">Broaden the </w:t>
      </w:r>
      <w:r w:rsidR="002E1DA9">
        <w:rPr>
          <w:szCs w:val="20"/>
          <w:lang w:val="en-GB"/>
        </w:rPr>
        <w:t xml:space="preserve">next </w:t>
      </w:r>
      <w:r>
        <w:rPr>
          <w:szCs w:val="20"/>
          <w:lang w:val="en-GB"/>
        </w:rPr>
        <w:t>evaluation to look mor</w:t>
      </w:r>
      <w:r w:rsidR="003370E3">
        <w:rPr>
          <w:szCs w:val="20"/>
          <w:lang w:val="en-GB"/>
        </w:rPr>
        <w:t>e</w:t>
      </w:r>
      <w:r>
        <w:rPr>
          <w:szCs w:val="20"/>
          <w:lang w:val="en-GB"/>
        </w:rPr>
        <w:t xml:space="preserve"> holistically at the relevance, effectiveness and efficiency </w:t>
      </w:r>
      <w:r w:rsidR="00825F3F">
        <w:rPr>
          <w:szCs w:val="20"/>
          <w:lang w:val="en-GB"/>
        </w:rPr>
        <w:t xml:space="preserve">of Australia’s engagement with humanitarian partners funded by SPFs. </w:t>
      </w:r>
      <w:r w:rsidR="00C008C1" w:rsidRPr="00DD4EF8">
        <w:rPr>
          <w:szCs w:val="20"/>
          <w:lang w:val="en-GB"/>
        </w:rPr>
        <w:t>This review should consider</w:t>
      </w:r>
      <w:r w:rsidR="00F32D0A" w:rsidRPr="00DD4EF8">
        <w:rPr>
          <w:szCs w:val="20"/>
          <w:lang w:val="en-GB"/>
        </w:rPr>
        <w:t xml:space="preserve"> all DFAT levers for supporting partner performance</w:t>
      </w:r>
      <w:r w:rsidR="0055376F">
        <w:rPr>
          <w:szCs w:val="20"/>
          <w:lang w:val="en-GB"/>
        </w:rPr>
        <w:t>. Emphasise</w:t>
      </w:r>
      <w:r w:rsidR="00544A20" w:rsidRPr="00DD4EF8">
        <w:rPr>
          <w:szCs w:val="20"/>
          <w:lang w:val="en-GB"/>
        </w:rPr>
        <w:t xml:space="preserve"> </w:t>
      </w:r>
      <w:r w:rsidR="00EC2E6E" w:rsidRPr="00DD4EF8">
        <w:rPr>
          <w:szCs w:val="20"/>
          <w:lang w:val="en-GB"/>
        </w:rPr>
        <w:t xml:space="preserve">forward-looking questions </w:t>
      </w:r>
      <w:r w:rsidR="004F03B9">
        <w:rPr>
          <w:szCs w:val="20"/>
          <w:lang w:val="en-GB"/>
        </w:rPr>
        <w:t xml:space="preserve">and processes </w:t>
      </w:r>
      <w:r w:rsidR="00544A20" w:rsidRPr="00DD4EF8">
        <w:rPr>
          <w:szCs w:val="20"/>
          <w:lang w:val="en-GB"/>
        </w:rPr>
        <w:t>to ensure</w:t>
      </w:r>
      <w:r w:rsidR="006616FC" w:rsidRPr="00DD4EF8">
        <w:rPr>
          <w:szCs w:val="20"/>
          <w:lang w:val="en-GB"/>
        </w:rPr>
        <w:t xml:space="preserve"> </w:t>
      </w:r>
      <w:r w:rsidR="006F7DC8" w:rsidRPr="00DD4EF8">
        <w:rPr>
          <w:szCs w:val="20"/>
          <w:lang w:val="en-GB"/>
        </w:rPr>
        <w:t xml:space="preserve">it captures the evidence to make informed recommendations on important issues being considered by </w:t>
      </w:r>
      <w:proofErr w:type="gramStart"/>
      <w:r w:rsidR="006F7DC8" w:rsidRPr="00DD4EF8">
        <w:rPr>
          <w:szCs w:val="20"/>
          <w:lang w:val="en-GB"/>
        </w:rPr>
        <w:t>DFAT</w:t>
      </w:r>
      <w:r w:rsidR="00733478">
        <w:rPr>
          <w:szCs w:val="20"/>
          <w:lang w:val="en-GB"/>
        </w:rPr>
        <w:t>, and</w:t>
      </w:r>
      <w:proofErr w:type="gramEnd"/>
      <w:r w:rsidR="00733478">
        <w:rPr>
          <w:szCs w:val="20"/>
          <w:lang w:val="en-GB"/>
        </w:rPr>
        <w:t xml:space="preserve"> directly inform new arrangements</w:t>
      </w:r>
      <w:r w:rsidR="006F7DC8" w:rsidRPr="00DD4EF8">
        <w:rPr>
          <w:szCs w:val="20"/>
          <w:lang w:val="en-GB"/>
        </w:rPr>
        <w:t>.</w:t>
      </w:r>
      <w:r w:rsidR="00825F3F">
        <w:rPr>
          <w:szCs w:val="20"/>
          <w:lang w:val="en-GB"/>
        </w:rPr>
        <w:t xml:space="preserve"> This</w:t>
      </w:r>
      <w:r w:rsidR="00825F3F" w:rsidRPr="00DD4EF8">
        <w:rPr>
          <w:szCs w:val="20"/>
          <w:lang w:val="en-GB"/>
        </w:rPr>
        <w:t xml:space="preserve"> evaluation or mid-term review of DFAT’s engagement with these international organisations </w:t>
      </w:r>
      <w:r w:rsidR="00825F3F">
        <w:rPr>
          <w:szCs w:val="20"/>
          <w:lang w:val="en-GB"/>
        </w:rPr>
        <w:t xml:space="preserve">should be complete </w:t>
      </w:r>
      <w:r w:rsidR="00825F3F" w:rsidRPr="00DD4EF8">
        <w:rPr>
          <w:szCs w:val="20"/>
          <w:lang w:val="en-GB"/>
        </w:rPr>
        <w:t>at least two years before arrangements expire</w:t>
      </w:r>
      <w:r w:rsidR="00825F3F">
        <w:rPr>
          <w:szCs w:val="20"/>
          <w:lang w:val="en-GB"/>
        </w:rPr>
        <w:t xml:space="preserve"> to enable sufficient time for negotiating future arrangements. </w:t>
      </w:r>
    </w:p>
    <w:p w14:paraId="47AE6A2E" w14:textId="78EFCF07" w:rsidR="00F56EAF" w:rsidRDefault="002B640E" w:rsidP="007C1530">
      <w:pPr>
        <w:pStyle w:val="ListParagraph"/>
        <w:numPr>
          <w:ilvl w:val="0"/>
          <w:numId w:val="61"/>
        </w:numPr>
        <w:spacing w:before="240"/>
        <w:contextualSpacing w:val="0"/>
        <w:rPr>
          <w:szCs w:val="20"/>
          <w:lang w:val="en-GB"/>
        </w:rPr>
      </w:pPr>
      <w:r w:rsidRPr="00DD4EF8">
        <w:rPr>
          <w:szCs w:val="20"/>
          <w:lang w:val="en-GB"/>
        </w:rPr>
        <w:t>DFAT invest in establishing an evidence base for the structure of its funding (core</w:t>
      </w:r>
      <w:r w:rsidR="00B8454A" w:rsidRPr="00DD4EF8">
        <w:rPr>
          <w:szCs w:val="20"/>
          <w:lang w:val="en-GB"/>
        </w:rPr>
        <w:t xml:space="preserve"> and multi-year</w:t>
      </w:r>
      <w:r w:rsidRPr="00DD4EF8">
        <w:rPr>
          <w:szCs w:val="20"/>
          <w:lang w:val="en-GB"/>
        </w:rPr>
        <w:t xml:space="preserve"> v earmarked</w:t>
      </w:r>
      <w:r w:rsidR="00B8454A" w:rsidRPr="00DD4EF8">
        <w:rPr>
          <w:szCs w:val="20"/>
          <w:lang w:val="en-GB"/>
        </w:rPr>
        <w:t xml:space="preserve"> and single year</w:t>
      </w:r>
      <w:r w:rsidRPr="00DD4EF8">
        <w:rPr>
          <w:szCs w:val="20"/>
          <w:lang w:val="en-GB"/>
        </w:rPr>
        <w:t xml:space="preserve">) </w:t>
      </w:r>
      <w:r w:rsidR="00671891" w:rsidRPr="00DD4EF8">
        <w:rPr>
          <w:szCs w:val="20"/>
          <w:lang w:val="en-GB"/>
        </w:rPr>
        <w:t>to inform decisions going forward. This may form</w:t>
      </w:r>
      <w:r w:rsidRPr="00DD4EF8">
        <w:rPr>
          <w:szCs w:val="20"/>
          <w:lang w:val="en-GB"/>
        </w:rPr>
        <w:t xml:space="preserve"> part of t</w:t>
      </w:r>
      <w:r w:rsidR="00671891" w:rsidRPr="00DD4EF8">
        <w:rPr>
          <w:szCs w:val="20"/>
          <w:lang w:val="en-GB"/>
        </w:rPr>
        <w:t>he</w:t>
      </w:r>
      <w:r w:rsidRPr="00DD4EF8">
        <w:rPr>
          <w:szCs w:val="20"/>
          <w:lang w:val="en-GB"/>
        </w:rPr>
        <w:t xml:space="preserve"> mid-term review and evaluation</w:t>
      </w:r>
      <w:r w:rsidR="00671891" w:rsidRPr="00DD4EF8">
        <w:rPr>
          <w:szCs w:val="20"/>
          <w:lang w:val="en-GB"/>
        </w:rPr>
        <w:t>, or</w:t>
      </w:r>
      <w:r w:rsidR="00EE6F18" w:rsidRPr="00DD4EF8">
        <w:rPr>
          <w:szCs w:val="20"/>
          <w:lang w:val="en-GB"/>
        </w:rPr>
        <w:t xml:space="preserve"> </w:t>
      </w:r>
      <w:r w:rsidR="00F64E6E" w:rsidRPr="00DD4EF8">
        <w:rPr>
          <w:szCs w:val="20"/>
          <w:lang w:val="en-GB"/>
        </w:rPr>
        <w:t xml:space="preserve">it could be </w:t>
      </w:r>
      <w:r w:rsidR="00EE6F18" w:rsidRPr="00DD4EF8">
        <w:rPr>
          <w:szCs w:val="20"/>
          <w:lang w:val="en-GB"/>
        </w:rPr>
        <w:t xml:space="preserve">undertaken as </w:t>
      </w:r>
      <w:r w:rsidR="00671891" w:rsidRPr="00DD4EF8">
        <w:rPr>
          <w:szCs w:val="20"/>
          <w:lang w:val="en-GB"/>
        </w:rPr>
        <w:t xml:space="preserve">stand-alone </w:t>
      </w:r>
      <w:r w:rsidR="008C61A8" w:rsidRPr="00DD4EF8">
        <w:rPr>
          <w:szCs w:val="20"/>
          <w:lang w:val="en-GB"/>
        </w:rPr>
        <w:t>research</w:t>
      </w:r>
      <w:r w:rsidRPr="00DD4EF8">
        <w:rPr>
          <w:szCs w:val="20"/>
          <w:lang w:val="en-GB"/>
        </w:rPr>
        <w:t>.</w:t>
      </w:r>
    </w:p>
    <w:p w14:paraId="31F56985" w14:textId="32B914F3" w:rsidR="006A7B43" w:rsidRPr="006A7B43" w:rsidRDefault="006A7B43" w:rsidP="006A7B43">
      <w:pPr>
        <w:spacing w:before="240"/>
        <w:rPr>
          <w:szCs w:val="20"/>
          <w:lang w:val="en-GB"/>
        </w:rPr>
      </w:pPr>
      <w:r>
        <w:rPr>
          <w:szCs w:val="20"/>
          <w:lang w:val="en-GB"/>
        </w:rPr>
        <w:t xml:space="preserve">These findings may be transferrable to other multilateral partnerships, if their SPFs are structured similarly. </w:t>
      </w:r>
    </w:p>
    <w:p w14:paraId="2258685B" w14:textId="63348F1F" w:rsidR="005C4030" w:rsidRDefault="005C4030" w:rsidP="005C4030">
      <w:pPr>
        <w:pStyle w:val="Style1"/>
      </w:pPr>
      <w:r>
        <w:lastRenderedPageBreak/>
        <w:t>annex 1 evaluation matrix</w:t>
      </w:r>
    </w:p>
    <w:p w14:paraId="77E2D8CB" w14:textId="77777777" w:rsidR="00214A27" w:rsidRPr="00713AA2" w:rsidRDefault="00214A27" w:rsidP="00214A27">
      <w:pPr>
        <w:spacing w:before="240"/>
        <w:rPr>
          <w:rFonts w:ascii="Arial" w:eastAsia="Arial" w:hAnsi="Arial" w:cs="Arial"/>
          <w:b/>
          <w:bCs/>
        </w:rPr>
      </w:pPr>
      <w:r w:rsidRPr="1C3620C9">
        <w:rPr>
          <w:rFonts w:ascii="Arial" w:eastAsia="Arial" w:hAnsi="Arial" w:cs="Arial"/>
          <w:b/>
          <w:bCs/>
        </w:rPr>
        <w:t>KEQ 1: To what extent are the SPFs aligned with current Australian international development and humanitarian programming policies and priorities? (RELEVANCE)</w:t>
      </w:r>
    </w:p>
    <w:tbl>
      <w:tblPr>
        <w:tblStyle w:val="TableGrid"/>
        <w:tblW w:w="0" w:type="auto"/>
        <w:tblLayout w:type="fixed"/>
        <w:tblLook w:val="04A0" w:firstRow="1" w:lastRow="0" w:firstColumn="1" w:lastColumn="0" w:noHBand="0" w:noVBand="1"/>
      </w:tblPr>
      <w:tblGrid>
        <w:gridCol w:w="3392"/>
        <w:gridCol w:w="2420"/>
        <w:gridCol w:w="2126"/>
        <w:gridCol w:w="1560"/>
      </w:tblGrid>
      <w:tr w:rsidR="00214A27" w14:paraId="3C3C3383" w14:textId="77777777" w:rsidTr="004C281F">
        <w:trPr>
          <w:trHeight w:val="300"/>
          <w:tblHeader/>
        </w:trPr>
        <w:tc>
          <w:tcPr>
            <w:tcW w:w="3392" w:type="dxa"/>
            <w:tcBorders>
              <w:top w:val="single" w:sz="4" w:space="0" w:color="auto"/>
              <w:left w:val="single" w:sz="8" w:space="0" w:color="auto"/>
              <w:bottom w:val="single" w:sz="12" w:space="0" w:color="2294CD"/>
              <w:right w:val="single" w:sz="8" w:space="0" w:color="auto"/>
            </w:tcBorders>
            <w:shd w:val="clear" w:color="auto" w:fill="DFF5F8" w:themeFill="accent5" w:themeFillTint="33"/>
            <w:tcMar>
              <w:top w:w="85" w:type="dxa"/>
              <w:left w:w="85" w:type="dxa"/>
              <w:bottom w:w="85" w:type="dxa"/>
              <w:right w:w="85" w:type="dxa"/>
            </w:tcMar>
          </w:tcPr>
          <w:p w14:paraId="54A3D7CF" w14:textId="77777777" w:rsidR="00214A27" w:rsidRDefault="00214A27">
            <w:r w:rsidRPr="0EDF767E">
              <w:rPr>
                <w:rFonts w:ascii="Arial" w:eastAsia="Arial" w:hAnsi="Arial" w:cs="Arial"/>
                <w:b/>
                <w:bCs/>
              </w:rPr>
              <w:t>Sub-Question</w:t>
            </w:r>
          </w:p>
        </w:tc>
        <w:tc>
          <w:tcPr>
            <w:tcW w:w="2420" w:type="dxa"/>
            <w:tcBorders>
              <w:top w:val="single" w:sz="4" w:space="0" w:color="auto"/>
              <w:left w:val="single" w:sz="8" w:space="0" w:color="auto"/>
              <w:bottom w:val="single" w:sz="12" w:space="0" w:color="2294CD"/>
              <w:right w:val="single" w:sz="8" w:space="0" w:color="auto"/>
            </w:tcBorders>
            <w:shd w:val="clear" w:color="auto" w:fill="DFF5F8" w:themeFill="accent5" w:themeFillTint="33"/>
            <w:tcMar>
              <w:top w:w="85" w:type="dxa"/>
              <w:left w:w="85" w:type="dxa"/>
              <w:bottom w:w="85" w:type="dxa"/>
              <w:right w:w="85" w:type="dxa"/>
            </w:tcMar>
          </w:tcPr>
          <w:p w14:paraId="2C9B07FA" w14:textId="77777777" w:rsidR="00214A27" w:rsidRDefault="00214A27">
            <w:r w:rsidRPr="0EDF767E">
              <w:rPr>
                <w:rFonts w:ascii="Arial" w:eastAsia="Arial" w:hAnsi="Arial" w:cs="Arial"/>
                <w:b/>
                <w:bCs/>
              </w:rPr>
              <w:t xml:space="preserve">Data Source </w:t>
            </w:r>
          </w:p>
        </w:tc>
        <w:tc>
          <w:tcPr>
            <w:tcW w:w="2126" w:type="dxa"/>
            <w:tcBorders>
              <w:top w:val="single" w:sz="4" w:space="0" w:color="auto"/>
              <w:left w:val="single" w:sz="8" w:space="0" w:color="auto"/>
              <w:bottom w:val="single" w:sz="12" w:space="0" w:color="2294CD"/>
              <w:right w:val="single" w:sz="8" w:space="0" w:color="auto"/>
            </w:tcBorders>
            <w:shd w:val="clear" w:color="auto" w:fill="DFF5F8" w:themeFill="accent5" w:themeFillTint="33"/>
            <w:tcMar>
              <w:top w:w="85" w:type="dxa"/>
              <w:left w:w="85" w:type="dxa"/>
              <w:bottom w:w="85" w:type="dxa"/>
              <w:right w:w="85" w:type="dxa"/>
            </w:tcMar>
          </w:tcPr>
          <w:p w14:paraId="528DCB40" w14:textId="77777777" w:rsidR="00214A27" w:rsidRDefault="00214A27">
            <w:r w:rsidRPr="0EDF767E">
              <w:rPr>
                <w:rFonts w:ascii="Arial" w:eastAsia="Arial" w:hAnsi="Arial" w:cs="Arial"/>
                <w:b/>
                <w:bCs/>
              </w:rPr>
              <w:t xml:space="preserve">Method </w:t>
            </w:r>
          </w:p>
        </w:tc>
        <w:tc>
          <w:tcPr>
            <w:tcW w:w="1560" w:type="dxa"/>
            <w:tcBorders>
              <w:top w:val="single" w:sz="4" w:space="0" w:color="auto"/>
              <w:left w:val="single" w:sz="8" w:space="0" w:color="auto"/>
              <w:bottom w:val="single" w:sz="12" w:space="0" w:color="2294CD"/>
              <w:right w:val="single" w:sz="8" w:space="0" w:color="auto"/>
            </w:tcBorders>
            <w:shd w:val="clear" w:color="auto" w:fill="DFF5F8" w:themeFill="accent5" w:themeFillTint="33"/>
            <w:tcMar>
              <w:top w:w="85" w:type="dxa"/>
              <w:left w:w="85" w:type="dxa"/>
              <w:bottom w:w="85" w:type="dxa"/>
              <w:right w:w="85" w:type="dxa"/>
            </w:tcMar>
          </w:tcPr>
          <w:p w14:paraId="24BB3064" w14:textId="77777777" w:rsidR="00214A27" w:rsidRDefault="00214A27">
            <w:r w:rsidRPr="0EDF767E">
              <w:rPr>
                <w:rFonts w:ascii="Arial" w:eastAsia="Arial" w:hAnsi="Arial" w:cs="Arial"/>
                <w:b/>
                <w:bCs/>
              </w:rPr>
              <w:t xml:space="preserve">Tools </w:t>
            </w:r>
          </w:p>
        </w:tc>
      </w:tr>
      <w:tr w:rsidR="00214A27" w14:paraId="010513B4" w14:textId="77777777" w:rsidTr="004C281F">
        <w:trPr>
          <w:trHeight w:val="300"/>
          <w:tblHeader/>
        </w:trPr>
        <w:tc>
          <w:tcPr>
            <w:tcW w:w="3392" w:type="dxa"/>
            <w:tcBorders>
              <w:top w:val="single" w:sz="12" w:space="0" w:color="2294CD"/>
              <w:left w:val="single" w:sz="8" w:space="0" w:color="auto"/>
              <w:bottom w:val="single" w:sz="12" w:space="0" w:color="2294CD"/>
              <w:right w:val="single" w:sz="8" w:space="0" w:color="auto"/>
            </w:tcBorders>
            <w:shd w:val="clear" w:color="auto" w:fill="F2F2F2" w:themeFill="background1" w:themeFillShade="F2"/>
            <w:tcMar>
              <w:top w:w="85" w:type="dxa"/>
              <w:left w:w="85" w:type="dxa"/>
              <w:bottom w:w="85" w:type="dxa"/>
              <w:right w:w="85" w:type="dxa"/>
            </w:tcMar>
          </w:tcPr>
          <w:p w14:paraId="6C90F17E" w14:textId="77777777" w:rsidR="00214A27" w:rsidRPr="00964436" w:rsidRDefault="00214A27" w:rsidP="00214A27">
            <w:pPr>
              <w:pStyle w:val="ListParagraph"/>
              <w:numPr>
                <w:ilvl w:val="0"/>
                <w:numId w:val="36"/>
              </w:numPr>
              <w:spacing w:after="0"/>
              <w:rPr>
                <w:rFonts w:ascii="Arial" w:eastAsia="Arial" w:hAnsi="Arial" w:cs="Arial"/>
              </w:rPr>
            </w:pPr>
            <w:r w:rsidRPr="2A1B2668">
              <w:rPr>
                <w:rFonts w:ascii="Arial" w:eastAsia="Arial" w:hAnsi="Arial" w:cs="Arial"/>
              </w:rPr>
              <w:t>To what extent are the current SPFs aligned with Australia’s Humanitarian Policy, International Development Policy and associated strategies?</w:t>
            </w:r>
          </w:p>
        </w:tc>
        <w:tc>
          <w:tcPr>
            <w:tcW w:w="2420" w:type="dxa"/>
            <w:tcBorders>
              <w:top w:val="single" w:sz="12" w:space="0" w:color="2294CD"/>
              <w:left w:val="single" w:sz="8" w:space="0" w:color="auto"/>
              <w:bottom w:val="single" w:sz="12" w:space="0" w:color="2294CD"/>
              <w:right w:val="single" w:sz="8" w:space="0" w:color="auto"/>
            </w:tcBorders>
            <w:shd w:val="clear" w:color="auto" w:fill="F2F2F2" w:themeFill="background1" w:themeFillShade="F2"/>
            <w:tcMar>
              <w:top w:w="85" w:type="dxa"/>
              <w:left w:w="85" w:type="dxa"/>
              <w:bottom w:w="85" w:type="dxa"/>
              <w:right w:w="85" w:type="dxa"/>
            </w:tcMar>
          </w:tcPr>
          <w:p w14:paraId="0F8D64DD" w14:textId="0BEDE652" w:rsidR="00214A27" w:rsidRDefault="00214A27">
            <w:pPr>
              <w:rPr>
                <w:rFonts w:ascii="Arial" w:eastAsia="Arial" w:hAnsi="Arial" w:cs="Arial"/>
              </w:rPr>
            </w:pPr>
            <w:r>
              <w:rPr>
                <w:rFonts w:ascii="Arial" w:eastAsia="Arial" w:hAnsi="Arial" w:cs="Arial"/>
              </w:rPr>
              <w:t>SPF</w:t>
            </w:r>
            <w:r w:rsidR="00FE758E">
              <w:rPr>
                <w:rFonts w:ascii="Arial" w:eastAsia="Arial" w:hAnsi="Arial" w:cs="Arial"/>
              </w:rPr>
              <w:t>s</w:t>
            </w:r>
            <w:r>
              <w:rPr>
                <w:rFonts w:ascii="Arial" w:eastAsia="Arial" w:hAnsi="Arial" w:cs="Arial"/>
              </w:rPr>
              <w:t xml:space="preserve"> and Australia’s policies and strategies </w:t>
            </w:r>
          </w:p>
          <w:p w14:paraId="3E632FF4" w14:textId="77777777" w:rsidR="00214A27" w:rsidRPr="0048749F" w:rsidRDefault="00214A27">
            <w:pPr>
              <w:rPr>
                <w:rFonts w:ascii="Arial" w:eastAsia="Arial" w:hAnsi="Arial" w:cs="Arial"/>
              </w:rPr>
            </w:pPr>
            <w:r>
              <w:rPr>
                <w:rFonts w:ascii="Arial" w:eastAsia="Arial" w:hAnsi="Arial" w:cs="Arial"/>
              </w:rPr>
              <w:t>Reports by IOD Parc and Linda Kelly</w:t>
            </w:r>
          </w:p>
        </w:tc>
        <w:tc>
          <w:tcPr>
            <w:tcW w:w="2126" w:type="dxa"/>
            <w:tcBorders>
              <w:top w:val="single" w:sz="12" w:space="0" w:color="2294CD"/>
              <w:left w:val="single" w:sz="8" w:space="0" w:color="auto"/>
              <w:bottom w:val="single" w:sz="12" w:space="0" w:color="2294CD"/>
              <w:right w:val="single" w:sz="8" w:space="0" w:color="auto"/>
            </w:tcBorders>
            <w:shd w:val="clear" w:color="auto" w:fill="F2F2F2" w:themeFill="background1" w:themeFillShade="F2"/>
            <w:tcMar>
              <w:top w:w="85" w:type="dxa"/>
              <w:left w:w="85" w:type="dxa"/>
              <w:bottom w:w="85" w:type="dxa"/>
              <w:right w:w="85" w:type="dxa"/>
            </w:tcMar>
          </w:tcPr>
          <w:p w14:paraId="15736B1D" w14:textId="4216B81E" w:rsidR="00214A27" w:rsidRPr="00DA1E73" w:rsidRDefault="00214A27" w:rsidP="004C281F">
            <w:pPr>
              <w:rPr>
                <w:color w:val="FF0000"/>
              </w:rPr>
            </w:pPr>
            <w:r w:rsidRPr="0EDF767E">
              <w:rPr>
                <w:rFonts w:ascii="Arial" w:eastAsia="Arial" w:hAnsi="Arial" w:cs="Arial"/>
              </w:rPr>
              <w:t>Document review</w:t>
            </w:r>
            <w:r>
              <w:rPr>
                <w:rFonts w:ascii="Arial" w:eastAsia="Arial" w:hAnsi="Arial" w:cs="Arial"/>
              </w:rPr>
              <w:t xml:space="preserve"> and desk analysis</w:t>
            </w:r>
          </w:p>
        </w:tc>
        <w:tc>
          <w:tcPr>
            <w:tcW w:w="1560" w:type="dxa"/>
            <w:tcBorders>
              <w:top w:val="single" w:sz="12" w:space="0" w:color="2294CD"/>
              <w:left w:val="single" w:sz="8" w:space="0" w:color="auto"/>
              <w:bottom w:val="single" w:sz="12" w:space="0" w:color="2294CD"/>
              <w:right w:val="single" w:sz="8" w:space="0" w:color="auto"/>
            </w:tcBorders>
            <w:shd w:val="clear" w:color="auto" w:fill="F2F2F2" w:themeFill="background1" w:themeFillShade="F2"/>
            <w:tcMar>
              <w:top w:w="85" w:type="dxa"/>
              <w:left w:w="85" w:type="dxa"/>
              <w:bottom w:w="85" w:type="dxa"/>
              <w:right w:w="85" w:type="dxa"/>
            </w:tcMar>
          </w:tcPr>
          <w:p w14:paraId="07E0EC10" w14:textId="77777777" w:rsidR="00214A27" w:rsidRDefault="00214A27">
            <w:pPr>
              <w:rPr>
                <w:rFonts w:ascii="Arial" w:eastAsia="Arial" w:hAnsi="Arial" w:cs="Arial"/>
              </w:rPr>
            </w:pPr>
            <w:r>
              <w:rPr>
                <w:rFonts w:ascii="Arial" w:eastAsia="Arial" w:hAnsi="Arial" w:cs="Arial"/>
              </w:rPr>
              <w:t>Reconstructed policy matrix</w:t>
            </w:r>
          </w:p>
          <w:p w14:paraId="5ACCE1F3" w14:textId="77777777" w:rsidR="00214A27" w:rsidRDefault="00214A27"/>
        </w:tc>
      </w:tr>
      <w:tr w:rsidR="00214A27" w14:paraId="79ACCCE5" w14:textId="77777777" w:rsidTr="004C281F">
        <w:trPr>
          <w:trHeight w:val="300"/>
          <w:tblHeader/>
        </w:trPr>
        <w:tc>
          <w:tcPr>
            <w:tcW w:w="3392" w:type="dxa"/>
            <w:tcBorders>
              <w:top w:val="single" w:sz="12" w:space="0" w:color="2294CD"/>
              <w:left w:val="single" w:sz="8" w:space="0" w:color="auto"/>
              <w:bottom w:val="single" w:sz="12" w:space="0" w:color="2294CD"/>
              <w:right w:val="single" w:sz="8" w:space="0" w:color="auto"/>
            </w:tcBorders>
            <w:shd w:val="clear" w:color="auto" w:fill="F2F2F2" w:themeFill="background1" w:themeFillShade="F2"/>
            <w:tcMar>
              <w:top w:w="85" w:type="dxa"/>
              <w:left w:w="85" w:type="dxa"/>
              <w:bottom w:w="85" w:type="dxa"/>
              <w:right w:w="85" w:type="dxa"/>
            </w:tcMar>
          </w:tcPr>
          <w:p w14:paraId="3AD18D80" w14:textId="77777777" w:rsidR="00214A27" w:rsidRPr="003B3D25" w:rsidRDefault="00214A27" w:rsidP="00214A27">
            <w:pPr>
              <w:pStyle w:val="ListParagraph"/>
              <w:numPr>
                <w:ilvl w:val="0"/>
                <w:numId w:val="36"/>
              </w:numPr>
              <w:spacing w:after="0"/>
              <w:rPr>
                <w:rFonts w:ascii="Arial" w:eastAsia="Arial" w:hAnsi="Arial" w:cs="Arial"/>
              </w:rPr>
            </w:pPr>
            <w:r w:rsidRPr="003B3D25">
              <w:rPr>
                <w:rFonts w:ascii="Arial" w:eastAsia="Arial" w:hAnsi="Arial" w:cs="Arial"/>
              </w:rPr>
              <w:t>To what extent are the current SPFs aligned with DFAT’s development risk management requirements, including for high-risk contexts?</w:t>
            </w:r>
          </w:p>
        </w:tc>
        <w:tc>
          <w:tcPr>
            <w:tcW w:w="2420" w:type="dxa"/>
            <w:tcBorders>
              <w:top w:val="single" w:sz="12" w:space="0" w:color="2294CD"/>
              <w:left w:val="single" w:sz="8" w:space="0" w:color="auto"/>
              <w:bottom w:val="single" w:sz="12" w:space="0" w:color="2294CD"/>
              <w:right w:val="single" w:sz="8" w:space="0" w:color="auto"/>
            </w:tcBorders>
            <w:shd w:val="clear" w:color="auto" w:fill="F2F2F2" w:themeFill="background1" w:themeFillShade="F2"/>
            <w:tcMar>
              <w:top w:w="85" w:type="dxa"/>
              <w:left w:w="85" w:type="dxa"/>
              <w:bottom w:w="85" w:type="dxa"/>
              <w:right w:w="85" w:type="dxa"/>
            </w:tcMar>
          </w:tcPr>
          <w:p w14:paraId="142E2851" w14:textId="4308A49C" w:rsidR="00214A27" w:rsidRDefault="00214A27">
            <w:pPr>
              <w:rPr>
                <w:rFonts w:ascii="Arial" w:eastAsia="Arial" w:hAnsi="Arial" w:cs="Arial"/>
              </w:rPr>
            </w:pPr>
            <w:r>
              <w:rPr>
                <w:rFonts w:ascii="Arial" w:eastAsia="Arial" w:hAnsi="Arial" w:cs="Arial"/>
              </w:rPr>
              <w:t>SPF</w:t>
            </w:r>
            <w:r w:rsidR="00FE758E">
              <w:rPr>
                <w:rFonts w:ascii="Arial" w:eastAsia="Arial" w:hAnsi="Arial" w:cs="Arial"/>
              </w:rPr>
              <w:t>s</w:t>
            </w:r>
          </w:p>
          <w:p w14:paraId="49CD6EF0" w14:textId="77777777" w:rsidR="00214A27" w:rsidRDefault="00214A27">
            <w:pPr>
              <w:rPr>
                <w:rFonts w:ascii="Arial" w:eastAsia="Arial" w:hAnsi="Arial" w:cs="Arial"/>
              </w:rPr>
            </w:pPr>
            <w:r>
              <w:rPr>
                <w:rFonts w:ascii="Arial" w:eastAsia="Arial" w:hAnsi="Arial" w:cs="Arial"/>
              </w:rPr>
              <w:t>DFAT risk requirements</w:t>
            </w:r>
          </w:p>
          <w:p w14:paraId="6925B9E9" w14:textId="77777777" w:rsidR="00214A27" w:rsidRDefault="00214A27">
            <w:pPr>
              <w:rPr>
                <w:rFonts w:ascii="Arial" w:eastAsia="Arial" w:hAnsi="Arial" w:cs="Arial"/>
              </w:rPr>
            </w:pPr>
            <w:r>
              <w:rPr>
                <w:rFonts w:ascii="Arial" w:eastAsia="Arial" w:hAnsi="Arial" w:cs="Arial"/>
              </w:rPr>
              <w:t>DFAT risk experts</w:t>
            </w:r>
          </w:p>
        </w:tc>
        <w:tc>
          <w:tcPr>
            <w:tcW w:w="2126" w:type="dxa"/>
            <w:tcBorders>
              <w:top w:val="single" w:sz="12" w:space="0" w:color="2294CD"/>
              <w:left w:val="single" w:sz="8" w:space="0" w:color="auto"/>
              <w:bottom w:val="single" w:sz="12" w:space="0" w:color="2294CD"/>
              <w:right w:val="single" w:sz="8" w:space="0" w:color="auto"/>
            </w:tcBorders>
            <w:shd w:val="clear" w:color="auto" w:fill="F2F2F2" w:themeFill="background1" w:themeFillShade="F2"/>
            <w:tcMar>
              <w:top w:w="85" w:type="dxa"/>
              <w:left w:w="85" w:type="dxa"/>
              <w:bottom w:w="85" w:type="dxa"/>
              <w:right w:w="85" w:type="dxa"/>
            </w:tcMar>
          </w:tcPr>
          <w:p w14:paraId="675A1FD8" w14:textId="77777777" w:rsidR="00214A27" w:rsidRPr="0048749F" w:rsidRDefault="00214A27">
            <w:pPr>
              <w:rPr>
                <w:rFonts w:ascii="Arial" w:eastAsia="Arial" w:hAnsi="Arial" w:cs="Arial"/>
              </w:rPr>
            </w:pPr>
            <w:r>
              <w:rPr>
                <w:rFonts w:ascii="Arial" w:eastAsia="Arial" w:hAnsi="Arial" w:cs="Arial"/>
              </w:rPr>
              <w:t>Document review and desk analysis</w:t>
            </w:r>
          </w:p>
          <w:p w14:paraId="07849982" w14:textId="77777777" w:rsidR="00214A27" w:rsidRDefault="00214A27">
            <w:pPr>
              <w:rPr>
                <w:rFonts w:ascii="Arial" w:eastAsia="Arial" w:hAnsi="Arial" w:cs="Arial"/>
              </w:rPr>
            </w:pPr>
            <w:r>
              <w:rPr>
                <w:rFonts w:ascii="Arial" w:eastAsia="Arial" w:hAnsi="Arial" w:cs="Arial"/>
              </w:rPr>
              <w:t>Written request to DFAT risk experts</w:t>
            </w:r>
          </w:p>
          <w:p w14:paraId="0501C342" w14:textId="77777777" w:rsidR="00214A27" w:rsidRDefault="00214A27">
            <w:pPr>
              <w:rPr>
                <w:rFonts w:ascii="Arial" w:eastAsia="Arial" w:hAnsi="Arial" w:cs="Arial"/>
              </w:rPr>
            </w:pPr>
            <w:r>
              <w:rPr>
                <w:rFonts w:ascii="Arial" w:eastAsia="Arial" w:hAnsi="Arial" w:cs="Arial"/>
              </w:rPr>
              <w:t>KII DFAT risk</w:t>
            </w:r>
          </w:p>
        </w:tc>
        <w:tc>
          <w:tcPr>
            <w:tcW w:w="1560" w:type="dxa"/>
            <w:tcBorders>
              <w:top w:val="single" w:sz="12" w:space="0" w:color="2294CD"/>
              <w:left w:val="single" w:sz="8" w:space="0" w:color="auto"/>
              <w:bottom w:val="single" w:sz="12" w:space="0" w:color="2294CD"/>
              <w:right w:val="single" w:sz="8" w:space="0" w:color="auto"/>
            </w:tcBorders>
            <w:shd w:val="clear" w:color="auto" w:fill="F2F2F2" w:themeFill="background1" w:themeFillShade="F2"/>
            <w:tcMar>
              <w:top w:w="85" w:type="dxa"/>
              <w:left w:w="85" w:type="dxa"/>
              <w:bottom w:w="85" w:type="dxa"/>
              <w:right w:w="85" w:type="dxa"/>
            </w:tcMar>
          </w:tcPr>
          <w:p w14:paraId="2FAC62D7" w14:textId="77777777" w:rsidR="00214A27" w:rsidRDefault="00214A27">
            <w:pPr>
              <w:rPr>
                <w:rFonts w:ascii="Arial" w:eastAsia="Arial" w:hAnsi="Arial" w:cs="Arial"/>
              </w:rPr>
            </w:pPr>
            <w:r>
              <w:rPr>
                <w:rFonts w:ascii="Arial" w:eastAsia="Arial" w:hAnsi="Arial" w:cs="Arial"/>
              </w:rPr>
              <w:t>Analysis matrix</w:t>
            </w:r>
          </w:p>
          <w:p w14:paraId="03589DDD" w14:textId="77777777" w:rsidR="00214A27" w:rsidRDefault="00214A27">
            <w:pPr>
              <w:rPr>
                <w:rFonts w:ascii="Arial" w:eastAsia="Arial" w:hAnsi="Arial" w:cs="Arial"/>
              </w:rPr>
            </w:pPr>
            <w:r>
              <w:rPr>
                <w:rFonts w:ascii="Arial" w:eastAsia="Arial" w:hAnsi="Arial" w:cs="Arial"/>
              </w:rPr>
              <w:t>KII Guide</w:t>
            </w:r>
          </w:p>
        </w:tc>
      </w:tr>
      <w:tr w:rsidR="00214A27" w14:paraId="30495E67" w14:textId="77777777" w:rsidTr="004C281F">
        <w:trPr>
          <w:trHeight w:val="300"/>
          <w:tblHeader/>
        </w:trPr>
        <w:tc>
          <w:tcPr>
            <w:tcW w:w="3392" w:type="dxa"/>
            <w:tcBorders>
              <w:top w:val="single" w:sz="12" w:space="0" w:color="2294CD"/>
              <w:left w:val="single" w:sz="8" w:space="0" w:color="auto"/>
              <w:bottom w:val="single" w:sz="12" w:space="0" w:color="2294CD"/>
              <w:right w:val="single" w:sz="8" w:space="0" w:color="auto"/>
            </w:tcBorders>
            <w:shd w:val="clear" w:color="auto" w:fill="F2F2F2" w:themeFill="background1" w:themeFillShade="F2"/>
            <w:tcMar>
              <w:top w:w="85" w:type="dxa"/>
              <w:left w:w="85" w:type="dxa"/>
              <w:bottom w:w="85" w:type="dxa"/>
              <w:right w:w="85" w:type="dxa"/>
            </w:tcMar>
          </w:tcPr>
          <w:p w14:paraId="753D746F" w14:textId="77777777" w:rsidR="00214A27" w:rsidRPr="003B3D25" w:rsidRDefault="00214A27" w:rsidP="00214A27">
            <w:pPr>
              <w:pStyle w:val="ListParagraph"/>
              <w:numPr>
                <w:ilvl w:val="0"/>
                <w:numId w:val="36"/>
              </w:numPr>
              <w:spacing w:after="0"/>
              <w:rPr>
                <w:rFonts w:ascii="Arial" w:eastAsia="Arial" w:hAnsi="Arial" w:cs="Arial"/>
              </w:rPr>
            </w:pPr>
            <w:r w:rsidRPr="2A1B2668">
              <w:rPr>
                <w:rFonts w:ascii="Arial" w:eastAsia="Arial" w:hAnsi="Arial" w:cs="Arial"/>
              </w:rPr>
              <w:t>To what extent are the current SPFs and their EOL templates aligned with DFAT’s internal legal and reporting requirements?</w:t>
            </w:r>
          </w:p>
        </w:tc>
        <w:tc>
          <w:tcPr>
            <w:tcW w:w="2420" w:type="dxa"/>
            <w:tcBorders>
              <w:top w:val="single" w:sz="12" w:space="0" w:color="2294CD"/>
              <w:left w:val="single" w:sz="8" w:space="0" w:color="auto"/>
              <w:bottom w:val="single" w:sz="12" w:space="0" w:color="2294CD"/>
              <w:right w:val="single" w:sz="8" w:space="0" w:color="auto"/>
            </w:tcBorders>
            <w:shd w:val="clear" w:color="auto" w:fill="F2F2F2" w:themeFill="background1" w:themeFillShade="F2"/>
            <w:tcMar>
              <w:top w:w="85" w:type="dxa"/>
              <w:left w:w="85" w:type="dxa"/>
              <w:bottom w:w="85" w:type="dxa"/>
              <w:right w:w="85" w:type="dxa"/>
            </w:tcMar>
          </w:tcPr>
          <w:p w14:paraId="51A8C148" w14:textId="34E23EDC" w:rsidR="00214A27" w:rsidRDefault="00214A27">
            <w:pPr>
              <w:rPr>
                <w:rFonts w:ascii="Arial" w:eastAsia="Arial" w:hAnsi="Arial" w:cs="Arial"/>
              </w:rPr>
            </w:pPr>
            <w:r>
              <w:rPr>
                <w:rFonts w:ascii="Arial" w:eastAsia="Arial" w:hAnsi="Arial" w:cs="Arial"/>
              </w:rPr>
              <w:t>SPF</w:t>
            </w:r>
            <w:r w:rsidR="00FE758E">
              <w:rPr>
                <w:rFonts w:ascii="Arial" w:eastAsia="Arial" w:hAnsi="Arial" w:cs="Arial"/>
              </w:rPr>
              <w:t>s</w:t>
            </w:r>
          </w:p>
          <w:p w14:paraId="520BC3D7" w14:textId="77777777" w:rsidR="00214A27" w:rsidRDefault="00214A27">
            <w:pPr>
              <w:rPr>
                <w:rFonts w:ascii="Arial" w:eastAsia="Arial" w:hAnsi="Arial" w:cs="Arial"/>
              </w:rPr>
            </w:pPr>
            <w:r w:rsidRPr="2A1B2668">
              <w:rPr>
                <w:rFonts w:ascii="Arial" w:eastAsia="Arial" w:hAnsi="Arial" w:cs="Arial"/>
              </w:rPr>
              <w:t>DFAT’s internal legal and reporting requirements</w:t>
            </w:r>
          </w:p>
          <w:p w14:paraId="28650365" w14:textId="77777777" w:rsidR="00214A27" w:rsidRDefault="00214A27">
            <w:pPr>
              <w:rPr>
                <w:rFonts w:ascii="Arial" w:eastAsia="Arial" w:hAnsi="Arial" w:cs="Arial"/>
              </w:rPr>
            </w:pPr>
            <w:r>
              <w:rPr>
                <w:rFonts w:ascii="Arial" w:eastAsia="Arial" w:hAnsi="Arial" w:cs="Arial"/>
              </w:rPr>
              <w:t>DFAT quality and performance experts</w:t>
            </w:r>
          </w:p>
        </w:tc>
        <w:tc>
          <w:tcPr>
            <w:tcW w:w="2126" w:type="dxa"/>
            <w:tcBorders>
              <w:top w:val="single" w:sz="12" w:space="0" w:color="2294CD"/>
              <w:left w:val="single" w:sz="8" w:space="0" w:color="auto"/>
              <w:bottom w:val="single" w:sz="12" w:space="0" w:color="2294CD"/>
              <w:right w:val="single" w:sz="8" w:space="0" w:color="auto"/>
            </w:tcBorders>
            <w:shd w:val="clear" w:color="auto" w:fill="F2F2F2" w:themeFill="background1" w:themeFillShade="F2"/>
            <w:tcMar>
              <w:top w:w="85" w:type="dxa"/>
              <w:left w:w="85" w:type="dxa"/>
              <w:bottom w:w="85" w:type="dxa"/>
              <w:right w:w="85" w:type="dxa"/>
            </w:tcMar>
          </w:tcPr>
          <w:p w14:paraId="46400FEF" w14:textId="77777777" w:rsidR="00214A27" w:rsidRDefault="00214A27">
            <w:pPr>
              <w:rPr>
                <w:rFonts w:ascii="Arial" w:eastAsia="Arial" w:hAnsi="Arial" w:cs="Arial"/>
              </w:rPr>
            </w:pPr>
            <w:r>
              <w:rPr>
                <w:rFonts w:ascii="Arial" w:eastAsia="Arial" w:hAnsi="Arial" w:cs="Arial"/>
              </w:rPr>
              <w:t>Desk analysis</w:t>
            </w:r>
          </w:p>
          <w:p w14:paraId="22B0204A" w14:textId="77777777" w:rsidR="00214A27" w:rsidRDefault="00214A27">
            <w:pPr>
              <w:rPr>
                <w:rFonts w:ascii="Arial" w:eastAsia="Arial" w:hAnsi="Arial" w:cs="Arial"/>
              </w:rPr>
            </w:pPr>
            <w:r w:rsidRPr="2A1B2668">
              <w:rPr>
                <w:rFonts w:ascii="Arial" w:eastAsia="Arial" w:hAnsi="Arial" w:cs="Arial"/>
              </w:rPr>
              <w:t>KII DFAT quality and performance experts</w:t>
            </w:r>
          </w:p>
          <w:p w14:paraId="59D36FE7" w14:textId="77777777" w:rsidR="00214A27" w:rsidRDefault="00214A27">
            <w:pPr>
              <w:rPr>
                <w:rFonts w:ascii="Arial" w:eastAsia="Arial" w:hAnsi="Arial" w:cs="Arial"/>
              </w:rPr>
            </w:pPr>
            <w:r>
              <w:rPr>
                <w:rFonts w:ascii="Arial" w:eastAsia="Arial" w:hAnsi="Arial" w:cs="Arial"/>
              </w:rPr>
              <w:t>Written advice from</w:t>
            </w:r>
            <w:r w:rsidRPr="2A1B2668">
              <w:rPr>
                <w:rFonts w:ascii="Arial" w:eastAsia="Arial" w:hAnsi="Arial" w:cs="Arial"/>
              </w:rPr>
              <w:t xml:space="preserve"> DFAT legal adviser</w:t>
            </w:r>
          </w:p>
        </w:tc>
        <w:tc>
          <w:tcPr>
            <w:tcW w:w="1560" w:type="dxa"/>
            <w:tcBorders>
              <w:top w:val="single" w:sz="12" w:space="0" w:color="2294CD"/>
              <w:left w:val="single" w:sz="8" w:space="0" w:color="auto"/>
              <w:bottom w:val="single" w:sz="12" w:space="0" w:color="2294CD"/>
              <w:right w:val="single" w:sz="8" w:space="0" w:color="auto"/>
            </w:tcBorders>
            <w:shd w:val="clear" w:color="auto" w:fill="F2F2F2" w:themeFill="background1" w:themeFillShade="F2"/>
            <w:tcMar>
              <w:top w:w="85" w:type="dxa"/>
              <w:left w:w="85" w:type="dxa"/>
              <w:bottom w:w="85" w:type="dxa"/>
              <w:right w:w="85" w:type="dxa"/>
            </w:tcMar>
          </w:tcPr>
          <w:p w14:paraId="1F78D387" w14:textId="77777777" w:rsidR="00214A27" w:rsidRDefault="00214A27">
            <w:pPr>
              <w:rPr>
                <w:rFonts w:ascii="Arial" w:eastAsia="Arial" w:hAnsi="Arial" w:cs="Arial"/>
              </w:rPr>
            </w:pPr>
            <w:r>
              <w:rPr>
                <w:rFonts w:ascii="Arial" w:eastAsia="Arial" w:hAnsi="Arial" w:cs="Arial"/>
              </w:rPr>
              <w:t>Analysis matrix</w:t>
            </w:r>
          </w:p>
          <w:p w14:paraId="79579704" w14:textId="77777777" w:rsidR="00214A27" w:rsidRDefault="00214A27">
            <w:pPr>
              <w:rPr>
                <w:rFonts w:ascii="Arial" w:eastAsia="Arial" w:hAnsi="Arial" w:cs="Arial"/>
              </w:rPr>
            </w:pPr>
            <w:r>
              <w:rPr>
                <w:rFonts w:ascii="Arial" w:eastAsia="Arial" w:hAnsi="Arial" w:cs="Arial"/>
              </w:rPr>
              <w:t>KII Guide</w:t>
            </w:r>
          </w:p>
        </w:tc>
      </w:tr>
      <w:tr w:rsidR="00214A27" w14:paraId="5F319D1B" w14:textId="77777777" w:rsidTr="004C281F">
        <w:trPr>
          <w:trHeight w:val="300"/>
          <w:tblHeader/>
        </w:trPr>
        <w:tc>
          <w:tcPr>
            <w:tcW w:w="3392" w:type="dxa"/>
            <w:tcBorders>
              <w:top w:val="single" w:sz="12" w:space="0" w:color="2294CD"/>
              <w:left w:val="single" w:sz="8" w:space="0" w:color="auto"/>
              <w:bottom w:val="single" w:sz="12" w:space="0" w:color="2294CD"/>
              <w:right w:val="single" w:sz="8" w:space="0" w:color="auto"/>
            </w:tcBorders>
            <w:shd w:val="clear" w:color="auto" w:fill="F2F2F2" w:themeFill="background1" w:themeFillShade="F2"/>
            <w:tcMar>
              <w:top w:w="85" w:type="dxa"/>
              <w:left w:w="85" w:type="dxa"/>
              <w:bottom w:w="85" w:type="dxa"/>
              <w:right w:w="85" w:type="dxa"/>
            </w:tcMar>
          </w:tcPr>
          <w:p w14:paraId="09B76944" w14:textId="77777777" w:rsidR="00214A27" w:rsidRPr="003B3D25" w:rsidRDefault="00214A27" w:rsidP="00214A27">
            <w:pPr>
              <w:pStyle w:val="ListParagraph"/>
              <w:numPr>
                <w:ilvl w:val="0"/>
                <w:numId w:val="36"/>
              </w:numPr>
              <w:spacing w:after="0"/>
              <w:rPr>
                <w:rFonts w:ascii="Arial" w:eastAsia="Arial" w:hAnsi="Arial" w:cs="Arial"/>
              </w:rPr>
            </w:pPr>
            <w:r w:rsidRPr="003B3D25">
              <w:rPr>
                <w:rFonts w:ascii="Arial" w:eastAsia="Arial" w:hAnsi="Arial" w:cs="Arial"/>
              </w:rPr>
              <w:t xml:space="preserve">To what extent are the current SPFs compatible </w:t>
            </w:r>
            <w:r w:rsidRPr="00D110FF">
              <w:rPr>
                <w:rFonts w:ascii="Arial" w:eastAsia="Arial" w:hAnsi="Arial" w:cs="Arial"/>
              </w:rPr>
              <w:t>with Australia’s international development and humanitarian commitments?</w:t>
            </w:r>
          </w:p>
        </w:tc>
        <w:tc>
          <w:tcPr>
            <w:tcW w:w="2420" w:type="dxa"/>
            <w:tcBorders>
              <w:top w:val="single" w:sz="12" w:space="0" w:color="2294CD"/>
              <w:left w:val="single" w:sz="8" w:space="0" w:color="auto"/>
              <w:bottom w:val="single" w:sz="12" w:space="0" w:color="2294CD"/>
              <w:right w:val="single" w:sz="8" w:space="0" w:color="auto"/>
            </w:tcBorders>
            <w:shd w:val="clear" w:color="auto" w:fill="F2F2F2" w:themeFill="background1" w:themeFillShade="F2"/>
            <w:tcMar>
              <w:top w:w="85" w:type="dxa"/>
              <w:left w:w="85" w:type="dxa"/>
              <w:bottom w:w="85" w:type="dxa"/>
              <w:right w:w="85" w:type="dxa"/>
            </w:tcMar>
          </w:tcPr>
          <w:p w14:paraId="5C4E12FE" w14:textId="16D34A4D" w:rsidR="00214A27" w:rsidRDefault="00214A27">
            <w:pPr>
              <w:rPr>
                <w:rFonts w:ascii="Arial" w:eastAsia="Arial" w:hAnsi="Arial" w:cs="Arial"/>
              </w:rPr>
            </w:pPr>
            <w:r>
              <w:rPr>
                <w:rFonts w:ascii="Arial" w:eastAsia="Arial" w:hAnsi="Arial" w:cs="Arial"/>
              </w:rPr>
              <w:t>SPF</w:t>
            </w:r>
            <w:r w:rsidR="00FE758E">
              <w:rPr>
                <w:rFonts w:ascii="Arial" w:eastAsia="Arial" w:hAnsi="Arial" w:cs="Arial"/>
              </w:rPr>
              <w:t>s</w:t>
            </w:r>
          </w:p>
          <w:p w14:paraId="3A3B8A71" w14:textId="77777777" w:rsidR="00214A27" w:rsidRDefault="00214A27">
            <w:pPr>
              <w:rPr>
                <w:rFonts w:ascii="Arial" w:eastAsia="Arial" w:hAnsi="Arial" w:cs="Arial"/>
              </w:rPr>
            </w:pPr>
            <w:r>
              <w:rPr>
                <w:rFonts w:ascii="Arial" w:eastAsia="Arial" w:hAnsi="Arial" w:cs="Arial"/>
              </w:rPr>
              <w:t>Documentation outlining Australia’s commitments</w:t>
            </w:r>
          </w:p>
          <w:p w14:paraId="193AE7AC" w14:textId="77777777" w:rsidR="00214A27" w:rsidRDefault="00214A27">
            <w:pPr>
              <w:rPr>
                <w:rFonts w:ascii="Arial" w:eastAsia="Arial" w:hAnsi="Arial" w:cs="Arial"/>
              </w:rPr>
            </w:pPr>
            <w:r>
              <w:rPr>
                <w:rFonts w:ascii="Arial" w:eastAsia="Arial" w:hAnsi="Arial" w:cs="Arial"/>
              </w:rPr>
              <w:t>DFAT policy experts</w:t>
            </w:r>
          </w:p>
        </w:tc>
        <w:tc>
          <w:tcPr>
            <w:tcW w:w="2126" w:type="dxa"/>
            <w:tcBorders>
              <w:top w:val="single" w:sz="12" w:space="0" w:color="2294CD"/>
              <w:left w:val="single" w:sz="8" w:space="0" w:color="auto"/>
              <w:bottom w:val="single" w:sz="12" w:space="0" w:color="2294CD"/>
              <w:right w:val="single" w:sz="8" w:space="0" w:color="auto"/>
            </w:tcBorders>
            <w:shd w:val="clear" w:color="auto" w:fill="F2F2F2" w:themeFill="background1" w:themeFillShade="F2"/>
            <w:tcMar>
              <w:top w:w="85" w:type="dxa"/>
              <w:left w:w="85" w:type="dxa"/>
              <w:bottom w:w="85" w:type="dxa"/>
              <w:right w:w="85" w:type="dxa"/>
            </w:tcMar>
          </w:tcPr>
          <w:p w14:paraId="03D66411" w14:textId="77777777" w:rsidR="00214A27" w:rsidRDefault="00214A27">
            <w:pPr>
              <w:rPr>
                <w:rFonts w:ascii="Arial" w:eastAsia="Arial" w:hAnsi="Arial" w:cs="Arial"/>
              </w:rPr>
            </w:pPr>
            <w:r>
              <w:rPr>
                <w:rFonts w:ascii="Arial" w:eastAsia="Arial" w:hAnsi="Arial" w:cs="Arial"/>
              </w:rPr>
              <w:t>Desk analysis</w:t>
            </w:r>
          </w:p>
          <w:p w14:paraId="52C98497" w14:textId="77777777" w:rsidR="00214A27" w:rsidRDefault="00214A27">
            <w:pPr>
              <w:rPr>
                <w:rFonts w:ascii="Arial" w:eastAsia="Arial" w:hAnsi="Arial" w:cs="Arial"/>
              </w:rPr>
            </w:pPr>
            <w:r>
              <w:rPr>
                <w:rFonts w:ascii="Arial" w:eastAsia="Arial" w:hAnsi="Arial" w:cs="Arial"/>
              </w:rPr>
              <w:t>KII DFAT policy experts</w:t>
            </w:r>
          </w:p>
        </w:tc>
        <w:tc>
          <w:tcPr>
            <w:tcW w:w="1560" w:type="dxa"/>
            <w:tcBorders>
              <w:top w:val="single" w:sz="12" w:space="0" w:color="2294CD"/>
              <w:left w:val="single" w:sz="8" w:space="0" w:color="auto"/>
              <w:bottom w:val="single" w:sz="12" w:space="0" w:color="2294CD"/>
              <w:right w:val="single" w:sz="8" w:space="0" w:color="auto"/>
            </w:tcBorders>
            <w:shd w:val="clear" w:color="auto" w:fill="F2F2F2" w:themeFill="background1" w:themeFillShade="F2"/>
            <w:tcMar>
              <w:top w:w="85" w:type="dxa"/>
              <w:left w:w="85" w:type="dxa"/>
              <w:bottom w:w="85" w:type="dxa"/>
              <w:right w:w="85" w:type="dxa"/>
            </w:tcMar>
          </w:tcPr>
          <w:p w14:paraId="17F07956" w14:textId="77777777" w:rsidR="00214A27" w:rsidRDefault="00214A27">
            <w:pPr>
              <w:rPr>
                <w:rFonts w:ascii="Arial" w:eastAsia="Arial" w:hAnsi="Arial" w:cs="Arial"/>
              </w:rPr>
            </w:pPr>
            <w:r>
              <w:rPr>
                <w:rFonts w:ascii="Arial" w:eastAsia="Arial" w:hAnsi="Arial" w:cs="Arial"/>
              </w:rPr>
              <w:t>Analysis matrix</w:t>
            </w:r>
          </w:p>
          <w:p w14:paraId="7F6BA1F8" w14:textId="77777777" w:rsidR="00214A27" w:rsidRDefault="00214A27">
            <w:pPr>
              <w:rPr>
                <w:rFonts w:ascii="Arial" w:eastAsia="Arial" w:hAnsi="Arial" w:cs="Arial"/>
              </w:rPr>
            </w:pPr>
            <w:r>
              <w:rPr>
                <w:rFonts w:ascii="Arial" w:eastAsia="Arial" w:hAnsi="Arial" w:cs="Arial"/>
              </w:rPr>
              <w:t>KII Guide</w:t>
            </w:r>
          </w:p>
        </w:tc>
      </w:tr>
      <w:tr w:rsidR="00214A27" w14:paraId="0DF4ACE9" w14:textId="77777777" w:rsidTr="004C281F">
        <w:trPr>
          <w:trHeight w:val="300"/>
          <w:tblHeader/>
        </w:trPr>
        <w:tc>
          <w:tcPr>
            <w:tcW w:w="3392" w:type="dxa"/>
            <w:tcBorders>
              <w:top w:val="single" w:sz="12" w:space="0" w:color="2294CD"/>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0D64F1F3" w14:textId="77777777" w:rsidR="00214A27" w:rsidRDefault="00214A27" w:rsidP="00214A27">
            <w:pPr>
              <w:pStyle w:val="ListParagraph"/>
              <w:numPr>
                <w:ilvl w:val="0"/>
                <w:numId w:val="36"/>
              </w:numPr>
              <w:spacing w:after="0"/>
              <w:rPr>
                <w:rFonts w:ascii="Arial" w:eastAsia="Arial" w:hAnsi="Arial" w:cs="Arial"/>
              </w:rPr>
            </w:pPr>
            <w:r w:rsidRPr="2A1B2668">
              <w:rPr>
                <w:rFonts w:ascii="Arial" w:eastAsia="Arial" w:hAnsi="Arial" w:cs="Arial"/>
              </w:rPr>
              <w:t xml:space="preserve">What changes may be needed to ensure SPFs remain </w:t>
            </w:r>
            <w:r w:rsidRPr="0002604A">
              <w:rPr>
                <w:rFonts w:ascii="Arial" w:eastAsia="Arial" w:hAnsi="Arial" w:cs="Arial"/>
              </w:rPr>
              <w:t>flexible and adaptable</w:t>
            </w:r>
            <w:r w:rsidRPr="00936CF8">
              <w:rPr>
                <w:rFonts w:ascii="Arial" w:eastAsia="Arial" w:hAnsi="Arial" w:cs="Arial"/>
              </w:rPr>
              <w:t xml:space="preserve"> to broader D</w:t>
            </w:r>
            <w:r w:rsidRPr="2A1B2668">
              <w:rPr>
                <w:rFonts w:ascii="Arial" w:eastAsia="Arial" w:hAnsi="Arial" w:cs="Arial"/>
              </w:rPr>
              <w:t>FAT international development and humanitarian policies, priorities and commitments, in Australia’s national interest?</w:t>
            </w:r>
          </w:p>
          <w:p w14:paraId="74A2A249" w14:textId="77777777" w:rsidR="00214A27" w:rsidRDefault="00214A27">
            <w:pPr>
              <w:spacing w:after="0"/>
              <w:rPr>
                <w:rFonts w:ascii="Arial" w:eastAsia="Arial" w:hAnsi="Arial" w:cs="Arial"/>
              </w:rPr>
            </w:pPr>
          </w:p>
          <w:p w14:paraId="1E38AE67" w14:textId="77777777" w:rsidR="00214A27" w:rsidRPr="00DF62C9" w:rsidRDefault="00214A27">
            <w:pPr>
              <w:spacing w:after="0"/>
              <w:rPr>
                <w:rFonts w:ascii="Arial" w:eastAsia="Arial" w:hAnsi="Arial" w:cs="Arial"/>
                <w:i/>
                <w:iCs/>
              </w:rPr>
            </w:pPr>
          </w:p>
        </w:tc>
        <w:tc>
          <w:tcPr>
            <w:tcW w:w="2420" w:type="dxa"/>
            <w:tcBorders>
              <w:top w:val="single" w:sz="12" w:space="0" w:color="2294CD"/>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7F875DD6" w14:textId="2B4AB2E8" w:rsidR="00214A27" w:rsidRDefault="00214A27">
            <w:pPr>
              <w:rPr>
                <w:rFonts w:ascii="Arial" w:eastAsia="Arial" w:hAnsi="Arial" w:cs="Arial"/>
              </w:rPr>
            </w:pPr>
            <w:r>
              <w:rPr>
                <w:rFonts w:ascii="Arial" w:eastAsia="Arial" w:hAnsi="Arial" w:cs="Arial"/>
              </w:rPr>
              <w:t>SPF</w:t>
            </w:r>
            <w:r w:rsidR="00FE758E">
              <w:rPr>
                <w:rFonts w:ascii="Arial" w:eastAsia="Arial" w:hAnsi="Arial" w:cs="Arial"/>
              </w:rPr>
              <w:t>s</w:t>
            </w:r>
          </w:p>
          <w:p w14:paraId="0727D255" w14:textId="77777777" w:rsidR="00214A27" w:rsidRDefault="00214A27">
            <w:pPr>
              <w:rPr>
                <w:rFonts w:ascii="Arial" w:eastAsia="Arial" w:hAnsi="Arial" w:cs="Arial"/>
              </w:rPr>
            </w:pPr>
            <w:r>
              <w:rPr>
                <w:rFonts w:ascii="Arial" w:eastAsia="Arial" w:hAnsi="Arial" w:cs="Arial"/>
              </w:rPr>
              <w:t>DFAT SPF managers, policy experts</w:t>
            </w:r>
          </w:p>
        </w:tc>
        <w:tc>
          <w:tcPr>
            <w:tcW w:w="2126" w:type="dxa"/>
            <w:tcBorders>
              <w:top w:val="single" w:sz="12" w:space="0" w:color="2294CD"/>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1DBCB676" w14:textId="77777777" w:rsidR="00214A27" w:rsidRDefault="00214A27">
            <w:pPr>
              <w:rPr>
                <w:rFonts w:ascii="Arial" w:eastAsia="Arial" w:hAnsi="Arial" w:cs="Arial"/>
              </w:rPr>
            </w:pPr>
            <w:r>
              <w:rPr>
                <w:rFonts w:ascii="Arial" w:eastAsia="Arial" w:hAnsi="Arial" w:cs="Arial"/>
              </w:rPr>
              <w:t>Desk analysis</w:t>
            </w:r>
          </w:p>
          <w:p w14:paraId="6BB08D74" w14:textId="77777777" w:rsidR="00214A27" w:rsidRDefault="00214A27">
            <w:pPr>
              <w:rPr>
                <w:rFonts w:ascii="Arial" w:eastAsia="Arial" w:hAnsi="Arial" w:cs="Arial"/>
              </w:rPr>
            </w:pPr>
            <w:r>
              <w:rPr>
                <w:rFonts w:ascii="Arial" w:eastAsia="Arial" w:hAnsi="Arial" w:cs="Arial"/>
              </w:rPr>
              <w:t>KIIs</w:t>
            </w:r>
          </w:p>
        </w:tc>
        <w:tc>
          <w:tcPr>
            <w:tcW w:w="1560" w:type="dxa"/>
            <w:tcBorders>
              <w:top w:val="single" w:sz="12" w:space="0" w:color="2294CD"/>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6F2F8B02" w14:textId="77777777" w:rsidR="00214A27" w:rsidRDefault="00214A27">
            <w:pPr>
              <w:rPr>
                <w:rFonts w:ascii="Arial" w:eastAsia="Arial" w:hAnsi="Arial" w:cs="Arial"/>
              </w:rPr>
            </w:pPr>
            <w:r>
              <w:rPr>
                <w:rFonts w:ascii="Arial" w:eastAsia="Arial" w:hAnsi="Arial" w:cs="Arial"/>
              </w:rPr>
              <w:t>KII Guide</w:t>
            </w:r>
          </w:p>
        </w:tc>
      </w:tr>
    </w:tbl>
    <w:p w14:paraId="7E9A30BF" w14:textId="77777777" w:rsidR="00214A27" w:rsidRDefault="00214A27" w:rsidP="00214A27">
      <w:pPr>
        <w:spacing w:after="0" w:line="240" w:lineRule="auto"/>
        <w:rPr>
          <w:rFonts w:ascii="Arial" w:eastAsia="Arial" w:hAnsi="Arial" w:cs="Arial"/>
          <w:b/>
          <w:bCs/>
        </w:rPr>
      </w:pPr>
    </w:p>
    <w:p w14:paraId="7C4D01E0" w14:textId="77777777" w:rsidR="00214A27" w:rsidRDefault="00214A27" w:rsidP="00214A27">
      <w:pPr>
        <w:spacing w:before="240"/>
        <w:rPr>
          <w:rFonts w:ascii="Arial" w:eastAsia="Arial" w:hAnsi="Arial" w:cs="Arial"/>
          <w:b/>
          <w:bCs/>
        </w:rPr>
      </w:pPr>
      <w:r w:rsidRPr="368B266C">
        <w:rPr>
          <w:rFonts w:ascii="Arial" w:eastAsia="Arial" w:hAnsi="Arial" w:cs="Arial"/>
          <w:b/>
          <w:bCs/>
        </w:rPr>
        <w:lastRenderedPageBreak/>
        <w:t>KEQ 2: To what extent are the SPFs shared partnership objectives and deliverables being progressed? (EFFECTIVENESS)</w:t>
      </w:r>
    </w:p>
    <w:tbl>
      <w:tblPr>
        <w:tblStyle w:val="TableGrid"/>
        <w:tblW w:w="0" w:type="auto"/>
        <w:tblLayout w:type="fixed"/>
        <w:tblLook w:val="0420" w:firstRow="1" w:lastRow="0" w:firstColumn="0" w:lastColumn="0" w:noHBand="0" w:noVBand="1"/>
      </w:tblPr>
      <w:tblGrid>
        <w:gridCol w:w="3676"/>
        <w:gridCol w:w="2136"/>
        <w:gridCol w:w="2126"/>
        <w:gridCol w:w="1560"/>
      </w:tblGrid>
      <w:tr w:rsidR="00214A27" w14:paraId="39FAC41F" w14:textId="77777777" w:rsidTr="004C281F">
        <w:trPr>
          <w:trHeight w:val="300"/>
          <w:tblHeader/>
        </w:trPr>
        <w:tc>
          <w:tcPr>
            <w:tcW w:w="3676" w:type="dxa"/>
            <w:tcBorders>
              <w:top w:val="single" w:sz="8" w:space="0" w:color="auto"/>
              <w:left w:val="single" w:sz="8" w:space="0" w:color="auto"/>
              <w:bottom w:val="single" w:sz="8" w:space="0" w:color="auto"/>
              <w:right w:val="single" w:sz="8" w:space="0" w:color="auto"/>
            </w:tcBorders>
            <w:shd w:val="clear" w:color="auto" w:fill="DFF5F8" w:themeFill="accent5" w:themeFillTint="33"/>
            <w:tcMar>
              <w:top w:w="85" w:type="dxa"/>
              <w:left w:w="85" w:type="dxa"/>
              <w:bottom w:w="85" w:type="dxa"/>
              <w:right w:w="85" w:type="dxa"/>
            </w:tcMar>
          </w:tcPr>
          <w:p w14:paraId="314DDD32" w14:textId="77777777" w:rsidR="00214A27" w:rsidRDefault="00214A27">
            <w:r w:rsidRPr="0EDF767E">
              <w:rPr>
                <w:rFonts w:ascii="Arial" w:eastAsia="Arial" w:hAnsi="Arial" w:cs="Arial"/>
                <w:b/>
                <w:bCs/>
              </w:rPr>
              <w:t>Sub-Question</w:t>
            </w:r>
          </w:p>
        </w:tc>
        <w:tc>
          <w:tcPr>
            <w:tcW w:w="2136" w:type="dxa"/>
            <w:tcBorders>
              <w:top w:val="single" w:sz="8" w:space="0" w:color="auto"/>
              <w:left w:val="single" w:sz="8" w:space="0" w:color="auto"/>
              <w:bottom w:val="single" w:sz="8" w:space="0" w:color="auto"/>
              <w:right w:val="single" w:sz="8" w:space="0" w:color="auto"/>
            </w:tcBorders>
            <w:shd w:val="clear" w:color="auto" w:fill="DFF5F8" w:themeFill="accent5" w:themeFillTint="33"/>
            <w:tcMar>
              <w:top w:w="85" w:type="dxa"/>
              <w:left w:w="85" w:type="dxa"/>
              <w:bottom w:w="85" w:type="dxa"/>
              <w:right w:w="85" w:type="dxa"/>
            </w:tcMar>
          </w:tcPr>
          <w:p w14:paraId="132B9385" w14:textId="77777777" w:rsidR="00214A27" w:rsidRDefault="00214A27">
            <w:r w:rsidRPr="0EDF767E">
              <w:rPr>
                <w:rFonts w:ascii="Arial" w:eastAsia="Arial" w:hAnsi="Arial" w:cs="Arial"/>
                <w:b/>
                <w:bCs/>
              </w:rPr>
              <w:t xml:space="preserve">Data Source </w:t>
            </w:r>
          </w:p>
        </w:tc>
        <w:tc>
          <w:tcPr>
            <w:tcW w:w="2126" w:type="dxa"/>
            <w:tcBorders>
              <w:top w:val="single" w:sz="8" w:space="0" w:color="auto"/>
              <w:left w:val="single" w:sz="8" w:space="0" w:color="auto"/>
              <w:bottom w:val="single" w:sz="8" w:space="0" w:color="auto"/>
              <w:right w:val="single" w:sz="8" w:space="0" w:color="auto"/>
            </w:tcBorders>
            <w:shd w:val="clear" w:color="auto" w:fill="DFF5F8" w:themeFill="accent5" w:themeFillTint="33"/>
            <w:tcMar>
              <w:top w:w="85" w:type="dxa"/>
              <w:left w:w="85" w:type="dxa"/>
              <w:bottom w:w="85" w:type="dxa"/>
              <w:right w:w="85" w:type="dxa"/>
            </w:tcMar>
          </w:tcPr>
          <w:p w14:paraId="09C70C51" w14:textId="77777777" w:rsidR="00214A27" w:rsidRDefault="00214A27">
            <w:r w:rsidRPr="0EDF767E">
              <w:rPr>
                <w:rFonts w:ascii="Arial" w:eastAsia="Arial" w:hAnsi="Arial" w:cs="Arial"/>
                <w:b/>
                <w:bCs/>
              </w:rPr>
              <w:t xml:space="preserve">Method </w:t>
            </w:r>
          </w:p>
        </w:tc>
        <w:tc>
          <w:tcPr>
            <w:tcW w:w="1560" w:type="dxa"/>
            <w:tcBorders>
              <w:top w:val="single" w:sz="8" w:space="0" w:color="auto"/>
              <w:left w:val="single" w:sz="8" w:space="0" w:color="auto"/>
              <w:bottom w:val="single" w:sz="8" w:space="0" w:color="auto"/>
              <w:right w:val="single" w:sz="8" w:space="0" w:color="auto"/>
            </w:tcBorders>
            <w:shd w:val="clear" w:color="auto" w:fill="DFF5F8" w:themeFill="accent5" w:themeFillTint="33"/>
            <w:tcMar>
              <w:top w:w="85" w:type="dxa"/>
              <w:left w:w="85" w:type="dxa"/>
              <w:bottom w:w="85" w:type="dxa"/>
              <w:right w:w="85" w:type="dxa"/>
            </w:tcMar>
          </w:tcPr>
          <w:p w14:paraId="34303F57" w14:textId="77777777" w:rsidR="00214A27" w:rsidRDefault="00214A27">
            <w:r w:rsidRPr="0EDF767E">
              <w:rPr>
                <w:rFonts w:ascii="Arial" w:eastAsia="Arial" w:hAnsi="Arial" w:cs="Arial"/>
                <w:b/>
                <w:bCs/>
              </w:rPr>
              <w:t xml:space="preserve">Tools </w:t>
            </w:r>
          </w:p>
        </w:tc>
      </w:tr>
      <w:tr w:rsidR="00214A27" w14:paraId="66260258" w14:textId="77777777" w:rsidTr="004C281F">
        <w:trPr>
          <w:trHeight w:val="300"/>
        </w:trPr>
        <w:tc>
          <w:tcPr>
            <w:tcW w:w="36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6442B918" w14:textId="77777777" w:rsidR="00214A27" w:rsidRPr="00916923" w:rsidRDefault="00214A27" w:rsidP="00214A27">
            <w:pPr>
              <w:pStyle w:val="ListParagraph"/>
              <w:numPr>
                <w:ilvl w:val="1"/>
                <w:numId w:val="37"/>
              </w:numPr>
              <w:spacing w:after="0"/>
              <w:rPr>
                <w:rFonts w:ascii="Arial" w:eastAsia="Arial" w:hAnsi="Arial" w:cs="Arial"/>
              </w:rPr>
            </w:pPr>
            <w:r w:rsidRPr="1C3620C9">
              <w:rPr>
                <w:rFonts w:ascii="Arial" w:eastAsia="Arial" w:hAnsi="Arial" w:cs="Arial"/>
              </w:rPr>
              <w:t>To what extent are the shared objective and deliverables documented in the SPFs aligned to partner mandates?</w:t>
            </w:r>
          </w:p>
        </w:tc>
        <w:tc>
          <w:tcPr>
            <w:tcW w:w="21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6EC3B3C5" w14:textId="77777777" w:rsidR="00214A27" w:rsidRDefault="00214A27">
            <w:pPr>
              <w:rPr>
                <w:rFonts w:ascii="Arial" w:eastAsia="Arial" w:hAnsi="Arial" w:cs="Arial"/>
              </w:rPr>
            </w:pPr>
            <w:r>
              <w:rPr>
                <w:rFonts w:ascii="Arial" w:eastAsia="Arial" w:hAnsi="Arial" w:cs="Arial"/>
              </w:rPr>
              <w:t xml:space="preserve">SPF Partners </w:t>
            </w:r>
          </w:p>
          <w:p w14:paraId="64D4758A" w14:textId="77777777" w:rsidR="00214A27" w:rsidRDefault="00214A27">
            <w:pPr>
              <w:rPr>
                <w:rFonts w:ascii="Arial" w:eastAsia="Arial" w:hAnsi="Arial" w:cs="Arial"/>
              </w:rPr>
            </w:pPr>
            <w:r>
              <w:rPr>
                <w:rFonts w:ascii="Arial" w:eastAsia="Arial" w:hAnsi="Arial" w:cs="Arial"/>
              </w:rPr>
              <w:t>DFAT</w:t>
            </w:r>
          </w:p>
        </w:tc>
        <w:tc>
          <w:tcPr>
            <w:tcW w:w="21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45AE1B67" w14:textId="77777777" w:rsidR="00214A27" w:rsidRPr="0EDF767E" w:rsidRDefault="00214A27">
            <w:pPr>
              <w:rPr>
                <w:rFonts w:ascii="Arial" w:eastAsia="Arial" w:hAnsi="Arial" w:cs="Arial"/>
              </w:rPr>
            </w:pPr>
            <w:r>
              <w:rPr>
                <w:rFonts w:ascii="Arial" w:eastAsia="Arial" w:hAnsi="Arial" w:cs="Arial"/>
              </w:rPr>
              <w:t>Survey</w:t>
            </w:r>
          </w:p>
        </w:tc>
        <w:tc>
          <w:tcPr>
            <w:tcW w:w="15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435E2A51" w14:textId="77777777" w:rsidR="00214A27" w:rsidRDefault="00214A27">
            <w:pPr>
              <w:rPr>
                <w:rFonts w:ascii="Arial" w:eastAsia="Arial" w:hAnsi="Arial" w:cs="Arial"/>
              </w:rPr>
            </w:pPr>
            <w:r>
              <w:rPr>
                <w:rFonts w:ascii="Arial" w:eastAsia="Arial" w:hAnsi="Arial" w:cs="Arial"/>
              </w:rPr>
              <w:t xml:space="preserve">Survey </w:t>
            </w:r>
          </w:p>
          <w:p w14:paraId="0E8A2E7C" w14:textId="77777777" w:rsidR="00214A27" w:rsidRDefault="00214A27">
            <w:pPr>
              <w:rPr>
                <w:rFonts w:ascii="Arial" w:eastAsia="Arial" w:hAnsi="Arial" w:cs="Arial"/>
              </w:rPr>
            </w:pPr>
          </w:p>
        </w:tc>
      </w:tr>
      <w:tr w:rsidR="00214A27" w14:paraId="5AD54F84" w14:textId="77777777" w:rsidTr="004C281F">
        <w:trPr>
          <w:trHeight w:val="300"/>
        </w:trPr>
        <w:tc>
          <w:tcPr>
            <w:tcW w:w="36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5B34C5C1" w14:textId="77777777" w:rsidR="00214A27" w:rsidRPr="00E8233F" w:rsidRDefault="00214A27" w:rsidP="00214A27">
            <w:pPr>
              <w:pStyle w:val="ListParagraph"/>
              <w:numPr>
                <w:ilvl w:val="1"/>
                <w:numId w:val="37"/>
              </w:numPr>
              <w:spacing w:after="0"/>
              <w:rPr>
                <w:rFonts w:ascii="Arial" w:eastAsia="Arial" w:hAnsi="Arial" w:cs="Arial"/>
              </w:rPr>
            </w:pPr>
            <w:r w:rsidRPr="00E8233F">
              <w:rPr>
                <w:rFonts w:ascii="Arial" w:eastAsia="Arial" w:hAnsi="Arial" w:cs="Arial"/>
              </w:rPr>
              <w:t xml:space="preserve">To what extent are partners monitoring and reporting progress against the shared objectives and deliverables documented in the SPF? </w:t>
            </w:r>
          </w:p>
        </w:tc>
        <w:tc>
          <w:tcPr>
            <w:tcW w:w="21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12936A83" w14:textId="77777777" w:rsidR="00214A27" w:rsidRDefault="00214A27">
            <w:pPr>
              <w:rPr>
                <w:rFonts w:ascii="Arial" w:eastAsia="Arial" w:hAnsi="Arial" w:cs="Arial"/>
              </w:rPr>
            </w:pPr>
            <w:r w:rsidRPr="2A1B2668">
              <w:rPr>
                <w:rFonts w:ascii="Arial" w:eastAsia="Arial" w:hAnsi="Arial" w:cs="Arial"/>
              </w:rPr>
              <w:t xml:space="preserve">DFAT managers of SPF partners or relevant investments, </w:t>
            </w:r>
          </w:p>
          <w:p w14:paraId="3C69DE8F" w14:textId="77777777" w:rsidR="00214A27" w:rsidRDefault="00214A27">
            <w:pPr>
              <w:rPr>
                <w:rFonts w:ascii="Arial" w:eastAsia="Arial" w:hAnsi="Arial" w:cs="Arial"/>
              </w:rPr>
            </w:pPr>
            <w:r w:rsidRPr="2A1B2668">
              <w:rPr>
                <w:rFonts w:ascii="Arial" w:eastAsia="Arial" w:hAnsi="Arial" w:cs="Arial"/>
              </w:rPr>
              <w:t>HSI performance manager</w:t>
            </w:r>
          </w:p>
          <w:p w14:paraId="448BEBEA" w14:textId="77777777" w:rsidR="00214A27" w:rsidRDefault="00214A27">
            <w:pPr>
              <w:rPr>
                <w:rFonts w:ascii="Arial" w:eastAsia="Arial" w:hAnsi="Arial" w:cs="Arial"/>
              </w:rPr>
            </w:pPr>
            <w:r>
              <w:rPr>
                <w:rFonts w:ascii="Arial" w:eastAsia="Arial" w:hAnsi="Arial" w:cs="Arial"/>
              </w:rPr>
              <w:t>PRD</w:t>
            </w:r>
          </w:p>
          <w:p w14:paraId="46E6534A" w14:textId="77777777" w:rsidR="00214A27" w:rsidRDefault="00214A27">
            <w:r>
              <w:rPr>
                <w:rFonts w:ascii="Arial" w:eastAsia="Arial" w:hAnsi="Arial" w:cs="Arial"/>
              </w:rPr>
              <w:t>SPF partners</w:t>
            </w:r>
          </w:p>
        </w:tc>
        <w:tc>
          <w:tcPr>
            <w:tcW w:w="21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0D160B36" w14:textId="77777777" w:rsidR="00214A27" w:rsidRDefault="00214A27">
            <w:pPr>
              <w:rPr>
                <w:rFonts w:ascii="Arial" w:eastAsia="Arial" w:hAnsi="Arial" w:cs="Arial"/>
              </w:rPr>
            </w:pPr>
            <w:r>
              <w:rPr>
                <w:rFonts w:ascii="Arial" w:eastAsia="Arial" w:hAnsi="Arial" w:cs="Arial"/>
              </w:rPr>
              <w:t>Survey</w:t>
            </w:r>
          </w:p>
          <w:p w14:paraId="21B8DB7A" w14:textId="77777777" w:rsidR="00214A27" w:rsidRDefault="00214A27">
            <w:pPr>
              <w:rPr>
                <w:rFonts w:ascii="Arial" w:eastAsia="Arial" w:hAnsi="Arial" w:cs="Arial"/>
              </w:rPr>
            </w:pPr>
            <w:r w:rsidRPr="2A1B2668">
              <w:rPr>
                <w:rFonts w:ascii="Arial" w:eastAsia="Arial" w:hAnsi="Arial" w:cs="Arial"/>
              </w:rPr>
              <w:t>KII IOD Parc, HSI</w:t>
            </w:r>
          </w:p>
          <w:p w14:paraId="4BC8AE63" w14:textId="77777777" w:rsidR="00214A27" w:rsidRDefault="00214A27">
            <w:r>
              <w:rPr>
                <w:rFonts w:ascii="Arial" w:eastAsia="Arial" w:hAnsi="Arial" w:cs="Arial"/>
              </w:rPr>
              <w:t>Case study</w:t>
            </w:r>
          </w:p>
        </w:tc>
        <w:tc>
          <w:tcPr>
            <w:tcW w:w="15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6CD6E859" w14:textId="77777777" w:rsidR="00214A27" w:rsidRDefault="00214A27">
            <w:pPr>
              <w:rPr>
                <w:rFonts w:ascii="Arial" w:eastAsia="Arial" w:hAnsi="Arial" w:cs="Arial"/>
              </w:rPr>
            </w:pPr>
            <w:r>
              <w:rPr>
                <w:rFonts w:ascii="Arial" w:eastAsia="Arial" w:hAnsi="Arial" w:cs="Arial"/>
              </w:rPr>
              <w:t xml:space="preserve">Survey </w:t>
            </w:r>
          </w:p>
          <w:p w14:paraId="0B9C9D1D" w14:textId="77777777" w:rsidR="00214A27" w:rsidRDefault="00214A27">
            <w:r>
              <w:rPr>
                <w:rFonts w:ascii="Arial" w:eastAsia="Arial" w:hAnsi="Arial" w:cs="Arial"/>
              </w:rPr>
              <w:t>KII Guide</w:t>
            </w:r>
          </w:p>
          <w:p w14:paraId="124421E7" w14:textId="77777777" w:rsidR="00214A27" w:rsidRDefault="00214A27"/>
        </w:tc>
      </w:tr>
      <w:tr w:rsidR="00214A27" w14:paraId="19D61DB1" w14:textId="77777777" w:rsidTr="004C281F">
        <w:trPr>
          <w:trHeight w:val="300"/>
        </w:trPr>
        <w:tc>
          <w:tcPr>
            <w:tcW w:w="36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4458686C" w14:textId="77777777" w:rsidR="00214A27" w:rsidRPr="00E8233F" w:rsidRDefault="00214A27" w:rsidP="00214A27">
            <w:pPr>
              <w:pStyle w:val="ListParagraph"/>
              <w:numPr>
                <w:ilvl w:val="1"/>
                <w:numId w:val="37"/>
              </w:numPr>
              <w:spacing w:after="0"/>
              <w:rPr>
                <w:rFonts w:ascii="Arial" w:eastAsia="Arial" w:hAnsi="Arial" w:cs="Arial"/>
              </w:rPr>
            </w:pPr>
            <w:r w:rsidRPr="2A1B2668">
              <w:rPr>
                <w:rFonts w:ascii="Arial" w:eastAsia="Arial" w:hAnsi="Arial" w:cs="Arial"/>
              </w:rPr>
              <w:t>To what extent do the EOLs address the shared objectives and deliverables documented in the SPFs?</w:t>
            </w:r>
          </w:p>
        </w:tc>
        <w:tc>
          <w:tcPr>
            <w:tcW w:w="21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0EAADF8A" w14:textId="77777777" w:rsidR="00214A27" w:rsidRDefault="00214A27">
            <w:r w:rsidRPr="005360BA">
              <w:t>SPF and EOL templates</w:t>
            </w:r>
            <w:r>
              <w:t xml:space="preserve"> </w:t>
            </w:r>
          </w:p>
          <w:p w14:paraId="4C4E5E9D" w14:textId="77777777" w:rsidR="00214A27" w:rsidRPr="005360BA" w:rsidRDefault="00214A27">
            <w:r>
              <w:t>DFAT managers of SPF partners or relevant investments</w:t>
            </w:r>
          </w:p>
          <w:p w14:paraId="759090B0" w14:textId="77777777" w:rsidR="00214A27" w:rsidRDefault="00214A27">
            <w:r>
              <w:t>DFAT Humanitarian advisers</w:t>
            </w:r>
          </w:p>
          <w:p w14:paraId="460BA01B" w14:textId="77777777" w:rsidR="00214A27" w:rsidRDefault="00214A27">
            <w:r>
              <w:t>DFAT desks / posts</w:t>
            </w:r>
          </w:p>
          <w:p w14:paraId="470A0280" w14:textId="77777777" w:rsidR="00214A27" w:rsidRPr="005360BA" w:rsidRDefault="00214A27">
            <w:r>
              <w:t>SPF partners</w:t>
            </w:r>
          </w:p>
        </w:tc>
        <w:tc>
          <w:tcPr>
            <w:tcW w:w="21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660EC868" w14:textId="77777777" w:rsidR="00214A27" w:rsidRDefault="00214A27">
            <w:r w:rsidRPr="005360BA">
              <w:t>Comparative analysis of SPF and EOL templates</w:t>
            </w:r>
          </w:p>
          <w:p w14:paraId="602B2ACD" w14:textId="77777777" w:rsidR="00214A27" w:rsidRDefault="00214A27">
            <w:r>
              <w:t>KII</w:t>
            </w:r>
          </w:p>
          <w:p w14:paraId="7315DF53" w14:textId="77777777" w:rsidR="00214A27" w:rsidRPr="005360BA" w:rsidRDefault="00214A27">
            <w:r>
              <w:t>Case study: analysis of SPF and EOLs for Bangladesh</w:t>
            </w:r>
          </w:p>
        </w:tc>
        <w:tc>
          <w:tcPr>
            <w:tcW w:w="15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29255FBA" w14:textId="77777777" w:rsidR="00214A27" w:rsidRDefault="00214A27">
            <w:r>
              <w:t>Analysis matrix</w:t>
            </w:r>
          </w:p>
        </w:tc>
      </w:tr>
      <w:tr w:rsidR="00214A27" w14:paraId="61A5D692" w14:textId="77777777" w:rsidTr="004C281F">
        <w:trPr>
          <w:trHeight w:val="300"/>
        </w:trPr>
        <w:tc>
          <w:tcPr>
            <w:tcW w:w="36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463DCED7" w14:textId="77777777" w:rsidR="00214A27" w:rsidRPr="2A1B2668" w:rsidRDefault="00214A27" w:rsidP="00214A27">
            <w:pPr>
              <w:pStyle w:val="ListParagraph"/>
              <w:numPr>
                <w:ilvl w:val="1"/>
                <w:numId w:val="37"/>
              </w:numPr>
              <w:spacing w:after="0"/>
              <w:rPr>
                <w:rFonts w:ascii="Arial" w:eastAsia="Arial" w:hAnsi="Arial" w:cs="Arial"/>
              </w:rPr>
            </w:pPr>
            <w:r>
              <w:rPr>
                <w:rFonts w:ascii="Arial" w:eastAsia="Arial" w:hAnsi="Arial" w:cs="Arial"/>
              </w:rPr>
              <w:t>To what extent have the documented partnership implementation activities agreed in the SPF been undertaken?</w:t>
            </w:r>
          </w:p>
        </w:tc>
        <w:tc>
          <w:tcPr>
            <w:tcW w:w="21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4C34E925" w14:textId="77777777" w:rsidR="00214A27" w:rsidRPr="005360BA" w:rsidRDefault="00214A27">
            <w:r>
              <w:t>DFAT managers of SPF partners</w:t>
            </w:r>
          </w:p>
        </w:tc>
        <w:tc>
          <w:tcPr>
            <w:tcW w:w="21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24E0FE85" w14:textId="77777777" w:rsidR="00214A27" w:rsidRPr="005360BA" w:rsidRDefault="00214A27">
            <w:r>
              <w:t>KII</w:t>
            </w:r>
          </w:p>
        </w:tc>
        <w:tc>
          <w:tcPr>
            <w:tcW w:w="15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6690F221" w14:textId="77777777" w:rsidR="00214A27" w:rsidRDefault="00214A27">
            <w:r>
              <w:t>KII Guide</w:t>
            </w:r>
          </w:p>
        </w:tc>
      </w:tr>
      <w:tr w:rsidR="00214A27" w14:paraId="150BA7A4" w14:textId="77777777" w:rsidTr="004C281F">
        <w:trPr>
          <w:trHeight w:val="300"/>
        </w:trPr>
        <w:tc>
          <w:tcPr>
            <w:tcW w:w="36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32257F2C" w14:textId="77777777" w:rsidR="00214A27" w:rsidRDefault="00214A27" w:rsidP="00214A27">
            <w:pPr>
              <w:pStyle w:val="ListParagraph"/>
              <w:numPr>
                <w:ilvl w:val="1"/>
                <w:numId w:val="37"/>
              </w:numPr>
              <w:spacing w:after="0"/>
              <w:rPr>
                <w:rFonts w:ascii="Arial" w:eastAsia="Arial" w:hAnsi="Arial" w:cs="Arial"/>
              </w:rPr>
            </w:pPr>
            <w:bookmarkStart w:id="22" w:name="_Hlk194228882"/>
            <w:r>
              <w:rPr>
                <w:rFonts w:ascii="Arial" w:eastAsia="Arial" w:hAnsi="Arial" w:cs="Arial"/>
              </w:rPr>
              <w:t>To what extent have SPFs as a modality influenced individual partner performance globally and at country level</w:t>
            </w:r>
            <w:r w:rsidRPr="00D960C3">
              <w:rPr>
                <w:rFonts w:ascii="Arial" w:eastAsia="Arial" w:hAnsi="Arial" w:cs="Arial"/>
              </w:rPr>
              <w:t>?</w:t>
            </w:r>
          </w:p>
          <w:p w14:paraId="638C968B" w14:textId="77777777" w:rsidR="00214A27" w:rsidRDefault="00214A27">
            <w:pPr>
              <w:pStyle w:val="ListParagraph"/>
              <w:spacing w:after="0"/>
              <w:ind w:left="360"/>
              <w:rPr>
                <w:rFonts w:ascii="Arial" w:eastAsia="Arial" w:hAnsi="Arial" w:cs="Arial"/>
              </w:rPr>
            </w:pPr>
          </w:p>
          <w:p w14:paraId="2378515A" w14:textId="77777777" w:rsidR="00214A27" w:rsidRDefault="00214A27" w:rsidP="00214A27">
            <w:pPr>
              <w:pStyle w:val="ListParagraph"/>
              <w:numPr>
                <w:ilvl w:val="2"/>
                <w:numId w:val="37"/>
              </w:numPr>
              <w:spacing w:after="0"/>
              <w:rPr>
                <w:rFonts w:ascii="Arial" w:eastAsia="Arial" w:hAnsi="Arial" w:cs="Arial"/>
              </w:rPr>
            </w:pPr>
            <w:r>
              <w:rPr>
                <w:rFonts w:ascii="Arial" w:eastAsia="Arial" w:hAnsi="Arial" w:cs="Arial"/>
              </w:rPr>
              <w:t>To what extent have SPFs as a modality influenced partner engagement in the Indo-Pacific region (positively or negatively)</w:t>
            </w:r>
          </w:p>
          <w:p w14:paraId="59D5B107" w14:textId="77777777" w:rsidR="00214A27" w:rsidRPr="00E8233F" w:rsidRDefault="00214A27" w:rsidP="00214A27">
            <w:pPr>
              <w:pStyle w:val="ListParagraph"/>
              <w:numPr>
                <w:ilvl w:val="2"/>
                <w:numId w:val="37"/>
              </w:numPr>
              <w:spacing w:after="0"/>
              <w:rPr>
                <w:rFonts w:ascii="Arial" w:eastAsia="Arial" w:hAnsi="Arial" w:cs="Arial"/>
              </w:rPr>
            </w:pPr>
            <w:r>
              <w:rPr>
                <w:rFonts w:ascii="Arial" w:eastAsia="Arial" w:hAnsi="Arial" w:cs="Arial"/>
              </w:rPr>
              <w:t xml:space="preserve">To what extent have SPFs as a modality influenced partner </w:t>
            </w:r>
            <w:r>
              <w:rPr>
                <w:rFonts w:ascii="Arial" w:eastAsia="Arial" w:hAnsi="Arial" w:cs="Arial"/>
              </w:rPr>
              <w:lastRenderedPageBreak/>
              <w:t>engagement on gender equality and disability (positively or negatively)?</w:t>
            </w:r>
            <w:r w:rsidRPr="00D960C3">
              <w:rPr>
                <w:rFonts w:ascii="Arial" w:eastAsia="Arial" w:hAnsi="Arial" w:cs="Arial"/>
              </w:rPr>
              <w:t xml:space="preserve"> </w:t>
            </w:r>
          </w:p>
        </w:tc>
        <w:tc>
          <w:tcPr>
            <w:tcW w:w="21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75F53062" w14:textId="77777777" w:rsidR="00214A27" w:rsidRPr="005360BA" w:rsidRDefault="00214A27">
            <w:r>
              <w:lastRenderedPageBreak/>
              <w:t>DFAT managers of SPF partners or relevant investments</w:t>
            </w:r>
          </w:p>
          <w:p w14:paraId="5A4E0D72" w14:textId="77777777" w:rsidR="00214A27" w:rsidRDefault="00214A27">
            <w:r>
              <w:t>HSI performance manager</w:t>
            </w:r>
          </w:p>
          <w:p w14:paraId="7F66B357" w14:textId="77777777" w:rsidR="00214A27" w:rsidRDefault="00214A27">
            <w:r>
              <w:t>SPF partners</w:t>
            </w:r>
          </w:p>
          <w:p w14:paraId="21FB0426" w14:textId="77777777" w:rsidR="00214A27" w:rsidRPr="005360BA" w:rsidRDefault="00214A27">
            <w:r>
              <w:t>OTP</w:t>
            </w:r>
          </w:p>
        </w:tc>
        <w:tc>
          <w:tcPr>
            <w:tcW w:w="21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35DADCE1" w14:textId="77777777" w:rsidR="00214A27" w:rsidRDefault="00214A27">
            <w:pPr>
              <w:rPr>
                <w:rFonts w:ascii="Arial" w:eastAsia="Arial" w:hAnsi="Arial" w:cs="Arial"/>
              </w:rPr>
            </w:pPr>
            <w:r>
              <w:rPr>
                <w:rFonts w:ascii="Arial" w:eastAsia="Arial" w:hAnsi="Arial" w:cs="Arial"/>
              </w:rPr>
              <w:t>Survey</w:t>
            </w:r>
          </w:p>
          <w:p w14:paraId="28586A9F" w14:textId="77777777" w:rsidR="00214A27" w:rsidRDefault="00214A27">
            <w:pPr>
              <w:rPr>
                <w:rFonts w:ascii="Arial" w:eastAsia="Arial" w:hAnsi="Arial" w:cs="Arial"/>
              </w:rPr>
            </w:pPr>
            <w:r>
              <w:rPr>
                <w:rFonts w:ascii="Arial" w:eastAsia="Arial" w:hAnsi="Arial" w:cs="Arial"/>
              </w:rPr>
              <w:t>KII</w:t>
            </w:r>
          </w:p>
          <w:p w14:paraId="62FF2928" w14:textId="77777777" w:rsidR="00214A27" w:rsidRPr="005360BA" w:rsidRDefault="00214A27">
            <w:r>
              <w:rPr>
                <w:rFonts w:ascii="Arial" w:eastAsia="Arial" w:hAnsi="Arial" w:cs="Arial"/>
              </w:rPr>
              <w:t xml:space="preserve">Case study </w:t>
            </w:r>
          </w:p>
        </w:tc>
        <w:tc>
          <w:tcPr>
            <w:tcW w:w="15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71DAC3BD" w14:textId="77777777" w:rsidR="00214A27" w:rsidRDefault="00214A27">
            <w:pPr>
              <w:rPr>
                <w:rFonts w:ascii="Arial" w:eastAsia="Arial" w:hAnsi="Arial" w:cs="Arial"/>
              </w:rPr>
            </w:pPr>
            <w:r>
              <w:rPr>
                <w:rFonts w:ascii="Arial" w:eastAsia="Arial" w:hAnsi="Arial" w:cs="Arial"/>
              </w:rPr>
              <w:t xml:space="preserve">Survey </w:t>
            </w:r>
          </w:p>
          <w:p w14:paraId="70940C30" w14:textId="77777777" w:rsidR="00214A27" w:rsidRDefault="00214A27">
            <w:pPr>
              <w:rPr>
                <w:rFonts w:ascii="Arial" w:eastAsia="Arial" w:hAnsi="Arial" w:cs="Arial"/>
              </w:rPr>
            </w:pPr>
            <w:r>
              <w:rPr>
                <w:rFonts w:ascii="Arial" w:eastAsia="Arial" w:hAnsi="Arial" w:cs="Arial"/>
              </w:rPr>
              <w:t>KII Guide</w:t>
            </w:r>
          </w:p>
          <w:p w14:paraId="7AA4883E" w14:textId="77777777" w:rsidR="00214A27" w:rsidRDefault="00214A27"/>
        </w:tc>
      </w:tr>
      <w:bookmarkEnd w:id="22"/>
      <w:tr w:rsidR="00214A27" w14:paraId="2A31642F" w14:textId="77777777" w:rsidTr="004C281F">
        <w:trPr>
          <w:trHeight w:val="300"/>
        </w:trPr>
        <w:tc>
          <w:tcPr>
            <w:tcW w:w="36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7B2AEE74" w14:textId="77777777" w:rsidR="00214A27" w:rsidRPr="00D960C3" w:rsidRDefault="00214A27" w:rsidP="00214A27">
            <w:pPr>
              <w:pStyle w:val="ListParagraph"/>
              <w:numPr>
                <w:ilvl w:val="1"/>
                <w:numId w:val="37"/>
              </w:numPr>
              <w:spacing w:after="0"/>
              <w:rPr>
                <w:rFonts w:ascii="Arial" w:eastAsia="Arial" w:hAnsi="Arial" w:cs="Arial"/>
              </w:rPr>
            </w:pPr>
            <w:r>
              <w:rPr>
                <w:rFonts w:ascii="Arial" w:eastAsia="Arial" w:hAnsi="Arial" w:cs="Arial"/>
              </w:rPr>
              <w:t xml:space="preserve">To what extent have SPFs strengthened Australia’s influence and international standing? </w:t>
            </w:r>
          </w:p>
        </w:tc>
        <w:tc>
          <w:tcPr>
            <w:tcW w:w="21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390ADAF7" w14:textId="77777777" w:rsidR="00214A27" w:rsidRPr="005360BA" w:rsidRDefault="00214A27">
            <w:r>
              <w:t xml:space="preserve">DFAT multilateral posts </w:t>
            </w:r>
          </w:p>
          <w:p w14:paraId="707F1543" w14:textId="77777777" w:rsidR="00214A27" w:rsidRPr="005360BA" w:rsidRDefault="00214A27">
            <w:r>
              <w:t>DFAT managers of SPF partners or relevant investments</w:t>
            </w:r>
          </w:p>
          <w:p w14:paraId="565F9BE2" w14:textId="77777777" w:rsidR="00214A27" w:rsidRDefault="00214A27">
            <w:r>
              <w:t>SPF partners</w:t>
            </w:r>
          </w:p>
          <w:p w14:paraId="2CEC0059" w14:textId="77777777" w:rsidR="00214A27" w:rsidRDefault="00214A27">
            <w:r>
              <w:t>Other donors</w:t>
            </w:r>
          </w:p>
        </w:tc>
        <w:tc>
          <w:tcPr>
            <w:tcW w:w="21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74D6289A" w14:textId="77777777" w:rsidR="00214A27" w:rsidRDefault="00214A27">
            <w:pPr>
              <w:rPr>
                <w:rFonts w:ascii="Arial" w:eastAsia="Arial" w:hAnsi="Arial" w:cs="Arial"/>
              </w:rPr>
            </w:pPr>
            <w:r>
              <w:rPr>
                <w:rFonts w:ascii="Arial" w:eastAsia="Arial" w:hAnsi="Arial" w:cs="Arial"/>
              </w:rPr>
              <w:t>Survey</w:t>
            </w:r>
          </w:p>
          <w:p w14:paraId="56E086B8" w14:textId="77777777" w:rsidR="00214A27" w:rsidRDefault="00214A27">
            <w:pPr>
              <w:rPr>
                <w:rFonts w:ascii="Arial" w:eastAsia="Arial" w:hAnsi="Arial" w:cs="Arial"/>
              </w:rPr>
            </w:pPr>
            <w:r>
              <w:rPr>
                <w:rFonts w:ascii="Arial" w:eastAsia="Arial" w:hAnsi="Arial" w:cs="Arial"/>
              </w:rPr>
              <w:t>KII</w:t>
            </w:r>
          </w:p>
          <w:p w14:paraId="7E9D1489" w14:textId="77777777" w:rsidR="00214A27" w:rsidRDefault="00214A27">
            <w:pPr>
              <w:rPr>
                <w:rFonts w:ascii="Arial" w:eastAsia="Arial" w:hAnsi="Arial" w:cs="Arial"/>
              </w:rPr>
            </w:pPr>
            <w:r>
              <w:rPr>
                <w:rFonts w:ascii="Arial" w:eastAsia="Arial" w:hAnsi="Arial" w:cs="Arial"/>
              </w:rPr>
              <w:t>Case study</w:t>
            </w:r>
          </w:p>
        </w:tc>
        <w:tc>
          <w:tcPr>
            <w:tcW w:w="15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6B29C7D9" w14:textId="77777777" w:rsidR="00214A27" w:rsidRDefault="00214A27">
            <w:pPr>
              <w:rPr>
                <w:rFonts w:ascii="Arial" w:eastAsia="Arial" w:hAnsi="Arial" w:cs="Arial"/>
              </w:rPr>
            </w:pPr>
            <w:r>
              <w:rPr>
                <w:rFonts w:ascii="Arial" w:eastAsia="Arial" w:hAnsi="Arial" w:cs="Arial"/>
              </w:rPr>
              <w:t xml:space="preserve">Survey </w:t>
            </w:r>
          </w:p>
          <w:p w14:paraId="3CE4C83E" w14:textId="77777777" w:rsidR="00214A27" w:rsidRDefault="00214A27">
            <w:pPr>
              <w:rPr>
                <w:rFonts w:ascii="Arial" w:eastAsia="Arial" w:hAnsi="Arial" w:cs="Arial"/>
              </w:rPr>
            </w:pPr>
            <w:r>
              <w:rPr>
                <w:rFonts w:ascii="Arial" w:eastAsia="Arial" w:hAnsi="Arial" w:cs="Arial"/>
              </w:rPr>
              <w:t>KII Guide</w:t>
            </w:r>
          </w:p>
          <w:p w14:paraId="2FE2C878" w14:textId="77777777" w:rsidR="00214A27" w:rsidRDefault="00214A27">
            <w:pPr>
              <w:rPr>
                <w:rFonts w:ascii="Arial" w:eastAsia="Arial" w:hAnsi="Arial" w:cs="Arial"/>
              </w:rPr>
            </w:pPr>
          </w:p>
        </w:tc>
      </w:tr>
      <w:tr w:rsidR="00214A27" w14:paraId="5D4FEF4B" w14:textId="77777777" w:rsidTr="004C281F">
        <w:trPr>
          <w:trHeight w:val="1742"/>
        </w:trPr>
        <w:tc>
          <w:tcPr>
            <w:tcW w:w="36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43DD2894" w14:textId="77777777" w:rsidR="00214A27" w:rsidRPr="00E8233F" w:rsidRDefault="00214A27" w:rsidP="00214A27">
            <w:pPr>
              <w:pStyle w:val="ListParagraph"/>
              <w:numPr>
                <w:ilvl w:val="1"/>
                <w:numId w:val="37"/>
              </w:numPr>
              <w:spacing w:after="0"/>
              <w:rPr>
                <w:rFonts w:ascii="Arial" w:eastAsia="Arial" w:hAnsi="Arial" w:cs="Arial"/>
              </w:rPr>
            </w:pPr>
            <w:r w:rsidRPr="00EC0A75">
              <w:rPr>
                <w:rFonts w:ascii="Arial" w:eastAsia="Arial" w:hAnsi="Arial" w:cs="Arial"/>
              </w:rPr>
              <w:t>What changes may be needed to strengthen the coherence between core funding through SPFs and</w:t>
            </w:r>
            <w:r>
              <w:rPr>
                <w:rFonts w:ascii="Arial" w:eastAsia="Arial" w:hAnsi="Arial" w:cs="Arial"/>
              </w:rPr>
              <w:t xml:space="preserve"> country</w:t>
            </w:r>
            <w:r w:rsidRPr="00EC0A75">
              <w:rPr>
                <w:rFonts w:ascii="Arial" w:eastAsia="Arial" w:hAnsi="Arial" w:cs="Arial"/>
              </w:rPr>
              <w:t xml:space="preserve"> funding through the EOLs?</w:t>
            </w:r>
          </w:p>
        </w:tc>
        <w:tc>
          <w:tcPr>
            <w:tcW w:w="21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166A96E0" w14:textId="77777777" w:rsidR="00214A27" w:rsidRPr="005360BA" w:rsidRDefault="00214A27">
            <w:r>
              <w:t>DFAT managers of SPF partners or relevant investments</w:t>
            </w:r>
          </w:p>
          <w:p w14:paraId="122AD270" w14:textId="77777777" w:rsidR="00214A27" w:rsidRDefault="00214A27">
            <w:r>
              <w:t>DFAT Humanitarian advisers</w:t>
            </w:r>
          </w:p>
          <w:p w14:paraId="0FD7DBF8" w14:textId="77777777" w:rsidR="00214A27" w:rsidRDefault="00214A27">
            <w:r>
              <w:t>SPF partners</w:t>
            </w:r>
          </w:p>
          <w:p w14:paraId="671E854B" w14:textId="77777777" w:rsidR="00214A27" w:rsidRPr="005360BA" w:rsidRDefault="00214A27">
            <w:r>
              <w:t>SPFs and EOLs in Bangladesh</w:t>
            </w:r>
          </w:p>
        </w:tc>
        <w:tc>
          <w:tcPr>
            <w:tcW w:w="21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18EC8409" w14:textId="77777777" w:rsidR="00214A27" w:rsidRDefault="00214A27">
            <w:pPr>
              <w:rPr>
                <w:rFonts w:ascii="Arial" w:eastAsia="Arial" w:hAnsi="Arial" w:cs="Arial"/>
              </w:rPr>
            </w:pPr>
            <w:r>
              <w:rPr>
                <w:rFonts w:ascii="Arial" w:eastAsia="Arial" w:hAnsi="Arial" w:cs="Arial"/>
              </w:rPr>
              <w:t>KII</w:t>
            </w:r>
          </w:p>
          <w:p w14:paraId="4492156D" w14:textId="77777777" w:rsidR="00214A27" w:rsidRDefault="00214A27">
            <w:pPr>
              <w:rPr>
                <w:rFonts w:ascii="Arial" w:eastAsia="Arial" w:hAnsi="Arial" w:cs="Arial"/>
              </w:rPr>
            </w:pPr>
            <w:r>
              <w:rPr>
                <w:rFonts w:ascii="Arial" w:eastAsia="Arial" w:hAnsi="Arial" w:cs="Arial"/>
              </w:rPr>
              <w:t xml:space="preserve">Case study </w:t>
            </w:r>
          </w:p>
          <w:p w14:paraId="334CCD5E" w14:textId="77777777" w:rsidR="00214A27" w:rsidRPr="005360BA" w:rsidRDefault="00214A27">
            <w:r>
              <w:rPr>
                <w:rFonts w:ascii="Arial" w:eastAsia="Arial" w:hAnsi="Arial" w:cs="Arial"/>
              </w:rPr>
              <w:t>Document review</w:t>
            </w:r>
          </w:p>
        </w:tc>
        <w:tc>
          <w:tcPr>
            <w:tcW w:w="15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5" w:type="dxa"/>
              <w:left w:w="85" w:type="dxa"/>
              <w:bottom w:w="85" w:type="dxa"/>
              <w:right w:w="85" w:type="dxa"/>
            </w:tcMar>
          </w:tcPr>
          <w:p w14:paraId="246F4FAA" w14:textId="77777777" w:rsidR="00214A27" w:rsidRPr="00A86266" w:rsidRDefault="00214A27">
            <w:pPr>
              <w:rPr>
                <w:rFonts w:ascii="Arial" w:eastAsia="Arial" w:hAnsi="Arial" w:cs="Arial"/>
              </w:rPr>
            </w:pPr>
            <w:r>
              <w:rPr>
                <w:rFonts w:ascii="Arial" w:eastAsia="Arial" w:hAnsi="Arial" w:cs="Arial"/>
              </w:rPr>
              <w:t>KII Guide</w:t>
            </w:r>
          </w:p>
        </w:tc>
      </w:tr>
    </w:tbl>
    <w:p w14:paraId="7E83DEA3" w14:textId="77777777" w:rsidR="00E349C1" w:rsidRDefault="00E349C1" w:rsidP="00214A27">
      <w:pPr>
        <w:spacing w:before="240"/>
        <w:rPr>
          <w:rFonts w:ascii="Arial" w:eastAsia="Arial" w:hAnsi="Arial" w:cs="Arial"/>
          <w:b/>
          <w:bCs/>
        </w:rPr>
      </w:pPr>
    </w:p>
    <w:p w14:paraId="5A35ABE4" w14:textId="77777777" w:rsidR="00E349C1" w:rsidRDefault="00E349C1">
      <w:pPr>
        <w:spacing w:after="0" w:line="240" w:lineRule="auto"/>
        <w:rPr>
          <w:rFonts w:ascii="Arial" w:eastAsia="Arial" w:hAnsi="Arial" w:cs="Arial"/>
          <w:b/>
          <w:bCs/>
        </w:rPr>
      </w:pPr>
      <w:r>
        <w:rPr>
          <w:rFonts w:ascii="Arial" w:eastAsia="Arial" w:hAnsi="Arial" w:cs="Arial"/>
          <w:b/>
          <w:bCs/>
        </w:rPr>
        <w:br w:type="page"/>
      </w:r>
    </w:p>
    <w:p w14:paraId="5E9BF579" w14:textId="24012002" w:rsidR="00214A27" w:rsidRDefault="00214A27" w:rsidP="00214A27">
      <w:pPr>
        <w:spacing w:before="240"/>
      </w:pPr>
      <w:r w:rsidRPr="2AD67AEA">
        <w:rPr>
          <w:rFonts w:ascii="Arial" w:eastAsia="Arial" w:hAnsi="Arial" w:cs="Arial"/>
          <w:b/>
          <w:bCs/>
        </w:rPr>
        <w:lastRenderedPageBreak/>
        <w:t xml:space="preserve">KEQ3: </w:t>
      </w:r>
      <w:r w:rsidRPr="000425B4">
        <w:rPr>
          <w:rFonts w:ascii="Arial" w:eastAsia="Arial" w:hAnsi="Arial" w:cs="Arial"/>
          <w:b/>
          <w:bCs/>
        </w:rPr>
        <w:t xml:space="preserve">To what extent are the SPFs an efficient financial, compliance and partnership modality for DFAT and Partners? </w:t>
      </w:r>
      <w:r w:rsidRPr="2AD67AEA">
        <w:rPr>
          <w:rFonts w:ascii="Arial" w:eastAsia="Arial" w:hAnsi="Arial" w:cs="Arial"/>
          <w:b/>
          <w:bCs/>
        </w:rPr>
        <w:t xml:space="preserve">(EFFICIENCY) </w:t>
      </w:r>
    </w:p>
    <w:tbl>
      <w:tblPr>
        <w:tblStyle w:val="TableGrid"/>
        <w:tblW w:w="0" w:type="auto"/>
        <w:tblLayout w:type="fixed"/>
        <w:tblLook w:val="04A0" w:firstRow="1" w:lastRow="0" w:firstColumn="1" w:lastColumn="0" w:noHBand="0" w:noVBand="1"/>
      </w:tblPr>
      <w:tblGrid>
        <w:gridCol w:w="2825"/>
        <w:gridCol w:w="2835"/>
        <w:gridCol w:w="2410"/>
        <w:gridCol w:w="1308"/>
      </w:tblGrid>
      <w:tr w:rsidR="00214A27" w14:paraId="21478D3A" w14:textId="77777777" w:rsidTr="004C281F">
        <w:trPr>
          <w:trHeight w:val="300"/>
          <w:tblHeader/>
        </w:trPr>
        <w:tc>
          <w:tcPr>
            <w:tcW w:w="2825" w:type="dxa"/>
            <w:tcBorders>
              <w:top w:val="single" w:sz="8" w:space="0" w:color="auto"/>
              <w:left w:val="single" w:sz="8" w:space="0" w:color="auto"/>
              <w:bottom w:val="single" w:sz="8" w:space="0" w:color="auto"/>
              <w:right w:val="single" w:sz="8" w:space="0" w:color="auto"/>
            </w:tcBorders>
            <w:shd w:val="clear" w:color="auto" w:fill="DFF5F8" w:themeFill="accent5" w:themeFillTint="33"/>
            <w:tcMar>
              <w:left w:w="108" w:type="dxa"/>
              <w:right w:w="108" w:type="dxa"/>
            </w:tcMar>
          </w:tcPr>
          <w:p w14:paraId="20250C02" w14:textId="77777777" w:rsidR="00214A27" w:rsidRDefault="00214A27">
            <w:bookmarkStart w:id="23" w:name="_Hlk205973321"/>
            <w:r w:rsidRPr="0EDF767E">
              <w:rPr>
                <w:rFonts w:ascii="Arial" w:eastAsia="Arial" w:hAnsi="Arial" w:cs="Arial"/>
                <w:b/>
                <w:bCs/>
              </w:rPr>
              <w:t>Sub-Question</w:t>
            </w:r>
          </w:p>
        </w:tc>
        <w:tc>
          <w:tcPr>
            <w:tcW w:w="2835" w:type="dxa"/>
            <w:tcBorders>
              <w:top w:val="single" w:sz="8" w:space="0" w:color="auto"/>
              <w:left w:val="single" w:sz="8" w:space="0" w:color="auto"/>
              <w:bottom w:val="single" w:sz="8" w:space="0" w:color="auto"/>
              <w:right w:val="single" w:sz="8" w:space="0" w:color="auto"/>
            </w:tcBorders>
            <w:shd w:val="clear" w:color="auto" w:fill="DFF5F8" w:themeFill="accent5" w:themeFillTint="33"/>
            <w:tcMar>
              <w:left w:w="108" w:type="dxa"/>
              <w:right w:w="108" w:type="dxa"/>
            </w:tcMar>
          </w:tcPr>
          <w:p w14:paraId="484A7587" w14:textId="77777777" w:rsidR="00214A27" w:rsidRDefault="00214A27">
            <w:r w:rsidRPr="0EDF767E">
              <w:rPr>
                <w:rFonts w:ascii="Arial" w:eastAsia="Arial" w:hAnsi="Arial" w:cs="Arial"/>
                <w:b/>
                <w:bCs/>
              </w:rPr>
              <w:t xml:space="preserve">Data Source </w:t>
            </w:r>
          </w:p>
        </w:tc>
        <w:tc>
          <w:tcPr>
            <w:tcW w:w="2410" w:type="dxa"/>
            <w:tcBorders>
              <w:top w:val="single" w:sz="8" w:space="0" w:color="auto"/>
              <w:left w:val="single" w:sz="8" w:space="0" w:color="auto"/>
              <w:bottom w:val="single" w:sz="8" w:space="0" w:color="auto"/>
              <w:right w:val="single" w:sz="8" w:space="0" w:color="auto"/>
            </w:tcBorders>
            <w:shd w:val="clear" w:color="auto" w:fill="DFF5F8" w:themeFill="accent5" w:themeFillTint="33"/>
            <w:tcMar>
              <w:left w:w="108" w:type="dxa"/>
              <w:right w:w="108" w:type="dxa"/>
            </w:tcMar>
          </w:tcPr>
          <w:p w14:paraId="6B8B9CD9" w14:textId="77777777" w:rsidR="00214A27" w:rsidRDefault="00214A27">
            <w:r w:rsidRPr="0EDF767E">
              <w:rPr>
                <w:rFonts w:ascii="Arial" w:eastAsia="Arial" w:hAnsi="Arial" w:cs="Arial"/>
                <w:b/>
                <w:bCs/>
              </w:rPr>
              <w:t xml:space="preserve">Method </w:t>
            </w:r>
          </w:p>
        </w:tc>
        <w:tc>
          <w:tcPr>
            <w:tcW w:w="1308" w:type="dxa"/>
            <w:tcBorders>
              <w:top w:val="single" w:sz="8" w:space="0" w:color="auto"/>
              <w:left w:val="single" w:sz="8" w:space="0" w:color="auto"/>
              <w:bottom w:val="single" w:sz="8" w:space="0" w:color="auto"/>
              <w:right w:val="single" w:sz="8" w:space="0" w:color="auto"/>
            </w:tcBorders>
            <w:shd w:val="clear" w:color="auto" w:fill="DFF5F8" w:themeFill="accent5" w:themeFillTint="33"/>
            <w:tcMar>
              <w:left w:w="108" w:type="dxa"/>
              <w:right w:w="108" w:type="dxa"/>
            </w:tcMar>
          </w:tcPr>
          <w:p w14:paraId="660D24BE" w14:textId="77777777" w:rsidR="00214A27" w:rsidRDefault="00214A27">
            <w:r w:rsidRPr="0EDF767E">
              <w:rPr>
                <w:rFonts w:ascii="Arial" w:eastAsia="Arial" w:hAnsi="Arial" w:cs="Arial"/>
                <w:b/>
                <w:bCs/>
              </w:rPr>
              <w:t xml:space="preserve">Tools </w:t>
            </w:r>
          </w:p>
        </w:tc>
      </w:tr>
      <w:bookmarkEnd w:id="23"/>
      <w:tr w:rsidR="00214A27" w14:paraId="315C8BE9" w14:textId="77777777" w:rsidTr="004C281F">
        <w:trPr>
          <w:trHeight w:val="1397"/>
        </w:trPr>
        <w:tc>
          <w:tcPr>
            <w:tcW w:w="28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101BBBE" w14:textId="77777777" w:rsidR="00214A27" w:rsidRPr="00A86266" w:rsidRDefault="00214A27" w:rsidP="00214A27">
            <w:pPr>
              <w:pStyle w:val="ListParagraph"/>
              <w:numPr>
                <w:ilvl w:val="1"/>
                <w:numId w:val="38"/>
              </w:numPr>
              <w:spacing w:after="0"/>
              <w:rPr>
                <w:rFonts w:ascii="Arial" w:eastAsia="Arial" w:hAnsi="Arial" w:cs="Arial"/>
              </w:rPr>
            </w:pPr>
            <w:r w:rsidRPr="00A86266">
              <w:rPr>
                <w:rFonts w:ascii="Arial" w:eastAsia="Arial" w:hAnsi="Arial" w:cs="Arial"/>
              </w:rPr>
              <w:t xml:space="preserve">To what extent have SPFs maximised programming efficiencies and decreased </w:t>
            </w:r>
            <w:r>
              <w:rPr>
                <w:rFonts w:ascii="Arial" w:eastAsia="Arial" w:hAnsi="Arial" w:cs="Arial"/>
              </w:rPr>
              <w:t>overhead</w:t>
            </w:r>
            <w:r w:rsidRPr="00A86266">
              <w:rPr>
                <w:rFonts w:ascii="Arial" w:eastAsia="Arial" w:hAnsi="Arial" w:cs="Arial"/>
              </w:rPr>
              <w:t xml:space="preserve"> and related costs for DFAT and partners?</w:t>
            </w:r>
          </w:p>
        </w:tc>
        <w:tc>
          <w:tcPr>
            <w:tcW w:w="28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A8C416A" w14:textId="77777777" w:rsidR="00214A27" w:rsidRPr="005360BA" w:rsidRDefault="00214A27">
            <w:r>
              <w:t>DFAT managers of SPF partners globally and relevant investments</w:t>
            </w:r>
          </w:p>
          <w:p w14:paraId="01B64DBD" w14:textId="77777777" w:rsidR="00214A27" w:rsidRDefault="00214A27">
            <w:r>
              <w:t>Humanitarian Advisers</w:t>
            </w:r>
          </w:p>
          <w:p w14:paraId="49D0F10D" w14:textId="77777777" w:rsidR="00214A27" w:rsidRPr="0097527E" w:rsidRDefault="00214A27">
            <w:pPr>
              <w:rPr>
                <w:rFonts w:ascii="Arial" w:eastAsia="Arial" w:hAnsi="Arial" w:cs="Arial"/>
              </w:rPr>
            </w:pPr>
            <w:r>
              <w:t>SPF partners</w:t>
            </w:r>
          </w:p>
        </w:tc>
        <w:tc>
          <w:tcPr>
            <w:tcW w:w="241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FBC4BB3" w14:textId="77777777" w:rsidR="00214A27" w:rsidRDefault="00214A27">
            <w:pPr>
              <w:rPr>
                <w:rFonts w:ascii="Arial" w:eastAsia="Arial" w:hAnsi="Arial" w:cs="Arial"/>
              </w:rPr>
            </w:pPr>
            <w:r>
              <w:rPr>
                <w:rFonts w:ascii="Arial" w:eastAsia="Arial" w:hAnsi="Arial" w:cs="Arial"/>
              </w:rPr>
              <w:t>Survey</w:t>
            </w:r>
          </w:p>
          <w:p w14:paraId="25B109EA" w14:textId="77777777" w:rsidR="00214A27" w:rsidRDefault="00214A27">
            <w:pPr>
              <w:rPr>
                <w:rFonts w:ascii="Arial" w:eastAsia="Arial" w:hAnsi="Arial" w:cs="Arial"/>
              </w:rPr>
            </w:pPr>
            <w:r>
              <w:rPr>
                <w:rFonts w:ascii="Arial" w:eastAsia="Arial" w:hAnsi="Arial" w:cs="Arial"/>
              </w:rPr>
              <w:t>KIIs</w:t>
            </w:r>
          </w:p>
          <w:p w14:paraId="13D62177" w14:textId="77777777" w:rsidR="00214A27" w:rsidRDefault="00214A27">
            <w:r>
              <w:rPr>
                <w:rFonts w:ascii="Arial" w:eastAsia="Arial" w:hAnsi="Arial" w:cs="Arial"/>
              </w:rPr>
              <w:t>Case Study</w:t>
            </w:r>
          </w:p>
        </w:tc>
        <w:tc>
          <w:tcPr>
            <w:tcW w:w="130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8CE8256" w14:textId="77777777" w:rsidR="00214A27" w:rsidRDefault="00214A27">
            <w:pPr>
              <w:rPr>
                <w:rFonts w:ascii="Arial" w:eastAsia="Arial" w:hAnsi="Arial" w:cs="Arial"/>
              </w:rPr>
            </w:pPr>
            <w:r>
              <w:rPr>
                <w:rFonts w:ascii="Arial" w:eastAsia="Arial" w:hAnsi="Arial" w:cs="Arial"/>
              </w:rPr>
              <w:t xml:space="preserve">Survey </w:t>
            </w:r>
          </w:p>
          <w:p w14:paraId="456AE83F" w14:textId="77777777" w:rsidR="00214A27" w:rsidRDefault="00214A27">
            <w:r>
              <w:rPr>
                <w:rFonts w:ascii="Arial" w:eastAsia="Arial" w:hAnsi="Arial" w:cs="Arial"/>
              </w:rPr>
              <w:t>KII Guide</w:t>
            </w:r>
          </w:p>
        </w:tc>
      </w:tr>
      <w:tr w:rsidR="00214A27" w14:paraId="0CEFC7A8" w14:textId="77777777" w:rsidTr="004C281F">
        <w:trPr>
          <w:trHeight w:val="300"/>
        </w:trPr>
        <w:tc>
          <w:tcPr>
            <w:tcW w:w="28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6702703" w14:textId="77777777" w:rsidR="00214A27" w:rsidRPr="00A86266" w:rsidRDefault="00214A27" w:rsidP="00214A27">
            <w:pPr>
              <w:pStyle w:val="ListParagraph"/>
              <w:numPr>
                <w:ilvl w:val="1"/>
                <w:numId w:val="38"/>
              </w:numPr>
              <w:spacing w:after="0"/>
              <w:rPr>
                <w:rFonts w:ascii="Arial" w:eastAsia="Arial" w:hAnsi="Arial" w:cs="Arial"/>
              </w:rPr>
            </w:pPr>
            <w:r w:rsidRPr="00A86266">
              <w:rPr>
                <w:rFonts w:ascii="Arial" w:eastAsia="Arial" w:hAnsi="Arial" w:cs="Arial"/>
              </w:rPr>
              <w:t xml:space="preserve">To what extent have SPFs supported timely and efficient humanitarian responses </w:t>
            </w:r>
            <w:r w:rsidRPr="00487293">
              <w:rPr>
                <w:rFonts w:ascii="Arial" w:eastAsia="Arial" w:hAnsi="Arial" w:cs="Arial"/>
              </w:rPr>
              <w:t>through the provision of funding that is earmarked to respond to humanitarian crises?</w:t>
            </w:r>
          </w:p>
          <w:p w14:paraId="57956EDD" w14:textId="77777777" w:rsidR="00214A27" w:rsidRDefault="00214A27">
            <w:pPr>
              <w:spacing w:after="0"/>
              <w:rPr>
                <w:rFonts w:ascii="Arial" w:eastAsia="Arial" w:hAnsi="Arial" w:cs="Arial"/>
              </w:rPr>
            </w:pPr>
          </w:p>
          <w:p w14:paraId="1ACAE6C9" w14:textId="77777777" w:rsidR="00214A27" w:rsidRPr="004A7235" w:rsidRDefault="00214A27">
            <w:pPr>
              <w:rPr>
                <w:rFonts w:ascii="Arial" w:eastAsia="Arial" w:hAnsi="Arial" w:cs="Arial"/>
                <w:i/>
                <w:iCs/>
              </w:rPr>
            </w:pPr>
          </w:p>
        </w:tc>
        <w:tc>
          <w:tcPr>
            <w:tcW w:w="28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5045FF8" w14:textId="77777777" w:rsidR="00214A27" w:rsidRPr="005360BA" w:rsidRDefault="00214A27">
            <w:r>
              <w:t xml:space="preserve">DFAT managers of SPF partners </w:t>
            </w:r>
          </w:p>
          <w:p w14:paraId="43E29AB7" w14:textId="77777777" w:rsidR="00214A27" w:rsidRDefault="00214A27">
            <w:r>
              <w:t>Desks and posts</w:t>
            </w:r>
          </w:p>
          <w:p w14:paraId="67562E6D" w14:textId="77777777" w:rsidR="00214A27" w:rsidRDefault="00214A27">
            <w:r>
              <w:t>SPF partners</w:t>
            </w:r>
          </w:p>
          <w:p w14:paraId="70400487" w14:textId="45FDAC86" w:rsidR="00214A27" w:rsidRDefault="00214A27">
            <w:pPr>
              <w:rPr>
                <w:rFonts w:ascii="Arial" w:eastAsia="Arial" w:hAnsi="Arial" w:cs="Arial"/>
              </w:rPr>
            </w:pPr>
            <w:r w:rsidRPr="00D1445B">
              <w:rPr>
                <w:rFonts w:ascii="Arial" w:eastAsia="Arial" w:hAnsi="Arial" w:cs="Arial"/>
                <w:i/>
                <w:iCs/>
              </w:rPr>
              <w:t>Optional if data is available:</w:t>
            </w:r>
            <w:r w:rsidRPr="00D1445B">
              <w:rPr>
                <w:rFonts w:ascii="Arial" w:eastAsia="Arial" w:hAnsi="Arial" w:cs="Arial"/>
              </w:rPr>
              <w:t xml:space="preserve"> time to </w:t>
            </w:r>
            <w:r w:rsidR="00EA0777">
              <w:rPr>
                <w:rFonts w:ascii="Arial" w:eastAsia="Arial" w:hAnsi="Arial" w:cs="Arial"/>
              </w:rPr>
              <w:t>sign</w:t>
            </w:r>
            <w:r w:rsidRPr="00D1445B">
              <w:rPr>
                <w:rFonts w:ascii="Arial" w:eastAsia="Arial" w:hAnsi="Arial" w:cs="Arial"/>
              </w:rPr>
              <w:t xml:space="preserve"> SPF v time to contract without SPF? </w:t>
            </w:r>
          </w:p>
        </w:tc>
        <w:tc>
          <w:tcPr>
            <w:tcW w:w="241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2FAB5B0" w14:textId="77777777" w:rsidR="00214A27" w:rsidRDefault="00214A27">
            <w:pPr>
              <w:rPr>
                <w:rFonts w:ascii="Arial" w:eastAsia="Arial" w:hAnsi="Arial" w:cs="Arial"/>
              </w:rPr>
            </w:pPr>
            <w:r>
              <w:rPr>
                <w:rFonts w:ascii="Arial" w:eastAsia="Arial" w:hAnsi="Arial" w:cs="Arial"/>
              </w:rPr>
              <w:t>Survey</w:t>
            </w:r>
          </w:p>
          <w:p w14:paraId="47190A83" w14:textId="77777777" w:rsidR="00214A27" w:rsidRDefault="00214A27">
            <w:pPr>
              <w:rPr>
                <w:rFonts w:ascii="Arial" w:eastAsia="Arial" w:hAnsi="Arial" w:cs="Arial"/>
              </w:rPr>
            </w:pPr>
            <w:r>
              <w:rPr>
                <w:rFonts w:ascii="Arial" w:eastAsia="Arial" w:hAnsi="Arial" w:cs="Arial"/>
              </w:rPr>
              <w:t>KIIs</w:t>
            </w:r>
          </w:p>
          <w:p w14:paraId="26B51ACF" w14:textId="77777777" w:rsidR="00214A27" w:rsidRPr="0EDF767E" w:rsidRDefault="00214A27">
            <w:pPr>
              <w:spacing w:after="0"/>
              <w:rPr>
                <w:rFonts w:ascii="Arial" w:eastAsia="Arial" w:hAnsi="Arial" w:cs="Arial"/>
              </w:rPr>
            </w:pPr>
            <w:r>
              <w:rPr>
                <w:rFonts w:ascii="Arial" w:eastAsia="Arial" w:hAnsi="Arial" w:cs="Arial"/>
              </w:rPr>
              <w:t>Case Study</w:t>
            </w:r>
          </w:p>
        </w:tc>
        <w:tc>
          <w:tcPr>
            <w:tcW w:w="130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CD23B2A" w14:textId="77777777" w:rsidR="00214A27" w:rsidRDefault="00214A27">
            <w:pPr>
              <w:rPr>
                <w:rFonts w:ascii="Arial" w:eastAsia="Arial" w:hAnsi="Arial" w:cs="Arial"/>
              </w:rPr>
            </w:pPr>
            <w:r>
              <w:rPr>
                <w:rFonts w:ascii="Arial" w:eastAsia="Arial" w:hAnsi="Arial" w:cs="Arial"/>
              </w:rPr>
              <w:t xml:space="preserve">Survey </w:t>
            </w:r>
          </w:p>
          <w:p w14:paraId="78346411" w14:textId="77777777" w:rsidR="00214A27" w:rsidRDefault="00214A27">
            <w:pPr>
              <w:rPr>
                <w:rFonts w:ascii="Arial" w:eastAsia="Arial" w:hAnsi="Arial" w:cs="Arial"/>
              </w:rPr>
            </w:pPr>
            <w:r>
              <w:rPr>
                <w:rFonts w:ascii="Arial" w:eastAsia="Arial" w:hAnsi="Arial" w:cs="Arial"/>
              </w:rPr>
              <w:t>KII Guide</w:t>
            </w:r>
          </w:p>
        </w:tc>
      </w:tr>
      <w:tr w:rsidR="00214A27" w14:paraId="1F71F3B6" w14:textId="77777777" w:rsidTr="004C281F">
        <w:trPr>
          <w:trHeight w:val="300"/>
        </w:trPr>
        <w:tc>
          <w:tcPr>
            <w:tcW w:w="28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5CB25A9" w14:textId="77777777" w:rsidR="00214A27" w:rsidRPr="00A86266" w:rsidRDefault="00214A27" w:rsidP="00214A27">
            <w:pPr>
              <w:pStyle w:val="ListParagraph"/>
              <w:numPr>
                <w:ilvl w:val="1"/>
                <w:numId w:val="38"/>
              </w:numPr>
              <w:spacing w:after="0"/>
              <w:rPr>
                <w:rFonts w:ascii="Arial" w:eastAsia="Arial" w:hAnsi="Arial" w:cs="Arial"/>
              </w:rPr>
            </w:pPr>
            <w:r w:rsidRPr="00A86266">
              <w:rPr>
                <w:rFonts w:ascii="Arial" w:eastAsia="Arial" w:hAnsi="Arial" w:cs="Arial"/>
              </w:rPr>
              <w:t xml:space="preserve">To what extent have SPFs supported DFAT in robust risk management of Australian funding? </w:t>
            </w:r>
          </w:p>
        </w:tc>
        <w:tc>
          <w:tcPr>
            <w:tcW w:w="28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D70B5FC" w14:textId="77777777" w:rsidR="00214A27" w:rsidRDefault="00214A27">
            <w:r>
              <w:t xml:space="preserve">DFAT managers of SPF partners </w:t>
            </w:r>
          </w:p>
          <w:p w14:paraId="28026C79" w14:textId="77777777" w:rsidR="00214A27" w:rsidRDefault="00214A27">
            <w:r>
              <w:t>DFAT risk experts</w:t>
            </w:r>
          </w:p>
          <w:p w14:paraId="00083554" w14:textId="77777777" w:rsidR="00214A27" w:rsidRDefault="00214A27">
            <w:r>
              <w:t>SPF partners</w:t>
            </w:r>
          </w:p>
          <w:p w14:paraId="55F2830C" w14:textId="77777777" w:rsidR="00214A27" w:rsidRDefault="00214A27">
            <w:pPr>
              <w:rPr>
                <w:rFonts w:ascii="Arial" w:eastAsia="Arial" w:hAnsi="Arial" w:cs="Arial"/>
              </w:rPr>
            </w:pPr>
          </w:p>
        </w:tc>
        <w:tc>
          <w:tcPr>
            <w:tcW w:w="241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39A51A8" w14:textId="77777777" w:rsidR="00214A27" w:rsidRDefault="00214A27">
            <w:pPr>
              <w:rPr>
                <w:rFonts w:ascii="Arial" w:eastAsia="Arial" w:hAnsi="Arial" w:cs="Arial"/>
              </w:rPr>
            </w:pPr>
            <w:r>
              <w:rPr>
                <w:rFonts w:ascii="Arial" w:eastAsia="Arial" w:hAnsi="Arial" w:cs="Arial"/>
              </w:rPr>
              <w:t>Survey</w:t>
            </w:r>
          </w:p>
          <w:p w14:paraId="623B6987" w14:textId="77777777" w:rsidR="00214A27" w:rsidRDefault="00214A27">
            <w:pPr>
              <w:rPr>
                <w:rFonts w:ascii="Arial" w:eastAsia="Arial" w:hAnsi="Arial" w:cs="Arial"/>
              </w:rPr>
            </w:pPr>
            <w:r>
              <w:rPr>
                <w:rFonts w:ascii="Arial" w:eastAsia="Arial" w:hAnsi="Arial" w:cs="Arial"/>
              </w:rPr>
              <w:t>Written request to DFAT risk experts</w:t>
            </w:r>
          </w:p>
          <w:p w14:paraId="1C4C5588" w14:textId="77777777" w:rsidR="00214A27" w:rsidRDefault="00214A27">
            <w:pPr>
              <w:spacing w:after="0"/>
              <w:rPr>
                <w:rFonts w:ascii="Arial" w:eastAsia="Arial" w:hAnsi="Arial" w:cs="Arial"/>
              </w:rPr>
            </w:pPr>
            <w:r>
              <w:rPr>
                <w:rFonts w:ascii="Arial" w:eastAsia="Arial" w:hAnsi="Arial" w:cs="Arial"/>
              </w:rPr>
              <w:t>KIIs</w:t>
            </w:r>
          </w:p>
          <w:p w14:paraId="377A150E" w14:textId="77777777" w:rsidR="00214A27" w:rsidRDefault="00214A27">
            <w:pPr>
              <w:spacing w:after="0"/>
              <w:rPr>
                <w:rFonts w:ascii="Arial" w:eastAsia="Arial" w:hAnsi="Arial" w:cs="Arial"/>
              </w:rPr>
            </w:pPr>
          </w:p>
          <w:p w14:paraId="61867AF9" w14:textId="77777777" w:rsidR="00214A27" w:rsidRPr="0EDF767E" w:rsidRDefault="00214A27">
            <w:pPr>
              <w:spacing w:after="0"/>
              <w:rPr>
                <w:rFonts w:ascii="Arial" w:eastAsia="Arial" w:hAnsi="Arial" w:cs="Arial"/>
              </w:rPr>
            </w:pPr>
            <w:r>
              <w:rPr>
                <w:rFonts w:ascii="Arial" w:eastAsia="Arial" w:hAnsi="Arial" w:cs="Arial"/>
              </w:rPr>
              <w:t>Case Study</w:t>
            </w:r>
          </w:p>
        </w:tc>
        <w:tc>
          <w:tcPr>
            <w:tcW w:w="130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F2887D5" w14:textId="77777777" w:rsidR="00214A27" w:rsidRDefault="00214A27">
            <w:pPr>
              <w:rPr>
                <w:rFonts w:ascii="Arial" w:eastAsia="Arial" w:hAnsi="Arial" w:cs="Arial"/>
              </w:rPr>
            </w:pPr>
            <w:r>
              <w:rPr>
                <w:rFonts w:ascii="Arial" w:eastAsia="Arial" w:hAnsi="Arial" w:cs="Arial"/>
              </w:rPr>
              <w:t>Survey</w:t>
            </w:r>
          </w:p>
          <w:p w14:paraId="50EFED5D" w14:textId="77777777" w:rsidR="00214A27" w:rsidRDefault="00214A27">
            <w:pPr>
              <w:rPr>
                <w:rFonts w:ascii="Arial" w:eastAsia="Arial" w:hAnsi="Arial" w:cs="Arial"/>
              </w:rPr>
            </w:pPr>
            <w:r>
              <w:rPr>
                <w:rFonts w:ascii="Arial" w:eastAsia="Arial" w:hAnsi="Arial" w:cs="Arial"/>
              </w:rPr>
              <w:t>KII Guide</w:t>
            </w:r>
          </w:p>
        </w:tc>
      </w:tr>
      <w:tr w:rsidR="00214A27" w14:paraId="32389F5E" w14:textId="77777777" w:rsidTr="004C281F">
        <w:trPr>
          <w:trHeight w:val="300"/>
        </w:trPr>
        <w:tc>
          <w:tcPr>
            <w:tcW w:w="28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19F484F" w14:textId="77777777" w:rsidR="00214A27" w:rsidRPr="00A86266" w:rsidRDefault="00214A27" w:rsidP="00214A27">
            <w:pPr>
              <w:pStyle w:val="ListParagraph"/>
              <w:numPr>
                <w:ilvl w:val="1"/>
                <w:numId w:val="38"/>
              </w:numPr>
              <w:spacing w:after="0"/>
              <w:rPr>
                <w:rFonts w:ascii="Arial" w:eastAsia="Arial" w:hAnsi="Arial" w:cs="Arial"/>
              </w:rPr>
            </w:pPr>
            <w:r w:rsidRPr="00A86266">
              <w:rPr>
                <w:rFonts w:ascii="Arial" w:eastAsia="Arial" w:hAnsi="Arial" w:cs="Arial"/>
              </w:rPr>
              <w:t xml:space="preserve">To what extent have the SPFs </w:t>
            </w:r>
            <w:r>
              <w:rPr>
                <w:rFonts w:ascii="Arial" w:eastAsia="Arial" w:hAnsi="Arial" w:cs="Arial"/>
              </w:rPr>
              <w:t>influenced partners’ management of risk, transparency, safeguarding and incident reporting</w:t>
            </w:r>
            <w:r w:rsidRPr="00A86266">
              <w:rPr>
                <w:rFonts w:ascii="Arial" w:eastAsia="Arial" w:hAnsi="Arial" w:cs="Arial"/>
              </w:rPr>
              <w:t>?</w:t>
            </w:r>
          </w:p>
        </w:tc>
        <w:tc>
          <w:tcPr>
            <w:tcW w:w="28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6A5EB93" w14:textId="77777777" w:rsidR="00214A27" w:rsidRPr="005360BA" w:rsidRDefault="00214A27">
            <w:r>
              <w:t xml:space="preserve">DFAT managers of SPF partners </w:t>
            </w:r>
          </w:p>
          <w:p w14:paraId="264B1708" w14:textId="77777777" w:rsidR="00214A27" w:rsidRDefault="00214A27">
            <w:r>
              <w:t>DFAT risk experts</w:t>
            </w:r>
          </w:p>
          <w:p w14:paraId="29BF6354" w14:textId="77777777" w:rsidR="00214A27" w:rsidRDefault="00214A27">
            <w:r>
              <w:t>SPF partners</w:t>
            </w:r>
          </w:p>
          <w:p w14:paraId="2E5243B1" w14:textId="77777777" w:rsidR="00214A27" w:rsidRDefault="00214A27">
            <w:pPr>
              <w:rPr>
                <w:rFonts w:ascii="Arial" w:eastAsia="Arial" w:hAnsi="Arial" w:cs="Arial"/>
              </w:rPr>
            </w:pPr>
          </w:p>
        </w:tc>
        <w:tc>
          <w:tcPr>
            <w:tcW w:w="241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4FB9D4B" w14:textId="77777777" w:rsidR="00214A27" w:rsidRDefault="00214A27">
            <w:pPr>
              <w:rPr>
                <w:rFonts w:ascii="Arial" w:eastAsia="Arial" w:hAnsi="Arial" w:cs="Arial"/>
              </w:rPr>
            </w:pPr>
            <w:r>
              <w:rPr>
                <w:rFonts w:ascii="Arial" w:eastAsia="Arial" w:hAnsi="Arial" w:cs="Arial"/>
              </w:rPr>
              <w:t>Survey</w:t>
            </w:r>
          </w:p>
          <w:p w14:paraId="63CDFE5E" w14:textId="77777777" w:rsidR="00214A27" w:rsidRDefault="00214A27">
            <w:pPr>
              <w:rPr>
                <w:rFonts w:ascii="Arial" w:eastAsia="Arial" w:hAnsi="Arial" w:cs="Arial"/>
              </w:rPr>
            </w:pPr>
            <w:r>
              <w:rPr>
                <w:rFonts w:ascii="Arial" w:eastAsia="Arial" w:hAnsi="Arial" w:cs="Arial"/>
              </w:rPr>
              <w:t>Written request to DFAT risk, compliance and transparency experts</w:t>
            </w:r>
          </w:p>
          <w:p w14:paraId="70A437DC" w14:textId="77777777" w:rsidR="00214A27" w:rsidRDefault="00214A27">
            <w:pPr>
              <w:rPr>
                <w:rFonts w:ascii="Arial" w:eastAsia="Arial" w:hAnsi="Arial" w:cs="Arial"/>
              </w:rPr>
            </w:pPr>
            <w:r>
              <w:rPr>
                <w:rFonts w:ascii="Arial" w:eastAsia="Arial" w:hAnsi="Arial" w:cs="Arial"/>
              </w:rPr>
              <w:t>KIIs</w:t>
            </w:r>
          </w:p>
          <w:p w14:paraId="66FFD959" w14:textId="77777777" w:rsidR="00214A27" w:rsidRPr="0EDF767E" w:rsidRDefault="00214A27">
            <w:pPr>
              <w:spacing w:after="0"/>
              <w:rPr>
                <w:rFonts w:ascii="Arial" w:eastAsia="Arial" w:hAnsi="Arial" w:cs="Arial"/>
              </w:rPr>
            </w:pPr>
            <w:r>
              <w:rPr>
                <w:rFonts w:ascii="Arial" w:eastAsia="Arial" w:hAnsi="Arial" w:cs="Arial"/>
              </w:rPr>
              <w:t>Case Study</w:t>
            </w:r>
          </w:p>
        </w:tc>
        <w:tc>
          <w:tcPr>
            <w:tcW w:w="130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04210DD" w14:textId="77777777" w:rsidR="00214A27" w:rsidRDefault="00214A27">
            <w:pPr>
              <w:rPr>
                <w:rFonts w:ascii="Arial" w:eastAsia="Arial" w:hAnsi="Arial" w:cs="Arial"/>
              </w:rPr>
            </w:pPr>
            <w:r>
              <w:rPr>
                <w:rFonts w:ascii="Arial" w:eastAsia="Arial" w:hAnsi="Arial" w:cs="Arial"/>
              </w:rPr>
              <w:t xml:space="preserve">Survey </w:t>
            </w:r>
          </w:p>
          <w:p w14:paraId="018DA67C" w14:textId="77777777" w:rsidR="00214A27" w:rsidRDefault="00214A27">
            <w:pPr>
              <w:rPr>
                <w:rFonts w:ascii="Arial" w:eastAsia="Arial" w:hAnsi="Arial" w:cs="Arial"/>
              </w:rPr>
            </w:pPr>
            <w:r>
              <w:rPr>
                <w:rFonts w:ascii="Arial" w:eastAsia="Arial" w:hAnsi="Arial" w:cs="Arial"/>
              </w:rPr>
              <w:t>KII Guide</w:t>
            </w:r>
          </w:p>
        </w:tc>
      </w:tr>
      <w:tr w:rsidR="00214A27" w14:paraId="730F3B6B" w14:textId="77777777" w:rsidTr="004C281F">
        <w:trPr>
          <w:trHeight w:val="300"/>
        </w:trPr>
        <w:tc>
          <w:tcPr>
            <w:tcW w:w="28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146A377" w14:textId="77777777" w:rsidR="00214A27" w:rsidRPr="00A86266" w:rsidRDefault="00214A27" w:rsidP="00214A27">
            <w:pPr>
              <w:pStyle w:val="ListParagraph"/>
              <w:numPr>
                <w:ilvl w:val="1"/>
                <w:numId w:val="38"/>
              </w:numPr>
              <w:spacing w:after="0"/>
              <w:rPr>
                <w:rFonts w:ascii="Arial" w:eastAsia="Arial" w:hAnsi="Arial" w:cs="Arial"/>
              </w:rPr>
            </w:pPr>
            <w:r w:rsidRPr="2A1B2668">
              <w:rPr>
                <w:rFonts w:ascii="Arial" w:eastAsia="Arial" w:hAnsi="Arial" w:cs="Arial"/>
              </w:rPr>
              <w:t xml:space="preserve">To what extent has the SPF modality supported efficient, consistent and high-quality monitoring, evaluation and reporting? </w:t>
            </w:r>
          </w:p>
        </w:tc>
        <w:tc>
          <w:tcPr>
            <w:tcW w:w="28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DF9E1DF" w14:textId="77777777" w:rsidR="00214A27" w:rsidRDefault="00214A27">
            <w:pPr>
              <w:rPr>
                <w:rFonts w:ascii="Arial" w:eastAsia="Arial" w:hAnsi="Arial" w:cs="Arial"/>
              </w:rPr>
            </w:pPr>
            <w:r w:rsidRPr="2A1B2668">
              <w:rPr>
                <w:rFonts w:ascii="Arial" w:eastAsia="Arial" w:hAnsi="Arial" w:cs="Arial"/>
              </w:rPr>
              <w:t>DFAT, SPF partners</w:t>
            </w:r>
          </w:p>
          <w:p w14:paraId="065B1975" w14:textId="77777777" w:rsidR="00214A27" w:rsidRDefault="00214A27">
            <w:pPr>
              <w:rPr>
                <w:rFonts w:ascii="Arial" w:eastAsia="Arial" w:hAnsi="Arial" w:cs="Arial"/>
              </w:rPr>
            </w:pPr>
            <w:r w:rsidRPr="2A1B2668">
              <w:rPr>
                <w:rFonts w:ascii="Arial" w:eastAsia="Arial" w:hAnsi="Arial" w:cs="Arial"/>
              </w:rPr>
              <w:t>HSI performance manager</w:t>
            </w:r>
          </w:p>
          <w:p w14:paraId="6FEC5120" w14:textId="77777777" w:rsidR="00214A27" w:rsidRDefault="00214A27">
            <w:pPr>
              <w:rPr>
                <w:rFonts w:ascii="Arial" w:eastAsia="Arial" w:hAnsi="Arial" w:cs="Arial"/>
              </w:rPr>
            </w:pPr>
            <w:r>
              <w:rPr>
                <w:rFonts w:ascii="Arial" w:eastAsia="Arial" w:hAnsi="Arial" w:cs="Arial"/>
              </w:rPr>
              <w:t>DFAT PRD</w:t>
            </w:r>
          </w:p>
          <w:p w14:paraId="57F13E98" w14:textId="77777777" w:rsidR="00214A27" w:rsidRDefault="00214A27">
            <w:pPr>
              <w:rPr>
                <w:rFonts w:ascii="Arial" w:eastAsia="Arial" w:hAnsi="Arial" w:cs="Arial"/>
              </w:rPr>
            </w:pPr>
            <w:r>
              <w:rPr>
                <w:rFonts w:ascii="Arial" w:eastAsia="Arial" w:hAnsi="Arial" w:cs="Arial"/>
              </w:rPr>
              <w:t>SPFs and EOLs for Bangladesh</w:t>
            </w:r>
          </w:p>
          <w:p w14:paraId="5CFB44BA" w14:textId="77777777" w:rsidR="00214A27" w:rsidRDefault="00214A27">
            <w:pPr>
              <w:rPr>
                <w:rFonts w:ascii="Arial" w:eastAsia="Arial" w:hAnsi="Arial" w:cs="Arial"/>
              </w:rPr>
            </w:pPr>
            <w:r>
              <w:rPr>
                <w:rFonts w:ascii="Arial" w:eastAsia="Arial" w:hAnsi="Arial" w:cs="Arial"/>
              </w:rPr>
              <w:t>WFP and UNHCR reporting for Bangladesh</w:t>
            </w:r>
          </w:p>
          <w:p w14:paraId="2E8888E9" w14:textId="77777777" w:rsidR="00214A27" w:rsidRDefault="00214A27">
            <w:pPr>
              <w:rPr>
                <w:rFonts w:ascii="Arial" w:eastAsia="Arial" w:hAnsi="Arial" w:cs="Arial"/>
              </w:rPr>
            </w:pPr>
            <w:r>
              <w:rPr>
                <w:rFonts w:ascii="Arial" w:eastAsia="Arial" w:hAnsi="Arial" w:cs="Arial"/>
              </w:rPr>
              <w:t>Global PPAs for partners</w:t>
            </w:r>
          </w:p>
        </w:tc>
        <w:tc>
          <w:tcPr>
            <w:tcW w:w="241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6F9175B" w14:textId="77777777" w:rsidR="00214A27" w:rsidRDefault="00214A27">
            <w:pPr>
              <w:rPr>
                <w:rFonts w:ascii="Arial" w:eastAsia="Arial" w:hAnsi="Arial" w:cs="Arial"/>
              </w:rPr>
            </w:pPr>
            <w:r>
              <w:rPr>
                <w:rFonts w:ascii="Arial" w:eastAsia="Arial" w:hAnsi="Arial" w:cs="Arial"/>
              </w:rPr>
              <w:t>Survey</w:t>
            </w:r>
          </w:p>
          <w:p w14:paraId="5D01C730" w14:textId="77777777" w:rsidR="00214A27" w:rsidRDefault="00214A27">
            <w:pPr>
              <w:rPr>
                <w:rFonts w:ascii="Arial" w:eastAsia="Arial" w:hAnsi="Arial" w:cs="Arial"/>
              </w:rPr>
            </w:pPr>
            <w:r>
              <w:rPr>
                <w:rFonts w:ascii="Arial" w:eastAsia="Arial" w:hAnsi="Arial" w:cs="Arial"/>
              </w:rPr>
              <w:t>KIIs</w:t>
            </w:r>
          </w:p>
          <w:p w14:paraId="28436111" w14:textId="77777777" w:rsidR="00214A27" w:rsidRDefault="00214A27">
            <w:pPr>
              <w:spacing w:after="0"/>
              <w:rPr>
                <w:rFonts w:ascii="Arial" w:eastAsia="Arial" w:hAnsi="Arial" w:cs="Arial"/>
              </w:rPr>
            </w:pPr>
            <w:r>
              <w:rPr>
                <w:rFonts w:ascii="Arial" w:eastAsia="Arial" w:hAnsi="Arial" w:cs="Arial"/>
              </w:rPr>
              <w:t>Case Study</w:t>
            </w:r>
          </w:p>
          <w:p w14:paraId="3BEFA0D8" w14:textId="77777777" w:rsidR="00214A27" w:rsidRDefault="00214A27">
            <w:pPr>
              <w:spacing w:after="0"/>
              <w:rPr>
                <w:rFonts w:ascii="Arial" w:eastAsia="Arial" w:hAnsi="Arial" w:cs="Arial"/>
              </w:rPr>
            </w:pPr>
          </w:p>
          <w:p w14:paraId="72FA45DF" w14:textId="77777777" w:rsidR="00214A27" w:rsidRPr="0EDF767E" w:rsidRDefault="00214A27">
            <w:pPr>
              <w:spacing w:after="0"/>
              <w:rPr>
                <w:rFonts w:ascii="Arial" w:eastAsia="Arial" w:hAnsi="Arial" w:cs="Arial"/>
              </w:rPr>
            </w:pPr>
            <w:r>
              <w:rPr>
                <w:rFonts w:ascii="Arial" w:eastAsia="Arial" w:hAnsi="Arial" w:cs="Arial"/>
              </w:rPr>
              <w:t>Document review</w:t>
            </w:r>
          </w:p>
        </w:tc>
        <w:tc>
          <w:tcPr>
            <w:tcW w:w="130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6578030" w14:textId="77777777" w:rsidR="00214A27" w:rsidRDefault="00214A27">
            <w:pPr>
              <w:rPr>
                <w:rFonts w:ascii="Arial" w:eastAsia="Arial" w:hAnsi="Arial" w:cs="Arial"/>
              </w:rPr>
            </w:pPr>
            <w:r>
              <w:rPr>
                <w:rFonts w:ascii="Arial" w:eastAsia="Arial" w:hAnsi="Arial" w:cs="Arial"/>
              </w:rPr>
              <w:t xml:space="preserve">Survey </w:t>
            </w:r>
          </w:p>
          <w:p w14:paraId="65DD74CC" w14:textId="77777777" w:rsidR="00214A27" w:rsidRDefault="00214A27">
            <w:pPr>
              <w:rPr>
                <w:rFonts w:ascii="Arial" w:eastAsia="Arial" w:hAnsi="Arial" w:cs="Arial"/>
              </w:rPr>
            </w:pPr>
            <w:r>
              <w:rPr>
                <w:rFonts w:ascii="Arial" w:eastAsia="Arial" w:hAnsi="Arial" w:cs="Arial"/>
              </w:rPr>
              <w:t>KII Guide</w:t>
            </w:r>
          </w:p>
          <w:p w14:paraId="7BD69B42" w14:textId="77777777" w:rsidR="00214A27" w:rsidRDefault="00214A27">
            <w:pPr>
              <w:rPr>
                <w:rFonts w:ascii="Arial" w:eastAsia="Arial" w:hAnsi="Arial" w:cs="Arial"/>
              </w:rPr>
            </w:pPr>
          </w:p>
        </w:tc>
      </w:tr>
    </w:tbl>
    <w:p w14:paraId="2A676F3C" w14:textId="77777777" w:rsidR="00214A27" w:rsidRDefault="00214A27" w:rsidP="00214A27">
      <w:pPr>
        <w:spacing w:before="120"/>
        <w:rPr>
          <w:b/>
          <w:bCs/>
        </w:rPr>
      </w:pPr>
      <w:r w:rsidRPr="00962075">
        <w:rPr>
          <w:b/>
          <w:bCs/>
        </w:rPr>
        <w:lastRenderedPageBreak/>
        <w:t>KEQ4</w:t>
      </w:r>
      <w:r>
        <w:rPr>
          <w:b/>
          <w:bCs/>
        </w:rPr>
        <w:t>: what alternative modalities exist?</w:t>
      </w:r>
    </w:p>
    <w:tbl>
      <w:tblPr>
        <w:tblStyle w:val="TableGrid"/>
        <w:tblW w:w="0" w:type="auto"/>
        <w:tblLayout w:type="fixed"/>
        <w:tblLook w:val="04A0" w:firstRow="1" w:lastRow="0" w:firstColumn="1" w:lastColumn="0" w:noHBand="0" w:noVBand="1"/>
      </w:tblPr>
      <w:tblGrid>
        <w:gridCol w:w="3955"/>
        <w:gridCol w:w="1890"/>
        <w:gridCol w:w="2070"/>
        <w:gridCol w:w="1463"/>
      </w:tblGrid>
      <w:tr w:rsidR="00F964F1" w14:paraId="07379A20" w14:textId="77777777" w:rsidTr="001C575F">
        <w:trPr>
          <w:trHeight w:val="300"/>
        </w:trPr>
        <w:tc>
          <w:tcPr>
            <w:tcW w:w="3955" w:type="dxa"/>
            <w:tcBorders>
              <w:top w:val="single" w:sz="8" w:space="0" w:color="auto"/>
              <w:left w:val="single" w:sz="8" w:space="0" w:color="auto"/>
              <w:bottom w:val="single" w:sz="8" w:space="0" w:color="auto"/>
              <w:right w:val="single" w:sz="8" w:space="0" w:color="auto"/>
            </w:tcBorders>
            <w:shd w:val="clear" w:color="auto" w:fill="DFF5F8" w:themeFill="accent5" w:themeFillTint="33"/>
            <w:tcMar>
              <w:left w:w="108" w:type="dxa"/>
              <w:right w:w="108" w:type="dxa"/>
            </w:tcMar>
          </w:tcPr>
          <w:p w14:paraId="0CE29046" w14:textId="77777777" w:rsidR="00F964F1" w:rsidRDefault="00F964F1" w:rsidP="001C575F">
            <w:r w:rsidRPr="0EDF767E">
              <w:rPr>
                <w:rFonts w:ascii="Arial" w:eastAsia="Arial" w:hAnsi="Arial" w:cs="Arial"/>
                <w:b/>
                <w:bCs/>
              </w:rPr>
              <w:t>Sub-Question</w:t>
            </w:r>
          </w:p>
        </w:tc>
        <w:tc>
          <w:tcPr>
            <w:tcW w:w="1890" w:type="dxa"/>
            <w:tcBorders>
              <w:top w:val="single" w:sz="8" w:space="0" w:color="auto"/>
              <w:left w:val="single" w:sz="8" w:space="0" w:color="auto"/>
              <w:bottom w:val="single" w:sz="8" w:space="0" w:color="auto"/>
              <w:right w:val="single" w:sz="8" w:space="0" w:color="auto"/>
            </w:tcBorders>
            <w:shd w:val="clear" w:color="auto" w:fill="DFF5F8" w:themeFill="accent5" w:themeFillTint="33"/>
            <w:tcMar>
              <w:left w:w="108" w:type="dxa"/>
              <w:right w:w="108" w:type="dxa"/>
            </w:tcMar>
          </w:tcPr>
          <w:p w14:paraId="6AC59655" w14:textId="77777777" w:rsidR="00F964F1" w:rsidRDefault="00F964F1" w:rsidP="001C575F">
            <w:r w:rsidRPr="0EDF767E">
              <w:rPr>
                <w:rFonts w:ascii="Arial" w:eastAsia="Arial" w:hAnsi="Arial" w:cs="Arial"/>
                <w:b/>
                <w:bCs/>
              </w:rPr>
              <w:t xml:space="preserve">Data Source </w:t>
            </w:r>
          </w:p>
        </w:tc>
        <w:tc>
          <w:tcPr>
            <w:tcW w:w="2070" w:type="dxa"/>
            <w:tcBorders>
              <w:top w:val="single" w:sz="8" w:space="0" w:color="auto"/>
              <w:left w:val="single" w:sz="8" w:space="0" w:color="auto"/>
              <w:bottom w:val="single" w:sz="8" w:space="0" w:color="auto"/>
              <w:right w:val="single" w:sz="8" w:space="0" w:color="auto"/>
            </w:tcBorders>
            <w:shd w:val="clear" w:color="auto" w:fill="DFF5F8" w:themeFill="accent5" w:themeFillTint="33"/>
            <w:tcMar>
              <w:left w:w="108" w:type="dxa"/>
              <w:right w:w="108" w:type="dxa"/>
            </w:tcMar>
          </w:tcPr>
          <w:p w14:paraId="392530F7" w14:textId="77777777" w:rsidR="00F964F1" w:rsidRDefault="00F964F1" w:rsidP="001C575F">
            <w:r w:rsidRPr="0EDF767E">
              <w:rPr>
                <w:rFonts w:ascii="Arial" w:eastAsia="Arial" w:hAnsi="Arial" w:cs="Arial"/>
                <w:b/>
                <w:bCs/>
              </w:rPr>
              <w:t xml:space="preserve">Method </w:t>
            </w:r>
          </w:p>
        </w:tc>
        <w:tc>
          <w:tcPr>
            <w:tcW w:w="1463" w:type="dxa"/>
            <w:tcBorders>
              <w:top w:val="single" w:sz="8" w:space="0" w:color="auto"/>
              <w:left w:val="single" w:sz="8" w:space="0" w:color="auto"/>
              <w:bottom w:val="single" w:sz="8" w:space="0" w:color="auto"/>
              <w:right w:val="single" w:sz="8" w:space="0" w:color="auto"/>
            </w:tcBorders>
            <w:shd w:val="clear" w:color="auto" w:fill="DFF5F8" w:themeFill="accent5" w:themeFillTint="33"/>
            <w:tcMar>
              <w:left w:w="108" w:type="dxa"/>
              <w:right w:w="108" w:type="dxa"/>
            </w:tcMar>
          </w:tcPr>
          <w:p w14:paraId="62D457C2" w14:textId="77777777" w:rsidR="00F964F1" w:rsidRDefault="00F964F1" w:rsidP="001C575F">
            <w:r w:rsidRPr="0EDF767E">
              <w:rPr>
                <w:rFonts w:ascii="Arial" w:eastAsia="Arial" w:hAnsi="Arial" w:cs="Arial"/>
                <w:b/>
                <w:bCs/>
              </w:rPr>
              <w:t xml:space="preserve">Tools </w:t>
            </w:r>
          </w:p>
        </w:tc>
      </w:tr>
      <w:tr w:rsidR="00214A27" w14:paraId="550FC386" w14:textId="77777777">
        <w:trPr>
          <w:trHeight w:val="300"/>
        </w:trPr>
        <w:tc>
          <w:tcPr>
            <w:tcW w:w="39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D2311E8" w14:textId="77777777" w:rsidR="00214A27" w:rsidRPr="00FC16BF" w:rsidRDefault="00214A27" w:rsidP="00214A27">
            <w:pPr>
              <w:pStyle w:val="ListParagraph"/>
              <w:numPr>
                <w:ilvl w:val="1"/>
                <w:numId w:val="39"/>
              </w:numPr>
              <w:spacing w:after="0"/>
              <w:rPr>
                <w:rFonts w:ascii="Arial" w:eastAsia="Arial" w:hAnsi="Arial" w:cs="Arial"/>
              </w:rPr>
            </w:pPr>
            <w:r w:rsidRPr="00FC16BF">
              <w:rPr>
                <w:rFonts w:ascii="Arial" w:eastAsia="Arial" w:hAnsi="Arial" w:cs="Arial"/>
              </w:rPr>
              <w:t>What modalities are used by other donors to contract these multilateral partners?</w:t>
            </w:r>
          </w:p>
        </w:tc>
        <w:tc>
          <w:tcPr>
            <w:tcW w:w="18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572EB91" w14:textId="77777777" w:rsidR="00214A27" w:rsidRDefault="00214A27">
            <w:pPr>
              <w:rPr>
                <w:rFonts w:ascii="Arial" w:eastAsia="Arial" w:hAnsi="Arial" w:cs="Arial"/>
              </w:rPr>
            </w:pPr>
            <w:r>
              <w:rPr>
                <w:rFonts w:ascii="Arial" w:eastAsia="Arial" w:hAnsi="Arial" w:cs="Arial"/>
              </w:rPr>
              <w:t>SPF partners</w:t>
            </w:r>
          </w:p>
          <w:p w14:paraId="44C3DDEF" w14:textId="77777777" w:rsidR="00214A27" w:rsidRDefault="00214A27">
            <w:pPr>
              <w:rPr>
                <w:rFonts w:ascii="Arial" w:eastAsia="Arial" w:hAnsi="Arial" w:cs="Arial"/>
              </w:rPr>
            </w:pPr>
            <w:r w:rsidRPr="1C3620C9">
              <w:rPr>
                <w:rFonts w:ascii="Arial" w:eastAsia="Arial" w:hAnsi="Arial" w:cs="Arial"/>
              </w:rPr>
              <w:t>Other donors</w:t>
            </w:r>
          </w:p>
        </w:tc>
        <w:tc>
          <w:tcPr>
            <w:tcW w:w="20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92605DF" w14:textId="77777777" w:rsidR="00214A27" w:rsidRDefault="00214A27">
            <w:pPr>
              <w:rPr>
                <w:rFonts w:ascii="Arial" w:eastAsia="Arial" w:hAnsi="Arial" w:cs="Arial"/>
              </w:rPr>
            </w:pPr>
            <w:r>
              <w:rPr>
                <w:rFonts w:ascii="Arial" w:eastAsia="Arial" w:hAnsi="Arial" w:cs="Arial"/>
              </w:rPr>
              <w:t>Survey</w:t>
            </w:r>
          </w:p>
          <w:p w14:paraId="32BC1301" w14:textId="77777777" w:rsidR="00214A27" w:rsidRDefault="00214A27">
            <w:pPr>
              <w:rPr>
                <w:rFonts w:ascii="Arial" w:eastAsia="Arial" w:hAnsi="Arial" w:cs="Arial"/>
              </w:rPr>
            </w:pPr>
            <w:r>
              <w:rPr>
                <w:rFonts w:ascii="Arial" w:eastAsia="Arial" w:hAnsi="Arial" w:cs="Arial"/>
              </w:rPr>
              <w:t>KIIs</w:t>
            </w:r>
          </w:p>
          <w:p w14:paraId="7431E2C7" w14:textId="77777777" w:rsidR="00214A27" w:rsidRPr="0EDF767E" w:rsidRDefault="00214A27">
            <w:pPr>
              <w:spacing w:after="0"/>
              <w:rPr>
                <w:rFonts w:ascii="Arial" w:eastAsia="Arial" w:hAnsi="Arial" w:cs="Arial"/>
              </w:rPr>
            </w:pPr>
            <w:r>
              <w:rPr>
                <w:rFonts w:ascii="Arial" w:eastAsia="Arial" w:hAnsi="Arial" w:cs="Arial"/>
              </w:rPr>
              <w:t>Case Study</w:t>
            </w:r>
          </w:p>
        </w:tc>
        <w:tc>
          <w:tcPr>
            <w:tcW w:w="146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8D5EF32" w14:textId="77777777" w:rsidR="00214A27" w:rsidRDefault="00214A27">
            <w:pPr>
              <w:rPr>
                <w:rFonts w:ascii="Arial" w:eastAsia="Arial" w:hAnsi="Arial" w:cs="Arial"/>
              </w:rPr>
            </w:pPr>
            <w:r>
              <w:rPr>
                <w:rFonts w:ascii="Arial" w:eastAsia="Arial" w:hAnsi="Arial" w:cs="Arial"/>
              </w:rPr>
              <w:t xml:space="preserve">Survey </w:t>
            </w:r>
          </w:p>
          <w:p w14:paraId="0246113B" w14:textId="77777777" w:rsidR="00214A27" w:rsidRDefault="00214A27">
            <w:pPr>
              <w:rPr>
                <w:rFonts w:ascii="Arial" w:eastAsia="Arial" w:hAnsi="Arial" w:cs="Arial"/>
              </w:rPr>
            </w:pPr>
            <w:r>
              <w:rPr>
                <w:rFonts w:ascii="Arial" w:eastAsia="Arial" w:hAnsi="Arial" w:cs="Arial"/>
              </w:rPr>
              <w:t>KII Guide</w:t>
            </w:r>
          </w:p>
        </w:tc>
      </w:tr>
      <w:tr w:rsidR="00214A27" w14:paraId="313C9831" w14:textId="77777777">
        <w:trPr>
          <w:trHeight w:val="300"/>
        </w:trPr>
        <w:tc>
          <w:tcPr>
            <w:tcW w:w="39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8CCC346" w14:textId="77777777" w:rsidR="00214A27" w:rsidRPr="00FC16BF" w:rsidRDefault="00214A27" w:rsidP="00214A27">
            <w:pPr>
              <w:pStyle w:val="ListParagraph"/>
              <w:numPr>
                <w:ilvl w:val="1"/>
                <w:numId w:val="39"/>
              </w:numPr>
              <w:spacing w:after="0"/>
              <w:rPr>
                <w:rFonts w:ascii="Arial" w:eastAsia="Arial" w:hAnsi="Arial" w:cs="Arial"/>
              </w:rPr>
            </w:pPr>
            <w:r w:rsidRPr="00FC16BF">
              <w:rPr>
                <w:rFonts w:ascii="Arial" w:eastAsia="Arial" w:hAnsi="Arial" w:cs="Arial"/>
              </w:rPr>
              <w:t>What are the strengths and challenges of other donor models?</w:t>
            </w:r>
          </w:p>
        </w:tc>
        <w:tc>
          <w:tcPr>
            <w:tcW w:w="18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26C2BDF" w14:textId="77777777" w:rsidR="00214A27" w:rsidRDefault="00214A27">
            <w:pPr>
              <w:rPr>
                <w:rFonts w:ascii="Arial" w:eastAsia="Arial" w:hAnsi="Arial" w:cs="Arial"/>
              </w:rPr>
            </w:pPr>
            <w:r>
              <w:rPr>
                <w:rFonts w:ascii="Arial" w:eastAsia="Arial" w:hAnsi="Arial" w:cs="Arial"/>
              </w:rPr>
              <w:t>Other donors</w:t>
            </w:r>
          </w:p>
          <w:p w14:paraId="4ADBE2E0" w14:textId="77777777" w:rsidR="00214A27" w:rsidRDefault="00214A27">
            <w:pPr>
              <w:rPr>
                <w:rFonts w:ascii="Arial" w:eastAsia="Arial" w:hAnsi="Arial" w:cs="Arial"/>
              </w:rPr>
            </w:pPr>
            <w:r>
              <w:rPr>
                <w:rFonts w:ascii="Arial" w:eastAsia="Arial" w:hAnsi="Arial" w:cs="Arial"/>
              </w:rPr>
              <w:t>SPF partners</w:t>
            </w:r>
          </w:p>
        </w:tc>
        <w:tc>
          <w:tcPr>
            <w:tcW w:w="20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09B958C" w14:textId="77777777" w:rsidR="00214A27" w:rsidRDefault="00214A27">
            <w:pPr>
              <w:rPr>
                <w:rFonts w:ascii="Arial" w:eastAsia="Arial" w:hAnsi="Arial" w:cs="Arial"/>
              </w:rPr>
            </w:pPr>
            <w:r>
              <w:rPr>
                <w:rFonts w:ascii="Arial" w:eastAsia="Arial" w:hAnsi="Arial" w:cs="Arial"/>
              </w:rPr>
              <w:t>Survey</w:t>
            </w:r>
          </w:p>
          <w:p w14:paraId="1BC50476" w14:textId="77777777" w:rsidR="00214A27" w:rsidRDefault="00214A27">
            <w:pPr>
              <w:rPr>
                <w:rFonts w:ascii="Arial" w:eastAsia="Arial" w:hAnsi="Arial" w:cs="Arial"/>
              </w:rPr>
            </w:pPr>
            <w:r>
              <w:rPr>
                <w:rFonts w:ascii="Arial" w:eastAsia="Arial" w:hAnsi="Arial" w:cs="Arial"/>
              </w:rPr>
              <w:t>KIIs</w:t>
            </w:r>
          </w:p>
          <w:p w14:paraId="7048EC38" w14:textId="77777777" w:rsidR="00214A27" w:rsidRDefault="00214A27">
            <w:pPr>
              <w:spacing w:after="0"/>
              <w:rPr>
                <w:rFonts w:ascii="Arial" w:eastAsia="Arial" w:hAnsi="Arial" w:cs="Arial"/>
              </w:rPr>
            </w:pPr>
            <w:r>
              <w:rPr>
                <w:rFonts w:ascii="Arial" w:eastAsia="Arial" w:hAnsi="Arial" w:cs="Arial"/>
              </w:rPr>
              <w:t>Case Study</w:t>
            </w:r>
          </w:p>
        </w:tc>
        <w:tc>
          <w:tcPr>
            <w:tcW w:w="146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89B19E1" w14:textId="77777777" w:rsidR="00214A27" w:rsidRDefault="00214A27">
            <w:pPr>
              <w:rPr>
                <w:rFonts w:ascii="Arial" w:eastAsia="Arial" w:hAnsi="Arial" w:cs="Arial"/>
              </w:rPr>
            </w:pPr>
            <w:r>
              <w:rPr>
                <w:rFonts w:ascii="Arial" w:eastAsia="Arial" w:hAnsi="Arial" w:cs="Arial"/>
              </w:rPr>
              <w:t>As above</w:t>
            </w:r>
          </w:p>
        </w:tc>
      </w:tr>
      <w:tr w:rsidR="00214A27" w14:paraId="69F0110A" w14:textId="77777777">
        <w:trPr>
          <w:trHeight w:val="300"/>
        </w:trPr>
        <w:tc>
          <w:tcPr>
            <w:tcW w:w="39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CA76644" w14:textId="77777777" w:rsidR="00214A27" w:rsidRPr="00FC16BF" w:rsidRDefault="00214A27" w:rsidP="00214A27">
            <w:pPr>
              <w:pStyle w:val="ListParagraph"/>
              <w:numPr>
                <w:ilvl w:val="1"/>
                <w:numId w:val="39"/>
              </w:numPr>
              <w:spacing w:after="0"/>
              <w:rPr>
                <w:rFonts w:ascii="Arial" w:eastAsia="Arial" w:hAnsi="Arial" w:cs="Arial"/>
              </w:rPr>
            </w:pPr>
            <w:r w:rsidRPr="00FC16BF">
              <w:rPr>
                <w:rFonts w:ascii="Arial" w:eastAsia="Arial" w:hAnsi="Arial" w:cs="Arial"/>
              </w:rPr>
              <w:t xml:space="preserve">What lessons </w:t>
            </w:r>
            <w:r>
              <w:rPr>
                <w:rFonts w:ascii="Arial" w:eastAsia="Arial" w:hAnsi="Arial" w:cs="Arial"/>
              </w:rPr>
              <w:t xml:space="preserve">or recommendations do DFAT staff and partners have regarding the modality for contracting multilateral partners?  </w:t>
            </w:r>
            <w:r w:rsidRPr="00FC16BF">
              <w:rPr>
                <w:rFonts w:ascii="Arial" w:eastAsia="Arial" w:hAnsi="Arial" w:cs="Arial"/>
              </w:rPr>
              <w:t xml:space="preserve"> </w:t>
            </w:r>
          </w:p>
        </w:tc>
        <w:tc>
          <w:tcPr>
            <w:tcW w:w="18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D0B3012" w14:textId="77777777" w:rsidR="00214A27" w:rsidRDefault="00214A27">
            <w:pPr>
              <w:rPr>
                <w:rFonts w:ascii="Arial" w:eastAsia="Arial" w:hAnsi="Arial" w:cs="Arial"/>
              </w:rPr>
            </w:pPr>
            <w:r>
              <w:rPr>
                <w:rFonts w:ascii="Arial" w:eastAsia="Arial" w:hAnsi="Arial" w:cs="Arial"/>
              </w:rPr>
              <w:t xml:space="preserve">DFAT SPF managers </w:t>
            </w:r>
          </w:p>
          <w:p w14:paraId="713FF5A2" w14:textId="77777777" w:rsidR="00214A27" w:rsidRDefault="00214A27">
            <w:pPr>
              <w:rPr>
                <w:rFonts w:ascii="Arial" w:eastAsia="Arial" w:hAnsi="Arial" w:cs="Arial"/>
              </w:rPr>
            </w:pPr>
            <w:r>
              <w:rPr>
                <w:rFonts w:ascii="Arial" w:eastAsia="Arial" w:hAnsi="Arial" w:cs="Arial"/>
              </w:rPr>
              <w:t>SPF partners</w:t>
            </w:r>
          </w:p>
        </w:tc>
        <w:tc>
          <w:tcPr>
            <w:tcW w:w="20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DBF328D" w14:textId="77777777" w:rsidR="00214A27" w:rsidRDefault="00214A27">
            <w:pPr>
              <w:rPr>
                <w:rFonts w:ascii="Arial" w:eastAsia="Arial" w:hAnsi="Arial" w:cs="Arial"/>
              </w:rPr>
            </w:pPr>
            <w:r>
              <w:rPr>
                <w:rFonts w:ascii="Arial" w:eastAsia="Arial" w:hAnsi="Arial" w:cs="Arial"/>
              </w:rPr>
              <w:t>Survey</w:t>
            </w:r>
          </w:p>
          <w:p w14:paraId="6B0317DF" w14:textId="77777777" w:rsidR="00214A27" w:rsidRDefault="00214A27">
            <w:pPr>
              <w:rPr>
                <w:rFonts w:ascii="Arial" w:eastAsia="Arial" w:hAnsi="Arial" w:cs="Arial"/>
              </w:rPr>
            </w:pPr>
            <w:r>
              <w:rPr>
                <w:rFonts w:ascii="Arial" w:eastAsia="Arial" w:hAnsi="Arial" w:cs="Arial"/>
              </w:rPr>
              <w:t>KIIs</w:t>
            </w:r>
          </w:p>
          <w:p w14:paraId="70B7BF3E" w14:textId="77777777" w:rsidR="00214A27" w:rsidRDefault="00214A27">
            <w:pPr>
              <w:spacing w:after="0"/>
              <w:rPr>
                <w:rFonts w:ascii="Arial" w:eastAsia="Arial" w:hAnsi="Arial" w:cs="Arial"/>
              </w:rPr>
            </w:pPr>
            <w:r>
              <w:rPr>
                <w:rFonts w:ascii="Arial" w:eastAsia="Arial" w:hAnsi="Arial" w:cs="Arial"/>
              </w:rPr>
              <w:t>Case Study</w:t>
            </w:r>
          </w:p>
        </w:tc>
        <w:tc>
          <w:tcPr>
            <w:tcW w:w="146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430A9D4" w14:textId="77777777" w:rsidR="00214A27" w:rsidRDefault="00214A27">
            <w:pPr>
              <w:rPr>
                <w:rFonts w:ascii="Arial" w:eastAsia="Arial" w:hAnsi="Arial" w:cs="Arial"/>
              </w:rPr>
            </w:pPr>
            <w:r>
              <w:rPr>
                <w:rFonts w:ascii="Arial" w:eastAsia="Arial" w:hAnsi="Arial" w:cs="Arial"/>
              </w:rPr>
              <w:t>As above</w:t>
            </w:r>
          </w:p>
        </w:tc>
      </w:tr>
    </w:tbl>
    <w:p w14:paraId="1F0A9321" w14:textId="77777777" w:rsidR="005B5AEF" w:rsidRDefault="005B5AEF">
      <w:pPr>
        <w:spacing w:after="0" w:line="240" w:lineRule="auto"/>
        <w:rPr>
          <w:bCs/>
          <w:iCs/>
          <w:caps/>
          <w:color w:val="FFFFFF" w:themeColor="background1"/>
          <w:sz w:val="44"/>
          <w:szCs w:val="28"/>
        </w:rPr>
      </w:pPr>
    </w:p>
    <w:p w14:paraId="31494364" w14:textId="77777777" w:rsidR="005C4030" w:rsidRDefault="005C4030">
      <w:pPr>
        <w:spacing w:after="0" w:line="240" w:lineRule="auto"/>
        <w:rPr>
          <w:bCs/>
          <w:iCs/>
          <w:caps/>
          <w:color w:val="FFFFFF" w:themeColor="background1"/>
          <w:sz w:val="44"/>
          <w:szCs w:val="28"/>
        </w:rPr>
      </w:pPr>
      <w:r>
        <w:br w:type="page"/>
      </w:r>
    </w:p>
    <w:p w14:paraId="612049E0" w14:textId="543BAFD4" w:rsidR="007E2F28" w:rsidRDefault="009711D7" w:rsidP="007E2F28">
      <w:pPr>
        <w:pStyle w:val="Style1"/>
      </w:pPr>
      <w:r>
        <w:lastRenderedPageBreak/>
        <w:t>annex</w:t>
      </w:r>
      <w:r w:rsidR="00233573">
        <w:t xml:space="preserve"> </w:t>
      </w:r>
      <w:r w:rsidR="005C4030">
        <w:t>2</w:t>
      </w:r>
      <w:r w:rsidR="00233573">
        <w:t xml:space="preserve"> Bangladesh case study</w:t>
      </w:r>
    </w:p>
    <w:p w14:paraId="7C9050C0" w14:textId="69423DED" w:rsidR="00BB2FFA" w:rsidRPr="00EE10D2" w:rsidRDefault="00BB2FFA" w:rsidP="00233573">
      <w:pPr>
        <w:rPr>
          <w:b/>
          <w:iCs/>
          <w:color w:val="auto"/>
          <w:sz w:val="24"/>
          <w:szCs w:val="26"/>
        </w:rPr>
      </w:pPr>
      <w:r w:rsidRPr="00EE10D2">
        <w:rPr>
          <w:b/>
          <w:iCs/>
          <w:color w:val="auto"/>
          <w:sz w:val="24"/>
          <w:szCs w:val="26"/>
        </w:rPr>
        <w:t xml:space="preserve">DFAT’s partnership with WFP and UNHCR </w:t>
      </w:r>
      <w:r w:rsidR="00B43D88">
        <w:rPr>
          <w:b/>
          <w:iCs/>
          <w:color w:val="auto"/>
          <w:sz w:val="24"/>
          <w:szCs w:val="26"/>
        </w:rPr>
        <w:t xml:space="preserve">as part of the </w:t>
      </w:r>
      <w:r w:rsidR="00B43D88" w:rsidRPr="00B43D88">
        <w:rPr>
          <w:b/>
          <w:iCs/>
          <w:color w:val="auto"/>
          <w:sz w:val="24"/>
          <w:szCs w:val="26"/>
        </w:rPr>
        <w:t>Bangladesh Rohingya and Host Community Humanitarian Investment</w:t>
      </w:r>
    </w:p>
    <w:p w14:paraId="2997038A" w14:textId="569CFC98" w:rsidR="003A14FB" w:rsidRDefault="003A14FB" w:rsidP="00420443">
      <w:pPr>
        <w:rPr>
          <w:b/>
          <w:bCs/>
        </w:rPr>
      </w:pPr>
      <w:r>
        <w:rPr>
          <w:b/>
          <w:bCs/>
        </w:rPr>
        <w:t>Selection of</w:t>
      </w:r>
      <w:r w:rsidR="00F4199C">
        <w:rPr>
          <w:b/>
          <w:bCs/>
        </w:rPr>
        <w:t xml:space="preserve"> Bangladesh, </w:t>
      </w:r>
      <w:r>
        <w:rPr>
          <w:b/>
          <w:bCs/>
        </w:rPr>
        <w:t>WFP and UNHCR</w:t>
      </w:r>
    </w:p>
    <w:p w14:paraId="1A518A51" w14:textId="52A40CE1" w:rsidR="00F4199C" w:rsidRDefault="00F4199C" w:rsidP="00F4199C">
      <w:pPr>
        <w:rPr>
          <w:szCs w:val="20"/>
          <w:lang w:val="en-GB"/>
        </w:rPr>
      </w:pPr>
      <w:r w:rsidRPr="00F4199C">
        <w:rPr>
          <w:szCs w:val="20"/>
          <w:lang w:val="en-GB"/>
        </w:rPr>
        <w:t xml:space="preserve">The country and partners were selected </w:t>
      </w:r>
      <w:r w:rsidR="00F96887">
        <w:rPr>
          <w:szCs w:val="20"/>
          <w:lang w:val="en-GB"/>
        </w:rPr>
        <w:t>for th</w:t>
      </w:r>
      <w:r w:rsidR="00BC4D2C">
        <w:rPr>
          <w:szCs w:val="20"/>
          <w:lang w:val="en-GB"/>
        </w:rPr>
        <w:t>is</w:t>
      </w:r>
      <w:r w:rsidR="00F96887">
        <w:rPr>
          <w:szCs w:val="20"/>
          <w:lang w:val="en-GB"/>
        </w:rPr>
        <w:t xml:space="preserve"> case study </w:t>
      </w:r>
      <w:r w:rsidRPr="00F4199C">
        <w:rPr>
          <w:szCs w:val="20"/>
          <w:lang w:val="en-GB"/>
        </w:rPr>
        <w:t xml:space="preserve">in consultation with DFAT, based on Australia’s national interest focus on the Indo-Pacific region, and the large amount of funding provided to the </w:t>
      </w:r>
      <w:r w:rsidR="00B43D88">
        <w:rPr>
          <w:rFonts w:ascii="Arial" w:eastAsia="Aptos" w:hAnsi="Arial" w:cs="Arial"/>
          <w:color w:val="auto"/>
          <w:kern w:val="2"/>
          <w:szCs w:val="20"/>
          <w:lang w:val="en-GB" w:eastAsia="en-US"/>
          <w14:ligatures w14:val="standardContextual"/>
        </w:rPr>
        <w:t>Bangladesh Rohingya and Host Community Humanitarian Investment</w:t>
      </w:r>
      <w:r w:rsidR="00B43D88" w:rsidRPr="00F4199C">
        <w:rPr>
          <w:szCs w:val="20"/>
          <w:lang w:val="en-GB"/>
        </w:rPr>
        <w:t xml:space="preserve"> </w:t>
      </w:r>
      <w:r w:rsidRPr="00F4199C">
        <w:rPr>
          <w:szCs w:val="20"/>
          <w:lang w:val="en-GB"/>
        </w:rPr>
        <w:t xml:space="preserve">and to UNHCR and WFP in that context. </w:t>
      </w:r>
    </w:p>
    <w:p w14:paraId="18A4880D" w14:textId="11111818" w:rsidR="00B411E7" w:rsidRPr="00FF7C45" w:rsidRDefault="00340766" w:rsidP="00FF7C45">
      <w:pPr>
        <w:rPr>
          <w:lang w:val="en-GB"/>
        </w:rPr>
      </w:pPr>
      <w:r w:rsidRPr="2EDDAB45">
        <w:rPr>
          <w:lang w:val="en-GB"/>
        </w:rPr>
        <w:t xml:space="preserve">DFAT’s engagement with these partners in this context is somewhat unique, in that </w:t>
      </w:r>
      <w:r w:rsidR="00503D56" w:rsidRPr="2EDDAB45">
        <w:rPr>
          <w:lang w:val="en-GB"/>
        </w:rPr>
        <w:t>it is</w:t>
      </w:r>
      <w:r w:rsidR="0098593B" w:rsidRPr="2EDDAB45">
        <w:rPr>
          <w:lang w:val="en-GB"/>
        </w:rPr>
        <w:t xml:space="preserve"> </w:t>
      </w:r>
      <w:r w:rsidR="005476DC" w:rsidRPr="2EDDAB45">
        <w:rPr>
          <w:lang w:val="en-GB"/>
        </w:rPr>
        <w:t>underpinned by</w:t>
      </w:r>
      <w:r w:rsidR="00503D56" w:rsidRPr="2EDDAB45">
        <w:rPr>
          <w:lang w:val="en-GB"/>
        </w:rPr>
        <w:t xml:space="preserve"> a</w:t>
      </w:r>
      <w:r w:rsidR="004B5B16">
        <w:rPr>
          <w:lang w:val="en-GB"/>
        </w:rPr>
        <w:t xml:space="preserve">n investment </w:t>
      </w:r>
      <w:r w:rsidR="00503D56" w:rsidRPr="2EDDAB45">
        <w:rPr>
          <w:lang w:val="en-GB"/>
        </w:rPr>
        <w:t xml:space="preserve">design </w:t>
      </w:r>
      <w:r w:rsidR="000D025D">
        <w:rPr>
          <w:lang w:val="en-GB"/>
        </w:rPr>
        <w:t xml:space="preserve">summary </w:t>
      </w:r>
      <w:r w:rsidR="00674145" w:rsidRPr="2EDDAB45">
        <w:rPr>
          <w:lang w:val="en-GB"/>
        </w:rPr>
        <w:t>and</w:t>
      </w:r>
      <w:r w:rsidR="0098593B" w:rsidRPr="2EDDAB45">
        <w:rPr>
          <w:lang w:val="en-GB"/>
        </w:rPr>
        <w:t xml:space="preserve"> </w:t>
      </w:r>
      <w:r w:rsidR="00175108" w:rsidRPr="2EDDAB45">
        <w:rPr>
          <w:lang w:val="en-GB"/>
        </w:rPr>
        <w:t xml:space="preserve">is a </w:t>
      </w:r>
      <w:r w:rsidR="00213461" w:rsidRPr="2EDDAB45">
        <w:rPr>
          <w:lang w:val="en-GB"/>
        </w:rPr>
        <w:t xml:space="preserve">multi-year </w:t>
      </w:r>
      <w:r w:rsidR="00175108" w:rsidRPr="2EDDAB45">
        <w:rPr>
          <w:lang w:val="en-GB"/>
        </w:rPr>
        <w:t>agreement.</w:t>
      </w:r>
      <w:r w:rsidR="00213461" w:rsidRPr="2EDDAB45">
        <w:rPr>
          <w:lang w:val="en-GB"/>
        </w:rPr>
        <w:t xml:space="preserve"> </w:t>
      </w:r>
      <w:r w:rsidR="00B411E7" w:rsidRPr="2EDDAB45">
        <w:rPr>
          <w:lang w:val="en-GB"/>
        </w:rPr>
        <w:t>WFP and UNHCR are two of 1</w:t>
      </w:r>
      <w:r w:rsidR="00006FE1">
        <w:rPr>
          <w:lang w:val="en-GB"/>
        </w:rPr>
        <w:t>2</w:t>
      </w:r>
      <w:r w:rsidR="00B411E7" w:rsidRPr="2EDDAB45">
        <w:rPr>
          <w:lang w:val="en-GB"/>
        </w:rPr>
        <w:t xml:space="preserve"> partners DFAT </w:t>
      </w:r>
      <w:proofErr w:type="gramStart"/>
      <w:r w:rsidR="00B411E7" w:rsidRPr="2EDDAB45">
        <w:rPr>
          <w:lang w:val="en-GB"/>
        </w:rPr>
        <w:t>is</w:t>
      </w:r>
      <w:proofErr w:type="gramEnd"/>
      <w:r w:rsidR="00B411E7" w:rsidRPr="2EDDAB45">
        <w:rPr>
          <w:lang w:val="en-GB"/>
        </w:rPr>
        <w:t xml:space="preserve"> funding in Bangladesh for </w:t>
      </w:r>
      <w:r w:rsidR="00C16328">
        <w:rPr>
          <w:lang w:val="en-GB"/>
        </w:rPr>
        <w:t xml:space="preserve">the </w:t>
      </w:r>
      <w:r w:rsidR="00C16328">
        <w:rPr>
          <w:rFonts w:ascii="Arial" w:eastAsia="Aptos" w:hAnsi="Arial" w:cs="Arial"/>
          <w:color w:val="auto"/>
          <w:kern w:val="2"/>
          <w:szCs w:val="20"/>
          <w:lang w:val="en-GB" w:eastAsia="en-US"/>
          <w14:ligatures w14:val="standardContextual"/>
        </w:rPr>
        <w:t>Bangladesh Rohingya and Host Community Humanitarian Investment</w:t>
      </w:r>
      <w:r w:rsidR="00FF7C45" w:rsidRPr="2EDDAB45">
        <w:rPr>
          <w:lang w:val="en-GB"/>
        </w:rPr>
        <w:t xml:space="preserve">, </w:t>
      </w:r>
      <w:r w:rsidR="457A9AAB" w:rsidRPr="378487F1">
        <w:rPr>
          <w:lang w:val="en-GB"/>
        </w:rPr>
        <w:t xml:space="preserve">and the EOLs were </w:t>
      </w:r>
      <w:r w:rsidR="0022086A">
        <w:rPr>
          <w:lang w:val="en-GB"/>
        </w:rPr>
        <w:t>some o</w:t>
      </w:r>
      <w:r w:rsidR="00A128CC">
        <w:rPr>
          <w:lang w:val="en-GB"/>
        </w:rPr>
        <w:t xml:space="preserve">f </w:t>
      </w:r>
      <w:r w:rsidR="457A9AAB" w:rsidRPr="378487F1">
        <w:rPr>
          <w:lang w:val="en-GB"/>
        </w:rPr>
        <w:t xml:space="preserve">the first </w:t>
      </w:r>
      <w:r w:rsidR="00FF7C45" w:rsidRPr="2EDDAB45">
        <w:rPr>
          <w:lang w:val="en-GB"/>
        </w:rPr>
        <w:t>EOLs negotiated under the current SPFs</w:t>
      </w:r>
      <w:r w:rsidR="00B411E7" w:rsidRPr="2EDDAB45">
        <w:rPr>
          <w:lang w:val="en-GB"/>
        </w:rPr>
        <w:t>.</w:t>
      </w:r>
      <w:r w:rsidR="00B411E7" w:rsidRPr="2EDDAB45">
        <w:rPr>
          <w:rStyle w:val="FootnoteReference"/>
          <w:lang w:val="en-GB"/>
        </w:rPr>
        <w:footnoteReference w:id="116"/>
      </w:r>
    </w:p>
    <w:p w14:paraId="304E54B3" w14:textId="7F690D06" w:rsidR="00420443" w:rsidRPr="009E04CF" w:rsidRDefault="009E04CF" w:rsidP="00420443">
      <w:pPr>
        <w:rPr>
          <w:b/>
          <w:bCs/>
        </w:rPr>
      </w:pPr>
      <w:r w:rsidRPr="009E04CF">
        <w:rPr>
          <w:b/>
          <w:bCs/>
        </w:rPr>
        <w:t>Funding and the Exchange of Letters</w:t>
      </w:r>
    </w:p>
    <w:p w14:paraId="48142314" w14:textId="5BAEE451" w:rsidR="00420443" w:rsidRDefault="003E750C" w:rsidP="00420443">
      <w:r w:rsidRPr="003E750C">
        <w:t xml:space="preserve">The Australian Government has provided more than </w:t>
      </w:r>
      <w:r w:rsidR="006E2D45">
        <w:t>AUD</w:t>
      </w:r>
      <w:r w:rsidR="00354A74">
        <w:t>100</w:t>
      </w:r>
      <w:r w:rsidRPr="003E750C">
        <w:t xml:space="preserve"> million as multi-year funding to WFP and UNHCR under the current partnership and phase of the humanitarian package</w:t>
      </w:r>
      <w:r w:rsidR="006E2D45">
        <w:t>. This package has been used</w:t>
      </w:r>
      <w:r w:rsidRPr="003E750C">
        <w:t xml:space="preserve"> to implement activities outlined under the Joint Response Plan providing humanitarian assistance to the Rohingya and Host Communities</w:t>
      </w:r>
      <w:r w:rsidR="006E2D45">
        <w:t>:</w:t>
      </w:r>
      <w:r w:rsidR="00674145">
        <w:rPr>
          <w:rStyle w:val="FootnoteReference"/>
        </w:rPr>
        <w:footnoteReference w:id="117"/>
      </w:r>
    </w:p>
    <w:tbl>
      <w:tblPr>
        <w:tblW w:w="9498" w:type="dxa"/>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1133"/>
        <w:gridCol w:w="4892"/>
        <w:gridCol w:w="1083"/>
        <w:gridCol w:w="2390"/>
      </w:tblGrid>
      <w:tr w:rsidR="00420443" w:rsidRPr="00756D5F" w14:paraId="775423BD" w14:textId="77777777" w:rsidTr="007C1530">
        <w:trPr>
          <w:trHeight w:val="300"/>
        </w:trPr>
        <w:tc>
          <w:tcPr>
            <w:tcW w:w="1134" w:type="dxa"/>
            <w:tcBorders>
              <w:top w:val="nil"/>
              <w:left w:val="nil"/>
              <w:bottom w:val="nil"/>
              <w:right w:val="nil"/>
            </w:tcBorders>
            <w:tcMar>
              <w:top w:w="80" w:type="dxa"/>
              <w:left w:w="80" w:type="dxa"/>
              <w:bottom w:w="80" w:type="dxa"/>
              <w:right w:w="80" w:type="dxa"/>
            </w:tcMar>
            <w:hideMark/>
          </w:tcPr>
          <w:p w14:paraId="47929E1E" w14:textId="77777777" w:rsidR="00420443" w:rsidRPr="00756D5F" w:rsidRDefault="00420443">
            <w:pPr>
              <w:spacing w:after="0" w:line="240" w:lineRule="auto"/>
              <w:rPr>
                <w:rFonts w:ascii="Calibri" w:eastAsia="Times New Roman" w:hAnsi="Calibri"/>
                <w:color w:val="auto"/>
                <w:sz w:val="22"/>
                <w:szCs w:val="22"/>
              </w:rPr>
            </w:pPr>
            <w:r w:rsidRPr="00756D5F">
              <w:rPr>
                <w:rFonts w:ascii="Calibri" w:eastAsia="Times New Roman" w:hAnsi="Calibri"/>
                <w:b/>
                <w:bCs/>
                <w:color w:val="auto"/>
                <w:sz w:val="22"/>
                <w:szCs w:val="22"/>
              </w:rPr>
              <w:t>Partner</w:t>
            </w:r>
          </w:p>
        </w:tc>
        <w:tc>
          <w:tcPr>
            <w:tcW w:w="4950" w:type="dxa"/>
            <w:tcBorders>
              <w:top w:val="nil"/>
              <w:left w:val="nil"/>
              <w:bottom w:val="nil"/>
              <w:right w:val="nil"/>
            </w:tcBorders>
            <w:tcMar>
              <w:top w:w="80" w:type="dxa"/>
              <w:left w:w="80" w:type="dxa"/>
              <w:bottom w:w="80" w:type="dxa"/>
              <w:right w:w="80" w:type="dxa"/>
            </w:tcMar>
            <w:hideMark/>
          </w:tcPr>
          <w:p w14:paraId="5EC8B54C" w14:textId="67E2F471" w:rsidR="00420443" w:rsidRPr="00756D5F" w:rsidRDefault="00101523">
            <w:pPr>
              <w:spacing w:after="0" w:line="240" w:lineRule="auto"/>
              <w:rPr>
                <w:rFonts w:ascii="Calibri" w:eastAsia="Times New Roman" w:hAnsi="Calibri"/>
                <w:color w:val="auto"/>
                <w:sz w:val="22"/>
                <w:szCs w:val="22"/>
              </w:rPr>
            </w:pPr>
            <w:r>
              <w:rPr>
                <w:rFonts w:ascii="Calibri" w:eastAsia="Times New Roman" w:hAnsi="Calibri"/>
                <w:b/>
                <w:bCs/>
                <w:color w:val="auto"/>
                <w:sz w:val="22"/>
                <w:szCs w:val="22"/>
              </w:rPr>
              <w:t>Purpose</w:t>
            </w:r>
          </w:p>
        </w:tc>
        <w:tc>
          <w:tcPr>
            <w:tcW w:w="1004" w:type="dxa"/>
            <w:tcBorders>
              <w:top w:val="nil"/>
              <w:left w:val="nil"/>
              <w:bottom w:val="nil"/>
              <w:right w:val="nil"/>
            </w:tcBorders>
            <w:tcMar>
              <w:top w:w="80" w:type="dxa"/>
              <w:left w:w="80" w:type="dxa"/>
              <w:bottom w:w="80" w:type="dxa"/>
              <w:right w:w="80" w:type="dxa"/>
            </w:tcMar>
            <w:hideMark/>
          </w:tcPr>
          <w:p w14:paraId="54DFFAA0" w14:textId="77777777" w:rsidR="00420443" w:rsidRPr="00756D5F" w:rsidRDefault="00420443">
            <w:pPr>
              <w:spacing w:after="0" w:line="240" w:lineRule="auto"/>
              <w:rPr>
                <w:rFonts w:ascii="Calibri" w:eastAsia="Times New Roman" w:hAnsi="Calibri"/>
                <w:color w:val="auto"/>
                <w:sz w:val="22"/>
                <w:szCs w:val="22"/>
              </w:rPr>
            </w:pPr>
            <w:r>
              <w:rPr>
                <w:rFonts w:ascii="Calibri" w:eastAsia="Times New Roman" w:hAnsi="Calibri"/>
                <w:b/>
                <w:bCs/>
                <w:color w:val="auto"/>
                <w:sz w:val="22"/>
                <w:szCs w:val="22"/>
              </w:rPr>
              <w:t>Value</w:t>
            </w:r>
          </w:p>
        </w:tc>
        <w:tc>
          <w:tcPr>
            <w:tcW w:w="2410" w:type="dxa"/>
            <w:tcBorders>
              <w:top w:val="nil"/>
              <w:left w:val="nil"/>
              <w:bottom w:val="nil"/>
              <w:right w:val="nil"/>
            </w:tcBorders>
            <w:tcMar>
              <w:top w:w="80" w:type="dxa"/>
              <w:left w:w="80" w:type="dxa"/>
              <w:bottom w:w="80" w:type="dxa"/>
              <w:right w:w="80" w:type="dxa"/>
            </w:tcMar>
            <w:hideMark/>
          </w:tcPr>
          <w:p w14:paraId="2F9EBA0C" w14:textId="56615FB4" w:rsidR="00420443" w:rsidRPr="00756D5F" w:rsidRDefault="00420443">
            <w:pPr>
              <w:spacing w:after="0" w:line="240" w:lineRule="auto"/>
              <w:rPr>
                <w:rFonts w:ascii="Calibri" w:eastAsia="Times New Roman" w:hAnsi="Calibri"/>
                <w:color w:val="auto"/>
                <w:sz w:val="22"/>
                <w:szCs w:val="22"/>
              </w:rPr>
            </w:pPr>
            <w:r>
              <w:rPr>
                <w:rFonts w:ascii="Calibri" w:eastAsia="Times New Roman" w:hAnsi="Calibri"/>
                <w:b/>
                <w:bCs/>
                <w:color w:val="auto"/>
                <w:sz w:val="22"/>
                <w:szCs w:val="22"/>
              </w:rPr>
              <w:t>Timeframe</w:t>
            </w:r>
          </w:p>
        </w:tc>
      </w:tr>
      <w:tr w:rsidR="00674145" w:rsidRPr="00756D5F" w14:paraId="11C8D0DC" w14:textId="77777777" w:rsidTr="007C1530">
        <w:trPr>
          <w:trHeight w:val="300"/>
        </w:trPr>
        <w:tc>
          <w:tcPr>
            <w:tcW w:w="1134" w:type="dxa"/>
            <w:tcBorders>
              <w:top w:val="nil"/>
              <w:left w:val="nil"/>
              <w:bottom w:val="nil"/>
              <w:right w:val="nil"/>
            </w:tcBorders>
            <w:tcMar>
              <w:top w:w="80" w:type="dxa"/>
              <w:left w:w="80" w:type="dxa"/>
              <w:bottom w:w="80" w:type="dxa"/>
              <w:right w:w="80" w:type="dxa"/>
            </w:tcMar>
            <w:hideMark/>
          </w:tcPr>
          <w:p w14:paraId="71EC1181" w14:textId="02DFE866" w:rsidR="00420443" w:rsidRPr="00756D5F" w:rsidRDefault="00420443">
            <w:pPr>
              <w:spacing w:after="0" w:line="240" w:lineRule="auto"/>
              <w:rPr>
                <w:rFonts w:ascii="Calibri" w:eastAsia="Times New Roman" w:hAnsi="Calibri"/>
                <w:color w:val="auto"/>
                <w:sz w:val="22"/>
                <w:szCs w:val="22"/>
              </w:rPr>
            </w:pPr>
            <w:r>
              <w:rPr>
                <w:rFonts w:ascii="Calibri" w:eastAsia="Times New Roman" w:hAnsi="Calibri"/>
                <w:b/>
                <w:bCs/>
                <w:color w:val="auto"/>
                <w:sz w:val="22"/>
                <w:szCs w:val="22"/>
              </w:rPr>
              <w:t>UNHCR</w:t>
            </w:r>
            <w:r w:rsidR="00101523">
              <w:rPr>
                <w:rStyle w:val="FootnoteReference"/>
                <w:rFonts w:ascii="Calibri" w:eastAsia="Times New Roman" w:hAnsi="Calibri"/>
                <w:b/>
                <w:bCs/>
                <w:color w:val="auto"/>
                <w:sz w:val="22"/>
                <w:szCs w:val="22"/>
              </w:rPr>
              <w:footnoteReference w:id="118"/>
            </w:r>
          </w:p>
        </w:tc>
        <w:tc>
          <w:tcPr>
            <w:tcW w:w="4950" w:type="dxa"/>
            <w:tcBorders>
              <w:top w:val="nil"/>
              <w:left w:val="nil"/>
              <w:bottom w:val="single" w:sz="4" w:space="0" w:color="auto"/>
              <w:right w:val="single" w:sz="4" w:space="0" w:color="auto"/>
            </w:tcBorders>
            <w:tcMar>
              <w:top w:w="80" w:type="dxa"/>
              <w:left w:w="80" w:type="dxa"/>
              <w:bottom w:w="80" w:type="dxa"/>
              <w:right w:w="80" w:type="dxa"/>
            </w:tcMar>
            <w:hideMark/>
          </w:tcPr>
          <w:p w14:paraId="5B1DCA37" w14:textId="2CB66CAE" w:rsidR="00420443" w:rsidRDefault="00101523" w:rsidP="00101523">
            <w:pPr>
              <w:spacing w:after="0" w:line="240" w:lineRule="auto"/>
            </w:pPr>
            <w:r>
              <w:t xml:space="preserve">Humanitarian Assistance to Rohingya </w:t>
            </w:r>
            <w:r w:rsidR="005E6B93">
              <w:t>response</w:t>
            </w:r>
            <w:r>
              <w:t xml:space="preserve"> – Country-Level Contribution, as described in the Rohingya and Host Communities Joint Response Plan 2023 and subsequent iterations of this plan (</w:t>
            </w:r>
            <w:r w:rsidR="00420443">
              <w:t>EOL 77332/4</w:t>
            </w:r>
            <w:r>
              <w:t>)</w:t>
            </w:r>
          </w:p>
          <w:p w14:paraId="1AFC4E75" w14:textId="77777777" w:rsidR="00A20C96" w:rsidRPr="005C7CFA" w:rsidRDefault="00A20C96" w:rsidP="00101523">
            <w:pPr>
              <w:spacing w:after="0" w:line="240" w:lineRule="auto"/>
            </w:pPr>
          </w:p>
          <w:p w14:paraId="086867D8" w14:textId="626E517A" w:rsidR="00A20C96" w:rsidRPr="00756D5F" w:rsidRDefault="00A20C96" w:rsidP="00101523">
            <w:pPr>
              <w:spacing w:after="0" w:line="240" w:lineRule="auto"/>
              <w:rPr>
                <w:rFonts w:ascii="Calibri" w:eastAsia="Times New Roman" w:hAnsi="Calibri"/>
                <w:color w:val="auto"/>
                <w:sz w:val="22"/>
                <w:szCs w:val="22"/>
              </w:rPr>
            </w:pPr>
            <w:r w:rsidRPr="005C7CFA">
              <w:t>Humanitarian Assistance to Rohingya in Bangladesh – Earmarked Contribution (EOL 77332/1B)</w:t>
            </w:r>
            <w:r w:rsidR="003072C7">
              <w:rPr>
                <w:rStyle w:val="FootnoteReference"/>
              </w:rPr>
              <w:footnoteReference w:id="119"/>
            </w:r>
          </w:p>
        </w:tc>
        <w:tc>
          <w:tcPr>
            <w:tcW w:w="1004" w:type="dxa"/>
            <w:tcBorders>
              <w:top w:val="nil"/>
              <w:left w:val="single" w:sz="4" w:space="0" w:color="auto"/>
              <w:bottom w:val="single" w:sz="4" w:space="0" w:color="auto"/>
              <w:right w:val="single" w:sz="4" w:space="0" w:color="auto"/>
            </w:tcBorders>
            <w:tcMar>
              <w:top w:w="80" w:type="dxa"/>
              <w:left w:w="80" w:type="dxa"/>
              <w:bottom w:w="80" w:type="dxa"/>
              <w:right w:w="80" w:type="dxa"/>
            </w:tcMar>
            <w:hideMark/>
          </w:tcPr>
          <w:p w14:paraId="5C03D658" w14:textId="77777777" w:rsidR="00420443" w:rsidRDefault="00420443">
            <w:pPr>
              <w:spacing w:after="0" w:line="240" w:lineRule="auto"/>
            </w:pPr>
            <w:r>
              <w:t>AUD</w:t>
            </w:r>
            <w:r w:rsidR="00CE58C6">
              <w:t>14.</w:t>
            </w:r>
            <w:r w:rsidR="00595C8B">
              <w:t>96</w:t>
            </w:r>
            <w:r>
              <w:t xml:space="preserve"> million</w:t>
            </w:r>
          </w:p>
          <w:p w14:paraId="520EECE3" w14:textId="77777777" w:rsidR="00A20C96" w:rsidRDefault="00A20C96">
            <w:pPr>
              <w:spacing w:after="0" w:line="240" w:lineRule="auto"/>
            </w:pPr>
          </w:p>
          <w:p w14:paraId="134B3A50" w14:textId="77777777" w:rsidR="00A20C96" w:rsidRDefault="00A20C96">
            <w:pPr>
              <w:spacing w:after="0" w:line="240" w:lineRule="auto"/>
            </w:pPr>
          </w:p>
          <w:p w14:paraId="452698B6" w14:textId="77777777" w:rsidR="00A20C96" w:rsidRDefault="00A20C96">
            <w:pPr>
              <w:spacing w:after="0" w:line="240" w:lineRule="auto"/>
            </w:pPr>
          </w:p>
          <w:p w14:paraId="0BB3B3A1" w14:textId="77777777" w:rsidR="00A20C96" w:rsidRDefault="00A20C96">
            <w:pPr>
              <w:spacing w:after="0" w:line="240" w:lineRule="auto"/>
            </w:pPr>
          </w:p>
          <w:p w14:paraId="28648530" w14:textId="139C5DE9" w:rsidR="00A20C96" w:rsidRPr="00756D5F" w:rsidRDefault="00A20C96">
            <w:pPr>
              <w:spacing w:after="0" w:line="240" w:lineRule="auto"/>
              <w:rPr>
                <w:rFonts w:ascii="Calibri" w:eastAsia="Times New Roman" w:hAnsi="Calibri"/>
                <w:color w:val="auto"/>
                <w:sz w:val="22"/>
                <w:szCs w:val="22"/>
              </w:rPr>
            </w:pPr>
            <w:r>
              <w:t>AUD28 million</w:t>
            </w:r>
          </w:p>
        </w:tc>
        <w:tc>
          <w:tcPr>
            <w:tcW w:w="2410" w:type="dxa"/>
            <w:tcBorders>
              <w:top w:val="nil"/>
              <w:left w:val="single" w:sz="4" w:space="0" w:color="auto"/>
              <w:bottom w:val="single" w:sz="4" w:space="0" w:color="auto"/>
              <w:right w:val="nil"/>
            </w:tcBorders>
            <w:tcMar>
              <w:top w:w="80" w:type="dxa"/>
              <w:left w:w="80" w:type="dxa"/>
              <w:bottom w:w="80" w:type="dxa"/>
              <w:right w:w="80" w:type="dxa"/>
            </w:tcMar>
            <w:hideMark/>
          </w:tcPr>
          <w:p w14:paraId="6D9DE0ED" w14:textId="77777777" w:rsidR="00420443" w:rsidRDefault="00420443">
            <w:pPr>
              <w:spacing w:after="0" w:line="240" w:lineRule="auto"/>
            </w:pPr>
            <w:r>
              <w:t>Multiyear: May 2023 to December 2025</w:t>
            </w:r>
          </w:p>
          <w:p w14:paraId="5A3F1E30" w14:textId="77777777" w:rsidR="00A20C96" w:rsidRDefault="00A20C96">
            <w:pPr>
              <w:spacing w:after="0" w:line="240" w:lineRule="auto"/>
              <w:rPr>
                <w:sz w:val="22"/>
              </w:rPr>
            </w:pPr>
          </w:p>
          <w:p w14:paraId="07456038" w14:textId="77777777" w:rsidR="00A20C96" w:rsidRDefault="00A20C96">
            <w:pPr>
              <w:spacing w:after="0" w:line="240" w:lineRule="auto"/>
              <w:rPr>
                <w:sz w:val="22"/>
              </w:rPr>
            </w:pPr>
          </w:p>
          <w:p w14:paraId="1241257C" w14:textId="77777777" w:rsidR="00A20C96" w:rsidRDefault="00A20C96">
            <w:pPr>
              <w:spacing w:after="0" w:line="240" w:lineRule="auto"/>
              <w:rPr>
                <w:sz w:val="22"/>
              </w:rPr>
            </w:pPr>
          </w:p>
          <w:p w14:paraId="08F122E5" w14:textId="77777777" w:rsidR="00A20C96" w:rsidRDefault="00A20C96">
            <w:pPr>
              <w:spacing w:after="0" w:line="240" w:lineRule="auto"/>
              <w:rPr>
                <w:sz w:val="22"/>
              </w:rPr>
            </w:pPr>
          </w:p>
          <w:p w14:paraId="3356535C" w14:textId="55453A26" w:rsidR="00A20C96" w:rsidRPr="00756D5F" w:rsidRDefault="00A20C96">
            <w:pPr>
              <w:spacing w:after="0" w:line="240" w:lineRule="auto"/>
              <w:rPr>
                <w:rFonts w:ascii="Calibri" w:eastAsia="Times New Roman" w:hAnsi="Calibri"/>
                <w:color w:val="auto"/>
                <w:sz w:val="22"/>
                <w:szCs w:val="22"/>
              </w:rPr>
            </w:pPr>
            <w:r w:rsidRPr="005C7CFA">
              <w:t>FY2022 – 23 to FY2024 - 25</w:t>
            </w:r>
          </w:p>
        </w:tc>
      </w:tr>
      <w:tr w:rsidR="00674145" w:rsidRPr="00756D5F" w14:paraId="54B64661" w14:textId="77777777" w:rsidTr="007C1530">
        <w:trPr>
          <w:trHeight w:val="300"/>
        </w:trPr>
        <w:tc>
          <w:tcPr>
            <w:tcW w:w="1134" w:type="dxa"/>
            <w:tcBorders>
              <w:top w:val="nil"/>
              <w:left w:val="nil"/>
              <w:bottom w:val="nil"/>
              <w:right w:val="nil"/>
            </w:tcBorders>
            <w:tcMar>
              <w:top w:w="80" w:type="dxa"/>
              <w:left w:w="80" w:type="dxa"/>
              <w:bottom w:w="80" w:type="dxa"/>
              <w:right w:w="80" w:type="dxa"/>
            </w:tcMar>
            <w:hideMark/>
          </w:tcPr>
          <w:p w14:paraId="600132A1" w14:textId="463DFCF9" w:rsidR="00420443" w:rsidRPr="00756D5F" w:rsidRDefault="00420443">
            <w:pPr>
              <w:spacing w:after="0" w:line="240" w:lineRule="auto"/>
              <w:rPr>
                <w:rFonts w:ascii="Calibri" w:eastAsia="Times New Roman" w:hAnsi="Calibri"/>
                <w:color w:val="auto"/>
                <w:sz w:val="22"/>
                <w:szCs w:val="22"/>
              </w:rPr>
            </w:pPr>
            <w:r>
              <w:rPr>
                <w:rFonts w:ascii="Calibri" w:eastAsia="Times New Roman" w:hAnsi="Calibri"/>
                <w:b/>
                <w:bCs/>
                <w:color w:val="auto"/>
                <w:sz w:val="22"/>
                <w:szCs w:val="22"/>
              </w:rPr>
              <w:t>WFP</w:t>
            </w:r>
            <w:r w:rsidR="00BF7F00">
              <w:rPr>
                <w:rStyle w:val="FootnoteReference"/>
              </w:rPr>
              <w:footnoteReference w:id="120"/>
            </w:r>
          </w:p>
        </w:tc>
        <w:tc>
          <w:tcPr>
            <w:tcW w:w="4950" w:type="dxa"/>
            <w:tcBorders>
              <w:top w:val="single" w:sz="4" w:space="0" w:color="auto"/>
              <w:left w:val="nil"/>
              <w:bottom w:val="single" w:sz="4" w:space="0" w:color="auto"/>
              <w:right w:val="single" w:sz="4" w:space="0" w:color="auto"/>
            </w:tcBorders>
            <w:tcMar>
              <w:top w:w="80" w:type="dxa"/>
              <w:left w:w="80" w:type="dxa"/>
              <w:bottom w:w="80" w:type="dxa"/>
              <w:right w:w="80" w:type="dxa"/>
            </w:tcMar>
            <w:hideMark/>
          </w:tcPr>
          <w:p w14:paraId="290038DC" w14:textId="1E852E2C" w:rsidR="00420443" w:rsidRPr="00756D5F" w:rsidRDefault="00101523" w:rsidP="00101523">
            <w:pPr>
              <w:spacing w:after="0" w:line="240" w:lineRule="auto"/>
              <w:rPr>
                <w:rFonts w:ascii="Calibri" w:eastAsia="Times New Roman" w:hAnsi="Calibri"/>
                <w:color w:val="auto"/>
                <w:sz w:val="22"/>
                <w:szCs w:val="22"/>
              </w:rPr>
            </w:pPr>
            <w:r w:rsidRPr="00864F15">
              <w:t>Bangladesh Rohingya and Host Communities Humanitarian Response 2023-2025</w:t>
            </w:r>
            <w:r>
              <w:t xml:space="preserve"> in accordance with WFP’s appeal against the 2023 Rohingya and Host Communities Joint Response Plan and subsequent iterations (</w:t>
            </w:r>
            <w:r w:rsidR="00420443">
              <w:t>EOL 77335/7</w:t>
            </w:r>
            <w:r>
              <w:t>)</w:t>
            </w:r>
          </w:p>
        </w:tc>
        <w:tc>
          <w:tcPr>
            <w:tcW w:w="10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089218C2" w14:textId="0D028F26" w:rsidR="00420443" w:rsidRPr="00756D5F" w:rsidRDefault="00420443">
            <w:pPr>
              <w:spacing w:after="0" w:line="240" w:lineRule="auto"/>
              <w:rPr>
                <w:rFonts w:ascii="Calibri" w:eastAsia="Times New Roman" w:hAnsi="Calibri"/>
                <w:color w:val="auto"/>
                <w:sz w:val="22"/>
                <w:szCs w:val="22"/>
              </w:rPr>
            </w:pPr>
            <w:r>
              <w:t>AUD5</w:t>
            </w:r>
            <w:r w:rsidR="7C926169">
              <w:t>7</w:t>
            </w:r>
            <w:r>
              <w:t>.4 million</w:t>
            </w:r>
          </w:p>
        </w:tc>
        <w:tc>
          <w:tcPr>
            <w:tcW w:w="2410" w:type="dxa"/>
            <w:tcBorders>
              <w:top w:val="single" w:sz="4" w:space="0" w:color="auto"/>
              <w:left w:val="single" w:sz="4" w:space="0" w:color="auto"/>
              <w:bottom w:val="single" w:sz="4" w:space="0" w:color="auto"/>
              <w:right w:val="nil"/>
            </w:tcBorders>
            <w:tcMar>
              <w:top w:w="80" w:type="dxa"/>
              <w:left w:w="80" w:type="dxa"/>
              <w:bottom w:w="80" w:type="dxa"/>
              <w:right w:w="80" w:type="dxa"/>
            </w:tcMar>
            <w:hideMark/>
          </w:tcPr>
          <w:p w14:paraId="67CC6CDE" w14:textId="475A6EAB" w:rsidR="00420443" w:rsidRDefault="00420443">
            <w:pPr>
              <w:spacing w:after="0" w:line="240" w:lineRule="auto"/>
            </w:pPr>
            <w:r>
              <w:t>Multiyear: May 2023 to December 2025</w:t>
            </w:r>
          </w:p>
          <w:p w14:paraId="600D5314" w14:textId="363A59EE" w:rsidR="00420443" w:rsidRDefault="00420443" w:rsidP="2C54FF09">
            <w:pPr>
              <w:spacing w:after="0" w:line="240" w:lineRule="auto"/>
              <w:rPr>
                <w:i/>
                <w:iCs/>
              </w:rPr>
            </w:pPr>
            <w:r w:rsidRPr="2C54FF09">
              <w:rPr>
                <w:i/>
                <w:iCs/>
              </w:rPr>
              <w:t xml:space="preserve">NB: EOL amended </w:t>
            </w:r>
            <w:r w:rsidR="6D073370" w:rsidRPr="2C54FF09">
              <w:rPr>
                <w:i/>
                <w:iCs/>
              </w:rPr>
              <w:t xml:space="preserve">three times </w:t>
            </w:r>
            <w:r w:rsidRPr="2C54FF09">
              <w:rPr>
                <w:i/>
                <w:iCs/>
              </w:rPr>
              <w:t>to increase value from AUD46 million</w:t>
            </w:r>
          </w:p>
          <w:p w14:paraId="287968CD" w14:textId="65F6AD5C" w:rsidR="003C78D8" w:rsidRPr="003C78D8" w:rsidRDefault="003C78D8">
            <w:pPr>
              <w:spacing w:after="0" w:line="240" w:lineRule="auto"/>
              <w:rPr>
                <w:rFonts w:ascii="Calibri" w:eastAsia="Times New Roman" w:hAnsi="Calibri"/>
                <w:color w:val="auto"/>
                <w:sz w:val="22"/>
                <w:szCs w:val="22"/>
              </w:rPr>
            </w:pPr>
          </w:p>
        </w:tc>
      </w:tr>
    </w:tbl>
    <w:p w14:paraId="2E4C464C" w14:textId="77777777" w:rsidR="001C54ED" w:rsidRDefault="001C54ED" w:rsidP="00321672"/>
    <w:p w14:paraId="6EA121BE" w14:textId="223A3692" w:rsidR="00321672" w:rsidRDefault="00321672" w:rsidP="00321672">
      <w:r w:rsidRPr="00196C90">
        <w:t xml:space="preserve">WFP and UNHCR EOLs </w:t>
      </w:r>
      <w:r w:rsidR="558C6C4D" w:rsidRPr="00196C90">
        <w:t xml:space="preserve">for this package </w:t>
      </w:r>
      <w:r w:rsidRPr="00196C90">
        <w:t xml:space="preserve">are largely </w:t>
      </w:r>
      <w:r w:rsidR="129E59B1" w:rsidRPr="00196C90">
        <w:t>consistent with</w:t>
      </w:r>
      <w:r w:rsidR="34EC0374" w:rsidRPr="00196C90">
        <w:t xml:space="preserve"> the</w:t>
      </w:r>
      <w:r w:rsidR="7D4A1203" w:rsidRPr="00196C90">
        <w:t xml:space="preserve"> respective </w:t>
      </w:r>
      <w:r w:rsidR="087C8DA9" w:rsidRPr="00196C90">
        <w:t>EOL template</w:t>
      </w:r>
      <w:r w:rsidR="34EC0374" w:rsidRPr="00196C90">
        <w:t>s</w:t>
      </w:r>
      <w:r w:rsidR="00196C90" w:rsidRPr="00196C90">
        <w:t xml:space="preserve"> agreed with the SPF</w:t>
      </w:r>
      <w:r w:rsidR="087C8DA9" w:rsidRPr="00196C90">
        <w:t>.</w:t>
      </w:r>
      <w:r w:rsidRPr="00196C90">
        <w:t xml:space="preserve"> Al</w:t>
      </w:r>
      <w:r w:rsidR="00B6704D" w:rsidRPr="00196C90">
        <w:t>l</w:t>
      </w:r>
      <w:r w:rsidRPr="00196C90">
        <w:t xml:space="preserve"> of the optional clauses have been included for both EOLs</w:t>
      </w:r>
      <w:r w:rsidR="00B6704D" w:rsidRPr="00196C90">
        <w:t xml:space="preserve">, including </w:t>
      </w:r>
      <w:r w:rsidRPr="00196C90">
        <w:t>on protection and</w:t>
      </w:r>
      <w:r>
        <w:t xml:space="preserve"> inclusion, localisation, climate change and </w:t>
      </w:r>
      <w:r w:rsidR="0009527A">
        <w:t>disaster risk reduction</w:t>
      </w:r>
      <w:r>
        <w:t>, and optional clauses requiring reporting disaggregated data</w:t>
      </w:r>
      <w:r w:rsidR="00600BD2">
        <w:t xml:space="preserve"> by sex, age and disability, data that evidences strengthened </w:t>
      </w:r>
      <w:r>
        <w:t>inclusion</w:t>
      </w:r>
      <w:r w:rsidR="00600BD2">
        <w:t xml:space="preserve"> of women, girls and people with disabilities</w:t>
      </w:r>
      <w:r>
        <w:t xml:space="preserve">, accountability to affected populations, </w:t>
      </w:r>
      <w:r w:rsidR="00362E1C">
        <w:t xml:space="preserve">the amount of funding received by local </w:t>
      </w:r>
      <w:r w:rsidR="00362E1C">
        <w:lastRenderedPageBreak/>
        <w:t>partners and their</w:t>
      </w:r>
      <w:r w:rsidR="00FD4343">
        <w:t xml:space="preserve"> </w:t>
      </w:r>
      <w:r w:rsidR="00362E1C">
        <w:t xml:space="preserve">increasing capacities, </w:t>
      </w:r>
      <w:r w:rsidR="00875B8E">
        <w:t xml:space="preserve">and </w:t>
      </w:r>
      <w:r w:rsidR="00362E1C">
        <w:t>how programming seeks to reduce risks</w:t>
      </w:r>
      <w:r w:rsidR="00FD4343">
        <w:t xml:space="preserve"> and minimise the impacts of climate change. </w:t>
      </w:r>
      <w:r>
        <w:t xml:space="preserve">They also include the optional clauses to manage risk in </w:t>
      </w:r>
      <w:r w:rsidR="003B0DF1">
        <w:t>high-risk</w:t>
      </w:r>
      <w:r>
        <w:t xml:space="preserve"> con</w:t>
      </w:r>
      <w:r w:rsidR="0058201A">
        <w:t>texts.</w:t>
      </w:r>
    </w:p>
    <w:p w14:paraId="651460C6" w14:textId="17C72BCB" w:rsidR="0036641F" w:rsidRPr="00DD5E98" w:rsidRDefault="0036641F" w:rsidP="0036641F">
      <w:pPr>
        <w:rPr>
          <w:b/>
          <w:bCs/>
        </w:rPr>
      </w:pPr>
      <w:r>
        <w:rPr>
          <w:b/>
          <w:bCs/>
        </w:rPr>
        <w:t xml:space="preserve">EOLs and </w:t>
      </w:r>
      <w:r w:rsidRPr="00DD5E98">
        <w:rPr>
          <w:b/>
          <w:bCs/>
        </w:rPr>
        <w:t>Reporting</w:t>
      </w:r>
      <w:r w:rsidR="0055678E">
        <w:rPr>
          <w:b/>
          <w:bCs/>
        </w:rPr>
        <w:t xml:space="preserve"> Requirements</w:t>
      </w:r>
    </w:p>
    <w:p w14:paraId="1D1204B7" w14:textId="2C2CD14D" w:rsidR="005003B8" w:rsidRDefault="00445252" w:rsidP="00321672">
      <w:r>
        <w:t xml:space="preserve">Both WFP and UNHCR EOLs have </w:t>
      </w:r>
      <w:r w:rsidR="00436A40" w:rsidRPr="2C54FF09">
        <w:rPr>
          <w:b/>
          <w:bCs/>
        </w:rPr>
        <w:t xml:space="preserve">additional </w:t>
      </w:r>
      <w:r w:rsidRPr="2C54FF09">
        <w:rPr>
          <w:b/>
          <w:bCs/>
        </w:rPr>
        <w:t>requirements beyond the</w:t>
      </w:r>
      <w:r w:rsidR="005D3C94" w:rsidRPr="2C54FF09">
        <w:rPr>
          <w:b/>
          <w:bCs/>
        </w:rPr>
        <w:t xml:space="preserve">ir EOL </w:t>
      </w:r>
      <w:r w:rsidRPr="2C54FF09">
        <w:rPr>
          <w:b/>
          <w:bCs/>
        </w:rPr>
        <w:t>templat</w:t>
      </w:r>
      <w:r w:rsidR="005D3C94" w:rsidRPr="2C54FF09">
        <w:rPr>
          <w:b/>
          <w:bCs/>
        </w:rPr>
        <w:t>es</w:t>
      </w:r>
      <w:r w:rsidR="00DC0C17">
        <w:t xml:space="preserve">, </w:t>
      </w:r>
      <w:r w:rsidR="009669DD">
        <w:t>including a clause earmarking</w:t>
      </w:r>
      <w:r w:rsidR="00CB025C">
        <w:t xml:space="preserve"> </w:t>
      </w:r>
      <w:r w:rsidR="00DC0C17">
        <w:t>geographic</w:t>
      </w:r>
      <w:r w:rsidR="009669DD">
        <w:t xml:space="preserve">ally, </w:t>
      </w:r>
      <w:r w:rsidR="00DC0C17">
        <w:t xml:space="preserve">and </w:t>
      </w:r>
      <w:r w:rsidR="00B20A1E">
        <w:t xml:space="preserve">a clause and two annexes requiring additional reporting. </w:t>
      </w:r>
      <w:r w:rsidR="4B253963">
        <w:t xml:space="preserve">Annex 1 to </w:t>
      </w:r>
      <w:r w:rsidR="6ED4A4DA">
        <w:t>b</w:t>
      </w:r>
      <w:r w:rsidR="2ACE9E27">
        <w:t xml:space="preserve">oth </w:t>
      </w:r>
      <w:r w:rsidR="35FBD998">
        <w:t>the</w:t>
      </w:r>
      <w:r w:rsidR="005003B8">
        <w:t xml:space="preserve"> WFP and UNHCR EOLs </w:t>
      </w:r>
      <w:r w:rsidR="00D74B7E">
        <w:t xml:space="preserve">outlines performance and reporting expectations and reiterates </w:t>
      </w:r>
      <w:r w:rsidR="00C96B71">
        <w:t xml:space="preserve">reporting requirements </w:t>
      </w:r>
      <w:r w:rsidR="00A42475">
        <w:t xml:space="preserve">broadly reflecting the EOL template optional clauses </w:t>
      </w:r>
      <w:r w:rsidR="00C96B71">
        <w:t xml:space="preserve">for gender equality, disability inclusion, localisation, </w:t>
      </w:r>
      <w:r w:rsidR="00FB4A13">
        <w:t xml:space="preserve">and </w:t>
      </w:r>
      <w:r w:rsidR="00C96B71">
        <w:t>accountability to affected populations</w:t>
      </w:r>
      <w:r w:rsidR="006F2B57">
        <w:t xml:space="preserve"> (see </w:t>
      </w:r>
      <w:r w:rsidR="00C64FDE">
        <w:t>T</w:t>
      </w:r>
      <w:r w:rsidR="006F2B57">
        <w:t xml:space="preserve">able </w:t>
      </w:r>
      <w:r w:rsidR="00C64FDE">
        <w:t>3 for</w:t>
      </w:r>
      <w:r w:rsidR="006F2B57">
        <w:t xml:space="preserve"> details)</w:t>
      </w:r>
      <w:r w:rsidR="00C96B71">
        <w:t xml:space="preserve">. </w:t>
      </w:r>
      <w:r w:rsidR="64CC1EB3">
        <w:t xml:space="preserve">Annex 2 </w:t>
      </w:r>
      <w:r w:rsidR="634AFAE6">
        <w:t>specifies a requirement for</w:t>
      </w:r>
      <w:r w:rsidR="00C96B71">
        <w:t xml:space="preserve"> the supplementary 8+3 report</w:t>
      </w:r>
      <w:r w:rsidR="0093238A">
        <w:t xml:space="preserve"> template, which does not </w:t>
      </w:r>
      <w:r w:rsidR="00B5125A">
        <w:t>reflect</w:t>
      </w:r>
      <w:r w:rsidR="0093238A">
        <w:t xml:space="preserve"> the reporting requirements requested in </w:t>
      </w:r>
      <w:r w:rsidR="000B62A1" w:rsidRPr="2C54FF09">
        <w:rPr>
          <w:b/>
          <w:bCs/>
        </w:rPr>
        <w:t>A</w:t>
      </w:r>
      <w:r w:rsidR="0093238A" w:rsidRPr="2C54FF09">
        <w:rPr>
          <w:b/>
          <w:bCs/>
        </w:rPr>
        <w:t>nnex 1</w:t>
      </w:r>
      <w:r w:rsidR="0093238A">
        <w:t xml:space="preserve">. </w:t>
      </w:r>
      <w:r w:rsidR="00C96B71">
        <w:t xml:space="preserve"> </w:t>
      </w:r>
    </w:p>
    <w:p w14:paraId="68D5584B" w14:textId="4C41F38E" w:rsidR="00DB0E44" w:rsidRDefault="00DB0E44" w:rsidP="00DB0E44">
      <w:r>
        <w:t xml:space="preserve">Both WFP and UNHCR are </w:t>
      </w:r>
      <w:r w:rsidR="009F32A5">
        <w:t xml:space="preserve">required </w:t>
      </w:r>
      <w:r>
        <w:t>to provide the 8+3 reporting by March 31 each year for the previous calendar year. This is in line with public reporting timelines and other donor expectations for the response</w:t>
      </w:r>
      <w:r w:rsidR="00C65772">
        <w:t>,</w:t>
      </w:r>
      <w:r w:rsidR="00171477">
        <w:rPr>
          <w:rStyle w:val="FootnoteReference"/>
        </w:rPr>
        <w:footnoteReference w:id="121"/>
      </w:r>
      <w:r>
        <w:t xml:space="preserve"> </w:t>
      </w:r>
      <w:r w:rsidR="00125E9F">
        <w:t>although the timing</w:t>
      </w:r>
      <w:r w:rsidR="00CC3D35">
        <w:t xml:space="preserve"> makes it more difficult </w:t>
      </w:r>
      <w:r>
        <w:t xml:space="preserve">to complete its </w:t>
      </w:r>
      <w:r w:rsidR="00FB4A13">
        <w:t>PPA</w:t>
      </w:r>
      <w:r>
        <w:t xml:space="preserve"> and </w:t>
      </w:r>
      <w:r w:rsidR="00FB4A13">
        <w:t>IMR</w:t>
      </w:r>
      <w:r>
        <w:t xml:space="preserve"> processes</w:t>
      </w:r>
      <w:r w:rsidR="00FB4A13">
        <w:t>,</w:t>
      </w:r>
      <w:r w:rsidR="00CC3D35">
        <w:t xml:space="preserve"> as compared to when Post receives reporting from other partners far earlier than March</w:t>
      </w:r>
      <w:r w:rsidR="00CC3D35">
        <w:rPr>
          <w:rStyle w:val="FootnoteReference"/>
        </w:rPr>
        <w:footnoteReference w:id="122"/>
      </w:r>
      <w:r>
        <w:t>.</w:t>
      </w:r>
    </w:p>
    <w:p w14:paraId="3F8ACF61" w14:textId="77777777" w:rsidR="0055678E" w:rsidRPr="0055678E" w:rsidRDefault="0055678E" w:rsidP="00321672">
      <w:pPr>
        <w:rPr>
          <w:b/>
          <w:bCs/>
        </w:rPr>
      </w:pPr>
      <w:r w:rsidRPr="0055678E">
        <w:rPr>
          <w:b/>
          <w:bCs/>
        </w:rPr>
        <w:t>Reporting Completed</w:t>
      </w:r>
    </w:p>
    <w:p w14:paraId="34BF930C" w14:textId="374C257E" w:rsidR="00DD5E98" w:rsidRDefault="008E49C1" w:rsidP="00321672">
      <w:r w:rsidRPr="00795DF9">
        <w:t>WFP and UNHCR submitted</w:t>
      </w:r>
      <w:r>
        <w:t xml:space="preserve"> Australia-specific 8+3 reports to DFAT in line with the EOLs</w:t>
      </w:r>
      <w:r w:rsidR="00795DF9">
        <w:t>, in addition to publishing annual reports</w:t>
      </w:r>
      <w:r>
        <w:t xml:space="preserve">. These </w:t>
      </w:r>
      <w:r w:rsidR="00B628A5">
        <w:t xml:space="preserve">additional </w:t>
      </w:r>
      <w:r w:rsidR="0078380A">
        <w:t xml:space="preserve">8+3 </w:t>
      </w:r>
      <w:r w:rsidR="00B628A5">
        <w:t>reports were substantive; t</w:t>
      </w:r>
      <w:r w:rsidR="000D75B7">
        <w:t xml:space="preserve">he UNHCR 8+3 report for 2024 was </w:t>
      </w:r>
      <w:r>
        <w:t xml:space="preserve">30 pages, and the WFP 8+3 report was 50 pages. </w:t>
      </w:r>
      <w:r w:rsidR="00B628A5">
        <w:t xml:space="preserve">DFAT has </w:t>
      </w:r>
      <w:r w:rsidR="00F33FA3">
        <w:t xml:space="preserve">used this data to inform its </w:t>
      </w:r>
      <w:r w:rsidR="00805EE6">
        <w:t xml:space="preserve">PPAs </w:t>
      </w:r>
      <w:r w:rsidR="0055678E">
        <w:t xml:space="preserve">for WFP and UNHCR </w:t>
      </w:r>
      <w:r w:rsidR="00F33FA3">
        <w:t xml:space="preserve">and </w:t>
      </w:r>
      <w:r w:rsidR="001D232B">
        <w:t>IMRs</w:t>
      </w:r>
      <w:r w:rsidR="00776FAF">
        <w:t xml:space="preserve"> for the investment</w:t>
      </w:r>
      <w:r w:rsidR="005514A3">
        <w:t>.</w:t>
      </w:r>
      <w:r w:rsidR="0078380A">
        <w:t xml:space="preserve"> Despite the intention to align additional reporting requirements to </w:t>
      </w:r>
      <w:r w:rsidR="00830400">
        <w:t>other donor requests</w:t>
      </w:r>
      <w:r w:rsidR="00137F6C">
        <w:t xml:space="preserve"> in line with the Grand Bargain commitment to harmonise reporting requirements</w:t>
      </w:r>
      <w:r w:rsidR="00F1752D">
        <w:t>,</w:t>
      </w:r>
      <w:r w:rsidR="00137F6C">
        <w:rPr>
          <w:rStyle w:val="FootnoteReference"/>
        </w:rPr>
        <w:footnoteReference w:id="123"/>
      </w:r>
      <w:r w:rsidR="00137F6C">
        <w:t xml:space="preserve"> neither partner reported that other donors had requested reporting in the 8+3 format.</w:t>
      </w:r>
      <w:r w:rsidR="00D060B7">
        <w:t xml:space="preserve"> </w:t>
      </w:r>
    </w:p>
    <w:p w14:paraId="1015BC6E" w14:textId="74963A8E" w:rsidR="00CE3561" w:rsidRDefault="00CE3561" w:rsidP="00321672">
      <w:r>
        <w:t>An analysis of DFAT’s reporting requirements in the EOL main text, Annex 1 and Annex 2 demonstrates that both UNHCR and WFP</w:t>
      </w:r>
      <w:r w:rsidR="00D060B7">
        <w:t xml:space="preserve"> 8+3 reporting</w:t>
      </w:r>
      <w:r w:rsidR="002F0734">
        <w:t xml:space="preserve"> included</w:t>
      </w:r>
      <w:r>
        <w:t xml:space="preserve"> most requirements. They tended to follow the template provided for reporting at Annex 2</w:t>
      </w:r>
      <w:r w:rsidR="00C42D5D">
        <w:t xml:space="preserve">. Specific indicators required in Annex 1 seem to be reported against where they aligned with agency MEL frameworks, and where they aligned with the Annex 2 template. </w:t>
      </w:r>
      <w:r w:rsidR="002F0734">
        <w:t>Key gaps includ</w:t>
      </w:r>
      <w:r w:rsidR="00374C03">
        <w:t>e specifics requested against DFAT priorities not in the 8+3 template: gender equality, disability inclusion and localisation, including the</w:t>
      </w:r>
      <w:r w:rsidR="002F0734">
        <w:t xml:space="preserve"> amount of funding invested to support </w:t>
      </w:r>
      <w:r w:rsidR="00374C03">
        <w:t xml:space="preserve">each. </w:t>
      </w:r>
      <w:r w:rsidR="00B87017">
        <w:t>It seems that relevant sections in the PPA reports were</w:t>
      </w:r>
      <w:r w:rsidR="00FE16AC">
        <w:t xml:space="preserve"> successfully</w:t>
      </w:r>
      <w:r w:rsidR="00B87017">
        <w:t xml:space="preserve"> completed without this data. </w:t>
      </w:r>
    </w:p>
    <w:p w14:paraId="023E312F" w14:textId="42602CE8" w:rsidR="00DD2E9C" w:rsidRPr="00D857D9" w:rsidRDefault="00D01C6E" w:rsidP="00321672">
      <w:pPr>
        <w:rPr>
          <w:b/>
          <w:bCs/>
        </w:rPr>
      </w:pPr>
      <w:r>
        <w:t>The public reports the WFP and UNH</w:t>
      </w:r>
      <w:r w:rsidR="00E5246E">
        <w:t>C</w:t>
      </w:r>
      <w:r>
        <w:t>R produce each year are a little more challenging for DFAT to use to attribute results and activities</w:t>
      </w:r>
      <w:r w:rsidR="00E762ED">
        <w:t>. In the case of WFP, these</w:t>
      </w:r>
      <w:r w:rsidR="007F79F8">
        <w:t xml:space="preserve"> </w:t>
      </w:r>
      <w:r>
        <w:t xml:space="preserve">reports are for activities across the whole of Bangladesh, and not </w:t>
      </w:r>
      <w:r w:rsidR="006A28D4">
        <w:t>just for the Rohingya response</w:t>
      </w:r>
      <w:r w:rsidR="00E762ED">
        <w:t xml:space="preserve"> (UNHCR </w:t>
      </w:r>
      <w:r w:rsidR="007F79F8">
        <w:t>only reports on the Rohingya response and has no other activities in Bangladesh)</w:t>
      </w:r>
      <w:r w:rsidR="006A28D4">
        <w:t xml:space="preserve">. </w:t>
      </w:r>
      <w:r w:rsidR="00F80A11">
        <w:t>The</w:t>
      </w:r>
      <w:r w:rsidR="000830A6">
        <w:t>y</w:t>
      </w:r>
      <w:r w:rsidR="00F80A11">
        <w:t xml:space="preserve"> also arrive after the IMR and PPA processes are due to be complete. </w:t>
      </w:r>
    </w:p>
    <w:p w14:paraId="7B83DF4F" w14:textId="5E882D8E" w:rsidR="00DB568B" w:rsidRDefault="007C64E9" w:rsidP="007C64E9">
      <w:pPr>
        <w:pStyle w:val="Caption"/>
        <w:rPr>
          <w:color w:val="12528D"/>
        </w:rPr>
      </w:pPr>
      <w:r w:rsidRPr="007C64E9">
        <w:rPr>
          <w:color w:val="12528D"/>
        </w:rPr>
        <w:t xml:space="preserve">Table </w:t>
      </w:r>
      <w:r>
        <w:rPr>
          <w:color w:val="12528D"/>
        </w:rPr>
        <w:fldChar w:fldCharType="begin"/>
      </w:r>
      <w:r>
        <w:rPr>
          <w:color w:val="12528D"/>
        </w:rPr>
        <w:instrText xml:space="preserve"> SEQ Table \* ARABIC </w:instrText>
      </w:r>
      <w:r>
        <w:rPr>
          <w:color w:val="12528D"/>
        </w:rPr>
        <w:fldChar w:fldCharType="separate"/>
      </w:r>
      <w:r w:rsidR="00C64FDE">
        <w:rPr>
          <w:noProof/>
          <w:color w:val="12528D"/>
        </w:rPr>
        <w:t>3</w:t>
      </w:r>
      <w:r>
        <w:rPr>
          <w:color w:val="12528D"/>
        </w:rPr>
        <w:fldChar w:fldCharType="end"/>
      </w:r>
      <w:r w:rsidR="00DB568B" w:rsidRPr="00945938">
        <w:rPr>
          <w:color w:val="12528D"/>
        </w:rPr>
        <w:t>: A review of DFAT requests for data against the 8+3 reporting</w:t>
      </w:r>
    </w:p>
    <w:tbl>
      <w:tblPr>
        <w:tblStyle w:val="TableGrid"/>
        <w:tblW w:w="0" w:type="auto"/>
        <w:tblLook w:val="04A0" w:firstRow="1" w:lastRow="0" w:firstColumn="1" w:lastColumn="0" w:noHBand="0" w:noVBand="1"/>
      </w:tblPr>
      <w:tblGrid>
        <w:gridCol w:w="6594"/>
        <w:gridCol w:w="1517"/>
        <w:gridCol w:w="1517"/>
      </w:tblGrid>
      <w:tr w:rsidR="00B61D50" w14:paraId="728FB913" w14:textId="77777777" w:rsidTr="004C281F">
        <w:trPr>
          <w:tblHeader/>
        </w:trPr>
        <w:tc>
          <w:tcPr>
            <w:tcW w:w="6594" w:type="dxa"/>
            <w:tcBorders>
              <w:bottom w:val="single" w:sz="4" w:space="0" w:color="auto"/>
            </w:tcBorders>
            <w:shd w:val="clear" w:color="auto" w:fill="F2F2F2" w:themeFill="background1" w:themeFillShade="F2"/>
          </w:tcPr>
          <w:p w14:paraId="0376F3BC" w14:textId="37273842" w:rsidR="00B61D50" w:rsidRDefault="003D4171" w:rsidP="00321672">
            <w:bookmarkStart w:id="24" w:name="_Hlk205796045"/>
            <w:r w:rsidRPr="00B61D50">
              <w:rPr>
                <w:b/>
                <w:bCs/>
              </w:rPr>
              <w:t>EOL main text</w:t>
            </w:r>
          </w:p>
        </w:tc>
        <w:tc>
          <w:tcPr>
            <w:tcW w:w="1517" w:type="dxa"/>
            <w:tcBorders>
              <w:bottom w:val="single" w:sz="4" w:space="0" w:color="auto"/>
            </w:tcBorders>
            <w:shd w:val="clear" w:color="auto" w:fill="F2F2F2" w:themeFill="background1" w:themeFillShade="F2"/>
          </w:tcPr>
          <w:p w14:paraId="05713816" w14:textId="3AA9D1EB" w:rsidR="00B61D50" w:rsidRPr="00234275" w:rsidRDefault="006B71A7" w:rsidP="00321672">
            <w:pPr>
              <w:rPr>
                <w:b/>
                <w:bCs/>
              </w:rPr>
            </w:pPr>
            <w:r w:rsidRPr="00234275">
              <w:rPr>
                <w:b/>
                <w:bCs/>
              </w:rPr>
              <w:t>UNHCR</w:t>
            </w:r>
          </w:p>
        </w:tc>
        <w:tc>
          <w:tcPr>
            <w:tcW w:w="1517" w:type="dxa"/>
            <w:tcBorders>
              <w:bottom w:val="single" w:sz="4" w:space="0" w:color="auto"/>
            </w:tcBorders>
            <w:shd w:val="clear" w:color="auto" w:fill="F2F2F2" w:themeFill="background1" w:themeFillShade="F2"/>
          </w:tcPr>
          <w:p w14:paraId="63814DBA" w14:textId="649F6B43" w:rsidR="00B61D50" w:rsidRPr="00234275" w:rsidRDefault="006B71A7" w:rsidP="00321672">
            <w:pPr>
              <w:rPr>
                <w:b/>
                <w:bCs/>
              </w:rPr>
            </w:pPr>
            <w:r w:rsidRPr="00234275">
              <w:rPr>
                <w:b/>
                <w:bCs/>
              </w:rPr>
              <w:t>WFP</w:t>
            </w:r>
          </w:p>
        </w:tc>
      </w:tr>
      <w:bookmarkEnd w:id="24"/>
      <w:tr w:rsidR="00BC7C49" w14:paraId="788A350C" w14:textId="77777777" w:rsidTr="0001142D">
        <w:tc>
          <w:tcPr>
            <w:tcW w:w="6594" w:type="dxa"/>
          </w:tcPr>
          <w:p w14:paraId="7B0F03F8" w14:textId="0BB53310" w:rsidR="00BC7C49" w:rsidRDefault="00BC7C49" w:rsidP="00321672">
            <w:r>
              <w:t>Data disaggregated by sex</w:t>
            </w:r>
          </w:p>
        </w:tc>
        <w:tc>
          <w:tcPr>
            <w:tcW w:w="1517" w:type="dxa"/>
          </w:tcPr>
          <w:p w14:paraId="55E9D11B" w14:textId="30F9D6C8" w:rsidR="00BC7C49" w:rsidRDefault="00AA2B1B" w:rsidP="00321672">
            <w:r w:rsidRPr="00AA2B1B">
              <w:rPr>
                <w:rFonts w:ascii="Segoe UI Symbol" w:eastAsia="Wingdings" w:hAnsi="Segoe UI Symbol" w:cs="Wingdings"/>
              </w:rPr>
              <w:t>✔</w:t>
            </w:r>
          </w:p>
        </w:tc>
        <w:tc>
          <w:tcPr>
            <w:tcW w:w="1517" w:type="dxa"/>
          </w:tcPr>
          <w:p w14:paraId="0607E934" w14:textId="64E1B6BD" w:rsidR="00BC7C49" w:rsidRDefault="00AA2B1B" w:rsidP="00321672">
            <w:r w:rsidRPr="00AA2B1B">
              <w:rPr>
                <w:rFonts w:ascii="Segoe UI Symbol" w:eastAsia="Wingdings" w:hAnsi="Segoe UI Symbol" w:cs="Wingdings"/>
              </w:rPr>
              <w:t>✔</w:t>
            </w:r>
          </w:p>
        </w:tc>
      </w:tr>
      <w:tr w:rsidR="00BC7C49" w14:paraId="5E6F1148" w14:textId="77777777" w:rsidTr="0001142D">
        <w:tc>
          <w:tcPr>
            <w:tcW w:w="6594" w:type="dxa"/>
          </w:tcPr>
          <w:p w14:paraId="6922004C" w14:textId="1CA9D874" w:rsidR="00BC7C49" w:rsidRDefault="000D7E33" w:rsidP="00321672">
            <w:r>
              <w:t>Data disaggregated by age</w:t>
            </w:r>
          </w:p>
        </w:tc>
        <w:tc>
          <w:tcPr>
            <w:tcW w:w="1517" w:type="dxa"/>
          </w:tcPr>
          <w:p w14:paraId="13FA095B" w14:textId="3C6BB18C" w:rsidR="00BC7C49" w:rsidRDefault="00AA2B1B" w:rsidP="00321672">
            <w:r w:rsidRPr="00AA2B1B">
              <w:rPr>
                <w:rFonts w:ascii="Segoe UI Symbol" w:eastAsia="Wingdings" w:hAnsi="Segoe UI Symbol" w:cs="Wingdings"/>
              </w:rPr>
              <w:t>✔</w:t>
            </w:r>
          </w:p>
        </w:tc>
        <w:tc>
          <w:tcPr>
            <w:tcW w:w="1517" w:type="dxa"/>
          </w:tcPr>
          <w:p w14:paraId="7A45AF9D" w14:textId="7AD47C56" w:rsidR="00BC7C49" w:rsidRDefault="00AA2B1B" w:rsidP="00321672">
            <w:r w:rsidRPr="00AA2B1B">
              <w:rPr>
                <w:rFonts w:ascii="Segoe UI Symbol" w:eastAsia="Wingdings" w:hAnsi="Segoe UI Symbol" w:cs="Wingdings"/>
              </w:rPr>
              <w:t>✔</w:t>
            </w:r>
          </w:p>
        </w:tc>
      </w:tr>
      <w:tr w:rsidR="00BC7C49" w14:paraId="395F4F2D" w14:textId="77777777" w:rsidTr="0001142D">
        <w:tc>
          <w:tcPr>
            <w:tcW w:w="6594" w:type="dxa"/>
          </w:tcPr>
          <w:p w14:paraId="65F6E752" w14:textId="277A0F03" w:rsidR="00BC7C49" w:rsidRDefault="000D7E33" w:rsidP="00321672">
            <w:r>
              <w:t>Data disaggregated by disability</w:t>
            </w:r>
          </w:p>
        </w:tc>
        <w:tc>
          <w:tcPr>
            <w:tcW w:w="1517" w:type="dxa"/>
          </w:tcPr>
          <w:p w14:paraId="6B863BD7" w14:textId="20453267" w:rsidR="00BC7C49" w:rsidRDefault="00AA2B1B" w:rsidP="00321672">
            <w:r w:rsidRPr="00AA2B1B">
              <w:rPr>
                <w:rFonts w:ascii="Segoe UI Symbol" w:eastAsia="Wingdings" w:hAnsi="Segoe UI Symbol" w:cs="Wingdings"/>
              </w:rPr>
              <w:t>✔</w:t>
            </w:r>
          </w:p>
        </w:tc>
        <w:tc>
          <w:tcPr>
            <w:tcW w:w="1517" w:type="dxa"/>
          </w:tcPr>
          <w:p w14:paraId="17B29733" w14:textId="5FDC2EE2" w:rsidR="00BC7C49" w:rsidRDefault="00AA2B1B" w:rsidP="00321672">
            <w:r w:rsidRPr="00AA2B1B">
              <w:rPr>
                <w:rFonts w:ascii="Segoe UI Symbol" w:eastAsia="Wingdings" w:hAnsi="Segoe UI Symbol" w:cs="Wingdings"/>
              </w:rPr>
              <w:t>✔</w:t>
            </w:r>
          </w:p>
        </w:tc>
      </w:tr>
      <w:tr w:rsidR="00BC7C49" w14:paraId="58086651" w14:textId="77777777" w:rsidTr="0001142D">
        <w:tc>
          <w:tcPr>
            <w:tcW w:w="6594" w:type="dxa"/>
          </w:tcPr>
          <w:p w14:paraId="186D4E69" w14:textId="66E4BA27" w:rsidR="00BC7C49" w:rsidRDefault="000D7E33" w:rsidP="00321672">
            <w:r>
              <w:lastRenderedPageBreak/>
              <w:t>Data disaggregated by location</w:t>
            </w:r>
            <w:r w:rsidR="00304770">
              <w:t xml:space="preserve"> </w:t>
            </w:r>
          </w:p>
        </w:tc>
        <w:tc>
          <w:tcPr>
            <w:tcW w:w="1517" w:type="dxa"/>
          </w:tcPr>
          <w:p w14:paraId="25D32DC1" w14:textId="0EEFDF4D" w:rsidR="00BC7C49" w:rsidRDefault="00AA2B1B" w:rsidP="00321672">
            <w:r w:rsidRPr="00AA2B1B">
              <w:rPr>
                <w:rFonts w:ascii="Segoe UI Symbol" w:eastAsia="Wingdings" w:hAnsi="Segoe UI Symbol" w:cs="Wingdings"/>
              </w:rPr>
              <w:t>✔</w:t>
            </w:r>
          </w:p>
        </w:tc>
        <w:tc>
          <w:tcPr>
            <w:tcW w:w="1517" w:type="dxa"/>
          </w:tcPr>
          <w:p w14:paraId="318F0D92" w14:textId="4243474C" w:rsidR="00BC7C49" w:rsidRDefault="00AA2B1B" w:rsidP="00321672">
            <w:r w:rsidRPr="00AA2B1B">
              <w:rPr>
                <w:rFonts w:ascii="Segoe UI Symbol" w:eastAsia="Wingdings" w:hAnsi="Segoe UI Symbol" w:cs="Wingdings"/>
              </w:rPr>
              <w:t>✔</w:t>
            </w:r>
          </w:p>
        </w:tc>
      </w:tr>
      <w:tr w:rsidR="00BC7C49" w14:paraId="15CEDAC9" w14:textId="77777777" w:rsidTr="0001142D">
        <w:tc>
          <w:tcPr>
            <w:tcW w:w="6594" w:type="dxa"/>
          </w:tcPr>
          <w:p w14:paraId="554A07D1" w14:textId="5A60D5B0" w:rsidR="00BC7C49" w:rsidRDefault="000D7E33" w:rsidP="00321672">
            <w:r>
              <w:t>Strengthened inclusion of women and girls</w:t>
            </w:r>
          </w:p>
        </w:tc>
        <w:tc>
          <w:tcPr>
            <w:tcW w:w="1517" w:type="dxa"/>
          </w:tcPr>
          <w:p w14:paraId="45E92A3D" w14:textId="38EFC1AA" w:rsidR="00BC7C49" w:rsidRDefault="00AA2B1B" w:rsidP="00321672">
            <w:r w:rsidRPr="00AA2B1B">
              <w:rPr>
                <w:rFonts w:ascii="Segoe UI Symbol" w:eastAsia="Wingdings" w:hAnsi="Segoe UI Symbol" w:cs="Wingdings"/>
              </w:rPr>
              <w:t>✔</w:t>
            </w:r>
          </w:p>
        </w:tc>
        <w:tc>
          <w:tcPr>
            <w:tcW w:w="1517" w:type="dxa"/>
          </w:tcPr>
          <w:p w14:paraId="1D064D44" w14:textId="5A8B2CDE" w:rsidR="00BC7C49" w:rsidRDefault="00AA2B1B" w:rsidP="00321672">
            <w:r w:rsidRPr="00AA2B1B">
              <w:rPr>
                <w:rFonts w:ascii="Segoe UI Symbol" w:eastAsia="Wingdings" w:hAnsi="Segoe UI Symbol" w:cs="Wingdings"/>
              </w:rPr>
              <w:t>✔</w:t>
            </w:r>
          </w:p>
        </w:tc>
      </w:tr>
      <w:tr w:rsidR="000D7E33" w14:paraId="2AA8D20A" w14:textId="77777777" w:rsidTr="00EC2D26">
        <w:tc>
          <w:tcPr>
            <w:tcW w:w="6594" w:type="dxa"/>
            <w:tcBorders>
              <w:bottom w:val="single" w:sz="4" w:space="0" w:color="auto"/>
            </w:tcBorders>
          </w:tcPr>
          <w:p w14:paraId="26F07B27" w14:textId="1F71A359" w:rsidR="000D7E33" w:rsidRDefault="00F45357" w:rsidP="00321672">
            <w:r>
              <w:t>Strengthened</w:t>
            </w:r>
            <w:r w:rsidR="000D7E33">
              <w:t xml:space="preserve"> inclusion of people with disabilities</w:t>
            </w:r>
          </w:p>
        </w:tc>
        <w:tc>
          <w:tcPr>
            <w:tcW w:w="1517" w:type="dxa"/>
            <w:tcBorders>
              <w:bottom w:val="single" w:sz="4" w:space="0" w:color="auto"/>
            </w:tcBorders>
          </w:tcPr>
          <w:p w14:paraId="72B15DDB" w14:textId="01773829" w:rsidR="000D7E33" w:rsidRDefault="00AA2B1B" w:rsidP="00321672">
            <w:r w:rsidRPr="00AA2B1B">
              <w:rPr>
                <w:rFonts w:ascii="Segoe UI Symbol" w:eastAsia="Wingdings" w:hAnsi="Segoe UI Symbol" w:cs="Wingdings"/>
              </w:rPr>
              <w:t>✔</w:t>
            </w:r>
          </w:p>
        </w:tc>
        <w:tc>
          <w:tcPr>
            <w:tcW w:w="1517" w:type="dxa"/>
            <w:tcBorders>
              <w:bottom w:val="single" w:sz="4" w:space="0" w:color="auto"/>
            </w:tcBorders>
          </w:tcPr>
          <w:p w14:paraId="196AA0D5" w14:textId="2DF9B514" w:rsidR="000D7E33" w:rsidRDefault="00AA2B1B" w:rsidP="00321672">
            <w:r w:rsidRPr="00AA2B1B">
              <w:rPr>
                <w:rFonts w:ascii="Segoe UI Symbol" w:eastAsia="Wingdings" w:hAnsi="Segoe UI Symbol" w:cs="Wingdings"/>
              </w:rPr>
              <w:t>✔</w:t>
            </w:r>
          </w:p>
        </w:tc>
      </w:tr>
      <w:tr w:rsidR="003D4171" w14:paraId="600BAC47" w14:textId="77777777" w:rsidTr="0001142D">
        <w:tc>
          <w:tcPr>
            <w:tcW w:w="6594" w:type="dxa"/>
          </w:tcPr>
          <w:p w14:paraId="59937355" w14:textId="1B480D2F" w:rsidR="003D4171" w:rsidRDefault="003D4171" w:rsidP="003D4171">
            <w:r>
              <w:t xml:space="preserve">Demonstrates how decision-making power has been increasingly transferred to beneficiaries, including the most vulnerable; </w:t>
            </w:r>
          </w:p>
        </w:tc>
        <w:tc>
          <w:tcPr>
            <w:tcW w:w="1517" w:type="dxa"/>
          </w:tcPr>
          <w:p w14:paraId="08BC7BEB" w14:textId="44B3BDC7" w:rsidR="003D4171" w:rsidRDefault="00AA2B1B" w:rsidP="003D4171">
            <w:r w:rsidRPr="00AA2B1B">
              <w:rPr>
                <w:rFonts w:ascii="Segoe UI Symbol" w:eastAsia="Wingdings" w:hAnsi="Segoe UI Symbol" w:cs="Wingdings"/>
              </w:rPr>
              <w:t>✔</w:t>
            </w:r>
            <w:r w:rsidR="003D4171">
              <w:t xml:space="preserve"> (consultations)</w:t>
            </w:r>
          </w:p>
        </w:tc>
        <w:tc>
          <w:tcPr>
            <w:tcW w:w="1517" w:type="dxa"/>
          </w:tcPr>
          <w:p w14:paraId="41EA9966" w14:textId="78522D89" w:rsidR="003D4171" w:rsidRDefault="00AA2B1B" w:rsidP="003D4171">
            <w:r w:rsidRPr="00AA2B1B">
              <w:rPr>
                <w:rFonts w:ascii="Segoe UI Symbol" w:eastAsia="Wingdings" w:hAnsi="Segoe UI Symbol" w:cs="Wingdings"/>
              </w:rPr>
              <w:t>✔</w:t>
            </w:r>
            <w:r w:rsidR="003D4171">
              <w:t xml:space="preserve"> (consultations)</w:t>
            </w:r>
          </w:p>
        </w:tc>
      </w:tr>
      <w:tr w:rsidR="003D4171" w14:paraId="47B9B2F1" w14:textId="77777777" w:rsidTr="0001142D">
        <w:tc>
          <w:tcPr>
            <w:tcW w:w="6594" w:type="dxa"/>
          </w:tcPr>
          <w:p w14:paraId="3BB7BF8C" w14:textId="4CFD56D7" w:rsidR="003D4171" w:rsidRDefault="003D4171" w:rsidP="003D4171">
            <w:r>
              <w:t>how programs have adapted as a result;</w:t>
            </w:r>
          </w:p>
        </w:tc>
        <w:tc>
          <w:tcPr>
            <w:tcW w:w="1517" w:type="dxa"/>
          </w:tcPr>
          <w:p w14:paraId="133C2D10" w14:textId="2442E392" w:rsidR="003D4171" w:rsidRDefault="00AA2B1B" w:rsidP="003D4171">
            <w:r w:rsidRPr="00AA2B1B">
              <w:rPr>
                <w:rFonts w:ascii="Segoe UI Symbol" w:eastAsia="Wingdings" w:hAnsi="Segoe UI Symbol" w:cs="Wingdings"/>
              </w:rPr>
              <w:t>✔</w:t>
            </w:r>
          </w:p>
        </w:tc>
        <w:tc>
          <w:tcPr>
            <w:tcW w:w="1517" w:type="dxa"/>
          </w:tcPr>
          <w:p w14:paraId="06997211" w14:textId="54D9BE0A" w:rsidR="003D4171" w:rsidRDefault="00AA2B1B" w:rsidP="003D4171">
            <w:r w:rsidRPr="00AA2B1B">
              <w:rPr>
                <w:rFonts w:ascii="Segoe UI Symbol" w:eastAsia="Wingdings" w:hAnsi="Segoe UI Symbol" w:cs="Wingdings"/>
              </w:rPr>
              <w:t>✔</w:t>
            </w:r>
          </w:p>
        </w:tc>
      </w:tr>
      <w:tr w:rsidR="003D4171" w14:paraId="1869DBA9" w14:textId="77777777" w:rsidTr="00EC2D26">
        <w:tc>
          <w:tcPr>
            <w:tcW w:w="6594" w:type="dxa"/>
            <w:tcBorders>
              <w:bottom w:val="single" w:sz="4" w:space="0" w:color="auto"/>
            </w:tcBorders>
          </w:tcPr>
          <w:p w14:paraId="08902844" w14:textId="53A04E89" w:rsidR="003D4171" w:rsidRDefault="003D4171" w:rsidP="003D4171">
            <w:r>
              <w:t>and how AAP activities have become increasingly consistent with other agencies’ initiatives</w:t>
            </w:r>
          </w:p>
        </w:tc>
        <w:tc>
          <w:tcPr>
            <w:tcW w:w="1517" w:type="dxa"/>
            <w:tcBorders>
              <w:bottom w:val="single" w:sz="4" w:space="0" w:color="auto"/>
            </w:tcBorders>
          </w:tcPr>
          <w:p w14:paraId="1D657EEA" w14:textId="57B71570" w:rsidR="003D4171" w:rsidRDefault="003D4171" w:rsidP="003D4171">
            <w:r>
              <w:t>-</w:t>
            </w:r>
          </w:p>
        </w:tc>
        <w:tc>
          <w:tcPr>
            <w:tcW w:w="1517" w:type="dxa"/>
            <w:tcBorders>
              <w:bottom w:val="single" w:sz="4" w:space="0" w:color="auto"/>
            </w:tcBorders>
          </w:tcPr>
          <w:p w14:paraId="59C2920D" w14:textId="6580B2E9" w:rsidR="003D4171" w:rsidRDefault="003D4171" w:rsidP="003D4171">
            <w:r>
              <w:t>-</w:t>
            </w:r>
          </w:p>
        </w:tc>
      </w:tr>
      <w:tr w:rsidR="003D4171" w14:paraId="5E3613B4" w14:textId="77777777" w:rsidTr="0001142D">
        <w:tc>
          <w:tcPr>
            <w:tcW w:w="6594" w:type="dxa"/>
          </w:tcPr>
          <w:p w14:paraId="50003F40" w14:textId="0D8C89A1" w:rsidR="003D4171" w:rsidRDefault="003D4171" w:rsidP="003D4171">
            <w:r>
              <w:t xml:space="preserve">the amount of funding received by local partners </w:t>
            </w:r>
          </w:p>
        </w:tc>
        <w:tc>
          <w:tcPr>
            <w:tcW w:w="1517" w:type="dxa"/>
          </w:tcPr>
          <w:p w14:paraId="348761F4" w14:textId="34A78108" w:rsidR="003D4171" w:rsidRDefault="00AA2B1B" w:rsidP="003D4171">
            <w:r w:rsidRPr="00AA2B1B">
              <w:rPr>
                <w:rFonts w:ascii="Segoe UI Symbol" w:eastAsia="Wingdings" w:hAnsi="Segoe UI Symbol" w:cs="Wingdings"/>
              </w:rPr>
              <w:t>✔</w:t>
            </w:r>
          </w:p>
        </w:tc>
        <w:tc>
          <w:tcPr>
            <w:tcW w:w="1517" w:type="dxa"/>
          </w:tcPr>
          <w:p w14:paraId="48C5901A" w14:textId="27CA7033" w:rsidR="003D4171" w:rsidRDefault="003D4171" w:rsidP="003D4171">
            <w:r>
              <w:t>-</w:t>
            </w:r>
          </w:p>
        </w:tc>
      </w:tr>
      <w:tr w:rsidR="003D4171" w14:paraId="34C1F306" w14:textId="77777777" w:rsidTr="0001142D">
        <w:tc>
          <w:tcPr>
            <w:tcW w:w="6594" w:type="dxa"/>
          </w:tcPr>
          <w:p w14:paraId="36C691EB" w14:textId="7F6F7513" w:rsidR="003D4171" w:rsidRDefault="003D4171" w:rsidP="003D4171">
            <w:r>
              <w:t>and local partners’ increasing capacity including on humanitarian principles and safeguards;</w:t>
            </w:r>
          </w:p>
        </w:tc>
        <w:tc>
          <w:tcPr>
            <w:tcW w:w="1517" w:type="dxa"/>
          </w:tcPr>
          <w:p w14:paraId="7AD8C806" w14:textId="0DAB2D4C" w:rsidR="003D4171" w:rsidRDefault="003D4171" w:rsidP="003D4171">
            <w:r>
              <w:t>-</w:t>
            </w:r>
          </w:p>
        </w:tc>
        <w:tc>
          <w:tcPr>
            <w:tcW w:w="1517" w:type="dxa"/>
          </w:tcPr>
          <w:p w14:paraId="697E7E58" w14:textId="4614F2D3" w:rsidR="003D4171" w:rsidRDefault="00AA2B1B" w:rsidP="003D4171">
            <w:r w:rsidRPr="00AA2B1B">
              <w:rPr>
                <w:rFonts w:ascii="Segoe UI Symbol" w:eastAsia="Wingdings" w:hAnsi="Segoe UI Symbol" w:cs="Wingdings"/>
              </w:rPr>
              <w:t>✔</w:t>
            </w:r>
            <w:r w:rsidR="003D4171">
              <w:t xml:space="preserve"> but not specific topics</w:t>
            </w:r>
          </w:p>
        </w:tc>
      </w:tr>
      <w:tr w:rsidR="003D4171" w14:paraId="21CB53C9" w14:textId="77777777" w:rsidTr="0001142D">
        <w:tc>
          <w:tcPr>
            <w:tcW w:w="6594" w:type="dxa"/>
          </w:tcPr>
          <w:p w14:paraId="1D8CC940" w14:textId="2140E7F2" w:rsidR="003D4171" w:rsidRDefault="003D4171" w:rsidP="003D4171">
            <w:r>
              <w:t>increasing influence in the partnership and the response;</w:t>
            </w:r>
          </w:p>
        </w:tc>
        <w:tc>
          <w:tcPr>
            <w:tcW w:w="1517" w:type="dxa"/>
          </w:tcPr>
          <w:p w14:paraId="3D1161A2" w14:textId="4F7E41A0" w:rsidR="003D4171" w:rsidRDefault="003D4171" w:rsidP="003D4171">
            <w:r>
              <w:t>-</w:t>
            </w:r>
          </w:p>
        </w:tc>
        <w:tc>
          <w:tcPr>
            <w:tcW w:w="1517" w:type="dxa"/>
          </w:tcPr>
          <w:p w14:paraId="5EDB6555" w14:textId="391A3E51" w:rsidR="003D4171" w:rsidRDefault="003D4171" w:rsidP="003D4171">
            <w:r>
              <w:t>-</w:t>
            </w:r>
          </w:p>
        </w:tc>
      </w:tr>
      <w:tr w:rsidR="003D4171" w14:paraId="1D192B2B" w14:textId="77777777" w:rsidTr="00EC2D26">
        <w:trPr>
          <w:trHeight w:val="903"/>
        </w:trPr>
        <w:tc>
          <w:tcPr>
            <w:tcW w:w="6594" w:type="dxa"/>
            <w:tcBorders>
              <w:bottom w:val="single" w:sz="4" w:space="0" w:color="auto"/>
            </w:tcBorders>
          </w:tcPr>
          <w:p w14:paraId="443EA21E" w14:textId="7A55FE51" w:rsidR="003D4171" w:rsidRDefault="003D4171" w:rsidP="003D4171">
            <w:r>
              <w:t>and the amount of funding invested to increase this capacity and influence</w:t>
            </w:r>
          </w:p>
        </w:tc>
        <w:tc>
          <w:tcPr>
            <w:tcW w:w="1517" w:type="dxa"/>
            <w:tcBorders>
              <w:bottom w:val="single" w:sz="4" w:space="0" w:color="auto"/>
            </w:tcBorders>
          </w:tcPr>
          <w:p w14:paraId="31DE204E" w14:textId="74C90731" w:rsidR="003D4171" w:rsidRDefault="003D4171" w:rsidP="003D4171">
            <w:r>
              <w:t>-</w:t>
            </w:r>
          </w:p>
        </w:tc>
        <w:tc>
          <w:tcPr>
            <w:tcW w:w="1517" w:type="dxa"/>
            <w:tcBorders>
              <w:bottom w:val="single" w:sz="4" w:space="0" w:color="auto"/>
            </w:tcBorders>
          </w:tcPr>
          <w:p w14:paraId="318A2E26" w14:textId="24E0CCC8" w:rsidR="003D4171" w:rsidRDefault="003D4171" w:rsidP="003D4171">
            <w:r>
              <w:t>-</w:t>
            </w:r>
          </w:p>
        </w:tc>
      </w:tr>
      <w:tr w:rsidR="003D4171" w14:paraId="72BAF155" w14:textId="77777777" w:rsidTr="00EC2D26">
        <w:tc>
          <w:tcPr>
            <w:tcW w:w="6594" w:type="dxa"/>
            <w:tcBorders>
              <w:bottom w:val="single" w:sz="4" w:space="0" w:color="auto"/>
            </w:tcBorders>
          </w:tcPr>
          <w:p w14:paraId="3FDFBF99" w14:textId="37F3F060" w:rsidR="003D4171" w:rsidRDefault="003D4171" w:rsidP="003D4171">
            <w:r>
              <w:t>How programming seeks to reduce risks, manage shocks and minimise the impacts of climate change and disasters on sustainable development and reduce the risks of humanitarian crises and biodiversity loss.</w:t>
            </w:r>
          </w:p>
        </w:tc>
        <w:tc>
          <w:tcPr>
            <w:tcW w:w="1517" w:type="dxa"/>
            <w:tcBorders>
              <w:bottom w:val="single" w:sz="4" w:space="0" w:color="auto"/>
            </w:tcBorders>
          </w:tcPr>
          <w:p w14:paraId="05C61778" w14:textId="20F0D967" w:rsidR="003D4171" w:rsidRDefault="00AA2B1B" w:rsidP="003D4171">
            <w:r w:rsidRPr="00AA2B1B">
              <w:rPr>
                <w:rFonts w:ascii="Segoe UI Symbol" w:eastAsia="Wingdings" w:hAnsi="Segoe UI Symbol" w:cs="Wingdings"/>
              </w:rPr>
              <w:t>✔</w:t>
            </w:r>
          </w:p>
        </w:tc>
        <w:tc>
          <w:tcPr>
            <w:tcW w:w="1517" w:type="dxa"/>
            <w:tcBorders>
              <w:bottom w:val="single" w:sz="4" w:space="0" w:color="auto"/>
            </w:tcBorders>
          </w:tcPr>
          <w:p w14:paraId="1B7F03A1" w14:textId="37B4277E" w:rsidR="003D4171" w:rsidRDefault="00AA2B1B" w:rsidP="003D4171">
            <w:r w:rsidRPr="00AA2B1B">
              <w:rPr>
                <w:rFonts w:ascii="Segoe UI Symbol" w:eastAsia="Wingdings" w:hAnsi="Segoe UI Symbol" w:cs="Wingdings"/>
              </w:rPr>
              <w:t>✔</w:t>
            </w:r>
          </w:p>
        </w:tc>
      </w:tr>
    </w:tbl>
    <w:p w14:paraId="407A7667" w14:textId="77777777" w:rsidR="00607118" w:rsidRDefault="00607118"/>
    <w:tbl>
      <w:tblPr>
        <w:tblStyle w:val="TableGrid"/>
        <w:tblW w:w="0" w:type="auto"/>
        <w:tblLook w:val="04A0" w:firstRow="1" w:lastRow="0" w:firstColumn="1" w:lastColumn="0" w:noHBand="0" w:noVBand="1"/>
      </w:tblPr>
      <w:tblGrid>
        <w:gridCol w:w="6594"/>
        <w:gridCol w:w="1517"/>
        <w:gridCol w:w="1517"/>
      </w:tblGrid>
      <w:tr w:rsidR="001C54ED" w14:paraId="25AB415D" w14:textId="77777777" w:rsidTr="001C54ED">
        <w:tc>
          <w:tcPr>
            <w:tcW w:w="6594" w:type="dxa"/>
            <w:shd w:val="clear" w:color="auto" w:fill="F2F2F2" w:themeFill="background1" w:themeFillShade="F2"/>
          </w:tcPr>
          <w:p w14:paraId="6B50176E" w14:textId="6FB8CFD2" w:rsidR="001C54ED" w:rsidRDefault="001C54ED" w:rsidP="00C12984">
            <w:r w:rsidRPr="008A6DFC">
              <w:rPr>
                <w:b/>
                <w:bCs/>
              </w:rPr>
              <w:t>Annex 1</w:t>
            </w:r>
            <w:r>
              <w:rPr>
                <w:b/>
                <w:bCs/>
              </w:rPr>
              <w:t xml:space="preserve"> </w:t>
            </w:r>
            <w:r w:rsidRPr="008A6DFC">
              <w:rPr>
                <w:b/>
                <w:bCs/>
              </w:rPr>
              <w:t>(if additional to the above)</w:t>
            </w:r>
          </w:p>
        </w:tc>
        <w:tc>
          <w:tcPr>
            <w:tcW w:w="1517" w:type="dxa"/>
            <w:shd w:val="clear" w:color="auto" w:fill="F2F2F2" w:themeFill="background1" w:themeFillShade="F2"/>
          </w:tcPr>
          <w:p w14:paraId="7A9FB5F7" w14:textId="77777777" w:rsidR="001C54ED" w:rsidRPr="00234275" w:rsidRDefault="001C54ED" w:rsidP="00C12984">
            <w:pPr>
              <w:rPr>
                <w:b/>
                <w:bCs/>
              </w:rPr>
            </w:pPr>
            <w:r w:rsidRPr="00234275">
              <w:rPr>
                <w:b/>
                <w:bCs/>
              </w:rPr>
              <w:t>UNHCR</w:t>
            </w:r>
          </w:p>
        </w:tc>
        <w:tc>
          <w:tcPr>
            <w:tcW w:w="1517" w:type="dxa"/>
            <w:shd w:val="clear" w:color="auto" w:fill="F2F2F2" w:themeFill="background1" w:themeFillShade="F2"/>
          </w:tcPr>
          <w:p w14:paraId="5C14D138" w14:textId="77777777" w:rsidR="001C54ED" w:rsidRPr="00234275" w:rsidRDefault="001C54ED" w:rsidP="00C12984">
            <w:pPr>
              <w:rPr>
                <w:b/>
                <w:bCs/>
              </w:rPr>
            </w:pPr>
            <w:r w:rsidRPr="00234275">
              <w:rPr>
                <w:b/>
                <w:bCs/>
              </w:rPr>
              <w:t>WFP</w:t>
            </w:r>
          </w:p>
        </w:tc>
      </w:tr>
      <w:tr w:rsidR="003D4171" w14:paraId="4E37C995" w14:textId="77777777" w:rsidTr="00EC2D26">
        <w:tc>
          <w:tcPr>
            <w:tcW w:w="6594" w:type="dxa"/>
            <w:tcBorders>
              <w:bottom w:val="single" w:sz="4" w:space="0" w:color="auto"/>
            </w:tcBorders>
          </w:tcPr>
          <w:p w14:paraId="352FA5D5" w14:textId="6074BCD2" w:rsidR="003D4171" w:rsidRPr="00024AB3" w:rsidRDefault="003D4171" w:rsidP="003D4171">
            <w:r w:rsidRPr="00024AB3">
              <w:t xml:space="preserve">Australian funding expensed </w:t>
            </w:r>
          </w:p>
        </w:tc>
        <w:tc>
          <w:tcPr>
            <w:tcW w:w="1517" w:type="dxa"/>
            <w:tcBorders>
              <w:bottom w:val="single" w:sz="4" w:space="0" w:color="auto"/>
            </w:tcBorders>
          </w:tcPr>
          <w:p w14:paraId="7FF9A80E" w14:textId="7E3E2E26" w:rsidR="003D4171" w:rsidRDefault="00AA2B1B" w:rsidP="003D4171">
            <w:r w:rsidRPr="00AA2B1B">
              <w:rPr>
                <w:rFonts w:ascii="Segoe UI Symbol" w:eastAsia="Wingdings" w:hAnsi="Segoe UI Symbol" w:cs="Wingdings"/>
              </w:rPr>
              <w:t>✔</w:t>
            </w:r>
          </w:p>
        </w:tc>
        <w:tc>
          <w:tcPr>
            <w:tcW w:w="1517" w:type="dxa"/>
            <w:tcBorders>
              <w:bottom w:val="single" w:sz="4" w:space="0" w:color="auto"/>
            </w:tcBorders>
          </w:tcPr>
          <w:p w14:paraId="27B10C76" w14:textId="0E9ED6D3" w:rsidR="003D4171" w:rsidRDefault="00AA2B1B" w:rsidP="003D4171">
            <w:r w:rsidRPr="00AA2B1B">
              <w:rPr>
                <w:rFonts w:ascii="Segoe UI Symbol" w:eastAsia="Wingdings" w:hAnsi="Segoe UI Symbol" w:cs="Wingdings"/>
              </w:rPr>
              <w:t>✔</w:t>
            </w:r>
          </w:p>
        </w:tc>
      </w:tr>
      <w:tr w:rsidR="003D4171" w14:paraId="7C424E0E" w14:textId="77777777" w:rsidTr="0001142D">
        <w:tc>
          <w:tcPr>
            <w:tcW w:w="6594" w:type="dxa"/>
          </w:tcPr>
          <w:p w14:paraId="0573B7AB" w14:textId="6AD6720C" w:rsidR="003D4171" w:rsidRDefault="003D4171" w:rsidP="003D4171">
            <w:r>
              <w:t>Explain how analysis of disaggregated data has informed gender equality programming, using examples</w:t>
            </w:r>
          </w:p>
        </w:tc>
        <w:tc>
          <w:tcPr>
            <w:tcW w:w="1517" w:type="dxa"/>
          </w:tcPr>
          <w:p w14:paraId="4359DF02" w14:textId="3F2AF101" w:rsidR="003D4171" w:rsidRDefault="003D4171" w:rsidP="003D4171">
            <w:r>
              <w:t>-</w:t>
            </w:r>
          </w:p>
        </w:tc>
        <w:tc>
          <w:tcPr>
            <w:tcW w:w="1517" w:type="dxa"/>
          </w:tcPr>
          <w:p w14:paraId="69CD18EE" w14:textId="66C5E128" w:rsidR="003D4171" w:rsidRDefault="003D4171" w:rsidP="003D4171">
            <w:r>
              <w:t>-</w:t>
            </w:r>
          </w:p>
        </w:tc>
      </w:tr>
      <w:tr w:rsidR="003D4171" w14:paraId="2B7DCDDC" w14:textId="77777777" w:rsidTr="0001142D">
        <w:tc>
          <w:tcPr>
            <w:tcW w:w="6594" w:type="dxa"/>
          </w:tcPr>
          <w:p w14:paraId="1E365570" w14:textId="5B243C31" w:rsidR="003D4171" w:rsidRDefault="003D4171" w:rsidP="003D4171">
            <w:r>
              <w:t>Identify and report progress against gender equality outcomes with qualitative and quantitative data</w:t>
            </w:r>
          </w:p>
        </w:tc>
        <w:tc>
          <w:tcPr>
            <w:tcW w:w="1517" w:type="dxa"/>
          </w:tcPr>
          <w:p w14:paraId="25785FE6" w14:textId="7AAC09E2" w:rsidR="003D4171" w:rsidRDefault="00AA2B1B" w:rsidP="003D4171">
            <w:r w:rsidRPr="00AA2B1B">
              <w:rPr>
                <w:rFonts w:ascii="Segoe UI Symbol" w:eastAsia="Wingdings" w:hAnsi="Segoe UI Symbol" w:cs="Wingdings"/>
              </w:rPr>
              <w:t>✔</w:t>
            </w:r>
          </w:p>
        </w:tc>
        <w:tc>
          <w:tcPr>
            <w:tcW w:w="1517" w:type="dxa"/>
          </w:tcPr>
          <w:p w14:paraId="1603D136" w14:textId="75FFBEB1" w:rsidR="003D4171" w:rsidRDefault="003D4171" w:rsidP="003D4171">
            <w:r>
              <w:t>-</w:t>
            </w:r>
          </w:p>
        </w:tc>
      </w:tr>
      <w:tr w:rsidR="003D4171" w14:paraId="0F01A813" w14:textId="77777777" w:rsidTr="0001142D">
        <w:tc>
          <w:tcPr>
            <w:tcW w:w="6594" w:type="dxa"/>
          </w:tcPr>
          <w:p w14:paraId="2FEA9706" w14:textId="0E409100" w:rsidR="003D4171" w:rsidRDefault="003D4171" w:rsidP="003D4171">
            <w:r>
              <w:t>Report on allocated human and financial resources to progressing gender outcomes at country- and response- level, as well as any regional or global support specifically to Bangladesh, and actively engage with response-wide mainstreaming efforts as agreed with DFAT</w:t>
            </w:r>
          </w:p>
        </w:tc>
        <w:tc>
          <w:tcPr>
            <w:tcW w:w="1517" w:type="dxa"/>
          </w:tcPr>
          <w:p w14:paraId="55B08597" w14:textId="6FBEA450" w:rsidR="003D4171" w:rsidRDefault="003D4171" w:rsidP="003D4171">
            <w:r>
              <w:t>-</w:t>
            </w:r>
          </w:p>
        </w:tc>
        <w:tc>
          <w:tcPr>
            <w:tcW w:w="1517" w:type="dxa"/>
          </w:tcPr>
          <w:p w14:paraId="7001C579" w14:textId="54345583" w:rsidR="003D4171" w:rsidRDefault="003D4171" w:rsidP="003D4171">
            <w:r>
              <w:t>-</w:t>
            </w:r>
          </w:p>
        </w:tc>
      </w:tr>
      <w:tr w:rsidR="003D4171" w14:paraId="5566FDF1" w14:textId="77777777" w:rsidTr="0001142D">
        <w:tc>
          <w:tcPr>
            <w:tcW w:w="6594" w:type="dxa"/>
          </w:tcPr>
          <w:p w14:paraId="1D116538" w14:textId="67DA9BCB" w:rsidR="003D4171" w:rsidRDefault="003D4171" w:rsidP="003D4171">
            <w:r>
              <w:t>Explain how analysis of disaggregated data has informed disability inclusion programming, using examples</w:t>
            </w:r>
          </w:p>
        </w:tc>
        <w:tc>
          <w:tcPr>
            <w:tcW w:w="1517" w:type="dxa"/>
          </w:tcPr>
          <w:p w14:paraId="3F64C752" w14:textId="08797E35" w:rsidR="003D4171" w:rsidRDefault="003D4171" w:rsidP="003D4171">
            <w:r>
              <w:t>-</w:t>
            </w:r>
          </w:p>
        </w:tc>
        <w:tc>
          <w:tcPr>
            <w:tcW w:w="1517" w:type="dxa"/>
          </w:tcPr>
          <w:p w14:paraId="183F748D" w14:textId="7C7A65AE" w:rsidR="003D4171" w:rsidRDefault="00AA2B1B" w:rsidP="003D4171">
            <w:r w:rsidRPr="00AA2B1B">
              <w:rPr>
                <w:rFonts w:ascii="Segoe UI Symbol" w:eastAsia="Wingdings" w:hAnsi="Segoe UI Symbol" w:cs="Wingdings"/>
              </w:rPr>
              <w:t>✔</w:t>
            </w:r>
          </w:p>
        </w:tc>
      </w:tr>
      <w:tr w:rsidR="003D4171" w14:paraId="34B28D49" w14:textId="77777777" w:rsidTr="0001142D">
        <w:tc>
          <w:tcPr>
            <w:tcW w:w="6594" w:type="dxa"/>
          </w:tcPr>
          <w:p w14:paraId="66CD4440" w14:textId="156F7EE5" w:rsidR="003D4171" w:rsidRDefault="003D4171" w:rsidP="003D4171">
            <w:r>
              <w:t>Identify and report progress against disability inclusion outcomes with qualitative and quantitative data</w:t>
            </w:r>
          </w:p>
        </w:tc>
        <w:tc>
          <w:tcPr>
            <w:tcW w:w="1517" w:type="dxa"/>
          </w:tcPr>
          <w:p w14:paraId="6BC033EC" w14:textId="391E446E" w:rsidR="003D4171" w:rsidRDefault="00AA2B1B" w:rsidP="003D4171">
            <w:r w:rsidRPr="00AA2B1B">
              <w:rPr>
                <w:rFonts w:ascii="Segoe UI Symbol" w:eastAsia="Wingdings" w:hAnsi="Segoe UI Symbol" w:cs="Wingdings"/>
              </w:rPr>
              <w:t>✔</w:t>
            </w:r>
          </w:p>
        </w:tc>
        <w:tc>
          <w:tcPr>
            <w:tcW w:w="1517" w:type="dxa"/>
          </w:tcPr>
          <w:p w14:paraId="4794DB6C" w14:textId="59564DFD" w:rsidR="003D4171" w:rsidRDefault="003D4171" w:rsidP="003D4171">
            <w:r>
              <w:t>-</w:t>
            </w:r>
          </w:p>
        </w:tc>
      </w:tr>
      <w:tr w:rsidR="003D4171" w14:paraId="16DA7573" w14:textId="77777777" w:rsidTr="00EC2D26">
        <w:tc>
          <w:tcPr>
            <w:tcW w:w="6594" w:type="dxa"/>
            <w:tcBorders>
              <w:bottom w:val="single" w:sz="4" w:space="0" w:color="auto"/>
            </w:tcBorders>
          </w:tcPr>
          <w:p w14:paraId="58E8A932" w14:textId="4454A3CE" w:rsidR="003D4171" w:rsidRDefault="003D4171" w:rsidP="003D4171">
            <w:r w:rsidRPr="0059609A">
              <w:lastRenderedPageBreak/>
              <w:t>Report on allocated human and financial resources to progressing disability inclusion outcomes at country- or response level, as well as any regional or global support specifically to Bangladesh and actively engage with response-wide mainstreaming efforts, as agreed with DFAT</w:t>
            </w:r>
          </w:p>
        </w:tc>
        <w:tc>
          <w:tcPr>
            <w:tcW w:w="1517" w:type="dxa"/>
            <w:tcBorders>
              <w:bottom w:val="single" w:sz="4" w:space="0" w:color="auto"/>
            </w:tcBorders>
          </w:tcPr>
          <w:p w14:paraId="70AFC6BE" w14:textId="708E7A06" w:rsidR="003D4171" w:rsidRDefault="003D4171" w:rsidP="003D4171">
            <w:r>
              <w:t>-</w:t>
            </w:r>
          </w:p>
        </w:tc>
        <w:tc>
          <w:tcPr>
            <w:tcW w:w="1517" w:type="dxa"/>
            <w:tcBorders>
              <w:bottom w:val="single" w:sz="4" w:space="0" w:color="auto"/>
            </w:tcBorders>
          </w:tcPr>
          <w:p w14:paraId="2268503A" w14:textId="3FC31DEF" w:rsidR="003D4171" w:rsidRDefault="003D4171" w:rsidP="003D4171">
            <w:r>
              <w:t>-</w:t>
            </w:r>
          </w:p>
        </w:tc>
      </w:tr>
      <w:tr w:rsidR="003D4171" w14:paraId="2913D417" w14:textId="77777777" w:rsidTr="0001142D">
        <w:tc>
          <w:tcPr>
            <w:tcW w:w="6594" w:type="dxa"/>
          </w:tcPr>
          <w:p w14:paraId="03AB9AC9" w14:textId="5B9CDEF3" w:rsidR="003D4171" w:rsidRPr="0059609A" w:rsidRDefault="003D4171" w:rsidP="003D4171">
            <w:r w:rsidRPr="006F486A">
              <w:t xml:space="preserve">Clearly identify and report progress against localisation outcomes with qualitative and quantitative data, providing examples. </w:t>
            </w:r>
          </w:p>
        </w:tc>
        <w:tc>
          <w:tcPr>
            <w:tcW w:w="1517" w:type="dxa"/>
          </w:tcPr>
          <w:p w14:paraId="695DC6E4" w14:textId="0B0DDC77" w:rsidR="003D4171" w:rsidRDefault="003D4171" w:rsidP="003D4171">
            <w:r>
              <w:t>-</w:t>
            </w:r>
          </w:p>
        </w:tc>
        <w:tc>
          <w:tcPr>
            <w:tcW w:w="1517" w:type="dxa"/>
          </w:tcPr>
          <w:p w14:paraId="4DA409AB" w14:textId="2485D897" w:rsidR="003D4171" w:rsidRDefault="003D4171" w:rsidP="003D4171">
            <w:r>
              <w:t>-</w:t>
            </w:r>
          </w:p>
        </w:tc>
      </w:tr>
      <w:tr w:rsidR="003D4171" w14:paraId="5158EE82" w14:textId="77777777" w:rsidTr="0001142D">
        <w:tc>
          <w:tcPr>
            <w:tcW w:w="6594" w:type="dxa"/>
          </w:tcPr>
          <w:p w14:paraId="5D1BDC33" w14:textId="1F843837" w:rsidR="003D4171" w:rsidRPr="006F486A" w:rsidRDefault="003D4171" w:rsidP="003D4171">
            <w:r w:rsidRPr="006F486A">
              <w:t>Report the percentage of funding channelled through local actor(s) (including the percentage of funding awarded to local or national women-led and or women rights’ organisations), in line with commitments made under the Grand Bargain.</w:t>
            </w:r>
          </w:p>
        </w:tc>
        <w:tc>
          <w:tcPr>
            <w:tcW w:w="1517" w:type="dxa"/>
          </w:tcPr>
          <w:p w14:paraId="10DB7157" w14:textId="3BB0D76C" w:rsidR="003D4171" w:rsidRDefault="00AA2B1B" w:rsidP="003D4171">
            <w:r w:rsidRPr="00AA2B1B">
              <w:rPr>
                <w:rFonts w:ascii="Segoe UI Symbol" w:eastAsia="Wingdings" w:hAnsi="Segoe UI Symbol" w:cs="Wingdings"/>
              </w:rPr>
              <w:t>✔</w:t>
            </w:r>
          </w:p>
        </w:tc>
        <w:tc>
          <w:tcPr>
            <w:tcW w:w="1517" w:type="dxa"/>
          </w:tcPr>
          <w:p w14:paraId="4D97BDCB" w14:textId="08E5EED2" w:rsidR="003D4171" w:rsidRDefault="003D4171" w:rsidP="003D4171">
            <w:r>
              <w:t>-</w:t>
            </w:r>
          </w:p>
        </w:tc>
      </w:tr>
      <w:tr w:rsidR="003D4171" w14:paraId="4B0924F6" w14:textId="77777777" w:rsidTr="0001142D">
        <w:tc>
          <w:tcPr>
            <w:tcW w:w="6594" w:type="dxa"/>
          </w:tcPr>
          <w:p w14:paraId="4D93525A" w14:textId="6052EF1F" w:rsidR="003D4171" w:rsidRPr="006F486A" w:rsidRDefault="003D4171" w:rsidP="003D4171">
            <w:r w:rsidRPr="00337F0D">
              <w:t>Report the percentage (or evidence) of partnership or funding agreements that incorporate multi-year institutional support for local actors.</w:t>
            </w:r>
          </w:p>
        </w:tc>
        <w:tc>
          <w:tcPr>
            <w:tcW w:w="1517" w:type="dxa"/>
          </w:tcPr>
          <w:p w14:paraId="27CB2D33" w14:textId="6AAF5ED5" w:rsidR="003D4171" w:rsidRDefault="003D4171" w:rsidP="003D4171">
            <w:r>
              <w:t>-</w:t>
            </w:r>
          </w:p>
        </w:tc>
        <w:tc>
          <w:tcPr>
            <w:tcW w:w="1517" w:type="dxa"/>
          </w:tcPr>
          <w:p w14:paraId="3891C396" w14:textId="0B1FB9C3" w:rsidR="003D4171" w:rsidRDefault="003D4171" w:rsidP="003D4171">
            <w:r>
              <w:t>-</w:t>
            </w:r>
          </w:p>
        </w:tc>
      </w:tr>
      <w:tr w:rsidR="003D4171" w14:paraId="3A034C4E" w14:textId="77777777" w:rsidTr="00EC2D26">
        <w:tc>
          <w:tcPr>
            <w:tcW w:w="6594" w:type="dxa"/>
            <w:tcBorders>
              <w:bottom w:val="single" w:sz="4" w:space="0" w:color="auto"/>
            </w:tcBorders>
          </w:tcPr>
          <w:p w14:paraId="027890BB" w14:textId="585CF69D" w:rsidR="003D4171" w:rsidRPr="006F486A" w:rsidRDefault="003D4171" w:rsidP="003D4171">
            <w:r w:rsidRPr="00337F0D">
              <w:t>Provide evidence of national/local systems being used and/or strengthened, as appropriate in Bangladesh.</w:t>
            </w:r>
          </w:p>
        </w:tc>
        <w:tc>
          <w:tcPr>
            <w:tcW w:w="1517" w:type="dxa"/>
            <w:tcBorders>
              <w:bottom w:val="single" w:sz="4" w:space="0" w:color="auto"/>
            </w:tcBorders>
          </w:tcPr>
          <w:p w14:paraId="66550D87" w14:textId="0947D9AB" w:rsidR="003D4171" w:rsidRDefault="003D4171" w:rsidP="003D4171">
            <w:r>
              <w:t>Partly</w:t>
            </w:r>
          </w:p>
        </w:tc>
        <w:tc>
          <w:tcPr>
            <w:tcW w:w="1517" w:type="dxa"/>
            <w:tcBorders>
              <w:bottom w:val="single" w:sz="4" w:space="0" w:color="auto"/>
            </w:tcBorders>
          </w:tcPr>
          <w:p w14:paraId="67F4EBB4" w14:textId="750EAEE6" w:rsidR="003D4171" w:rsidRDefault="003D4171" w:rsidP="003D4171">
            <w:r>
              <w:t>Partly</w:t>
            </w:r>
          </w:p>
        </w:tc>
      </w:tr>
      <w:tr w:rsidR="003D4171" w14:paraId="43980125" w14:textId="77777777" w:rsidTr="00EC2D26">
        <w:tc>
          <w:tcPr>
            <w:tcW w:w="6594" w:type="dxa"/>
            <w:tcBorders>
              <w:bottom w:val="single" w:sz="4" w:space="0" w:color="auto"/>
            </w:tcBorders>
          </w:tcPr>
          <w:p w14:paraId="1AED2D18" w14:textId="78E7A1D3" w:rsidR="003D4171" w:rsidRPr="006F486A" w:rsidRDefault="003D4171" w:rsidP="003D4171">
            <w:r w:rsidRPr="0045788B">
              <w:t>Using examples, report on how decision-making power has been increasingly transferred to affected populations, including gender and ability diverse groups; how feedback has been collected from affected populations and the coherence of those feedback systems with other actors’ mechanisms; how programs have been adapted as a result of recipients’ feedback; and how agencies’ AAP activities have become increasingly consistent with other agencies’ initiatives.</w:t>
            </w:r>
          </w:p>
        </w:tc>
        <w:tc>
          <w:tcPr>
            <w:tcW w:w="1517" w:type="dxa"/>
            <w:tcBorders>
              <w:bottom w:val="single" w:sz="4" w:space="0" w:color="auto"/>
            </w:tcBorders>
          </w:tcPr>
          <w:p w14:paraId="17E7C1F8" w14:textId="503B0999" w:rsidR="003D4171" w:rsidRDefault="003D4171" w:rsidP="003D4171">
            <w:r>
              <w:t xml:space="preserve">Largely </w:t>
            </w:r>
          </w:p>
        </w:tc>
        <w:tc>
          <w:tcPr>
            <w:tcW w:w="1517" w:type="dxa"/>
            <w:tcBorders>
              <w:bottom w:val="single" w:sz="4" w:space="0" w:color="auto"/>
            </w:tcBorders>
          </w:tcPr>
          <w:p w14:paraId="31090F2D" w14:textId="6A60EF00" w:rsidR="003D4171" w:rsidRDefault="003D4171" w:rsidP="003D4171">
            <w:r>
              <w:t>Largely</w:t>
            </w:r>
          </w:p>
        </w:tc>
      </w:tr>
    </w:tbl>
    <w:p w14:paraId="6A63BD3C" w14:textId="77777777" w:rsidR="00607118" w:rsidRDefault="00607118"/>
    <w:tbl>
      <w:tblPr>
        <w:tblStyle w:val="TableGrid"/>
        <w:tblW w:w="0" w:type="auto"/>
        <w:tblLook w:val="04A0" w:firstRow="1" w:lastRow="0" w:firstColumn="1" w:lastColumn="0" w:noHBand="0" w:noVBand="1"/>
      </w:tblPr>
      <w:tblGrid>
        <w:gridCol w:w="6594"/>
        <w:gridCol w:w="1517"/>
        <w:gridCol w:w="1517"/>
      </w:tblGrid>
      <w:tr w:rsidR="001C54ED" w14:paraId="55FA9281" w14:textId="77777777" w:rsidTr="004C281F">
        <w:trPr>
          <w:tblHeader/>
        </w:trPr>
        <w:tc>
          <w:tcPr>
            <w:tcW w:w="6594" w:type="dxa"/>
            <w:shd w:val="clear" w:color="auto" w:fill="F2F2F2" w:themeFill="background1" w:themeFillShade="F2"/>
          </w:tcPr>
          <w:p w14:paraId="010F7EC8" w14:textId="7181B4E1" w:rsidR="001C54ED" w:rsidRDefault="001C54ED" w:rsidP="00C12984">
            <w:r>
              <w:rPr>
                <w:b/>
                <w:bCs/>
              </w:rPr>
              <w:t xml:space="preserve">Annex 2: </w:t>
            </w:r>
            <w:r w:rsidRPr="006B71A7">
              <w:rPr>
                <w:b/>
                <w:bCs/>
              </w:rPr>
              <w:t>8+3 template</w:t>
            </w:r>
          </w:p>
        </w:tc>
        <w:tc>
          <w:tcPr>
            <w:tcW w:w="1517" w:type="dxa"/>
            <w:shd w:val="clear" w:color="auto" w:fill="F2F2F2" w:themeFill="background1" w:themeFillShade="F2"/>
          </w:tcPr>
          <w:p w14:paraId="4A7F77FA" w14:textId="77777777" w:rsidR="001C54ED" w:rsidRPr="00234275" w:rsidRDefault="001C54ED" w:rsidP="00C12984">
            <w:pPr>
              <w:rPr>
                <w:b/>
                <w:bCs/>
              </w:rPr>
            </w:pPr>
            <w:r w:rsidRPr="00234275">
              <w:rPr>
                <w:b/>
                <w:bCs/>
              </w:rPr>
              <w:t>UNHCR</w:t>
            </w:r>
          </w:p>
        </w:tc>
        <w:tc>
          <w:tcPr>
            <w:tcW w:w="1517" w:type="dxa"/>
            <w:shd w:val="clear" w:color="auto" w:fill="F2F2F2" w:themeFill="background1" w:themeFillShade="F2"/>
          </w:tcPr>
          <w:p w14:paraId="172A89F1" w14:textId="77777777" w:rsidR="001C54ED" w:rsidRPr="00234275" w:rsidRDefault="001C54ED" w:rsidP="00C12984">
            <w:pPr>
              <w:rPr>
                <w:b/>
                <w:bCs/>
              </w:rPr>
            </w:pPr>
            <w:r w:rsidRPr="00234275">
              <w:rPr>
                <w:b/>
                <w:bCs/>
              </w:rPr>
              <w:t>WFP</w:t>
            </w:r>
          </w:p>
        </w:tc>
      </w:tr>
      <w:tr w:rsidR="003D4171" w14:paraId="0287F4C0" w14:textId="77777777" w:rsidTr="0001142D">
        <w:tc>
          <w:tcPr>
            <w:tcW w:w="6594" w:type="dxa"/>
          </w:tcPr>
          <w:p w14:paraId="62E6176B" w14:textId="741B1E24" w:rsidR="003D4171" w:rsidRPr="00440480" w:rsidRDefault="003D4171" w:rsidP="003D4171">
            <w:pPr>
              <w:spacing w:after="0"/>
            </w:pPr>
            <w:r w:rsidRPr="00440480">
              <w:t>[</w:t>
            </w:r>
            <w:r>
              <w:t>value</w:t>
            </w:r>
            <w:r w:rsidRPr="00440480">
              <w:t>] of</w:t>
            </w:r>
            <w:r>
              <w:t xml:space="preserve"> </w:t>
            </w:r>
            <w:r w:rsidRPr="00440480">
              <w:t>cash transferred to recipients plus related programme costs</w:t>
            </w:r>
          </w:p>
          <w:p w14:paraId="20075568" w14:textId="77777777" w:rsidR="003D4171" w:rsidRDefault="003D4171" w:rsidP="003D4171">
            <w:pPr>
              <w:spacing w:after="0"/>
            </w:pPr>
            <w:r w:rsidRPr="00440480">
              <w:t>[</w:t>
            </w:r>
            <w:r>
              <w:t>value</w:t>
            </w:r>
            <w:r w:rsidRPr="00440480">
              <w:t xml:space="preserve">] of voucher-based assistance provided to recipients plus related programme costs </w:t>
            </w:r>
          </w:p>
          <w:p w14:paraId="301D3CF7" w14:textId="2C06E837" w:rsidR="003D4171" w:rsidRPr="00440480" w:rsidRDefault="003D4171" w:rsidP="003D4171">
            <w:pPr>
              <w:spacing w:after="0"/>
            </w:pPr>
            <w:r w:rsidRPr="00440480">
              <w:t>[</w:t>
            </w:r>
            <w:r>
              <w:t>value</w:t>
            </w:r>
            <w:r w:rsidRPr="00440480">
              <w:t>] of in-kind assistance given to recipients plus related programme costs</w:t>
            </w:r>
          </w:p>
          <w:p w14:paraId="4BA466D6" w14:textId="359EB34D" w:rsidR="003D4171" w:rsidRPr="006F486A" w:rsidRDefault="003D4171" w:rsidP="003D4171">
            <w:pPr>
              <w:spacing w:after="0"/>
            </w:pPr>
            <w:r w:rsidRPr="00440480">
              <w:t>[</w:t>
            </w:r>
            <w:r>
              <w:t>value</w:t>
            </w:r>
            <w:r w:rsidRPr="00440480">
              <w:t>] of services delivered to recipients plus related programme costs (if measurable)</w:t>
            </w:r>
          </w:p>
        </w:tc>
        <w:tc>
          <w:tcPr>
            <w:tcW w:w="1517" w:type="dxa"/>
          </w:tcPr>
          <w:p w14:paraId="7D0A0D95" w14:textId="18BC87A1" w:rsidR="003D4171" w:rsidRDefault="00AA2B1B" w:rsidP="003D4171">
            <w:r w:rsidRPr="00AA2B1B">
              <w:rPr>
                <w:rFonts w:ascii="Segoe UI Symbol" w:eastAsia="Wingdings" w:hAnsi="Segoe UI Symbol" w:cs="Wingdings"/>
              </w:rPr>
              <w:t>✔</w:t>
            </w:r>
          </w:p>
        </w:tc>
        <w:tc>
          <w:tcPr>
            <w:tcW w:w="1517" w:type="dxa"/>
          </w:tcPr>
          <w:p w14:paraId="05B81846" w14:textId="4680D9C7" w:rsidR="003D4171" w:rsidRDefault="00AA2B1B" w:rsidP="003D4171">
            <w:r w:rsidRPr="00AA2B1B">
              <w:rPr>
                <w:rFonts w:ascii="Segoe UI Symbol" w:eastAsia="Wingdings" w:hAnsi="Segoe UI Symbol" w:cs="Wingdings"/>
              </w:rPr>
              <w:t>✔</w:t>
            </w:r>
          </w:p>
        </w:tc>
      </w:tr>
      <w:tr w:rsidR="003D4171" w14:paraId="323F8A63" w14:textId="77777777" w:rsidTr="0001142D">
        <w:tc>
          <w:tcPr>
            <w:tcW w:w="6594" w:type="dxa"/>
          </w:tcPr>
          <w:p w14:paraId="4906EB82" w14:textId="53D76D6C" w:rsidR="003D4171" w:rsidRPr="006F486A" w:rsidRDefault="003D4171" w:rsidP="003D4171">
            <w:r>
              <w:t>Overall performance</w:t>
            </w:r>
          </w:p>
        </w:tc>
        <w:tc>
          <w:tcPr>
            <w:tcW w:w="1517" w:type="dxa"/>
          </w:tcPr>
          <w:p w14:paraId="2985A84E" w14:textId="31D00325" w:rsidR="003D4171" w:rsidRDefault="00AA2B1B" w:rsidP="003D4171">
            <w:r w:rsidRPr="00AA2B1B">
              <w:rPr>
                <w:rFonts w:ascii="Segoe UI Symbol" w:eastAsia="Wingdings" w:hAnsi="Segoe UI Symbol" w:cs="Wingdings"/>
              </w:rPr>
              <w:t>✔</w:t>
            </w:r>
          </w:p>
        </w:tc>
        <w:tc>
          <w:tcPr>
            <w:tcW w:w="1517" w:type="dxa"/>
          </w:tcPr>
          <w:p w14:paraId="07967628" w14:textId="15F4B75A" w:rsidR="003D4171" w:rsidRDefault="00AA2B1B" w:rsidP="003D4171">
            <w:r w:rsidRPr="00AA2B1B">
              <w:rPr>
                <w:rFonts w:ascii="Segoe UI Symbol" w:eastAsia="Wingdings" w:hAnsi="Segoe UI Symbol" w:cs="Wingdings"/>
              </w:rPr>
              <w:t>✔</w:t>
            </w:r>
          </w:p>
        </w:tc>
      </w:tr>
      <w:tr w:rsidR="003D4171" w14:paraId="092E9A84" w14:textId="77777777" w:rsidTr="0001142D">
        <w:tc>
          <w:tcPr>
            <w:tcW w:w="6594" w:type="dxa"/>
          </w:tcPr>
          <w:p w14:paraId="23957F95" w14:textId="764331DF" w:rsidR="003D4171" w:rsidRPr="006F486A" w:rsidRDefault="003D4171" w:rsidP="003D4171">
            <w:r>
              <w:t>Changes and amendments</w:t>
            </w:r>
          </w:p>
        </w:tc>
        <w:tc>
          <w:tcPr>
            <w:tcW w:w="1517" w:type="dxa"/>
          </w:tcPr>
          <w:p w14:paraId="394C4D99" w14:textId="474350AD" w:rsidR="003D4171" w:rsidRDefault="00AA2B1B" w:rsidP="003D4171">
            <w:r w:rsidRPr="00AA2B1B">
              <w:rPr>
                <w:rFonts w:ascii="Segoe UI Symbol" w:eastAsia="Wingdings" w:hAnsi="Segoe UI Symbol" w:cs="Wingdings"/>
              </w:rPr>
              <w:t>✔</w:t>
            </w:r>
          </w:p>
        </w:tc>
        <w:tc>
          <w:tcPr>
            <w:tcW w:w="1517" w:type="dxa"/>
          </w:tcPr>
          <w:p w14:paraId="3F49B196" w14:textId="0D8586E4" w:rsidR="003D4171" w:rsidRDefault="00AA2B1B" w:rsidP="003D4171">
            <w:r w:rsidRPr="00AA2B1B">
              <w:rPr>
                <w:rFonts w:ascii="Segoe UI Symbol" w:eastAsia="Wingdings" w:hAnsi="Segoe UI Symbol" w:cs="Wingdings"/>
              </w:rPr>
              <w:t>✔</w:t>
            </w:r>
          </w:p>
        </w:tc>
      </w:tr>
      <w:tr w:rsidR="003D4171" w14:paraId="1A122BF6" w14:textId="77777777" w:rsidTr="0001142D">
        <w:tc>
          <w:tcPr>
            <w:tcW w:w="6594" w:type="dxa"/>
          </w:tcPr>
          <w:p w14:paraId="496069EC" w14:textId="409926C0" w:rsidR="003D4171" w:rsidRPr="006F486A" w:rsidRDefault="003D4171" w:rsidP="003D4171">
            <w:r>
              <w:t xml:space="preserve">Measuring results: progress against outputs, outcomes and targets </w:t>
            </w:r>
          </w:p>
        </w:tc>
        <w:tc>
          <w:tcPr>
            <w:tcW w:w="1517" w:type="dxa"/>
          </w:tcPr>
          <w:p w14:paraId="12CC6F4F" w14:textId="1DBA4849" w:rsidR="003D4171" w:rsidRDefault="00AA2B1B" w:rsidP="003D4171">
            <w:r w:rsidRPr="00AA2B1B">
              <w:rPr>
                <w:rFonts w:ascii="Segoe UI Symbol" w:eastAsia="Wingdings" w:hAnsi="Segoe UI Symbol" w:cs="Wingdings"/>
              </w:rPr>
              <w:t>✔</w:t>
            </w:r>
          </w:p>
        </w:tc>
        <w:tc>
          <w:tcPr>
            <w:tcW w:w="1517" w:type="dxa"/>
          </w:tcPr>
          <w:p w14:paraId="47D6E4BE" w14:textId="0B0F8B31" w:rsidR="003D4171" w:rsidRDefault="00AA2B1B" w:rsidP="003D4171">
            <w:r w:rsidRPr="00AA2B1B">
              <w:rPr>
                <w:rFonts w:ascii="Segoe UI Symbol" w:eastAsia="Wingdings" w:hAnsi="Segoe UI Symbol" w:cs="Wingdings"/>
              </w:rPr>
              <w:t>✔</w:t>
            </w:r>
          </w:p>
        </w:tc>
      </w:tr>
      <w:tr w:rsidR="003D4171" w14:paraId="51771E05" w14:textId="77777777" w:rsidTr="0001142D">
        <w:tc>
          <w:tcPr>
            <w:tcW w:w="6594" w:type="dxa"/>
          </w:tcPr>
          <w:p w14:paraId="3A0EF256" w14:textId="11E7FE03" w:rsidR="003D4171" w:rsidRDefault="003D4171" w:rsidP="003D4171">
            <w:r>
              <w:t>Affected persons: number of people taking part disaggregated by gender, age, disability</w:t>
            </w:r>
          </w:p>
        </w:tc>
        <w:tc>
          <w:tcPr>
            <w:tcW w:w="1517" w:type="dxa"/>
          </w:tcPr>
          <w:p w14:paraId="6A738F54" w14:textId="4A0B097F" w:rsidR="003D4171" w:rsidRDefault="00AA2B1B" w:rsidP="003D4171">
            <w:r w:rsidRPr="00AA2B1B">
              <w:rPr>
                <w:rFonts w:ascii="Segoe UI Symbol" w:eastAsia="Wingdings" w:hAnsi="Segoe UI Symbol" w:cs="Wingdings"/>
              </w:rPr>
              <w:t>✔</w:t>
            </w:r>
          </w:p>
        </w:tc>
        <w:tc>
          <w:tcPr>
            <w:tcW w:w="1517" w:type="dxa"/>
          </w:tcPr>
          <w:p w14:paraId="6E4E6B4B" w14:textId="32BAFCA1" w:rsidR="003D4171" w:rsidRDefault="00AA2B1B" w:rsidP="003D4171">
            <w:r w:rsidRPr="00AA2B1B">
              <w:rPr>
                <w:rFonts w:ascii="Segoe UI Symbol" w:eastAsia="Wingdings" w:hAnsi="Segoe UI Symbol" w:cs="Wingdings"/>
              </w:rPr>
              <w:t>✔</w:t>
            </w:r>
          </w:p>
        </w:tc>
      </w:tr>
      <w:tr w:rsidR="003D4171" w14:paraId="7CD81C74" w14:textId="77777777" w:rsidTr="0001142D">
        <w:tc>
          <w:tcPr>
            <w:tcW w:w="6594" w:type="dxa"/>
          </w:tcPr>
          <w:p w14:paraId="5D660E93" w14:textId="1B61D485" w:rsidR="003D4171" w:rsidRDefault="003D4171" w:rsidP="003D4171">
            <w:r>
              <w:t>Participation of and accountability to affected populations</w:t>
            </w:r>
          </w:p>
        </w:tc>
        <w:tc>
          <w:tcPr>
            <w:tcW w:w="1517" w:type="dxa"/>
          </w:tcPr>
          <w:p w14:paraId="2F49F332" w14:textId="56A5F709" w:rsidR="003D4171" w:rsidRDefault="00AA2B1B" w:rsidP="003D4171">
            <w:r w:rsidRPr="00AA2B1B">
              <w:rPr>
                <w:rFonts w:ascii="Segoe UI Symbol" w:eastAsia="Wingdings" w:hAnsi="Segoe UI Symbol" w:cs="Wingdings"/>
              </w:rPr>
              <w:t>✔</w:t>
            </w:r>
          </w:p>
        </w:tc>
        <w:tc>
          <w:tcPr>
            <w:tcW w:w="1517" w:type="dxa"/>
          </w:tcPr>
          <w:p w14:paraId="43039E2E" w14:textId="6507E7BC" w:rsidR="003D4171" w:rsidRDefault="00AA2B1B" w:rsidP="003D4171">
            <w:r w:rsidRPr="00AA2B1B">
              <w:rPr>
                <w:rFonts w:ascii="Segoe UI Symbol" w:eastAsia="Wingdings" w:hAnsi="Segoe UI Symbol" w:cs="Wingdings"/>
              </w:rPr>
              <w:t>✔</w:t>
            </w:r>
          </w:p>
        </w:tc>
      </w:tr>
      <w:tr w:rsidR="003D4171" w14:paraId="209F7C61" w14:textId="77777777" w:rsidTr="0001142D">
        <w:tc>
          <w:tcPr>
            <w:tcW w:w="6594" w:type="dxa"/>
          </w:tcPr>
          <w:p w14:paraId="63761299" w14:textId="3292618D" w:rsidR="003D4171" w:rsidRDefault="003D4171" w:rsidP="003D4171">
            <w:r>
              <w:t>Risk management</w:t>
            </w:r>
          </w:p>
        </w:tc>
        <w:tc>
          <w:tcPr>
            <w:tcW w:w="1517" w:type="dxa"/>
          </w:tcPr>
          <w:p w14:paraId="43B473E3" w14:textId="17119E8A" w:rsidR="003D4171" w:rsidRDefault="00AA2B1B" w:rsidP="003D4171">
            <w:r w:rsidRPr="00AA2B1B">
              <w:rPr>
                <w:rFonts w:ascii="Segoe UI Symbol" w:eastAsia="Wingdings" w:hAnsi="Segoe UI Symbol" w:cs="Wingdings"/>
              </w:rPr>
              <w:t>✔</w:t>
            </w:r>
          </w:p>
        </w:tc>
        <w:tc>
          <w:tcPr>
            <w:tcW w:w="1517" w:type="dxa"/>
          </w:tcPr>
          <w:p w14:paraId="7CCEB26A" w14:textId="69E38BD3" w:rsidR="003D4171" w:rsidRDefault="00AA2B1B" w:rsidP="003D4171">
            <w:r w:rsidRPr="00AA2B1B">
              <w:rPr>
                <w:rFonts w:ascii="Segoe UI Symbol" w:eastAsia="Wingdings" w:hAnsi="Segoe UI Symbol" w:cs="Wingdings"/>
              </w:rPr>
              <w:t>✔</w:t>
            </w:r>
          </w:p>
        </w:tc>
      </w:tr>
      <w:tr w:rsidR="003D4171" w14:paraId="345D3BD5" w14:textId="77777777" w:rsidTr="0001142D">
        <w:tc>
          <w:tcPr>
            <w:tcW w:w="6594" w:type="dxa"/>
          </w:tcPr>
          <w:p w14:paraId="267EC7DD" w14:textId="181AF030" w:rsidR="003D4171" w:rsidRDefault="003D4171" w:rsidP="003D4171">
            <w:r>
              <w:lastRenderedPageBreak/>
              <w:t>Exit strategy and sustainability</w:t>
            </w:r>
          </w:p>
        </w:tc>
        <w:tc>
          <w:tcPr>
            <w:tcW w:w="1517" w:type="dxa"/>
          </w:tcPr>
          <w:p w14:paraId="68C62DFE" w14:textId="703AEAEF" w:rsidR="003D4171" w:rsidRDefault="00AA2B1B" w:rsidP="003D4171">
            <w:r w:rsidRPr="00AA2B1B">
              <w:rPr>
                <w:rFonts w:ascii="Segoe UI Symbol" w:eastAsia="Wingdings" w:hAnsi="Segoe UI Symbol" w:cs="Wingdings"/>
              </w:rPr>
              <w:t>✔</w:t>
            </w:r>
          </w:p>
        </w:tc>
        <w:tc>
          <w:tcPr>
            <w:tcW w:w="1517" w:type="dxa"/>
          </w:tcPr>
          <w:p w14:paraId="15DF58C5" w14:textId="6D550AFA" w:rsidR="003D4171" w:rsidRDefault="00AA2B1B" w:rsidP="003D4171">
            <w:r w:rsidRPr="00AA2B1B">
              <w:rPr>
                <w:rFonts w:ascii="Segoe UI Symbol" w:eastAsia="Wingdings" w:hAnsi="Segoe UI Symbol" w:cs="Wingdings"/>
              </w:rPr>
              <w:t>✔</w:t>
            </w:r>
          </w:p>
        </w:tc>
      </w:tr>
      <w:tr w:rsidR="003D4171" w14:paraId="58AA371A" w14:textId="77777777" w:rsidTr="0001142D">
        <w:tc>
          <w:tcPr>
            <w:tcW w:w="6594" w:type="dxa"/>
          </w:tcPr>
          <w:p w14:paraId="42C7A810" w14:textId="2A2AA682" w:rsidR="003D4171" w:rsidRDefault="003D4171" w:rsidP="003D4171">
            <w:r>
              <w:t>Lessons learned</w:t>
            </w:r>
          </w:p>
        </w:tc>
        <w:tc>
          <w:tcPr>
            <w:tcW w:w="1517" w:type="dxa"/>
          </w:tcPr>
          <w:p w14:paraId="008742C9" w14:textId="0F9B73DC" w:rsidR="003D4171" w:rsidRDefault="00AA2B1B" w:rsidP="003D4171">
            <w:r w:rsidRPr="00AA2B1B">
              <w:rPr>
                <w:rFonts w:ascii="Segoe UI Symbol" w:eastAsia="Wingdings" w:hAnsi="Segoe UI Symbol" w:cs="Wingdings"/>
              </w:rPr>
              <w:t>✔</w:t>
            </w:r>
          </w:p>
        </w:tc>
        <w:tc>
          <w:tcPr>
            <w:tcW w:w="1517" w:type="dxa"/>
          </w:tcPr>
          <w:p w14:paraId="6019CBBF" w14:textId="144E81A0" w:rsidR="003D4171" w:rsidRDefault="00AA2B1B" w:rsidP="003D4171">
            <w:r w:rsidRPr="00AA2B1B">
              <w:rPr>
                <w:rFonts w:ascii="Segoe UI Symbol" w:eastAsia="Wingdings" w:hAnsi="Segoe UI Symbol" w:cs="Wingdings"/>
              </w:rPr>
              <w:t>✔</w:t>
            </w:r>
          </w:p>
        </w:tc>
      </w:tr>
      <w:tr w:rsidR="003D4171" w14:paraId="57A9C0B5" w14:textId="77777777" w:rsidTr="0001142D">
        <w:tc>
          <w:tcPr>
            <w:tcW w:w="6594" w:type="dxa"/>
          </w:tcPr>
          <w:p w14:paraId="1A9E8F8C" w14:textId="6FB9C25F" w:rsidR="003D4171" w:rsidRDefault="003D4171" w:rsidP="003D4171">
            <w:r>
              <w:t>Value for money / cost effectiveness</w:t>
            </w:r>
          </w:p>
        </w:tc>
        <w:tc>
          <w:tcPr>
            <w:tcW w:w="1517" w:type="dxa"/>
          </w:tcPr>
          <w:p w14:paraId="4FF5A06F" w14:textId="1160AC76" w:rsidR="003D4171" w:rsidRDefault="00AA2B1B" w:rsidP="003D4171">
            <w:r w:rsidRPr="00AA2B1B">
              <w:rPr>
                <w:rFonts w:ascii="Segoe UI Symbol" w:eastAsia="Wingdings" w:hAnsi="Segoe UI Symbol" w:cs="Wingdings"/>
              </w:rPr>
              <w:t>✔</w:t>
            </w:r>
          </w:p>
        </w:tc>
        <w:tc>
          <w:tcPr>
            <w:tcW w:w="1517" w:type="dxa"/>
          </w:tcPr>
          <w:p w14:paraId="1D18B378" w14:textId="520B0B30" w:rsidR="003D4171" w:rsidRDefault="00AA2B1B" w:rsidP="003D4171">
            <w:r w:rsidRPr="00AA2B1B">
              <w:rPr>
                <w:rFonts w:ascii="Segoe UI Symbol" w:eastAsia="Wingdings" w:hAnsi="Segoe UI Symbol" w:cs="Wingdings"/>
              </w:rPr>
              <w:t>✔</w:t>
            </w:r>
          </w:p>
        </w:tc>
      </w:tr>
      <w:tr w:rsidR="003D4171" w14:paraId="51B1DFE9" w14:textId="77777777" w:rsidTr="0001142D">
        <w:tc>
          <w:tcPr>
            <w:tcW w:w="6594" w:type="dxa"/>
          </w:tcPr>
          <w:p w14:paraId="69733FE2" w14:textId="4A67AC7C" w:rsidR="003D4171" w:rsidRDefault="003D4171" w:rsidP="003D4171">
            <w:r>
              <w:t>Coordination efforts</w:t>
            </w:r>
          </w:p>
        </w:tc>
        <w:tc>
          <w:tcPr>
            <w:tcW w:w="1517" w:type="dxa"/>
          </w:tcPr>
          <w:p w14:paraId="0566A13D" w14:textId="33D73FEE" w:rsidR="003D4171" w:rsidRDefault="00AA2B1B" w:rsidP="003D4171">
            <w:r w:rsidRPr="00AA2B1B">
              <w:rPr>
                <w:rFonts w:ascii="Segoe UI Symbol" w:eastAsia="Wingdings" w:hAnsi="Segoe UI Symbol" w:cs="Wingdings"/>
              </w:rPr>
              <w:t>✔</w:t>
            </w:r>
          </w:p>
        </w:tc>
        <w:tc>
          <w:tcPr>
            <w:tcW w:w="1517" w:type="dxa"/>
          </w:tcPr>
          <w:p w14:paraId="4D44565C" w14:textId="4A97EBE4" w:rsidR="003D4171" w:rsidRDefault="00AA2B1B" w:rsidP="003D4171">
            <w:r w:rsidRPr="00AA2B1B">
              <w:rPr>
                <w:rFonts w:ascii="Segoe UI Symbol" w:eastAsia="Wingdings" w:hAnsi="Segoe UI Symbol" w:cs="Wingdings"/>
              </w:rPr>
              <w:t>✔</w:t>
            </w:r>
          </w:p>
        </w:tc>
      </w:tr>
      <w:tr w:rsidR="003D4171" w14:paraId="726A4AFC" w14:textId="77777777" w:rsidTr="0001142D">
        <w:tc>
          <w:tcPr>
            <w:tcW w:w="6594" w:type="dxa"/>
          </w:tcPr>
          <w:p w14:paraId="7EEB1F90" w14:textId="6E7E08F9" w:rsidR="003D4171" w:rsidRDefault="003D4171" w:rsidP="003D4171">
            <w:r>
              <w:t>List implementing partners, their role and contribution</w:t>
            </w:r>
          </w:p>
        </w:tc>
        <w:tc>
          <w:tcPr>
            <w:tcW w:w="1517" w:type="dxa"/>
          </w:tcPr>
          <w:p w14:paraId="1D26E455" w14:textId="042C2DB6" w:rsidR="003D4171" w:rsidRDefault="00AA2B1B" w:rsidP="003D4171">
            <w:r w:rsidRPr="00AA2B1B">
              <w:rPr>
                <w:rFonts w:ascii="Segoe UI Symbol" w:eastAsia="Wingdings" w:hAnsi="Segoe UI Symbol" w:cs="Wingdings"/>
              </w:rPr>
              <w:t>✔</w:t>
            </w:r>
          </w:p>
        </w:tc>
        <w:tc>
          <w:tcPr>
            <w:tcW w:w="1517" w:type="dxa"/>
          </w:tcPr>
          <w:p w14:paraId="78125596" w14:textId="5EEEDE3C" w:rsidR="003D4171" w:rsidRDefault="00AA2B1B" w:rsidP="003D4171">
            <w:r w:rsidRPr="00AA2B1B">
              <w:rPr>
                <w:rFonts w:ascii="Segoe UI Symbol" w:eastAsia="Wingdings" w:hAnsi="Segoe UI Symbol" w:cs="Wingdings"/>
              </w:rPr>
              <w:t>✔</w:t>
            </w:r>
          </w:p>
        </w:tc>
      </w:tr>
    </w:tbl>
    <w:p w14:paraId="6E0CDDA6" w14:textId="77777777" w:rsidR="001C54ED" w:rsidRDefault="001C54ED" w:rsidP="00321672">
      <w:pPr>
        <w:rPr>
          <w:b/>
          <w:bCs/>
        </w:rPr>
      </w:pPr>
    </w:p>
    <w:p w14:paraId="3762F3CD" w14:textId="3F31A17C" w:rsidR="00DD2E9C" w:rsidRPr="00A44121" w:rsidRDefault="0085544D" w:rsidP="00321672">
      <w:pPr>
        <w:rPr>
          <w:b/>
          <w:bCs/>
        </w:rPr>
      </w:pPr>
      <w:r w:rsidRPr="00A44121">
        <w:rPr>
          <w:b/>
          <w:bCs/>
        </w:rPr>
        <w:t>DFAT Reporting Requirements</w:t>
      </w:r>
    </w:p>
    <w:p w14:paraId="49CD0060" w14:textId="6D59B0C2" w:rsidR="0085544D" w:rsidRDefault="00A44121" w:rsidP="00321672">
      <w:r>
        <w:t xml:space="preserve">Investments at country level are subject to annual </w:t>
      </w:r>
      <w:r w:rsidR="001F0150">
        <w:t xml:space="preserve">IMRs </w:t>
      </w:r>
      <w:r w:rsidR="00FB0339">
        <w:t>(</w:t>
      </w:r>
      <w:r>
        <w:t>or</w:t>
      </w:r>
      <w:r w:rsidR="001F0150">
        <w:t xml:space="preserve"> HIMRs</w:t>
      </w:r>
      <w:r w:rsidR="00FB0339">
        <w:t>)</w:t>
      </w:r>
      <w:r>
        <w:t xml:space="preserve">, and each partner </w:t>
      </w:r>
      <w:r w:rsidR="00C7507C">
        <w:t>above a financial threshold are subject to annual</w:t>
      </w:r>
      <w:r w:rsidR="001F0150">
        <w:t xml:space="preserve"> PPAs</w:t>
      </w:r>
      <w:r w:rsidR="00C7507C">
        <w:t xml:space="preserve">. </w:t>
      </w:r>
    </w:p>
    <w:p w14:paraId="6E68BD7F" w14:textId="3AD57C32" w:rsidR="00C7507C" w:rsidRDefault="00C7507C" w:rsidP="00C7507C">
      <w:r>
        <w:t xml:space="preserve">Neither partners nor DFAT were required to report on the </w:t>
      </w:r>
      <w:r w:rsidR="00676E93">
        <w:t>shared partnership objectives</w:t>
      </w:r>
      <w:r>
        <w:t xml:space="preserve"> and </w:t>
      </w:r>
      <w:r w:rsidR="000B62A1">
        <w:t>d</w:t>
      </w:r>
      <w:r>
        <w:t>eliverables documented in the SPFs for WFP or UNHCR in the response to the Rohingya crisis i</w:t>
      </w:r>
      <w:r w:rsidR="00A83C7D">
        <w:t>n</w:t>
      </w:r>
      <w:r>
        <w:t xml:space="preserve"> Bangladesh.</w:t>
      </w:r>
    </w:p>
    <w:p w14:paraId="08195073" w14:textId="19A1E888" w:rsidR="00C7507C" w:rsidRDefault="00C7507C" w:rsidP="00321672">
      <w:r>
        <w:t xml:space="preserve">A review of the </w:t>
      </w:r>
      <w:r w:rsidR="00B75C8D">
        <w:t xml:space="preserve">PPAs </w:t>
      </w:r>
      <w:r w:rsidR="00477744">
        <w:t xml:space="preserve">indicates DFAT staff were able to </w:t>
      </w:r>
      <w:r w:rsidR="00D34891">
        <w:t>assess partner performance.</w:t>
      </w:r>
      <w:r w:rsidR="00151340">
        <w:t xml:space="preserve"> The absence of financial reporting by </w:t>
      </w:r>
      <w:r w:rsidR="00E909CF">
        <w:t>gender</w:t>
      </w:r>
      <w:r w:rsidR="000B62A1">
        <w:t>,</w:t>
      </w:r>
      <w:r w:rsidR="00E909CF">
        <w:t xml:space="preserve"> disability</w:t>
      </w:r>
      <w:r w:rsidR="000B62A1">
        <w:t>, and l</w:t>
      </w:r>
      <w:r w:rsidR="00E909CF">
        <w:t xml:space="preserve">ocalisation capacity building activities </w:t>
      </w:r>
      <w:r w:rsidR="00151340">
        <w:t>did not seem to impact the assessment.</w:t>
      </w:r>
      <w:r w:rsidR="007A5ECD">
        <w:t xml:space="preserve"> </w:t>
      </w:r>
    </w:p>
    <w:p w14:paraId="1CF57556" w14:textId="07CBAF61" w:rsidR="00754A99" w:rsidRPr="00FB0339" w:rsidRDefault="00754A99" w:rsidP="0099208A">
      <w:pPr>
        <w:pStyle w:val="Heading3NOTOC"/>
        <w:rPr>
          <w:color w:val="auto"/>
        </w:rPr>
      </w:pPr>
      <w:r w:rsidRPr="00FB0339">
        <w:rPr>
          <w:color w:val="auto"/>
        </w:rPr>
        <w:t>Strengths of the SPF and EOL modality</w:t>
      </w:r>
      <w:r w:rsidR="00056C63" w:rsidRPr="00FB0339">
        <w:rPr>
          <w:color w:val="auto"/>
        </w:rPr>
        <w:t xml:space="preserve"> in Bangladesh</w:t>
      </w:r>
    </w:p>
    <w:p w14:paraId="47BD5D18" w14:textId="740C55C4" w:rsidR="00113192" w:rsidRDefault="007A66E7" w:rsidP="0001142D">
      <w:pPr>
        <w:pStyle w:val="ListParagraph"/>
        <w:numPr>
          <w:ilvl w:val="0"/>
          <w:numId w:val="63"/>
        </w:numPr>
        <w:ind w:left="360"/>
        <w:contextualSpacing w:val="0"/>
      </w:pPr>
      <w:r w:rsidRPr="2C54FF09">
        <w:rPr>
          <w:b/>
          <w:bCs/>
        </w:rPr>
        <w:t xml:space="preserve">EOLs were able to </w:t>
      </w:r>
      <w:r w:rsidR="00ED2E3E">
        <w:rPr>
          <w:b/>
          <w:bCs/>
        </w:rPr>
        <w:t>be amended to suit</w:t>
      </w:r>
      <w:r w:rsidR="00907AAA" w:rsidRPr="2C54FF09">
        <w:rPr>
          <w:b/>
          <w:bCs/>
        </w:rPr>
        <w:t xml:space="preserve"> the context</w:t>
      </w:r>
      <w:r w:rsidR="00754A99" w:rsidRPr="2C54FF09">
        <w:rPr>
          <w:b/>
          <w:bCs/>
        </w:rPr>
        <w:t xml:space="preserve">. </w:t>
      </w:r>
      <w:r w:rsidR="00A753E4">
        <w:t>The EOLs</w:t>
      </w:r>
      <w:r w:rsidR="00754A99">
        <w:t xml:space="preserve"> allow</w:t>
      </w:r>
      <w:r w:rsidR="007F346B">
        <w:t>ed</w:t>
      </w:r>
      <w:r w:rsidR="00754A99">
        <w:t xml:space="preserve"> earmarking</w:t>
      </w:r>
      <w:r w:rsidR="007F346B">
        <w:t xml:space="preserve"> to the Joint Response Plan</w:t>
      </w:r>
      <w:r w:rsidR="00754A99">
        <w:t xml:space="preserve">, </w:t>
      </w:r>
      <w:r w:rsidR="00BF2C6E">
        <w:t xml:space="preserve">provided funding </w:t>
      </w:r>
      <w:r w:rsidR="007F346B">
        <w:t xml:space="preserve">across multiple years, </w:t>
      </w:r>
      <w:r w:rsidR="00A753E4">
        <w:t xml:space="preserve">included </w:t>
      </w:r>
      <w:r w:rsidR="00907AAA">
        <w:t xml:space="preserve">all the optional clauses for </w:t>
      </w:r>
      <w:r w:rsidR="00CE456E">
        <w:t>high-risk</w:t>
      </w:r>
      <w:r w:rsidR="00907AAA">
        <w:t xml:space="preserve"> contexts </w:t>
      </w:r>
      <w:r w:rsidR="00754A99">
        <w:t>and DFAT was able to add in bespoke detail</w:t>
      </w:r>
      <w:r w:rsidR="00317AA4">
        <w:t xml:space="preserve"> regarding reporting requirements</w:t>
      </w:r>
      <w:r w:rsidR="00754A99">
        <w:t>.</w:t>
      </w:r>
      <w:r w:rsidR="00A03EB8">
        <w:t xml:space="preserve"> </w:t>
      </w:r>
    </w:p>
    <w:p w14:paraId="39551718" w14:textId="5C2A57E9" w:rsidR="002D535B" w:rsidRDefault="004E465E" w:rsidP="0001142D">
      <w:pPr>
        <w:pStyle w:val="ListParagraph"/>
        <w:numPr>
          <w:ilvl w:val="0"/>
          <w:numId w:val="63"/>
        </w:numPr>
        <w:ind w:left="360"/>
        <w:contextualSpacing w:val="0"/>
      </w:pPr>
      <w:r w:rsidRPr="00113192">
        <w:rPr>
          <w:b/>
          <w:bCs/>
        </w:rPr>
        <w:t>E</w:t>
      </w:r>
      <w:r w:rsidR="007A66E7" w:rsidRPr="00113192">
        <w:rPr>
          <w:b/>
          <w:bCs/>
        </w:rPr>
        <w:t>OLs e</w:t>
      </w:r>
      <w:r w:rsidR="00A03EB8" w:rsidRPr="00113192">
        <w:rPr>
          <w:b/>
          <w:bCs/>
        </w:rPr>
        <w:t>nabled DFAT and partners to respond to urgent need</w:t>
      </w:r>
      <w:r w:rsidR="00BF2C6E" w:rsidRPr="00113192">
        <w:rPr>
          <w:b/>
          <w:bCs/>
        </w:rPr>
        <w:t xml:space="preserve"> </w:t>
      </w:r>
      <w:r w:rsidRPr="00113192">
        <w:rPr>
          <w:b/>
          <w:bCs/>
        </w:rPr>
        <w:t>through</w:t>
      </w:r>
      <w:r w:rsidR="00BF2C6E" w:rsidRPr="00113192">
        <w:rPr>
          <w:b/>
          <w:bCs/>
        </w:rPr>
        <w:t xml:space="preserve"> fast </w:t>
      </w:r>
      <w:r w:rsidR="00CC0792">
        <w:rPr>
          <w:b/>
          <w:bCs/>
        </w:rPr>
        <w:t>processing</w:t>
      </w:r>
      <w:r w:rsidR="00D04AA1" w:rsidRPr="00113192">
        <w:rPr>
          <w:b/>
          <w:bCs/>
        </w:rPr>
        <w:t>.</w:t>
      </w:r>
      <w:r w:rsidR="00113192" w:rsidRPr="00113192">
        <w:rPr>
          <w:b/>
          <w:bCs/>
        </w:rPr>
        <w:t xml:space="preserve"> </w:t>
      </w:r>
      <w:r w:rsidR="00317AA4">
        <w:t xml:space="preserve">When negotiating the EOLs, partners didn’t need to go back to </w:t>
      </w:r>
      <w:r w:rsidR="009B2B4A">
        <w:t>headquarters often</w:t>
      </w:r>
      <w:r w:rsidR="00317AA4">
        <w:t xml:space="preserve"> because clauses were mostly already agreed. It had to be checked, but this was all aligned.</w:t>
      </w:r>
      <w:r w:rsidR="00317AA4" w:rsidRPr="002512F0">
        <w:rPr>
          <w:vertAlign w:val="superscript"/>
        </w:rPr>
        <w:footnoteReference w:id="124"/>
      </w:r>
      <w:r w:rsidR="002D535B" w:rsidRPr="00113192">
        <w:rPr>
          <w:vertAlign w:val="superscript"/>
        </w:rPr>
        <w:t xml:space="preserve"> </w:t>
      </w:r>
      <w:r w:rsidR="00C64DB6">
        <w:t>One partner commented that DFAT Post managed EOL negotiations very well. They gave informal advance notice, so processes could get moving. This enabled the formal approach to be straightforward.</w:t>
      </w:r>
      <w:r w:rsidR="00C64DB6" w:rsidRPr="002512F0">
        <w:rPr>
          <w:vertAlign w:val="superscript"/>
        </w:rPr>
        <w:footnoteReference w:id="125"/>
      </w:r>
      <w:r w:rsidR="00C64DB6">
        <w:t xml:space="preserve"> </w:t>
      </w:r>
      <w:r w:rsidR="00917BE8">
        <w:t>DFAT also emphasised the counter-factual: Dhaka Post negotiated a</w:t>
      </w:r>
      <w:r w:rsidR="009F284A">
        <w:t xml:space="preserve"> funding</w:t>
      </w:r>
      <w:r w:rsidR="00917BE8">
        <w:t xml:space="preserve"> </w:t>
      </w:r>
      <w:r w:rsidR="00DB5918">
        <w:t>arrangement</w:t>
      </w:r>
      <w:r w:rsidR="00917BE8">
        <w:t xml:space="preserve"> with </w:t>
      </w:r>
      <w:r w:rsidR="00C2275F">
        <w:t>another humanitarian partner which did not have</w:t>
      </w:r>
      <w:r w:rsidR="00917BE8">
        <w:t xml:space="preserve"> an SPF in place. The agreement took </w:t>
      </w:r>
      <w:r w:rsidR="009B2B4A">
        <w:t xml:space="preserve">five-to-six </w:t>
      </w:r>
      <w:r w:rsidR="00917BE8">
        <w:t xml:space="preserve">months to set </w:t>
      </w:r>
      <w:proofErr w:type="gramStart"/>
      <w:r w:rsidR="00917BE8">
        <w:t>up, and</w:t>
      </w:r>
      <w:proofErr w:type="gramEnd"/>
      <w:r w:rsidR="00917BE8">
        <w:t xml:space="preserve"> ended up being a contract of 18 months due to delays in time for signing. Without an SPF, both DFAT and </w:t>
      </w:r>
      <w:r w:rsidR="000B62A1">
        <w:t xml:space="preserve">the </w:t>
      </w:r>
      <w:r w:rsidR="00202466">
        <w:t>partner</w:t>
      </w:r>
      <w:r w:rsidR="00917BE8">
        <w:t xml:space="preserve"> invested substanti</w:t>
      </w:r>
      <w:r w:rsidR="00144086">
        <w:t>al</w:t>
      </w:r>
      <w:r w:rsidR="00917BE8">
        <w:t xml:space="preserve"> time in negotiating the contract, the money could not be used for six months, and it had to be used in a shorter </w:t>
      </w:r>
      <w:proofErr w:type="gramStart"/>
      <w:r w:rsidR="00917BE8">
        <w:t>time period</w:t>
      </w:r>
      <w:proofErr w:type="gramEnd"/>
      <w:r w:rsidR="000B62A1">
        <w:t>, for instance, informants reported</w:t>
      </w:r>
      <w:r w:rsidR="009B2B4A">
        <w:t xml:space="preserve"> that the</w:t>
      </w:r>
      <w:r w:rsidR="000B62A1">
        <w:t>:</w:t>
      </w:r>
      <w:r w:rsidR="00917BE8" w:rsidRPr="002512F0">
        <w:rPr>
          <w:vertAlign w:val="superscript"/>
        </w:rPr>
        <w:footnoteReference w:id="126"/>
      </w:r>
    </w:p>
    <w:p w14:paraId="7686234C" w14:textId="25F8E695" w:rsidR="000B62A1" w:rsidRPr="0001142D" w:rsidRDefault="009B2B4A" w:rsidP="0001142D">
      <w:pPr>
        <w:pStyle w:val="ListParagraph"/>
        <w:ind w:left="568"/>
        <w:contextualSpacing w:val="0"/>
        <w:rPr>
          <w:i/>
          <w:iCs/>
        </w:rPr>
      </w:pPr>
      <w:r>
        <w:rPr>
          <w:i/>
          <w:iCs/>
        </w:rPr>
        <w:t>“</w:t>
      </w:r>
      <w:proofErr w:type="gramStart"/>
      <w:r w:rsidR="000B62A1" w:rsidRPr="0001142D">
        <w:rPr>
          <w:i/>
          <w:iCs/>
        </w:rPr>
        <w:t>b</w:t>
      </w:r>
      <w:r w:rsidR="006D6BD5" w:rsidRPr="0001142D">
        <w:rPr>
          <w:i/>
          <w:iCs/>
        </w:rPr>
        <w:t>est</w:t>
      </w:r>
      <w:proofErr w:type="gramEnd"/>
      <w:r w:rsidR="006D6BD5" w:rsidRPr="0001142D">
        <w:rPr>
          <w:i/>
          <w:iCs/>
        </w:rPr>
        <w:t xml:space="preserve"> point of comparison is when we don’t have an SPF. The real difficulty </w:t>
      </w:r>
      <w:r w:rsidR="006D6987" w:rsidRPr="0001142D">
        <w:rPr>
          <w:i/>
          <w:iCs/>
        </w:rPr>
        <w:t xml:space="preserve">is </w:t>
      </w:r>
      <w:r w:rsidR="006D6BD5" w:rsidRPr="0001142D">
        <w:rPr>
          <w:i/>
          <w:iCs/>
        </w:rPr>
        <w:t>when you don’t have one</w:t>
      </w:r>
      <w:r w:rsidR="006D6987" w:rsidRPr="0001142D">
        <w:rPr>
          <w:i/>
          <w:iCs/>
        </w:rPr>
        <w:t xml:space="preserve"> in place</w:t>
      </w:r>
      <w:r w:rsidR="000B62A1" w:rsidRPr="0001142D">
        <w:rPr>
          <w:i/>
          <w:iCs/>
        </w:rPr>
        <w:t>”</w:t>
      </w:r>
      <w:r w:rsidR="006D6BD5" w:rsidRPr="00202466">
        <w:rPr>
          <w:rStyle w:val="FootnoteReference"/>
          <w:i/>
          <w:iCs/>
        </w:rPr>
        <w:footnoteReference w:id="127"/>
      </w:r>
      <w:r w:rsidR="000B62A1" w:rsidRPr="0001142D">
        <w:rPr>
          <w:i/>
          <w:iCs/>
        </w:rPr>
        <w:t>, and</w:t>
      </w:r>
      <w:r w:rsidR="006D6BD5" w:rsidRPr="0001142D">
        <w:rPr>
          <w:i/>
          <w:iCs/>
        </w:rPr>
        <w:t xml:space="preserve"> “We’ve received a lot of benefit</w:t>
      </w:r>
      <w:r w:rsidR="006D6987" w:rsidRPr="0001142D">
        <w:rPr>
          <w:i/>
          <w:iCs/>
        </w:rPr>
        <w:t xml:space="preserve">; </w:t>
      </w:r>
      <w:r w:rsidR="006D6BD5" w:rsidRPr="0001142D">
        <w:rPr>
          <w:i/>
          <w:iCs/>
        </w:rPr>
        <w:t>it definitely makes life easier</w:t>
      </w:r>
      <w:r>
        <w:rPr>
          <w:i/>
          <w:iCs/>
        </w:rPr>
        <w:t>.</w:t>
      </w:r>
      <w:r w:rsidR="006D6BD5" w:rsidRPr="0001142D">
        <w:rPr>
          <w:i/>
          <w:iCs/>
        </w:rPr>
        <w:t xml:space="preserve">” </w:t>
      </w:r>
    </w:p>
    <w:p w14:paraId="5530C0A7" w14:textId="5710C23F" w:rsidR="006D6BD5" w:rsidRDefault="006D6BD5" w:rsidP="0001142D">
      <w:pPr>
        <w:pStyle w:val="ListParagraph"/>
        <w:numPr>
          <w:ilvl w:val="0"/>
          <w:numId w:val="63"/>
        </w:numPr>
        <w:ind w:left="360"/>
        <w:contextualSpacing w:val="0"/>
      </w:pPr>
      <w:r>
        <w:t>Other models described by partners are annual and project</w:t>
      </w:r>
      <w:r w:rsidR="6351D73C">
        <w:t>-</w:t>
      </w:r>
      <w:r>
        <w:t xml:space="preserve">based, with reporting on activities on specific timelines with requests for no-cost extensions and regular addendums to complement earlier funding, adjust timeframes, beneficiaries, </w:t>
      </w:r>
      <w:proofErr w:type="gramStart"/>
      <w:r>
        <w:t>activities</w:t>
      </w:r>
      <w:r w:rsidR="009B2B4A">
        <w:t>;</w:t>
      </w:r>
      <w:proofErr w:type="gramEnd"/>
      <w:r w:rsidR="009B2B4A">
        <w:t xml:space="preserve"> a high amount of </w:t>
      </w:r>
      <w:r>
        <w:t xml:space="preserve">effort </w:t>
      </w:r>
      <w:r w:rsidR="009B2B4A">
        <w:t>for</w:t>
      </w:r>
      <w:r>
        <w:t xml:space="preserve"> both sides. At a time when </w:t>
      </w:r>
      <w:r w:rsidR="002D65A3">
        <w:t xml:space="preserve">organisations </w:t>
      </w:r>
      <w:r>
        <w:t xml:space="preserve">are reducing resourcing, it is even less feasible to </w:t>
      </w:r>
      <w:r w:rsidR="00B44DDC">
        <w:t>resource</w:t>
      </w:r>
      <w:r>
        <w:t xml:space="preserve"> such a</w:t>
      </w:r>
      <w:r w:rsidR="00152A40">
        <w:t xml:space="preserve"> time-consuming</w:t>
      </w:r>
      <w:r>
        <w:t xml:space="preserve"> </w:t>
      </w:r>
      <w:r>
        <w:lastRenderedPageBreak/>
        <w:t xml:space="preserve">reporting </w:t>
      </w:r>
      <w:r w:rsidR="00B44DDC">
        <w:t>responsibility</w:t>
      </w:r>
      <w:r>
        <w:t>. All donors provided funding in advance to one partner; no donors provided funding on completion.</w:t>
      </w:r>
      <w:r>
        <w:rPr>
          <w:rStyle w:val="FootnoteReference"/>
        </w:rPr>
        <w:footnoteReference w:id="128"/>
      </w:r>
    </w:p>
    <w:p w14:paraId="3B2E688C" w14:textId="335658BD" w:rsidR="00C065B7" w:rsidRDefault="00C87993" w:rsidP="0001142D">
      <w:pPr>
        <w:pStyle w:val="ListParagraph"/>
        <w:numPr>
          <w:ilvl w:val="0"/>
          <w:numId w:val="63"/>
        </w:numPr>
        <w:ind w:left="360"/>
        <w:contextualSpacing w:val="0"/>
      </w:pPr>
      <w:r w:rsidRPr="00113192">
        <w:rPr>
          <w:b/>
          <w:bCs/>
        </w:rPr>
        <w:t xml:space="preserve">Enables partners to allocate funding to critical needs. </w:t>
      </w:r>
      <w:r w:rsidRPr="00024288">
        <w:t>Partners emphasised the importance of multi-year, flexible funding.</w:t>
      </w:r>
      <w:r w:rsidRPr="00B94E7F">
        <w:t xml:space="preserve"> “The fact that Australia’s funding is flexible at the operational level helps us to orient funding to critical needs”.</w:t>
      </w:r>
      <w:r w:rsidRPr="00C87993">
        <w:rPr>
          <w:vertAlign w:val="superscript"/>
        </w:rPr>
        <w:footnoteReference w:id="129"/>
      </w:r>
      <w:r w:rsidRPr="004E465E">
        <w:t xml:space="preserve"> </w:t>
      </w:r>
      <w:r>
        <w:t>WFP highly valued DFAT’s flexibility to disburse one tranche of funding early and provide additional assistance</w:t>
      </w:r>
      <w:r w:rsidR="000B62A1">
        <w:t xml:space="preserve">; </w:t>
      </w:r>
      <w:r>
        <w:t xml:space="preserve">with the support of other donors this meant </w:t>
      </w:r>
      <w:r w:rsidR="50D305E8">
        <w:t>WFP</w:t>
      </w:r>
      <w:r>
        <w:t xml:space="preserve"> was able to</w:t>
      </w:r>
      <w:r w:rsidR="50D305E8">
        <w:t xml:space="preserve"> avert</w:t>
      </w:r>
      <w:r>
        <w:t xml:space="preserve"> a ration cut from $12.50 per person per month to $6 per person per month in early 2025.</w:t>
      </w:r>
      <w:r w:rsidRPr="00F6111E">
        <w:rPr>
          <w:vertAlign w:val="superscript"/>
        </w:rPr>
        <w:footnoteReference w:id="130"/>
      </w:r>
      <w:r>
        <w:t xml:space="preserve"> The WFP EOL was easily amended to provide additional funding.</w:t>
      </w:r>
      <w:r w:rsidRPr="004B7B21">
        <w:t xml:space="preserve"> </w:t>
      </w:r>
      <w:r>
        <w:t>UNHCR noted that protection tends to be underfunded</w:t>
      </w:r>
      <w:r w:rsidR="000B62A1">
        <w:t xml:space="preserve">; </w:t>
      </w:r>
      <w:r>
        <w:t xml:space="preserve">Australia’s funding in line with UNHCR priorities </w:t>
      </w:r>
      <w:r w:rsidR="000B62A1">
        <w:t>has been</w:t>
      </w:r>
      <w:r>
        <w:t xml:space="preserve"> very helpful. With </w:t>
      </w:r>
      <w:r w:rsidR="00CD14A9">
        <w:t xml:space="preserve">earmarking that is overly </w:t>
      </w:r>
      <w:r>
        <w:t>stringent, activities go unfunded.</w:t>
      </w:r>
      <w:r w:rsidR="006D368D">
        <w:rPr>
          <w:rStyle w:val="CommentReference"/>
          <w:sz w:val="20"/>
          <w:szCs w:val="24"/>
        </w:rPr>
        <w:t xml:space="preserve"> </w:t>
      </w:r>
    </w:p>
    <w:p w14:paraId="2A42A281" w14:textId="160206EB" w:rsidR="006912E4" w:rsidRPr="00C065B7" w:rsidRDefault="00137C8E" w:rsidP="005232CE">
      <w:pPr>
        <w:pStyle w:val="ListParagraph"/>
        <w:numPr>
          <w:ilvl w:val="0"/>
          <w:numId w:val="63"/>
        </w:numPr>
        <w:spacing w:after="0"/>
        <w:ind w:left="360"/>
        <w:contextualSpacing w:val="0"/>
      </w:pPr>
      <w:r w:rsidRPr="00014DE4">
        <w:rPr>
          <w:b/>
          <w:bCs/>
        </w:rPr>
        <w:t>Supports</w:t>
      </w:r>
      <w:r w:rsidR="006912E4" w:rsidRPr="00014DE4">
        <w:rPr>
          <w:b/>
          <w:bCs/>
        </w:rPr>
        <w:t xml:space="preserve"> </w:t>
      </w:r>
      <w:r w:rsidRPr="00014DE4">
        <w:rPr>
          <w:b/>
          <w:bCs/>
        </w:rPr>
        <w:t>substantive</w:t>
      </w:r>
      <w:r w:rsidR="008E769D">
        <w:rPr>
          <w:b/>
          <w:bCs/>
        </w:rPr>
        <w:t xml:space="preserve"> flexible</w:t>
      </w:r>
      <w:r w:rsidRPr="00014DE4">
        <w:rPr>
          <w:b/>
          <w:bCs/>
        </w:rPr>
        <w:t xml:space="preserve"> </w:t>
      </w:r>
      <w:r w:rsidR="006351AA">
        <w:rPr>
          <w:b/>
          <w:bCs/>
        </w:rPr>
        <w:t>funding to agency plans</w:t>
      </w:r>
      <w:r w:rsidR="006912E4" w:rsidRPr="00014DE4">
        <w:rPr>
          <w:b/>
          <w:bCs/>
        </w:rPr>
        <w:t xml:space="preserve"> </w:t>
      </w:r>
      <w:r w:rsidR="008E769D">
        <w:rPr>
          <w:b/>
          <w:bCs/>
        </w:rPr>
        <w:t>as well as</w:t>
      </w:r>
      <w:r w:rsidR="006912E4" w:rsidRPr="00014DE4">
        <w:rPr>
          <w:b/>
          <w:bCs/>
        </w:rPr>
        <w:t xml:space="preserve"> predictable</w:t>
      </w:r>
      <w:r w:rsidR="00C45779">
        <w:rPr>
          <w:b/>
          <w:bCs/>
        </w:rPr>
        <w:t xml:space="preserve"> multiyear</w:t>
      </w:r>
      <w:r w:rsidR="006912E4" w:rsidRPr="00014DE4">
        <w:rPr>
          <w:b/>
          <w:bCs/>
        </w:rPr>
        <w:t xml:space="preserve"> funding</w:t>
      </w:r>
      <w:r w:rsidR="008E769D">
        <w:rPr>
          <w:b/>
          <w:bCs/>
        </w:rPr>
        <w:t>,</w:t>
      </w:r>
      <w:r w:rsidR="006912E4" w:rsidRPr="00014DE4">
        <w:rPr>
          <w:b/>
          <w:bCs/>
        </w:rPr>
        <w:t xml:space="preserve"> </w:t>
      </w:r>
      <w:r w:rsidRPr="00014DE4">
        <w:rPr>
          <w:b/>
          <w:bCs/>
        </w:rPr>
        <w:t xml:space="preserve">which </w:t>
      </w:r>
      <w:r w:rsidR="00014DE4" w:rsidRPr="00014DE4">
        <w:rPr>
          <w:b/>
          <w:bCs/>
        </w:rPr>
        <w:t>has underpinned Australia’s position</w:t>
      </w:r>
      <w:r w:rsidR="3E16FFD6" w:rsidRPr="00014DE4">
        <w:rPr>
          <w:b/>
          <w:bCs/>
        </w:rPr>
        <w:t xml:space="preserve"> </w:t>
      </w:r>
      <w:r w:rsidR="00014DE4" w:rsidRPr="00014DE4">
        <w:rPr>
          <w:b/>
          <w:bCs/>
        </w:rPr>
        <w:t>as a leading donor in the Rohingya response</w:t>
      </w:r>
      <w:r w:rsidR="00014DE4" w:rsidRPr="00C065B7">
        <w:t>.</w:t>
      </w:r>
      <w:r w:rsidR="00014DE4">
        <w:rPr>
          <w:rStyle w:val="FootnoteReference"/>
        </w:rPr>
        <w:footnoteReference w:id="131"/>
      </w:r>
      <w:r w:rsidR="00014DE4">
        <w:t xml:space="preserve"> This provides Australia with more influence when advocating with government on behalf of affected people.</w:t>
      </w:r>
      <w:r w:rsidR="00014DE4">
        <w:rPr>
          <w:rStyle w:val="FootnoteReference"/>
        </w:rPr>
        <w:footnoteReference w:id="132"/>
      </w:r>
      <w:r w:rsidR="007269FF">
        <w:t xml:space="preserve"> Australia is seen as a leader </w:t>
      </w:r>
      <w:r w:rsidR="58259CA9">
        <w:t xml:space="preserve">in advocating for </w:t>
      </w:r>
      <w:r w:rsidR="007269FF">
        <w:t>the rights of people with disabilities.</w:t>
      </w:r>
      <w:r w:rsidR="007269FF">
        <w:rPr>
          <w:rStyle w:val="FootnoteReference"/>
        </w:rPr>
        <w:footnoteReference w:id="133"/>
      </w:r>
    </w:p>
    <w:p w14:paraId="40ACC38B" w14:textId="77777777" w:rsidR="00113192" w:rsidRPr="005232CE" w:rsidRDefault="00113192" w:rsidP="005232CE">
      <w:pPr>
        <w:spacing w:after="0"/>
        <w:rPr>
          <w:b/>
          <w:bCs/>
        </w:rPr>
      </w:pPr>
    </w:p>
    <w:p w14:paraId="65F27923" w14:textId="2C51913C" w:rsidR="002F2BD7" w:rsidRPr="00F6111E" w:rsidRDefault="002F2BD7" w:rsidP="005232CE">
      <w:pPr>
        <w:pStyle w:val="ListParagraph"/>
        <w:numPr>
          <w:ilvl w:val="0"/>
          <w:numId w:val="63"/>
        </w:numPr>
        <w:spacing w:after="0"/>
        <w:ind w:left="360"/>
      </w:pPr>
      <w:r w:rsidRPr="00D84D1A">
        <w:rPr>
          <w:b/>
          <w:bCs/>
        </w:rPr>
        <w:t xml:space="preserve">Avoids transaction costs in fragmented grants. </w:t>
      </w:r>
      <w:r w:rsidRPr="004E465E">
        <w:t>“Australia’s contract is much more sustainable and avoids the transaction costs involved in fragmented grants.”</w:t>
      </w:r>
      <w:r w:rsidRPr="00F6111E">
        <w:rPr>
          <w:vertAlign w:val="superscript"/>
        </w:rPr>
        <w:footnoteReference w:id="134"/>
      </w:r>
      <w:r w:rsidRPr="00D84D1A">
        <w:rPr>
          <w:vertAlign w:val="superscript"/>
        </w:rPr>
        <w:t xml:space="preserve"> </w:t>
      </w:r>
    </w:p>
    <w:p w14:paraId="03F779AA" w14:textId="77777777" w:rsidR="00C87993" w:rsidRDefault="00C87993" w:rsidP="0001142D">
      <w:pPr>
        <w:pStyle w:val="ListParagraph"/>
        <w:ind w:left="0"/>
        <w:rPr>
          <w:b/>
          <w:bCs/>
        </w:rPr>
      </w:pPr>
    </w:p>
    <w:p w14:paraId="14664899" w14:textId="663E1DF5" w:rsidR="00B61D2B" w:rsidRDefault="00225D54" w:rsidP="0001142D">
      <w:pPr>
        <w:pStyle w:val="ListParagraph"/>
        <w:numPr>
          <w:ilvl w:val="0"/>
          <w:numId w:val="63"/>
        </w:numPr>
        <w:ind w:left="360"/>
      </w:pPr>
      <w:r w:rsidRPr="00D84D1A">
        <w:rPr>
          <w:b/>
          <w:bCs/>
        </w:rPr>
        <w:t xml:space="preserve">Additional reporting supports </w:t>
      </w:r>
      <w:r w:rsidR="002F2BD7" w:rsidRPr="00D84D1A">
        <w:rPr>
          <w:b/>
          <w:bCs/>
        </w:rPr>
        <w:t xml:space="preserve">DFAT’s </w:t>
      </w:r>
      <w:r w:rsidRPr="00D84D1A">
        <w:rPr>
          <w:b/>
          <w:bCs/>
        </w:rPr>
        <w:t xml:space="preserve">quality assurance processes. </w:t>
      </w:r>
      <w:r>
        <w:t xml:space="preserve">Both </w:t>
      </w:r>
      <w:r w:rsidR="001460EC">
        <w:t>UNHCR and WFP submit 8+3 reporting by</w:t>
      </w:r>
      <w:r w:rsidR="00D35532">
        <w:t xml:space="preserve"> 31 March</w:t>
      </w:r>
      <w:r w:rsidR="00907AAA">
        <w:t xml:space="preserve"> </w:t>
      </w:r>
      <w:r w:rsidR="00CD14A9">
        <w:t xml:space="preserve">annually, </w:t>
      </w:r>
      <w:r w:rsidR="001460EC">
        <w:t>which</w:t>
      </w:r>
      <w:r w:rsidR="00907AAA">
        <w:t xml:space="preserve"> DFAT</w:t>
      </w:r>
      <w:r w:rsidR="00CD14A9">
        <w:t xml:space="preserve"> then</w:t>
      </w:r>
      <w:r w:rsidR="00907AAA">
        <w:t xml:space="preserve"> </w:t>
      </w:r>
      <w:r w:rsidR="001460EC">
        <w:t xml:space="preserve">uses as its </w:t>
      </w:r>
      <w:r w:rsidR="00907AAA">
        <w:t>evidence base to complete internal quality assurance processes including PPAs</w:t>
      </w:r>
      <w:r w:rsidR="00CD14A9">
        <w:t xml:space="preserve"> and </w:t>
      </w:r>
      <w:r w:rsidR="00907AAA">
        <w:t xml:space="preserve">HIMRs. </w:t>
      </w:r>
      <w:r w:rsidR="00B61D2B">
        <w:t xml:space="preserve">The EOL is </w:t>
      </w:r>
      <w:r w:rsidR="002F2BD7">
        <w:t>useful to</w:t>
      </w:r>
      <w:r w:rsidR="00B61D2B">
        <w:t xml:space="preserve"> DFAT to have the leverage to</w:t>
      </w:r>
      <w:r w:rsidR="000A16D9">
        <w:t xml:space="preserve"> specify</w:t>
      </w:r>
      <w:r w:rsidR="00B61D2B">
        <w:t xml:space="preserve"> </w:t>
      </w:r>
      <w:r w:rsidR="00102450">
        <w:t xml:space="preserve">and work with partners </w:t>
      </w:r>
      <w:r w:rsidR="00A5459E">
        <w:t xml:space="preserve">on </w:t>
      </w:r>
      <w:r w:rsidR="00B61D2B">
        <w:t>reporting. This wasn’t possible in the previous phase of the EOL which didn’t have the same requirements for performance and reporting.</w:t>
      </w:r>
    </w:p>
    <w:p w14:paraId="137B5738" w14:textId="77777777" w:rsidR="005E0A4F" w:rsidRDefault="005E0A4F" w:rsidP="0001142D">
      <w:pPr>
        <w:pStyle w:val="ListParagraph"/>
        <w:ind w:left="360"/>
      </w:pPr>
    </w:p>
    <w:p w14:paraId="3E62C7D1" w14:textId="3C2010FA" w:rsidR="00741EEF" w:rsidRDefault="00B87E13" w:rsidP="0001142D">
      <w:pPr>
        <w:pStyle w:val="ListParagraph"/>
        <w:numPr>
          <w:ilvl w:val="0"/>
          <w:numId w:val="63"/>
        </w:numPr>
        <w:ind w:left="360"/>
      </w:pPr>
      <w:r w:rsidRPr="00D84D1A">
        <w:rPr>
          <w:b/>
          <w:bCs/>
        </w:rPr>
        <w:t xml:space="preserve">Performance of partners is improving. </w:t>
      </w:r>
      <w:r w:rsidR="005E0A4F" w:rsidRPr="00B87E13">
        <w:t>DFAT report</w:t>
      </w:r>
      <w:r w:rsidR="00741EEF" w:rsidRPr="00B87E13">
        <w:t>s</w:t>
      </w:r>
      <w:r w:rsidR="005E0A4F" w:rsidRPr="00B87E13">
        <w:t xml:space="preserve"> that the HIMR assesses performance on gender and disability is improving year on year</w:t>
      </w:r>
      <w:r w:rsidR="00BB532F">
        <w:t>, though notes data disaggregation is still to</w:t>
      </w:r>
      <w:r w:rsidR="001C3949">
        <w:t xml:space="preserve"> be improved</w:t>
      </w:r>
      <w:r w:rsidR="005E0A4F" w:rsidRPr="00B87E13">
        <w:t>.</w:t>
      </w:r>
      <w:r w:rsidR="005E0A4F" w:rsidRPr="00D84D1A">
        <w:rPr>
          <w:b/>
          <w:bCs/>
        </w:rPr>
        <w:t xml:space="preserve"> </w:t>
      </w:r>
      <w:r w:rsidR="00741EEF" w:rsidRPr="00B87E13">
        <w:t xml:space="preserve">DFAT’s focus on risk through the EOL </w:t>
      </w:r>
      <w:proofErr w:type="gramStart"/>
      <w:r w:rsidR="00741EEF" w:rsidRPr="00B87E13">
        <w:t>and also</w:t>
      </w:r>
      <w:proofErr w:type="gramEnd"/>
      <w:r w:rsidR="00741EEF" w:rsidRPr="00B87E13">
        <w:t xml:space="preserve"> in partnership engagements has, with other donors, helped WFP to employ a full</w:t>
      </w:r>
      <w:r w:rsidR="0F35FED5" w:rsidRPr="00B87E13">
        <w:t>-</w:t>
      </w:r>
      <w:r w:rsidR="00741EEF" w:rsidRPr="00B87E13">
        <w:t>time risk management officer and a full</w:t>
      </w:r>
      <w:r w:rsidR="6BA8DF4D" w:rsidRPr="00B87E13">
        <w:t>-</w:t>
      </w:r>
      <w:r w:rsidR="00741EEF" w:rsidRPr="00B87E13">
        <w:t>time gender protection officer</w:t>
      </w:r>
      <w:r w:rsidR="004D3C69">
        <w:t xml:space="preserve"> in country</w:t>
      </w:r>
      <w:r w:rsidR="00741EEF" w:rsidRPr="00B87E13">
        <w:t>.</w:t>
      </w:r>
      <w:r w:rsidR="00741EEF" w:rsidRPr="00B87E13">
        <w:rPr>
          <w:rStyle w:val="FootnoteReference"/>
        </w:rPr>
        <w:footnoteReference w:id="135"/>
      </w:r>
    </w:p>
    <w:p w14:paraId="6A775900" w14:textId="7A2F6DE6" w:rsidR="001A778C" w:rsidRPr="00C332DD" w:rsidRDefault="00056C63" w:rsidP="0099208A">
      <w:pPr>
        <w:pStyle w:val="Heading3"/>
        <w:rPr>
          <w:color w:val="auto"/>
        </w:rPr>
      </w:pPr>
      <w:bookmarkStart w:id="25" w:name="_Toc201437960"/>
      <w:bookmarkStart w:id="26" w:name="_Toc201438375"/>
      <w:r w:rsidRPr="00C332DD">
        <w:rPr>
          <w:color w:val="auto"/>
        </w:rPr>
        <w:t>Challenges of the SPF and EOL modality in Bangladesh</w:t>
      </w:r>
      <w:bookmarkEnd w:id="25"/>
      <w:bookmarkEnd w:id="26"/>
    </w:p>
    <w:p w14:paraId="379DA72A" w14:textId="22B1A008" w:rsidR="008D15FF" w:rsidRDefault="00DD1CD4" w:rsidP="0001142D">
      <w:pPr>
        <w:pStyle w:val="ListParagraph"/>
        <w:numPr>
          <w:ilvl w:val="0"/>
          <w:numId w:val="64"/>
        </w:numPr>
        <w:ind w:left="360"/>
      </w:pPr>
      <w:r w:rsidRPr="00E92AD9">
        <w:rPr>
          <w:b/>
          <w:bCs/>
        </w:rPr>
        <w:t>Post reports no major challenges</w:t>
      </w:r>
      <w:r w:rsidR="00D86DBF" w:rsidRPr="00E92AD9">
        <w:rPr>
          <w:b/>
          <w:bCs/>
        </w:rPr>
        <w:t>.</w:t>
      </w:r>
      <w:r w:rsidR="00D86DBF">
        <w:t xml:space="preserve"> </w:t>
      </w:r>
      <w:r w:rsidR="00883846">
        <w:t>However, t</w:t>
      </w:r>
      <w:r w:rsidR="00D86DBF">
        <w:t>hey did add the caveat that</w:t>
      </w:r>
      <w:r w:rsidR="00800957">
        <w:t xml:space="preserve"> </w:t>
      </w:r>
      <w:r w:rsidR="00225971">
        <w:t xml:space="preserve">things haven’t gone </w:t>
      </w:r>
      <w:r w:rsidR="008D15FF">
        <w:t>wrong</w:t>
      </w:r>
      <w:r w:rsidR="6A1FC146">
        <w:t>,</w:t>
      </w:r>
      <w:r w:rsidR="008D15FF">
        <w:t xml:space="preserve"> so </w:t>
      </w:r>
      <w:r w:rsidR="00225971">
        <w:t xml:space="preserve">they </w:t>
      </w:r>
      <w:r w:rsidR="008D15FF">
        <w:t>haven’t had to test the clauses in the EOL.</w:t>
      </w:r>
      <w:r w:rsidR="008D15FF">
        <w:rPr>
          <w:rStyle w:val="FootnoteReference"/>
        </w:rPr>
        <w:footnoteReference w:id="136"/>
      </w:r>
    </w:p>
    <w:p w14:paraId="149AB0E0" w14:textId="77777777" w:rsidR="00F6111E" w:rsidRDefault="00F6111E" w:rsidP="0001142D">
      <w:pPr>
        <w:pStyle w:val="ListParagraph"/>
        <w:ind w:left="0"/>
      </w:pPr>
    </w:p>
    <w:p w14:paraId="44C216D5" w14:textId="196BDB8D" w:rsidR="004E09FB" w:rsidRDefault="00E53B41" w:rsidP="0001142D">
      <w:pPr>
        <w:pStyle w:val="ListParagraph"/>
        <w:numPr>
          <w:ilvl w:val="0"/>
          <w:numId w:val="64"/>
        </w:numPr>
        <w:ind w:left="360"/>
        <w:rPr>
          <w:b/>
          <w:bCs/>
        </w:rPr>
      </w:pPr>
      <w:r w:rsidRPr="2C54FF09">
        <w:rPr>
          <w:b/>
          <w:bCs/>
        </w:rPr>
        <w:t xml:space="preserve">The EOLs do not short-cut time required to manage the </w:t>
      </w:r>
      <w:r w:rsidR="002C558F">
        <w:rPr>
          <w:b/>
          <w:bCs/>
        </w:rPr>
        <w:t>investment once the EOL is signed</w:t>
      </w:r>
      <w:r w:rsidRPr="2C54FF09">
        <w:rPr>
          <w:b/>
          <w:bCs/>
        </w:rPr>
        <w:t xml:space="preserve">. </w:t>
      </w:r>
      <w:r w:rsidR="00D85D1A">
        <w:t xml:space="preserve">See further findings below </w:t>
      </w:r>
      <w:proofErr w:type="gramStart"/>
      <w:r w:rsidR="00D85D1A">
        <w:t>that partners</w:t>
      </w:r>
      <w:proofErr w:type="gramEnd"/>
      <w:r w:rsidR="00D85D1A">
        <w:t xml:space="preserve"> highly value </w:t>
      </w:r>
      <w:r w:rsidR="007E0261">
        <w:t xml:space="preserve">Australia’s time to engage in partnership with them, and </w:t>
      </w:r>
      <w:r w:rsidR="00D85D1A">
        <w:t>Australia’s a</w:t>
      </w:r>
      <w:r w:rsidR="007E0261">
        <w:t>dvocacy for the needs of affected people.</w:t>
      </w:r>
    </w:p>
    <w:p w14:paraId="5901F639" w14:textId="77777777" w:rsidR="00E32B2E" w:rsidRPr="00E32B2E" w:rsidRDefault="00E32B2E" w:rsidP="0001142D">
      <w:pPr>
        <w:pStyle w:val="ListParagraph"/>
        <w:ind w:left="360"/>
        <w:rPr>
          <w:b/>
          <w:bCs/>
        </w:rPr>
      </w:pPr>
    </w:p>
    <w:p w14:paraId="1EA6C4A7" w14:textId="4A5C7B7C" w:rsidR="00EB4958" w:rsidRPr="00EB4958" w:rsidRDefault="00E50938" w:rsidP="0001142D">
      <w:pPr>
        <w:pStyle w:val="ListParagraph"/>
        <w:numPr>
          <w:ilvl w:val="0"/>
          <w:numId w:val="64"/>
        </w:numPr>
        <w:ind w:left="360"/>
        <w:rPr>
          <w:b/>
          <w:bCs/>
        </w:rPr>
      </w:pPr>
      <w:r>
        <w:rPr>
          <w:b/>
          <w:bCs/>
        </w:rPr>
        <w:t>Partners do not always provide the reporting requested in the EOL, Annex 1</w:t>
      </w:r>
      <w:r w:rsidR="00883846">
        <w:rPr>
          <w:b/>
          <w:bCs/>
        </w:rPr>
        <w:t>,</w:t>
      </w:r>
      <w:r>
        <w:rPr>
          <w:b/>
          <w:bCs/>
        </w:rPr>
        <w:t xml:space="preserve"> and Annex 2. </w:t>
      </w:r>
      <w:r w:rsidRPr="006D52D6">
        <w:t xml:space="preserve">While the reporting reviewed for this evaluation includes disaggregated data, DFAT reports that this is not </w:t>
      </w:r>
      <w:r w:rsidRPr="006D52D6">
        <w:lastRenderedPageBreak/>
        <w:t>always the case, and the disaggregation for people with disability</w:t>
      </w:r>
      <w:r w:rsidR="002A45FD">
        <w:t xml:space="preserve"> and gender</w:t>
      </w:r>
      <w:r w:rsidRPr="006D52D6">
        <w:t xml:space="preserve"> is often at population level rather than specific to the </w:t>
      </w:r>
      <w:r w:rsidR="006D52D6" w:rsidRPr="006D52D6">
        <w:t>group being assisted.</w:t>
      </w:r>
      <w:r w:rsidR="00EB4958">
        <w:rPr>
          <w:rStyle w:val="FootnoteReference"/>
        </w:rPr>
        <w:footnoteReference w:id="137"/>
      </w:r>
    </w:p>
    <w:p w14:paraId="4E720294" w14:textId="77777777" w:rsidR="00EB4958" w:rsidRDefault="00EB4958" w:rsidP="0001142D">
      <w:pPr>
        <w:pStyle w:val="ListParagraph"/>
        <w:ind w:left="360"/>
      </w:pPr>
    </w:p>
    <w:p w14:paraId="4D04E1EE" w14:textId="01F46986" w:rsidR="00E50938" w:rsidRPr="00A869F9" w:rsidRDefault="00EB4958" w:rsidP="0001142D">
      <w:pPr>
        <w:pStyle w:val="ListParagraph"/>
        <w:numPr>
          <w:ilvl w:val="0"/>
          <w:numId w:val="64"/>
        </w:numPr>
        <w:ind w:left="360"/>
        <w:rPr>
          <w:b/>
          <w:bCs/>
        </w:rPr>
      </w:pPr>
      <w:r w:rsidRPr="00124DDE">
        <w:rPr>
          <w:b/>
          <w:bCs/>
        </w:rPr>
        <w:t xml:space="preserve">The reporting requested by DFAT </w:t>
      </w:r>
      <w:r w:rsidR="00124DDE" w:rsidRPr="00124DDE">
        <w:rPr>
          <w:b/>
          <w:bCs/>
        </w:rPr>
        <w:t>varies across the EOL, Annex 1</w:t>
      </w:r>
      <w:r w:rsidR="00883846">
        <w:rPr>
          <w:b/>
          <w:bCs/>
        </w:rPr>
        <w:t>,</w:t>
      </w:r>
      <w:r w:rsidR="00124DDE" w:rsidRPr="00124DDE">
        <w:rPr>
          <w:b/>
          <w:bCs/>
        </w:rPr>
        <w:t xml:space="preserve"> and Annex 2, and </w:t>
      </w:r>
      <w:r w:rsidR="009D609C">
        <w:rPr>
          <w:b/>
          <w:bCs/>
        </w:rPr>
        <w:t>goes beyond</w:t>
      </w:r>
      <w:r w:rsidR="00124DDE" w:rsidRPr="00124DDE">
        <w:rPr>
          <w:b/>
          <w:bCs/>
        </w:rPr>
        <w:t xml:space="preserve"> DFAT’s </w:t>
      </w:r>
      <w:r w:rsidR="00A474E2">
        <w:rPr>
          <w:b/>
          <w:bCs/>
        </w:rPr>
        <w:t xml:space="preserve">requirements </w:t>
      </w:r>
      <w:r w:rsidR="00124DDE" w:rsidRPr="00124DDE">
        <w:rPr>
          <w:b/>
          <w:bCs/>
        </w:rPr>
        <w:t>for its internal quality assurance processes.</w:t>
      </w:r>
      <w:r w:rsidR="00124DDE">
        <w:t xml:space="preserve"> </w:t>
      </w:r>
      <w:r w:rsidR="00E50938">
        <w:t>A</w:t>
      </w:r>
      <w:r w:rsidR="00E50938" w:rsidRPr="00E50938">
        <w:t xml:space="preserve"> review of the varied reporting requirements suggest</w:t>
      </w:r>
      <w:r w:rsidR="007B6E76">
        <w:t>s</w:t>
      </w:r>
      <w:r w:rsidR="00E50938" w:rsidRPr="00E50938">
        <w:t xml:space="preserve"> DFAT may benefit from investing upfront in aligning its data requirements, and reporting requirements across SPFs, EOLs, and each EOL annex. This will make </w:t>
      </w:r>
      <w:r w:rsidR="008568F7">
        <w:t xml:space="preserve">the required data </w:t>
      </w:r>
      <w:r w:rsidR="00E50938" w:rsidRPr="00E50938">
        <w:t xml:space="preserve">clearer to </w:t>
      </w:r>
      <w:r w:rsidR="002C7DDA">
        <w:t>all stakeholders</w:t>
      </w:r>
      <w:r w:rsidR="008568F7">
        <w:t>.</w:t>
      </w:r>
      <w:r w:rsidR="00E50938" w:rsidRPr="00E50938">
        <w:t xml:space="preserve"> DFAT may wish to determine in advance which indicators are most useful</w:t>
      </w:r>
      <w:r w:rsidR="00883846">
        <w:t xml:space="preserve">, </w:t>
      </w:r>
      <w:r w:rsidR="00E50938" w:rsidRPr="00E50938">
        <w:t>feasible</w:t>
      </w:r>
      <w:r w:rsidR="00883846">
        <w:t xml:space="preserve">, and </w:t>
      </w:r>
      <w:r w:rsidR="00E50938" w:rsidRPr="00E50938">
        <w:t>efficient to report on</w:t>
      </w:r>
      <w:r w:rsidR="00681CE8">
        <w:t xml:space="preserve">. For example, it was questioned whether DFAT needs data on funding allocated </w:t>
      </w:r>
      <w:r w:rsidR="00E50938" w:rsidRPr="00E50938">
        <w:t>gender, disability</w:t>
      </w:r>
      <w:r w:rsidR="00883846">
        <w:t>,</w:t>
      </w:r>
      <w:r w:rsidR="00E50938" w:rsidRPr="00E50938">
        <w:t xml:space="preserve"> and </w:t>
      </w:r>
      <w:r w:rsidR="00681CE8">
        <w:t xml:space="preserve">capacity building for </w:t>
      </w:r>
      <w:r w:rsidR="00E50938" w:rsidRPr="00E50938">
        <w:t>localisation.</w:t>
      </w:r>
      <w:r w:rsidR="00681CE8">
        <w:rPr>
          <w:rStyle w:val="FootnoteReference"/>
        </w:rPr>
        <w:footnoteReference w:id="138"/>
      </w:r>
      <w:r w:rsidR="00E50938" w:rsidRPr="00E50938">
        <w:t xml:space="preserve"> </w:t>
      </w:r>
    </w:p>
    <w:p w14:paraId="0C24E531" w14:textId="77777777" w:rsidR="004A59C0" w:rsidRDefault="004A59C0" w:rsidP="0001142D">
      <w:pPr>
        <w:pStyle w:val="ListParagraph"/>
        <w:ind w:left="0"/>
        <w:rPr>
          <w:b/>
          <w:bCs/>
        </w:rPr>
      </w:pPr>
    </w:p>
    <w:p w14:paraId="54368277" w14:textId="60212A79" w:rsidR="007F346B" w:rsidRPr="006C0886" w:rsidRDefault="004E09FB" w:rsidP="0001142D">
      <w:pPr>
        <w:pStyle w:val="ListParagraph"/>
        <w:numPr>
          <w:ilvl w:val="0"/>
          <w:numId w:val="64"/>
        </w:numPr>
        <w:ind w:left="360"/>
        <w:rPr>
          <w:b/>
          <w:bCs/>
        </w:rPr>
      </w:pPr>
      <w:r>
        <w:rPr>
          <w:b/>
          <w:bCs/>
        </w:rPr>
        <w:t xml:space="preserve">DFAT </w:t>
      </w:r>
      <w:r w:rsidR="00C06C17">
        <w:rPr>
          <w:b/>
          <w:bCs/>
        </w:rPr>
        <w:t>has still needed</w:t>
      </w:r>
      <w:r>
        <w:rPr>
          <w:b/>
          <w:bCs/>
        </w:rPr>
        <w:t xml:space="preserve"> to invest</w:t>
      </w:r>
      <w:r w:rsidR="00C06C17">
        <w:rPr>
          <w:b/>
          <w:bCs/>
        </w:rPr>
        <w:t xml:space="preserve"> resources</w:t>
      </w:r>
      <w:r>
        <w:rPr>
          <w:b/>
          <w:bCs/>
        </w:rPr>
        <w:t xml:space="preserve"> </w:t>
      </w:r>
      <w:r w:rsidR="00C06C17">
        <w:rPr>
          <w:b/>
          <w:bCs/>
        </w:rPr>
        <w:t>to interpret</w:t>
      </w:r>
      <w:r w:rsidR="00ED2421">
        <w:rPr>
          <w:b/>
          <w:bCs/>
        </w:rPr>
        <w:t xml:space="preserve"> partner </w:t>
      </w:r>
      <w:r>
        <w:rPr>
          <w:b/>
          <w:bCs/>
        </w:rPr>
        <w:t>reporting</w:t>
      </w:r>
      <w:r w:rsidR="00C06C17">
        <w:rPr>
          <w:b/>
          <w:bCs/>
        </w:rPr>
        <w:t>, even with the additional reporting provided</w:t>
      </w:r>
      <w:r>
        <w:rPr>
          <w:b/>
          <w:bCs/>
        </w:rPr>
        <w:t xml:space="preserve">. </w:t>
      </w:r>
      <w:r w:rsidR="00E53B41" w:rsidRPr="00E53B41">
        <w:t>For example, DFAT noted they</w:t>
      </w:r>
      <w:r w:rsidR="00E53B41" w:rsidRPr="00E53B41">
        <w:rPr>
          <w:b/>
          <w:bCs/>
        </w:rPr>
        <w:t xml:space="preserve"> </w:t>
      </w:r>
      <w:r w:rsidR="00DD1CD4">
        <w:t xml:space="preserve">still </w:t>
      </w:r>
      <w:r w:rsidR="00CB6815">
        <w:t xml:space="preserve">need to </w:t>
      </w:r>
      <w:r w:rsidR="00B77821">
        <w:t xml:space="preserve">engage regularly </w:t>
      </w:r>
      <w:r w:rsidR="00AF2701">
        <w:t>to ensure</w:t>
      </w:r>
      <w:r w:rsidR="00CB6815">
        <w:t xml:space="preserve"> agency staff in</w:t>
      </w:r>
      <w:r w:rsidR="6279D125">
        <w:t>-</w:t>
      </w:r>
      <w:r w:rsidR="00CB6815">
        <w:t xml:space="preserve">country know what </w:t>
      </w:r>
      <w:r w:rsidR="00E53B41">
        <w:t xml:space="preserve">reporting </w:t>
      </w:r>
      <w:r w:rsidR="00CB6815">
        <w:t>DFAT requires and when.</w:t>
      </w:r>
      <w:r w:rsidR="00CB6815">
        <w:rPr>
          <w:rStyle w:val="FootnoteReference"/>
        </w:rPr>
        <w:footnoteReference w:id="139"/>
      </w:r>
      <w:r w:rsidR="003C6A81">
        <w:t xml:space="preserve"> DFAT also engages an external provider </w:t>
      </w:r>
      <w:r w:rsidR="0070403D">
        <w:t>to analyse reports</w:t>
      </w:r>
      <w:r w:rsidR="00C7470A">
        <w:t>, who analyse</w:t>
      </w:r>
      <w:r w:rsidR="007F11D5">
        <w:t xml:space="preserve">s </w:t>
      </w:r>
      <w:r w:rsidR="00C7470A">
        <w:t>reports by the IMR template, not by EOL requirements</w:t>
      </w:r>
      <w:r w:rsidR="0070403D">
        <w:t>.</w:t>
      </w:r>
      <w:r w:rsidR="0070403D">
        <w:rPr>
          <w:rStyle w:val="FootnoteReference"/>
        </w:rPr>
        <w:footnoteReference w:id="140"/>
      </w:r>
    </w:p>
    <w:p w14:paraId="5A9F2615" w14:textId="77777777" w:rsidR="006C0886" w:rsidRPr="006C0886" w:rsidRDefault="006C0886" w:rsidP="0001142D">
      <w:pPr>
        <w:pStyle w:val="ListParagraph"/>
        <w:ind w:left="360"/>
        <w:rPr>
          <w:b/>
          <w:bCs/>
        </w:rPr>
      </w:pPr>
    </w:p>
    <w:p w14:paraId="57CAFD21" w14:textId="46858814" w:rsidR="006C0886" w:rsidRPr="00681CE8" w:rsidRDefault="00681CE8" w:rsidP="0001142D">
      <w:pPr>
        <w:pStyle w:val="ListParagraph"/>
        <w:numPr>
          <w:ilvl w:val="0"/>
          <w:numId w:val="64"/>
        </w:numPr>
        <w:ind w:left="360"/>
        <w:rPr>
          <w:b/>
          <w:bCs/>
        </w:rPr>
      </w:pPr>
      <w:r w:rsidRPr="00681CE8">
        <w:rPr>
          <w:b/>
          <w:bCs/>
        </w:rPr>
        <w:t xml:space="preserve">Australia seems to be </w:t>
      </w:r>
      <w:r w:rsidRPr="00D066D3">
        <w:rPr>
          <w:b/>
          <w:bCs/>
        </w:rPr>
        <w:t>the only donor requesting the harmonised 8+3 reporting in Bangladesh</w:t>
      </w:r>
      <w:r w:rsidRPr="00681CE8">
        <w:rPr>
          <w:b/>
          <w:bCs/>
        </w:rPr>
        <w:t>, though some are “looking at it”.</w:t>
      </w:r>
      <w:r w:rsidRPr="00681CE8">
        <w:rPr>
          <w:b/>
          <w:bCs/>
          <w:vertAlign w:val="superscript"/>
        </w:rPr>
        <w:footnoteReference w:id="141"/>
      </w:r>
      <w:r w:rsidRPr="00681CE8">
        <w:rPr>
          <w:b/>
          <w:bCs/>
          <w:vertAlign w:val="superscript"/>
        </w:rPr>
        <w:t xml:space="preserve"> </w:t>
      </w:r>
      <w:r w:rsidRPr="00681CE8">
        <w:t>This is not a weakness of the EOL but may negate the expected benefits of using the 8+3 template</w:t>
      </w:r>
      <w:r w:rsidR="00017ED6">
        <w:t xml:space="preserve"> </w:t>
      </w:r>
      <w:r w:rsidR="00274719">
        <w:t>and</w:t>
      </w:r>
      <w:r w:rsidR="00017ED6">
        <w:t xml:space="preserve"> the commitment to harmonised reporting,</w:t>
      </w:r>
      <w:r w:rsidRPr="00681CE8">
        <w:t xml:space="preserve"> rather than a template that is more directly relevant to DFAT. </w:t>
      </w:r>
    </w:p>
    <w:p w14:paraId="2662724F" w14:textId="7B68DFA0" w:rsidR="00754A99" w:rsidRPr="00C332DD" w:rsidRDefault="00D37F6B" w:rsidP="0099208A">
      <w:pPr>
        <w:pStyle w:val="Heading3"/>
        <w:rPr>
          <w:color w:val="auto"/>
        </w:rPr>
      </w:pPr>
      <w:bookmarkStart w:id="27" w:name="_Toc201437961"/>
      <w:bookmarkStart w:id="28" w:name="_Toc201438376"/>
      <w:r w:rsidRPr="00C332DD">
        <w:rPr>
          <w:color w:val="auto"/>
        </w:rPr>
        <w:t>Further findings</w:t>
      </w:r>
      <w:bookmarkEnd w:id="27"/>
      <w:bookmarkEnd w:id="28"/>
    </w:p>
    <w:p w14:paraId="0E77E5E9" w14:textId="11ED8E6C" w:rsidR="00BD257C" w:rsidRDefault="00DF13B8" w:rsidP="0001142D">
      <w:pPr>
        <w:pStyle w:val="ListParagraph"/>
        <w:numPr>
          <w:ilvl w:val="0"/>
          <w:numId w:val="65"/>
        </w:numPr>
        <w:ind w:left="360"/>
      </w:pPr>
      <w:r w:rsidRPr="0001142D">
        <w:rPr>
          <w:b/>
          <w:bCs/>
        </w:rPr>
        <w:t>The EOL is a tool</w:t>
      </w:r>
      <w:r w:rsidR="00BD1A1A" w:rsidRPr="0001142D">
        <w:rPr>
          <w:b/>
          <w:bCs/>
        </w:rPr>
        <w:t xml:space="preserve"> that facilitates funding to partners. It is</w:t>
      </w:r>
      <w:r w:rsidRPr="0001142D">
        <w:rPr>
          <w:b/>
          <w:bCs/>
        </w:rPr>
        <w:t xml:space="preserve"> not the most important aspect of the relationship </w:t>
      </w:r>
      <w:r w:rsidR="001253A0" w:rsidRPr="0001142D">
        <w:rPr>
          <w:b/>
          <w:bCs/>
        </w:rPr>
        <w:t>or</w:t>
      </w:r>
      <w:r w:rsidRPr="0001142D">
        <w:rPr>
          <w:b/>
          <w:bCs/>
        </w:rPr>
        <w:t xml:space="preserve"> partnership management</w:t>
      </w:r>
      <w:r>
        <w:t>. UNHCR</w:t>
      </w:r>
      <w:r w:rsidR="00352AA3">
        <w:t>,</w:t>
      </w:r>
      <w:r>
        <w:t xml:space="preserve"> for example</w:t>
      </w:r>
      <w:r w:rsidR="00352AA3">
        <w:t>,</w:t>
      </w:r>
      <w:r>
        <w:t xml:space="preserve"> has highly valued its engagement with the High Commission, and Australia’s advocacy role with government officials on the protection of refugees, and with other donors for </w:t>
      </w:r>
      <w:r w:rsidR="001525B5">
        <w:t>core</w:t>
      </w:r>
      <w:r>
        <w:t xml:space="preserve"> funding. In addition to Australia’s flexibility with tranche disbursements, WFP has valued its engagement with DFAT in advance of reporting season to understand Australia’s requirements, and the feedback from DFAT each year to support year-on-year improvements. WFP also highly valued the Australia Assists </w:t>
      </w:r>
      <w:proofErr w:type="spellStart"/>
      <w:r>
        <w:t>deployees</w:t>
      </w:r>
      <w:proofErr w:type="spellEnd"/>
      <w:r>
        <w:t xml:space="preserve"> as technical support. </w:t>
      </w:r>
      <w:r w:rsidR="00BD257C">
        <w:t>Both partners noted DFAT’s skill and humanitarian expertise, and its advocacy and engagement in a coordination role for the Rohingya response.</w:t>
      </w:r>
    </w:p>
    <w:p w14:paraId="50A2C6F4" w14:textId="77777777" w:rsidR="007E0261" w:rsidRDefault="007E0261" w:rsidP="0001142D">
      <w:pPr>
        <w:pStyle w:val="ListParagraph"/>
        <w:ind w:left="0"/>
      </w:pPr>
    </w:p>
    <w:p w14:paraId="4AAB6FFF" w14:textId="65CC27FD" w:rsidR="00B71588" w:rsidRDefault="00B71588" w:rsidP="0001142D">
      <w:pPr>
        <w:pStyle w:val="ListParagraph"/>
        <w:numPr>
          <w:ilvl w:val="0"/>
          <w:numId w:val="65"/>
        </w:numPr>
        <w:ind w:left="360"/>
      </w:pPr>
      <w:r w:rsidRPr="0001142D">
        <w:rPr>
          <w:b/>
          <w:bCs/>
        </w:rPr>
        <w:t xml:space="preserve">The </w:t>
      </w:r>
      <w:r w:rsidR="0014004C" w:rsidRPr="0001142D">
        <w:rPr>
          <w:b/>
          <w:bCs/>
        </w:rPr>
        <w:t xml:space="preserve">clauses within the </w:t>
      </w:r>
      <w:r w:rsidRPr="0001142D">
        <w:rPr>
          <w:b/>
          <w:bCs/>
        </w:rPr>
        <w:t>SPFs are not as relevant at country level</w:t>
      </w:r>
      <w:r w:rsidR="00864876" w:rsidRPr="0001142D">
        <w:rPr>
          <w:b/>
          <w:bCs/>
        </w:rPr>
        <w:t xml:space="preserve"> for informing performance and reporting (though note the SPF remains an important header a</w:t>
      </w:r>
      <w:r w:rsidR="006D0C7B" w:rsidRPr="0001142D">
        <w:rPr>
          <w:b/>
          <w:bCs/>
        </w:rPr>
        <w:t>rrangement</w:t>
      </w:r>
      <w:r w:rsidR="00864876" w:rsidRPr="0001142D">
        <w:rPr>
          <w:b/>
          <w:bCs/>
        </w:rPr>
        <w:t>)</w:t>
      </w:r>
      <w:r w:rsidRPr="00A011CF">
        <w:t xml:space="preserve">. </w:t>
      </w:r>
      <w:r w:rsidR="000E12DF">
        <w:t>DFAT’s</w:t>
      </w:r>
      <w:r>
        <w:t xml:space="preserve"> Rohingya response in Bangladesh has its own design, and own outcomes, which may differ from global SPF priorities. Country</w:t>
      </w:r>
      <w:r w:rsidR="391FC028">
        <w:t>-</w:t>
      </w:r>
      <w:r>
        <w:t xml:space="preserve">level priorities supersede the list of </w:t>
      </w:r>
      <w:r w:rsidR="00A011CF">
        <w:t>shared p</w:t>
      </w:r>
      <w:r>
        <w:t xml:space="preserve">artnership </w:t>
      </w:r>
      <w:r w:rsidR="00A011CF">
        <w:t>o</w:t>
      </w:r>
      <w:r>
        <w:t xml:space="preserve">bjectives and </w:t>
      </w:r>
      <w:r w:rsidR="00A011CF">
        <w:t>d</w:t>
      </w:r>
      <w:r>
        <w:t>eliverables in the SPF.</w:t>
      </w:r>
      <w:r w:rsidRPr="00B71588">
        <w:t xml:space="preserve"> </w:t>
      </w:r>
      <w:r>
        <w:t>Partners in</w:t>
      </w:r>
      <w:r w:rsidR="6D7A5A94">
        <w:t>-</w:t>
      </w:r>
      <w:r>
        <w:t>country rely on the EOL and do</w:t>
      </w:r>
      <w:r w:rsidR="6C707891">
        <w:t xml:space="preserve"> </w:t>
      </w:r>
      <w:r w:rsidR="00864876">
        <w:t>not engage</w:t>
      </w:r>
      <w:r>
        <w:t xml:space="preserve"> in the SPFs</w:t>
      </w:r>
      <w:r w:rsidR="00A011CF">
        <w:t xml:space="preserve">. </w:t>
      </w:r>
      <w:r>
        <w:t xml:space="preserve"> </w:t>
      </w:r>
    </w:p>
    <w:p w14:paraId="639DAA84" w14:textId="2AB9584F" w:rsidR="00D77954" w:rsidRDefault="0030690A">
      <w:pPr>
        <w:spacing w:after="0" w:line="240" w:lineRule="auto"/>
      </w:pPr>
      <w:r>
        <w:br w:type="page"/>
      </w:r>
    </w:p>
    <w:p w14:paraId="2516D00B" w14:textId="77777777" w:rsidR="001311AD" w:rsidRDefault="001311AD" w:rsidP="003B550D">
      <w:pPr>
        <w:rPr>
          <w:b/>
          <w:iCs/>
          <w:color w:val="507CB9"/>
          <w:sz w:val="24"/>
          <w:szCs w:val="26"/>
        </w:rPr>
        <w:sectPr w:rsidR="001311AD" w:rsidSect="00D62F68">
          <w:footerReference w:type="default" r:id="rId21"/>
          <w:footerReference w:type="first" r:id="rId22"/>
          <w:pgSz w:w="11906" w:h="16838" w:code="9"/>
          <w:pgMar w:top="1814" w:right="1134" w:bottom="1418" w:left="1134" w:header="851" w:footer="454" w:gutter="0"/>
          <w:pgBorders w:offsetFrom="page">
            <w:top w:val="single" w:sz="48" w:space="0" w:color="1D336D" w:themeColor="background2"/>
            <w:left w:val="single" w:sz="48" w:space="0" w:color="1D336D" w:themeColor="background2"/>
            <w:bottom w:val="single" w:sz="48" w:space="0" w:color="1D336D" w:themeColor="background2"/>
            <w:right w:val="single" w:sz="48" w:space="0" w:color="1D336D" w:themeColor="background2"/>
          </w:pgBorders>
          <w:cols w:space="709"/>
          <w:titlePg/>
          <w:docGrid w:linePitch="360"/>
        </w:sectPr>
      </w:pPr>
    </w:p>
    <w:p w14:paraId="5C685744" w14:textId="496C82DD" w:rsidR="0030690A" w:rsidRPr="00CD65EA" w:rsidRDefault="00D35EE1" w:rsidP="0030690A">
      <w:pPr>
        <w:pStyle w:val="Style1"/>
      </w:pPr>
      <w:r>
        <w:lastRenderedPageBreak/>
        <w:t>Annex</w:t>
      </w:r>
      <w:r w:rsidR="0030690A" w:rsidRPr="00CD65EA">
        <w:t xml:space="preserve"> </w:t>
      </w:r>
      <w:r w:rsidR="004A52C1">
        <w:t xml:space="preserve">3 </w:t>
      </w:r>
      <w:r w:rsidR="0030690A" w:rsidRPr="00CD65EA">
        <w:t>organisations consulted</w:t>
      </w:r>
    </w:p>
    <w:p w14:paraId="36FCAD10" w14:textId="29A730B5" w:rsidR="0030690A" w:rsidRPr="008D6034" w:rsidRDefault="0030690A" w:rsidP="004C281F">
      <w:pPr>
        <w:spacing w:before="240" w:after="240" w:line="240" w:lineRule="auto"/>
        <w:rPr>
          <w:rFonts w:cstheme="minorHAnsi"/>
          <w:b/>
          <w:bCs/>
          <w:szCs w:val="20"/>
        </w:rPr>
      </w:pPr>
      <w:r w:rsidRPr="008D6034">
        <w:rPr>
          <w:rFonts w:cstheme="minorHAnsi"/>
          <w:b/>
          <w:bCs/>
          <w:szCs w:val="20"/>
        </w:rPr>
        <w:t>Key informant interviews</w:t>
      </w:r>
      <w:r w:rsidR="007C5CE0">
        <w:rPr>
          <w:rFonts w:cstheme="minorHAnsi"/>
          <w:b/>
          <w:bCs/>
          <w:szCs w:val="20"/>
        </w:rPr>
        <w:t xml:space="preserve"> and</w:t>
      </w:r>
      <w:r w:rsidR="00CB092A" w:rsidRPr="008D6034">
        <w:rPr>
          <w:rFonts w:cstheme="minorHAnsi"/>
          <w:b/>
          <w:bCs/>
          <w:szCs w:val="20"/>
        </w:rPr>
        <w:t xml:space="preserve"> written responses</w:t>
      </w:r>
      <w:r w:rsidRPr="008D6034">
        <w:rPr>
          <w:rFonts w:cstheme="minorHAnsi"/>
          <w:b/>
          <w:bCs/>
          <w:szCs w:val="20"/>
        </w:rPr>
        <w:t xml:space="preserve"> </w:t>
      </w:r>
    </w:p>
    <w:p w14:paraId="15F31C88" w14:textId="1B408487" w:rsidR="0030690A" w:rsidRDefault="00372EC0" w:rsidP="004C281F">
      <w:pPr>
        <w:spacing w:after="240" w:line="240" w:lineRule="auto"/>
        <w:rPr>
          <w:rFonts w:cstheme="minorHAnsi"/>
          <w:szCs w:val="20"/>
        </w:rPr>
      </w:pPr>
      <w:r>
        <w:rPr>
          <w:rFonts w:cstheme="minorHAnsi"/>
          <w:szCs w:val="20"/>
        </w:rPr>
        <w:t xml:space="preserve">The evaluation team </w:t>
      </w:r>
      <w:r w:rsidRPr="00D7780B">
        <w:rPr>
          <w:rFonts w:cstheme="minorHAnsi"/>
          <w:b/>
          <w:bCs/>
          <w:szCs w:val="20"/>
        </w:rPr>
        <w:t xml:space="preserve">interviewed </w:t>
      </w:r>
      <w:r w:rsidR="00815D34" w:rsidRPr="00D7780B">
        <w:rPr>
          <w:rFonts w:cstheme="minorHAnsi"/>
          <w:b/>
          <w:bCs/>
          <w:szCs w:val="20"/>
        </w:rPr>
        <w:t>a total of</w:t>
      </w:r>
      <w:r w:rsidR="00815D34">
        <w:rPr>
          <w:rFonts w:cstheme="minorHAnsi"/>
          <w:szCs w:val="20"/>
        </w:rPr>
        <w:t xml:space="preserve"> </w:t>
      </w:r>
      <w:r>
        <w:rPr>
          <w:rFonts w:cstheme="minorHAnsi"/>
          <w:b/>
          <w:bCs/>
          <w:szCs w:val="20"/>
        </w:rPr>
        <w:t>51</w:t>
      </w:r>
      <w:r w:rsidRPr="005956EC">
        <w:rPr>
          <w:rFonts w:cstheme="minorHAnsi"/>
          <w:b/>
          <w:bCs/>
          <w:szCs w:val="20"/>
        </w:rPr>
        <w:t xml:space="preserve"> people</w:t>
      </w:r>
      <w:r w:rsidR="00815D34">
        <w:rPr>
          <w:rFonts w:cstheme="minorHAnsi"/>
          <w:b/>
          <w:bCs/>
          <w:szCs w:val="20"/>
        </w:rPr>
        <w:t xml:space="preserve"> </w:t>
      </w:r>
      <w:r w:rsidRPr="00F8052A">
        <w:rPr>
          <w:rFonts w:cstheme="minorHAnsi"/>
          <w:szCs w:val="20"/>
        </w:rPr>
        <w:t>(</w:t>
      </w:r>
      <w:r>
        <w:rPr>
          <w:rFonts w:cstheme="minorHAnsi"/>
          <w:szCs w:val="20"/>
        </w:rPr>
        <w:t>34</w:t>
      </w:r>
      <w:r w:rsidRPr="00F8052A">
        <w:rPr>
          <w:rFonts w:cstheme="minorHAnsi"/>
          <w:szCs w:val="20"/>
        </w:rPr>
        <w:t xml:space="preserve"> women, 17 men; </w:t>
      </w:r>
      <w:r>
        <w:rPr>
          <w:rFonts w:cstheme="minorHAnsi"/>
          <w:szCs w:val="20"/>
        </w:rPr>
        <w:t>43</w:t>
      </w:r>
      <w:r w:rsidRPr="00F8052A">
        <w:rPr>
          <w:rFonts w:cstheme="minorHAnsi"/>
          <w:szCs w:val="20"/>
        </w:rPr>
        <w:t xml:space="preserve"> from headquarters</w:t>
      </w:r>
      <w:r w:rsidR="00815D34">
        <w:rPr>
          <w:rFonts w:cstheme="minorHAnsi"/>
          <w:szCs w:val="20"/>
        </w:rPr>
        <w:t xml:space="preserve"> / </w:t>
      </w:r>
      <w:r w:rsidRPr="00F8052A">
        <w:rPr>
          <w:rFonts w:cstheme="minorHAnsi"/>
          <w:szCs w:val="20"/>
        </w:rPr>
        <w:t>multilateral posts, 8 from country</w:t>
      </w:r>
      <w:r w:rsidR="00815D34">
        <w:rPr>
          <w:rFonts w:cstheme="minorHAnsi"/>
          <w:szCs w:val="20"/>
        </w:rPr>
        <w:t xml:space="preserve"> </w:t>
      </w:r>
      <w:r w:rsidRPr="00F8052A">
        <w:rPr>
          <w:rFonts w:cstheme="minorHAnsi"/>
          <w:szCs w:val="20"/>
        </w:rPr>
        <w:t>/</w:t>
      </w:r>
      <w:r w:rsidR="00815D34">
        <w:rPr>
          <w:rFonts w:cstheme="minorHAnsi"/>
          <w:szCs w:val="20"/>
        </w:rPr>
        <w:t xml:space="preserve"> </w:t>
      </w:r>
      <w:r w:rsidRPr="00F8052A">
        <w:rPr>
          <w:rFonts w:cstheme="minorHAnsi"/>
          <w:szCs w:val="20"/>
        </w:rPr>
        <w:t>response level)</w:t>
      </w:r>
      <w:r w:rsidR="00815D34">
        <w:rPr>
          <w:rFonts w:cstheme="minorHAnsi"/>
          <w:szCs w:val="20"/>
        </w:rPr>
        <w:t>.</w:t>
      </w:r>
    </w:p>
    <w:tbl>
      <w:tblPr>
        <w:tblStyle w:val="TableGrid"/>
        <w:tblW w:w="0" w:type="auto"/>
        <w:tblLook w:val="04A0" w:firstRow="1" w:lastRow="0" w:firstColumn="1" w:lastColumn="0" w:noHBand="0" w:noVBand="1"/>
      </w:tblPr>
      <w:tblGrid>
        <w:gridCol w:w="1346"/>
        <w:gridCol w:w="2197"/>
        <w:gridCol w:w="2197"/>
        <w:gridCol w:w="1621"/>
        <w:gridCol w:w="1621"/>
        <w:gridCol w:w="646"/>
      </w:tblGrid>
      <w:tr w:rsidR="000A5708" w:rsidRPr="007546C9" w14:paraId="37357435" w14:textId="49BE9402" w:rsidTr="004C281F">
        <w:trPr>
          <w:trHeight w:val="96"/>
        </w:trPr>
        <w:tc>
          <w:tcPr>
            <w:tcW w:w="1346" w:type="dxa"/>
          </w:tcPr>
          <w:p w14:paraId="7E4B47BA" w14:textId="45A668EA" w:rsidR="000A5708" w:rsidRPr="007546C9" w:rsidRDefault="00F71DB8" w:rsidP="00E72713">
            <w:pPr>
              <w:spacing w:after="0" w:line="276" w:lineRule="auto"/>
              <w:rPr>
                <w:rFonts w:cstheme="minorHAnsi"/>
                <w:b/>
                <w:sz w:val="18"/>
                <w:szCs w:val="18"/>
              </w:rPr>
            </w:pPr>
            <w:r w:rsidRPr="007546C9">
              <w:rPr>
                <w:rFonts w:cstheme="minorHAnsi"/>
                <w:b/>
                <w:bCs/>
                <w:sz w:val="18"/>
                <w:szCs w:val="18"/>
              </w:rPr>
              <w:t>Organisation</w:t>
            </w:r>
          </w:p>
        </w:tc>
        <w:tc>
          <w:tcPr>
            <w:tcW w:w="2197" w:type="dxa"/>
          </w:tcPr>
          <w:p w14:paraId="290B9665" w14:textId="01878B6A" w:rsidR="000A5708" w:rsidRPr="007546C9" w:rsidRDefault="000A5708" w:rsidP="00E72713">
            <w:pPr>
              <w:spacing w:after="0" w:line="276" w:lineRule="auto"/>
              <w:jc w:val="center"/>
              <w:rPr>
                <w:rFonts w:cstheme="minorHAnsi"/>
                <w:b/>
                <w:sz w:val="18"/>
                <w:szCs w:val="18"/>
              </w:rPr>
            </w:pPr>
            <w:r w:rsidRPr="007546C9">
              <w:rPr>
                <w:rFonts w:cstheme="minorHAnsi"/>
                <w:b/>
                <w:bCs/>
                <w:sz w:val="18"/>
                <w:szCs w:val="18"/>
              </w:rPr>
              <w:t>Women</w:t>
            </w:r>
            <w:r w:rsidR="00F71DB8" w:rsidRPr="007546C9">
              <w:rPr>
                <w:rFonts w:cstheme="minorHAnsi"/>
                <w:b/>
                <w:bCs/>
                <w:sz w:val="18"/>
                <w:szCs w:val="18"/>
              </w:rPr>
              <w:t xml:space="preserve"> - Headquarters/</w:t>
            </w:r>
            <w:r w:rsidR="00815D34">
              <w:rPr>
                <w:rFonts w:cstheme="minorHAnsi"/>
                <w:b/>
                <w:bCs/>
                <w:sz w:val="18"/>
                <w:szCs w:val="18"/>
              </w:rPr>
              <w:t xml:space="preserve"> </w:t>
            </w:r>
            <w:r w:rsidR="00F71DB8" w:rsidRPr="007546C9">
              <w:rPr>
                <w:rFonts w:cstheme="minorHAnsi"/>
                <w:b/>
                <w:bCs/>
                <w:sz w:val="18"/>
                <w:szCs w:val="18"/>
              </w:rPr>
              <w:t>multilateral Post</w:t>
            </w:r>
          </w:p>
        </w:tc>
        <w:tc>
          <w:tcPr>
            <w:tcW w:w="2197" w:type="dxa"/>
          </w:tcPr>
          <w:p w14:paraId="3C9562DB" w14:textId="47FC1881" w:rsidR="000A5708" w:rsidRPr="007546C9" w:rsidRDefault="000A5708" w:rsidP="00E72713">
            <w:pPr>
              <w:spacing w:after="0" w:line="276" w:lineRule="auto"/>
              <w:jc w:val="center"/>
              <w:rPr>
                <w:rFonts w:cstheme="minorHAnsi"/>
                <w:b/>
                <w:sz w:val="18"/>
                <w:szCs w:val="18"/>
              </w:rPr>
            </w:pPr>
            <w:r w:rsidRPr="007546C9">
              <w:rPr>
                <w:rFonts w:cstheme="minorHAnsi"/>
                <w:b/>
                <w:bCs/>
                <w:sz w:val="18"/>
                <w:szCs w:val="18"/>
              </w:rPr>
              <w:t>Men</w:t>
            </w:r>
            <w:r w:rsidR="00F71DB8" w:rsidRPr="007546C9">
              <w:rPr>
                <w:rFonts w:cstheme="minorHAnsi"/>
                <w:b/>
                <w:bCs/>
                <w:sz w:val="18"/>
                <w:szCs w:val="18"/>
              </w:rPr>
              <w:t xml:space="preserve"> - Headquarters/</w:t>
            </w:r>
            <w:r w:rsidR="00815D34">
              <w:rPr>
                <w:rFonts w:cstheme="minorHAnsi"/>
                <w:b/>
                <w:bCs/>
                <w:sz w:val="18"/>
                <w:szCs w:val="18"/>
              </w:rPr>
              <w:t xml:space="preserve"> </w:t>
            </w:r>
            <w:r w:rsidR="00F71DB8" w:rsidRPr="007546C9">
              <w:rPr>
                <w:rFonts w:cstheme="minorHAnsi"/>
                <w:b/>
                <w:bCs/>
                <w:sz w:val="18"/>
                <w:szCs w:val="18"/>
              </w:rPr>
              <w:t>multilateral Post</w:t>
            </w:r>
          </w:p>
        </w:tc>
        <w:tc>
          <w:tcPr>
            <w:tcW w:w="1621" w:type="dxa"/>
          </w:tcPr>
          <w:p w14:paraId="42CFD2DA" w14:textId="2D44F325" w:rsidR="000A5708" w:rsidRPr="007546C9" w:rsidRDefault="000A5708" w:rsidP="00E72713">
            <w:pPr>
              <w:spacing w:after="0" w:line="276" w:lineRule="auto"/>
              <w:jc w:val="center"/>
              <w:rPr>
                <w:rFonts w:cstheme="minorHAnsi"/>
                <w:b/>
                <w:sz w:val="18"/>
                <w:szCs w:val="18"/>
              </w:rPr>
            </w:pPr>
            <w:r w:rsidRPr="007546C9">
              <w:rPr>
                <w:rFonts w:cstheme="minorHAnsi"/>
                <w:b/>
                <w:bCs/>
                <w:sz w:val="18"/>
                <w:szCs w:val="18"/>
              </w:rPr>
              <w:t>Women</w:t>
            </w:r>
            <w:r w:rsidR="00F71DB8" w:rsidRPr="007546C9">
              <w:rPr>
                <w:rFonts w:cstheme="minorHAnsi"/>
                <w:b/>
                <w:bCs/>
                <w:sz w:val="18"/>
                <w:szCs w:val="18"/>
              </w:rPr>
              <w:t xml:space="preserve"> - Country/</w:t>
            </w:r>
            <w:r w:rsidR="00815D34">
              <w:rPr>
                <w:rFonts w:cstheme="minorHAnsi"/>
                <w:b/>
                <w:bCs/>
                <w:sz w:val="18"/>
                <w:szCs w:val="18"/>
              </w:rPr>
              <w:t xml:space="preserve"> </w:t>
            </w:r>
            <w:r w:rsidR="00F71DB8" w:rsidRPr="007546C9">
              <w:rPr>
                <w:rFonts w:cstheme="minorHAnsi"/>
                <w:b/>
                <w:bCs/>
                <w:sz w:val="18"/>
                <w:szCs w:val="18"/>
              </w:rPr>
              <w:t>response level</w:t>
            </w:r>
          </w:p>
        </w:tc>
        <w:tc>
          <w:tcPr>
            <w:tcW w:w="1621" w:type="dxa"/>
          </w:tcPr>
          <w:p w14:paraId="43BE6882" w14:textId="49308F0F" w:rsidR="000A5708" w:rsidRPr="007546C9" w:rsidRDefault="000A5708" w:rsidP="00E72713">
            <w:pPr>
              <w:spacing w:after="0" w:line="276" w:lineRule="auto"/>
              <w:jc w:val="center"/>
              <w:rPr>
                <w:rFonts w:cstheme="minorHAnsi"/>
                <w:b/>
                <w:sz w:val="18"/>
                <w:szCs w:val="18"/>
              </w:rPr>
            </w:pPr>
            <w:r w:rsidRPr="007546C9">
              <w:rPr>
                <w:rFonts w:cstheme="minorHAnsi"/>
                <w:b/>
                <w:bCs/>
                <w:sz w:val="18"/>
                <w:szCs w:val="18"/>
              </w:rPr>
              <w:t>Men</w:t>
            </w:r>
            <w:r w:rsidR="00F71DB8" w:rsidRPr="007546C9">
              <w:rPr>
                <w:rFonts w:cstheme="minorHAnsi"/>
                <w:b/>
                <w:bCs/>
                <w:sz w:val="18"/>
                <w:szCs w:val="18"/>
              </w:rPr>
              <w:t xml:space="preserve"> - Country/</w:t>
            </w:r>
            <w:r w:rsidR="00815D34">
              <w:rPr>
                <w:rFonts w:cstheme="minorHAnsi"/>
                <w:b/>
                <w:bCs/>
                <w:sz w:val="18"/>
                <w:szCs w:val="18"/>
              </w:rPr>
              <w:t xml:space="preserve"> </w:t>
            </w:r>
            <w:r w:rsidR="00F71DB8" w:rsidRPr="007546C9">
              <w:rPr>
                <w:rFonts w:cstheme="minorHAnsi"/>
                <w:b/>
                <w:bCs/>
                <w:sz w:val="18"/>
                <w:szCs w:val="18"/>
              </w:rPr>
              <w:t>response level</w:t>
            </w:r>
          </w:p>
        </w:tc>
        <w:tc>
          <w:tcPr>
            <w:tcW w:w="646" w:type="dxa"/>
          </w:tcPr>
          <w:p w14:paraId="2F40ECD1" w14:textId="3123A5B9" w:rsidR="000A5708" w:rsidRPr="007546C9" w:rsidRDefault="00F71DB8" w:rsidP="00E72713">
            <w:pPr>
              <w:spacing w:after="0" w:line="276" w:lineRule="auto"/>
              <w:jc w:val="center"/>
              <w:rPr>
                <w:rFonts w:cstheme="minorHAnsi"/>
                <w:b/>
                <w:sz w:val="18"/>
                <w:szCs w:val="18"/>
              </w:rPr>
            </w:pPr>
            <w:r w:rsidRPr="007546C9">
              <w:rPr>
                <w:rFonts w:cstheme="minorHAnsi"/>
                <w:b/>
                <w:bCs/>
                <w:sz w:val="18"/>
                <w:szCs w:val="18"/>
              </w:rPr>
              <w:t>Total</w:t>
            </w:r>
          </w:p>
        </w:tc>
      </w:tr>
      <w:tr w:rsidR="009F5483" w:rsidRPr="007546C9" w14:paraId="57A9BEDC" w14:textId="7E277E83" w:rsidTr="004C281F">
        <w:tc>
          <w:tcPr>
            <w:tcW w:w="1346" w:type="dxa"/>
          </w:tcPr>
          <w:p w14:paraId="18B7E02F" w14:textId="2906022B" w:rsidR="009F5483" w:rsidRPr="007546C9" w:rsidRDefault="009F5483" w:rsidP="00D7780B">
            <w:pPr>
              <w:spacing w:after="0" w:line="360" w:lineRule="auto"/>
              <w:rPr>
                <w:rFonts w:cstheme="minorHAnsi"/>
                <w:sz w:val="18"/>
                <w:szCs w:val="18"/>
              </w:rPr>
            </w:pPr>
            <w:r w:rsidRPr="007546C9">
              <w:rPr>
                <w:rFonts w:cstheme="minorHAnsi"/>
                <w:sz w:val="18"/>
                <w:szCs w:val="18"/>
              </w:rPr>
              <w:t>DFAT*</w:t>
            </w:r>
          </w:p>
        </w:tc>
        <w:tc>
          <w:tcPr>
            <w:tcW w:w="2197" w:type="dxa"/>
          </w:tcPr>
          <w:p w14:paraId="61203720" w14:textId="584C312A" w:rsidR="009F5483" w:rsidRPr="007546C9" w:rsidRDefault="009F5483" w:rsidP="00D7780B">
            <w:pPr>
              <w:tabs>
                <w:tab w:val="left" w:pos="611"/>
              </w:tabs>
              <w:spacing w:after="0" w:line="360" w:lineRule="auto"/>
              <w:jc w:val="center"/>
              <w:rPr>
                <w:rFonts w:cstheme="minorHAnsi"/>
                <w:sz w:val="18"/>
                <w:szCs w:val="18"/>
              </w:rPr>
            </w:pPr>
            <w:r w:rsidRPr="007546C9">
              <w:rPr>
                <w:rFonts w:cstheme="minorHAnsi"/>
                <w:sz w:val="18"/>
                <w:szCs w:val="18"/>
              </w:rPr>
              <w:t>15</w:t>
            </w:r>
          </w:p>
        </w:tc>
        <w:tc>
          <w:tcPr>
            <w:tcW w:w="2197" w:type="dxa"/>
          </w:tcPr>
          <w:p w14:paraId="2BEFAE7A" w14:textId="50D81E18" w:rsidR="009F5483" w:rsidRPr="007546C9" w:rsidRDefault="009F5483" w:rsidP="00D7780B">
            <w:pPr>
              <w:spacing w:after="0" w:line="360" w:lineRule="auto"/>
              <w:jc w:val="center"/>
              <w:rPr>
                <w:rFonts w:cstheme="minorHAnsi"/>
                <w:sz w:val="18"/>
                <w:szCs w:val="18"/>
              </w:rPr>
            </w:pPr>
            <w:r w:rsidRPr="007546C9">
              <w:rPr>
                <w:rFonts w:cstheme="minorHAnsi"/>
                <w:sz w:val="18"/>
                <w:szCs w:val="18"/>
              </w:rPr>
              <w:t>7</w:t>
            </w:r>
          </w:p>
        </w:tc>
        <w:tc>
          <w:tcPr>
            <w:tcW w:w="1621" w:type="dxa"/>
          </w:tcPr>
          <w:p w14:paraId="38E60C4E" w14:textId="461815AA" w:rsidR="009F5483" w:rsidRPr="007546C9" w:rsidRDefault="009F5483" w:rsidP="00D7780B">
            <w:pPr>
              <w:spacing w:after="0" w:line="360" w:lineRule="auto"/>
              <w:jc w:val="center"/>
              <w:rPr>
                <w:rFonts w:cstheme="minorHAnsi"/>
                <w:sz w:val="18"/>
                <w:szCs w:val="18"/>
              </w:rPr>
            </w:pPr>
            <w:r w:rsidRPr="007546C9">
              <w:rPr>
                <w:rFonts w:cstheme="minorHAnsi"/>
                <w:sz w:val="18"/>
                <w:szCs w:val="18"/>
              </w:rPr>
              <w:t>3</w:t>
            </w:r>
          </w:p>
        </w:tc>
        <w:tc>
          <w:tcPr>
            <w:tcW w:w="1621" w:type="dxa"/>
          </w:tcPr>
          <w:p w14:paraId="6703EBE6" w14:textId="2503FD84" w:rsidR="009F5483" w:rsidRPr="007546C9" w:rsidRDefault="009F5483" w:rsidP="00D7780B">
            <w:pPr>
              <w:spacing w:after="0" w:line="360" w:lineRule="auto"/>
              <w:jc w:val="center"/>
              <w:rPr>
                <w:rFonts w:cstheme="minorHAnsi"/>
                <w:sz w:val="18"/>
                <w:szCs w:val="18"/>
              </w:rPr>
            </w:pPr>
            <w:r w:rsidRPr="007546C9">
              <w:rPr>
                <w:rFonts w:cstheme="minorHAnsi"/>
                <w:sz w:val="18"/>
                <w:szCs w:val="18"/>
              </w:rPr>
              <w:t>3</w:t>
            </w:r>
          </w:p>
        </w:tc>
        <w:tc>
          <w:tcPr>
            <w:tcW w:w="646" w:type="dxa"/>
          </w:tcPr>
          <w:p w14:paraId="4C2D6325" w14:textId="2717D90F" w:rsidR="009F5483" w:rsidRPr="007546C9" w:rsidRDefault="006143DA" w:rsidP="00D7780B">
            <w:pPr>
              <w:spacing w:after="0" w:line="360" w:lineRule="auto"/>
              <w:jc w:val="center"/>
              <w:rPr>
                <w:rFonts w:cstheme="minorHAnsi"/>
                <w:b/>
                <w:sz w:val="18"/>
                <w:szCs w:val="18"/>
              </w:rPr>
            </w:pPr>
            <w:r w:rsidRPr="007546C9">
              <w:rPr>
                <w:rFonts w:cstheme="minorHAnsi"/>
                <w:b/>
                <w:sz w:val="18"/>
                <w:szCs w:val="18"/>
              </w:rPr>
              <w:t>28</w:t>
            </w:r>
          </w:p>
        </w:tc>
      </w:tr>
      <w:tr w:rsidR="009F5483" w:rsidRPr="007546C9" w14:paraId="5C626CAF" w14:textId="7E42D7E1" w:rsidTr="004C281F">
        <w:tc>
          <w:tcPr>
            <w:tcW w:w="1346" w:type="dxa"/>
          </w:tcPr>
          <w:p w14:paraId="7A66F427" w14:textId="725C992B" w:rsidR="009F5483" w:rsidRPr="007546C9" w:rsidRDefault="009F5483" w:rsidP="00D7780B">
            <w:pPr>
              <w:spacing w:after="0" w:line="360" w:lineRule="auto"/>
              <w:rPr>
                <w:rFonts w:cstheme="minorHAnsi"/>
                <w:sz w:val="18"/>
                <w:szCs w:val="18"/>
              </w:rPr>
            </w:pPr>
            <w:r w:rsidRPr="007546C9">
              <w:rPr>
                <w:rFonts w:cstheme="minorHAnsi"/>
                <w:sz w:val="18"/>
                <w:szCs w:val="18"/>
              </w:rPr>
              <w:t>Home Affairs</w:t>
            </w:r>
          </w:p>
        </w:tc>
        <w:tc>
          <w:tcPr>
            <w:tcW w:w="2197" w:type="dxa"/>
          </w:tcPr>
          <w:p w14:paraId="5AB169F0" w14:textId="36620532" w:rsidR="009F5483" w:rsidRPr="007546C9" w:rsidRDefault="009F5483" w:rsidP="00D7780B">
            <w:pPr>
              <w:spacing w:after="0" w:line="360" w:lineRule="auto"/>
              <w:jc w:val="center"/>
              <w:rPr>
                <w:rFonts w:cstheme="minorHAnsi"/>
                <w:sz w:val="18"/>
                <w:szCs w:val="18"/>
              </w:rPr>
            </w:pPr>
            <w:r w:rsidRPr="007546C9">
              <w:rPr>
                <w:rFonts w:cstheme="minorHAnsi"/>
                <w:sz w:val="18"/>
                <w:szCs w:val="18"/>
              </w:rPr>
              <w:t>3</w:t>
            </w:r>
          </w:p>
        </w:tc>
        <w:tc>
          <w:tcPr>
            <w:tcW w:w="2197" w:type="dxa"/>
          </w:tcPr>
          <w:p w14:paraId="6339FA12" w14:textId="4E25ADA4" w:rsidR="009F5483" w:rsidRPr="007546C9" w:rsidRDefault="009F5483" w:rsidP="00D7780B">
            <w:pPr>
              <w:spacing w:after="0" w:line="360" w:lineRule="auto"/>
              <w:jc w:val="center"/>
              <w:rPr>
                <w:rFonts w:cstheme="minorHAnsi"/>
                <w:sz w:val="18"/>
                <w:szCs w:val="18"/>
              </w:rPr>
            </w:pPr>
            <w:r w:rsidRPr="007546C9">
              <w:rPr>
                <w:rFonts w:cstheme="minorHAnsi"/>
                <w:sz w:val="18"/>
                <w:szCs w:val="18"/>
              </w:rPr>
              <w:t>1</w:t>
            </w:r>
          </w:p>
        </w:tc>
        <w:tc>
          <w:tcPr>
            <w:tcW w:w="1621" w:type="dxa"/>
          </w:tcPr>
          <w:p w14:paraId="423B753B" w14:textId="67A70C5E" w:rsidR="009F5483" w:rsidRPr="007546C9" w:rsidRDefault="006D3553" w:rsidP="00D7780B">
            <w:pPr>
              <w:spacing w:after="0" w:line="360" w:lineRule="auto"/>
              <w:jc w:val="center"/>
              <w:rPr>
                <w:rFonts w:cstheme="minorHAnsi"/>
                <w:sz w:val="18"/>
                <w:szCs w:val="18"/>
              </w:rPr>
            </w:pPr>
            <w:r>
              <w:rPr>
                <w:rFonts w:cstheme="minorHAnsi"/>
                <w:sz w:val="18"/>
                <w:szCs w:val="18"/>
              </w:rPr>
              <w:t>0</w:t>
            </w:r>
          </w:p>
        </w:tc>
        <w:tc>
          <w:tcPr>
            <w:tcW w:w="1621" w:type="dxa"/>
          </w:tcPr>
          <w:p w14:paraId="7E0D3976" w14:textId="0E9255E2" w:rsidR="009F5483" w:rsidRPr="007546C9" w:rsidRDefault="006D3553" w:rsidP="00D7780B">
            <w:pPr>
              <w:spacing w:after="0" w:line="360" w:lineRule="auto"/>
              <w:jc w:val="center"/>
              <w:rPr>
                <w:rFonts w:cstheme="minorHAnsi"/>
                <w:sz w:val="18"/>
                <w:szCs w:val="18"/>
              </w:rPr>
            </w:pPr>
            <w:r>
              <w:rPr>
                <w:rFonts w:cstheme="minorHAnsi"/>
                <w:sz w:val="18"/>
                <w:szCs w:val="18"/>
              </w:rPr>
              <w:t>0</w:t>
            </w:r>
          </w:p>
        </w:tc>
        <w:tc>
          <w:tcPr>
            <w:tcW w:w="646" w:type="dxa"/>
          </w:tcPr>
          <w:p w14:paraId="6560DFC0" w14:textId="7644D909" w:rsidR="009F5483" w:rsidRPr="007546C9" w:rsidRDefault="006143DA" w:rsidP="00D7780B">
            <w:pPr>
              <w:spacing w:after="0" w:line="360" w:lineRule="auto"/>
              <w:jc w:val="center"/>
              <w:rPr>
                <w:rFonts w:cstheme="minorHAnsi"/>
                <w:b/>
                <w:sz w:val="18"/>
                <w:szCs w:val="18"/>
              </w:rPr>
            </w:pPr>
            <w:r w:rsidRPr="007546C9">
              <w:rPr>
                <w:rFonts w:cstheme="minorHAnsi"/>
                <w:b/>
                <w:sz w:val="18"/>
                <w:szCs w:val="18"/>
              </w:rPr>
              <w:t>4</w:t>
            </w:r>
          </w:p>
        </w:tc>
      </w:tr>
      <w:tr w:rsidR="009F5483" w:rsidRPr="007546C9" w14:paraId="061060CB" w14:textId="2F0708C3" w:rsidTr="004C281F">
        <w:tc>
          <w:tcPr>
            <w:tcW w:w="1346" w:type="dxa"/>
          </w:tcPr>
          <w:p w14:paraId="260BEBD8" w14:textId="5D06EC7A" w:rsidR="009F5483" w:rsidRPr="007546C9" w:rsidRDefault="009F5483" w:rsidP="00D7780B">
            <w:pPr>
              <w:spacing w:after="0" w:line="360" w:lineRule="auto"/>
              <w:rPr>
                <w:rFonts w:cstheme="minorHAnsi"/>
                <w:sz w:val="18"/>
                <w:szCs w:val="18"/>
              </w:rPr>
            </w:pPr>
            <w:r w:rsidRPr="007546C9">
              <w:rPr>
                <w:rFonts w:cstheme="minorHAnsi"/>
                <w:sz w:val="18"/>
                <w:szCs w:val="18"/>
              </w:rPr>
              <w:t>WFP</w:t>
            </w:r>
          </w:p>
        </w:tc>
        <w:tc>
          <w:tcPr>
            <w:tcW w:w="2197" w:type="dxa"/>
          </w:tcPr>
          <w:p w14:paraId="326382DA" w14:textId="08F2EF3B" w:rsidR="009F5483" w:rsidRPr="007546C9" w:rsidRDefault="009F5483" w:rsidP="00D7780B">
            <w:pPr>
              <w:spacing w:after="0" w:line="360" w:lineRule="auto"/>
              <w:jc w:val="center"/>
              <w:rPr>
                <w:rFonts w:cstheme="minorHAnsi"/>
                <w:sz w:val="18"/>
                <w:szCs w:val="18"/>
              </w:rPr>
            </w:pPr>
            <w:r w:rsidRPr="007546C9">
              <w:rPr>
                <w:rFonts w:cstheme="minorHAnsi"/>
                <w:sz w:val="18"/>
                <w:szCs w:val="18"/>
              </w:rPr>
              <w:t>1</w:t>
            </w:r>
          </w:p>
        </w:tc>
        <w:tc>
          <w:tcPr>
            <w:tcW w:w="2197" w:type="dxa"/>
          </w:tcPr>
          <w:p w14:paraId="2E9FC6AE" w14:textId="1EF56983" w:rsidR="009F5483" w:rsidRPr="007546C9" w:rsidRDefault="006D3553" w:rsidP="00D7780B">
            <w:pPr>
              <w:spacing w:after="0" w:line="360" w:lineRule="auto"/>
              <w:jc w:val="center"/>
              <w:rPr>
                <w:rFonts w:cstheme="minorHAnsi"/>
                <w:sz w:val="18"/>
                <w:szCs w:val="18"/>
              </w:rPr>
            </w:pPr>
            <w:r>
              <w:rPr>
                <w:rFonts w:cstheme="minorHAnsi"/>
                <w:sz w:val="18"/>
                <w:szCs w:val="18"/>
              </w:rPr>
              <w:t>0</w:t>
            </w:r>
          </w:p>
        </w:tc>
        <w:tc>
          <w:tcPr>
            <w:tcW w:w="1621" w:type="dxa"/>
          </w:tcPr>
          <w:p w14:paraId="1DB41B38" w14:textId="560C7430" w:rsidR="009F5483" w:rsidRPr="007546C9" w:rsidRDefault="009F5483" w:rsidP="00D7780B">
            <w:pPr>
              <w:spacing w:after="0" w:line="360" w:lineRule="auto"/>
              <w:jc w:val="center"/>
              <w:rPr>
                <w:rFonts w:cstheme="minorHAnsi"/>
                <w:sz w:val="18"/>
                <w:szCs w:val="18"/>
              </w:rPr>
            </w:pPr>
            <w:r w:rsidRPr="007546C9">
              <w:rPr>
                <w:rFonts w:cstheme="minorHAnsi"/>
                <w:sz w:val="18"/>
                <w:szCs w:val="18"/>
              </w:rPr>
              <w:t>1</w:t>
            </w:r>
          </w:p>
        </w:tc>
        <w:tc>
          <w:tcPr>
            <w:tcW w:w="1621" w:type="dxa"/>
          </w:tcPr>
          <w:p w14:paraId="4561B604" w14:textId="47DD9916" w:rsidR="009F5483" w:rsidRPr="007546C9" w:rsidRDefault="006D3553" w:rsidP="00D7780B">
            <w:pPr>
              <w:spacing w:after="0" w:line="360" w:lineRule="auto"/>
              <w:jc w:val="center"/>
              <w:rPr>
                <w:rFonts w:cstheme="minorHAnsi"/>
                <w:sz w:val="18"/>
                <w:szCs w:val="18"/>
              </w:rPr>
            </w:pPr>
            <w:r>
              <w:rPr>
                <w:rFonts w:cstheme="minorHAnsi"/>
                <w:sz w:val="18"/>
                <w:szCs w:val="18"/>
              </w:rPr>
              <w:t>0</w:t>
            </w:r>
          </w:p>
        </w:tc>
        <w:tc>
          <w:tcPr>
            <w:tcW w:w="646" w:type="dxa"/>
          </w:tcPr>
          <w:p w14:paraId="3BE7F8F5" w14:textId="58964A57" w:rsidR="009F5483" w:rsidRPr="007546C9" w:rsidRDefault="006143DA" w:rsidP="00D7780B">
            <w:pPr>
              <w:spacing w:after="0" w:line="360" w:lineRule="auto"/>
              <w:jc w:val="center"/>
              <w:rPr>
                <w:rFonts w:cstheme="minorHAnsi"/>
                <w:b/>
                <w:sz w:val="18"/>
                <w:szCs w:val="18"/>
              </w:rPr>
            </w:pPr>
            <w:r w:rsidRPr="007546C9">
              <w:rPr>
                <w:rFonts w:cstheme="minorHAnsi"/>
                <w:b/>
                <w:sz w:val="18"/>
                <w:szCs w:val="18"/>
              </w:rPr>
              <w:t>2</w:t>
            </w:r>
          </w:p>
        </w:tc>
      </w:tr>
      <w:tr w:rsidR="009F5483" w:rsidRPr="007546C9" w14:paraId="56BD864D" w14:textId="371BDC56" w:rsidTr="004C281F">
        <w:tc>
          <w:tcPr>
            <w:tcW w:w="1346" w:type="dxa"/>
          </w:tcPr>
          <w:p w14:paraId="3D5DF375" w14:textId="2CDEDF55" w:rsidR="009F5483" w:rsidRPr="007546C9" w:rsidRDefault="009F5483" w:rsidP="00D7780B">
            <w:pPr>
              <w:spacing w:after="0" w:line="360" w:lineRule="auto"/>
              <w:rPr>
                <w:rFonts w:cstheme="minorHAnsi"/>
                <w:sz w:val="18"/>
                <w:szCs w:val="18"/>
              </w:rPr>
            </w:pPr>
            <w:r w:rsidRPr="007546C9">
              <w:rPr>
                <w:rFonts w:cstheme="minorHAnsi"/>
                <w:sz w:val="18"/>
                <w:szCs w:val="18"/>
              </w:rPr>
              <w:t>UNHCR</w:t>
            </w:r>
          </w:p>
        </w:tc>
        <w:tc>
          <w:tcPr>
            <w:tcW w:w="2197" w:type="dxa"/>
          </w:tcPr>
          <w:p w14:paraId="5851B3AF" w14:textId="160EEEB6" w:rsidR="009F5483" w:rsidRPr="007546C9" w:rsidRDefault="009F5483" w:rsidP="00D7780B">
            <w:pPr>
              <w:spacing w:after="0" w:line="360" w:lineRule="auto"/>
              <w:jc w:val="center"/>
              <w:rPr>
                <w:rFonts w:cstheme="minorHAnsi"/>
                <w:sz w:val="18"/>
                <w:szCs w:val="18"/>
              </w:rPr>
            </w:pPr>
            <w:r w:rsidRPr="007546C9">
              <w:rPr>
                <w:rFonts w:cstheme="minorHAnsi"/>
                <w:sz w:val="18"/>
                <w:szCs w:val="18"/>
              </w:rPr>
              <w:t>1</w:t>
            </w:r>
          </w:p>
        </w:tc>
        <w:tc>
          <w:tcPr>
            <w:tcW w:w="2197" w:type="dxa"/>
          </w:tcPr>
          <w:p w14:paraId="516714CB" w14:textId="69AE395D" w:rsidR="009F5483" w:rsidRPr="007546C9" w:rsidRDefault="009F5483" w:rsidP="00D7780B">
            <w:pPr>
              <w:spacing w:after="0" w:line="360" w:lineRule="auto"/>
              <w:jc w:val="center"/>
              <w:rPr>
                <w:rFonts w:cstheme="minorHAnsi"/>
                <w:sz w:val="18"/>
                <w:szCs w:val="18"/>
              </w:rPr>
            </w:pPr>
            <w:r w:rsidRPr="007546C9">
              <w:rPr>
                <w:rFonts w:cstheme="minorHAnsi"/>
                <w:sz w:val="18"/>
                <w:szCs w:val="18"/>
              </w:rPr>
              <w:t>1</w:t>
            </w:r>
          </w:p>
        </w:tc>
        <w:tc>
          <w:tcPr>
            <w:tcW w:w="1621" w:type="dxa"/>
          </w:tcPr>
          <w:p w14:paraId="4BF5FB1F" w14:textId="62F749D7" w:rsidR="009F5483" w:rsidRPr="007546C9" w:rsidRDefault="009F5483" w:rsidP="00D7780B">
            <w:pPr>
              <w:spacing w:after="0" w:line="360" w:lineRule="auto"/>
              <w:jc w:val="center"/>
              <w:rPr>
                <w:rFonts w:cstheme="minorHAnsi"/>
                <w:sz w:val="18"/>
                <w:szCs w:val="18"/>
              </w:rPr>
            </w:pPr>
            <w:r w:rsidRPr="007546C9">
              <w:rPr>
                <w:rFonts w:cstheme="minorHAnsi"/>
                <w:sz w:val="18"/>
                <w:szCs w:val="18"/>
              </w:rPr>
              <w:t>1</w:t>
            </w:r>
          </w:p>
        </w:tc>
        <w:tc>
          <w:tcPr>
            <w:tcW w:w="1621" w:type="dxa"/>
          </w:tcPr>
          <w:p w14:paraId="77CA4F64" w14:textId="1B46BA4F" w:rsidR="009F5483" w:rsidRPr="007546C9" w:rsidRDefault="006D3553" w:rsidP="00D7780B">
            <w:pPr>
              <w:spacing w:after="0" w:line="360" w:lineRule="auto"/>
              <w:jc w:val="center"/>
              <w:rPr>
                <w:rFonts w:cstheme="minorHAnsi"/>
                <w:sz w:val="18"/>
                <w:szCs w:val="18"/>
              </w:rPr>
            </w:pPr>
            <w:r>
              <w:rPr>
                <w:rFonts w:cstheme="minorHAnsi"/>
                <w:sz w:val="18"/>
                <w:szCs w:val="18"/>
              </w:rPr>
              <w:t>0</w:t>
            </w:r>
          </w:p>
        </w:tc>
        <w:tc>
          <w:tcPr>
            <w:tcW w:w="646" w:type="dxa"/>
          </w:tcPr>
          <w:p w14:paraId="42E09F44" w14:textId="53AD6241" w:rsidR="009F5483" w:rsidRPr="007546C9" w:rsidRDefault="006143DA" w:rsidP="00D7780B">
            <w:pPr>
              <w:spacing w:after="0" w:line="360" w:lineRule="auto"/>
              <w:jc w:val="center"/>
              <w:rPr>
                <w:rFonts w:cstheme="minorHAnsi"/>
                <w:b/>
                <w:sz w:val="18"/>
                <w:szCs w:val="18"/>
              </w:rPr>
            </w:pPr>
            <w:r w:rsidRPr="007546C9">
              <w:rPr>
                <w:rFonts w:cstheme="minorHAnsi"/>
                <w:b/>
                <w:sz w:val="18"/>
                <w:szCs w:val="18"/>
              </w:rPr>
              <w:t>3</w:t>
            </w:r>
          </w:p>
        </w:tc>
      </w:tr>
      <w:tr w:rsidR="009F5483" w:rsidRPr="007546C9" w14:paraId="1736139C" w14:textId="50EAE672" w:rsidTr="004C281F">
        <w:tc>
          <w:tcPr>
            <w:tcW w:w="1346" w:type="dxa"/>
          </w:tcPr>
          <w:p w14:paraId="3FD6109D" w14:textId="21BAB0FE" w:rsidR="009F5483" w:rsidRPr="007546C9" w:rsidRDefault="009F5483" w:rsidP="00D7780B">
            <w:pPr>
              <w:spacing w:after="0" w:line="360" w:lineRule="auto"/>
              <w:rPr>
                <w:rFonts w:cstheme="minorHAnsi"/>
                <w:sz w:val="18"/>
                <w:szCs w:val="18"/>
              </w:rPr>
            </w:pPr>
            <w:r w:rsidRPr="007546C9">
              <w:rPr>
                <w:rFonts w:cstheme="minorHAnsi"/>
                <w:sz w:val="18"/>
                <w:szCs w:val="18"/>
              </w:rPr>
              <w:t>OCHA/CERF</w:t>
            </w:r>
          </w:p>
        </w:tc>
        <w:tc>
          <w:tcPr>
            <w:tcW w:w="2197" w:type="dxa"/>
          </w:tcPr>
          <w:p w14:paraId="12482C4F" w14:textId="09875737" w:rsidR="009F5483" w:rsidRPr="007546C9" w:rsidRDefault="009F5483" w:rsidP="00D7780B">
            <w:pPr>
              <w:spacing w:after="0" w:line="360" w:lineRule="auto"/>
              <w:jc w:val="center"/>
              <w:rPr>
                <w:rFonts w:cstheme="minorHAnsi"/>
                <w:sz w:val="18"/>
                <w:szCs w:val="18"/>
              </w:rPr>
            </w:pPr>
            <w:r w:rsidRPr="007546C9">
              <w:rPr>
                <w:rFonts w:cstheme="minorHAnsi"/>
                <w:sz w:val="18"/>
                <w:szCs w:val="18"/>
              </w:rPr>
              <w:t>3</w:t>
            </w:r>
          </w:p>
        </w:tc>
        <w:tc>
          <w:tcPr>
            <w:tcW w:w="2197" w:type="dxa"/>
          </w:tcPr>
          <w:p w14:paraId="75D87AEF" w14:textId="2829A1D0" w:rsidR="009F5483" w:rsidRPr="007546C9" w:rsidRDefault="009F5483" w:rsidP="00D7780B">
            <w:pPr>
              <w:spacing w:after="0" w:line="360" w:lineRule="auto"/>
              <w:jc w:val="center"/>
              <w:rPr>
                <w:rFonts w:cstheme="minorHAnsi"/>
                <w:sz w:val="18"/>
                <w:szCs w:val="18"/>
              </w:rPr>
            </w:pPr>
            <w:r w:rsidRPr="007546C9">
              <w:rPr>
                <w:rFonts w:cstheme="minorHAnsi"/>
                <w:sz w:val="18"/>
                <w:szCs w:val="18"/>
              </w:rPr>
              <w:t>2</w:t>
            </w:r>
          </w:p>
        </w:tc>
        <w:tc>
          <w:tcPr>
            <w:tcW w:w="1621" w:type="dxa"/>
          </w:tcPr>
          <w:p w14:paraId="55C93968" w14:textId="024A99E2" w:rsidR="009F5483" w:rsidRPr="007546C9" w:rsidRDefault="006D3553" w:rsidP="00D7780B">
            <w:pPr>
              <w:spacing w:after="0" w:line="360" w:lineRule="auto"/>
              <w:jc w:val="center"/>
              <w:rPr>
                <w:rFonts w:cstheme="minorHAnsi"/>
                <w:sz w:val="18"/>
                <w:szCs w:val="18"/>
              </w:rPr>
            </w:pPr>
            <w:r>
              <w:rPr>
                <w:rFonts w:cstheme="minorHAnsi"/>
                <w:sz w:val="18"/>
                <w:szCs w:val="18"/>
              </w:rPr>
              <w:t>0</w:t>
            </w:r>
          </w:p>
        </w:tc>
        <w:tc>
          <w:tcPr>
            <w:tcW w:w="1621" w:type="dxa"/>
          </w:tcPr>
          <w:p w14:paraId="4341DB68" w14:textId="03662FF6" w:rsidR="009F5483" w:rsidRPr="007546C9" w:rsidRDefault="006D3553" w:rsidP="00D7780B">
            <w:pPr>
              <w:spacing w:after="0" w:line="360" w:lineRule="auto"/>
              <w:jc w:val="center"/>
              <w:rPr>
                <w:rFonts w:cstheme="minorHAnsi"/>
                <w:sz w:val="18"/>
                <w:szCs w:val="18"/>
              </w:rPr>
            </w:pPr>
            <w:r>
              <w:rPr>
                <w:rFonts w:cstheme="minorHAnsi"/>
                <w:sz w:val="18"/>
                <w:szCs w:val="18"/>
              </w:rPr>
              <w:t>0</w:t>
            </w:r>
          </w:p>
        </w:tc>
        <w:tc>
          <w:tcPr>
            <w:tcW w:w="646" w:type="dxa"/>
          </w:tcPr>
          <w:p w14:paraId="5E979681" w14:textId="3D9F4B4E" w:rsidR="009F5483" w:rsidRPr="007546C9" w:rsidRDefault="006143DA" w:rsidP="00D7780B">
            <w:pPr>
              <w:spacing w:after="0" w:line="360" w:lineRule="auto"/>
              <w:jc w:val="center"/>
              <w:rPr>
                <w:rFonts w:cstheme="minorHAnsi"/>
                <w:b/>
                <w:sz w:val="18"/>
                <w:szCs w:val="18"/>
              </w:rPr>
            </w:pPr>
            <w:r w:rsidRPr="007546C9">
              <w:rPr>
                <w:rFonts w:cstheme="minorHAnsi"/>
                <w:b/>
                <w:sz w:val="18"/>
                <w:szCs w:val="18"/>
              </w:rPr>
              <w:t>5</w:t>
            </w:r>
          </w:p>
        </w:tc>
      </w:tr>
      <w:tr w:rsidR="009F5483" w:rsidRPr="007546C9" w14:paraId="4D1B77E1" w14:textId="29060A5B" w:rsidTr="004C281F">
        <w:tc>
          <w:tcPr>
            <w:tcW w:w="1346" w:type="dxa"/>
          </w:tcPr>
          <w:p w14:paraId="33DB4D8C" w14:textId="1475ED4B" w:rsidR="009F5483" w:rsidRPr="007546C9" w:rsidRDefault="009F5483" w:rsidP="00D7780B">
            <w:pPr>
              <w:spacing w:after="0" w:line="360" w:lineRule="auto"/>
              <w:rPr>
                <w:rFonts w:cstheme="minorHAnsi"/>
                <w:sz w:val="18"/>
                <w:szCs w:val="18"/>
              </w:rPr>
            </w:pPr>
            <w:r w:rsidRPr="007546C9">
              <w:rPr>
                <w:rFonts w:cstheme="minorHAnsi"/>
                <w:sz w:val="18"/>
                <w:szCs w:val="18"/>
              </w:rPr>
              <w:t>ICRC</w:t>
            </w:r>
          </w:p>
        </w:tc>
        <w:tc>
          <w:tcPr>
            <w:tcW w:w="2197" w:type="dxa"/>
          </w:tcPr>
          <w:p w14:paraId="7F3ACD52" w14:textId="0B1D1EC8" w:rsidR="009F5483" w:rsidRPr="007546C9" w:rsidRDefault="009F5483" w:rsidP="00D7780B">
            <w:pPr>
              <w:spacing w:after="0" w:line="360" w:lineRule="auto"/>
              <w:jc w:val="center"/>
              <w:rPr>
                <w:rFonts w:cstheme="minorHAnsi"/>
                <w:sz w:val="18"/>
                <w:szCs w:val="18"/>
              </w:rPr>
            </w:pPr>
            <w:r w:rsidRPr="007546C9">
              <w:rPr>
                <w:rFonts w:cstheme="minorHAnsi"/>
                <w:sz w:val="18"/>
                <w:szCs w:val="18"/>
              </w:rPr>
              <w:t>1</w:t>
            </w:r>
          </w:p>
        </w:tc>
        <w:tc>
          <w:tcPr>
            <w:tcW w:w="2197" w:type="dxa"/>
          </w:tcPr>
          <w:p w14:paraId="0DE3BE59" w14:textId="77328B89" w:rsidR="009F5483" w:rsidRPr="007546C9" w:rsidRDefault="009F5483" w:rsidP="00D7780B">
            <w:pPr>
              <w:spacing w:after="0" w:line="360" w:lineRule="auto"/>
              <w:jc w:val="center"/>
              <w:rPr>
                <w:rFonts w:cstheme="minorHAnsi"/>
                <w:sz w:val="18"/>
                <w:szCs w:val="18"/>
              </w:rPr>
            </w:pPr>
            <w:r w:rsidRPr="007546C9">
              <w:rPr>
                <w:rFonts w:cstheme="minorHAnsi"/>
                <w:sz w:val="18"/>
                <w:szCs w:val="18"/>
              </w:rPr>
              <w:t>1</w:t>
            </w:r>
          </w:p>
        </w:tc>
        <w:tc>
          <w:tcPr>
            <w:tcW w:w="1621" w:type="dxa"/>
          </w:tcPr>
          <w:p w14:paraId="750A2409" w14:textId="02FE1858" w:rsidR="009F5483" w:rsidRPr="007546C9" w:rsidRDefault="006D3553" w:rsidP="00D7780B">
            <w:pPr>
              <w:spacing w:after="0" w:line="360" w:lineRule="auto"/>
              <w:jc w:val="center"/>
              <w:rPr>
                <w:rFonts w:cstheme="minorHAnsi"/>
                <w:sz w:val="18"/>
                <w:szCs w:val="18"/>
              </w:rPr>
            </w:pPr>
            <w:r>
              <w:rPr>
                <w:rFonts w:cstheme="minorHAnsi"/>
                <w:sz w:val="18"/>
                <w:szCs w:val="18"/>
              </w:rPr>
              <w:t>0</w:t>
            </w:r>
          </w:p>
        </w:tc>
        <w:tc>
          <w:tcPr>
            <w:tcW w:w="1621" w:type="dxa"/>
          </w:tcPr>
          <w:p w14:paraId="211566F5" w14:textId="68F8A602" w:rsidR="009F5483" w:rsidRPr="007546C9" w:rsidRDefault="006D3553" w:rsidP="00D7780B">
            <w:pPr>
              <w:spacing w:after="0" w:line="360" w:lineRule="auto"/>
              <w:jc w:val="center"/>
              <w:rPr>
                <w:rFonts w:cstheme="minorHAnsi"/>
                <w:sz w:val="18"/>
                <w:szCs w:val="18"/>
              </w:rPr>
            </w:pPr>
            <w:r>
              <w:rPr>
                <w:rFonts w:cstheme="minorHAnsi"/>
                <w:sz w:val="18"/>
                <w:szCs w:val="18"/>
              </w:rPr>
              <w:t>0</w:t>
            </w:r>
          </w:p>
        </w:tc>
        <w:tc>
          <w:tcPr>
            <w:tcW w:w="646" w:type="dxa"/>
          </w:tcPr>
          <w:p w14:paraId="67C7FADB" w14:textId="2318B432" w:rsidR="009F5483" w:rsidRPr="007546C9" w:rsidRDefault="006143DA" w:rsidP="00D7780B">
            <w:pPr>
              <w:spacing w:after="0" w:line="360" w:lineRule="auto"/>
              <w:jc w:val="center"/>
              <w:rPr>
                <w:rFonts w:cstheme="minorHAnsi"/>
                <w:b/>
                <w:sz w:val="18"/>
                <w:szCs w:val="18"/>
              </w:rPr>
            </w:pPr>
            <w:r w:rsidRPr="007546C9">
              <w:rPr>
                <w:rFonts w:cstheme="minorHAnsi"/>
                <w:b/>
                <w:sz w:val="18"/>
                <w:szCs w:val="18"/>
              </w:rPr>
              <w:t>2</w:t>
            </w:r>
          </w:p>
        </w:tc>
      </w:tr>
      <w:tr w:rsidR="009F5483" w:rsidRPr="007546C9" w14:paraId="4BF1F7F8" w14:textId="4268D490" w:rsidTr="004C281F">
        <w:tc>
          <w:tcPr>
            <w:tcW w:w="1346" w:type="dxa"/>
          </w:tcPr>
          <w:p w14:paraId="38AD0B8E" w14:textId="59857BD6" w:rsidR="009F5483" w:rsidRPr="007546C9" w:rsidRDefault="009F5483" w:rsidP="00D7780B">
            <w:pPr>
              <w:spacing w:after="0" w:line="360" w:lineRule="auto"/>
              <w:rPr>
                <w:rFonts w:cstheme="minorHAnsi"/>
                <w:sz w:val="18"/>
                <w:szCs w:val="18"/>
              </w:rPr>
            </w:pPr>
            <w:r w:rsidRPr="007546C9">
              <w:rPr>
                <w:rFonts w:cstheme="minorHAnsi"/>
                <w:sz w:val="18"/>
                <w:szCs w:val="18"/>
              </w:rPr>
              <w:t>Donors</w:t>
            </w:r>
          </w:p>
        </w:tc>
        <w:tc>
          <w:tcPr>
            <w:tcW w:w="2197" w:type="dxa"/>
          </w:tcPr>
          <w:p w14:paraId="61A1182E" w14:textId="0A62FC7A" w:rsidR="009F5483" w:rsidRPr="007546C9" w:rsidRDefault="00A158A9" w:rsidP="00D7780B">
            <w:pPr>
              <w:spacing w:after="0" w:line="360" w:lineRule="auto"/>
              <w:jc w:val="center"/>
              <w:rPr>
                <w:rFonts w:cstheme="minorHAnsi"/>
                <w:sz w:val="18"/>
                <w:szCs w:val="18"/>
              </w:rPr>
            </w:pPr>
            <w:r>
              <w:rPr>
                <w:rFonts w:cstheme="minorHAnsi"/>
                <w:sz w:val="18"/>
                <w:szCs w:val="18"/>
              </w:rPr>
              <w:t>5</w:t>
            </w:r>
          </w:p>
        </w:tc>
        <w:tc>
          <w:tcPr>
            <w:tcW w:w="2197" w:type="dxa"/>
          </w:tcPr>
          <w:p w14:paraId="7C29957E" w14:textId="25B31C53" w:rsidR="009F5483" w:rsidRPr="007546C9" w:rsidRDefault="009F5483" w:rsidP="00D7780B">
            <w:pPr>
              <w:spacing w:after="0" w:line="360" w:lineRule="auto"/>
              <w:jc w:val="center"/>
              <w:rPr>
                <w:rFonts w:cstheme="minorHAnsi"/>
                <w:sz w:val="18"/>
                <w:szCs w:val="18"/>
              </w:rPr>
            </w:pPr>
            <w:r w:rsidRPr="007546C9">
              <w:rPr>
                <w:rFonts w:cstheme="minorHAnsi"/>
                <w:sz w:val="18"/>
                <w:szCs w:val="18"/>
              </w:rPr>
              <w:t>2</w:t>
            </w:r>
          </w:p>
        </w:tc>
        <w:tc>
          <w:tcPr>
            <w:tcW w:w="1621" w:type="dxa"/>
          </w:tcPr>
          <w:p w14:paraId="6258FB7B" w14:textId="1C038D42" w:rsidR="009F5483" w:rsidRPr="007546C9" w:rsidRDefault="006D3553" w:rsidP="00D7780B">
            <w:pPr>
              <w:spacing w:after="0" w:line="360" w:lineRule="auto"/>
              <w:jc w:val="center"/>
              <w:rPr>
                <w:rFonts w:cstheme="minorHAnsi"/>
                <w:sz w:val="18"/>
                <w:szCs w:val="18"/>
              </w:rPr>
            </w:pPr>
            <w:r>
              <w:rPr>
                <w:rFonts w:cstheme="minorHAnsi"/>
                <w:sz w:val="18"/>
                <w:szCs w:val="18"/>
              </w:rPr>
              <w:t>0</w:t>
            </w:r>
          </w:p>
        </w:tc>
        <w:tc>
          <w:tcPr>
            <w:tcW w:w="1621" w:type="dxa"/>
          </w:tcPr>
          <w:p w14:paraId="0AB48F81" w14:textId="40126042" w:rsidR="009F5483" w:rsidRPr="007546C9" w:rsidRDefault="006D3553" w:rsidP="00D7780B">
            <w:pPr>
              <w:spacing w:after="0" w:line="360" w:lineRule="auto"/>
              <w:jc w:val="center"/>
              <w:rPr>
                <w:rFonts w:cstheme="minorHAnsi"/>
                <w:sz w:val="18"/>
                <w:szCs w:val="18"/>
              </w:rPr>
            </w:pPr>
            <w:r>
              <w:rPr>
                <w:rFonts w:cstheme="minorHAnsi"/>
                <w:sz w:val="18"/>
                <w:szCs w:val="18"/>
              </w:rPr>
              <w:t>00</w:t>
            </w:r>
          </w:p>
        </w:tc>
        <w:tc>
          <w:tcPr>
            <w:tcW w:w="646" w:type="dxa"/>
          </w:tcPr>
          <w:p w14:paraId="4AAF69FC" w14:textId="629102AE" w:rsidR="009F5483" w:rsidRPr="007546C9" w:rsidRDefault="006143DA" w:rsidP="00D7780B">
            <w:pPr>
              <w:spacing w:after="0" w:line="360" w:lineRule="auto"/>
              <w:jc w:val="center"/>
              <w:rPr>
                <w:rFonts w:cstheme="minorHAnsi"/>
                <w:b/>
                <w:sz w:val="18"/>
                <w:szCs w:val="18"/>
              </w:rPr>
            </w:pPr>
            <w:r w:rsidRPr="007546C9">
              <w:rPr>
                <w:rFonts w:cstheme="minorHAnsi"/>
                <w:b/>
                <w:sz w:val="18"/>
                <w:szCs w:val="18"/>
              </w:rPr>
              <w:t>2</w:t>
            </w:r>
          </w:p>
        </w:tc>
      </w:tr>
    </w:tbl>
    <w:p w14:paraId="7A922F0B" w14:textId="77777777" w:rsidR="0030690A" w:rsidRPr="00FD5455" w:rsidRDefault="0030690A" w:rsidP="00D7780B">
      <w:pPr>
        <w:spacing w:after="0" w:line="360" w:lineRule="auto"/>
        <w:rPr>
          <w:rFonts w:cstheme="minorHAnsi"/>
          <w:sz w:val="4"/>
          <w:szCs w:val="4"/>
        </w:rPr>
      </w:pPr>
    </w:p>
    <w:p w14:paraId="35663DD7" w14:textId="046F8BE8" w:rsidR="0030690A" w:rsidRDefault="0030690A" w:rsidP="004C281F">
      <w:pPr>
        <w:spacing w:before="240" w:after="240" w:line="240" w:lineRule="auto"/>
        <w:rPr>
          <w:rFonts w:cstheme="minorHAnsi"/>
          <w:b/>
          <w:bCs/>
          <w:szCs w:val="20"/>
        </w:rPr>
      </w:pPr>
      <w:r w:rsidRPr="008D6034">
        <w:rPr>
          <w:rFonts w:cstheme="minorHAnsi"/>
          <w:b/>
          <w:bCs/>
          <w:szCs w:val="20"/>
        </w:rPr>
        <w:t>Survey</w:t>
      </w:r>
    </w:p>
    <w:p w14:paraId="2EAFA80C" w14:textId="52D26EA7" w:rsidR="00815D34" w:rsidRPr="008D6034" w:rsidRDefault="00815D34" w:rsidP="004C281F">
      <w:pPr>
        <w:spacing w:before="240" w:after="240" w:line="240" w:lineRule="auto"/>
        <w:rPr>
          <w:rFonts w:cstheme="minorHAnsi"/>
          <w:b/>
          <w:bCs/>
          <w:szCs w:val="20"/>
        </w:rPr>
      </w:pPr>
      <w:r w:rsidRPr="00D7780B">
        <w:rPr>
          <w:rFonts w:cstheme="minorHAnsi"/>
          <w:szCs w:val="20"/>
        </w:rPr>
        <w:t>A total of</w:t>
      </w:r>
      <w:r>
        <w:rPr>
          <w:rFonts w:cstheme="minorHAnsi"/>
          <w:b/>
          <w:bCs/>
          <w:szCs w:val="20"/>
        </w:rPr>
        <w:t xml:space="preserve"> </w:t>
      </w:r>
      <w:r w:rsidRPr="000A5708">
        <w:rPr>
          <w:rFonts w:cstheme="minorHAnsi"/>
          <w:b/>
          <w:bCs/>
          <w:szCs w:val="20"/>
        </w:rPr>
        <w:t xml:space="preserve">60 people completed the survey </w:t>
      </w:r>
      <w:r w:rsidRPr="000A5708">
        <w:rPr>
          <w:rFonts w:cstheme="minorHAnsi"/>
          <w:szCs w:val="20"/>
        </w:rPr>
        <w:t>(32 women, 26 men, 2 prefer not to say; 28 from headquarters/multilateral posts, 32 from country/response level)</w:t>
      </w:r>
      <w:r w:rsidR="00D7780B">
        <w:rPr>
          <w:rFonts w:cstheme="minorHAnsi"/>
          <w:szCs w:val="20"/>
        </w:rPr>
        <w:t>.</w:t>
      </w:r>
    </w:p>
    <w:tbl>
      <w:tblPr>
        <w:tblStyle w:val="TableGrid"/>
        <w:tblW w:w="0" w:type="auto"/>
        <w:tblLook w:val="04A0" w:firstRow="1" w:lastRow="0" w:firstColumn="1" w:lastColumn="0" w:noHBand="0" w:noVBand="1"/>
      </w:tblPr>
      <w:tblGrid>
        <w:gridCol w:w="1327"/>
        <w:gridCol w:w="1322"/>
        <w:gridCol w:w="1296"/>
        <w:gridCol w:w="1391"/>
        <w:gridCol w:w="1201"/>
        <w:gridCol w:w="1175"/>
        <w:gridCol w:w="1270"/>
        <w:gridCol w:w="646"/>
      </w:tblGrid>
      <w:tr w:rsidR="007546C9" w:rsidRPr="007546C9" w14:paraId="57186474" w14:textId="5DED0B72" w:rsidTr="007546C9">
        <w:trPr>
          <w:trHeight w:val="96"/>
        </w:trPr>
        <w:tc>
          <w:tcPr>
            <w:tcW w:w="0" w:type="auto"/>
          </w:tcPr>
          <w:p w14:paraId="56F09824" w14:textId="0A67E933" w:rsidR="007546C9" w:rsidRPr="007546C9" w:rsidRDefault="007546C9" w:rsidP="00E72713">
            <w:pPr>
              <w:spacing w:after="0" w:line="276" w:lineRule="auto"/>
              <w:rPr>
                <w:rFonts w:cstheme="minorHAnsi"/>
                <w:b/>
                <w:sz w:val="18"/>
                <w:szCs w:val="18"/>
              </w:rPr>
            </w:pPr>
            <w:r w:rsidRPr="007546C9">
              <w:rPr>
                <w:rFonts w:cstheme="minorHAnsi"/>
                <w:b/>
                <w:bCs/>
                <w:sz w:val="18"/>
                <w:szCs w:val="18"/>
              </w:rPr>
              <w:t>Organisation</w:t>
            </w:r>
          </w:p>
        </w:tc>
        <w:tc>
          <w:tcPr>
            <w:tcW w:w="0" w:type="auto"/>
          </w:tcPr>
          <w:p w14:paraId="67098C6B" w14:textId="7D122FEE" w:rsidR="007546C9" w:rsidRPr="007546C9" w:rsidRDefault="007546C9" w:rsidP="00E72713">
            <w:pPr>
              <w:spacing w:after="0" w:line="276" w:lineRule="auto"/>
              <w:rPr>
                <w:rFonts w:cstheme="minorHAnsi"/>
                <w:b/>
                <w:sz w:val="18"/>
                <w:szCs w:val="18"/>
              </w:rPr>
            </w:pPr>
            <w:r w:rsidRPr="007546C9">
              <w:rPr>
                <w:rFonts w:cstheme="minorHAnsi"/>
                <w:b/>
                <w:bCs/>
                <w:sz w:val="18"/>
                <w:szCs w:val="18"/>
              </w:rPr>
              <w:t>Women - H</w:t>
            </w:r>
            <w:r w:rsidR="00911150">
              <w:rPr>
                <w:rFonts w:cstheme="minorHAnsi"/>
                <w:b/>
                <w:bCs/>
                <w:sz w:val="18"/>
                <w:szCs w:val="18"/>
              </w:rPr>
              <w:t>Q</w:t>
            </w:r>
            <w:r w:rsidRPr="007546C9">
              <w:rPr>
                <w:rFonts w:cstheme="minorHAnsi"/>
                <w:b/>
                <w:bCs/>
                <w:sz w:val="18"/>
                <w:szCs w:val="18"/>
              </w:rPr>
              <w:t>/</w:t>
            </w:r>
            <w:r w:rsidR="00E72713">
              <w:rPr>
                <w:rFonts w:cstheme="minorHAnsi"/>
                <w:b/>
                <w:bCs/>
                <w:sz w:val="18"/>
                <w:szCs w:val="18"/>
              </w:rPr>
              <w:t xml:space="preserve"> </w:t>
            </w:r>
            <w:r w:rsidRPr="007546C9">
              <w:rPr>
                <w:rFonts w:cstheme="minorHAnsi"/>
                <w:b/>
                <w:bCs/>
                <w:sz w:val="18"/>
                <w:szCs w:val="18"/>
              </w:rPr>
              <w:t>multilateral Post</w:t>
            </w:r>
          </w:p>
        </w:tc>
        <w:tc>
          <w:tcPr>
            <w:tcW w:w="0" w:type="auto"/>
          </w:tcPr>
          <w:p w14:paraId="745CE1EC" w14:textId="017C36B8" w:rsidR="007546C9" w:rsidRPr="007546C9" w:rsidRDefault="007546C9" w:rsidP="00E72713">
            <w:pPr>
              <w:spacing w:after="0" w:line="276" w:lineRule="auto"/>
              <w:rPr>
                <w:rFonts w:cstheme="minorHAnsi"/>
                <w:b/>
                <w:sz w:val="18"/>
                <w:szCs w:val="18"/>
              </w:rPr>
            </w:pPr>
            <w:r w:rsidRPr="007546C9">
              <w:rPr>
                <w:rFonts w:cstheme="minorHAnsi"/>
                <w:b/>
                <w:bCs/>
                <w:sz w:val="18"/>
                <w:szCs w:val="18"/>
              </w:rPr>
              <w:t>Men - H</w:t>
            </w:r>
            <w:r w:rsidR="00911150">
              <w:rPr>
                <w:rFonts w:cstheme="minorHAnsi"/>
                <w:b/>
                <w:bCs/>
                <w:sz w:val="18"/>
                <w:szCs w:val="18"/>
              </w:rPr>
              <w:t>Q</w:t>
            </w:r>
            <w:r w:rsidRPr="007546C9">
              <w:rPr>
                <w:rFonts w:cstheme="minorHAnsi"/>
                <w:b/>
                <w:bCs/>
                <w:sz w:val="18"/>
                <w:szCs w:val="18"/>
              </w:rPr>
              <w:t>/</w:t>
            </w:r>
            <w:r w:rsidR="00E72713">
              <w:rPr>
                <w:rFonts w:cstheme="minorHAnsi"/>
                <w:b/>
                <w:bCs/>
                <w:sz w:val="18"/>
                <w:szCs w:val="18"/>
              </w:rPr>
              <w:t xml:space="preserve"> </w:t>
            </w:r>
            <w:r w:rsidRPr="007546C9">
              <w:rPr>
                <w:rFonts w:cstheme="minorHAnsi"/>
                <w:b/>
                <w:bCs/>
                <w:sz w:val="18"/>
                <w:szCs w:val="18"/>
              </w:rPr>
              <w:t>multilateral Post</w:t>
            </w:r>
          </w:p>
        </w:tc>
        <w:tc>
          <w:tcPr>
            <w:tcW w:w="0" w:type="auto"/>
          </w:tcPr>
          <w:p w14:paraId="0B4F8DF6" w14:textId="3918877A" w:rsidR="007546C9" w:rsidRPr="007546C9" w:rsidRDefault="007546C9" w:rsidP="00E72713">
            <w:pPr>
              <w:spacing w:after="0" w:line="276" w:lineRule="auto"/>
              <w:rPr>
                <w:rFonts w:cstheme="minorHAnsi"/>
                <w:b/>
                <w:sz w:val="18"/>
                <w:szCs w:val="18"/>
              </w:rPr>
            </w:pPr>
            <w:r w:rsidRPr="007546C9">
              <w:rPr>
                <w:rFonts w:cstheme="minorHAnsi"/>
                <w:b/>
                <w:bCs/>
                <w:sz w:val="18"/>
                <w:szCs w:val="18"/>
              </w:rPr>
              <w:t xml:space="preserve">Prefer not to say - </w:t>
            </w:r>
            <w:r w:rsidR="00911150">
              <w:rPr>
                <w:rFonts w:cstheme="minorHAnsi"/>
                <w:b/>
                <w:bCs/>
                <w:sz w:val="18"/>
                <w:szCs w:val="18"/>
              </w:rPr>
              <w:t>HQ</w:t>
            </w:r>
            <w:r w:rsidRPr="007546C9">
              <w:rPr>
                <w:rFonts w:cstheme="minorHAnsi"/>
                <w:b/>
                <w:bCs/>
                <w:sz w:val="18"/>
                <w:szCs w:val="18"/>
              </w:rPr>
              <w:t>/</w:t>
            </w:r>
            <w:r w:rsidR="00E72713">
              <w:rPr>
                <w:rFonts w:cstheme="minorHAnsi"/>
                <w:b/>
                <w:bCs/>
                <w:sz w:val="18"/>
                <w:szCs w:val="18"/>
              </w:rPr>
              <w:t xml:space="preserve"> </w:t>
            </w:r>
            <w:r w:rsidRPr="007546C9">
              <w:rPr>
                <w:rFonts w:cstheme="minorHAnsi"/>
                <w:b/>
                <w:bCs/>
                <w:sz w:val="18"/>
                <w:szCs w:val="18"/>
              </w:rPr>
              <w:t>multilateral Post</w:t>
            </w:r>
          </w:p>
        </w:tc>
        <w:tc>
          <w:tcPr>
            <w:tcW w:w="0" w:type="auto"/>
          </w:tcPr>
          <w:p w14:paraId="2A542102" w14:textId="19A59CC7" w:rsidR="007546C9" w:rsidRPr="007546C9" w:rsidRDefault="007546C9" w:rsidP="00E72713">
            <w:pPr>
              <w:spacing w:after="0" w:line="276" w:lineRule="auto"/>
              <w:rPr>
                <w:rFonts w:cstheme="minorHAnsi"/>
                <w:b/>
                <w:sz w:val="18"/>
                <w:szCs w:val="18"/>
              </w:rPr>
            </w:pPr>
            <w:r w:rsidRPr="007546C9">
              <w:rPr>
                <w:rFonts w:cstheme="minorHAnsi"/>
                <w:b/>
                <w:bCs/>
                <w:sz w:val="18"/>
                <w:szCs w:val="18"/>
              </w:rPr>
              <w:t>Women - Country/</w:t>
            </w:r>
            <w:r w:rsidR="00E72713">
              <w:rPr>
                <w:rFonts w:cstheme="minorHAnsi"/>
                <w:b/>
                <w:bCs/>
                <w:sz w:val="18"/>
                <w:szCs w:val="18"/>
              </w:rPr>
              <w:t xml:space="preserve"> </w:t>
            </w:r>
            <w:r w:rsidRPr="007546C9">
              <w:rPr>
                <w:rFonts w:cstheme="minorHAnsi"/>
                <w:b/>
                <w:bCs/>
                <w:sz w:val="18"/>
                <w:szCs w:val="18"/>
              </w:rPr>
              <w:t>response level</w:t>
            </w:r>
          </w:p>
        </w:tc>
        <w:tc>
          <w:tcPr>
            <w:tcW w:w="0" w:type="auto"/>
          </w:tcPr>
          <w:p w14:paraId="78831061" w14:textId="3DC5AAC8" w:rsidR="007546C9" w:rsidRPr="007546C9" w:rsidRDefault="007546C9" w:rsidP="00E72713">
            <w:pPr>
              <w:spacing w:after="0" w:line="276" w:lineRule="auto"/>
              <w:rPr>
                <w:rFonts w:cstheme="minorHAnsi"/>
                <w:b/>
                <w:sz w:val="18"/>
                <w:szCs w:val="18"/>
              </w:rPr>
            </w:pPr>
            <w:r w:rsidRPr="007546C9">
              <w:rPr>
                <w:rFonts w:cstheme="minorHAnsi"/>
                <w:b/>
                <w:bCs/>
                <w:sz w:val="18"/>
                <w:szCs w:val="18"/>
              </w:rPr>
              <w:t>Men - Country/</w:t>
            </w:r>
            <w:r w:rsidR="00E72713">
              <w:rPr>
                <w:rFonts w:cstheme="minorHAnsi"/>
                <w:b/>
                <w:bCs/>
                <w:sz w:val="18"/>
                <w:szCs w:val="18"/>
              </w:rPr>
              <w:t xml:space="preserve"> </w:t>
            </w:r>
            <w:r w:rsidRPr="007546C9">
              <w:rPr>
                <w:rFonts w:cstheme="minorHAnsi"/>
                <w:b/>
                <w:bCs/>
                <w:sz w:val="18"/>
                <w:szCs w:val="18"/>
              </w:rPr>
              <w:t>response level</w:t>
            </w:r>
          </w:p>
        </w:tc>
        <w:tc>
          <w:tcPr>
            <w:tcW w:w="0" w:type="auto"/>
          </w:tcPr>
          <w:p w14:paraId="5AEC194B" w14:textId="63359518" w:rsidR="007546C9" w:rsidRPr="007546C9" w:rsidRDefault="007546C9" w:rsidP="00E72713">
            <w:pPr>
              <w:spacing w:after="0" w:line="276" w:lineRule="auto"/>
              <w:jc w:val="center"/>
              <w:rPr>
                <w:rFonts w:cstheme="minorHAnsi"/>
                <w:b/>
                <w:sz w:val="18"/>
                <w:szCs w:val="18"/>
              </w:rPr>
            </w:pPr>
            <w:r w:rsidRPr="007546C9">
              <w:rPr>
                <w:rFonts w:cstheme="minorHAnsi"/>
                <w:b/>
                <w:sz w:val="18"/>
                <w:szCs w:val="18"/>
              </w:rPr>
              <w:t>Prefer not to say</w:t>
            </w:r>
            <w:r w:rsidRPr="007546C9">
              <w:rPr>
                <w:rFonts w:cstheme="minorHAnsi"/>
                <w:b/>
                <w:bCs/>
                <w:sz w:val="18"/>
                <w:szCs w:val="18"/>
              </w:rPr>
              <w:t xml:space="preserve"> - Country/</w:t>
            </w:r>
            <w:r w:rsidR="00E72713">
              <w:rPr>
                <w:rFonts w:cstheme="minorHAnsi"/>
                <w:b/>
                <w:bCs/>
                <w:sz w:val="18"/>
                <w:szCs w:val="18"/>
              </w:rPr>
              <w:t xml:space="preserve"> </w:t>
            </w:r>
            <w:r w:rsidRPr="007546C9">
              <w:rPr>
                <w:rFonts w:cstheme="minorHAnsi"/>
                <w:b/>
                <w:bCs/>
                <w:sz w:val="18"/>
                <w:szCs w:val="18"/>
              </w:rPr>
              <w:t>response level</w:t>
            </w:r>
          </w:p>
        </w:tc>
        <w:tc>
          <w:tcPr>
            <w:tcW w:w="0" w:type="auto"/>
          </w:tcPr>
          <w:p w14:paraId="69DCF12C" w14:textId="08BEC9DF" w:rsidR="007546C9" w:rsidRPr="007546C9" w:rsidRDefault="007546C9" w:rsidP="00E72713">
            <w:pPr>
              <w:spacing w:after="0" w:line="276" w:lineRule="auto"/>
              <w:jc w:val="center"/>
              <w:rPr>
                <w:rFonts w:cstheme="minorHAnsi"/>
                <w:b/>
                <w:sz w:val="18"/>
                <w:szCs w:val="18"/>
              </w:rPr>
            </w:pPr>
            <w:r w:rsidRPr="007546C9">
              <w:rPr>
                <w:rFonts w:cstheme="minorHAnsi"/>
                <w:b/>
                <w:bCs/>
                <w:sz w:val="18"/>
                <w:szCs w:val="18"/>
              </w:rPr>
              <w:t>Total</w:t>
            </w:r>
          </w:p>
        </w:tc>
      </w:tr>
      <w:tr w:rsidR="00CE065A" w:rsidRPr="007546C9" w14:paraId="2591DAB1" w14:textId="6DD3E2C6" w:rsidTr="007546C9">
        <w:tc>
          <w:tcPr>
            <w:tcW w:w="0" w:type="auto"/>
          </w:tcPr>
          <w:p w14:paraId="5DD2A2DC" w14:textId="77777777" w:rsidR="00116F60" w:rsidRPr="007546C9" w:rsidRDefault="00116F60" w:rsidP="00E72713">
            <w:pPr>
              <w:spacing w:after="0" w:line="360" w:lineRule="auto"/>
              <w:rPr>
                <w:rFonts w:cstheme="minorHAnsi"/>
                <w:sz w:val="18"/>
                <w:szCs w:val="18"/>
              </w:rPr>
            </w:pPr>
            <w:r w:rsidRPr="007546C9">
              <w:rPr>
                <w:rFonts w:cstheme="minorHAnsi"/>
                <w:sz w:val="18"/>
                <w:szCs w:val="18"/>
              </w:rPr>
              <w:t>DFAT*</w:t>
            </w:r>
          </w:p>
        </w:tc>
        <w:tc>
          <w:tcPr>
            <w:tcW w:w="0" w:type="auto"/>
          </w:tcPr>
          <w:p w14:paraId="74BEC143" w14:textId="4C92F559" w:rsidR="00116F60" w:rsidRPr="007546C9" w:rsidRDefault="00116F60" w:rsidP="00E72713">
            <w:pPr>
              <w:spacing w:after="0" w:line="360" w:lineRule="auto"/>
              <w:jc w:val="center"/>
              <w:rPr>
                <w:rFonts w:cstheme="minorHAnsi"/>
                <w:sz w:val="18"/>
                <w:szCs w:val="18"/>
              </w:rPr>
            </w:pPr>
            <w:r w:rsidRPr="007546C9">
              <w:rPr>
                <w:rFonts w:cstheme="minorHAnsi"/>
                <w:sz w:val="18"/>
                <w:szCs w:val="18"/>
              </w:rPr>
              <w:t>1</w:t>
            </w:r>
            <w:r w:rsidR="005F307B" w:rsidRPr="007546C9">
              <w:rPr>
                <w:rFonts w:cstheme="minorHAnsi"/>
                <w:sz w:val="18"/>
                <w:szCs w:val="18"/>
              </w:rPr>
              <w:t>3</w:t>
            </w:r>
          </w:p>
        </w:tc>
        <w:tc>
          <w:tcPr>
            <w:tcW w:w="0" w:type="auto"/>
          </w:tcPr>
          <w:p w14:paraId="55092465" w14:textId="2B3E52B5" w:rsidR="00116F60" w:rsidRPr="007546C9" w:rsidRDefault="005F307B" w:rsidP="00E72713">
            <w:pPr>
              <w:spacing w:after="0" w:line="360" w:lineRule="auto"/>
              <w:jc w:val="center"/>
              <w:rPr>
                <w:rFonts w:cstheme="minorHAnsi"/>
                <w:sz w:val="18"/>
                <w:szCs w:val="18"/>
              </w:rPr>
            </w:pPr>
            <w:r w:rsidRPr="007546C9">
              <w:rPr>
                <w:rFonts w:cstheme="minorHAnsi"/>
                <w:sz w:val="18"/>
                <w:szCs w:val="18"/>
              </w:rPr>
              <w:t>4</w:t>
            </w:r>
          </w:p>
        </w:tc>
        <w:tc>
          <w:tcPr>
            <w:tcW w:w="0" w:type="auto"/>
          </w:tcPr>
          <w:p w14:paraId="29E74857" w14:textId="2F94F386" w:rsidR="00116F60" w:rsidRPr="007546C9" w:rsidRDefault="00116F60" w:rsidP="00E72713">
            <w:pPr>
              <w:spacing w:after="0" w:line="360" w:lineRule="auto"/>
              <w:jc w:val="center"/>
              <w:rPr>
                <w:rFonts w:cstheme="minorHAnsi"/>
                <w:sz w:val="18"/>
                <w:szCs w:val="18"/>
              </w:rPr>
            </w:pPr>
            <w:r w:rsidRPr="007546C9">
              <w:rPr>
                <w:rFonts w:cstheme="minorHAnsi"/>
                <w:sz w:val="18"/>
                <w:szCs w:val="18"/>
              </w:rPr>
              <w:t>1</w:t>
            </w:r>
          </w:p>
        </w:tc>
        <w:tc>
          <w:tcPr>
            <w:tcW w:w="0" w:type="auto"/>
          </w:tcPr>
          <w:p w14:paraId="5AC616AC" w14:textId="1CA5F273" w:rsidR="00116F60" w:rsidRPr="007546C9" w:rsidRDefault="005D45A9" w:rsidP="00E72713">
            <w:pPr>
              <w:spacing w:after="0" w:line="360" w:lineRule="auto"/>
              <w:jc w:val="center"/>
              <w:rPr>
                <w:rFonts w:cstheme="minorHAnsi"/>
                <w:sz w:val="18"/>
                <w:szCs w:val="18"/>
              </w:rPr>
            </w:pPr>
            <w:r w:rsidRPr="007546C9">
              <w:rPr>
                <w:rFonts w:cstheme="minorHAnsi"/>
                <w:sz w:val="18"/>
                <w:szCs w:val="18"/>
              </w:rPr>
              <w:t>3</w:t>
            </w:r>
          </w:p>
        </w:tc>
        <w:tc>
          <w:tcPr>
            <w:tcW w:w="0" w:type="auto"/>
          </w:tcPr>
          <w:p w14:paraId="7C60B878" w14:textId="54063A30" w:rsidR="00116F60" w:rsidRPr="007546C9" w:rsidRDefault="005D45A9" w:rsidP="00E72713">
            <w:pPr>
              <w:spacing w:after="0" w:line="360" w:lineRule="auto"/>
              <w:jc w:val="center"/>
              <w:rPr>
                <w:rFonts w:cstheme="minorHAnsi"/>
                <w:sz w:val="18"/>
                <w:szCs w:val="18"/>
              </w:rPr>
            </w:pPr>
            <w:r w:rsidRPr="007546C9">
              <w:rPr>
                <w:rFonts w:cstheme="minorHAnsi"/>
                <w:sz w:val="18"/>
                <w:szCs w:val="18"/>
              </w:rPr>
              <w:t>1</w:t>
            </w:r>
          </w:p>
        </w:tc>
        <w:tc>
          <w:tcPr>
            <w:tcW w:w="0" w:type="auto"/>
          </w:tcPr>
          <w:p w14:paraId="10B1364D" w14:textId="1755DCD9" w:rsidR="00116F60" w:rsidRPr="007546C9" w:rsidRDefault="005D45A9" w:rsidP="00E72713">
            <w:pPr>
              <w:spacing w:after="0" w:line="360" w:lineRule="auto"/>
              <w:jc w:val="center"/>
              <w:rPr>
                <w:rFonts w:cstheme="minorHAnsi"/>
                <w:sz w:val="18"/>
                <w:szCs w:val="18"/>
              </w:rPr>
            </w:pPr>
            <w:r w:rsidRPr="007546C9">
              <w:rPr>
                <w:rFonts w:cstheme="minorHAnsi"/>
                <w:sz w:val="18"/>
                <w:szCs w:val="18"/>
              </w:rPr>
              <w:t>1</w:t>
            </w:r>
          </w:p>
        </w:tc>
        <w:tc>
          <w:tcPr>
            <w:tcW w:w="0" w:type="auto"/>
          </w:tcPr>
          <w:p w14:paraId="74AFC827" w14:textId="278411F2" w:rsidR="00116F60" w:rsidRPr="007546C9" w:rsidRDefault="00116F60" w:rsidP="00E72713">
            <w:pPr>
              <w:spacing w:after="0" w:line="360" w:lineRule="auto"/>
              <w:jc w:val="center"/>
              <w:rPr>
                <w:rFonts w:cstheme="minorHAnsi"/>
                <w:b/>
                <w:sz w:val="18"/>
                <w:szCs w:val="18"/>
              </w:rPr>
            </w:pPr>
            <w:r w:rsidRPr="007546C9">
              <w:rPr>
                <w:rFonts w:cstheme="minorHAnsi"/>
                <w:b/>
                <w:sz w:val="18"/>
                <w:szCs w:val="18"/>
              </w:rPr>
              <w:t>23</w:t>
            </w:r>
          </w:p>
        </w:tc>
      </w:tr>
      <w:tr w:rsidR="00CE065A" w:rsidRPr="007546C9" w14:paraId="6FFDC848" w14:textId="0C08D365" w:rsidTr="006D3553">
        <w:tc>
          <w:tcPr>
            <w:tcW w:w="0" w:type="auto"/>
          </w:tcPr>
          <w:p w14:paraId="677F7EF5" w14:textId="77777777" w:rsidR="00116F60" w:rsidRPr="007546C9" w:rsidRDefault="00116F60" w:rsidP="00E72713">
            <w:pPr>
              <w:spacing w:after="0" w:line="360" w:lineRule="auto"/>
              <w:rPr>
                <w:rFonts w:cstheme="minorHAnsi"/>
                <w:sz w:val="18"/>
                <w:szCs w:val="18"/>
              </w:rPr>
            </w:pPr>
            <w:r w:rsidRPr="007546C9">
              <w:rPr>
                <w:rFonts w:cstheme="minorHAnsi"/>
                <w:sz w:val="18"/>
                <w:szCs w:val="18"/>
              </w:rPr>
              <w:t>WFP</w:t>
            </w:r>
          </w:p>
        </w:tc>
        <w:tc>
          <w:tcPr>
            <w:tcW w:w="0" w:type="auto"/>
          </w:tcPr>
          <w:p w14:paraId="213661DC" w14:textId="3B2563B9" w:rsidR="00116F60" w:rsidRPr="007546C9" w:rsidRDefault="006D3553" w:rsidP="00E72713">
            <w:pPr>
              <w:spacing w:after="0" w:line="360" w:lineRule="auto"/>
              <w:jc w:val="center"/>
              <w:rPr>
                <w:rFonts w:cstheme="minorHAnsi"/>
                <w:sz w:val="18"/>
                <w:szCs w:val="18"/>
              </w:rPr>
            </w:pPr>
            <w:r>
              <w:rPr>
                <w:rFonts w:cstheme="minorHAnsi"/>
                <w:sz w:val="18"/>
                <w:szCs w:val="18"/>
              </w:rPr>
              <w:t>0</w:t>
            </w:r>
          </w:p>
        </w:tc>
        <w:tc>
          <w:tcPr>
            <w:tcW w:w="0" w:type="auto"/>
          </w:tcPr>
          <w:p w14:paraId="3E54FB21" w14:textId="6CDED1D9" w:rsidR="00116F60" w:rsidRPr="007546C9" w:rsidRDefault="006D3553" w:rsidP="00E72713">
            <w:pPr>
              <w:spacing w:after="0" w:line="360" w:lineRule="auto"/>
              <w:jc w:val="center"/>
              <w:rPr>
                <w:rFonts w:cstheme="minorHAnsi"/>
                <w:sz w:val="18"/>
                <w:szCs w:val="18"/>
              </w:rPr>
            </w:pPr>
            <w:r>
              <w:rPr>
                <w:rFonts w:cstheme="minorHAnsi"/>
                <w:sz w:val="18"/>
                <w:szCs w:val="18"/>
              </w:rPr>
              <w:t>0</w:t>
            </w:r>
          </w:p>
        </w:tc>
        <w:tc>
          <w:tcPr>
            <w:tcW w:w="0" w:type="auto"/>
          </w:tcPr>
          <w:p w14:paraId="08842AE5" w14:textId="7793CDC8" w:rsidR="00116F60" w:rsidRPr="007546C9" w:rsidRDefault="006D3553" w:rsidP="00E72713">
            <w:pPr>
              <w:spacing w:after="0" w:line="360" w:lineRule="auto"/>
              <w:jc w:val="center"/>
              <w:rPr>
                <w:rFonts w:cstheme="minorHAnsi"/>
                <w:sz w:val="18"/>
                <w:szCs w:val="18"/>
              </w:rPr>
            </w:pPr>
            <w:r>
              <w:rPr>
                <w:rFonts w:cstheme="minorHAnsi"/>
                <w:sz w:val="18"/>
                <w:szCs w:val="18"/>
              </w:rPr>
              <w:t>0</w:t>
            </w:r>
          </w:p>
        </w:tc>
        <w:tc>
          <w:tcPr>
            <w:tcW w:w="0" w:type="auto"/>
          </w:tcPr>
          <w:p w14:paraId="5D330265" w14:textId="646B6EBD" w:rsidR="00116F60" w:rsidRPr="007546C9" w:rsidRDefault="00116F60" w:rsidP="00E72713">
            <w:pPr>
              <w:spacing w:after="0" w:line="360" w:lineRule="auto"/>
              <w:jc w:val="center"/>
              <w:rPr>
                <w:rFonts w:cstheme="minorHAnsi"/>
                <w:sz w:val="18"/>
                <w:szCs w:val="18"/>
              </w:rPr>
            </w:pPr>
            <w:r w:rsidRPr="007546C9">
              <w:rPr>
                <w:rFonts w:cstheme="minorHAnsi"/>
                <w:sz w:val="18"/>
                <w:szCs w:val="18"/>
              </w:rPr>
              <w:t>3</w:t>
            </w:r>
          </w:p>
        </w:tc>
        <w:tc>
          <w:tcPr>
            <w:tcW w:w="0" w:type="auto"/>
          </w:tcPr>
          <w:p w14:paraId="08EFBBA1" w14:textId="404A8C13" w:rsidR="00116F60" w:rsidRPr="007546C9" w:rsidRDefault="00116F60" w:rsidP="00E72713">
            <w:pPr>
              <w:spacing w:after="0" w:line="360" w:lineRule="auto"/>
              <w:jc w:val="center"/>
              <w:rPr>
                <w:rFonts w:cstheme="minorHAnsi"/>
                <w:sz w:val="18"/>
                <w:szCs w:val="18"/>
              </w:rPr>
            </w:pPr>
            <w:r w:rsidRPr="007546C9">
              <w:rPr>
                <w:rFonts w:cstheme="minorHAnsi"/>
                <w:sz w:val="18"/>
                <w:szCs w:val="18"/>
              </w:rPr>
              <w:t>1</w:t>
            </w:r>
          </w:p>
        </w:tc>
        <w:tc>
          <w:tcPr>
            <w:tcW w:w="0" w:type="auto"/>
          </w:tcPr>
          <w:p w14:paraId="55405187" w14:textId="203216C8" w:rsidR="00116F60" w:rsidRPr="007546C9" w:rsidRDefault="006D3553" w:rsidP="00E72713">
            <w:pPr>
              <w:spacing w:after="0" w:line="360" w:lineRule="auto"/>
              <w:jc w:val="center"/>
              <w:rPr>
                <w:rFonts w:cstheme="minorHAnsi"/>
                <w:b/>
                <w:sz w:val="18"/>
                <w:szCs w:val="18"/>
              </w:rPr>
            </w:pPr>
            <w:r>
              <w:rPr>
                <w:rFonts w:cstheme="minorHAnsi"/>
                <w:b/>
                <w:sz w:val="18"/>
                <w:szCs w:val="18"/>
              </w:rPr>
              <w:t>0</w:t>
            </w:r>
          </w:p>
        </w:tc>
        <w:tc>
          <w:tcPr>
            <w:tcW w:w="0" w:type="auto"/>
          </w:tcPr>
          <w:p w14:paraId="49A27FB7" w14:textId="50BBF204" w:rsidR="00116F60" w:rsidRPr="007546C9" w:rsidRDefault="00116F60" w:rsidP="00E72713">
            <w:pPr>
              <w:spacing w:after="0" w:line="360" w:lineRule="auto"/>
              <w:jc w:val="center"/>
              <w:rPr>
                <w:rFonts w:cstheme="minorHAnsi"/>
                <w:b/>
                <w:sz w:val="18"/>
                <w:szCs w:val="18"/>
              </w:rPr>
            </w:pPr>
            <w:r w:rsidRPr="007546C9">
              <w:rPr>
                <w:rFonts w:cstheme="minorHAnsi"/>
                <w:b/>
                <w:sz w:val="18"/>
                <w:szCs w:val="18"/>
              </w:rPr>
              <w:t>4</w:t>
            </w:r>
          </w:p>
        </w:tc>
      </w:tr>
      <w:tr w:rsidR="00CE065A" w:rsidRPr="007546C9" w14:paraId="034E7EBF" w14:textId="56B6EC68" w:rsidTr="006D3553">
        <w:tc>
          <w:tcPr>
            <w:tcW w:w="0" w:type="auto"/>
          </w:tcPr>
          <w:p w14:paraId="75F96638" w14:textId="77777777" w:rsidR="00116F60" w:rsidRPr="007546C9" w:rsidRDefault="00116F60" w:rsidP="00E72713">
            <w:pPr>
              <w:spacing w:after="0" w:line="360" w:lineRule="auto"/>
              <w:rPr>
                <w:rFonts w:cstheme="minorHAnsi"/>
                <w:sz w:val="18"/>
                <w:szCs w:val="18"/>
              </w:rPr>
            </w:pPr>
            <w:r w:rsidRPr="007546C9">
              <w:rPr>
                <w:rFonts w:cstheme="minorHAnsi"/>
                <w:sz w:val="18"/>
                <w:szCs w:val="18"/>
              </w:rPr>
              <w:t>UNHCR</w:t>
            </w:r>
          </w:p>
        </w:tc>
        <w:tc>
          <w:tcPr>
            <w:tcW w:w="0" w:type="auto"/>
          </w:tcPr>
          <w:p w14:paraId="7BD35A1E" w14:textId="246F8DA5" w:rsidR="00116F60" w:rsidRPr="007546C9" w:rsidRDefault="006D3553" w:rsidP="00E72713">
            <w:pPr>
              <w:spacing w:after="0" w:line="360" w:lineRule="auto"/>
              <w:jc w:val="center"/>
              <w:rPr>
                <w:rFonts w:cstheme="minorHAnsi"/>
                <w:sz w:val="18"/>
                <w:szCs w:val="18"/>
              </w:rPr>
            </w:pPr>
            <w:r>
              <w:rPr>
                <w:rFonts w:cstheme="minorHAnsi"/>
                <w:sz w:val="18"/>
                <w:szCs w:val="18"/>
              </w:rPr>
              <w:t>0</w:t>
            </w:r>
          </w:p>
        </w:tc>
        <w:tc>
          <w:tcPr>
            <w:tcW w:w="0" w:type="auto"/>
          </w:tcPr>
          <w:p w14:paraId="763520C3" w14:textId="712532FF" w:rsidR="00116F60" w:rsidRPr="007546C9" w:rsidRDefault="00116F60" w:rsidP="00E72713">
            <w:pPr>
              <w:spacing w:after="0" w:line="360" w:lineRule="auto"/>
              <w:jc w:val="center"/>
              <w:rPr>
                <w:rFonts w:cstheme="minorHAnsi"/>
                <w:sz w:val="18"/>
                <w:szCs w:val="18"/>
              </w:rPr>
            </w:pPr>
            <w:r w:rsidRPr="007546C9">
              <w:rPr>
                <w:rFonts w:cstheme="minorHAnsi"/>
                <w:sz w:val="18"/>
                <w:szCs w:val="18"/>
              </w:rPr>
              <w:t>1</w:t>
            </w:r>
          </w:p>
        </w:tc>
        <w:tc>
          <w:tcPr>
            <w:tcW w:w="0" w:type="auto"/>
          </w:tcPr>
          <w:p w14:paraId="34743287" w14:textId="7C4A7693" w:rsidR="00116F60" w:rsidRPr="007546C9" w:rsidRDefault="006D3553" w:rsidP="00E72713">
            <w:pPr>
              <w:spacing w:after="0" w:line="360" w:lineRule="auto"/>
              <w:jc w:val="center"/>
              <w:rPr>
                <w:rFonts w:cstheme="minorHAnsi"/>
                <w:sz w:val="18"/>
                <w:szCs w:val="18"/>
              </w:rPr>
            </w:pPr>
            <w:r>
              <w:rPr>
                <w:rFonts w:cstheme="minorHAnsi"/>
                <w:sz w:val="18"/>
                <w:szCs w:val="18"/>
              </w:rPr>
              <w:t>0</w:t>
            </w:r>
          </w:p>
        </w:tc>
        <w:tc>
          <w:tcPr>
            <w:tcW w:w="0" w:type="auto"/>
          </w:tcPr>
          <w:p w14:paraId="6F36E062" w14:textId="1C98FED0" w:rsidR="00116F60" w:rsidRPr="007546C9" w:rsidRDefault="00116F60" w:rsidP="00E72713">
            <w:pPr>
              <w:spacing w:after="0" w:line="360" w:lineRule="auto"/>
              <w:jc w:val="center"/>
              <w:rPr>
                <w:rFonts w:cstheme="minorHAnsi"/>
                <w:sz w:val="18"/>
                <w:szCs w:val="18"/>
              </w:rPr>
            </w:pPr>
            <w:r w:rsidRPr="007546C9">
              <w:rPr>
                <w:rFonts w:cstheme="minorHAnsi"/>
                <w:sz w:val="18"/>
                <w:szCs w:val="18"/>
              </w:rPr>
              <w:t>9</w:t>
            </w:r>
          </w:p>
        </w:tc>
        <w:tc>
          <w:tcPr>
            <w:tcW w:w="0" w:type="auto"/>
          </w:tcPr>
          <w:p w14:paraId="274B0012" w14:textId="7522DF11" w:rsidR="00116F60" w:rsidRPr="007546C9" w:rsidRDefault="00116F60" w:rsidP="00E72713">
            <w:pPr>
              <w:spacing w:after="0" w:line="360" w:lineRule="auto"/>
              <w:jc w:val="center"/>
              <w:rPr>
                <w:rFonts w:cstheme="minorHAnsi"/>
                <w:sz w:val="18"/>
                <w:szCs w:val="18"/>
              </w:rPr>
            </w:pPr>
            <w:r w:rsidRPr="007546C9">
              <w:rPr>
                <w:rFonts w:cstheme="minorHAnsi"/>
                <w:sz w:val="18"/>
                <w:szCs w:val="18"/>
              </w:rPr>
              <w:t>5</w:t>
            </w:r>
          </w:p>
        </w:tc>
        <w:tc>
          <w:tcPr>
            <w:tcW w:w="0" w:type="auto"/>
          </w:tcPr>
          <w:p w14:paraId="65A590FE" w14:textId="3CA0C209" w:rsidR="00116F60" w:rsidRPr="007546C9" w:rsidRDefault="006D3553" w:rsidP="00E72713">
            <w:pPr>
              <w:spacing w:after="0" w:line="360" w:lineRule="auto"/>
              <w:jc w:val="center"/>
              <w:rPr>
                <w:rFonts w:cstheme="minorHAnsi"/>
                <w:b/>
                <w:sz w:val="18"/>
                <w:szCs w:val="18"/>
              </w:rPr>
            </w:pPr>
            <w:r>
              <w:rPr>
                <w:rFonts w:cstheme="minorHAnsi"/>
                <w:b/>
                <w:sz w:val="18"/>
                <w:szCs w:val="18"/>
              </w:rPr>
              <w:t>0</w:t>
            </w:r>
          </w:p>
        </w:tc>
        <w:tc>
          <w:tcPr>
            <w:tcW w:w="0" w:type="auto"/>
          </w:tcPr>
          <w:p w14:paraId="4298464B" w14:textId="2C55763B" w:rsidR="00116F60" w:rsidRPr="007546C9" w:rsidRDefault="00116F60" w:rsidP="00E72713">
            <w:pPr>
              <w:spacing w:after="0" w:line="360" w:lineRule="auto"/>
              <w:jc w:val="center"/>
              <w:rPr>
                <w:rFonts w:cstheme="minorHAnsi"/>
                <w:b/>
                <w:sz w:val="18"/>
                <w:szCs w:val="18"/>
              </w:rPr>
            </w:pPr>
            <w:r w:rsidRPr="007546C9">
              <w:rPr>
                <w:rFonts w:cstheme="minorHAnsi"/>
                <w:b/>
                <w:sz w:val="18"/>
                <w:szCs w:val="18"/>
              </w:rPr>
              <w:t>15</w:t>
            </w:r>
          </w:p>
        </w:tc>
      </w:tr>
      <w:tr w:rsidR="00CE065A" w:rsidRPr="007546C9" w14:paraId="7EB61FDA" w14:textId="0366D5E5" w:rsidTr="006D3553">
        <w:tc>
          <w:tcPr>
            <w:tcW w:w="0" w:type="auto"/>
          </w:tcPr>
          <w:p w14:paraId="75610E72" w14:textId="59414C4A" w:rsidR="00116F60" w:rsidRPr="007546C9" w:rsidRDefault="00116F60" w:rsidP="00E72713">
            <w:pPr>
              <w:spacing w:after="0" w:line="360" w:lineRule="auto"/>
              <w:rPr>
                <w:rFonts w:cstheme="minorHAnsi"/>
                <w:sz w:val="18"/>
                <w:szCs w:val="18"/>
              </w:rPr>
            </w:pPr>
            <w:r w:rsidRPr="007546C9">
              <w:rPr>
                <w:rFonts w:cstheme="minorHAnsi"/>
                <w:sz w:val="18"/>
                <w:szCs w:val="18"/>
              </w:rPr>
              <w:t>OCHA/</w:t>
            </w:r>
            <w:r w:rsidR="00E72713">
              <w:rPr>
                <w:rFonts w:cstheme="minorHAnsi"/>
                <w:sz w:val="18"/>
                <w:szCs w:val="18"/>
              </w:rPr>
              <w:t xml:space="preserve"> </w:t>
            </w:r>
            <w:r w:rsidRPr="007546C9">
              <w:rPr>
                <w:rFonts w:cstheme="minorHAnsi"/>
                <w:sz w:val="18"/>
                <w:szCs w:val="18"/>
              </w:rPr>
              <w:t>CERF</w:t>
            </w:r>
          </w:p>
        </w:tc>
        <w:tc>
          <w:tcPr>
            <w:tcW w:w="0" w:type="auto"/>
          </w:tcPr>
          <w:p w14:paraId="277419F0" w14:textId="13C3C2CE" w:rsidR="00116F60" w:rsidRPr="007546C9" w:rsidRDefault="00116F60" w:rsidP="00E72713">
            <w:pPr>
              <w:spacing w:after="0" w:line="360" w:lineRule="auto"/>
              <w:jc w:val="center"/>
              <w:rPr>
                <w:rFonts w:cstheme="minorHAnsi"/>
                <w:sz w:val="18"/>
                <w:szCs w:val="18"/>
              </w:rPr>
            </w:pPr>
            <w:r w:rsidRPr="007546C9">
              <w:rPr>
                <w:rFonts w:cstheme="minorHAnsi"/>
                <w:sz w:val="18"/>
                <w:szCs w:val="18"/>
              </w:rPr>
              <w:t>3</w:t>
            </w:r>
          </w:p>
        </w:tc>
        <w:tc>
          <w:tcPr>
            <w:tcW w:w="0" w:type="auto"/>
          </w:tcPr>
          <w:p w14:paraId="2C13D399" w14:textId="59F0FD94" w:rsidR="00116F60" w:rsidRPr="007546C9" w:rsidRDefault="00116F60" w:rsidP="00E72713">
            <w:pPr>
              <w:spacing w:after="0" w:line="360" w:lineRule="auto"/>
              <w:jc w:val="center"/>
              <w:rPr>
                <w:rFonts w:cstheme="minorHAnsi"/>
                <w:sz w:val="18"/>
                <w:szCs w:val="18"/>
              </w:rPr>
            </w:pPr>
            <w:r w:rsidRPr="007546C9">
              <w:rPr>
                <w:rFonts w:cstheme="minorHAnsi"/>
                <w:sz w:val="18"/>
                <w:szCs w:val="18"/>
              </w:rPr>
              <w:t>5</w:t>
            </w:r>
          </w:p>
        </w:tc>
        <w:tc>
          <w:tcPr>
            <w:tcW w:w="0" w:type="auto"/>
          </w:tcPr>
          <w:p w14:paraId="6D650047" w14:textId="4FB3EE98" w:rsidR="00116F60" w:rsidRPr="007546C9" w:rsidRDefault="006D3553" w:rsidP="00E72713">
            <w:pPr>
              <w:spacing w:after="0" w:line="360" w:lineRule="auto"/>
              <w:jc w:val="center"/>
              <w:rPr>
                <w:rFonts w:cstheme="minorHAnsi"/>
                <w:sz w:val="18"/>
                <w:szCs w:val="18"/>
              </w:rPr>
            </w:pPr>
            <w:r>
              <w:rPr>
                <w:rFonts w:cstheme="minorHAnsi"/>
                <w:sz w:val="18"/>
                <w:szCs w:val="18"/>
              </w:rPr>
              <w:t>0</w:t>
            </w:r>
          </w:p>
        </w:tc>
        <w:tc>
          <w:tcPr>
            <w:tcW w:w="0" w:type="auto"/>
          </w:tcPr>
          <w:p w14:paraId="0FA94C08" w14:textId="0B9F412B" w:rsidR="00116F60" w:rsidRPr="007546C9" w:rsidRDefault="006D3553" w:rsidP="00E72713">
            <w:pPr>
              <w:spacing w:after="0" w:line="360" w:lineRule="auto"/>
              <w:jc w:val="center"/>
              <w:rPr>
                <w:rFonts w:cstheme="minorHAnsi"/>
                <w:sz w:val="18"/>
                <w:szCs w:val="18"/>
              </w:rPr>
            </w:pPr>
            <w:r>
              <w:rPr>
                <w:rFonts w:cstheme="minorHAnsi"/>
                <w:sz w:val="18"/>
                <w:szCs w:val="18"/>
              </w:rPr>
              <w:t>0</w:t>
            </w:r>
          </w:p>
        </w:tc>
        <w:tc>
          <w:tcPr>
            <w:tcW w:w="0" w:type="auto"/>
          </w:tcPr>
          <w:p w14:paraId="6CD69244" w14:textId="30A27B9C" w:rsidR="00116F60" w:rsidRPr="007546C9" w:rsidRDefault="00116F60" w:rsidP="00E72713">
            <w:pPr>
              <w:spacing w:after="0" w:line="360" w:lineRule="auto"/>
              <w:jc w:val="center"/>
              <w:rPr>
                <w:rFonts w:cstheme="minorHAnsi"/>
                <w:sz w:val="18"/>
                <w:szCs w:val="18"/>
              </w:rPr>
            </w:pPr>
            <w:r w:rsidRPr="007546C9">
              <w:rPr>
                <w:rFonts w:cstheme="minorHAnsi"/>
                <w:sz w:val="18"/>
                <w:szCs w:val="18"/>
              </w:rPr>
              <w:t>1</w:t>
            </w:r>
          </w:p>
        </w:tc>
        <w:tc>
          <w:tcPr>
            <w:tcW w:w="0" w:type="auto"/>
          </w:tcPr>
          <w:p w14:paraId="6D56CA55" w14:textId="7E40A2C4" w:rsidR="00116F60" w:rsidRPr="007546C9" w:rsidRDefault="006D3553" w:rsidP="00E72713">
            <w:pPr>
              <w:spacing w:after="0" w:line="360" w:lineRule="auto"/>
              <w:jc w:val="center"/>
              <w:rPr>
                <w:rFonts w:cstheme="minorHAnsi"/>
                <w:b/>
                <w:sz w:val="18"/>
                <w:szCs w:val="18"/>
              </w:rPr>
            </w:pPr>
            <w:r>
              <w:rPr>
                <w:rFonts w:cstheme="minorHAnsi"/>
                <w:b/>
                <w:sz w:val="18"/>
                <w:szCs w:val="18"/>
              </w:rPr>
              <w:t>0</w:t>
            </w:r>
          </w:p>
        </w:tc>
        <w:tc>
          <w:tcPr>
            <w:tcW w:w="0" w:type="auto"/>
          </w:tcPr>
          <w:p w14:paraId="1B2863DF" w14:textId="54E4ECA1" w:rsidR="00116F60" w:rsidRPr="007546C9" w:rsidRDefault="00116F60" w:rsidP="00E72713">
            <w:pPr>
              <w:spacing w:after="0" w:line="360" w:lineRule="auto"/>
              <w:jc w:val="center"/>
              <w:rPr>
                <w:rFonts w:cstheme="minorHAnsi"/>
                <w:b/>
                <w:sz w:val="18"/>
                <w:szCs w:val="18"/>
              </w:rPr>
            </w:pPr>
            <w:r w:rsidRPr="007546C9">
              <w:rPr>
                <w:rFonts w:cstheme="minorHAnsi"/>
                <w:b/>
                <w:sz w:val="18"/>
                <w:szCs w:val="18"/>
              </w:rPr>
              <w:t>9</w:t>
            </w:r>
          </w:p>
        </w:tc>
      </w:tr>
      <w:tr w:rsidR="00CE065A" w:rsidRPr="007546C9" w14:paraId="510E661C" w14:textId="77777777" w:rsidTr="006D3553">
        <w:tc>
          <w:tcPr>
            <w:tcW w:w="0" w:type="auto"/>
          </w:tcPr>
          <w:p w14:paraId="67B9ADF3" w14:textId="638D8143" w:rsidR="00116F60" w:rsidRPr="007546C9" w:rsidRDefault="00116F60" w:rsidP="00E72713">
            <w:pPr>
              <w:spacing w:after="0" w:line="360" w:lineRule="auto"/>
              <w:rPr>
                <w:rFonts w:cstheme="minorHAnsi"/>
                <w:sz w:val="18"/>
                <w:szCs w:val="18"/>
              </w:rPr>
            </w:pPr>
            <w:r w:rsidRPr="007546C9">
              <w:rPr>
                <w:rFonts w:cstheme="minorHAnsi"/>
                <w:sz w:val="18"/>
                <w:szCs w:val="18"/>
              </w:rPr>
              <w:t>ICRC</w:t>
            </w:r>
          </w:p>
        </w:tc>
        <w:tc>
          <w:tcPr>
            <w:tcW w:w="0" w:type="auto"/>
          </w:tcPr>
          <w:p w14:paraId="5953201D" w14:textId="11C94773" w:rsidR="00116F60" w:rsidRPr="007546C9" w:rsidRDefault="00116F60" w:rsidP="00E72713">
            <w:pPr>
              <w:spacing w:after="0" w:line="360" w:lineRule="auto"/>
              <w:jc w:val="center"/>
              <w:rPr>
                <w:rFonts w:cstheme="minorHAnsi"/>
                <w:sz w:val="18"/>
                <w:szCs w:val="18"/>
              </w:rPr>
            </w:pPr>
            <w:r w:rsidRPr="007546C9">
              <w:rPr>
                <w:rFonts w:cstheme="minorHAnsi"/>
                <w:sz w:val="18"/>
                <w:szCs w:val="18"/>
              </w:rPr>
              <w:t>1</w:t>
            </w:r>
          </w:p>
        </w:tc>
        <w:tc>
          <w:tcPr>
            <w:tcW w:w="0" w:type="auto"/>
          </w:tcPr>
          <w:p w14:paraId="6503D465" w14:textId="4140C553" w:rsidR="00116F60" w:rsidRPr="007546C9" w:rsidRDefault="006D3553" w:rsidP="00E72713">
            <w:pPr>
              <w:spacing w:after="0" w:line="360" w:lineRule="auto"/>
              <w:jc w:val="center"/>
              <w:rPr>
                <w:rFonts w:cstheme="minorHAnsi"/>
                <w:sz w:val="18"/>
                <w:szCs w:val="18"/>
              </w:rPr>
            </w:pPr>
            <w:r>
              <w:rPr>
                <w:rFonts w:cstheme="minorHAnsi"/>
                <w:sz w:val="18"/>
                <w:szCs w:val="18"/>
              </w:rPr>
              <w:t>0</w:t>
            </w:r>
          </w:p>
        </w:tc>
        <w:tc>
          <w:tcPr>
            <w:tcW w:w="0" w:type="auto"/>
          </w:tcPr>
          <w:p w14:paraId="7EAEE71A" w14:textId="44D52D89" w:rsidR="00116F60" w:rsidRPr="007546C9" w:rsidRDefault="006D3553" w:rsidP="00E72713">
            <w:pPr>
              <w:spacing w:after="0" w:line="360" w:lineRule="auto"/>
              <w:jc w:val="center"/>
              <w:rPr>
                <w:rFonts w:cstheme="minorHAnsi"/>
                <w:sz w:val="18"/>
                <w:szCs w:val="18"/>
              </w:rPr>
            </w:pPr>
            <w:r>
              <w:rPr>
                <w:rFonts w:cstheme="minorHAnsi"/>
                <w:sz w:val="18"/>
                <w:szCs w:val="18"/>
              </w:rPr>
              <w:t>0</w:t>
            </w:r>
          </w:p>
        </w:tc>
        <w:tc>
          <w:tcPr>
            <w:tcW w:w="0" w:type="auto"/>
          </w:tcPr>
          <w:p w14:paraId="5EF81B0E" w14:textId="78590EF2" w:rsidR="00116F60" w:rsidRPr="007546C9" w:rsidRDefault="006D3553" w:rsidP="00E72713">
            <w:pPr>
              <w:spacing w:after="0" w:line="360" w:lineRule="auto"/>
              <w:jc w:val="center"/>
              <w:rPr>
                <w:rFonts w:cstheme="minorHAnsi"/>
                <w:sz w:val="18"/>
                <w:szCs w:val="18"/>
              </w:rPr>
            </w:pPr>
            <w:r>
              <w:rPr>
                <w:rFonts w:cstheme="minorHAnsi"/>
                <w:sz w:val="18"/>
                <w:szCs w:val="18"/>
              </w:rPr>
              <w:t>0</w:t>
            </w:r>
          </w:p>
        </w:tc>
        <w:tc>
          <w:tcPr>
            <w:tcW w:w="0" w:type="auto"/>
          </w:tcPr>
          <w:p w14:paraId="6F32C54B" w14:textId="5E20405F" w:rsidR="00116F60" w:rsidRPr="007546C9" w:rsidRDefault="00116F60" w:rsidP="00E72713">
            <w:pPr>
              <w:spacing w:after="0" w:line="360" w:lineRule="auto"/>
              <w:jc w:val="center"/>
              <w:rPr>
                <w:rFonts w:cstheme="minorHAnsi"/>
                <w:sz w:val="18"/>
                <w:szCs w:val="18"/>
              </w:rPr>
            </w:pPr>
            <w:r w:rsidRPr="007546C9">
              <w:rPr>
                <w:rFonts w:cstheme="minorHAnsi"/>
                <w:sz w:val="18"/>
                <w:szCs w:val="18"/>
              </w:rPr>
              <w:t>8</w:t>
            </w:r>
          </w:p>
        </w:tc>
        <w:tc>
          <w:tcPr>
            <w:tcW w:w="0" w:type="auto"/>
          </w:tcPr>
          <w:p w14:paraId="7401FEB0" w14:textId="10B12EB2" w:rsidR="00116F60" w:rsidRPr="007546C9" w:rsidRDefault="006D3553" w:rsidP="00E72713">
            <w:pPr>
              <w:spacing w:after="0" w:line="360" w:lineRule="auto"/>
              <w:jc w:val="center"/>
              <w:rPr>
                <w:rFonts w:cstheme="minorHAnsi"/>
                <w:b/>
                <w:sz w:val="18"/>
                <w:szCs w:val="18"/>
              </w:rPr>
            </w:pPr>
            <w:r>
              <w:rPr>
                <w:rFonts w:cstheme="minorHAnsi"/>
                <w:b/>
                <w:sz w:val="18"/>
                <w:szCs w:val="18"/>
              </w:rPr>
              <w:t>0</w:t>
            </w:r>
          </w:p>
        </w:tc>
        <w:tc>
          <w:tcPr>
            <w:tcW w:w="0" w:type="auto"/>
          </w:tcPr>
          <w:p w14:paraId="09C7CCF4" w14:textId="5F26F140" w:rsidR="00116F60" w:rsidRPr="007546C9" w:rsidRDefault="00116F60" w:rsidP="00E72713">
            <w:pPr>
              <w:spacing w:after="0" w:line="360" w:lineRule="auto"/>
              <w:jc w:val="center"/>
              <w:rPr>
                <w:rFonts w:cstheme="minorHAnsi"/>
                <w:b/>
                <w:sz w:val="18"/>
                <w:szCs w:val="18"/>
              </w:rPr>
            </w:pPr>
            <w:r w:rsidRPr="007546C9">
              <w:rPr>
                <w:rFonts w:cstheme="minorHAnsi"/>
                <w:b/>
                <w:sz w:val="18"/>
                <w:szCs w:val="18"/>
              </w:rPr>
              <w:t>9</w:t>
            </w:r>
          </w:p>
        </w:tc>
      </w:tr>
    </w:tbl>
    <w:p w14:paraId="1F9C5CD9" w14:textId="77777777" w:rsidR="00A650FC" w:rsidRPr="000A5708" w:rsidRDefault="00A650FC" w:rsidP="00A650FC">
      <w:pPr>
        <w:pStyle w:val="IODbullets"/>
        <w:numPr>
          <w:ilvl w:val="0"/>
          <w:numId w:val="0"/>
        </w:numPr>
        <w:rPr>
          <w:rFonts w:asciiTheme="minorHAnsi" w:hAnsiTheme="minorHAnsi" w:cstheme="minorHAnsi"/>
          <w:sz w:val="4"/>
          <w:szCs w:val="4"/>
        </w:rPr>
      </w:pPr>
    </w:p>
    <w:p w14:paraId="4271E14A" w14:textId="7EE06E46" w:rsidR="003814B8" w:rsidRPr="008D6034" w:rsidRDefault="00A650FC" w:rsidP="00A650FC">
      <w:pPr>
        <w:pStyle w:val="IODbullets"/>
        <w:numPr>
          <w:ilvl w:val="0"/>
          <w:numId w:val="0"/>
        </w:numPr>
        <w:rPr>
          <w:rFonts w:asciiTheme="minorHAnsi" w:hAnsiTheme="minorHAnsi" w:cstheme="minorHAnsi"/>
          <w:sz w:val="20"/>
          <w:szCs w:val="20"/>
        </w:rPr>
      </w:pPr>
      <w:r w:rsidRPr="008D6034">
        <w:rPr>
          <w:rFonts w:asciiTheme="minorHAnsi" w:hAnsiTheme="minorHAnsi" w:cstheme="minorHAnsi"/>
          <w:sz w:val="20"/>
          <w:szCs w:val="20"/>
        </w:rPr>
        <w:t>*DFAT count includes consultants supporting DFAT on performance monitoring</w:t>
      </w:r>
      <w:r w:rsidR="00427D41">
        <w:rPr>
          <w:rFonts w:asciiTheme="minorHAnsi" w:hAnsiTheme="minorHAnsi" w:cstheme="minorHAnsi"/>
          <w:sz w:val="20"/>
          <w:szCs w:val="20"/>
        </w:rPr>
        <w:t>.</w:t>
      </w:r>
    </w:p>
    <w:p w14:paraId="3A04EA14" w14:textId="0AD95E9C" w:rsidR="0030690A" w:rsidRDefault="0030690A" w:rsidP="00A650FC">
      <w:pPr>
        <w:pStyle w:val="IODbullets"/>
        <w:numPr>
          <w:ilvl w:val="0"/>
          <w:numId w:val="0"/>
        </w:numPr>
        <w:rPr>
          <w:color w:val="FFFFFF" w:themeColor="background1"/>
          <w:sz w:val="44"/>
          <w:szCs w:val="28"/>
        </w:rPr>
      </w:pPr>
      <w:r>
        <w:br w:type="page"/>
      </w:r>
    </w:p>
    <w:p w14:paraId="280249C1" w14:textId="0CA9F3D8" w:rsidR="004F2E77" w:rsidRDefault="008071C1" w:rsidP="0030690A">
      <w:pPr>
        <w:pStyle w:val="Style1"/>
      </w:pPr>
      <w:r>
        <w:lastRenderedPageBreak/>
        <w:t xml:space="preserve">Annex </w:t>
      </w:r>
      <w:r w:rsidR="004A52C1">
        <w:t>4</w:t>
      </w:r>
      <w:r>
        <w:t xml:space="preserve"> </w:t>
      </w:r>
      <w:r w:rsidR="00421A07">
        <w:t>documents reviewed</w:t>
      </w:r>
    </w:p>
    <w:p w14:paraId="1442F425" w14:textId="110AF399" w:rsidR="008C5A42" w:rsidRPr="00A955CD" w:rsidRDefault="008C5A42" w:rsidP="008C5A42">
      <w:pPr>
        <w:spacing w:before="60" w:after="60" w:line="360" w:lineRule="auto"/>
        <w:rPr>
          <w:rFonts w:ascii="Arial" w:hAnsi="Arial" w:cs="Arial"/>
          <w:bCs/>
        </w:rPr>
      </w:pPr>
      <w:r w:rsidRPr="008C5A42">
        <w:rPr>
          <w:rFonts w:ascii="Arial" w:hAnsi="Arial" w:cs="Arial"/>
          <w:bCs/>
        </w:rPr>
        <w:t xml:space="preserve">Please note that many of these documents, </w:t>
      </w:r>
      <w:r>
        <w:rPr>
          <w:rFonts w:ascii="Arial" w:hAnsi="Arial" w:cs="Arial"/>
          <w:bCs/>
        </w:rPr>
        <w:t>such as the</w:t>
      </w:r>
      <w:r w:rsidRPr="008C5A42">
        <w:rPr>
          <w:rFonts w:ascii="Arial" w:hAnsi="Arial" w:cs="Arial"/>
          <w:bCs/>
        </w:rPr>
        <w:t xml:space="preserve"> agreements and performance reports referenced here</w:t>
      </w:r>
      <w:r>
        <w:rPr>
          <w:rFonts w:ascii="Arial" w:hAnsi="Arial" w:cs="Arial"/>
          <w:bCs/>
        </w:rPr>
        <w:t>,</w:t>
      </w:r>
      <w:r w:rsidRPr="008C5A42">
        <w:rPr>
          <w:rFonts w:ascii="Arial" w:hAnsi="Arial" w:cs="Arial"/>
          <w:bCs/>
        </w:rPr>
        <w:t xml:space="preserve"> are internal DFAT </w:t>
      </w:r>
      <w:r>
        <w:rPr>
          <w:rFonts w:ascii="Arial" w:hAnsi="Arial" w:cs="Arial"/>
          <w:bCs/>
        </w:rPr>
        <w:t xml:space="preserve">and / or partner </w:t>
      </w:r>
      <w:r w:rsidRPr="008C5A42">
        <w:rPr>
          <w:rFonts w:ascii="Arial" w:hAnsi="Arial" w:cs="Arial"/>
          <w:bCs/>
        </w:rPr>
        <w:t>documents and not available publicly.</w:t>
      </w:r>
      <w:r>
        <w:rPr>
          <w:rFonts w:ascii="Arial" w:hAnsi="Arial" w:cs="Arial"/>
          <w:bCs/>
        </w:rPr>
        <w:t xml:space="preserve"> </w:t>
      </w:r>
    </w:p>
    <w:p w14:paraId="33DDC6C7" w14:textId="5CC2667E" w:rsidR="00C02C18" w:rsidRPr="008445CE" w:rsidRDefault="00C02C18" w:rsidP="00C02C18">
      <w:pPr>
        <w:pStyle w:val="ListParagraph"/>
        <w:numPr>
          <w:ilvl w:val="0"/>
          <w:numId w:val="35"/>
        </w:numPr>
        <w:spacing w:before="60" w:after="60" w:line="360" w:lineRule="auto"/>
        <w:rPr>
          <w:rFonts w:ascii="Arial" w:hAnsi="Arial" w:cs="Arial"/>
          <w:bCs/>
        </w:rPr>
      </w:pPr>
      <w:r w:rsidRPr="008445CE">
        <w:rPr>
          <w:rFonts w:ascii="Arial" w:hAnsi="Arial" w:cs="Arial"/>
          <w:bCs/>
        </w:rPr>
        <w:t>Strategic Partnership Frameworks with WFP, UNHCR, OCHA, CERF and ICRC</w:t>
      </w:r>
      <w:r>
        <w:rPr>
          <w:rFonts w:ascii="Arial" w:hAnsi="Arial" w:cs="Arial"/>
          <w:bCs/>
        </w:rPr>
        <w:t xml:space="preserve"> and associated EOL template</w:t>
      </w:r>
      <w:r w:rsidR="00C16478">
        <w:rPr>
          <w:rFonts w:ascii="Arial" w:hAnsi="Arial" w:cs="Arial"/>
          <w:bCs/>
        </w:rPr>
        <w:t>s (10 documents)</w:t>
      </w:r>
    </w:p>
    <w:p w14:paraId="5E1F866D" w14:textId="25E0DABB" w:rsidR="00C02C18" w:rsidRDefault="003D0F6F" w:rsidP="00C02C18">
      <w:pPr>
        <w:pStyle w:val="ListParagraph"/>
        <w:numPr>
          <w:ilvl w:val="0"/>
          <w:numId w:val="35"/>
        </w:numPr>
        <w:spacing w:before="60" w:after="60" w:line="360" w:lineRule="auto"/>
        <w:rPr>
          <w:rFonts w:ascii="Arial" w:hAnsi="Arial" w:cs="Arial"/>
          <w:bCs/>
        </w:rPr>
      </w:pPr>
      <w:r>
        <w:rPr>
          <w:rFonts w:ascii="Arial" w:hAnsi="Arial" w:cs="Arial"/>
          <w:bCs/>
        </w:rPr>
        <w:t>Australia’s</w:t>
      </w:r>
      <w:r w:rsidR="00C02C18" w:rsidRPr="008445CE">
        <w:rPr>
          <w:rFonts w:ascii="Arial" w:hAnsi="Arial" w:cs="Arial"/>
          <w:bCs/>
        </w:rPr>
        <w:t xml:space="preserve"> International Development Policy</w:t>
      </w:r>
      <w:r>
        <w:rPr>
          <w:rFonts w:ascii="Arial" w:hAnsi="Arial" w:cs="Arial"/>
          <w:bCs/>
        </w:rPr>
        <w:t>, 2023</w:t>
      </w:r>
    </w:p>
    <w:p w14:paraId="7A74DE08" w14:textId="77777777" w:rsidR="00C02C18" w:rsidRPr="008445CE" w:rsidRDefault="00C02C18" w:rsidP="00C02C18">
      <w:pPr>
        <w:pStyle w:val="ListParagraph"/>
        <w:numPr>
          <w:ilvl w:val="0"/>
          <w:numId w:val="35"/>
        </w:numPr>
        <w:spacing w:before="60" w:after="60" w:line="360" w:lineRule="auto"/>
        <w:rPr>
          <w:rFonts w:ascii="Arial" w:hAnsi="Arial" w:cs="Arial"/>
          <w:bCs/>
        </w:rPr>
      </w:pPr>
      <w:r w:rsidRPr="008445CE">
        <w:rPr>
          <w:rFonts w:ascii="Arial" w:hAnsi="Arial" w:cs="Arial"/>
          <w:bCs/>
        </w:rPr>
        <w:t>DFAT’s thematic policies and strategies, including:</w:t>
      </w:r>
    </w:p>
    <w:p w14:paraId="7076E252" w14:textId="77777777" w:rsidR="00C02C18" w:rsidRPr="008445CE" w:rsidRDefault="00C02C18" w:rsidP="00C02C18">
      <w:pPr>
        <w:pStyle w:val="ListParagraph"/>
        <w:numPr>
          <w:ilvl w:val="1"/>
          <w:numId w:val="35"/>
        </w:numPr>
        <w:spacing w:before="60" w:after="60" w:line="360" w:lineRule="auto"/>
        <w:rPr>
          <w:rFonts w:ascii="Arial" w:hAnsi="Arial" w:cs="Arial"/>
          <w:bCs/>
        </w:rPr>
      </w:pPr>
      <w:r w:rsidRPr="008445CE">
        <w:rPr>
          <w:rFonts w:ascii="Arial" w:hAnsi="Arial" w:cs="Arial"/>
          <w:bCs/>
        </w:rPr>
        <w:t>Australia’s Humanitarian Policy</w:t>
      </w:r>
    </w:p>
    <w:p w14:paraId="1BD56917" w14:textId="77777777" w:rsidR="00C02C18" w:rsidRPr="008445CE" w:rsidRDefault="00C02C18" w:rsidP="00C02C18">
      <w:pPr>
        <w:pStyle w:val="ListParagraph"/>
        <w:numPr>
          <w:ilvl w:val="1"/>
          <w:numId w:val="35"/>
        </w:numPr>
        <w:spacing w:before="60" w:after="60" w:line="360" w:lineRule="auto"/>
        <w:rPr>
          <w:rFonts w:ascii="Arial" w:hAnsi="Arial" w:cs="Arial"/>
          <w:bCs/>
        </w:rPr>
      </w:pPr>
      <w:r w:rsidRPr="008445CE">
        <w:rPr>
          <w:rFonts w:ascii="Arial" w:hAnsi="Arial" w:cs="Arial"/>
          <w:bCs/>
        </w:rPr>
        <w:t>International Gender Equality Strategy</w:t>
      </w:r>
    </w:p>
    <w:p w14:paraId="652D5039" w14:textId="77777777" w:rsidR="00C02C18" w:rsidRDefault="00C02C18" w:rsidP="00C02C18">
      <w:pPr>
        <w:pStyle w:val="ListParagraph"/>
        <w:numPr>
          <w:ilvl w:val="1"/>
          <w:numId w:val="35"/>
        </w:numPr>
        <w:spacing w:before="60" w:after="60" w:line="360" w:lineRule="auto"/>
        <w:rPr>
          <w:rFonts w:ascii="Arial" w:hAnsi="Arial" w:cs="Arial"/>
          <w:bCs/>
        </w:rPr>
      </w:pPr>
      <w:r w:rsidRPr="008445CE">
        <w:rPr>
          <w:rFonts w:ascii="Arial" w:hAnsi="Arial" w:cs="Arial"/>
          <w:bCs/>
        </w:rPr>
        <w:t>International Disability Equity and Rights Strategy</w:t>
      </w:r>
    </w:p>
    <w:p w14:paraId="166B95BE" w14:textId="77777777" w:rsidR="00C02C18" w:rsidRPr="008445CE" w:rsidRDefault="00C02C18" w:rsidP="00C02C18">
      <w:pPr>
        <w:pStyle w:val="ListParagraph"/>
        <w:numPr>
          <w:ilvl w:val="1"/>
          <w:numId w:val="35"/>
        </w:numPr>
        <w:spacing w:before="60" w:after="60" w:line="360" w:lineRule="auto"/>
        <w:rPr>
          <w:rFonts w:ascii="Arial" w:hAnsi="Arial" w:cs="Arial"/>
          <w:bCs/>
        </w:rPr>
      </w:pPr>
      <w:r>
        <w:rPr>
          <w:rFonts w:ascii="Arial" w:hAnsi="Arial" w:cs="Arial"/>
          <w:bCs/>
        </w:rPr>
        <w:t>Climate Adaptation Strategy</w:t>
      </w:r>
    </w:p>
    <w:p w14:paraId="385C573E" w14:textId="77777777" w:rsidR="00C02C18" w:rsidRPr="008445CE" w:rsidRDefault="00C02C18" w:rsidP="00C02C18">
      <w:pPr>
        <w:pStyle w:val="ListParagraph"/>
        <w:numPr>
          <w:ilvl w:val="1"/>
          <w:numId w:val="35"/>
        </w:numPr>
        <w:spacing w:before="60" w:after="60" w:line="360" w:lineRule="auto"/>
        <w:rPr>
          <w:rFonts w:ascii="Arial" w:hAnsi="Arial" w:cs="Arial"/>
          <w:bCs/>
        </w:rPr>
      </w:pPr>
      <w:r w:rsidRPr="008445CE">
        <w:rPr>
          <w:rFonts w:ascii="Arial" w:hAnsi="Arial" w:cs="Arial"/>
          <w:bCs/>
        </w:rPr>
        <w:t>Good Practice Note on Integrating Climate Change into Development Assistance for Implementing Partners</w:t>
      </w:r>
    </w:p>
    <w:p w14:paraId="0DC6AC2A" w14:textId="77777777" w:rsidR="00C02C18" w:rsidRPr="008445CE" w:rsidRDefault="00C02C18" w:rsidP="00C02C18">
      <w:pPr>
        <w:pStyle w:val="ListParagraph"/>
        <w:numPr>
          <w:ilvl w:val="1"/>
          <w:numId w:val="35"/>
        </w:numPr>
        <w:spacing w:before="60" w:after="60" w:line="360" w:lineRule="auto"/>
        <w:rPr>
          <w:rFonts w:ascii="Arial" w:hAnsi="Arial" w:cs="Arial"/>
        </w:rPr>
      </w:pPr>
      <w:r w:rsidRPr="2A1B2668">
        <w:rPr>
          <w:rFonts w:ascii="Arial" w:hAnsi="Arial" w:cs="Arial"/>
        </w:rPr>
        <w:t>First Nations Engagement Guidance Note</w:t>
      </w:r>
    </w:p>
    <w:p w14:paraId="078268C3" w14:textId="7B928F76" w:rsidR="008F557E" w:rsidRDefault="008F557E" w:rsidP="00C02C18">
      <w:pPr>
        <w:pStyle w:val="ListParagraph"/>
        <w:numPr>
          <w:ilvl w:val="0"/>
          <w:numId w:val="35"/>
        </w:numPr>
        <w:spacing w:before="60" w:after="60" w:line="360" w:lineRule="auto"/>
        <w:rPr>
          <w:rFonts w:ascii="Arial" w:hAnsi="Arial" w:cs="Arial"/>
          <w:bCs/>
        </w:rPr>
      </w:pPr>
      <w:r>
        <w:rPr>
          <w:rFonts w:ascii="Arial" w:hAnsi="Arial" w:cs="Arial"/>
          <w:bCs/>
        </w:rPr>
        <w:t>Australia’s International Development Performance and Delivery Framework, 2023</w:t>
      </w:r>
    </w:p>
    <w:p w14:paraId="2C22E6AE" w14:textId="1388F096" w:rsidR="005D12FE" w:rsidRPr="005D12FE" w:rsidRDefault="005D12FE" w:rsidP="00C02C18">
      <w:pPr>
        <w:pStyle w:val="ListParagraph"/>
        <w:numPr>
          <w:ilvl w:val="0"/>
          <w:numId w:val="35"/>
        </w:numPr>
        <w:spacing w:before="60" w:after="60" w:line="360" w:lineRule="auto"/>
        <w:rPr>
          <w:rFonts w:ascii="Arial" w:hAnsi="Arial" w:cs="Arial"/>
          <w:bCs/>
        </w:rPr>
      </w:pPr>
      <w:r>
        <w:rPr>
          <w:rFonts w:ascii="Arial" w:hAnsi="Arial" w:cs="Arial"/>
          <w:bCs/>
        </w:rPr>
        <w:t>Performance of Australian Development Cooperation Report 2023-24</w:t>
      </w:r>
    </w:p>
    <w:p w14:paraId="148B722C" w14:textId="288538F2" w:rsidR="00C02C18" w:rsidRPr="00B975C1" w:rsidRDefault="00C02C18">
      <w:pPr>
        <w:pStyle w:val="ListParagraph"/>
        <w:numPr>
          <w:ilvl w:val="0"/>
          <w:numId w:val="35"/>
        </w:numPr>
        <w:spacing w:before="60" w:after="60" w:line="360" w:lineRule="auto"/>
        <w:rPr>
          <w:rFonts w:ascii="Arial" w:hAnsi="Arial" w:cs="Arial"/>
        </w:rPr>
      </w:pPr>
      <w:r w:rsidRPr="00B975C1">
        <w:rPr>
          <w:rFonts w:ascii="Arial" w:hAnsi="Arial" w:cs="Arial"/>
        </w:rPr>
        <w:t>Localisation Practice Note</w:t>
      </w:r>
      <w:r w:rsidRPr="00B975C1">
        <w:rPr>
          <w:rFonts w:ascii="Arial" w:hAnsi="Arial" w:cs="Arial"/>
          <w:bCs/>
        </w:rPr>
        <w:t>, Australia’s International Development Performance and Delivery Framework and relevant guidance notes and/or templates</w:t>
      </w:r>
    </w:p>
    <w:p w14:paraId="44A7AE58" w14:textId="77777777" w:rsidR="00C02C18" w:rsidRPr="008445CE" w:rsidRDefault="00C02C18" w:rsidP="00C02C18">
      <w:pPr>
        <w:pStyle w:val="ListParagraph"/>
        <w:numPr>
          <w:ilvl w:val="0"/>
          <w:numId w:val="35"/>
        </w:numPr>
        <w:spacing w:before="60" w:after="60" w:line="360" w:lineRule="auto"/>
        <w:rPr>
          <w:rFonts w:ascii="Arial" w:hAnsi="Arial" w:cs="Arial"/>
        </w:rPr>
      </w:pPr>
      <w:r w:rsidRPr="2A1B2668">
        <w:rPr>
          <w:rFonts w:ascii="Arial" w:hAnsi="Arial" w:cs="Arial"/>
        </w:rPr>
        <w:t>DFAT’s Protracted Crisis Monitoring and Evaluation Framework</w:t>
      </w:r>
    </w:p>
    <w:p w14:paraId="6FD82DD3" w14:textId="77777777" w:rsidR="00C02C18" w:rsidRPr="008445CE" w:rsidRDefault="00C02C18" w:rsidP="00C02C18">
      <w:pPr>
        <w:pStyle w:val="ListParagraph"/>
        <w:numPr>
          <w:ilvl w:val="0"/>
          <w:numId w:val="35"/>
        </w:numPr>
        <w:spacing w:before="60" w:after="60" w:line="360" w:lineRule="auto"/>
        <w:rPr>
          <w:rFonts w:ascii="Arial" w:hAnsi="Arial" w:cs="Arial"/>
          <w:bCs/>
        </w:rPr>
      </w:pPr>
      <w:r w:rsidRPr="008445CE">
        <w:rPr>
          <w:rFonts w:ascii="Arial" w:hAnsi="Arial" w:cs="Arial"/>
          <w:bCs/>
        </w:rPr>
        <w:t>DFAT’s Development Risk Management Policy and Practice Notes, and other risk management policies and/or frameworks, including:</w:t>
      </w:r>
    </w:p>
    <w:p w14:paraId="7BCE8BAB" w14:textId="29667C23" w:rsidR="00902F69" w:rsidRDefault="00902F69" w:rsidP="00C02C18">
      <w:pPr>
        <w:pStyle w:val="ListParagraph"/>
        <w:numPr>
          <w:ilvl w:val="1"/>
          <w:numId w:val="35"/>
        </w:numPr>
        <w:spacing w:before="60" w:after="60" w:line="360" w:lineRule="auto"/>
        <w:rPr>
          <w:rFonts w:ascii="Arial" w:hAnsi="Arial" w:cs="Arial"/>
          <w:bCs/>
        </w:rPr>
      </w:pPr>
      <w:r>
        <w:rPr>
          <w:rFonts w:ascii="Arial" w:hAnsi="Arial" w:cs="Arial"/>
          <w:bCs/>
        </w:rPr>
        <w:t>International Development Programming Guide (Section 10)</w:t>
      </w:r>
    </w:p>
    <w:p w14:paraId="5362D8E9" w14:textId="713E3D9C" w:rsidR="00C02C18" w:rsidRPr="008445CE" w:rsidRDefault="00C02C18" w:rsidP="00C02C18">
      <w:pPr>
        <w:pStyle w:val="ListParagraph"/>
        <w:numPr>
          <w:ilvl w:val="1"/>
          <w:numId w:val="35"/>
        </w:numPr>
        <w:spacing w:before="60" w:after="60" w:line="360" w:lineRule="auto"/>
        <w:rPr>
          <w:rFonts w:ascii="Arial" w:hAnsi="Arial" w:cs="Arial"/>
          <w:bCs/>
        </w:rPr>
      </w:pPr>
      <w:r w:rsidRPr="008445CE">
        <w:rPr>
          <w:rFonts w:ascii="Arial" w:hAnsi="Arial" w:cs="Arial"/>
          <w:bCs/>
        </w:rPr>
        <w:t>Environmental and Social Safeguard Policy</w:t>
      </w:r>
    </w:p>
    <w:p w14:paraId="122833CC" w14:textId="77777777" w:rsidR="00C02C18" w:rsidRPr="008445CE" w:rsidRDefault="00C02C18" w:rsidP="00C02C18">
      <w:pPr>
        <w:pStyle w:val="ListParagraph"/>
        <w:numPr>
          <w:ilvl w:val="1"/>
          <w:numId w:val="35"/>
        </w:numPr>
        <w:spacing w:before="60" w:after="60" w:line="360" w:lineRule="auto"/>
        <w:rPr>
          <w:rFonts w:ascii="Arial" w:hAnsi="Arial" w:cs="Arial"/>
          <w:bCs/>
        </w:rPr>
      </w:pPr>
      <w:r w:rsidRPr="008445CE">
        <w:rPr>
          <w:rFonts w:ascii="Arial" w:hAnsi="Arial" w:cs="Arial"/>
          <w:bCs/>
        </w:rPr>
        <w:t>Fraud and Corruption Control Framework</w:t>
      </w:r>
    </w:p>
    <w:p w14:paraId="2B57C1B9" w14:textId="77777777" w:rsidR="00C02C18" w:rsidRPr="008445CE" w:rsidRDefault="00C02C18" w:rsidP="00C02C18">
      <w:pPr>
        <w:pStyle w:val="ListParagraph"/>
        <w:numPr>
          <w:ilvl w:val="1"/>
          <w:numId w:val="35"/>
        </w:numPr>
        <w:spacing w:before="60" w:after="60" w:line="360" w:lineRule="auto"/>
        <w:rPr>
          <w:rFonts w:ascii="Arial" w:hAnsi="Arial" w:cs="Arial"/>
        </w:rPr>
      </w:pPr>
      <w:r w:rsidRPr="2A1B2668">
        <w:rPr>
          <w:rFonts w:ascii="Arial" w:hAnsi="Arial" w:cs="Arial"/>
        </w:rPr>
        <w:t>Managing Terrorist Resourcing Risk Guidance Note</w:t>
      </w:r>
    </w:p>
    <w:p w14:paraId="60AF9AEA" w14:textId="77777777" w:rsidR="00C02C18" w:rsidRPr="008445CE" w:rsidRDefault="00C02C18" w:rsidP="00C02C18">
      <w:pPr>
        <w:pStyle w:val="ListParagraph"/>
        <w:numPr>
          <w:ilvl w:val="1"/>
          <w:numId w:val="35"/>
        </w:numPr>
        <w:spacing w:before="60" w:after="60" w:line="360" w:lineRule="auto"/>
        <w:rPr>
          <w:rFonts w:ascii="Arial" w:hAnsi="Arial" w:cs="Arial"/>
        </w:rPr>
      </w:pPr>
      <w:r w:rsidRPr="2A1B2668">
        <w:rPr>
          <w:rFonts w:ascii="Arial" w:hAnsi="Arial" w:cs="Arial"/>
        </w:rPr>
        <w:t>Child Protection Policy</w:t>
      </w:r>
    </w:p>
    <w:p w14:paraId="4BD6F280" w14:textId="77777777" w:rsidR="00C02C18" w:rsidRDefault="00C02C18" w:rsidP="00C02C18">
      <w:pPr>
        <w:pStyle w:val="ListParagraph"/>
        <w:numPr>
          <w:ilvl w:val="1"/>
          <w:numId w:val="35"/>
        </w:numPr>
        <w:spacing w:before="60" w:after="60" w:line="360" w:lineRule="auto"/>
        <w:rPr>
          <w:rFonts w:ascii="Arial" w:hAnsi="Arial" w:cs="Arial"/>
          <w:bCs/>
        </w:rPr>
      </w:pPr>
      <w:r w:rsidRPr="008445CE">
        <w:rPr>
          <w:rFonts w:ascii="Arial" w:hAnsi="Arial" w:cs="Arial"/>
          <w:bCs/>
        </w:rPr>
        <w:t>Preventing Sexual Exploitation, Abuse and Harassment Policy</w:t>
      </w:r>
    </w:p>
    <w:p w14:paraId="1021FD22" w14:textId="0A691E67" w:rsidR="00C02C18" w:rsidRPr="000430BC" w:rsidRDefault="00C02C18" w:rsidP="00C02C18">
      <w:pPr>
        <w:pStyle w:val="ListParagraph"/>
        <w:numPr>
          <w:ilvl w:val="0"/>
          <w:numId w:val="35"/>
        </w:numPr>
        <w:spacing w:before="60" w:after="60" w:line="360" w:lineRule="auto"/>
        <w:rPr>
          <w:rFonts w:ascii="Arial" w:hAnsi="Arial" w:cs="Arial"/>
        </w:rPr>
      </w:pPr>
      <w:r>
        <w:t xml:space="preserve">Annual Multilateral Performance </w:t>
      </w:r>
      <w:r w:rsidR="00475631">
        <w:t xml:space="preserve">Assessment </w:t>
      </w:r>
      <w:r w:rsidR="00CA54AA">
        <w:t xml:space="preserve">pilot </w:t>
      </w:r>
      <w:r w:rsidRPr="2A1B2668">
        <w:rPr>
          <w:rFonts w:ascii="Arial" w:hAnsi="Arial" w:cs="Arial"/>
        </w:rPr>
        <w:t>completed for WFP (MPA)</w:t>
      </w:r>
    </w:p>
    <w:p w14:paraId="02F8B2A9" w14:textId="00803E9B" w:rsidR="00C02C18" w:rsidRPr="000430BC" w:rsidRDefault="00C16478" w:rsidP="00C02C18">
      <w:pPr>
        <w:pStyle w:val="ListParagraph"/>
        <w:numPr>
          <w:ilvl w:val="0"/>
          <w:numId w:val="35"/>
        </w:numPr>
        <w:spacing w:before="60" w:after="60" w:line="360" w:lineRule="auto"/>
        <w:rPr>
          <w:rFonts w:ascii="Arial" w:hAnsi="Arial" w:cs="Arial"/>
        </w:rPr>
      </w:pPr>
      <w:r>
        <w:rPr>
          <w:rFonts w:ascii="Arial" w:hAnsi="Arial" w:cs="Arial"/>
        </w:rPr>
        <w:t>R</w:t>
      </w:r>
      <w:r w:rsidR="00C02C18" w:rsidRPr="2A1B2668">
        <w:rPr>
          <w:rFonts w:ascii="Arial" w:hAnsi="Arial" w:cs="Arial"/>
        </w:rPr>
        <w:t xml:space="preserve">eporting provided by WFP and UNHCR for the response in </w:t>
      </w:r>
      <w:r w:rsidR="00C02C18" w:rsidRPr="00C16478">
        <w:rPr>
          <w:rFonts w:ascii="Arial" w:hAnsi="Arial" w:cs="Arial"/>
        </w:rPr>
        <w:t>Bangladesh</w:t>
      </w:r>
      <w:r w:rsidR="00C02C18" w:rsidRPr="2A1B2668">
        <w:rPr>
          <w:rFonts w:ascii="Arial" w:hAnsi="Arial" w:cs="Arial"/>
        </w:rPr>
        <w:t xml:space="preserve"> since 2022, including</w:t>
      </w:r>
    </w:p>
    <w:p w14:paraId="19EA9E71" w14:textId="298B6877" w:rsidR="00C02C18" w:rsidRPr="000430BC" w:rsidRDefault="00C02C18" w:rsidP="00C02C18">
      <w:pPr>
        <w:pStyle w:val="ListParagraph"/>
        <w:numPr>
          <w:ilvl w:val="1"/>
          <w:numId w:val="35"/>
        </w:numPr>
        <w:spacing w:before="60" w:after="60" w:line="360" w:lineRule="auto"/>
        <w:rPr>
          <w:rFonts w:ascii="Arial" w:hAnsi="Arial" w:cs="Arial"/>
          <w:bCs/>
        </w:rPr>
      </w:pPr>
      <w:bookmarkStart w:id="29" w:name="OLE_LINK65"/>
      <w:r w:rsidRPr="000430BC">
        <w:rPr>
          <w:rFonts w:ascii="Arial" w:hAnsi="Arial" w:cs="Arial"/>
          <w:bCs/>
        </w:rPr>
        <w:t>EOLs for WFP and UN</w:t>
      </w:r>
      <w:r w:rsidR="00E62630">
        <w:rPr>
          <w:rFonts w:ascii="Arial" w:hAnsi="Arial" w:cs="Arial"/>
          <w:bCs/>
        </w:rPr>
        <w:t>HC</w:t>
      </w:r>
      <w:r w:rsidRPr="000430BC">
        <w:rPr>
          <w:rFonts w:ascii="Arial" w:hAnsi="Arial" w:cs="Arial"/>
          <w:bCs/>
        </w:rPr>
        <w:t>R for response in Bangladesh signed since 2022.</w:t>
      </w:r>
    </w:p>
    <w:p w14:paraId="58CD0C80" w14:textId="06384D18" w:rsidR="00C02C18" w:rsidRPr="000430BC" w:rsidRDefault="00C02C18" w:rsidP="00C02C18">
      <w:pPr>
        <w:pStyle w:val="ListParagraph"/>
        <w:numPr>
          <w:ilvl w:val="1"/>
          <w:numId w:val="35"/>
        </w:numPr>
        <w:spacing w:line="360" w:lineRule="auto"/>
      </w:pPr>
      <w:r w:rsidRPr="000430BC">
        <w:t xml:space="preserve">Humanitarian Investment Monitoring Reports </w:t>
      </w:r>
      <w:bookmarkEnd w:id="29"/>
      <w:r w:rsidRPr="000430BC">
        <w:t>(HIMR)</w:t>
      </w:r>
      <w:r w:rsidR="00A879A0">
        <w:t xml:space="preserve"> for </w:t>
      </w:r>
    </w:p>
    <w:p w14:paraId="4D6564DD" w14:textId="68271991" w:rsidR="00C02C18" w:rsidRDefault="00C02C18" w:rsidP="00C02C18">
      <w:pPr>
        <w:pStyle w:val="ListParagraph"/>
        <w:numPr>
          <w:ilvl w:val="1"/>
          <w:numId w:val="35"/>
        </w:numPr>
        <w:spacing w:before="60" w:after="60" w:line="360" w:lineRule="auto"/>
        <w:rPr>
          <w:rFonts w:ascii="Arial" w:hAnsi="Arial" w:cs="Arial"/>
          <w:bCs/>
        </w:rPr>
      </w:pPr>
      <w:r w:rsidRPr="000430BC">
        <w:t>Partner Performance Assessments (PPA)</w:t>
      </w:r>
      <w:r w:rsidR="00A879A0">
        <w:rPr>
          <w:rFonts w:ascii="Arial" w:hAnsi="Arial" w:cs="Arial"/>
          <w:bCs/>
        </w:rPr>
        <w:t xml:space="preserve"> for WFP and UNHCR in Bangladesh</w:t>
      </w:r>
      <w:r w:rsidR="002417B6">
        <w:rPr>
          <w:rFonts w:ascii="Arial" w:hAnsi="Arial" w:cs="Arial"/>
          <w:bCs/>
        </w:rPr>
        <w:t xml:space="preserve"> 2022, 2023, 2024, 2025</w:t>
      </w:r>
    </w:p>
    <w:p w14:paraId="09BD086A" w14:textId="07A847C5" w:rsidR="002417B6" w:rsidRDefault="002417B6" w:rsidP="00C02C18">
      <w:pPr>
        <w:pStyle w:val="ListParagraph"/>
        <w:numPr>
          <w:ilvl w:val="1"/>
          <w:numId w:val="35"/>
        </w:numPr>
        <w:spacing w:before="60" w:after="60" w:line="360" w:lineRule="auto"/>
        <w:rPr>
          <w:rFonts w:ascii="Arial" w:hAnsi="Arial" w:cs="Arial"/>
          <w:bCs/>
        </w:rPr>
      </w:pPr>
      <w:r>
        <w:rPr>
          <w:rFonts w:ascii="Arial" w:hAnsi="Arial" w:cs="Arial"/>
          <w:bCs/>
        </w:rPr>
        <w:t xml:space="preserve">UNHCR Bangladesh 8+3 report, </w:t>
      </w:r>
      <w:r w:rsidR="00DC1FF5">
        <w:rPr>
          <w:rFonts w:ascii="Arial" w:hAnsi="Arial" w:cs="Arial"/>
          <w:bCs/>
        </w:rPr>
        <w:t>2024</w:t>
      </w:r>
    </w:p>
    <w:p w14:paraId="497E6CCC" w14:textId="08320F1E" w:rsidR="00DC1FF5" w:rsidRDefault="00DC1FF5" w:rsidP="00C02C18">
      <w:pPr>
        <w:pStyle w:val="ListParagraph"/>
        <w:numPr>
          <w:ilvl w:val="1"/>
          <w:numId w:val="35"/>
        </w:numPr>
        <w:spacing w:before="60" w:after="60" w:line="360" w:lineRule="auto"/>
        <w:rPr>
          <w:rFonts w:ascii="Arial" w:hAnsi="Arial" w:cs="Arial"/>
          <w:bCs/>
        </w:rPr>
      </w:pPr>
      <w:r>
        <w:rPr>
          <w:rFonts w:ascii="Arial" w:hAnsi="Arial" w:cs="Arial"/>
          <w:bCs/>
        </w:rPr>
        <w:t xml:space="preserve">WFP Bangladesh 8+3 report, </w:t>
      </w:r>
      <w:r w:rsidR="006A49EF">
        <w:rPr>
          <w:rFonts w:ascii="Arial" w:hAnsi="Arial" w:cs="Arial"/>
          <w:bCs/>
        </w:rPr>
        <w:t>2023</w:t>
      </w:r>
    </w:p>
    <w:p w14:paraId="28809618" w14:textId="2E1F4285" w:rsidR="004A2D92" w:rsidRDefault="000E157B" w:rsidP="000E157B">
      <w:pPr>
        <w:pStyle w:val="ListParagraph"/>
        <w:numPr>
          <w:ilvl w:val="1"/>
          <w:numId w:val="35"/>
        </w:numPr>
        <w:spacing w:before="60" w:after="60" w:line="360" w:lineRule="auto"/>
        <w:rPr>
          <w:rFonts w:ascii="Arial" w:hAnsi="Arial" w:cs="Arial"/>
          <w:bCs/>
        </w:rPr>
      </w:pPr>
      <w:r>
        <w:rPr>
          <w:rFonts w:ascii="Arial" w:hAnsi="Arial" w:cs="Arial"/>
          <w:bCs/>
        </w:rPr>
        <w:t xml:space="preserve">UN ISCG, </w:t>
      </w:r>
      <w:r w:rsidRPr="000E157B">
        <w:rPr>
          <w:rFonts w:ascii="Arial" w:hAnsi="Arial" w:cs="Arial"/>
          <w:bCs/>
        </w:rPr>
        <w:t>2023 Report on the Joint Response Plan for the Rohingya Humanitarian Crisis</w:t>
      </w:r>
      <w:r>
        <w:rPr>
          <w:rFonts w:ascii="Arial" w:hAnsi="Arial" w:cs="Arial"/>
          <w:bCs/>
        </w:rPr>
        <w:t xml:space="preserve">, </w:t>
      </w:r>
      <w:r w:rsidR="00D671D8">
        <w:rPr>
          <w:rFonts w:ascii="Arial" w:hAnsi="Arial" w:cs="Arial"/>
          <w:bCs/>
        </w:rPr>
        <w:t>B</w:t>
      </w:r>
      <w:r w:rsidR="00D671D8" w:rsidRPr="000E157B">
        <w:rPr>
          <w:rFonts w:ascii="Arial" w:hAnsi="Arial" w:cs="Arial"/>
          <w:bCs/>
        </w:rPr>
        <w:t>angladesh</w:t>
      </w:r>
    </w:p>
    <w:p w14:paraId="68B999E2" w14:textId="0599E46A" w:rsidR="00B902AA" w:rsidRPr="000E157B" w:rsidRDefault="00B902AA" w:rsidP="00B902AA">
      <w:pPr>
        <w:pStyle w:val="ListParagraph"/>
        <w:numPr>
          <w:ilvl w:val="0"/>
          <w:numId w:val="35"/>
        </w:numPr>
        <w:spacing w:before="60" w:after="60" w:line="360" w:lineRule="auto"/>
        <w:rPr>
          <w:rFonts w:ascii="Arial" w:hAnsi="Arial" w:cs="Arial"/>
          <w:bCs/>
        </w:rPr>
      </w:pPr>
      <w:r>
        <w:rPr>
          <w:rFonts w:ascii="Arial" w:hAnsi="Arial" w:cs="Arial"/>
          <w:bCs/>
        </w:rPr>
        <w:t>DFAT HPD IMR and FIMR synthesis and performance dashboard for 2023 and 2024</w:t>
      </w:r>
    </w:p>
    <w:p w14:paraId="7672ED05" w14:textId="203DCB6B" w:rsidR="00250FA4" w:rsidRDefault="00250FA4" w:rsidP="0062634C">
      <w:pPr>
        <w:pStyle w:val="ListParagraph"/>
        <w:numPr>
          <w:ilvl w:val="0"/>
          <w:numId w:val="35"/>
        </w:numPr>
        <w:spacing w:before="60" w:after="60" w:line="360" w:lineRule="auto"/>
        <w:rPr>
          <w:rFonts w:ascii="Arial" w:hAnsi="Arial" w:cs="Arial"/>
          <w:bCs/>
        </w:rPr>
      </w:pPr>
      <w:r w:rsidRPr="00250FA4">
        <w:rPr>
          <w:rFonts w:ascii="Arial" w:hAnsi="Arial" w:cs="Arial"/>
          <w:bCs/>
        </w:rPr>
        <w:lastRenderedPageBreak/>
        <w:t xml:space="preserve">Patrick Saez, Lewis Sida, Rachel Silverman, and Rose Worden. 2021. “Improving Performance in the Multilateral Humanitarian System: New Models of Donorship.” CGD Policy Paper 214. Washington, DC: </w:t>
      </w:r>
      <w:proofErr w:type="spellStart"/>
      <w:r w:rsidRPr="00250FA4">
        <w:rPr>
          <w:rFonts w:ascii="Arial" w:hAnsi="Arial" w:cs="Arial"/>
          <w:bCs/>
        </w:rPr>
        <w:t>Center</w:t>
      </w:r>
      <w:proofErr w:type="spellEnd"/>
      <w:r w:rsidRPr="00250FA4">
        <w:rPr>
          <w:rFonts w:ascii="Arial" w:hAnsi="Arial" w:cs="Arial"/>
          <w:bCs/>
        </w:rPr>
        <w:t xml:space="preserve"> for Global Development. </w:t>
      </w:r>
      <w:hyperlink r:id="rId23" w:history="1">
        <w:r w:rsidR="0062634C" w:rsidRPr="009A04CB">
          <w:rPr>
            <w:rStyle w:val="Hyperlink"/>
            <w:rFonts w:ascii="Arial" w:hAnsi="Arial" w:cs="Arial"/>
            <w:bCs/>
          </w:rPr>
          <w:t>https://www.cgdev.org/publication/improving-performance-multilateral-humanitarian-system-new-modelsdonorship</w:t>
        </w:r>
      </w:hyperlink>
      <w:r w:rsidR="0062634C">
        <w:rPr>
          <w:rFonts w:ascii="Arial" w:hAnsi="Arial" w:cs="Arial"/>
          <w:bCs/>
        </w:rPr>
        <w:t xml:space="preserve"> </w:t>
      </w:r>
    </w:p>
    <w:p w14:paraId="5461192F" w14:textId="35EB03B9" w:rsidR="007F6B4D" w:rsidRDefault="007F6B4D" w:rsidP="0062634C">
      <w:pPr>
        <w:pStyle w:val="ListParagraph"/>
        <w:numPr>
          <w:ilvl w:val="0"/>
          <w:numId w:val="35"/>
        </w:numPr>
        <w:spacing w:before="60" w:after="60" w:line="360" w:lineRule="auto"/>
        <w:rPr>
          <w:rFonts w:ascii="Arial" w:hAnsi="Arial" w:cs="Arial"/>
          <w:bCs/>
        </w:rPr>
      </w:pPr>
      <w:r>
        <w:rPr>
          <w:rFonts w:ascii="Arial" w:hAnsi="Arial" w:cs="Arial"/>
          <w:bCs/>
        </w:rPr>
        <w:t xml:space="preserve">DFAT, Australia in the World Snapshot, 2025, </w:t>
      </w:r>
      <w:hyperlink r:id="rId24" w:history="1">
        <w:r w:rsidR="005C4B3B" w:rsidRPr="009A04CB">
          <w:rPr>
            <w:rStyle w:val="Hyperlink"/>
            <w:rFonts w:ascii="Arial" w:hAnsi="Arial" w:cs="Arial"/>
            <w:bCs/>
          </w:rPr>
          <w:t>https://www.dfat.gov.au/publications/international-relations/australia-world-2025-snapshot</w:t>
        </w:r>
      </w:hyperlink>
      <w:r w:rsidR="005C4B3B">
        <w:rPr>
          <w:rFonts w:ascii="Arial" w:hAnsi="Arial" w:cs="Arial"/>
          <w:bCs/>
        </w:rPr>
        <w:t xml:space="preserve"> </w:t>
      </w:r>
    </w:p>
    <w:p w14:paraId="148FD34A" w14:textId="265919F5" w:rsidR="00F758FE" w:rsidRDefault="00F758FE" w:rsidP="0062634C">
      <w:pPr>
        <w:pStyle w:val="ListParagraph"/>
        <w:numPr>
          <w:ilvl w:val="0"/>
          <w:numId w:val="35"/>
        </w:numPr>
        <w:spacing w:before="60" w:after="60" w:line="360" w:lineRule="auto"/>
        <w:rPr>
          <w:rFonts w:ascii="Arial" w:hAnsi="Arial" w:cs="Arial"/>
          <w:bCs/>
        </w:rPr>
      </w:pPr>
      <w:r>
        <w:rPr>
          <w:rFonts w:ascii="Arial" w:hAnsi="Arial" w:cs="Arial"/>
          <w:bCs/>
        </w:rPr>
        <w:t>SPF and EOL financial data</w:t>
      </w:r>
      <w:r w:rsidR="00DE157C">
        <w:rPr>
          <w:rFonts w:ascii="Arial" w:hAnsi="Arial" w:cs="Arial"/>
          <w:bCs/>
        </w:rPr>
        <w:t xml:space="preserve"> 2017-18 to 2024-25</w:t>
      </w:r>
    </w:p>
    <w:p w14:paraId="5CB63AE3" w14:textId="46D4AA07" w:rsidR="00502011" w:rsidRPr="0057034E" w:rsidRDefault="00502011" w:rsidP="00967F2F">
      <w:pPr>
        <w:pStyle w:val="ListParagraph"/>
        <w:numPr>
          <w:ilvl w:val="0"/>
          <w:numId w:val="35"/>
        </w:numPr>
        <w:spacing w:before="60" w:after="60" w:line="360" w:lineRule="auto"/>
        <w:rPr>
          <w:rFonts w:ascii="Arial" w:hAnsi="Arial" w:cs="Arial"/>
          <w:bCs/>
        </w:rPr>
      </w:pPr>
      <w:r>
        <w:rPr>
          <w:rFonts w:ascii="Arial" w:hAnsi="Arial" w:cs="Arial"/>
          <w:bCs/>
        </w:rPr>
        <w:t xml:space="preserve">UNHCR Flexible and Unearmarked Funding Report, </w:t>
      </w:r>
      <w:r w:rsidR="00967F2F">
        <w:rPr>
          <w:rFonts w:ascii="Arial" w:hAnsi="Arial" w:cs="Arial"/>
          <w:bCs/>
        </w:rPr>
        <w:t xml:space="preserve">2024, </w:t>
      </w:r>
      <w:hyperlink r:id="rId25" w:tgtFrame="_blank" w:history="1">
        <w:r w:rsidR="00967F2F" w:rsidRPr="0057034E">
          <w:rPr>
            <w:rStyle w:val="Hyperlink"/>
            <w:rFonts w:ascii="Arial" w:hAnsi="Arial" w:cs="Arial"/>
            <w:bCs/>
          </w:rPr>
          <w:t>https://reporting.unhcr.org/flexible-funding-2024</w:t>
        </w:r>
      </w:hyperlink>
    </w:p>
    <w:p w14:paraId="558B8E1D" w14:textId="1A79436D" w:rsidR="00EB4C37" w:rsidRDefault="00EB4C37" w:rsidP="0057034E">
      <w:pPr>
        <w:pStyle w:val="ListParagraph"/>
        <w:numPr>
          <w:ilvl w:val="0"/>
          <w:numId w:val="35"/>
        </w:numPr>
        <w:spacing w:before="60" w:after="60" w:line="360" w:lineRule="auto"/>
        <w:rPr>
          <w:rFonts w:ascii="Arial" w:hAnsi="Arial" w:cs="Arial"/>
          <w:bCs/>
        </w:rPr>
      </w:pPr>
      <w:r>
        <w:rPr>
          <w:rFonts w:ascii="Arial" w:hAnsi="Arial" w:cs="Arial"/>
          <w:bCs/>
        </w:rPr>
        <w:t xml:space="preserve">IOD Parc </w:t>
      </w:r>
      <w:r w:rsidR="004E4471">
        <w:rPr>
          <w:rFonts w:ascii="Arial" w:hAnsi="Arial" w:cs="Arial"/>
          <w:bCs/>
        </w:rPr>
        <w:t>Performance Arrangement</w:t>
      </w:r>
      <w:r>
        <w:rPr>
          <w:rFonts w:ascii="Arial" w:hAnsi="Arial" w:cs="Arial"/>
          <w:bCs/>
        </w:rPr>
        <w:t xml:space="preserve">, baseline report (2022), annual reports (2023, 2024) and </w:t>
      </w:r>
      <w:r w:rsidR="000C6C0E">
        <w:rPr>
          <w:rFonts w:ascii="Arial" w:hAnsi="Arial" w:cs="Arial"/>
          <w:bCs/>
        </w:rPr>
        <w:t>tr</w:t>
      </w:r>
      <w:r>
        <w:rPr>
          <w:rFonts w:ascii="Arial" w:hAnsi="Arial" w:cs="Arial"/>
          <w:bCs/>
        </w:rPr>
        <w:t>end analysis (2025).</w:t>
      </w:r>
    </w:p>
    <w:p w14:paraId="32F23C82" w14:textId="344BC745" w:rsidR="0057034E" w:rsidRPr="0057034E" w:rsidRDefault="0057034E" w:rsidP="0057034E">
      <w:pPr>
        <w:pStyle w:val="ListParagraph"/>
        <w:numPr>
          <w:ilvl w:val="0"/>
          <w:numId w:val="35"/>
        </w:numPr>
        <w:spacing w:before="60" w:after="60" w:line="360" w:lineRule="auto"/>
        <w:rPr>
          <w:rFonts w:ascii="Arial" w:hAnsi="Arial" w:cs="Arial"/>
          <w:bCs/>
        </w:rPr>
      </w:pPr>
      <w:r w:rsidRPr="0057034E">
        <w:rPr>
          <w:rFonts w:ascii="Arial" w:hAnsi="Arial" w:cs="Arial"/>
          <w:bCs/>
        </w:rPr>
        <w:t xml:space="preserve">Praxis Consultants (2025) DFAT Humanitarian Investments, Gender </w:t>
      </w:r>
      <w:r w:rsidR="002F78C6">
        <w:rPr>
          <w:rFonts w:ascii="Arial" w:hAnsi="Arial" w:cs="Arial"/>
          <w:bCs/>
        </w:rPr>
        <w:t>E</w:t>
      </w:r>
      <w:r w:rsidRPr="0057034E">
        <w:rPr>
          <w:rFonts w:ascii="Arial" w:hAnsi="Arial" w:cs="Arial"/>
          <w:bCs/>
        </w:rPr>
        <w:t xml:space="preserve">quality, </w:t>
      </w:r>
      <w:r w:rsidR="000E5240">
        <w:rPr>
          <w:rFonts w:ascii="Arial" w:hAnsi="Arial" w:cs="Arial"/>
          <w:bCs/>
        </w:rPr>
        <w:t>D</w:t>
      </w:r>
      <w:r w:rsidR="000E5240" w:rsidRPr="0057034E">
        <w:rPr>
          <w:rFonts w:ascii="Arial" w:hAnsi="Arial" w:cs="Arial"/>
          <w:bCs/>
        </w:rPr>
        <w:t xml:space="preserve">isability </w:t>
      </w:r>
      <w:r w:rsidR="000E5240">
        <w:rPr>
          <w:rFonts w:ascii="Arial" w:hAnsi="Arial" w:cs="Arial"/>
          <w:bCs/>
        </w:rPr>
        <w:t>I</w:t>
      </w:r>
      <w:r w:rsidR="000E5240" w:rsidRPr="0057034E">
        <w:rPr>
          <w:rFonts w:ascii="Arial" w:hAnsi="Arial" w:cs="Arial"/>
          <w:bCs/>
        </w:rPr>
        <w:t xml:space="preserve">nclusion </w:t>
      </w:r>
      <w:r w:rsidRPr="0057034E">
        <w:rPr>
          <w:rFonts w:ascii="Arial" w:hAnsi="Arial" w:cs="Arial"/>
          <w:bCs/>
        </w:rPr>
        <w:t xml:space="preserve">and </w:t>
      </w:r>
      <w:r w:rsidR="000E5240">
        <w:rPr>
          <w:rFonts w:ascii="Arial" w:hAnsi="Arial" w:cs="Arial"/>
          <w:bCs/>
        </w:rPr>
        <w:t>L</w:t>
      </w:r>
      <w:r w:rsidRPr="0057034E">
        <w:rPr>
          <w:rFonts w:ascii="Arial" w:hAnsi="Arial" w:cs="Arial"/>
          <w:bCs/>
        </w:rPr>
        <w:t xml:space="preserve">ocalisation </w:t>
      </w:r>
      <w:r w:rsidR="002F78C6">
        <w:rPr>
          <w:rFonts w:ascii="Arial" w:hAnsi="Arial" w:cs="Arial"/>
          <w:bCs/>
        </w:rPr>
        <w:t>A</w:t>
      </w:r>
      <w:r w:rsidRPr="0057034E">
        <w:rPr>
          <w:rFonts w:ascii="Arial" w:hAnsi="Arial" w:cs="Arial"/>
          <w:bCs/>
        </w:rPr>
        <w:t>ssessment, 202</w:t>
      </w:r>
      <w:r w:rsidR="00DF6372">
        <w:rPr>
          <w:rFonts w:ascii="Arial" w:hAnsi="Arial" w:cs="Arial"/>
          <w:bCs/>
        </w:rPr>
        <w:t>4</w:t>
      </w:r>
    </w:p>
    <w:p w14:paraId="53E83724" w14:textId="2FDF1476" w:rsidR="00A21975" w:rsidRDefault="00AA3448">
      <w:pPr>
        <w:pStyle w:val="ListParagraph"/>
        <w:numPr>
          <w:ilvl w:val="0"/>
          <w:numId w:val="35"/>
        </w:numPr>
        <w:spacing w:before="60" w:after="60" w:line="360" w:lineRule="auto"/>
        <w:rPr>
          <w:rFonts w:ascii="Arial" w:hAnsi="Arial" w:cs="Arial"/>
          <w:bCs/>
        </w:rPr>
      </w:pPr>
      <w:r w:rsidRPr="00A21975">
        <w:rPr>
          <w:rFonts w:ascii="Arial" w:hAnsi="Arial" w:cs="Arial"/>
          <w:bCs/>
        </w:rPr>
        <w:t xml:space="preserve">Bluebird Consultants </w:t>
      </w:r>
      <w:r w:rsidR="003F7C1F" w:rsidRPr="00A21975">
        <w:rPr>
          <w:rFonts w:ascii="Arial" w:hAnsi="Arial" w:cs="Arial"/>
          <w:bCs/>
        </w:rPr>
        <w:t>2023 HPD Qua</w:t>
      </w:r>
      <w:r w:rsidR="00DB5546" w:rsidRPr="00A21975">
        <w:rPr>
          <w:rFonts w:ascii="Arial" w:hAnsi="Arial" w:cs="Arial"/>
          <w:bCs/>
        </w:rPr>
        <w:t>lity</w:t>
      </w:r>
      <w:r w:rsidR="003F7C1F" w:rsidRPr="00A21975">
        <w:rPr>
          <w:rFonts w:ascii="Arial" w:hAnsi="Arial" w:cs="Arial"/>
          <w:bCs/>
        </w:rPr>
        <w:t xml:space="preserve"> Reporting Synthesis</w:t>
      </w:r>
      <w:r w:rsidR="00C03A56" w:rsidRPr="00A21975">
        <w:rPr>
          <w:rFonts w:ascii="Arial" w:hAnsi="Arial" w:cs="Arial"/>
          <w:bCs/>
        </w:rPr>
        <w:t xml:space="preserve"> and </w:t>
      </w:r>
      <w:r w:rsidR="0057034E" w:rsidRPr="00A21975">
        <w:rPr>
          <w:rFonts w:ascii="Arial" w:hAnsi="Arial" w:cs="Arial"/>
          <w:bCs/>
        </w:rPr>
        <w:t>Synthesis of Humanitarian Investments from 2024</w:t>
      </w:r>
      <w:r w:rsidR="00C03A56" w:rsidRPr="00A21975">
        <w:rPr>
          <w:rFonts w:ascii="Arial" w:hAnsi="Arial" w:cs="Arial"/>
          <w:bCs/>
        </w:rPr>
        <w:t>, and HPD performance dashboard</w:t>
      </w:r>
      <w:r w:rsidR="00014EA7" w:rsidRPr="00A21975">
        <w:rPr>
          <w:rFonts w:ascii="Arial" w:hAnsi="Arial" w:cs="Arial"/>
          <w:bCs/>
        </w:rPr>
        <w:t xml:space="preserve"> </w:t>
      </w:r>
    </w:p>
    <w:sectPr w:rsidR="00A21975" w:rsidSect="00702C2D">
      <w:pgSz w:w="11906" w:h="16838" w:code="9"/>
      <w:pgMar w:top="1814" w:right="1134" w:bottom="1134" w:left="1134" w:header="851" w:footer="454" w:gutter="0"/>
      <w:pgBorders w:offsetFrom="page">
        <w:top w:val="single" w:sz="48" w:space="0" w:color="1D336D" w:themeColor="background2"/>
        <w:left w:val="single" w:sz="48" w:space="0" w:color="1D336D" w:themeColor="background2"/>
        <w:bottom w:val="single" w:sz="48" w:space="0" w:color="1D336D" w:themeColor="background2"/>
        <w:right w:val="single" w:sz="48" w:space="0" w:color="1D336D" w:themeColor="background2"/>
      </w:pgBorders>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CFB41" w14:textId="77777777" w:rsidR="00D50435" w:rsidRDefault="00D50435" w:rsidP="00473290">
      <w:r>
        <w:separator/>
      </w:r>
    </w:p>
  </w:endnote>
  <w:endnote w:type="continuationSeparator" w:id="0">
    <w:p w14:paraId="4BBE9D1A" w14:textId="77777777" w:rsidR="00D50435" w:rsidRDefault="00D50435" w:rsidP="00473290">
      <w:r>
        <w:continuationSeparator/>
      </w:r>
    </w:p>
  </w:endnote>
  <w:endnote w:type="continuationNotice" w:id="1">
    <w:p w14:paraId="401CA115" w14:textId="77777777" w:rsidR="00D50435" w:rsidRDefault="00D504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pid C1 SCd Regular">
    <w:altName w:val="Arial"/>
    <w:charset w:val="00"/>
    <w:family w:val="swiss"/>
    <w:pitch w:val="variable"/>
    <w:sig w:usb0="A00000E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9137" w14:textId="77777777" w:rsidR="00A5739C" w:rsidRDefault="00A5739C" w:rsidP="009D07D2">
    <w:pPr>
      <w:pStyle w:val="Footer"/>
    </w:pPr>
  </w:p>
  <w:p w14:paraId="6729B169" w14:textId="77777777" w:rsidR="00A5739C" w:rsidRDefault="00A5739C" w:rsidP="009D07D2">
    <w:pPr>
      <w:pStyle w:val="Footer"/>
    </w:pPr>
  </w:p>
  <w:p w14:paraId="4587FF75" w14:textId="77777777" w:rsidR="00A5739C" w:rsidRDefault="00A5739C" w:rsidP="009D07D2">
    <w:pPr>
      <w:pStyle w:val="Footer"/>
    </w:pPr>
  </w:p>
  <w:p w14:paraId="0D5FFE14" w14:textId="77777777" w:rsidR="00A5739C" w:rsidRDefault="00A5739C" w:rsidP="009D07D2">
    <w:pPr>
      <w:pStyle w:val="Footer"/>
    </w:pPr>
  </w:p>
  <w:p w14:paraId="36A2FF30" w14:textId="77777777" w:rsidR="00A5739C" w:rsidRDefault="00A5739C" w:rsidP="009D07D2">
    <w:pPr>
      <w:pStyle w:val="Footer"/>
    </w:pPr>
  </w:p>
  <w:tbl>
    <w:tblPr>
      <w:tblStyle w:val="PlainGridBlack"/>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5739C" w14:paraId="64D7B2A6" w14:textId="77777777" w:rsidTr="008E1DBB">
      <w:tc>
        <w:tcPr>
          <w:tcW w:w="9638" w:type="dxa"/>
        </w:tcPr>
        <w:p w14:paraId="26249793" w14:textId="77777777" w:rsidR="00A5739C" w:rsidRDefault="00E33AEB" w:rsidP="009D07D2">
          <w:pPr>
            <w:pStyle w:val="Footer"/>
          </w:pPr>
          <w:r>
            <w:rPr>
              <w:noProof/>
            </w:rPr>
            <w:drawing>
              <wp:inline distT="0" distB="0" distL="0" distR="0" wp14:anchorId="4346DABC" wp14:editId="225D4C4A">
                <wp:extent cx="1815057" cy="660983"/>
                <wp:effectExtent l="0" t="0" r="0" b="6350"/>
                <wp:docPr id="543362572" name="Picture 543362572" descr="Alinea insig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62572" name="Picture 543362572" descr="Alinea insignia"/>
                        <pic:cNvPicPr/>
                      </pic:nvPicPr>
                      <pic:blipFill>
                        <a:blip r:embed="rId1"/>
                        <a:stretch>
                          <a:fillRect/>
                        </a:stretch>
                      </pic:blipFill>
                      <pic:spPr>
                        <a:xfrm>
                          <a:off x="0" y="0"/>
                          <a:ext cx="1815057" cy="660983"/>
                        </a:xfrm>
                        <a:prstGeom prst="rect">
                          <a:avLst/>
                        </a:prstGeom>
                      </pic:spPr>
                    </pic:pic>
                  </a:graphicData>
                </a:graphic>
              </wp:inline>
            </w:drawing>
          </w:r>
        </w:p>
      </w:tc>
    </w:tr>
  </w:tbl>
  <w:p w14:paraId="41ED78C0" w14:textId="77777777" w:rsidR="00A5739C" w:rsidRDefault="00A5739C" w:rsidP="009D07D2">
    <w:pPr>
      <w:pStyle w:val="Footer"/>
    </w:pPr>
  </w:p>
  <w:p w14:paraId="4E3E2D8C" w14:textId="77777777" w:rsidR="00A5739C" w:rsidRPr="009D07D2" w:rsidRDefault="00A5739C" w:rsidP="009D0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B687" w14:textId="6AC019FC" w:rsidR="00A5739C" w:rsidRDefault="00A5739C" w:rsidP="0099396E">
    <w:pPr>
      <w:pStyle w:val="Footer"/>
      <w:jc w:val="right"/>
    </w:pPr>
    <w:r>
      <w:rPr>
        <w:noProof/>
      </w:rPr>
      <mc:AlternateContent>
        <mc:Choice Requires="wpg">
          <w:drawing>
            <wp:anchor distT="0" distB="0" distL="114300" distR="114300" simplePos="0" relativeHeight="251658241" behindDoc="1" locked="0" layoutInCell="1" allowOverlap="1" wp14:anchorId="44539C10" wp14:editId="2008E658">
              <wp:simplePos x="0" y="0"/>
              <wp:positionH relativeFrom="page">
                <wp:align>right</wp:align>
              </wp:positionH>
              <wp:positionV relativeFrom="paragraph">
                <wp:posOffset>-3974858</wp:posOffset>
              </wp:positionV>
              <wp:extent cx="7596000" cy="6348248"/>
              <wp:effectExtent l="0" t="0" r="5080" b="0"/>
              <wp:wrapNone/>
              <wp:docPr id="6" name="Group 6" descr="Alinea Insignia"/>
              <wp:cNvGraphicFramePr/>
              <a:graphic xmlns:a="http://schemas.openxmlformats.org/drawingml/2006/main">
                <a:graphicData uri="http://schemas.microsoft.com/office/word/2010/wordprocessingGroup">
                  <wpg:wgp>
                    <wpg:cNvGrpSpPr/>
                    <wpg:grpSpPr>
                      <a:xfrm>
                        <a:off x="0" y="0"/>
                        <a:ext cx="7596000" cy="6348248"/>
                        <a:chOff x="-16713" y="533"/>
                        <a:chExt cx="7562648" cy="6348248"/>
                      </a:xfrm>
                    </wpg:grpSpPr>
                    <wps:wsp>
                      <wps:cNvPr id="3" name="Rectangle 3"/>
                      <wps:cNvSpPr/>
                      <wps:spPr>
                        <a:xfrm>
                          <a:off x="-1" y="1333133"/>
                          <a:ext cx="7545935" cy="501564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ight Triangle 4"/>
                      <wps:cNvSpPr/>
                      <wps:spPr>
                        <a:xfrm flipH="1">
                          <a:off x="-16713" y="533"/>
                          <a:ext cx="7562648" cy="1332610"/>
                        </a:xfrm>
                        <a:prstGeom prst="r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01D799" id="Group 6" o:spid="_x0000_s1026" alt="Alinea Insignia" style="position:absolute;margin-left:546.9pt;margin-top:-313pt;width:598.1pt;height:499.85pt;z-index:-251658239;mso-position-horizontal:right;mso-position-horizontal-relative:page;mso-width-relative:margin;mso-height-relative:margin" coordorigin="-167,5" coordsize="75626,63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">
              <v:rect id="Rectangle 3" o:spid="_x0000_s1027" style="position:absolute;top:13331;width:75459;height:50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" fillcolor="white [3212]" stroked="f" strokeweight="2pt"/>
              <v:shapetype id="_x0000_t6" coordsize="21600,21600" o:spt="6" path="m,l,21600r21600,xe">
                <v:stroke joinstyle="miter"/>
                <v:path gradientshapeok="t" o:connecttype="custom" o:connectlocs="0,0;0,10800;0,21600;10800,21600;21600,21600;10800,10800" textboxrect="1800,12600,12600,19800"/>
              </v:shapetype>
              <v:shape id="Right Triangle 4" o:spid="_x0000_s1028" type="#_x0000_t6" style="position:absolute;left:-167;top:5;width:75626;height:1332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" fillcolor="white [3212]" stroked="f" strokeweight="2pt"/>
              <w10:wrap anchorx="page"/>
            </v:group>
          </w:pict>
        </mc:Fallback>
      </mc:AlternateContent>
    </w:r>
  </w:p>
  <w:p w14:paraId="37E34A56" w14:textId="77777777" w:rsidR="00A5739C" w:rsidRDefault="00A5739C" w:rsidP="00CA32B9">
    <w:pPr>
      <w:pStyle w:val="Footer"/>
      <w:jc w:val="center"/>
    </w:pPr>
  </w:p>
  <w:p w14:paraId="25A7914C" w14:textId="77777777" w:rsidR="00A5739C" w:rsidRPr="0040094A" w:rsidRDefault="00A5739C" w:rsidP="0099396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113" w:type="dxa"/>
        <w:left w:w="0" w:type="dxa"/>
        <w:right w:w="0" w:type="dxa"/>
      </w:tblCellMar>
      <w:tblLook w:val="04A0" w:firstRow="1" w:lastRow="0" w:firstColumn="1" w:lastColumn="0" w:noHBand="0" w:noVBand="1"/>
    </w:tblPr>
    <w:tblGrid>
      <w:gridCol w:w="7516"/>
      <w:gridCol w:w="2122"/>
    </w:tblGrid>
    <w:tr w:rsidR="00A5739C" w14:paraId="1F092B05" w14:textId="77777777" w:rsidTr="008E1DBB">
      <w:tc>
        <w:tcPr>
          <w:tcW w:w="3899" w:type="pct"/>
        </w:tcPr>
        <w:p w14:paraId="3E2390A9" w14:textId="13DEC94D" w:rsidR="00A5739C" w:rsidRPr="00F37B76" w:rsidRDefault="007C1932" w:rsidP="00550ABE">
          <w:pPr>
            <w:pStyle w:val="Footer"/>
          </w:pPr>
          <w:r>
            <w:fldChar w:fldCharType="begin"/>
          </w:r>
          <w:r>
            <w:instrText>STYLEREF  "Cover Title"</w:instrText>
          </w:r>
          <w:r>
            <w:fldChar w:fldCharType="separate"/>
          </w:r>
          <w:r w:rsidR="004A52C1">
            <w:rPr>
              <w:noProof/>
            </w:rPr>
            <w:t>Humanitarian Strategic Partnership Frameworks</w:t>
          </w:r>
          <w:r>
            <w:fldChar w:fldCharType="end"/>
          </w:r>
          <w:r w:rsidR="00A5739C">
            <w:t xml:space="preserve"> </w:t>
          </w:r>
          <w:r w:rsidR="00A5739C" w:rsidRPr="00082288">
            <w:t>|</w:t>
          </w:r>
          <w:r w:rsidR="00A5739C">
            <w:t xml:space="preserve"> </w:t>
          </w:r>
          <w:r>
            <w:fldChar w:fldCharType="begin"/>
          </w:r>
          <w:r>
            <w:instrText>STYLEREF  "Cover Subtitle"</w:instrText>
          </w:r>
          <w:r>
            <w:fldChar w:fldCharType="separate"/>
          </w:r>
          <w:r w:rsidR="004A52C1">
            <w:rPr>
              <w:noProof/>
            </w:rPr>
            <w:t>final Evaluation Report</w:t>
          </w:r>
          <w:r>
            <w:fldChar w:fldCharType="end"/>
          </w:r>
        </w:p>
      </w:tc>
      <w:tc>
        <w:tcPr>
          <w:tcW w:w="1101" w:type="pct"/>
          <w:vAlign w:val="bottom"/>
        </w:tcPr>
        <w:p w14:paraId="75718506" w14:textId="77777777" w:rsidR="00A5739C" w:rsidRPr="00DB6F99" w:rsidRDefault="00A5739C" w:rsidP="00550ABE">
          <w:pPr>
            <w:pStyle w:val="Footer"/>
            <w:jc w:val="right"/>
            <w:rPr>
              <w:i/>
            </w:rPr>
          </w:pPr>
          <w:r w:rsidRPr="00DB6F99">
            <w:t xml:space="preserve">Page </w:t>
          </w:r>
          <w:r w:rsidRPr="00DB6F99">
            <w:rPr>
              <w:i/>
            </w:rPr>
            <w:fldChar w:fldCharType="begin"/>
          </w:r>
          <w:r w:rsidRPr="00DB6F99">
            <w:instrText xml:space="preserve"> PAGE  \* Arabic </w:instrText>
          </w:r>
          <w:r w:rsidRPr="00DB6F99">
            <w:rPr>
              <w:i/>
            </w:rPr>
            <w:fldChar w:fldCharType="separate"/>
          </w:r>
          <w:r>
            <w:rPr>
              <w:i/>
            </w:rPr>
            <w:t>4</w:t>
          </w:r>
          <w:r w:rsidRPr="00DB6F99">
            <w:rPr>
              <w:i/>
            </w:rPr>
            <w:fldChar w:fldCharType="end"/>
          </w:r>
          <w:r w:rsidRPr="00DB6F99">
            <w:t xml:space="preserve"> of </w:t>
          </w:r>
          <w:r>
            <w:fldChar w:fldCharType="begin"/>
          </w:r>
          <w:r>
            <w:instrText>NUMPAGES  \* Arabic</w:instrText>
          </w:r>
          <w:r>
            <w:fldChar w:fldCharType="separate"/>
          </w:r>
          <w:r>
            <w:t>4</w:t>
          </w:r>
          <w:r>
            <w:fldChar w:fldCharType="end"/>
          </w:r>
        </w:p>
      </w:tc>
    </w:tr>
  </w:tbl>
  <w:p w14:paraId="3DC431C3" w14:textId="77777777" w:rsidR="00A5739C" w:rsidRPr="0040094A" w:rsidRDefault="00A5739C" w:rsidP="004009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113" w:type="dxa"/>
        <w:left w:w="0" w:type="dxa"/>
        <w:right w:w="0" w:type="dxa"/>
      </w:tblCellMar>
      <w:tblLook w:val="04A0" w:firstRow="1" w:lastRow="0" w:firstColumn="1" w:lastColumn="0" w:noHBand="0" w:noVBand="1"/>
    </w:tblPr>
    <w:tblGrid>
      <w:gridCol w:w="7516"/>
      <w:gridCol w:w="2122"/>
    </w:tblGrid>
    <w:tr w:rsidR="00A5739C" w14:paraId="35D80271" w14:textId="77777777" w:rsidTr="00505FFA">
      <w:tc>
        <w:tcPr>
          <w:tcW w:w="3899" w:type="pct"/>
        </w:tcPr>
        <w:p w14:paraId="4784C1E8" w14:textId="77777777" w:rsidR="00A5739C" w:rsidRPr="00F37B76" w:rsidRDefault="00A5739C" w:rsidP="009D07D2">
          <w:pPr>
            <w:pStyle w:val="Footer"/>
          </w:pPr>
        </w:p>
      </w:tc>
      <w:tc>
        <w:tcPr>
          <w:tcW w:w="1101" w:type="pct"/>
          <w:vAlign w:val="bottom"/>
        </w:tcPr>
        <w:p w14:paraId="4B0FBD25" w14:textId="77777777" w:rsidR="00A5739C" w:rsidRPr="00DB6F99" w:rsidRDefault="00A5739C" w:rsidP="009D07D2">
          <w:pPr>
            <w:pStyle w:val="Footer"/>
            <w:jc w:val="right"/>
            <w:rPr>
              <w:i/>
            </w:rPr>
          </w:pPr>
        </w:p>
      </w:tc>
    </w:tr>
  </w:tbl>
  <w:p w14:paraId="3AE28643" w14:textId="77777777" w:rsidR="00A5739C" w:rsidRPr="009D07D2" w:rsidRDefault="00A5739C" w:rsidP="009D07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51ED" w14:textId="77777777" w:rsidR="005115E7" w:rsidRDefault="005115E7">
    <w:pPr>
      <w:tabs>
        <w:tab w:val="center" w:pos="4550"/>
        <w:tab w:val="left" w:pos="5818"/>
      </w:tabs>
      <w:ind w:right="260"/>
      <w:jc w:val="right"/>
      <w:rPr>
        <w:color w:val="2C2C2C" w:themeColor="text2" w:themeShade="80"/>
        <w:sz w:val="24"/>
      </w:rPr>
    </w:pPr>
    <w:r w:rsidRPr="00945938">
      <w:rPr>
        <w:color w:val="auto"/>
        <w:spacing w:val="60"/>
        <w:sz w:val="24"/>
      </w:rPr>
      <w:t>Page</w:t>
    </w:r>
    <w:r w:rsidRPr="00945938">
      <w:rPr>
        <w:color w:val="auto"/>
        <w:sz w:val="24"/>
      </w:rPr>
      <w:t xml:space="preserve"> </w:t>
    </w:r>
    <w:r>
      <w:rPr>
        <w:color w:val="414141" w:themeColor="text2" w:themeShade="BF"/>
        <w:sz w:val="24"/>
      </w:rPr>
      <w:fldChar w:fldCharType="begin"/>
    </w:r>
    <w:r>
      <w:rPr>
        <w:color w:val="414141" w:themeColor="text2" w:themeShade="BF"/>
        <w:sz w:val="24"/>
      </w:rPr>
      <w:instrText xml:space="preserve"> PAGE   \* MERGEFORMAT </w:instrText>
    </w:r>
    <w:r>
      <w:rPr>
        <w:color w:val="414141" w:themeColor="text2" w:themeShade="BF"/>
        <w:sz w:val="24"/>
      </w:rPr>
      <w:fldChar w:fldCharType="separate"/>
    </w:r>
    <w:r>
      <w:rPr>
        <w:noProof/>
        <w:color w:val="414141" w:themeColor="text2" w:themeShade="BF"/>
        <w:sz w:val="24"/>
      </w:rPr>
      <w:t>1</w:t>
    </w:r>
    <w:r>
      <w:rPr>
        <w:color w:val="414141" w:themeColor="text2" w:themeShade="BF"/>
        <w:sz w:val="24"/>
      </w:rPr>
      <w:fldChar w:fldCharType="end"/>
    </w:r>
    <w:r>
      <w:rPr>
        <w:color w:val="414141" w:themeColor="text2" w:themeShade="BF"/>
        <w:sz w:val="24"/>
      </w:rPr>
      <w:t xml:space="preserve"> | </w:t>
    </w:r>
    <w:r>
      <w:rPr>
        <w:color w:val="414141" w:themeColor="text2" w:themeShade="BF"/>
        <w:sz w:val="24"/>
      </w:rPr>
      <w:fldChar w:fldCharType="begin"/>
    </w:r>
    <w:r>
      <w:rPr>
        <w:color w:val="414141" w:themeColor="text2" w:themeShade="BF"/>
        <w:sz w:val="24"/>
      </w:rPr>
      <w:instrText xml:space="preserve"> NUMPAGES  \* Arabic  \* MERGEFORMAT </w:instrText>
    </w:r>
    <w:r>
      <w:rPr>
        <w:color w:val="414141" w:themeColor="text2" w:themeShade="BF"/>
        <w:sz w:val="24"/>
      </w:rPr>
      <w:fldChar w:fldCharType="separate"/>
    </w:r>
    <w:r>
      <w:rPr>
        <w:noProof/>
        <w:color w:val="414141" w:themeColor="text2" w:themeShade="BF"/>
        <w:sz w:val="24"/>
      </w:rPr>
      <w:t>1</w:t>
    </w:r>
    <w:r>
      <w:rPr>
        <w:color w:val="414141" w:themeColor="text2" w:themeShade="BF"/>
        <w:sz w:val="24"/>
      </w:rPr>
      <w:fldChar w:fldCharType="end"/>
    </w:r>
  </w:p>
  <w:p w14:paraId="4E2054DF" w14:textId="77777777" w:rsidR="00A5739C" w:rsidRPr="0040094A" w:rsidRDefault="00A5739C" w:rsidP="004009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113" w:type="dxa"/>
        <w:left w:w="0" w:type="dxa"/>
        <w:right w:w="0" w:type="dxa"/>
      </w:tblCellMar>
      <w:tblLook w:val="04A0" w:firstRow="1" w:lastRow="0" w:firstColumn="1" w:lastColumn="0" w:noHBand="0" w:noVBand="1"/>
    </w:tblPr>
    <w:tblGrid>
      <w:gridCol w:w="7516"/>
      <w:gridCol w:w="2122"/>
    </w:tblGrid>
    <w:tr w:rsidR="00A5739C" w14:paraId="48DE8F66" w14:textId="77777777" w:rsidTr="00505FFA">
      <w:tc>
        <w:tcPr>
          <w:tcW w:w="3899" w:type="pct"/>
        </w:tcPr>
        <w:p w14:paraId="3CAAABA6" w14:textId="77777777" w:rsidR="00A5739C" w:rsidRPr="00F37B76" w:rsidRDefault="00A5739C" w:rsidP="009D07D2">
          <w:pPr>
            <w:pStyle w:val="Footer"/>
          </w:pPr>
        </w:p>
      </w:tc>
      <w:tc>
        <w:tcPr>
          <w:tcW w:w="1101" w:type="pct"/>
          <w:vAlign w:val="bottom"/>
        </w:tcPr>
        <w:p w14:paraId="7A87DAB7" w14:textId="77777777" w:rsidR="00A5739C" w:rsidRPr="00DB6F99" w:rsidRDefault="00A5739C" w:rsidP="009D07D2">
          <w:pPr>
            <w:pStyle w:val="Footer"/>
            <w:jc w:val="right"/>
            <w:rPr>
              <w:i/>
            </w:rPr>
          </w:pPr>
        </w:p>
      </w:tc>
    </w:tr>
  </w:tbl>
  <w:p w14:paraId="1D300BB5" w14:textId="77777777" w:rsidR="00A5739C" w:rsidRPr="009D07D2" w:rsidRDefault="00A5739C" w:rsidP="009D0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84FF" w14:textId="77777777" w:rsidR="00D50435" w:rsidRPr="003337B3" w:rsidRDefault="00D50435" w:rsidP="003337B3">
      <w:pPr>
        <w:pStyle w:val="FootnoteText"/>
        <w:rPr>
          <w:color w:val="1D336D" w:themeColor="background2"/>
        </w:rPr>
      </w:pPr>
      <w:r w:rsidRPr="003337B3">
        <w:rPr>
          <w:color w:val="1D336D" w:themeColor="background2"/>
        </w:rPr>
        <w:separator/>
      </w:r>
    </w:p>
  </w:footnote>
  <w:footnote w:type="continuationSeparator" w:id="0">
    <w:p w14:paraId="6F6ECA0E" w14:textId="77777777" w:rsidR="00D50435" w:rsidRPr="003337B3" w:rsidRDefault="00D50435" w:rsidP="003337B3">
      <w:pPr>
        <w:pStyle w:val="FootnoteText"/>
        <w:rPr>
          <w:color w:val="1D336D" w:themeColor="background2"/>
        </w:rPr>
      </w:pPr>
      <w:r w:rsidRPr="003337B3">
        <w:rPr>
          <w:color w:val="1D336D" w:themeColor="background2"/>
        </w:rPr>
        <w:continuationSeparator/>
      </w:r>
    </w:p>
  </w:footnote>
  <w:footnote w:type="continuationNotice" w:id="1">
    <w:p w14:paraId="2860A5FC" w14:textId="77777777" w:rsidR="00D50435" w:rsidRDefault="00D50435" w:rsidP="003337B3">
      <w:pPr>
        <w:pStyle w:val="FootnoteText"/>
      </w:pPr>
    </w:p>
  </w:footnote>
  <w:footnote w:id="2">
    <w:p w14:paraId="6ED134D6" w14:textId="77777777" w:rsidR="00FA7873" w:rsidRDefault="00FA7873" w:rsidP="00FA7873">
      <w:pPr>
        <w:pStyle w:val="FootnoteText"/>
      </w:pPr>
      <w:r>
        <w:rPr>
          <w:rStyle w:val="FootnoteReference"/>
        </w:rPr>
        <w:footnoteRef/>
      </w:r>
      <w:r>
        <w:t xml:space="preserve"> </w:t>
      </w:r>
      <w:r w:rsidRPr="00BD0DEB">
        <w:t>Patrick Saez, Lewis Sida, Rachel Silverman, and Rose Worden. 2021. “Improving Performance in the Multilateral Humanitarian System: New Models of Donorship.” CGD Policy Paper 214. Washington, DC: Center for Global Development. https://www.cgdev. org/publication/improving-performance-multilateral-humanitarian-system-new-models donorship</w:t>
      </w:r>
    </w:p>
  </w:footnote>
  <w:footnote w:id="3">
    <w:p w14:paraId="331BDA17" w14:textId="279CA6EC" w:rsidR="009147A1" w:rsidRDefault="009147A1">
      <w:pPr>
        <w:pStyle w:val="FootnoteText"/>
      </w:pPr>
      <w:r>
        <w:rPr>
          <w:rStyle w:val="FootnoteReference"/>
        </w:rPr>
        <w:footnoteRef/>
      </w:r>
      <w:r w:rsidR="00185561">
        <w:t xml:space="preserve"> DFAT </w:t>
      </w:r>
      <w:r w:rsidR="00326F56">
        <w:t xml:space="preserve">written </w:t>
      </w:r>
      <w:r w:rsidR="00185561">
        <w:t xml:space="preserve">advice </w:t>
      </w:r>
      <w:r w:rsidR="00326F56">
        <w:t>30 July 2025</w:t>
      </w:r>
      <w:r w:rsidR="00A9450A">
        <w:t xml:space="preserve">, </w:t>
      </w:r>
      <w:r w:rsidR="00587AAC">
        <w:t>applying</w:t>
      </w:r>
      <w:r w:rsidR="00A9450A">
        <w:t xml:space="preserve"> the following</w:t>
      </w:r>
      <w:r w:rsidR="00587AAC">
        <w:t xml:space="preserve"> methodology</w:t>
      </w:r>
      <w:r w:rsidR="00A9450A">
        <w:t>: the</w:t>
      </w:r>
      <w:r w:rsidR="00A9450A" w:rsidRPr="00A9450A">
        <w:t xml:space="preserve"> 2024 - 25 actuals</w:t>
      </w:r>
      <w:r w:rsidR="00A9450A">
        <w:t xml:space="preserve"> are compared to </w:t>
      </w:r>
      <w:r w:rsidR="00A9450A" w:rsidRPr="00A9450A">
        <w:t xml:space="preserve">the 2024 - 25 budget estimate ($676m) (see </w:t>
      </w:r>
      <w:r w:rsidR="00370DCB">
        <w:t>T</w:t>
      </w:r>
      <w:r w:rsidR="00A9450A" w:rsidRPr="00A9450A">
        <w:t xml:space="preserve">able 4 of the 2024-25 ODA Budget </w:t>
      </w:r>
      <w:r w:rsidR="00370DCB">
        <w:t>S</w:t>
      </w:r>
      <w:r w:rsidR="00370DCB" w:rsidRPr="00A9450A">
        <w:t xml:space="preserve">ummary </w:t>
      </w:r>
      <w:r w:rsidR="00A9450A" w:rsidRPr="00A9450A">
        <w:t xml:space="preserve">on DFAT website). The humanitarian sector funding includes humanitarian funding from bilateral and regional programs. DFAT is still in the process of finalising sector </w:t>
      </w:r>
      <w:r w:rsidR="009902B7" w:rsidRPr="00A9450A">
        <w:t>dat</w:t>
      </w:r>
      <w:r w:rsidR="009902B7">
        <w:t>a</w:t>
      </w:r>
      <w:r w:rsidR="009902B7" w:rsidRPr="00A9450A">
        <w:t xml:space="preserve"> </w:t>
      </w:r>
      <w:r w:rsidR="00A9450A" w:rsidRPr="00A9450A">
        <w:t xml:space="preserve">for 2024 - 25 actuals which is why 2024 - 2025 humanitarian actuals cannot be provided at this time. </w:t>
      </w:r>
      <w:r>
        <w:t xml:space="preserve"> </w:t>
      </w:r>
    </w:p>
  </w:footnote>
  <w:footnote w:id="4">
    <w:p w14:paraId="361CFCEF" w14:textId="77777777" w:rsidR="00FF101E" w:rsidRDefault="00FF101E" w:rsidP="00FF101E">
      <w:pPr>
        <w:pStyle w:val="FootnoteText"/>
      </w:pPr>
      <w:r>
        <w:rPr>
          <w:rStyle w:val="FootnoteReference"/>
        </w:rPr>
        <w:footnoteRef/>
      </w:r>
      <w:r>
        <w:t xml:space="preserve"> KII 36</w:t>
      </w:r>
    </w:p>
  </w:footnote>
  <w:footnote w:id="5">
    <w:p w14:paraId="5563FB9C" w14:textId="303B662B" w:rsidR="00DA1BF1" w:rsidRDefault="00DA1BF1">
      <w:pPr>
        <w:pStyle w:val="FootnoteText"/>
      </w:pPr>
      <w:r>
        <w:rPr>
          <w:rStyle w:val="FootnoteReference"/>
        </w:rPr>
        <w:footnoteRef/>
      </w:r>
      <w:r>
        <w:t xml:space="preserve"> </w:t>
      </w:r>
      <w:r w:rsidR="005D2D81">
        <w:t>DFAT written advice 30 July 2025</w:t>
      </w:r>
    </w:p>
  </w:footnote>
  <w:footnote w:id="6">
    <w:p w14:paraId="45BB25AA" w14:textId="77777777" w:rsidR="00720137" w:rsidRDefault="00720137" w:rsidP="00720137">
      <w:pPr>
        <w:pStyle w:val="FootnoteText"/>
      </w:pPr>
      <w:r>
        <w:rPr>
          <w:rStyle w:val="FootnoteReference"/>
        </w:rPr>
        <w:footnoteRef/>
      </w:r>
      <w:r>
        <w:t xml:space="preserve"> </w:t>
      </w:r>
      <w:r w:rsidRPr="00BD0DEB">
        <w:t>Patrick Saez, Lewis Sida, Rachel Silverman, and Rose Worden. 2021. “Improving Performance in the Multilateral Humanitarian System: New Models of Donorship.” CGD Policy Paper 214. Washington, DC: Center for Global Development. https://www.cgdev. org/publication/improving-performance-multilateral-humanitarian-system-new-models donorship</w:t>
      </w:r>
    </w:p>
  </w:footnote>
  <w:footnote w:id="7">
    <w:p w14:paraId="3036019A" w14:textId="3C5B1981" w:rsidR="009C2B09" w:rsidRDefault="009C2B09" w:rsidP="009C2B09">
      <w:pPr>
        <w:pStyle w:val="FootnoteText"/>
      </w:pPr>
      <w:r>
        <w:rPr>
          <w:rStyle w:val="FootnoteReference"/>
        </w:rPr>
        <w:footnoteRef/>
      </w:r>
      <w:r>
        <w:t xml:space="preserve"> </w:t>
      </w:r>
      <w:r w:rsidR="005F03DF">
        <w:t xml:space="preserve">OECD-DAC, DAC countries: ODA volume, 2024, accessed 21 June 2025, </w:t>
      </w:r>
      <w:hyperlink r:id="rId1" w:history="1">
        <w:r w:rsidR="005F03DF" w:rsidRPr="009A04CB">
          <w:rPr>
            <w:rStyle w:val="Hyperlink"/>
          </w:rPr>
          <w:t>https://www.oecd.org/en/topics/development-co-operation.html</w:t>
        </w:r>
      </w:hyperlink>
      <w:r w:rsidR="005F03DF">
        <w:t xml:space="preserve"> </w:t>
      </w:r>
    </w:p>
  </w:footnote>
  <w:footnote w:id="8">
    <w:p w14:paraId="3114D248" w14:textId="6F721CC6" w:rsidR="000B7298" w:rsidRDefault="000B7298" w:rsidP="00211A56">
      <w:pPr>
        <w:pStyle w:val="FootnoteText"/>
      </w:pPr>
      <w:r>
        <w:rPr>
          <w:rStyle w:val="FootnoteReference"/>
        </w:rPr>
        <w:footnoteRef/>
      </w:r>
      <w:r>
        <w:t xml:space="preserve"> </w:t>
      </w:r>
      <w:r w:rsidR="00211A56">
        <w:t xml:space="preserve">OECD-DAC, </w:t>
      </w:r>
      <w:r w:rsidR="000A4B8A" w:rsidRPr="000A4B8A">
        <w:t>Development Co-operation Profiles: Australia</w:t>
      </w:r>
      <w:r w:rsidR="000A4B8A">
        <w:t>,</w:t>
      </w:r>
      <w:r w:rsidR="00211A56">
        <w:t xml:space="preserve"> Contributions to multilateral organisations as a share of total ODA, Gross disbursements, per cent</w:t>
      </w:r>
      <w:r w:rsidR="000A4B8A">
        <w:t xml:space="preserve">, accessed 21 June 2025, </w:t>
      </w:r>
      <w:hyperlink r:id="rId2" w:history="1">
        <w:r w:rsidR="000A4B8A" w:rsidRPr="009A04CB">
          <w:rPr>
            <w:rStyle w:val="Hyperlink"/>
          </w:rPr>
          <w:t>https://www.oecd.org/en/publications/development-co-operation-profiles_04b376d7-en/australia_b4d74d53-en.html</w:t>
        </w:r>
      </w:hyperlink>
      <w:r w:rsidR="000A4B8A">
        <w:t xml:space="preserve"> </w:t>
      </w:r>
    </w:p>
  </w:footnote>
  <w:footnote w:id="9">
    <w:p w14:paraId="712FF732" w14:textId="19B46FD4" w:rsidR="00E352C8" w:rsidRDefault="00E352C8" w:rsidP="00E352C8">
      <w:pPr>
        <w:pStyle w:val="FootnoteText"/>
      </w:pPr>
      <w:r>
        <w:rPr>
          <w:rStyle w:val="FootnoteReference"/>
        </w:rPr>
        <w:footnoteRef/>
      </w:r>
      <w:r>
        <w:t xml:space="preserve"> </w:t>
      </w:r>
      <w:r w:rsidR="00A95003">
        <w:t>F</w:t>
      </w:r>
      <w:r w:rsidR="007671B1">
        <w:t xml:space="preserve">inancial data provided by DFAT </w:t>
      </w:r>
      <w:r w:rsidR="00630A1E">
        <w:t>22</w:t>
      </w:r>
      <w:r w:rsidR="007671B1">
        <w:t xml:space="preserve"> July 202</w:t>
      </w:r>
      <w:r w:rsidR="000C72EC">
        <w:t>5</w:t>
      </w:r>
    </w:p>
  </w:footnote>
  <w:footnote w:id="10">
    <w:p w14:paraId="5EAE8D93" w14:textId="4661DFB3" w:rsidR="009F1C8A" w:rsidRDefault="009F1C8A">
      <w:pPr>
        <w:pStyle w:val="FootnoteText"/>
      </w:pPr>
      <w:r>
        <w:rPr>
          <w:rStyle w:val="FootnoteReference"/>
        </w:rPr>
        <w:footnoteRef/>
      </w:r>
      <w:r>
        <w:t xml:space="preserve"> Financial data provided by DFAT </w:t>
      </w:r>
      <w:r w:rsidR="00E019FA">
        <w:t>22</w:t>
      </w:r>
      <w:r>
        <w:t xml:space="preserve"> July 2025</w:t>
      </w:r>
    </w:p>
  </w:footnote>
  <w:footnote w:id="11">
    <w:p w14:paraId="557C0B05" w14:textId="5A661EEA" w:rsidR="004A511B" w:rsidRPr="002615AE" w:rsidRDefault="004A511B" w:rsidP="004A511B">
      <w:pPr>
        <w:pStyle w:val="FootnoteText"/>
        <w:rPr>
          <w:lang w:val="en-GB"/>
        </w:rPr>
      </w:pPr>
      <w:r>
        <w:rPr>
          <w:rStyle w:val="FootnoteReference"/>
        </w:rPr>
        <w:footnoteRef/>
      </w:r>
      <w:r>
        <w:t xml:space="preserve"> </w:t>
      </w:r>
      <w:r>
        <w:rPr>
          <w:lang w:val="en-GB"/>
        </w:rPr>
        <w:t xml:space="preserve">Australia’s International Development Policy </w:t>
      </w:r>
      <w:r w:rsidR="00DF5626">
        <w:rPr>
          <w:lang w:val="en-GB"/>
        </w:rPr>
        <w:t>2023</w:t>
      </w:r>
      <w:r w:rsidR="00C13F2F">
        <w:rPr>
          <w:lang w:val="en-GB"/>
        </w:rPr>
        <w:t xml:space="preserve">. Australia’s Humanitarian Policy, 2024. </w:t>
      </w:r>
      <w:r w:rsidR="00E040CE">
        <w:rPr>
          <w:lang w:val="en-GB"/>
        </w:rPr>
        <w:t xml:space="preserve">IASC, the Grand Bargain, </w:t>
      </w:r>
      <w:hyperlink r:id="rId3" w:history="1">
        <w:r w:rsidR="00E040CE" w:rsidRPr="009A04CB">
          <w:rPr>
            <w:rStyle w:val="Hyperlink"/>
            <w:lang w:val="en-GB"/>
          </w:rPr>
          <w:t>https://interagencystandingcommittee.org/grand-bargain</w:t>
        </w:r>
      </w:hyperlink>
      <w:r w:rsidR="00E040CE">
        <w:rPr>
          <w:lang w:val="en-GB"/>
        </w:rPr>
        <w:t xml:space="preserve"> </w:t>
      </w:r>
    </w:p>
  </w:footnote>
  <w:footnote w:id="12">
    <w:p w14:paraId="6053C01A" w14:textId="57D3D0C5" w:rsidR="00F90CAD" w:rsidRPr="00F90CAD" w:rsidRDefault="00F90CAD">
      <w:pPr>
        <w:pStyle w:val="FootnoteText"/>
        <w:rPr>
          <w:lang w:val="en-GB"/>
        </w:rPr>
      </w:pPr>
      <w:r>
        <w:rPr>
          <w:rStyle w:val="FootnoteReference"/>
        </w:rPr>
        <w:footnoteRef/>
      </w:r>
      <w:r>
        <w:t xml:space="preserve"> </w:t>
      </w:r>
      <w:r>
        <w:rPr>
          <w:lang w:val="en-GB"/>
        </w:rPr>
        <w:t>SPFs with WFP, UNHCR, OCHA, CERF, ICRC</w:t>
      </w:r>
    </w:p>
  </w:footnote>
  <w:footnote w:id="13">
    <w:p w14:paraId="3E9C1A33" w14:textId="0B8978B6" w:rsidR="00B774C1" w:rsidRDefault="00B774C1">
      <w:pPr>
        <w:pStyle w:val="FootnoteText"/>
      </w:pPr>
      <w:r>
        <w:rPr>
          <w:rStyle w:val="FootnoteReference"/>
        </w:rPr>
        <w:footnoteRef/>
      </w:r>
      <w:r>
        <w:t xml:space="preserve"> Noting ICRC’s first MOPAN commenced in </w:t>
      </w:r>
      <w:r w:rsidR="006C4177">
        <w:t>2025</w:t>
      </w:r>
    </w:p>
  </w:footnote>
  <w:footnote w:id="14">
    <w:p w14:paraId="39DAFB90" w14:textId="52F8528F" w:rsidR="001C730B" w:rsidRPr="001C730B" w:rsidRDefault="001C730B">
      <w:pPr>
        <w:pStyle w:val="FootnoteText"/>
        <w:rPr>
          <w:lang w:val="en-GB"/>
        </w:rPr>
      </w:pPr>
      <w:r>
        <w:rPr>
          <w:rStyle w:val="FootnoteReference"/>
        </w:rPr>
        <w:footnoteRef/>
      </w:r>
      <w:r>
        <w:t xml:space="preserve"> </w:t>
      </w:r>
      <w:r>
        <w:rPr>
          <w:lang w:val="en-GB"/>
        </w:rPr>
        <w:t>DFAT, Performance</w:t>
      </w:r>
      <w:r w:rsidR="00561ADA">
        <w:rPr>
          <w:lang w:val="en-GB"/>
        </w:rPr>
        <w:t xml:space="preserve"> Arrangements for WFP, UNHCR, OCHA and ICRC 2022, 2023 and 2024. KIIs </w:t>
      </w:r>
      <w:r w:rsidR="00D54021">
        <w:rPr>
          <w:lang w:val="en-GB"/>
        </w:rPr>
        <w:t>4, 6, 7, 8, 9, 10, 12</w:t>
      </w:r>
      <w:r w:rsidR="0039636B">
        <w:rPr>
          <w:lang w:val="en-GB"/>
        </w:rPr>
        <w:t>, 13, 14, 19</w:t>
      </w:r>
      <w:r w:rsidR="00406F9A">
        <w:rPr>
          <w:lang w:val="en-GB"/>
        </w:rPr>
        <w:t xml:space="preserve"> and written advice 30 July 2025</w:t>
      </w:r>
    </w:p>
  </w:footnote>
  <w:footnote w:id="15">
    <w:p w14:paraId="67EFC5C4" w14:textId="323E9B0C" w:rsidR="00CD2B86" w:rsidRPr="00C56112" w:rsidRDefault="00CD2B86">
      <w:pPr>
        <w:pStyle w:val="FootnoteText"/>
      </w:pPr>
      <w:r>
        <w:rPr>
          <w:rStyle w:val="FootnoteReference"/>
        </w:rPr>
        <w:footnoteRef/>
      </w:r>
      <w:r>
        <w:t xml:space="preserve"> </w:t>
      </w:r>
      <w:r w:rsidR="00C56112" w:rsidRPr="00860708">
        <w:t>DFAT, 2023-24 Multilateral Performance Assessment (MPA):WFP, internal unpublished report.</w:t>
      </w:r>
      <w:r w:rsidR="00283632">
        <w:t xml:space="preserve"> DFAT, </w:t>
      </w:r>
      <w:r w:rsidR="00283632" w:rsidRPr="00283632">
        <w:t>Australia’s development program — performance assessment</w:t>
      </w:r>
      <w:r w:rsidR="00283632">
        <w:t xml:space="preserve">, accessed 21 June 2025, </w:t>
      </w:r>
      <w:hyperlink r:id="rId4" w:history="1">
        <w:r w:rsidR="001C730B" w:rsidRPr="009A04CB">
          <w:rPr>
            <w:rStyle w:val="Hyperlink"/>
          </w:rPr>
          <w:t>https://www.dfat.gov.au/development/performance-assessment</w:t>
        </w:r>
      </w:hyperlink>
      <w:r w:rsidR="001C730B">
        <w:t xml:space="preserve"> </w:t>
      </w:r>
    </w:p>
  </w:footnote>
  <w:footnote w:id="16">
    <w:p w14:paraId="15798AF1" w14:textId="1F926907" w:rsidR="00080B7A" w:rsidRDefault="00080B7A">
      <w:pPr>
        <w:pStyle w:val="FootnoteText"/>
      </w:pPr>
      <w:r>
        <w:rPr>
          <w:rStyle w:val="FootnoteReference"/>
        </w:rPr>
        <w:footnoteRef/>
      </w:r>
      <w:r>
        <w:t xml:space="preserve"> DFAT written advice </w:t>
      </w:r>
      <w:r w:rsidR="00765E41">
        <w:t xml:space="preserve">11 </w:t>
      </w:r>
      <w:r>
        <w:t>July 2025</w:t>
      </w:r>
    </w:p>
  </w:footnote>
  <w:footnote w:id="17">
    <w:p w14:paraId="2943F2BB" w14:textId="12402C13" w:rsidR="00722EEF" w:rsidRPr="00722EEF" w:rsidRDefault="00722EEF">
      <w:pPr>
        <w:pStyle w:val="FootnoteText"/>
        <w:rPr>
          <w:lang w:val="en-GB"/>
        </w:rPr>
      </w:pPr>
      <w:r>
        <w:rPr>
          <w:rStyle w:val="FootnoteReference"/>
        </w:rPr>
        <w:footnoteRef/>
      </w:r>
      <w:r>
        <w:t xml:space="preserve"> </w:t>
      </w:r>
      <w:r>
        <w:rPr>
          <w:lang w:val="en-GB"/>
        </w:rPr>
        <w:t>EOL templates with WFP, UNHCR, OCHA, CERF and ICRC</w:t>
      </w:r>
    </w:p>
  </w:footnote>
  <w:footnote w:id="18">
    <w:p w14:paraId="6A5F9508" w14:textId="6252CB71" w:rsidR="004A511B" w:rsidRPr="004321FD" w:rsidRDefault="004A511B">
      <w:pPr>
        <w:pStyle w:val="FootnoteText"/>
      </w:pPr>
      <w:r>
        <w:rPr>
          <w:rStyle w:val="FootnoteReference"/>
        </w:rPr>
        <w:footnoteRef/>
      </w:r>
      <w:r>
        <w:t xml:space="preserve"> </w:t>
      </w:r>
      <w:r w:rsidR="004321FD">
        <w:t xml:space="preserve">Internal financial data provided by DFAT to the evaluation team in </w:t>
      </w:r>
      <w:r w:rsidR="000C33AA">
        <w:t>March 2025</w:t>
      </w:r>
    </w:p>
  </w:footnote>
  <w:footnote w:id="19">
    <w:p w14:paraId="392868B3" w14:textId="5BA0DE27" w:rsidR="002B4850" w:rsidRDefault="002B4850">
      <w:pPr>
        <w:pStyle w:val="FootnoteText"/>
      </w:pPr>
      <w:r>
        <w:rPr>
          <w:rStyle w:val="FootnoteReference"/>
        </w:rPr>
        <w:footnoteRef/>
      </w:r>
      <w:r>
        <w:t xml:space="preserve"> DFAT written advice 11 July 2025</w:t>
      </w:r>
    </w:p>
  </w:footnote>
  <w:footnote w:id="20">
    <w:p w14:paraId="101F402E" w14:textId="0137E02D" w:rsidR="00757BD1" w:rsidRDefault="00757BD1">
      <w:pPr>
        <w:pStyle w:val="FootnoteText"/>
      </w:pPr>
      <w:r>
        <w:rPr>
          <w:rStyle w:val="FootnoteReference"/>
        </w:rPr>
        <w:footnoteRef/>
      </w:r>
      <w:r>
        <w:t xml:space="preserve"> Internal financial data provided by DFAT to the evaluation team in March 2025</w:t>
      </w:r>
    </w:p>
  </w:footnote>
  <w:footnote w:id="21">
    <w:p w14:paraId="4FA0BCB4" w14:textId="4FA17AAB" w:rsidR="00B87124" w:rsidRDefault="00B87124">
      <w:pPr>
        <w:pStyle w:val="FootnoteText"/>
      </w:pPr>
      <w:r>
        <w:rPr>
          <w:rStyle w:val="FootnoteReference"/>
        </w:rPr>
        <w:footnoteRef/>
      </w:r>
      <w:r>
        <w:t xml:space="preserve"> </w:t>
      </w:r>
      <w:r w:rsidR="008F615F">
        <w:t>Interview and survey database for the Humanitarian SPF evaluation</w:t>
      </w:r>
    </w:p>
  </w:footnote>
  <w:footnote w:id="22">
    <w:p w14:paraId="22685D53" w14:textId="77777777" w:rsidR="00755E34" w:rsidRDefault="00755E34" w:rsidP="00755E34">
      <w:pPr>
        <w:pStyle w:val="FootnoteText"/>
      </w:pPr>
      <w:r>
        <w:rPr>
          <w:rStyle w:val="FootnoteReference"/>
        </w:rPr>
        <w:footnoteRef/>
      </w:r>
      <w:r>
        <w:t xml:space="preserve"> Interview and survey database for the Humanitarian SPF evaluation</w:t>
      </w:r>
    </w:p>
  </w:footnote>
  <w:footnote w:id="23">
    <w:p w14:paraId="07B2DC0F" w14:textId="4BC12DC6" w:rsidR="004B4BD8" w:rsidRDefault="004B4BD8">
      <w:pPr>
        <w:pStyle w:val="FootnoteText"/>
      </w:pPr>
      <w:r>
        <w:rPr>
          <w:rStyle w:val="FootnoteReference"/>
        </w:rPr>
        <w:footnoteRef/>
      </w:r>
      <w:r>
        <w:t xml:space="preserve"> An Evaluation Reference Group was managed by DFAT to </w:t>
      </w:r>
      <w:r w:rsidR="00241349">
        <w:t>support the evaluation process, DFAT 11 July 2025</w:t>
      </w:r>
    </w:p>
  </w:footnote>
  <w:footnote w:id="24">
    <w:p w14:paraId="5F872746" w14:textId="510FD773" w:rsidR="00C47BDC" w:rsidRDefault="00C47BDC">
      <w:pPr>
        <w:pStyle w:val="FootnoteText"/>
      </w:pPr>
      <w:r>
        <w:rPr>
          <w:rStyle w:val="FootnoteReference"/>
        </w:rPr>
        <w:footnoteRef/>
      </w:r>
      <w:r>
        <w:t xml:space="preserve"> DFAT written advice 11 July 2025</w:t>
      </w:r>
    </w:p>
  </w:footnote>
  <w:footnote w:id="25">
    <w:p w14:paraId="79A28790" w14:textId="7D34ACE2" w:rsidR="00296BDD" w:rsidRDefault="00296BDD" w:rsidP="00296BDD">
      <w:pPr>
        <w:pStyle w:val="FootnoteText"/>
      </w:pPr>
      <w:r>
        <w:rPr>
          <w:rStyle w:val="FootnoteReference"/>
        </w:rPr>
        <w:footnoteRef/>
      </w:r>
      <w:r>
        <w:t xml:space="preserve"> </w:t>
      </w:r>
      <w:r w:rsidR="000A26C8">
        <w:t xml:space="preserve">The IDPG includes an additional risk area – Partner Government Systems. However, </w:t>
      </w:r>
      <w:r w:rsidR="00292647">
        <w:t xml:space="preserve">we have not assessed that as it is not relevant to the SPF delivery modality. </w:t>
      </w:r>
      <w:r>
        <w:t xml:space="preserve">Written advice 20. Evaluation team review of </w:t>
      </w:r>
      <w:r w:rsidR="000F602E">
        <w:t xml:space="preserve">signed </w:t>
      </w:r>
      <w:r>
        <w:t>SPFs and EOL</w:t>
      </w:r>
      <w:r w:rsidR="000F602E">
        <w:t xml:space="preserve"> templates</w:t>
      </w:r>
      <w:r>
        <w:t xml:space="preserve"> with WFP, UN</w:t>
      </w:r>
      <w:r w:rsidR="00E62630">
        <w:t>H</w:t>
      </w:r>
      <w:r>
        <w:t>CR, OCHA, CERF, ICRC</w:t>
      </w:r>
      <w:r w:rsidR="00B671E1">
        <w:t>, June 2025</w:t>
      </w:r>
      <w:r>
        <w:t>. DFAT International Development Programming Guide, September 2024, Chapter 8: Development Risk Management</w:t>
      </w:r>
    </w:p>
  </w:footnote>
  <w:footnote w:id="26">
    <w:p w14:paraId="6B8A123A" w14:textId="68D965B1" w:rsidR="00B671E1" w:rsidRDefault="00B671E1">
      <w:pPr>
        <w:pStyle w:val="FootnoteText"/>
      </w:pPr>
      <w:r>
        <w:rPr>
          <w:rStyle w:val="FootnoteReference"/>
        </w:rPr>
        <w:footnoteRef/>
      </w:r>
      <w:r>
        <w:t xml:space="preserve"> Evaluation team review of </w:t>
      </w:r>
      <w:r w:rsidR="000F602E">
        <w:t xml:space="preserve">signed SPFs and EOL templates </w:t>
      </w:r>
      <w:r>
        <w:t>with WFP, UN</w:t>
      </w:r>
      <w:r w:rsidR="00E62630">
        <w:t>H</w:t>
      </w:r>
      <w:r>
        <w:t>CR, OCHA, CERF, ICRC, June 2025</w:t>
      </w:r>
    </w:p>
  </w:footnote>
  <w:footnote w:id="27">
    <w:p w14:paraId="68D29478" w14:textId="771F206C" w:rsidR="00FF4EAE" w:rsidRDefault="00FF4EAE">
      <w:pPr>
        <w:pStyle w:val="FootnoteText"/>
      </w:pPr>
      <w:r>
        <w:rPr>
          <w:rStyle w:val="FootnoteReference"/>
        </w:rPr>
        <w:footnoteRef/>
      </w:r>
      <w:r>
        <w:t xml:space="preserve"> Evaluation team review of </w:t>
      </w:r>
      <w:r w:rsidR="000F602E">
        <w:t xml:space="preserve">signed SPFs and EOL templates </w:t>
      </w:r>
      <w:r>
        <w:t>with WFP, UN</w:t>
      </w:r>
      <w:r w:rsidR="00E62630">
        <w:t>H</w:t>
      </w:r>
      <w:r>
        <w:t>CR, OCHA, CERF, ICRC, June 2025</w:t>
      </w:r>
    </w:p>
  </w:footnote>
  <w:footnote w:id="28">
    <w:p w14:paraId="5D8DAD1A" w14:textId="77777777" w:rsidR="00F733C3" w:rsidRDefault="00F733C3" w:rsidP="00F733C3">
      <w:pPr>
        <w:pStyle w:val="FootnoteText"/>
      </w:pPr>
      <w:r>
        <w:rPr>
          <w:rStyle w:val="FootnoteReference"/>
        </w:rPr>
        <w:footnoteRef/>
      </w:r>
      <w:r>
        <w:t xml:space="preserve"> KIIs with DFAT staff</w:t>
      </w:r>
    </w:p>
  </w:footnote>
  <w:footnote w:id="29">
    <w:p w14:paraId="6AA0287F" w14:textId="6DE8019D" w:rsidR="00255E77" w:rsidRDefault="00255E77">
      <w:pPr>
        <w:pStyle w:val="FootnoteText"/>
      </w:pPr>
      <w:r>
        <w:rPr>
          <w:rStyle w:val="FootnoteReference"/>
        </w:rPr>
        <w:footnoteRef/>
      </w:r>
      <w:r>
        <w:t xml:space="preserve"> DFAT written advice 11 July 2025</w:t>
      </w:r>
      <w:r w:rsidR="001C6F88">
        <w:t xml:space="preserve"> and IOD Parc Trend Analysis on DFAT Strategic Humanitarian Partners Reporting (2022-2024) Presentation</w:t>
      </w:r>
    </w:p>
  </w:footnote>
  <w:footnote w:id="30">
    <w:p w14:paraId="5EBB03A0" w14:textId="77777777" w:rsidR="00D21697" w:rsidRDefault="00D21697" w:rsidP="00D21697">
      <w:pPr>
        <w:pStyle w:val="FootnoteText"/>
      </w:pPr>
      <w:r>
        <w:rPr>
          <w:rStyle w:val="FootnoteReference"/>
        </w:rPr>
        <w:footnoteRef/>
      </w:r>
      <w:r>
        <w:t xml:space="preserve"> DFAT written advice 11 July 2025</w:t>
      </w:r>
    </w:p>
  </w:footnote>
  <w:footnote w:id="31">
    <w:p w14:paraId="319F47F6" w14:textId="14241644" w:rsidR="009E3BF6" w:rsidRDefault="009E3BF6">
      <w:pPr>
        <w:pStyle w:val="FootnoteText"/>
      </w:pPr>
      <w:r>
        <w:rPr>
          <w:rStyle w:val="FootnoteReference"/>
        </w:rPr>
        <w:footnoteRef/>
      </w:r>
      <w:r>
        <w:t xml:space="preserve"> DFAT Initial </w:t>
      </w:r>
      <w:r w:rsidR="001766FB">
        <w:t xml:space="preserve">Findings </w:t>
      </w:r>
      <w:r>
        <w:t>Workshop</w:t>
      </w:r>
      <w:r w:rsidR="00762AF2">
        <w:t xml:space="preserve"> and written advice 11 July 2025</w:t>
      </w:r>
    </w:p>
  </w:footnote>
  <w:footnote w:id="32">
    <w:p w14:paraId="0AAEA179" w14:textId="164814F2" w:rsidR="005F519B" w:rsidRDefault="005F519B">
      <w:pPr>
        <w:pStyle w:val="FootnoteText"/>
      </w:pPr>
      <w:r>
        <w:rPr>
          <w:rStyle w:val="FootnoteReference"/>
        </w:rPr>
        <w:footnoteRef/>
      </w:r>
      <w:r>
        <w:t xml:space="preserve"> DFAT written advice 11 July 2</w:t>
      </w:r>
      <w:r w:rsidR="0039667B">
        <w:t>0</w:t>
      </w:r>
      <w:r>
        <w:t>25</w:t>
      </w:r>
    </w:p>
  </w:footnote>
  <w:footnote w:id="33">
    <w:p w14:paraId="1FFFF23F" w14:textId="4ECCA38C" w:rsidR="00D5532E" w:rsidRDefault="00D5532E">
      <w:pPr>
        <w:pStyle w:val="FootnoteText"/>
      </w:pPr>
      <w:r>
        <w:rPr>
          <w:rStyle w:val="FootnoteReference"/>
        </w:rPr>
        <w:footnoteRef/>
      </w:r>
      <w:r>
        <w:t xml:space="preserve"> </w:t>
      </w:r>
      <w:r w:rsidR="00EE0FB9">
        <w:t xml:space="preserve">Additional aggregate reporting includes: </w:t>
      </w:r>
      <w:r w:rsidR="00463580" w:rsidRPr="00463580">
        <w:t xml:space="preserve">Praxis Consultants. 2025. </w:t>
      </w:r>
      <w:r w:rsidR="00463580" w:rsidRPr="00463580">
        <w:rPr>
          <w:i/>
          <w:iCs/>
        </w:rPr>
        <w:t>DFAT Humanitarian Investments; Gender Equality, Disability Inclusion and Localisation Assessment, 2023</w:t>
      </w:r>
      <w:r w:rsidR="00463580" w:rsidRPr="00463580">
        <w:t xml:space="preserve">; Department of Foreign Affairs and Trade, 2024. </w:t>
      </w:r>
      <w:r w:rsidR="00463580" w:rsidRPr="00463580">
        <w:rPr>
          <w:i/>
          <w:iCs/>
        </w:rPr>
        <w:t>2022/23 Humanitarian Spend Dashboard</w:t>
      </w:r>
      <w:r w:rsidR="00463580" w:rsidRPr="00463580">
        <w:t xml:space="preserve">; Department of Foreign Affairs and Trade, 2024. </w:t>
      </w:r>
      <w:r w:rsidR="00463580" w:rsidRPr="00463580">
        <w:rPr>
          <w:i/>
          <w:iCs/>
        </w:rPr>
        <w:t>HPD-Managed Investments, 2022-23 Performance Data.</w:t>
      </w:r>
    </w:p>
  </w:footnote>
  <w:footnote w:id="34">
    <w:p w14:paraId="6CC1F695" w14:textId="46D205F4" w:rsidR="00156227" w:rsidRDefault="00156227">
      <w:pPr>
        <w:pStyle w:val="FootnoteText"/>
      </w:pPr>
      <w:r>
        <w:rPr>
          <w:rStyle w:val="FootnoteReference"/>
        </w:rPr>
        <w:footnoteRef/>
      </w:r>
      <w:r>
        <w:t xml:space="preserve"> </w:t>
      </w:r>
      <w:r w:rsidR="00F200C9">
        <w:t xml:space="preserve">Bluebird Consultants, 2024. </w:t>
      </w:r>
      <w:r w:rsidR="00F200C9" w:rsidRPr="00F200C9">
        <w:rPr>
          <w:i/>
          <w:iCs/>
        </w:rPr>
        <w:t>Synthesis of Humanitarian Investments from 2024 Quality Reports</w:t>
      </w:r>
      <w:r w:rsidR="00F200C9">
        <w:t xml:space="preserve">. </w:t>
      </w:r>
    </w:p>
  </w:footnote>
  <w:footnote w:id="35">
    <w:p w14:paraId="1B108FC2" w14:textId="456DEAE2" w:rsidR="00FE45ED" w:rsidRDefault="00FE45ED">
      <w:pPr>
        <w:pStyle w:val="FootnoteText"/>
      </w:pPr>
      <w:r>
        <w:rPr>
          <w:rStyle w:val="FootnoteReference"/>
        </w:rPr>
        <w:footnoteRef/>
      </w:r>
      <w:r>
        <w:t xml:space="preserve"> Ibid. </w:t>
      </w:r>
    </w:p>
  </w:footnote>
  <w:footnote w:id="36">
    <w:p w14:paraId="45B59E3E" w14:textId="1C03E918" w:rsidR="009C7494" w:rsidRDefault="009C7494">
      <w:pPr>
        <w:pStyle w:val="FootnoteText"/>
      </w:pPr>
      <w:r>
        <w:rPr>
          <w:rStyle w:val="FootnoteReference"/>
        </w:rPr>
        <w:footnoteRef/>
      </w:r>
      <w:r>
        <w:t xml:space="preserve"> DFAT written advice 11 July 2025</w:t>
      </w:r>
    </w:p>
  </w:footnote>
  <w:footnote w:id="37">
    <w:p w14:paraId="31EB790F" w14:textId="576C2D2F" w:rsidR="006D311C" w:rsidRDefault="006D311C">
      <w:pPr>
        <w:pStyle w:val="FootnoteText"/>
      </w:pPr>
      <w:r>
        <w:rPr>
          <w:rStyle w:val="FootnoteReference"/>
        </w:rPr>
        <w:footnoteRef/>
      </w:r>
      <w:r>
        <w:t xml:space="preserve"> </w:t>
      </w:r>
      <w:r w:rsidR="00915D83">
        <w:t xml:space="preserve">Evaluation team review of </w:t>
      </w:r>
      <w:r w:rsidR="000F602E">
        <w:t>signed SPFs and EOL templates with WFP, UN</w:t>
      </w:r>
      <w:r w:rsidR="006C3DF8">
        <w:t>H</w:t>
      </w:r>
      <w:r w:rsidR="000F602E">
        <w:t>CR, OCHA, CERF, ICRC, June 2025</w:t>
      </w:r>
    </w:p>
  </w:footnote>
  <w:footnote w:id="38">
    <w:p w14:paraId="5D536DAF" w14:textId="77777777" w:rsidR="0053362B" w:rsidRDefault="0053362B" w:rsidP="0053362B">
      <w:pPr>
        <w:pStyle w:val="FootnoteText"/>
      </w:pPr>
      <w:r>
        <w:rPr>
          <w:rStyle w:val="FootnoteReference"/>
        </w:rPr>
        <w:footnoteRef/>
      </w:r>
      <w:r>
        <w:t xml:space="preserve"> Survey, May 2025. KII 27, 33, 34, 35, 36</w:t>
      </w:r>
    </w:p>
  </w:footnote>
  <w:footnote w:id="39">
    <w:p w14:paraId="609F7FAB" w14:textId="77777777" w:rsidR="00F85781" w:rsidRDefault="00F85781" w:rsidP="00F85781">
      <w:pPr>
        <w:pStyle w:val="FootnoteText"/>
      </w:pPr>
      <w:r>
        <w:rPr>
          <w:rStyle w:val="FootnoteReference"/>
        </w:rPr>
        <w:footnoteRef/>
      </w:r>
      <w:r>
        <w:t xml:space="preserve"> Survey respondent ID8, country/response office, May 2025</w:t>
      </w:r>
    </w:p>
  </w:footnote>
  <w:footnote w:id="40">
    <w:p w14:paraId="61F1A5E0" w14:textId="77777777" w:rsidR="00F85781" w:rsidRDefault="00F85781" w:rsidP="00F85781">
      <w:pPr>
        <w:pStyle w:val="FootnoteText"/>
      </w:pPr>
      <w:r>
        <w:rPr>
          <w:rStyle w:val="FootnoteReference"/>
        </w:rPr>
        <w:footnoteRef/>
      </w:r>
      <w:r>
        <w:t xml:space="preserve"> Survey respondent ID16, headquarters official, May 2025</w:t>
      </w:r>
    </w:p>
  </w:footnote>
  <w:footnote w:id="41">
    <w:p w14:paraId="0E756BA7" w14:textId="77777777" w:rsidR="00F85781" w:rsidRDefault="00F85781" w:rsidP="00F85781">
      <w:pPr>
        <w:pStyle w:val="FootnoteText"/>
      </w:pPr>
      <w:r>
        <w:rPr>
          <w:rStyle w:val="FootnoteReference"/>
        </w:rPr>
        <w:footnoteRef/>
      </w:r>
      <w:r>
        <w:t xml:space="preserve"> KII 7, 9, 24, </w:t>
      </w:r>
    </w:p>
  </w:footnote>
  <w:footnote w:id="42">
    <w:p w14:paraId="64A3C477" w14:textId="77777777" w:rsidR="0053362B" w:rsidRPr="001525EF" w:rsidRDefault="0053362B" w:rsidP="0053362B">
      <w:pPr>
        <w:pStyle w:val="FootnoteText"/>
      </w:pPr>
      <w:r w:rsidRPr="001525EF">
        <w:rPr>
          <w:rStyle w:val="FootnoteReference"/>
        </w:rPr>
        <w:footnoteRef/>
      </w:r>
      <w:r w:rsidRPr="001525EF">
        <w:t xml:space="preserve"> KII 25</w:t>
      </w:r>
    </w:p>
  </w:footnote>
  <w:footnote w:id="43">
    <w:p w14:paraId="79B4E6AA" w14:textId="77777777" w:rsidR="0053362B" w:rsidRPr="001525EF" w:rsidRDefault="0053362B" w:rsidP="0053362B">
      <w:pPr>
        <w:pStyle w:val="FootnoteText"/>
        <w:rPr>
          <w:lang w:val="en-US"/>
        </w:rPr>
      </w:pPr>
      <w:r w:rsidRPr="001525EF">
        <w:rPr>
          <w:rStyle w:val="FootnoteReference"/>
        </w:rPr>
        <w:footnoteRef/>
      </w:r>
      <w:r w:rsidRPr="001525EF">
        <w:t xml:space="preserve"> </w:t>
      </w:r>
      <w:r w:rsidRPr="001525EF">
        <w:rPr>
          <w:lang w:val="en-US"/>
        </w:rPr>
        <w:t>KII 30, 31, 32</w:t>
      </w:r>
    </w:p>
  </w:footnote>
  <w:footnote w:id="44">
    <w:p w14:paraId="4AB494DE" w14:textId="66A0E440" w:rsidR="00A6287A" w:rsidRPr="001525EF" w:rsidRDefault="00A6287A" w:rsidP="00A6287A">
      <w:pPr>
        <w:pStyle w:val="FootnoteText"/>
      </w:pPr>
      <w:r w:rsidRPr="001525EF">
        <w:rPr>
          <w:rStyle w:val="FootnoteReference"/>
        </w:rPr>
        <w:footnoteRef/>
      </w:r>
      <w:r w:rsidRPr="001525EF">
        <w:t xml:space="preserve"> KII 6, 7, 9, 10, 15, 16, 17, 23, 27, 34, 36</w:t>
      </w:r>
      <w:r w:rsidR="0083770E">
        <w:t xml:space="preserve">. Written feedback received June 2025. DFAT, </w:t>
      </w:r>
      <w:r w:rsidR="0083770E" w:rsidRPr="00AA4611">
        <w:t>Multilateral Placements Program</w:t>
      </w:r>
      <w:r w:rsidR="0083770E">
        <w:t xml:space="preserve">, accessed 13 June 2025, </w:t>
      </w:r>
      <w:hyperlink r:id="rId5" w:history="1">
        <w:r w:rsidR="0083770E" w:rsidRPr="0051712D">
          <w:rPr>
            <w:rStyle w:val="Hyperlink"/>
          </w:rPr>
          <w:t>https://www.dfat.gov.au/international-relations/international-organisations/un/multilateral-placements-program</w:t>
        </w:r>
      </w:hyperlink>
      <w:r w:rsidR="003C63C8">
        <w:t>. Written feedback received 11 July 2025.</w:t>
      </w:r>
    </w:p>
  </w:footnote>
  <w:footnote w:id="45">
    <w:p w14:paraId="7BF8798F" w14:textId="4D4E41B6" w:rsidR="00EF1513" w:rsidRDefault="00EF1513">
      <w:pPr>
        <w:pStyle w:val="FootnoteText"/>
      </w:pPr>
      <w:r>
        <w:rPr>
          <w:rStyle w:val="FootnoteReference"/>
        </w:rPr>
        <w:footnoteRef/>
      </w:r>
      <w:r>
        <w:t xml:space="preserve"> DFAT written advice 30 July 2025</w:t>
      </w:r>
    </w:p>
  </w:footnote>
  <w:footnote w:id="46">
    <w:p w14:paraId="0A454473" w14:textId="6AEA2295" w:rsidR="0058276D" w:rsidRDefault="0058276D">
      <w:pPr>
        <w:pStyle w:val="FootnoteText"/>
      </w:pPr>
      <w:r>
        <w:rPr>
          <w:rStyle w:val="FootnoteReference"/>
        </w:rPr>
        <w:footnoteRef/>
      </w:r>
      <w:r>
        <w:t xml:space="preserve"> DFAT written advice </w:t>
      </w:r>
      <w:r w:rsidR="003C1B03">
        <w:t xml:space="preserve">30 </w:t>
      </w:r>
      <w:r>
        <w:t>July 2025</w:t>
      </w:r>
    </w:p>
  </w:footnote>
  <w:footnote w:id="47">
    <w:p w14:paraId="5934256E" w14:textId="60D302DC" w:rsidR="00A04415" w:rsidRDefault="00A04415">
      <w:pPr>
        <w:pStyle w:val="FootnoteText"/>
      </w:pPr>
      <w:r>
        <w:rPr>
          <w:rStyle w:val="FootnoteReference"/>
        </w:rPr>
        <w:footnoteRef/>
      </w:r>
      <w:r>
        <w:t xml:space="preserve"> </w:t>
      </w:r>
      <w:r w:rsidR="00AC3EEE">
        <w:t xml:space="preserve">Evaluation team review of </w:t>
      </w:r>
      <w:r w:rsidR="00443209">
        <w:t xml:space="preserve">Performance Arrangement </w:t>
      </w:r>
      <w:r w:rsidR="00BF158B">
        <w:t>data for ICRC, WFP, UNHCR</w:t>
      </w:r>
      <w:r w:rsidR="00DE2CBC">
        <w:t xml:space="preserve"> and</w:t>
      </w:r>
      <w:r w:rsidR="00BF158B">
        <w:t xml:space="preserve"> OCHA </w:t>
      </w:r>
      <w:r w:rsidR="00DE2CBC">
        <w:t xml:space="preserve">for </w:t>
      </w:r>
      <w:r w:rsidR="00A702FB">
        <w:t xml:space="preserve">2022, </w:t>
      </w:r>
      <w:r w:rsidR="00C409FC">
        <w:t>2</w:t>
      </w:r>
      <w:r w:rsidR="00BF158B">
        <w:t>023 and 2024</w:t>
      </w:r>
      <w:r w:rsidR="00DE2CBC">
        <w:t xml:space="preserve"> </w:t>
      </w:r>
      <w:r w:rsidR="00BF158B">
        <w:t xml:space="preserve"> </w:t>
      </w:r>
    </w:p>
  </w:footnote>
  <w:footnote w:id="48">
    <w:p w14:paraId="493AB6AC" w14:textId="77777777" w:rsidR="00321D2C" w:rsidRPr="001525EF" w:rsidRDefault="00321D2C" w:rsidP="00321D2C">
      <w:pPr>
        <w:pStyle w:val="FootnoteText"/>
      </w:pPr>
      <w:r w:rsidRPr="001525EF">
        <w:rPr>
          <w:rStyle w:val="FootnoteReference"/>
        </w:rPr>
        <w:footnoteRef/>
      </w:r>
      <w:r w:rsidRPr="001525EF">
        <w:t xml:space="preserve"> KII 6, 7, 9, 10, 15, 16, 17, 23, 27, 34, 36</w:t>
      </w:r>
    </w:p>
  </w:footnote>
  <w:footnote w:id="49">
    <w:p w14:paraId="23B89092" w14:textId="7DE2DEFF" w:rsidR="0080771B" w:rsidRDefault="0080771B">
      <w:pPr>
        <w:pStyle w:val="FootnoteText"/>
      </w:pPr>
      <w:r>
        <w:rPr>
          <w:rStyle w:val="FootnoteReference"/>
        </w:rPr>
        <w:footnoteRef/>
      </w:r>
      <w:r>
        <w:t xml:space="preserve"> Written feedback received </w:t>
      </w:r>
      <w:r w:rsidR="00B22F26">
        <w:t>June 2025</w:t>
      </w:r>
    </w:p>
  </w:footnote>
  <w:footnote w:id="50">
    <w:p w14:paraId="31B2ADE9" w14:textId="00210FE1" w:rsidR="00CC113E" w:rsidRDefault="00CC113E">
      <w:pPr>
        <w:pStyle w:val="FootnoteText"/>
      </w:pPr>
      <w:r>
        <w:rPr>
          <w:rStyle w:val="FootnoteReference"/>
        </w:rPr>
        <w:footnoteRef/>
      </w:r>
      <w:r>
        <w:t xml:space="preserve"> KII </w:t>
      </w:r>
      <w:r w:rsidR="00DF6E7F">
        <w:t xml:space="preserve">27, </w:t>
      </w:r>
      <w:r w:rsidR="00F55F09">
        <w:t>34, 35, 36</w:t>
      </w:r>
    </w:p>
  </w:footnote>
  <w:footnote w:id="51">
    <w:p w14:paraId="22F71B93" w14:textId="77777777" w:rsidR="00DC2020" w:rsidRPr="001525EF" w:rsidRDefault="00DC2020" w:rsidP="00DC2020">
      <w:pPr>
        <w:pStyle w:val="FootnoteText"/>
      </w:pPr>
      <w:r w:rsidRPr="001525EF">
        <w:rPr>
          <w:rStyle w:val="FootnoteReference"/>
        </w:rPr>
        <w:footnoteRef/>
      </w:r>
      <w:r w:rsidRPr="001525EF">
        <w:t xml:space="preserve"> KII 6, 7, 9, 10, 15, 16, 17, 23, 27, 34, 36</w:t>
      </w:r>
    </w:p>
  </w:footnote>
  <w:footnote w:id="52">
    <w:p w14:paraId="13E48292" w14:textId="77777777" w:rsidR="00D634B2" w:rsidRDefault="00D634B2" w:rsidP="00D634B2">
      <w:pPr>
        <w:pStyle w:val="FootnoteText"/>
      </w:pPr>
      <w:r>
        <w:rPr>
          <w:rStyle w:val="FootnoteReference"/>
        </w:rPr>
        <w:footnoteRef/>
      </w:r>
      <w:r>
        <w:t xml:space="preserve"> KII 6 and 35 </w:t>
      </w:r>
    </w:p>
  </w:footnote>
  <w:footnote w:id="53">
    <w:p w14:paraId="1E76263C" w14:textId="1AAD5D18" w:rsidR="006E4C8C" w:rsidRDefault="006E4C8C">
      <w:pPr>
        <w:pStyle w:val="FootnoteText"/>
      </w:pPr>
      <w:r>
        <w:rPr>
          <w:rStyle w:val="FootnoteReference"/>
        </w:rPr>
        <w:footnoteRef/>
      </w:r>
      <w:r>
        <w:t xml:space="preserve"> </w:t>
      </w:r>
      <w:r w:rsidR="00397548">
        <w:t xml:space="preserve">KII 4, 6, 7,8, 9, 10 ,12, 13, 14, </w:t>
      </w:r>
      <w:r w:rsidR="000930FA">
        <w:t>27, 29, 33, 34, 35, 36</w:t>
      </w:r>
    </w:p>
  </w:footnote>
  <w:footnote w:id="54">
    <w:p w14:paraId="6C6C193F" w14:textId="77777777" w:rsidR="00B46081" w:rsidRDefault="00B46081" w:rsidP="00B46081">
      <w:pPr>
        <w:pStyle w:val="FootnoteText"/>
      </w:pPr>
      <w:r>
        <w:rPr>
          <w:rStyle w:val="FootnoteReference"/>
        </w:rPr>
        <w:footnoteRef/>
      </w:r>
      <w:r>
        <w:t xml:space="preserve"> KII </w:t>
      </w:r>
    </w:p>
  </w:footnote>
  <w:footnote w:id="55">
    <w:p w14:paraId="0A118305" w14:textId="77777777" w:rsidR="00B46081" w:rsidRDefault="00B46081" w:rsidP="00B46081">
      <w:pPr>
        <w:pStyle w:val="FootnoteText"/>
      </w:pPr>
      <w:r>
        <w:rPr>
          <w:rStyle w:val="FootnoteReference"/>
        </w:rPr>
        <w:footnoteRef/>
      </w:r>
      <w:r>
        <w:t xml:space="preserve"> KII 13</w:t>
      </w:r>
    </w:p>
  </w:footnote>
  <w:footnote w:id="56">
    <w:p w14:paraId="6091E866" w14:textId="77777777" w:rsidR="006040A2" w:rsidRDefault="006040A2" w:rsidP="006040A2">
      <w:pPr>
        <w:pStyle w:val="FootnoteText"/>
      </w:pPr>
      <w:r>
        <w:rPr>
          <w:rStyle w:val="FootnoteReference"/>
        </w:rPr>
        <w:footnoteRef/>
      </w:r>
      <w:r>
        <w:t xml:space="preserve"> Evaluation team review of SPF and EOL templates, April to May 2025. KII 2, 4, 12, 13, 14</w:t>
      </w:r>
    </w:p>
  </w:footnote>
  <w:footnote w:id="57">
    <w:p w14:paraId="588D8E42" w14:textId="77777777" w:rsidR="006040A2" w:rsidRDefault="006040A2" w:rsidP="006040A2">
      <w:pPr>
        <w:pStyle w:val="FootnoteText"/>
      </w:pPr>
      <w:r>
        <w:rPr>
          <w:rStyle w:val="FootnoteReference"/>
        </w:rPr>
        <w:footnoteRef/>
      </w:r>
      <w:r>
        <w:t xml:space="preserve"> KII 4, 12, 13 </w:t>
      </w:r>
    </w:p>
  </w:footnote>
  <w:footnote w:id="58">
    <w:p w14:paraId="020B2A02" w14:textId="333EC64E" w:rsidR="00A05B2E" w:rsidRDefault="00A05B2E">
      <w:pPr>
        <w:pStyle w:val="FootnoteText"/>
      </w:pPr>
      <w:r>
        <w:rPr>
          <w:rStyle w:val="FootnoteReference"/>
        </w:rPr>
        <w:footnoteRef/>
      </w:r>
      <w:r>
        <w:t xml:space="preserve"> DFAT written advice 11 July 2025</w:t>
      </w:r>
    </w:p>
  </w:footnote>
  <w:footnote w:id="59">
    <w:p w14:paraId="3E097CCF" w14:textId="4E0157F2" w:rsidR="00091D92" w:rsidRDefault="00091D92">
      <w:pPr>
        <w:pStyle w:val="FootnoteText"/>
      </w:pPr>
      <w:r>
        <w:rPr>
          <w:rStyle w:val="FootnoteReference"/>
        </w:rPr>
        <w:footnoteRef/>
      </w:r>
      <w:r>
        <w:t xml:space="preserve"> DFAT written advice 11 July 2025</w:t>
      </w:r>
    </w:p>
  </w:footnote>
  <w:footnote w:id="60">
    <w:p w14:paraId="2462710C" w14:textId="77777777" w:rsidR="00DF6993" w:rsidRDefault="00DF6993" w:rsidP="00DF6993">
      <w:pPr>
        <w:pStyle w:val="FootnoteText"/>
      </w:pPr>
      <w:r>
        <w:rPr>
          <w:rStyle w:val="FootnoteReference"/>
        </w:rPr>
        <w:footnoteRef/>
      </w:r>
      <w:r>
        <w:t xml:space="preserve"> KII 27, 30, 31, 34, 35, 36</w:t>
      </w:r>
    </w:p>
  </w:footnote>
  <w:footnote w:id="61">
    <w:p w14:paraId="6F97A808" w14:textId="77777777" w:rsidR="00DF6993" w:rsidRDefault="00DF6993" w:rsidP="00DF6993">
      <w:pPr>
        <w:pStyle w:val="FootnoteText"/>
      </w:pPr>
      <w:r>
        <w:rPr>
          <w:rStyle w:val="FootnoteReference"/>
        </w:rPr>
        <w:footnoteRef/>
      </w:r>
      <w:r>
        <w:t xml:space="preserve"> KII 4, 14, 15, 24</w:t>
      </w:r>
    </w:p>
  </w:footnote>
  <w:footnote w:id="62">
    <w:p w14:paraId="53F6B02E" w14:textId="77777777" w:rsidR="008F1747" w:rsidRDefault="008F1747" w:rsidP="008F1747">
      <w:pPr>
        <w:pStyle w:val="FootnoteText"/>
      </w:pPr>
      <w:r>
        <w:rPr>
          <w:rStyle w:val="FootnoteReference"/>
        </w:rPr>
        <w:footnoteRef/>
      </w:r>
      <w:r>
        <w:t xml:space="preserve"> </w:t>
      </w:r>
      <w:r w:rsidRPr="00906D48">
        <w:t xml:space="preserve">Survey </w:t>
      </w:r>
      <w:r>
        <w:t>question 2.5, 2.5.1 and 2.5.2, response from</w:t>
      </w:r>
      <w:r w:rsidRPr="00906D48">
        <w:t xml:space="preserve"> DFAT humanitarian SPF partnership managers, multilateral Posts, desks and bilateral Posts which have used SPFs/EOLs, May 2025</w:t>
      </w:r>
    </w:p>
  </w:footnote>
  <w:footnote w:id="63">
    <w:p w14:paraId="57E99B66" w14:textId="77777777" w:rsidR="00BC0217" w:rsidRDefault="00BC0217" w:rsidP="00BC0217">
      <w:pPr>
        <w:pStyle w:val="FootnoteText"/>
      </w:pPr>
      <w:r>
        <w:rPr>
          <w:rStyle w:val="FootnoteReference"/>
        </w:rPr>
        <w:footnoteRef/>
      </w:r>
      <w:r>
        <w:t xml:space="preserve"> KII 27, 33, 34, 35, 36</w:t>
      </w:r>
    </w:p>
  </w:footnote>
  <w:footnote w:id="64">
    <w:p w14:paraId="37FB72F2" w14:textId="77777777" w:rsidR="00BC0217" w:rsidRDefault="00BC0217" w:rsidP="00BC0217">
      <w:pPr>
        <w:pStyle w:val="FootnoteText"/>
      </w:pPr>
      <w:r>
        <w:rPr>
          <w:rStyle w:val="FootnoteReference"/>
        </w:rPr>
        <w:footnoteRef/>
      </w:r>
      <w:r>
        <w:t xml:space="preserve"> Survey question 8a, response from DFAT staff involved in SPFs and EOLs, May 2025</w:t>
      </w:r>
    </w:p>
  </w:footnote>
  <w:footnote w:id="65">
    <w:p w14:paraId="0D7059BB" w14:textId="77777777" w:rsidR="00457BC8" w:rsidRPr="00BD3413" w:rsidRDefault="00457BC8" w:rsidP="00457BC8">
      <w:pPr>
        <w:pStyle w:val="FootnoteText"/>
        <w:rPr>
          <w:lang w:val="en-US"/>
        </w:rPr>
      </w:pPr>
      <w:r>
        <w:rPr>
          <w:rStyle w:val="FootnoteReference"/>
        </w:rPr>
        <w:footnoteRef/>
      </w:r>
      <w:r>
        <w:t xml:space="preserve"> KII</w:t>
      </w:r>
      <w:r>
        <w:rPr>
          <w:lang w:val="en-US"/>
        </w:rPr>
        <w:t xml:space="preserve"> with WFP Bangladesh</w:t>
      </w:r>
    </w:p>
  </w:footnote>
  <w:footnote w:id="66">
    <w:p w14:paraId="79E5FBC1" w14:textId="1DAC0EB8" w:rsidR="00BA2E05" w:rsidRDefault="00BA2E05" w:rsidP="009C5923">
      <w:pPr>
        <w:pStyle w:val="FootnoteText"/>
      </w:pPr>
      <w:r>
        <w:rPr>
          <w:rStyle w:val="FootnoteReference"/>
        </w:rPr>
        <w:footnoteRef/>
      </w:r>
      <w:r>
        <w:t xml:space="preserve"> </w:t>
      </w:r>
      <w:r w:rsidR="009C5923" w:rsidRPr="00906D48">
        <w:t xml:space="preserve">Survey </w:t>
      </w:r>
      <w:r w:rsidR="009C5923">
        <w:t>question 2.5, 2.5.1 and 2.5.2, response from</w:t>
      </w:r>
      <w:r w:rsidR="009C5923" w:rsidRPr="00906D48">
        <w:t xml:space="preserve"> DFAT humanitarian SPF partnership managers, multilateral Posts, desks and bilateral Posts which have used SPFs/EOLs, May 2025</w:t>
      </w:r>
    </w:p>
  </w:footnote>
  <w:footnote w:id="67">
    <w:p w14:paraId="28FCBFEA" w14:textId="77777777" w:rsidR="00BC0217" w:rsidRDefault="00BC0217" w:rsidP="00BC0217">
      <w:pPr>
        <w:pStyle w:val="FootnoteText"/>
      </w:pPr>
      <w:r>
        <w:rPr>
          <w:rStyle w:val="FootnoteReference"/>
        </w:rPr>
        <w:footnoteRef/>
      </w:r>
      <w:r>
        <w:t xml:space="preserve"> KII 27, 33, 34, 35, 36</w:t>
      </w:r>
    </w:p>
  </w:footnote>
  <w:footnote w:id="68">
    <w:p w14:paraId="36964E01" w14:textId="77777777" w:rsidR="0053362B" w:rsidRPr="000A3A7D" w:rsidRDefault="0053362B" w:rsidP="0053362B">
      <w:pPr>
        <w:pStyle w:val="FootnoteText"/>
      </w:pPr>
      <w:r w:rsidRPr="001525EF">
        <w:rPr>
          <w:rStyle w:val="FootnoteReference"/>
        </w:rPr>
        <w:footnoteRef/>
      </w:r>
      <w:r w:rsidRPr="001525EF">
        <w:t xml:space="preserve"> KII 11, 12, 14, 15,</w:t>
      </w:r>
      <w:r w:rsidRPr="000A3A7D">
        <w:t xml:space="preserve"> 17, 24, 25, 26</w:t>
      </w:r>
    </w:p>
  </w:footnote>
  <w:footnote w:id="69">
    <w:p w14:paraId="6405F40B" w14:textId="77777777" w:rsidR="0046610F" w:rsidRPr="000A3A7D" w:rsidRDefault="0046610F" w:rsidP="0046610F">
      <w:pPr>
        <w:pStyle w:val="FootnoteText"/>
      </w:pPr>
      <w:r w:rsidRPr="000A3A7D">
        <w:rPr>
          <w:rStyle w:val="FootnoteReference"/>
        </w:rPr>
        <w:footnoteRef/>
      </w:r>
      <w:r w:rsidRPr="000A3A7D">
        <w:t xml:space="preserve"> KII 27, 34, 35, 36</w:t>
      </w:r>
    </w:p>
  </w:footnote>
  <w:footnote w:id="70">
    <w:p w14:paraId="754ACB34" w14:textId="77777777" w:rsidR="005C7112" w:rsidRDefault="005C7112" w:rsidP="005C7112">
      <w:pPr>
        <w:pStyle w:val="FootnoteText"/>
      </w:pPr>
      <w:r>
        <w:rPr>
          <w:rStyle w:val="FootnoteReference"/>
        </w:rPr>
        <w:footnoteRef/>
      </w:r>
      <w:r>
        <w:t xml:space="preserve"> KII 11, 12, 14, 15, 17, 24, 25, 26</w:t>
      </w:r>
    </w:p>
  </w:footnote>
  <w:footnote w:id="71">
    <w:p w14:paraId="51628F1D" w14:textId="77777777" w:rsidR="005C7112" w:rsidRDefault="005C7112" w:rsidP="005C7112">
      <w:pPr>
        <w:pStyle w:val="FootnoteText"/>
      </w:pPr>
      <w:r>
        <w:rPr>
          <w:rStyle w:val="FootnoteReference"/>
        </w:rPr>
        <w:footnoteRef/>
      </w:r>
      <w:r>
        <w:t xml:space="preserve"> KII 27, 34, 35, 36</w:t>
      </w:r>
    </w:p>
  </w:footnote>
  <w:footnote w:id="72">
    <w:p w14:paraId="35354A99" w14:textId="77777777" w:rsidR="009404ED" w:rsidRDefault="009404ED" w:rsidP="009404ED">
      <w:pPr>
        <w:pStyle w:val="FootnoteText"/>
      </w:pPr>
      <w:r>
        <w:rPr>
          <w:rStyle w:val="FootnoteReference"/>
        </w:rPr>
        <w:footnoteRef/>
      </w:r>
      <w:r>
        <w:t xml:space="preserve"> KII 12, 13, 16, 17</w:t>
      </w:r>
    </w:p>
  </w:footnote>
  <w:footnote w:id="73">
    <w:p w14:paraId="587BA898" w14:textId="77777777" w:rsidR="009404ED" w:rsidRDefault="009404ED" w:rsidP="009404ED">
      <w:pPr>
        <w:pStyle w:val="FootnoteText"/>
      </w:pPr>
      <w:r>
        <w:rPr>
          <w:rStyle w:val="FootnoteReference"/>
        </w:rPr>
        <w:footnoteRef/>
      </w:r>
      <w:r>
        <w:t xml:space="preserve"> KII 27, 34, 35, 36</w:t>
      </w:r>
    </w:p>
  </w:footnote>
  <w:footnote w:id="74">
    <w:p w14:paraId="1AFFC755" w14:textId="77777777" w:rsidR="009404ED" w:rsidRDefault="009404ED" w:rsidP="009404ED">
      <w:pPr>
        <w:pStyle w:val="FootnoteText"/>
      </w:pPr>
      <w:r>
        <w:rPr>
          <w:rStyle w:val="FootnoteReference"/>
        </w:rPr>
        <w:footnoteRef/>
      </w:r>
      <w:r>
        <w:t xml:space="preserve"> KII 12, 13, 16, 17</w:t>
      </w:r>
    </w:p>
  </w:footnote>
  <w:footnote w:id="75">
    <w:p w14:paraId="21ACDAD7" w14:textId="4D0AE904" w:rsidR="00F6572B" w:rsidRPr="00F6572B" w:rsidRDefault="00F6572B">
      <w:pPr>
        <w:pStyle w:val="FootnoteText"/>
        <w:rPr>
          <w:lang w:val="en-US"/>
        </w:rPr>
      </w:pPr>
      <w:r>
        <w:rPr>
          <w:rStyle w:val="FootnoteReference"/>
        </w:rPr>
        <w:footnoteRef/>
      </w:r>
      <w:r>
        <w:t xml:space="preserve"> </w:t>
      </w:r>
      <w:r>
        <w:rPr>
          <w:lang w:val="en-US"/>
        </w:rPr>
        <w:t>KII</w:t>
      </w:r>
      <w:r w:rsidR="00BE700B">
        <w:rPr>
          <w:lang w:val="en-US"/>
        </w:rPr>
        <w:t xml:space="preserve"> </w:t>
      </w:r>
      <w:r>
        <w:rPr>
          <w:lang w:val="en-US"/>
        </w:rPr>
        <w:t>30</w:t>
      </w:r>
    </w:p>
  </w:footnote>
  <w:footnote w:id="76">
    <w:p w14:paraId="6FB40F8A" w14:textId="53AFA1A5" w:rsidR="007866CD" w:rsidRDefault="007866CD">
      <w:pPr>
        <w:pStyle w:val="FootnoteText"/>
      </w:pPr>
      <w:r>
        <w:rPr>
          <w:rStyle w:val="FootnoteReference"/>
        </w:rPr>
        <w:footnoteRef/>
      </w:r>
      <w:r>
        <w:t xml:space="preserve"> DFAT written advice 11 July 2025</w:t>
      </w:r>
    </w:p>
  </w:footnote>
  <w:footnote w:id="77">
    <w:p w14:paraId="0A17D250" w14:textId="7AFFFCD2" w:rsidR="007866CD" w:rsidRDefault="007866CD">
      <w:pPr>
        <w:pStyle w:val="FootnoteText"/>
      </w:pPr>
      <w:r>
        <w:rPr>
          <w:rStyle w:val="FootnoteReference"/>
        </w:rPr>
        <w:footnoteRef/>
      </w:r>
      <w:r>
        <w:t xml:space="preserve"> DFAT written advice 11 July 2025</w:t>
      </w:r>
    </w:p>
  </w:footnote>
  <w:footnote w:id="78">
    <w:p w14:paraId="2AE80B84" w14:textId="62668843" w:rsidR="00C164F7" w:rsidRDefault="00C164F7">
      <w:pPr>
        <w:pStyle w:val="FootnoteText"/>
      </w:pPr>
      <w:r>
        <w:rPr>
          <w:rStyle w:val="FootnoteReference"/>
        </w:rPr>
        <w:footnoteRef/>
      </w:r>
      <w:r>
        <w:t xml:space="preserve"> DFAT written advice 11 July 2025</w:t>
      </w:r>
    </w:p>
  </w:footnote>
  <w:footnote w:id="79">
    <w:p w14:paraId="596B9366" w14:textId="59E21431" w:rsidR="002C741B" w:rsidRDefault="002C741B">
      <w:pPr>
        <w:pStyle w:val="FootnoteText"/>
      </w:pPr>
      <w:r>
        <w:rPr>
          <w:rStyle w:val="FootnoteReference"/>
        </w:rPr>
        <w:footnoteRef/>
      </w:r>
      <w:r>
        <w:t xml:space="preserve"> KII 32 and DFAT written advice 11 July 2025</w:t>
      </w:r>
    </w:p>
  </w:footnote>
  <w:footnote w:id="80">
    <w:p w14:paraId="12F5D2E5" w14:textId="77777777" w:rsidR="0053362B" w:rsidRDefault="0053362B" w:rsidP="0053362B">
      <w:pPr>
        <w:pStyle w:val="FootnoteText"/>
      </w:pPr>
      <w:r>
        <w:rPr>
          <w:rStyle w:val="FootnoteReference"/>
        </w:rPr>
        <w:footnoteRef/>
      </w:r>
      <w:r>
        <w:t xml:space="preserve"> KII 32</w:t>
      </w:r>
    </w:p>
  </w:footnote>
  <w:footnote w:id="81">
    <w:p w14:paraId="7AC4494C" w14:textId="77777777" w:rsidR="00065A41" w:rsidRDefault="00065A41" w:rsidP="00065A41">
      <w:pPr>
        <w:pStyle w:val="FootnoteText"/>
      </w:pPr>
      <w:r>
        <w:rPr>
          <w:rStyle w:val="FootnoteReference"/>
        </w:rPr>
        <w:footnoteRef/>
      </w:r>
      <w:r>
        <w:t xml:space="preserve"> Survey questions 10a and 10b, responses from DFAT staff engaged in SPFs and EOLs at headquarters, multilateral Posts and country/response Posts</w:t>
      </w:r>
    </w:p>
  </w:footnote>
  <w:footnote w:id="82">
    <w:p w14:paraId="4FF18009" w14:textId="77777777" w:rsidR="00B57983" w:rsidRDefault="00B57983" w:rsidP="00B57983">
      <w:pPr>
        <w:pStyle w:val="FootnoteText"/>
      </w:pPr>
      <w:r>
        <w:rPr>
          <w:rStyle w:val="FootnoteReference"/>
        </w:rPr>
        <w:footnoteRef/>
      </w:r>
      <w:r>
        <w:t xml:space="preserve"> KII 6, 7, 9, 10, 14, 24, 25, 26, 29, 32</w:t>
      </w:r>
    </w:p>
  </w:footnote>
  <w:footnote w:id="83">
    <w:p w14:paraId="7BA85389" w14:textId="77777777" w:rsidR="0053362B" w:rsidRDefault="0053362B" w:rsidP="0053362B">
      <w:pPr>
        <w:pStyle w:val="FootnoteText"/>
      </w:pPr>
      <w:r>
        <w:rPr>
          <w:rStyle w:val="FootnoteReference"/>
        </w:rPr>
        <w:footnoteRef/>
      </w:r>
      <w:r>
        <w:t xml:space="preserve"> KII 36</w:t>
      </w:r>
    </w:p>
  </w:footnote>
  <w:footnote w:id="84">
    <w:p w14:paraId="11095527" w14:textId="6E408CBB" w:rsidR="00E06425" w:rsidRDefault="00E06425">
      <w:pPr>
        <w:pStyle w:val="FootnoteText"/>
      </w:pPr>
      <w:r>
        <w:rPr>
          <w:rStyle w:val="FootnoteReference"/>
        </w:rPr>
        <w:footnoteRef/>
      </w:r>
      <w:r>
        <w:t xml:space="preserve"> </w:t>
      </w:r>
      <w:r w:rsidR="003739E3">
        <w:t xml:space="preserve">Survey question </w:t>
      </w:r>
      <w:r w:rsidR="004F3C1A">
        <w:t xml:space="preserve">14b, responses from </w:t>
      </w:r>
      <w:r w:rsidR="00232627">
        <w:t>humanitarian SPF partners, May 2025</w:t>
      </w:r>
    </w:p>
  </w:footnote>
  <w:footnote w:id="85">
    <w:p w14:paraId="03999F64" w14:textId="77777777" w:rsidR="0053362B" w:rsidRDefault="0053362B" w:rsidP="0053362B">
      <w:pPr>
        <w:pStyle w:val="FootnoteText"/>
      </w:pPr>
      <w:r>
        <w:rPr>
          <w:rStyle w:val="FootnoteReference"/>
        </w:rPr>
        <w:footnoteRef/>
      </w:r>
      <w:r>
        <w:t xml:space="preserve"> KII 27, 34, 35, 36</w:t>
      </w:r>
    </w:p>
  </w:footnote>
  <w:footnote w:id="86">
    <w:p w14:paraId="17CBA080" w14:textId="5855885B" w:rsidR="0026065B" w:rsidRDefault="0026065B">
      <w:pPr>
        <w:pStyle w:val="FootnoteText"/>
      </w:pPr>
      <w:r>
        <w:rPr>
          <w:rStyle w:val="FootnoteReference"/>
        </w:rPr>
        <w:footnoteRef/>
      </w:r>
      <w:r>
        <w:t xml:space="preserve"> </w:t>
      </w:r>
      <w:r w:rsidR="00EF2963">
        <w:t>DFAT written advice, 30 May</w:t>
      </w:r>
      <w:r>
        <w:t xml:space="preserve"> 2025</w:t>
      </w:r>
      <w:r w:rsidR="00EF2963">
        <w:t xml:space="preserve">. </w:t>
      </w:r>
      <w:r w:rsidR="00EF2963" w:rsidRPr="00EF2963">
        <w:t>DFAT written advice 11 July 2025</w:t>
      </w:r>
    </w:p>
  </w:footnote>
  <w:footnote w:id="87">
    <w:p w14:paraId="3784731B" w14:textId="77777777" w:rsidR="0053362B" w:rsidRDefault="0053362B" w:rsidP="0053362B">
      <w:pPr>
        <w:pStyle w:val="FootnoteText"/>
      </w:pPr>
      <w:r>
        <w:rPr>
          <w:rStyle w:val="FootnoteReference"/>
        </w:rPr>
        <w:footnoteRef/>
      </w:r>
      <w:r>
        <w:t xml:space="preserve"> KII 36</w:t>
      </w:r>
    </w:p>
  </w:footnote>
  <w:footnote w:id="88">
    <w:p w14:paraId="6F4099FD" w14:textId="77777777" w:rsidR="0053362B" w:rsidRPr="00036BED" w:rsidRDefault="0053362B" w:rsidP="0053362B">
      <w:pPr>
        <w:pStyle w:val="FootnoteText"/>
        <w:rPr>
          <w:lang w:val="en-US"/>
        </w:rPr>
      </w:pPr>
      <w:r w:rsidRPr="00036BED">
        <w:rPr>
          <w:rStyle w:val="FootnoteReference"/>
        </w:rPr>
        <w:footnoteRef/>
      </w:r>
      <w:r w:rsidRPr="00036BED">
        <w:t xml:space="preserve"> </w:t>
      </w:r>
      <w:r w:rsidRPr="00036BED">
        <w:rPr>
          <w:lang w:val="en-US"/>
        </w:rPr>
        <w:t>KII 30</w:t>
      </w:r>
    </w:p>
  </w:footnote>
  <w:footnote w:id="89">
    <w:p w14:paraId="1C606E2E" w14:textId="77777777" w:rsidR="0053362B" w:rsidRPr="00036BED" w:rsidRDefault="0053362B" w:rsidP="0053362B">
      <w:pPr>
        <w:pStyle w:val="FootnoteText"/>
      </w:pPr>
      <w:r w:rsidRPr="00036BED">
        <w:rPr>
          <w:rStyle w:val="FootnoteReference"/>
        </w:rPr>
        <w:footnoteRef/>
      </w:r>
      <w:r w:rsidRPr="00036BED">
        <w:t xml:space="preserve"> KII 14</w:t>
      </w:r>
    </w:p>
  </w:footnote>
  <w:footnote w:id="90">
    <w:p w14:paraId="3A6FAA83" w14:textId="77777777" w:rsidR="0053362B" w:rsidRPr="00036BED" w:rsidRDefault="0053362B" w:rsidP="0053362B">
      <w:pPr>
        <w:pStyle w:val="FootnoteText"/>
        <w:rPr>
          <w:lang w:val="en-US"/>
        </w:rPr>
      </w:pPr>
      <w:r>
        <w:rPr>
          <w:rStyle w:val="FootnoteReference"/>
        </w:rPr>
        <w:footnoteRef/>
      </w:r>
      <w:r>
        <w:t xml:space="preserve"> </w:t>
      </w:r>
      <w:r>
        <w:rPr>
          <w:lang w:val="en-US"/>
        </w:rPr>
        <w:t>KII 12, 31</w:t>
      </w:r>
    </w:p>
  </w:footnote>
  <w:footnote w:id="91">
    <w:p w14:paraId="6C987604" w14:textId="52FE06C9" w:rsidR="00BE0E2C" w:rsidRDefault="00BE0E2C">
      <w:pPr>
        <w:pStyle w:val="FootnoteText"/>
      </w:pPr>
      <w:r>
        <w:rPr>
          <w:rStyle w:val="FootnoteReference"/>
        </w:rPr>
        <w:footnoteRef/>
      </w:r>
      <w:r>
        <w:t xml:space="preserve"> </w:t>
      </w:r>
      <w:r w:rsidR="00591434">
        <w:t xml:space="preserve">Survey question </w:t>
      </w:r>
      <w:r w:rsidR="00C40D43">
        <w:t>13</w:t>
      </w:r>
      <w:r w:rsidR="00756141">
        <w:t xml:space="preserve">, </w:t>
      </w:r>
      <w:r w:rsidR="000264BA">
        <w:t xml:space="preserve">responses from </w:t>
      </w:r>
      <w:r w:rsidR="00756141">
        <w:t>DFAT staff engaged in SPFs and EOLs at headquarters, multilateral Posts and country/response Posts</w:t>
      </w:r>
    </w:p>
  </w:footnote>
  <w:footnote w:id="92">
    <w:p w14:paraId="714728E8" w14:textId="77777777" w:rsidR="00AD501C" w:rsidRDefault="00AD501C" w:rsidP="00AD501C">
      <w:pPr>
        <w:pStyle w:val="FootnoteText"/>
      </w:pPr>
      <w:r>
        <w:rPr>
          <w:rStyle w:val="FootnoteReference"/>
        </w:rPr>
        <w:footnoteRef/>
      </w:r>
      <w:r>
        <w:t xml:space="preserve"> KII 6, 7, 9, 10, 14, 24, 25, 26</w:t>
      </w:r>
    </w:p>
  </w:footnote>
  <w:footnote w:id="93">
    <w:p w14:paraId="51F93029" w14:textId="77777777" w:rsidR="00AD501C" w:rsidRDefault="00AD501C" w:rsidP="00AD501C">
      <w:pPr>
        <w:pStyle w:val="FootnoteText"/>
      </w:pPr>
      <w:r>
        <w:rPr>
          <w:rStyle w:val="FootnoteReference"/>
        </w:rPr>
        <w:footnoteRef/>
      </w:r>
      <w:r>
        <w:t xml:space="preserve"> KII 6</w:t>
      </w:r>
    </w:p>
  </w:footnote>
  <w:footnote w:id="94">
    <w:p w14:paraId="68ED2839" w14:textId="77777777" w:rsidR="0053362B" w:rsidRDefault="0053362B" w:rsidP="0053362B">
      <w:pPr>
        <w:pStyle w:val="FootnoteText"/>
      </w:pPr>
      <w:r w:rsidRPr="00036BED">
        <w:rPr>
          <w:rStyle w:val="FootnoteReference"/>
        </w:rPr>
        <w:footnoteRef/>
      </w:r>
      <w:r w:rsidRPr="00036BED">
        <w:t xml:space="preserve"> KII 6</w:t>
      </w:r>
    </w:p>
  </w:footnote>
  <w:footnote w:id="95">
    <w:p w14:paraId="6D2CFB3B" w14:textId="77777777" w:rsidR="0053362B" w:rsidRDefault="0053362B" w:rsidP="0053362B">
      <w:pPr>
        <w:pStyle w:val="FootnoteText"/>
      </w:pPr>
      <w:r>
        <w:rPr>
          <w:rStyle w:val="FootnoteReference"/>
        </w:rPr>
        <w:footnoteRef/>
      </w:r>
      <w:r>
        <w:t xml:space="preserve"> KII 8, 9, 12, 13 </w:t>
      </w:r>
    </w:p>
  </w:footnote>
  <w:footnote w:id="96">
    <w:p w14:paraId="09841D6E" w14:textId="77777777" w:rsidR="00B54418" w:rsidRDefault="00B54418" w:rsidP="00B54418">
      <w:pPr>
        <w:pStyle w:val="FootnoteText"/>
      </w:pPr>
      <w:r>
        <w:rPr>
          <w:rStyle w:val="FootnoteReference"/>
        </w:rPr>
        <w:footnoteRef/>
      </w:r>
      <w:r>
        <w:t xml:space="preserve"> KII 6</w:t>
      </w:r>
    </w:p>
  </w:footnote>
  <w:footnote w:id="97">
    <w:p w14:paraId="208A81D9" w14:textId="77777777" w:rsidR="00FB636B" w:rsidRDefault="00FB636B" w:rsidP="00FB636B">
      <w:pPr>
        <w:pStyle w:val="FootnoteText"/>
      </w:pPr>
      <w:r>
        <w:rPr>
          <w:rStyle w:val="FootnoteReference"/>
        </w:rPr>
        <w:footnoteRef/>
      </w:r>
      <w:r>
        <w:t xml:space="preserve"> KII 24, 25, 26</w:t>
      </w:r>
    </w:p>
  </w:footnote>
  <w:footnote w:id="98">
    <w:p w14:paraId="7CA419CD" w14:textId="77777777" w:rsidR="00FB636B" w:rsidRDefault="00FB636B" w:rsidP="00FB636B">
      <w:pPr>
        <w:pStyle w:val="FootnoteText"/>
      </w:pPr>
      <w:r>
        <w:rPr>
          <w:rStyle w:val="FootnoteReference"/>
        </w:rPr>
        <w:footnoteRef/>
      </w:r>
      <w:r>
        <w:t xml:space="preserve"> KII 24, 25, 26</w:t>
      </w:r>
    </w:p>
  </w:footnote>
  <w:footnote w:id="99">
    <w:p w14:paraId="3E7EC19D" w14:textId="77777777" w:rsidR="00FB636B" w:rsidRDefault="00FB636B" w:rsidP="00FB636B">
      <w:pPr>
        <w:pStyle w:val="FootnoteText"/>
      </w:pPr>
      <w:r>
        <w:rPr>
          <w:rStyle w:val="FootnoteReference"/>
        </w:rPr>
        <w:footnoteRef/>
      </w:r>
      <w:r>
        <w:t xml:space="preserve"> KII 15, 24 </w:t>
      </w:r>
    </w:p>
  </w:footnote>
  <w:footnote w:id="100">
    <w:p w14:paraId="389B610D" w14:textId="5FCE7E76" w:rsidR="00175AF2" w:rsidRDefault="00175AF2">
      <w:pPr>
        <w:pStyle w:val="FootnoteText"/>
      </w:pPr>
      <w:r>
        <w:rPr>
          <w:rStyle w:val="FootnoteReference"/>
        </w:rPr>
        <w:footnoteRef/>
      </w:r>
      <w:r>
        <w:t xml:space="preserve"> </w:t>
      </w:r>
      <w:r w:rsidR="00D017BF">
        <w:t xml:space="preserve">Survey question </w:t>
      </w:r>
      <w:r w:rsidR="000264BA">
        <w:t>17e, responses from DFAT staff engaged in SPFs and EOLs at headquarters, multilateral Posts and country/response Posts</w:t>
      </w:r>
    </w:p>
  </w:footnote>
  <w:footnote w:id="101">
    <w:p w14:paraId="71AEEF2E" w14:textId="77777777" w:rsidR="0053362B" w:rsidRPr="00587DD0" w:rsidRDefault="0053362B" w:rsidP="0053362B">
      <w:pPr>
        <w:pStyle w:val="FootnoteText"/>
        <w:rPr>
          <w:lang w:val="en-US"/>
        </w:rPr>
      </w:pPr>
      <w:r>
        <w:rPr>
          <w:rStyle w:val="FootnoteReference"/>
        </w:rPr>
        <w:footnoteRef/>
      </w:r>
      <w:r>
        <w:t xml:space="preserve"> </w:t>
      </w:r>
      <w:r>
        <w:rPr>
          <w:lang w:val="en-US"/>
        </w:rPr>
        <w:t>KII 30</w:t>
      </w:r>
    </w:p>
  </w:footnote>
  <w:footnote w:id="102">
    <w:p w14:paraId="5F1AB584" w14:textId="77777777" w:rsidR="0053362B" w:rsidRDefault="0053362B" w:rsidP="0053362B">
      <w:pPr>
        <w:pStyle w:val="FootnoteText"/>
      </w:pPr>
      <w:r>
        <w:rPr>
          <w:rStyle w:val="FootnoteReference"/>
        </w:rPr>
        <w:footnoteRef/>
      </w:r>
      <w:r>
        <w:t xml:space="preserve"> KII 8</w:t>
      </w:r>
    </w:p>
  </w:footnote>
  <w:footnote w:id="103">
    <w:p w14:paraId="1EB261E5" w14:textId="77777777" w:rsidR="0053362B" w:rsidRDefault="0053362B" w:rsidP="0053362B">
      <w:pPr>
        <w:pStyle w:val="FootnoteText"/>
      </w:pPr>
      <w:r>
        <w:rPr>
          <w:rStyle w:val="FootnoteReference"/>
        </w:rPr>
        <w:footnoteRef/>
      </w:r>
      <w:r>
        <w:t xml:space="preserve"> KII 4, 13. DFAT survey responses ID 3, 8, 10, 11, 19, and 25</w:t>
      </w:r>
    </w:p>
  </w:footnote>
  <w:footnote w:id="104">
    <w:p w14:paraId="1DA2BD94" w14:textId="77777777" w:rsidR="002E028F" w:rsidRPr="001803E6" w:rsidRDefault="002E028F" w:rsidP="002E028F">
      <w:pPr>
        <w:pStyle w:val="FootnoteText"/>
      </w:pPr>
      <w:r w:rsidRPr="007C27F6">
        <w:rPr>
          <w:rStyle w:val="FootnoteReference"/>
        </w:rPr>
        <w:footnoteRef/>
      </w:r>
      <w:r w:rsidRPr="007C27F6">
        <w:t xml:space="preserve"> </w:t>
      </w:r>
      <w:r w:rsidRPr="001803E6">
        <w:t>SPF agreements with OCHA, CERF, ICRC, WFP, UNHCR</w:t>
      </w:r>
    </w:p>
  </w:footnote>
  <w:footnote w:id="105">
    <w:p w14:paraId="7439A44B" w14:textId="77777777" w:rsidR="00D21C52" w:rsidRDefault="00D21C52" w:rsidP="00D21C52">
      <w:pPr>
        <w:pStyle w:val="FootnoteText"/>
      </w:pPr>
      <w:r>
        <w:rPr>
          <w:rStyle w:val="FootnoteReference"/>
        </w:rPr>
        <w:footnoteRef/>
      </w:r>
      <w:r>
        <w:t xml:space="preserve"> DFAT written advice 11 July 2025</w:t>
      </w:r>
    </w:p>
  </w:footnote>
  <w:footnote w:id="106">
    <w:p w14:paraId="56224A73" w14:textId="7B2377E7" w:rsidR="00434524" w:rsidRDefault="00434524">
      <w:pPr>
        <w:pStyle w:val="FootnoteText"/>
      </w:pPr>
      <w:r>
        <w:rPr>
          <w:rStyle w:val="FootnoteReference"/>
        </w:rPr>
        <w:footnoteRef/>
      </w:r>
      <w:r>
        <w:t xml:space="preserve"> DFAT written advice 30 July 2025</w:t>
      </w:r>
    </w:p>
  </w:footnote>
  <w:footnote w:id="107">
    <w:p w14:paraId="41AFAD24" w14:textId="77777777" w:rsidR="00507867" w:rsidRDefault="00507867" w:rsidP="00507867">
      <w:pPr>
        <w:pStyle w:val="FootnoteText"/>
      </w:pPr>
      <w:r>
        <w:rPr>
          <w:rStyle w:val="FootnoteReference"/>
        </w:rPr>
        <w:footnoteRef/>
      </w:r>
      <w:r>
        <w:t xml:space="preserve"> KII12</w:t>
      </w:r>
    </w:p>
  </w:footnote>
  <w:footnote w:id="108">
    <w:p w14:paraId="4846776A" w14:textId="248658A4" w:rsidR="001F1E58" w:rsidRDefault="001F1E58">
      <w:pPr>
        <w:pStyle w:val="FootnoteText"/>
      </w:pPr>
      <w:r>
        <w:rPr>
          <w:rStyle w:val="FootnoteReference"/>
        </w:rPr>
        <w:footnoteRef/>
      </w:r>
      <w:r>
        <w:t xml:space="preserve"> </w:t>
      </w:r>
      <w:r w:rsidR="00FF47FB">
        <w:t xml:space="preserve">IOD Parc Trend Analysis Presentation </w:t>
      </w:r>
      <w:r w:rsidR="00916472">
        <w:t>24 February 2025 and annual Performance Arrangement reports by partner</w:t>
      </w:r>
    </w:p>
  </w:footnote>
  <w:footnote w:id="109">
    <w:p w14:paraId="5477EAA8" w14:textId="241DE674" w:rsidR="00951A50" w:rsidRDefault="00951A50">
      <w:pPr>
        <w:pStyle w:val="FootnoteText"/>
      </w:pPr>
      <w:r>
        <w:rPr>
          <w:rStyle w:val="FootnoteReference"/>
        </w:rPr>
        <w:footnoteRef/>
      </w:r>
      <w:r>
        <w:t xml:space="preserve"> DFAT written advice 11 July 2025 and select emails between DFAT and partners</w:t>
      </w:r>
    </w:p>
  </w:footnote>
  <w:footnote w:id="110">
    <w:p w14:paraId="602A4E32" w14:textId="2C222891" w:rsidR="009816A6" w:rsidRDefault="009816A6">
      <w:pPr>
        <w:pStyle w:val="FootnoteText"/>
      </w:pPr>
      <w:r>
        <w:rPr>
          <w:rStyle w:val="FootnoteReference"/>
        </w:rPr>
        <w:footnoteRef/>
      </w:r>
      <w:r>
        <w:t xml:space="preserve"> </w:t>
      </w:r>
      <w:r w:rsidR="00EB2B04">
        <w:t>IOD Parc Trend Analysis Presentation 24 February 2025</w:t>
      </w:r>
    </w:p>
  </w:footnote>
  <w:footnote w:id="111">
    <w:p w14:paraId="18C77CE9" w14:textId="77777777" w:rsidR="002B4A00" w:rsidRDefault="002B4A00" w:rsidP="002B4A00">
      <w:pPr>
        <w:pStyle w:val="FootnoteText"/>
      </w:pPr>
      <w:r>
        <w:rPr>
          <w:rStyle w:val="FootnoteReference"/>
        </w:rPr>
        <w:footnoteRef/>
      </w:r>
      <w:r>
        <w:t xml:space="preserve"> Dates for most recent MOPANs: </w:t>
      </w:r>
      <w:r>
        <w:rPr>
          <w:rFonts w:ascii="Arial" w:eastAsia="Arial" w:hAnsi="Arial" w:cs="Arial"/>
        </w:rPr>
        <w:t xml:space="preserve">WFP 2017-18 and 2024; OCHA 2015-16 and 2020; UNHCR 2017-18 and 2024; ICRC forthcoming in 2025, per </w:t>
      </w:r>
      <w:r>
        <w:t xml:space="preserve">MOPAN Performance Evidence Library available at: </w:t>
      </w:r>
      <w:r w:rsidRPr="009F5821">
        <w:t>https://www.mopan.org/en/our-work/performance-evidence.html</w:t>
      </w:r>
      <w:r>
        <w:t xml:space="preserve"> accessed 19 July 2025</w:t>
      </w:r>
    </w:p>
  </w:footnote>
  <w:footnote w:id="112">
    <w:p w14:paraId="0A2F9319" w14:textId="77777777" w:rsidR="002B4A00" w:rsidRDefault="002B4A00" w:rsidP="002B4A00">
      <w:pPr>
        <w:pStyle w:val="FootnoteText"/>
      </w:pPr>
      <w:r>
        <w:rPr>
          <w:rStyle w:val="FootnoteReference"/>
        </w:rPr>
        <w:footnoteRef/>
      </w:r>
      <w:r>
        <w:t xml:space="preserve"> KII 2, 4, 6, 12, 13, 14</w:t>
      </w:r>
    </w:p>
  </w:footnote>
  <w:footnote w:id="113">
    <w:p w14:paraId="0C4CC565" w14:textId="77777777" w:rsidR="002F72B0" w:rsidRDefault="002F72B0" w:rsidP="002F72B0">
      <w:pPr>
        <w:pStyle w:val="FootnoteText"/>
      </w:pPr>
      <w:r w:rsidRPr="001803E6">
        <w:rPr>
          <w:rStyle w:val="FootnoteReference"/>
        </w:rPr>
        <w:footnoteRef/>
      </w:r>
      <w:r w:rsidRPr="001803E6">
        <w:t xml:space="preserve"> KII8</w:t>
      </w:r>
    </w:p>
  </w:footnote>
  <w:footnote w:id="114">
    <w:p w14:paraId="4B017CC9" w14:textId="47AD9A1A" w:rsidR="00E6263A" w:rsidRDefault="00E6263A">
      <w:pPr>
        <w:pStyle w:val="FootnoteText"/>
      </w:pPr>
      <w:r>
        <w:rPr>
          <w:rStyle w:val="FootnoteReference"/>
        </w:rPr>
        <w:footnoteRef/>
      </w:r>
      <w:r>
        <w:t xml:space="preserve"> KII12 and </w:t>
      </w:r>
      <w:r w:rsidR="00F50358">
        <w:t>DFAT written advice 11 July 2025</w:t>
      </w:r>
    </w:p>
  </w:footnote>
  <w:footnote w:id="115">
    <w:p w14:paraId="6548E557" w14:textId="77777777" w:rsidR="0039394D" w:rsidRDefault="0039394D" w:rsidP="0039394D">
      <w:pPr>
        <w:pStyle w:val="FootnoteText"/>
      </w:pPr>
      <w:r>
        <w:rPr>
          <w:rStyle w:val="FootnoteReference"/>
        </w:rPr>
        <w:footnoteRef/>
      </w:r>
      <w:r>
        <w:t xml:space="preserve"> DFAT written advice 11 July 2025</w:t>
      </w:r>
    </w:p>
  </w:footnote>
  <w:footnote w:id="116">
    <w:p w14:paraId="7C1D46FA" w14:textId="225C362B" w:rsidR="00B411E7" w:rsidRDefault="00B411E7">
      <w:pPr>
        <w:pStyle w:val="FootnoteText"/>
      </w:pPr>
      <w:r>
        <w:rPr>
          <w:rStyle w:val="FootnoteReference"/>
        </w:rPr>
        <w:footnoteRef/>
      </w:r>
      <w:r>
        <w:t xml:space="preserve"> </w:t>
      </w:r>
      <w:r w:rsidR="00FF7C45">
        <w:t xml:space="preserve">KII29, </w:t>
      </w:r>
      <w:r>
        <w:t>32</w:t>
      </w:r>
      <w:r w:rsidR="007534A7">
        <w:t xml:space="preserve"> and DFAT written advice 11 July 2025</w:t>
      </w:r>
    </w:p>
  </w:footnote>
  <w:footnote w:id="117">
    <w:p w14:paraId="698E2A5D" w14:textId="6AE9B3E4" w:rsidR="00674145" w:rsidRDefault="00674145">
      <w:pPr>
        <w:pStyle w:val="FootnoteText"/>
      </w:pPr>
      <w:r>
        <w:rPr>
          <w:rStyle w:val="FootnoteReference"/>
        </w:rPr>
        <w:footnoteRef/>
      </w:r>
      <w:r>
        <w:t xml:space="preserve"> DFAT written advice 11 July 2025</w:t>
      </w:r>
    </w:p>
  </w:footnote>
  <w:footnote w:id="118">
    <w:p w14:paraId="30FC2D87" w14:textId="42D44D59" w:rsidR="00101523" w:rsidRDefault="00101523">
      <w:pPr>
        <w:pStyle w:val="FootnoteText"/>
      </w:pPr>
      <w:r>
        <w:rPr>
          <w:rStyle w:val="FootnoteReference"/>
        </w:rPr>
        <w:footnoteRef/>
      </w:r>
      <w:r>
        <w:t xml:space="preserve"> </w:t>
      </w:r>
      <w:r w:rsidR="00BF7F00">
        <w:t xml:space="preserve">DFAT UNHCR </w:t>
      </w:r>
      <w:r>
        <w:t>EOL 77332/4</w:t>
      </w:r>
    </w:p>
  </w:footnote>
  <w:footnote w:id="119">
    <w:p w14:paraId="51AA381B" w14:textId="2797B9E0" w:rsidR="003072C7" w:rsidRDefault="003072C7">
      <w:pPr>
        <w:pStyle w:val="FootnoteText"/>
      </w:pPr>
      <w:r>
        <w:rPr>
          <w:rStyle w:val="FootnoteReference"/>
        </w:rPr>
        <w:footnoteRef/>
      </w:r>
      <w:r>
        <w:t xml:space="preserve"> DFAT written advice 30 July 2025</w:t>
      </w:r>
    </w:p>
  </w:footnote>
  <w:footnote w:id="120">
    <w:p w14:paraId="531EACA1" w14:textId="4380BDAF" w:rsidR="00BF7F00" w:rsidRDefault="00BF7F00" w:rsidP="00BF7F00">
      <w:pPr>
        <w:pStyle w:val="FootnoteText"/>
      </w:pPr>
      <w:r>
        <w:rPr>
          <w:rStyle w:val="FootnoteReference"/>
        </w:rPr>
        <w:footnoteRef/>
      </w:r>
      <w:r>
        <w:t xml:space="preserve"> </w:t>
      </w:r>
      <w:r w:rsidR="00C32C5B">
        <w:t xml:space="preserve">DFAT WFP </w:t>
      </w:r>
      <w:r>
        <w:t>EOL 7735/7 and amendments</w:t>
      </w:r>
    </w:p>
  </w:footnote>
  <w:footnote w:id="121">
    <w:p w14:paraId="46D68324" w14:textId="26A0636D" w:rsidR="00171477" w:rsidRDefault="00171477">
      <w:pPr>
        <w:pStyle w:val="FootnoteText"/>
      </w:pPr>
      <w:r>
        <w:rPr>
          <w:rStyle w:val="FootnoteReference"/>
        </w:rPr>
        <w:footnoteRef/>
      </w:r>
      <w:r>
        <w:t xml:space="preserve"> DFAT written advice 11 July 2025</w:t>
      </w:r>
    </w:p>
  </w:footnote>
  <w:footnote w:id="122">
    <w:p w14:paraId="2B67E75D" w14:textId="72995AD6" w:rsidR="00CC3D35" w:rsidRDefault="00CC3D35">
      <w:pPr>
        <w:pStyle w:val="FootnoteText"/>
      </w:pPr>
      <w:r>
        <w:rPr>
          <w:rStyle w:val="FootnoteReference"/>
        </w:rPr>
        <w:footnoteRef/>
      </w:r>
      <w:r>
        <w:t xml:space="preserve"> </w:t>
      </w:r>
      <w:r w:rsidR="005D73B1">
        <w:t>DFAT written advice 11 July 2025</w:t>
      </w:r>
    </w:p>
  </w:footnote>
  <w:footnote w:id="123">
    <w:p w14:paraId="61B06347" w14:textId="0169A22F" w:rsidR="00137F6C" w:rsidRPr="00137F6C" w:rsidRDefault="00137F6C">
      <w:pPr>
        <w:pStyle w:val="FootnoteText"/>
        <w:rPr>
          <w:lang w:val="en-US"/>
        </w:rPr>
      </w:pPr>
      <w:r>
        <w:rPr>
          <w:rStyle w:val="FootnoteReference"/>
        </w:rPr>
        <w:footnoteRef/>
      </w:r>
      <w:r>
        <w:t xml:space="preserve"> </w:t>
      </w:r>
      <w:r w:rsidR="00FA33B8">
        <w:t xml:space="preserve">The 8+3 Template (2019) available at: </w:t>
      </w:r>
      <w:r w:rsidR="007D1909" w:rsidRPr="007D1909">
        <w:t>https://gppi.net/assets/4pager_83_final_A4.pdf</w:t>
      </w:r>
    </w:p>
  </w:footnote>
  <w:footnote w:id="124">
    <w:p w14:paraId="790CB48D" w14:textId="4BFDCD80" w:rsidR="00317AA4" w:rsidRPr="004B3D54" w:rsidRDefault="00317AA4" w:rsidP="00317AA4">
      <w:pPr>
        <w:pStyle w:val="FootnoteText"/>
        <w:rPr>
          <w:lang w:val="en-US"/>
        </w:rPr>
      </w:pPr>
      <w:r>
        <w:rPr>
          <w:rStyle w:val="FootnoteReference"/>
        </w:rPr>
        <w:footnoteRef/>
      </w:r>
      <w:r>
        <w:t xml:space="preserve"> </w:t>
      </w:r>
      <w:r>
        <w:rPr>
          <w:lang w:val="en-US"/>
        </w:rPr>
        <w:t>KII31</w:t>
      </w:r>
      <w:r w:rsidR="009B2B4A">
        <w:rPr>
          <w:lang w:val="en-US"/>
        </w:rPr>
        <w:t>.</w:t>
      </w:r>
    </w:p>
  </w:footnote>
  <w:footnote w:id="125">
    <w:p w14:paraId="2C503F93" w14:textId="77777777" w:rsidR="00C64DB6" w:rsidRPr="006B46B9" w:rsidRDefault="00C64DB6" w:rsidP="00C64DB6">
      <w:pPr>
        <w:pStyle w:val="FootnoteText"/>
        <w:rPr>
          <w:lang w:val="en-US"/>
        </w:rPr>
      </w:pPr>
      <w:r>
        <w:rPr>
          <w:rStyle w:val="FootnoteReference"/>
        </w:rPr>
        <w:footnoteRef/>
      </w:r>
      <w:r>
        <w:t xml:space="preserve"> </w:t>
      </w:r>
      <w:r>
        <w:rPr>
          <w:lang w:val="en-US"/>
        </w:rPr>
        <w:t>KII31</w:t>
      </w:r>
    </w:p>
  </w:footnote>
  <w:footnote w:id="126">
    <w:p w14:paraId="47E8CACB" w14:textId="77777777" w:rsidR="00917BE8" w:rsidRDefault="00917BE8" w:rsidP="00917BE8">
      <w:pPr>
        <w:pStyle w:val="FootnoteText"/>
      </w:pPr>
      <w:r>
        <w:rPr>
          <w:rStyle w:val="FootnoteReference"/>
        </w:rPr>
        <w:footnoteRef/>
      </w:r>
      <w:r>
        <w:t xml:space="preserve"> KII 32</w:t>
      </w:r>
    </w:p>
  </w:footnote>
  <w:footnote w:id="127">
    <w:p w14:paraId="4A5BAF58" w14:textId="77777777" w:rsidR="006D6BD5" w:rsidRDefault="006D6BD5" w:rsidP="006D6BD5">
      <w:pPr>
        <w:pStyle w:val="FootnoteText"/>
      </w:pPr>
      <w:r>
        <w:rPr>
          <w:rStyle w:val="FootnoteReference"/>
        </w:rPr>
        <w:footnoteRef/>
      </w:r>
      <w:r>
        <w:t xml:space="preserve"> KII32</w:t>
      </w:r>
    </w:p>
  </w:footnote>
  <w:footnote w:id="128">
    <w:p w14:paraId="3A62934B" w14:textId="77777777" w:rsidR="006D6BD5" w:rsidRPr="00D42175" w:rsidRDefault="006D6BD5" w:rsidP="006D6BD5">
      <w:pPr>
        <w:pStyle w:val="FootnoteText"/>
        <w:rPr>
          <w:lang w:val="en-US"/>
        </w:rPr>
      </w:pPr>
      <w:r>
        <w:rPr>
          <w:rStyle w:val="FootnoteReference"/>
        </w:rPr>
        <w:footnoteRef/>
      </w:r>
      <w:r>
        <w:t xml:space="preserve"> </w:t>
      </w:r>
      <w:r>
        <w:rPr>
          <w:lang w:val="en-US"/>
        </w:rPr>
        <w:t>KII30</w:t>
      </w:r>
    </w:p>
  </w:footnote>
  <w:footnote w:id="129">
    <w:p w14:paraId="3271B095" w14:textId="77777777" w:rsidR="00C87993" w:rsidRPr="00677812" w:rsidRDefault="00C87993" w:rsidP="00C87993">
      <w:pPr>
        <w:pStyle w:val="FootnoteText"/>
        <w:rPr>
          <w:lang w:val="en-US"/>
        </w:rPr>
      </w:pPr>
      <w:r>
        <w:rPr>
          <w:rStyle w:val="FootnoteReference"/>
        </w:rPr>
        <w:footnoteRef/>
      </w:r>
      <w:r>
        <w:t xml:space="preserve"> </w:t>
      </w:r>
      <w:r>
        <w:rPr>
          <w:lang w:val="en-US"/>
        </w:rPr>
        <w:t>KII31</w:t>
      </w:r>
    </w:p>
  </w:footnote>
  <w:footnote w:id="130">
    <w:p w14:paraId="4E90228A" w14:textId="77777777" w:rsidR="00C87993" w:rsidRPr="00BD3413" w:rsidRDefault="00C87993" w:rsidP="00C87993">
      <w:pPr>
        <w:pStyle w:val="FootnoteText"/>
        <w:rPr>
          <w:lang w:val="en-US"/>
        </w:rPr>
      </w:pPr>
      <w:r>
        <w:rPr>
          <w:rStyle w:val="FootnoteReference"/>
        </w:rPr>
        <w:footnoteRef/>
      </w:r>
      <w:r>
        <w:t xml:space="preserve"> KII</w:t>
      </w:r>
      <w:r>
        <w:rPr>
          <w:lang w:val="en-US"/>
        </w:rPr>
        <w:t xml:space="preserve"> with WFP Bangladesh</w:t>
      </w:r>
    </w:p>
  </w:footnote>
  <w:footnote w:id="131">
    <w:p w14:paraId="056413E4" w14:textId="77777777" w:rsidR="00014DE4" w:rsidRDefault="00014DE4" w:rsidP="00014DE4">
      <w:pPr>
        <w:pStyle w:val="FootnoteText"/>
      </w:pPr>
      <w:r>
        <w:rPr>
          <w:rStyle w:val="FootnoteReference"/>
        </w:rPr>
        <w:footnoteRef/>
      </w:r>
      <w:r>
        <w:t xml:space="preserve"> KII29</w:t>
      </w:r>
    </w:p>
  </w:footnote>
  <w:footnote w:id="132">
    <w:p w14:paraId="5818BCC4" w14:textId="75B43067" w:rsidR="00014DE4" w:rsidRDefault="00014DE4">
      <w:pPr>
        <w:pStyle w:val="FootnoteText"/>
      </w:pPr>
      <w:r>
        <w:rPr>
          <w:rStyle w:val="FootnoteReference"/>
        </w:rPr>
        <w:footnoteRef/>
      </w:r>
      <w:r>
        <w:t xml:space="preserve"> KII30</w:t>
      </w:r>
    </w:p>
  </w:footnote>
  <w:footnote w:id="133">
    <w:p w14:paraId="3A2314B0" w14:textId="52F976C5" w:rsidR="007269FF" w:rsidRDefault="007269FF">
      <w:pPr>
        <w:pStyle w:val="FootnoteText"/>
      </w:pPr>
      <w:r>
        <w:rPr>
          <w:rStyle w:val="FootnoteReference"/>
        </w:rPr>
        <w:footnoteRef/>
      </w:r>
      <w:r>
        <w:t xml:space="preserve"> KII29</w:t>
      </w:r>
    </w:p>
  </w:footnote>
  <w:footnote w:id="134">
    <w:p w14:paraId="221E15E0" w14:textId="77777777" w:rsidR="002F2BD7" w:rsidRPr="008B2384" w:rsidRDefault="002F2BD7" w:rsidP="002F2BD7">
      <w:pPr>
        <w:pStyle w:val="FootnoteText"/>
        <w:rPr>
          <w:lang w:val="en-US"/>
        </w:rPr>
      </w:pPr>
      <w:r>
        <w:rPr>
          <w:rStyle w:val="FootnoteReference"/>
        </w:rPr>
        <w:footnoteRef/>
      </w:r>
      <w:r>
        <w:t xml:space="preserve"> </w:t>
      </w:r>
      <w:r>
        <w:rPr>
          <w:lang w:val="en-US"/>
        </w:rPr>
        <w:t>KII30</w:t>
      </w:r>
    </w:p>
  </w:footnote>
  <w:footnote w:id="135">
    <w:p w14:paraId="6E9872CB" w14:textId="77777777" w:rsidR="00741EEF" w:rsidRPr="005322BE" w:rsidRDefault="00741EEF" w:rsidP="00741EEF">
      <w:pPr>
        <w:pStyle w:val="FootnoteText"/>
        <w:rPr>
          <w:lang w:val="en-US"/>
        </w:rPr>
      </w:pPr>
      <w:r>
        <w:rPr>
          <w:rStyle w:val="FootnoteReference"/>
        </w:rPr>
        <w:footnoteRef/>
      </w:r>
      <w:r>
        <w:t xml:space="preserve"> </w:t>
      </w:r>
      <w:r>
        <w:rPr>
          <w:lang w:val="en-US"/>
        </w:rPr>
        <w:t>KII WFP in Bangladesh</w:t>
      </w:r>
    </w:p>
  </w:footnote>
  <w:footnote w:id="136">
    <w:p w14:paraId="71149B10" w14:textId="77777777" w:rsidR="008D15FF" w:rsidRDefault="008D15FF" w:rsidP="008D15FF">
      <w:pPr>
        <w:pStyle w:val="FootnoteText"/>
      </w:pPr>
      <w:r>
        <w:rPr>
          <w:rStyle w:val="FootnoteReference"/>
        </w:rPr>
        <w:footnoteRef/>
      </w:r>
      <w:r>
        <w:t xml:space="preserve"> KII32</w:t>
      </w:r>
    </w:p>
  </w:footnote>
  <w:footnote w:id="137">
    <w:p w14:paraId="500EB0A3" w14:textId="0849881A" w:rsidR="00EB4958" w:rsidRDefault="00EB4958">
      <w:pPr>
        <w:pStyle w:val="FootnoteText"/>
      </w:pPr>
      <w:r>
        <w:rPr>
          <w:rStyle w:val="FootnoteReference"/>
        </w:rPr>
        <w:footnoteRef/>
      </w:r>
      <w:r>
        <w:t xml:space="preserve"> KII30</w:t>
      </w:r>
    </w:p>
  </w:footnote>
  <w:footnote w:id="138">
    <w:p w14:paraId="6113C4B2" w14:textId="491EABA8" w:rsidR="00681CE8" w:rsidRDefault="00681CE8">
      <w:pPr>
        <w:pStyle w:val="FootnoteText"/>
      </w:pPr>
      <w:r>
        <w:rPr>
          <w:rStyle w:val="FootnoteReference"/>
        </w:rPr>
        <w:footnoteRef/>
      </w:r>
      <w:r>
        <w:t xml:space="preserve"> KII</w:t>
      </w:r>
      <w:r w:rsidR="00C962D2">
        <w:t>29</w:t>
      </w:r>
    </w:p>
  </w:footnote>
  <w:footnote w:id="139">
    <w:p w14:paraId="08B31B4D" w14:textId="77777777" w:rsidR="00CB6815" w:rsidRDefault="00CB6815" w:rsidP="00CB6815">
      <w:pPr>
        <w:pStyle w:val="FootnoteText"/>
      </w:pPr>
      <w:r>
        <w:rPr>
          <w:rStyle w:val="FootnoteReference"/>
        </w:rPr>
        <w:footnoteRef/>
      </w:r>
      <w:r>
        <w:t xml:space="preserve"> KII32</w:t>
      </w:r>
    </w:p>
  </w:footnote>
  <w:footnote w:id="140">
    <w:p w14:paraId="54E10C28" w14:textId="36CAFC45" w:rsidR="0070403D" w:rsidRDefault="0070403D">
      <w:pPr>
        <w:pStyle w:val="FootnoteText"/>
      </w:pPr>
      <w:r>
        <w:rPr>
          <w:rStyle w:val="FootnoteReference"/>
        </w:rPr>
        <w:footnoteRef/>
      </w:r>
      <w:r>
        <w:t xml:space="preserve"> </w:t>
      </w:r>
      <w:r w:rsidR="00A906AF">
        <w:t>KII</w:t>
      </w:r>
      <w:r w:rsidR="00C962D2">
        <w:t>29</w:t>
      </w:r>
    </w:p>
  </w:footnote>
  <w:footnote w:id="141">
    <w:p w14:paraId="04DF6D94" w14:textId="55813E34" w:rsidR="00681CE8" w:rsidRDefault="00681CE8" w:rsidP="00681CE8">
      <w:pPr>
        <w:pStyle w:val="FootnoteText"/>
      </w:pPr>
      <w:r>
        <w:rPr>
          <w:rStyle w:val="FootnoteReference"/>
        </w:rPr>
        <w:footnoteRef/>
      </w:r>
      <w:r>
        <w:t xml:space="preserve"> KII29,</w:t>
      </w:r>
      <w:r w:rsidR="00C962D2">
        <w:t xml:space="preserve"> </w:t>
      </w:r>
      <w:r>
        <w:t>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alias w:val="PIck Background"/>
      <w:tag w:val="PIck Background"/>
      <w:id w:val="-691995685"/>
      <w15:color w:val="99CC00"/>
      <w:docPartList>
        <w:docPartGallery w:val="Custom 5"/>
        <w:docPartCategory w:val="Background"/>
      </w:docPartList>
    </w:sdtPr>
    <w:sdtEndPr>
      <w:rPr>
        <w:color w:val="FFFFFF"/>
      </w:rPr>
    </w:sdtEndPr>
    <w:sdtContent>
      <w:p w14:paraId="771AD826" w14:textId="77777777" w:rsidR="00A5739C" w:rsidRDefault="00441A8E" w:rsidP="00EE1892">
        <w:pPr>
          <w:pStyle w:val="Header"/>
          <w:jc w:val="right"/>
        </w:pPr>
        <w:r>
          <w:rPr>
            <w:noProof/>
          </w:rPr>
          <mc:AlternateContent>
            <mc:Choice Requires="wps">
              <w:drawing>
                <wp:anchor distT="0" distB="0" distL="114300" distR="114300" simplePos="0" relativeHeight="251658242" behindDoc="1" locked="0" layoutInCell="1" allowOverlap="1" wp14:anchorId="006CF580" wp14:editId="109E3958">
                  <wp:simplePos x="0" y="0"/>
                  <wp:positionH relativeFrom="page">
                    <wp:posOffset>-138223</wp:posOffset>
                  </wp:positionH>
                  <wp:positionV relativeFrom="paragraph">
                    <wp:posOffset>-593547</wp:posOffset>
                  </wp:positionV>
                  <wp:extent cx="7772400" cy="10876738"/>
                  <wp:effectExtent l="0" t="0" r="0" b="1270"/>
                  <wp:wrapNone/>
                  <wp:docPr id="11" name="Rectangle 11" descr="Plain blue page with the following text: &#10;Report prepared by: Jo-Hannah Lavey, Joel Thorpe and Natalia Beghin – Alinea &#10;alineainternational.com &#10;&#10;Front Cover Image: View of Kutupalong refugee camp, Bangladesh; available under creative commons via Openverse &#10;"/>
                  <wp:cNvGraphicFramePr/>
                  <a:graphic xmlns:a="http://schemas.openxmlformats.org/drawingml/2006/main">
                    <a:graphicData uri="http://schemas.microsoft.com/office/word/2010/wordprocessingShape">
                      <wps:wsp>
                        <wps:cNvSpPr/>
                        <wps:spPr>
                          <a:xfrm>
                            <a:off x="0" y="0"/>
                            <a:ext cx="7772400" cy="10876738"/>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01A48" id="Rectangle 11" o:spid="_x0000_s1026" alt="Plain blue page with the following text: &#10;Report prepared by: Jo-Hannah Lavey, Joel Thorpe and Natalia Beghin – Alinea &#10;alineainternational.com &#10;&#10;Front Cover Image: View of Kutupalong refugee camp, Bangladesh; available under creative commons via Openverse &#10;" style="position:absolute;margin-left:-10.9pt;margin-top:-46.75pt;width:612pt;height:856.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" fillcolor="#1d336d [3214]" stroked="f" strokeweight="2pt">
                  <w10:wrap anchorx="page"/>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4015" w14:textId="6D32EE29" w:rsidR="00A5739C" w:rsidRDefault="00A5739C" w:rsidP="001D7346">
    <w:pPr>
      <w:pStyle w:val="Header"/>
      <w:tabs>
        <w:tab w:val="left" w:pos="2325"/>
      </w:tabs>
    </w:pPr>
    <w:r>
      <w:rPr>
        <w:noProof/>
      </w:rPr>
      <w:drawing>
        <wp:anchor distT="0" distB="0" distL="114300" distR="114300" simplePos="0" relativeHeight="251658240" behindDoc="1" locked="0" layoutInCell="1" allowOverlap="1" wp14:anchorId="568A72BB" wp14:editId="0B1EB98E">
          <wp:simplePos x="0" y="0"/>
          <wp:positionH relativeFrom="page">
            <wp:posOffset>-2686050</wp:posOffset>
          </wp:positionH>
          <wp:positionV relativeFrom="paragraph">
            <wp:posOffset>-835025</wp:posOffset>
          </wp:positionV>
          <wp:extent cx="11395721" cy="7600856"/>
          <wp:effectExtent l="0" t="0" r="0" b="635"/>
          <wp:wrapNone/>
          <wp:docPr id="1059140308" name="Picture 1059140308" descr="View of Kutupalong refugee camp, Banglade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140308" name="Picture 1059140308" descr="View of Kutupalong refugee camp, Bangladesh"/>
                  <pic:cNvPicPr>
                    <a:picLocks noChangeAspect="1" noChangeArrowheads="1"/>
                  </pic:cNvPicPr>
                </pic:nvPicPr>
                <pic:blipFill>
                  <a:blip r:embed="rId1"/>
                  <a:stretch>
                    <a:fillRect/>
                  </a:stretch>
                </pic:blipFill>
                <pic:spPr bwMode="auto">
                  <a:xfrm>
                    <a:off x="0" y="0"/>
                    <a:ext cx="11395721" cy="7600856"/>
                  </a:xfrm>
                  <a:prstGeom prst="rect">
                    <a:avLst/>
                  </a:prstGeom>
                  <a:noFill/>
                </pic:spPr>
              </pic:pic>
            </a:graphicData>
          </a:graphic>
          <wp14:sizeRelH relativeFrom="margin">
            <wp14:pctWidth>0</wp14:pctWidth>
          </wp14:sizeRelH>
          <wp14:sizeRelV relativeFrom="margin">
            <wp14:pctHeight>0</wp14:pctHeight>
          </wp14:sizeRelV>
        </wp:anchor>
      </w:drawing>
    </w:r>
    <w:r w:rsidR="001D734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D97A" w14:textId="77777777" w:rsidR="00E33AEB" w:rsidRPr="009D07D2" w:rsidRDefault="00E33AEB" w:rsidP="009D07D2">
    <w:pPr>
      <w:pStyle w:val="Header"/>
      <w:jc w:val="right"/>
    </w:pPr>
    <w:r w:rsidRPr="008253D4">
      <w:rPr>
        <w:noProof/>
      </w:rPr>
      <w:drawing>
        <wp:inline distT="0" distB="0" distL="0" distR="0" wp14:anchorId="564B8B81" wp14:editId="1CF8A106">
          <wp:extent cx="946285" cy="343028"/>
          <wp:effectExtent l="0" t="0" r="6350" b="0"/>
          <wp:docPr id="267662015" name="Picture 267662015" descr="Alinea insig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078403" name="Picture 1808078403" descr="Alinea insignia"/>
                  <pic:cNvPicPr/>
                </pic:nvPicPr>
                <pic:blipFill>
                  <a:blip r:embed="rId1"/>
                  <a:stretch>
                    <a:fillRect/>
                  </a:stretch>
                </pic:blipFill>
                <pic:spPr>
                  <a:xfrm>
                    <a:off x="0" y="0"/>
                    <a:ext cx="946285" cy="343028"/>
                  </a:xfrm>
                  <a:prstGeom prst="rect">
                    <a:avLst/>
                  </a:prstGeom>
                </pic:spPr>
              </pic:pic>
            </a:graphicData>
          </a:graphic>
        </wp:inline>
      </w:drawing>
    </w:r>
  </w:p>
  <w:p w14:paraId="423119B4" w14:textId="77777777" w:rsidR="00A5739C" w:rsidRPr="008253D4" w:rsidRDefault="00A5739C" w:rsidP="008253D4">
    <w:pPr>
      <w:pStyle w:val="Header"/>
      <w:jc w:val="right"/>
      <w:rPr>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02D7" w14:textId="77777777" w:rsidR="00A5739C" w:rsidRPr="009D07D2" w:rsidRDefault="00E33AEB" w:rsidP="009D07D2">
    <w:pPr>
      <w:pStyle w:val="Header"/>
      <w:jc w:val="right"/>
    </w:pPr>
    <w:r w:rsidRPr="008253D4">
      <w:rPr>
        <w:noProof/>
      </w:rPr>
      <w:drawing>
        <wp:inline distT="0" distB="0" distL="0" distR="0" wp14:anchorId="7820099F" wp14:editId="1589BBF5">
          <wp:extent cx="946285" cy="343028"/>
          <wp:effectExtent l="0" t="0" r="6350" b="0"/>
          <wp:docPr id="1268770460" name="Picture 1268770460" descr="Alinea insig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85880" name="Picture 781785880" descr="Alinea insignia"/>
                  <pic:cNvPicPr/>
                </pic:nvPicPr>
                <pic:blipFill>
                  <a:blip r:embed="rId1"/>
                  <a:stretch>
                    <a:fillRect/>
                  </a:stretch>
                </pic:blipFill>
                <pic:spPr>
                  <a:xfrm>
                    <a:off x="0" y="0"/>
                    <a:ext cx="946285" cy="3430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E65"/>
    <w:multiLevelType w:val="multilevel"/>
    <w:tmpl w:val="1B2E107C"/>
    <w:styleLink w:val="Headings"/>
    <w:lvl w:ilvl="0">
      <w:start w:val="1"/>
      <w:numFmt w:val="decimal"/>
      <w:lvlText w:val="%1."/>
      <w:lvlJc w:val="left"/>
      <w:pPr>
        <w:tabs>
          <w:tab w:val="num" w:pos="284"/>
        </w:tabs>
        <w:ind w:left="284" w:hanging="284"/>
      </w:pPr>
      <w:rPr>
        <w:rFonts w:hint="default"/>
        <w:color w:val="2294CD"/>
      </w:rPr>
    </w:lvl>
    <w:lvl w:ilvl="1">
      <w:start w:val="1"/>
      <w:numFmt w:val="lowerLetter"/>
      <w:lvlText w:val="%2."/>
      <w:lvlJc w:val="left"/>
      <w:pPr>
        <w:tabs>
          <w:tab w:val="num" w:pos="567"/>
        </w:tabs>
        <w:ind w:left="568" w:hanging="284"/>
      </w:pPr>
      <w:rPr>
        <w:rFonts w:hint="default"/>
        <w:color w:val="2294CD"/>
      </w:rPr>
    </w:lvl>
    <w:lvl w:ilvl="2">
      <w:start w:val="1"/>
      <w:numFmt w:val="lowerRoman"/>
      <w:lvlText w:val="%3."/>
      <w:lvlJc w:val="left"/>
      <w:pPr>
        <w:tabs>
          <w:tab w:val="num" w:pos="851"/>
        </w:tabs>
        <w:ind w:left="852" w:hanging="284"/>
      </w:pPr>
      <w:rPr>
        <w:rFonts w:hint="default"/>
        <w:color w:val="2294CD"/>
      </w:rPr>
    </w:lvl>
    <w:lvl w:ilvl="3">
      <w:start w:val="1"/>
      <w:numFmt w:val="none"/>
      <w:lvlText w:val=""/>
      <w:lvlJc w:val="left"/>
      <w:pPr>
        <w:tabs>
          <w:tab w:val="num" w:pos="284"/>
        </w:tabs>
        <w:ind w:left="1136" w:hanging="284"/>
      </w:pPr>
      <w:rPr>
        <w:rFonts w:hint="default"/>
        <w:b w:val="0"/>
        <w:i w:val="0"/>
        <w:color w:val="1D336D" w:themeColor="background2"/>
      </w:rPr>
    </w:lvl>
    <w:lvl w:ilvl="4">
      <w:start w:val="1"/>
      <w:numFmt w:val="none"/>
      <w:lvlText w:val=""/>
      <w:lvlJc w:val="left"/>
      <w:pPr>
        <w:tabs>
          <w:tab w:val="num" w:pos="567"/>
        </w:tabs>
        <w:ind w:left="1420" w:hanging="284"/>
      </w:pPr>
      <w:rPr>
        <w:rFonts w:hint="default"/>
        <w:b w:val="0"/>
        <w:i w:val="0"/>
        <w:color w:val="1D336D" w:themeColor="background2"/>
      </w:rPr>
    </w:lvl>
    <w:lvl w:ilvl="5">
      <w:start w:val="1"/>
      <w:numFmt w:val="none"/>
      <w:lvlText w:val=""/>
      <w:lvlJc w:val="left"/>
      <w:pPr>
        <w:tabs>
          <w:tab w:val="num" w:pos="851"/>
        </w:tabs>
        <w:ind w:left="1704" w:hanging="284"/>
      </w:pPr>
      <w:rPr>
        <w:rFonts w:hint="default"/>
        <w:b w:val="0"/>
        <w:i w:val="0"/>
        <w:color w:val="1D336D" w:themeColor="background2"/>
      </w:rPr>
    </w:lvl>
    <w:lvl w:ilvl="6">
      <w:start w:val="1"/>
      <w:numFmt w:val="none"/>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1" w15:restartNumberingAfterBreak="0">
    <w:nsid w:val="050A6FEE"/>
    <w:multiLevelType w:val="hybridMultilevel"/>
    <w:tmpl w:val="7504A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E0A65"/>
    <w:multiLevelType w:val="hybridMultilevel"/>
    <w:tmpl w:val="0E42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85758"/>
    <w:multiLevelType w:val="multilevel"/>
    <w:tmpl w:val="0C78A6C8"/>
    <w:lvl w:ilvl="0">
      <w:start w:val="1"/>
      <w:numFmt w:val="decimal"/>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 w15:restartNumberingAfterBreak="0">
    <w:nsid w:val="0C7464BB"/>
    <w:multiLevelType w:val="multilevel"/>
    <w:tmpl w:val="D3EEE87C"/>
    <w:name w:val="AutoNum"/>
    <w:lvl w:ilvl="0">
      <w:start w:val="1"/>
      <w:numFmt w:val="decimal"/>
      <w:lvlText w:val="%1."/>
      <w:lvlJc w:val="left"/>
      <w:pPr>
        <w:ind w:left="360" w:hanging="360"/>
      </w:pPr>
      <w:rPr>
        <w:rFonts w:asciiTheme="majorHAnsi" w:hAnsiTheme="majorHAnsi" w:hint="default"/>
        <w:b/>
        <w:i w:val="0"/>
        <w:color w:val="585858" w:themeColor="text2"/>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D313AEB"/>
    <w:multiLevelType w:val="hybridMultilevel"/>
    <w:tmpl w:val="1AF8ED26"/>
    <w:lvl w:ilvl="0" w:tplc="7532983E">
      <w:start w:val="4"/>
      <w:numFmt w:val="bullet"/>
      <w:lvlText w:val="-"/>
      <w:lvlJc w:val="left"/>
      <w:pPr>
        <w:ind w:left="360" w:hanging="360"/>
      </w:pPr>
      <w:rPr>
        <w:rFonts w:ascii="Arial" w:eastAsiaTheme="maj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DB50E05"/>
    <w:multiLevelType w:val="multilevel"/>
    <w:tmpl w:val="1766ED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B022D8"/>
    <w:multiLevelType w:val="hybridMultilevel"/>
    <w:tmpl w:val="F756204A"/>
    <w:lvl w:ilvl="0" w:tplc="C930CACE">
      <w:start w:val="1"/>
      <w:numFmt w:val="bullet"/>
      <w:pStyle w:val="TableBullets"/>
      <w:lvlText w:val=""/>
      <w:lvlJc w:val="left"/>
      <w:pPr>
        <w:ind w:left="360" w:hanging="360"/>
      </w:pPr>
      <w:rPr>
        <w:rFonts w:ascii="Wingdings" w:hAnsi="Wingdings" w:hint="default"/>
        <w:color w:val="1D336D"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B12BB6"/>
    <w:multiLevelType w:val="multilevel"/>
    <w:tmpl w:val="A57E3D3E"/>
    <w:lvl w:ilvl="0">
      <w:start w:val="2"/>
      <w:numFmt w:val="decimal"/>
      <w:lvlText w:val="%1"/>
      <w:lvlJc w:val="left"/>
      <w:pPr>
        <w:ind w:left="644"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7A17FE"/>
    <w:multiLevelType w:val="multilevel"/>
    <w:tmpl w:val="AA62F812"/>
    <w:numStyleLink w:val="MasterHeadings"/>
  </w:abstractNum>
  <w:abstractNum w:abstractNumId="10" w15:restartNumberingAfterBreak="0">
    <w:nsid w:val="15B274FF"/>
    <w:multiLevelType w:val="hybridMultilevel"/>
    <w:tmpl w:val="8174B5E8"/>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566D3B"/>
    <w:multiLevelType w:val="hybridMultilevel"/>
    <w:tmpl w:val="85C6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9B518A"/>
    <w:multiLevelType w:val="hybridMultilevel"/>
    <w:tmpl w:val="ADF05B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4E2299"/>
    <w:multiLevelType w:val="hybridMultilevel"/>
    <w:tmpl w:val="07DE2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9032D44"/>
    <w:multiLevelType w:val="hybridMultilevel"/>
    <w:tmpl w:val="2674A05A"/>
    <w:lvl w:ilvl="0" w:tplc="7532983E">
      <w:start w:val="4"/>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1C07E0"/>
    <w:multiLevelType w:val="hybridMultilevel"/>
    <w:tmpl w:val="722C7050"/>
    <w:lvl w:ilvl="0" w:tplc="CE1A3A28">
      <w:start w:val="7"/>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EC2624"/>
    <w:multiLevelType w:val="hybridMultilevel"/>
    <w:tmpl w:val="E3F6076A"/>
    <w:lvl w:ilvl="0" w:tplc="FFFFFFFF">
      <w:start w:val="1"/>
      <w:numFmt w:val="lowerLetter"/>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1F552EA3"/>
    <w:multiLevelType w:val="multilevel"/>
    <w:tmpl w:val="0C78A6C8"/>
    <w:lvl w:ilvl="0">
      <w:start w:val="1"/>
      <w:numFmt w:val="decimal"/>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8" w15:restartNumberingAfterBreak="0">
    <w:nsid w:val="1F942055"/>
    <w:multiLevelType w:val="multilevel"/>
    <w:tmpl w:val="B4EC3056"/>
    <w:lvl w:ilvl="0">
      <w:start w:val="1"/>
      <w:numFmt w:val="lowerLetter"/>
      <w:lvlText w:val="%1."/>
      <w:lvlJc w:val="left"/>
      <w:pPr>
        <w:ind w:left="644" w:hanging="360"/>
      </w:pPr>
      <w:rPr>
        <w:rFonts w:asciiTheme="majorHAnsi" w:eastAsia="Times New Roman" w:hAnsiTheme="majorHAnsi" w:cstheme="majorHAnsi" w:hint="default"/>
        <w:color w:val="auto"/>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 w15:restartNumberingAfterBreak="0">
    <w:nsid w:val="200645C7"/>
    <w:multiLevelType w:val="hybridMultilevel"/>
    <w:tmpl w:val="1CFE832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34256C0"/>
    <w:multiLevelType w:val="multilevel"/>
    <w:tmpl w:val="1436D14C"/>
    <w:lvl w:ilvl="0">
      <w:start w:val="1"/>
      <w:numFmt w:val="none"/>
      <w:pStyle w:val="TableHeading"/>
      <w:lvlText w:val=""/>
      <w:lvlJc w:val="left"/>
      <w:pPr>
        <w:tabs>
          <w:tab w:val="num" w:pos="0"/>
        </w:tabs>
        <w:ind w:left="0" w:firstLine="0"/>
      </w:pPr>
      <w:rPr>
        <w:rFonts w:hint="default"/>
      </w:rPr>
    </w:lvl>
    <w:lvl w:ilvl="1">
      <w:start w:val="1"/>
      <w:numFmt w:val="decimal"/>
      <w:lvlText w:val="%2."/>
      <w:lvlJc w:val="left"/>
      <w:pPr>
        <w:tabs>
          <w:tab w:val="num" w:pos="284"/>
        </w:tabs>
        <w:ind w:left="284" w:hanging="284"/>
      </w:pPr>
      <w:rPr>
        <w:rFonts w:hint="default"/>
        <w:color w:val="1D336D" w:themeColor="background2"/>
      </w:rPr>
    </w:lvl>
    <w:lvl w:ilvl="2">
      <w:start w:val="1"/>
      <w:numFmt w:val="none"/>
      <w:lvlText w:val=""/>
      <w:lvlJc w:val="left"/>
      <w:pPr>
        <w:tabs>
          <w:tab w:val="num" w:pos="568"/>
        </w:tabs>
        <w:ind w:left="568" w:firstLine="0"/>
      </w:pPr>
      <w:rPr>
        <w:rFonts w:hint="default"/>
      </w:rPr>
    </w:lvl>
    <w:lvl w:ilvl="3">
      <w:start w:val="1"/>
      <w:numFmt w:val="none"/>
      <w:lvlText w:val=""/>
      <w:lvlJc w:val="left"/>
      <w:pPr>
        <w:tabs>
          <w:tab w:val="num" w:pos="852"/>
        </w:tabs>
        <w:ind w:left="852" w:firstLine="0"/>
      </w:pPr>
      <w:rPr>
        <w:rFonts w:hint="default"/>
      </w:rPr>
    </w:lvl>
    <w:lvl w:ilvl="4">
      <w:start w:val="1"/>
      <w:numFmt w:val="none"/>
      <w:lvlText w:val=""/>
      <w:lvlJc w:val="left"/>
      <w:pPr>
        <w:tabs>
          <w:tab w:val="num" w:pos="1136"/>
        </w:tabs>
        <w:ind w:left="1136" w:firstLine="0"/>
      </w:pPr>
      <w:rPr>
        <w:rFonts w:hint="default"/>
      </w:rPr>
    </w:lvl>
    <w:lvl w:ilvl="5">
      <w:start w:val="1"/>
      <w:numFmt w:val="none"/>
      <w:lvlText w:val=""/>
      <w:lvlJc w:val="left"/>
      <w:pPr>
        <w:tabs>
          <w:tab w:val="num" w:pos="1420"/>
        </w:tabs>
        <w:ind w:left="1420" w:firstLine="0"/>
      </w:pPr>
      <w:rPr>
        <w:rFonts w:hint="default"/>
      </w:rPr>
    </w:lvl>
    <w:lvl w:ilvl="6">
      <w:start w:val="1"/>
      <w:numFmt w:val="none"/>
      <w:lvlText w:val=""/>
      <w:lvlJc w:val="left"/>
      <w:pPr>
        <w:tabs>
          <w:tab w:val="num" w:pos="1704"/>
        </w:tabs>
        <w:ind w:left="1704" w:firstLine="0"/>
      </w:pPr>
      <w:rPr>
        <w:rFonts w:hint="default"/>
      </w:rPr>
    </w:lvl>
    <w:lvl w:ilvl="7">
      <w:start w:val="1"/>
      <w:numFmt w:val="none"/>
      <w:lvlText w:val=""/>
      <w:lvlJc w:val="left"/>
      <w:pPr>
        <w:tabs>
          <w:tab w:val="num" w:pos="1988"/>
        </w:tabs>
        <w:ind w:left="1988" w:firstLine="0"/>
      </w:pPr>
      <w:rPr>
        <w:rFonts w:hint="default"/>
      </w:rPr>
    </w:lvl>
    <w:lvl w:ilvl="8">
      <w:start w:val="1"/>
      <w:numFmt w:val="none"/>
      <w:lvlText w:val=""/>
      <w:lvlJc w:val="left"/>
      <w:pPr>
        <w:tabs>
          <w:tab w:val="num" w:pos="2272"/>
        </w:tabs>
        <w:ind w:left="2272" w:firstLine="0"/>
      </w:pPr>
      <w:rPr>
        <w:rFonts w:hint="default"/>
      </w:rPr>
    </w:lvl>
  </w:abstractNum>
  <w:abstractNum w:abstractNumId="21" w15:restartNumberingAfterBreak="0">
    <w:nsid w:val="254921D9"/>
    <w:multiLevelType w:val="hybridMultilevel"/>
    <w:tmpl w:val="AA62F812"/>
    <w:styleLink w:val="MasterHeadings"/>
    <w:lvl w:ilvl="0" w:tplc="778498EE">
      <w:start w:val="1"/>
      <w:numFmt w:val="bullet"/>
      <w:lvlText w:val=""/>
      <w:lvlJc w:val="left"/>
      <w:pPr>
        <w:ind w:left="720" w:hanging="360"/>
      </w:pPr>
      <w:rPr>
        <w:rFonts w:ascii="Wingdings" w:hAnsi="Wingdings" w:hint="default"/>
        <w:color w:val="54ABE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CF27A3"/>
    <w:multiLevelType w:val="multilevel"/>
    <w:tmpl w:val="9E6E64A4"/>
    <w:lvl w:ilvl="0">
      <w:start w:val="1"/>
      <w:numFmt w:val="bullet"/>
      <w:lvlText w:val=""/>
      <w:lvlJc w:val="left"/>
      <w:pPr>
        <w:ind w:left="357" w:hanging="357"/>
      </w:pPr>
      <w:rPr>
        <w:rFonts w:ascii="Symbol" w:hAnsi="Symbol" w:hint="default"/>
      </w:rPr>
    </w:lvl>
    <w:lvl w:ilvl="1">
      <w:start w:val="1"/>
      <w:numFmt w:val="bullet"/>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23" w15:restartNumberingAfterBreak="0">
    <w:nsid w:val="279F2E0B"/>
    <w:multiLevelType w:val="hybridMultilevel"/>
    <w:tmpl w:val="276E004E"/>
    <w:lvl w:ilvl="0" w:tplc="EB6E874E">
      <w:start w:val="25"/>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7D127C2"/>
    <w:multiLevelType w:val="multilevel"/>
    <w:tmpl w:val="1766E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80868FE"/>
    <w:multiLevelType w:val="hybridMultilevel"/>
    <w:tmpl w:val="B7E66E7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2A3B4B17"/>
    <w:multiLevelType w:val="hybridMultilevel"/>
    <w:tmpl w:val="350C836C"/>
    <w:lvl w:ilvl="0" w:tplc="4A8E9840">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A472AF8"/>
    <w:multiLevelType w:val="hybridMultilevel"/>
    <w:tmpl w:val="3970D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CCA73A0"/>
    <w:multiLevelType w:val="hybridMultilevel"/>
    <w:tmpl w:val="00D40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385460"/>
    <w:multiLevelType w:val="hybridMultilevel"/>
    <w:tmpl w:val="4D263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FC25DB6"/>
    <w:multiLevelType w:val="hybridMultilevel"/>
    <w:tmpl w:val="CCEE6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6C49A6"/>
    <w:multiLevelType w:val="multilevel"/>
    <w:tmpl w:val="D3B8E568"/>
    <w:numStyleLink w:val="Bullets"/>
  </w:abstractNum>
  <w:abstractNum w:abstractNumId="32" w15:restartNumberingAfterBreak="0">
    <w:nsid w:val="321C0FC3"/>
    <w:multiLevelType w:val="hybridMultilevel"/>
    <w:tmpl w:val="B1D83F78"/>
    <w:lvl w:ilvl="0" w:tplc="7532983E">
      <w:start w:val="4"/>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24B318B"/>
    <w:multiLevelType w:val="multilevel"/>
    <w:tmpl w:val="0C78A6C8"/>
    <w:lvl w:ilvl="0">
      <w:start w:val="1"/>
      <w:numFmt w:val="decimal"/>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4" w15:restartNumberingAfterBreak="0">
    <w:nsid w:val="32E247B9"/>
    <w:multiLevelType w:val="hybridMultilevel"/>
    <w:tmpl w:val="7F8240BE"/>
    <w:lvl w:ilvl="0" w:tplc="947E0AD8">
      <w:start w:val="25"/>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4FD7F24"/>
    <w:multiLevelType w:val="multilevel"/>
    <w:tmpl w:val="0B96CBD4"/>
    <w:lvl w:ilvl="0">
      <w:start w:val="3"/>
      <w:numFmt w:val="decimal"/>
      <w:lvlText w:val="%1.1"/>
      <w:lvlJc w:val="left"/>
      <w:pPr>
        <w:ind w:left="360" w:hanging="360"/>
      </w:pPr>
      <w:rPr>
        <w:rFonts w:hint="default"/>
        <w:b/>
        <w:bCs/>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D2609A5"/>
    <w:multiLevelType w:val="hybridMultilevel"/>
    <w:tmpl w:val="C896A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DDA2278"/>
    <w:multiLevelType w:val="hybridMultilevel"/>
    <w:tmpl w:val="014040C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8" w15:restartNumberingAfterBreak="0">
    <w:nsid w:val="3E9774D3"/>
    <w:multiLevelType w:val="hybridMultilevel"/>
    <w:tmpl w:val="996AF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F86348D"/>
    <w:multiLevelType w:val="hybridMultilevel"/>
    <w:tmpl w:val="1ED2D4C8"/>
    <w:lvl w:ilvl="0" w:tplc="0C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15E0125"/>
    <w:multiLevelType w:val="multilevel"/>
    <w:tmpl w:val="D3B8E568"/>
    <w:styleLink w:val="Bullets"/>
    <w:lvl w:ilvl="0">
      <w:start w:val="1"/>
      <w:numFmt w:val="bullet"/>
      <w:lvlText w:val=""/>
      <w:lvlJc w:val="left"/>
      <w:pPr>
        <w:tabs>
          <w:tab w:val="num" w:pos="284"/>
        </w:tabs>
        <w:ind w:left="284" w:hanging="284"/>
      </w:pPr>
      <w:rPr>
        <w:rFonts w:ascii="Symbol" w:hAnsi="Symbol" w:hint="default"/>
        <w:color w:val="2294CD"/>
      </w:rPr>
    </w:lvl>
    <w:lvl w:ilvl="1">
      <w:start w:val="1"/>
      <w:numFmt w:val="bullet"/>
      <w:lvlText w:val="○"/>
      <w:lvlJc w:val="left"/>
      <w:pPr>
        <w:tabs>
          <w:tab w:val="num" w:pos="567"/>
        </w:tabs>
        <w:ind w:left="568" w:hanging="284"/>
      </w:pPr>
      <w:rPr>
        <w:rFonts w:ascii="Calibri" w:hAnsi="Calibri" w:hint="default"/>
        <w:color w:val="2294CD"/>
      </w:rPr>
    </w:lvl>
    <w:lvl w:ilvl="2">
      <w:start w:val="1"/>
      <w:numFmt w:val="bullet"/>
      <w:lvlText w:val="▪"/>
      <w:lvlJc w:val="left"/>
      <w:pPr>
        <w:tabs>
          <w:tab w:val="num" w:pos="851"/>
        </w:tabs>
        <w:ind w:left="852" w:hanging="284"/>
      </w:pPr>
      <w:rPr>
        <w:rFonts w:ascii="Calibri" w:hAnsi="Calibri" w:hint="default"/>
        <w:color w:val="2294CD"/>
      </w:rPr>
    </w:lvl>
    <w:lvl w:ilvl="3">
      <w:start w:val="1"/>
      <w:numFmt w:val="bullet"/>
      <w:lvlText w:val="−"/>
      <w:lvlJc w:val="left"/>
      <w:pPr>
        <w:tabs>
          <w:tab w:val="num" w:pos="1134"/>
        </w:tabs>
        <w:ind w:left="1136" w:hanging="284"/>
      </w:pPr>
      <w:rPr>
        <w:rFonts w:ascii="Calibri" w:hAnsi="Calibri" w:hint="default"/>
        <w:color w:val="1D336D" w:themeColor="background2"/>
      </w:rPr>
    </w:lvl>
    <w:lvl w:ilvl="4">
      <w:start w:val="1"/>
      <w:numFmt w:val="bullet"/>
      <w:lvlText w:val="−"/>
      <w:lvlJc w:val="left"/>
      <w:pPr>
        <w:tabs>
          <w:tab w:val="num" w:pos="1418"/>
        </w:tabs>
        <w:ind w:left="1420" w:hanging="284"/>
      </w:pPr>
      <w:rPr>
        <w:rFonts w:ascii="Calibri" w:hAnsi="Calibri" w:hint="default"/>
      </w:rPr>
    </w:lvl>
    <w:lvl w:ilvl="5">
      <w:start w:val="1"/>
      <w:numFmt w:val="bullet"/>
      <w:lvlText w:val="−"/>
      <w:lvlJc w:val="left"/>
      <w:pPr>
        <w:tabs>
          <w:tab w:val="num" w:pos="1777"/>
        </w:tabs>
        <w:ind w:left="1704" w:hanging="284"/>
      </w:pPr>
      <w:rPr>
        <w:rFonts w:ascii="Calibri" w:hAnsi="Calibri" w:hint="default"/>
      </w:rPr>
    </w:lvl>
    <w:lvl w:ilvl="6">
      <w:start w:val="1"/>
      <w:numFmt w:val="bullet"/>
      <w:lvlText w:val="−"/>
      <w:lvlJc w:val="left"/>
      <w:pPr>
        <w:tabs>
          <w:tab w:val="num" w:pos="2061"/>
        </w:tabs>
        <w:ind w:left="1988" w:hanging="284"/>
      </w:pPr>
      <w:rPr>
        <w:rFonts w:ascii="Calibri" w:hAnsi="Calibri" w:hint="default"/>
      </w:rPr>
    </w:lvl>
    <w:lvl w:ilvl="7">
      <w:start w:val="1"/>
      <w:numFmt w:val="bullet"/>
      <w:lvlText w:val="−"/>
      <w:lvlJc w:val="left"/>
      <w:pPr>
        <w:tabs>
          <w:tab w:val="num" w:pos="2345"/>
        </w:tabs>
        <w:ind w:left="2272" w:hanging="284"/>
      </w:pPr>
      <w:rPr>
        <w:rFonts w:ascii="Calibri" w:hAnsi="Calibri" w:hint="default"/>
      </w:rPr>
    </w:lvl>
    <w:lvl w:ilvl="8">
      <w:start w:val="1"/>
      <w:numFmt w:val="bullet"/>
      <w:lvlText w:val="−"/>
      <w:lvlJc w:val="left"/>
      <w:pPr>
        <w:tabs>
          <w:tab w:val="num" w:pos="2629"/>
        </w:tabs>
        <w:ind w:left="2556" w:hanging="284"/>
      </w:pPr>
      <w:rPr>
        <w:rFonts w:ascii="Calibri" w:hAnsi="Calibri" w:hint="default"/>
      </w:rPr>
    </w:lvl>
  </w:abstractNum>
  <w:abstractNum w:abstractNumId="41" w15:restartNumberingAfterBreak="0">
    <w:nsid w:val="42847B35"/>
    <w:multiLevelType w:val="hybridMultilevel"/>
    <w:tmpl w:val="07C802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2F210C0"/>
    <w:multiLevelType w:val="hybridMultilevel"/>
    <w:tmpl w:val="41F827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2FC6DB1"/>
    <w:multiLevelType w:val="hybridMultilevel"/>
    <w:tmpl w:val="ED60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EC5994"/>
    <w:multiLevelType w:val="multilevel"/>
    <w:tmpl w:val="1646C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4FF1DF5"/>
    <w:multiLevelType w:val="multilevel"/>
    <w:tmpl w:val="0C78A6C8"/>
    <w:lvl w:ilvl="0">
      <w:start w:val="1"/>
      <w:numFmt w:val="decimal"/>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6" w15:restartNumberingAfterBreak="0">
    <w:nsid w:val="48A52E75"/>
    <w:multiLevelType w:val="multilevel"/>
    <w:tmpl w:val="BE2AD7E0"/>
    <w:styleLink w:val="NumberedList"/>
    <w:lvl w:ilvl="0">
      <w:start w:val="1"/>
      <w:numFmt w:val="decimal"/>
      <w:lvlText w:val="%1."/>
      <w:lvlJc w:val="left"/>
      <w:pPr>
        <w:ind w:left="357" w:hanging="357"/>
      </w:pPr>
      <w:rPr>
        <w:rFonts w:hint="default"/>
        <w:b w:val="0"/>
        <w:i w:val="0"/>
        <w:color w:val="585858" w:themeColor="text2"/>
      </w:rPr>
    </w:lvl>
    <w:lvl w:ilvl="1">
      <w:start w:val="1"/>
      <w:numFmt w:val="lowerLetter"/>
      <w:lvlText w:val="%2."/>
      <w:lvlJc w:val="left"/>
      <w:pPr>
        <w:ind w:left="714" w:hanging="357"/>
      </w:pPr>
      <w:rPr>
        <w:rFonts w:hint="default"/>
        <w:b w:val="0"/>
        <w:i w:val="0"/>
        <w:color w:val="585858" w:themeColor="text2"/>
      </w:rPr>
    </w:lvl>
    <w:lvl w:ilvl="2">
      <w:start w:val="1"/>
      <w:numFmt w:val="lowerRoman"/>
      <w:lvlText w:val="%3."/>
      <w:lvlJc w:val="left"/>
      <w:pPr>
        <w:ind w:left="1071" w:hanging="357"/>
      </w:pPr>
      <w:rPr>
        <w:rFonts w:hint="default"/>
        <w:b w:val="0"/>
        <w:i w:val="0"/>
        <w:color w:val="585858" w:themeColor="text2"/>
      </w:rPr>
    </w:lvl>
    <w:lvl w:ilvl="3">
      <w:start w:val="1"/>
      <w:numFmt w:val="none"/>
      <w:lvlText w:val=""/>
      <w:lvlJc w:val="left"/>
      <w:pPr>
        <w:tabs>
          <w:tab w:val="num" w:pos="1072"/>
        </w:tabs>
        <w:ind w:left="1072" w:firstLine="0"/>
      </w:pPr>
      <w:rPr>
        <w:rFonts w:hint="default"/>
      </w:rPr>
    </w:lvl>
    <w:lvl w:ilvl="4">
      <w:start w:val="1"/>
      <w:numFmt w:val="none"/>
      <w:lvlText w:val=""/>
      <w:lvlJc w:val="left"/>
      <w:pPr>
        <w:ind w:left="1072" w:firstLine="0"/>
      </w:pPr>
      <w:rPr>
        <w:rFonts w:hint="default"/>
      </w:rPr>
    </w:lvl>
    <w:lvl w:ilvl="5">
      <w:start w:val="1"/>
      <w:numFmt w:val="none"/>
      <w:lvlText w:val=""/>
      <w:lvlJc w:val="left"/>
      <w:pPr>
        <w:ind w:left="1072" w:firstLine="0"/>
      </w:pPr>
      <w:rPr>
        <w:rFonts w:hint="default"/>
      </w:rPr>
    </w:lvl>
    <w:lvl w:ilvl="6">
      <w:start w:val="1"/>
      <w:numFmt w:val="none"/>
      <w:lvlText w:val=""/>
      <w:lvlJc w:val="left"/>
      <w:pPr>
        <w:ind w:left="1072" w:firstLine="0"/>
      </w:pPr>
      <w:rPr>
        <w:rFonts w:hint="default"/>
      </w:rPr>
    </w:lvl>
    <w:lvl w:ilvl="7">
      <w:start w:val="1"/>
      <w:numFmt w:val="none"/>
      <w:lvlText w:val=""/>
      <w:lvlJc w:val="left"/>
      <w:pPr>
        <w:ind w:left="1072" w:firstLine="0"/>
      </w:pPr>
      <w:rPr>
        <w:rFonts w:hint="default"/>
      </w:rPr>
    </w:lvl>
    <w:lvl w:ilvl="8">
      <w:start w:val="1"/>
      <w:numFmt w:val="none"/>
      <w:lvlText w:val=""/>
      <w:lvlJc w:val="left"/>
      <w:pPr>
        <w:ind w:left="1072" w:firstLine="0"/>
      </w:pPr>
      <w:rPr>
        <w:rFonts w:hint="default"/>
      </w:rPr>
    </w:lvl>
  </w:abstractNum>
  <w:abstractNum w:abstractNumId="47" w15:restartNumberingAfterBreak="0">
    <w:nsid w:val="49A17140"/>
    <w:multiLevelType w:val="hybridMultilevel"/>
    <w:tmpl w:val="0792C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F204247"/>
    <w:multiLevelType w:val="multilevel"/>
    <w:tmpl w:val="5B0EA73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pStyle w:val="ListBullet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F244B24"/>
    <w:multiLevelType w:val="hybridMultilevel"/>
    <w:tmpl w:val="3BC6A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0493590"/>
    <w:multiLevelType w:val="hybridMultilevel"/>
    <w:tmpl w:val="2C4A7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518C2AF9"/>
    <w:multiLevelType w:val="hybridMultilevel"/>
    <w:tmpl w:val="79621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2BC3521"/>
    <w:multiLevelType w:val="hybridMultilevel"/>
    <w:tmpl w:val="E3F6076A"/>
    <w:lvl w:ilvl="0" w:tplc="0C090019">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3" w15:restartNumberingAfterBreak="0">
    <w:nsid w:val="55F571F6"/>
    <w:multiLevelType w:val="hybridMultilevel"/>
    <w:tmpl w:val="3EC0AB08"/>
    <w:lvl w:ilvl="0" w:tplc="13E8281C">
      <w:start w:val="25"/>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C823739"/>
    <w:multiLevelType w:val="hybridMultilevel"/>
    <w:tmpl w:val="5590FFF2"/>
    <w:lvl w:ilvl="0" w:tplc="FFFFFFFF">
      <w:start w:val="1"/>
      <w:numFmt w:val="decimal"/>
      <w:lvlText w:val="%1."/>
      <w:lvlJc w:val="left"/>
      <w:pPr>
        <w:ind w:left="810" w:hanging="720"/>
      </w:pPr>
    </w:lvl>
    <w:lvl w:ilvl="1" w:tplc="ACEEC496">
      <w:start w:val="1"/>
      <w:numFmt w:val="lowerLetter"/>
      <w:lvlText w:val="%2."/>
      <w:lvlJc w:val="left"/>
      <w:pPr>
        <w:ind w:left="1352" w:hanging="360"/>
      </w:pPr>
      <w:rPr>
        <w:rFonts w:asciiTheme="majorHAnsi" w:eastAsia="Times New Roman" w:hAnsiTheme="majorHAnsi" w:cstheme="majorHAnsi" w:hint="default"/>
        <w:color w:val="auto"/>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627D1F93"/>
    <w:multiLevelType w:val="multilevel"/>
    <w:tmpl w:val="A9FA82B6"/>
    <w:styleLink w:val="AlphaList"/>
    <w:lvl w:ilvl="0">
      <w:start w:val="1"/>
      <w:numFmt w:val="lowerLetter"/>
      <w:lvlText w:val="%1."/>
      <w:lvlJc w:val="left"/>
      <w:pPr>
        <w:ind w:left="284" w:hanging="284"/>
      </w:pPr>
      <w:rPr>
        <w:rFonts w:hint="default"/>
        <w:b w:val="0"/>
        <w:color w:val="2294CD"/>
      </w:rPr>
    </w:lvl>
    <w:lvl w:ilvl="1">
      <w:start w:val="1"/>
      <w:numFmt w:val="lowerRoman"/>
      <w:lvlText w:val="%2."/>
      <w:lvlJc w:val="left"/>
      <w:pPr>
        <w:ind w:left="568" w:hanging="284"/>
      </w:pPr>
      <w:rPr>
        <w:rFonts w:hint="default"/>
        <w:b w:val="0"/>
        <w:color w:val="2294CD"/>
      </w:rPr>
    </w:lvl>
    <w:lvl w:ilvl="2">
      <w:start w:val="1"/>
      <w:numFmt w:val="decimal"/>
      <w:lvlText w:val="%3."/>
      <w:lvlJc w:val="left"/>
      <w:pPr>
        <w:ind w:left="852" w:hanging="284"/>
      </w:pPr>
      <w:rPr>
        <w:rFonts w:hint="default"/>
        <w:b w:val="0"/>
        <w:color w:val="2294CD"/>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56" w15:restartNumberingAfterBreak="0">
    <w:nsid w:val="63E17E17"/>
    <w:multiLevelType w:val="hybridMultilevel"/>
    <w:tmpl w:val="4320B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59B2A91"/>
    <w:multiLevelType w:val="hybridMultilevel"/>
    <w:tmpl w:val="57A6EAFA"/>
    <w:lvl w:ilvl="0" w:tplc="7532983E">
      <w:start w:val="4"/>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C235127"/>
    <w:multiLevelType w:val="hybridMultilevel"/>
    <w:tmpl w:val="0C428AAA"/>
    <w:lvl w:ilvl="0" w:tplc="E08CFB72">
      <w:numFmt w:val="bullet"/>
      <w:lvlText w:val="-"/>
      <w:lvlJc w:val="left"/>
      <w:pPr>
        <w:ind w:left="720" w:hanging="360"/>
      </w:pPr>
      <w:rPr>
        <w:rFonts w:ascii="Arial" w:eastAsiaTheme="maj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CF37F84"/>
    <w:multiLevelType w:val="hybridMultilevel"/>
    <w:tmpl w:val="B72E0B84"/>
    <w:lvl w:ilvl="0" w:tplc="22543458">
      <w:start w:val="1"/>
      <w:numFmt w:val="bullet"/>
      <w:pStyle w:val="IO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F0C67E2"/>
    <w:multiLevelType w:val="hybridMultilevel"/>
    <w:tmpl w:val="8132E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5517094"/>
    <w:multiLevelType w:val="hybridMultilevel"/>
    <w:tmpl w:val="74E4E6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2" w15:restartNumberingAfterBreak="0">
    <w:nsid w:val="764179CF"/>
    <w:multiLevelType w:val="hybridMultilevel"/>
    <w:tmpl w:val="9736566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66A0CB7"/>
    <w:multiLevelType w:val="hybridMultilevel"/>
    <w:tmpl w:val="0988E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76D64302"/>
    <w:multiLevelType w:val="hybridMultilevel"/>
    <w:tmpl w:val="4D44B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78B16C7D"/>
    <w:multiLevelType w:val="multilevel"/>
    <w:tmpl w:val="1766ED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B2C0EB7"/>
    <w:multiLevelType w:val="hybridMultilevel"/>
    <w:tmpl w:val="53E4CA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B652F5F"/>
    <w:multiLevelType w:val="hybridMultilevel"/>
    <w:tmpl w:val="95C41240"/>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C731779"/>
    <w:multiLevelType w:val="hybridMultilevel"/>
    <w:tmpl w:val="7AB27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5392216">
    <w:abstractNumId w:val="55"/>
  </w:num>
  <w:num w:numId="2" w16cid:durableId="292830998">
    <w:abstractNumId w:val="40"/>
  </w:num>
  <w:num w:numId="3" w16cid:durableId="165943352">
    <w:abstractNumId w:val="46"/>
  </w:num>
  <w:num w:numId="4" w16cid:durableId="315260285">
    <w:abstractNumId w:val="48"/>
  </w:num>
  <w:num w:numId="5" w16cid:durableId="2012029032">
    <w:abstractNumId w:val="22"/>
  </w:num>
  <w:num w:numId="6" w16cid:durableId="564491521">
    <w:abstractNumId w:val="0"/>
  </w:num>
  <w:num w:numId="7" w16cid:durableId="447703488">
    <w:abstractNumId w:val="21"/>
  </w:num>
  <w:num w:numId="8" w16cid:durableId="1326713448">
    <w:abstractNumId w:val="20"/>
  </w:num>
  <w:num w:numId="9" w16cid:durableId="1158300653">
    <w:abstractNumId w:val="7"/>
  </w:num>
  <w:num w:numId="10" w16cid:durableId="321931981">
    <w:abstractNumId w:val="44"/>
  </w:num>
  <w:num w:numId="11" w16cid:durableId="1828397719">
    <w:abstractNumId w:val="35"/>
  </w:num>
  <w:num w:numId="12" w16cid:durableId="483005795">
    <w:abstractNumId w:val="8"/>
  </w:num>
  <w:num w:numId="13" w16cid:durableId="1523325481">
    <w:abstractNumId w:val="14"/>
  </w:num>
  <w:num w:numId="14" w16cid:durableId="872772265">
    <w:abstractNumId w:val="5"/>
  </w:num>
  <w:num w:numId="15" w16cid:durableId="735397609">
    <w:abstractNumId w:val="57"/>
  </w:num>
  <w:num w:numId="16" w16cid:durableId="1451322476">
    <w:abstractNumId w:val="38"/>
  </w:num>
  <w:num w:numId="17" w16cid:durableId="1374844869">
    <w:abstractNumId w:val="26"/>
  </w:num>
  <w:num w:numId="18" w16cid:durableId="2042969029">
    <w:abstractNumId w:val="32"/>
  </w:num>
  <w:num w:numId="19" w16cid:durableId="774904437">
    <w:abstractNumId w:val="27"/>
  </w:num>
  <w:num w:numId="20" w16cid:durableId="1892113334">
    <w:abstractNumId w:val="30"/>
  </w:num>
  <w:num w:numId="21" w16cid:durableId="975990890">
    <w:abstractNumId w:val="54"/>
  </w:num>
  <w:num w:numId="22" w16cid:durableId="539362987">
    <w:abstractNumId w:val="9"/>
  </w:num>
  <w:num w:numId="23" w16cid:durableId="1633099130">
    <w:abstractNumId w:val="1"/>
  </w:num>
  <w:num w:numId="24" w16cid:durableId="129830481">
    <w:abstractNumId w:val="61"/>
  </w:num>
  <w:num w:numId="25" w16cid:durableId="1441800143">
    <w:abstractNumId w:val="68"/>
  </w:num>
  <w:num w:numId="26" w16cid:durableId="912814346">
    <w:abstractNumId w:val="56"/>
  </w:num>
  <w:num w:numId="27" w16cid:durableId="298994488">
    <w:abstractNumId w:val="59"/>
  </w:num>
  <w:num w:numId="28" w16cid:durableId="2090232205">
    <w:abstractNumId w:val="2"/>
  </w:num>
  <w:num w:numId="29" w16cid:durableId="156175027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3144192">
    <w:abstractNumId w:val="37"/>
  </w:num>
  <w:num w:numId="31" w16cid:durableId="674068801">
    <w:abstractNumId w:val="11"/>
  </w:num>
  <w:num w:numId="32" w16cid:durableId="279455577">
    <w:abstractNumId w:val="3"/>
  </w:num>
  <w:num w:numId="33" w16cid:durableId="1445421563">
    <w:abstractNumId w:val="39"/>
  </w:num>
  <w:num w:numId="34" w16cid:durableId="1426804442">
    <w:abstractNumId w:val="42"/>
  </w:num>
  <w:num w:numId="35" w16cid:durableId="597179495">
    <w:abstractNumId w:val="25"/>
  </w:num>
  <w:num w:numId="36" w16cid:durableId="1040401716">
    <w:abstractNumId w:val="31"/>
  </w:num>
  <w:num w:numId="37" w16cid:durableId="1022826286">
    <w:abstractNumId w:val="6"/>
  </w:num>
  <w:num w:numId="38" w16cid:durableId="1702977420">
    <w:abstractNumId w:val="24"/>
  </w:num>
  <w:num w:numId="39" w16cid:durableId="1264269443">
    <w:abstractNumId w:val="65"/>
  </w:num>
  <w:num w:numId="40" w16cid:durableId="663703943">
    <w:abstractNumId w:val="15"/>
  </w:num>
  <w:num w:numId="41" w16cid:durableId="1617329356">
    <w:abstractNumId w:val="58"/>
  </w:num>
  <w:num w:numId="42" w16cid:durableId="1333678280">
    <w:abstractNumId w:val="62"/>
  </w:num>
  <w:num w:numId="43" w16cid:durableId="1196432501">
    <w:abstractNumId w:val="43"/>
  </w:num>
  <w:num w:numId="44" w16cid:durableId="766459927">
    <w:abstractNumId w:val="13"/>
  </w:num>
  <w:num w:numId="45" w16cid:durableId="1887794494">
    <w:abstractNumId w:val="41"/>
  </w:num>
  <w:num w:numId="46" w16cid:durableId="1513301986">
    <w:abstractNumId w:val="63"/>
  </w:num>
  <w:num w:numId="47" w16cid:durableId="1831478676">
    <w:abstractNumId w:val="50"/>
  </w:num>
  <w:num w:numId="48" w16cid:durableId="648902635">
    <w:abstractNumId w:val="64"/>
  </w:num>
  <w:num w:numId="49" w16cid:durableId="2079667104">
    <w:abstractNumId w:val="45"/>
  </w:num>
  <w:num w:numId="50" w16cid:durableId="1969431719">
    <w:abstractNumId w:val="34"/>
  </w:num>
  <w:num w:numId="51" w16cid:durableId="1661500240">
    <w:abstractNumId w:val="23"/>
  </w:num>
  <w:num w:numId="52" w16cid:durableId="136461512">
    <w:abstractNumId w:val="53"/>
  </w:num>
  <w:num w:numId="53" w16cid:durableId="1013992470">
    <w:abstractNumId w:val="19"/>
  </w:num>
  <w:num w:numId="54" w16cid:durableId="330135612">
    <w:abstractNumId w:val="60"/>
  </w:num>
  <w:num w:numId="55" w16cid:durableId="1145660116">
    <w:abstractNumId w:val="29"/>
  </w:num>
  <w:num w:numId="56" w16cid:durableId="1954746071">
    <w:abstractNumId w:val="12"/>
  </w:num>
  <w:num w:numId="57" w16cid:durableId="1939217820">
    <w:abstractNumId w:val="10"/>
  </w:num>
  <w:num w:numId="58" w16cid:durableId="1655523542">
    <w:abstractNumId w:val="66"/>
  </w:num>
  <w:num w:numId="59" w16cid:durableId="1963922420">
    <w:abstractNumId w:val="28"/>
  </w:num>
  <w:num w:numId="60" w16cid:durableId="1552497235">
    <w:abstractNumId w:val="49"/>
  </w:num>
  <w:num w:numId="61" w16cid:durableId="648949060">
    <w:abstractNumId w:val="52"/>
  </w:num>
  <w:num w:numId="62" w16cid:durableId="2064520063">
    <w:abstractNumId w:val="16"/>
  </w:num>
  <w:num w:numId="63" w16cid:durableId="1746872990">
    <w:abstractNumId w:val="36"/>
  </w:num>
  <w:num w:numId="64" w16cid:durableId="2019116285">
    <w:abstractNumId w:val="51"/>
  </w:num>
  <w:num w:numId="65" w16cid:durableId="1848522610">
    <w:abstractNumId w:val="47"/>
  </w:num>
  <w:num w:numId="66" w16cid:durableId="1852446777">
    <w:abstractNumId w:val="33"/>
  </w:num>
  <w:num w:numId="67" w16cid:durableId="618414251">
    <w:abstractNumId w:val="17"/>
  </w:num>
  <w:num w:numId="68" w16cid:durableId="421342396">
    <w:abstractNumId w:val="1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trackRevisions/>
  <w:defaultTabStop w:val="284"/>
  <w:drawingGridHorizontalSpacing w:val="120"/>
  <w:displayHorizontalDrawingGridEvery w:val="2"/>
  <w:characterSpacingControl w:val="doNotCompress"/>
  <w:hdrShapeDefaults>
    <o:shapedefaults v:ext="edit" spidmax="2050" style="mso-position-vertical-relative:line;v-text-anchor:middle" fillcolor="none [3215]" strokecolor="none [2415]">
      <v:fill color="none [3215]"/>
      <v:stroke color="none [2415]" weight="5pt"/>
      <v:textbox inset=",2.5mm,,2.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C4"/>
    <w:rsid w:val="00000047"/>
    <w:rsid w:val="000003E0"/>
    <w:rsid w:val="000006B1"/>
    <w:rsid w:val="00000B86"/>
    <w:rsid w:val="00000C8E"/>
    <w:rsid w:val="00001173"/>
    <w:rsid w:val="00001323"/>
    <w:rsid w:val="00001928"/>
    <w:rsid w:val="00001DA7"/>
    <w:rsid w:val="00001E73"/>
    <w:rsid w:val="000020B5"/>
    <w:rsid w:val="000024A3"/>
    <w:rsid w:val="00002501"/>
    <w:rsid w:val="00002518"/>
    <w:rsid w:val="0000259E"/>
    <w:rsid w:val="000027FE"/>
    <w:rsid w:val="00002A12"/>
    <w:rsid w:val="00002BD7"/>
    <w:rsid w:val="00003688"/>
    <w:rsid w:val="0000372F"/>
    <w:rsid w:val="0000377A"/>
    <w:rsid w:val="00003A2E"/>
    <w:rsid w:val="000040FF"/>
    <w:rsid w:val="00004100"/>
    <w:rsid w:val="00004AA8"/>
    <w:rsid w:val="00005161"/>
    <w:rsid w:val="000055CB"/>
    <w:rsid w:val="000059B3"/>
    <w:rsid w:val="00005BC6"/>
    <w:rsid w:val="0000664E"/>
    <w:rsid w:val="00006BD2"/>
    <w:rsid w:val="00006FE1"/>
    <w:rsid w:val="0000723D"/>
    <w:rsid w:val="00007268"/>
    <w:rsid w:val="000072DB"/>
    <w:rsid w:val="00007485"/>
    <w:rsid w:val="000076C3"/>
    <w:rsid w:val="00007751"/>
    <w:rsid w:val="00007869"/>
    <w:rsid w:val="00007D4E"/>
    <w:rsid w:val="00007ECE"/>
    <w:rsid w:val="00007FFD"/>
    <w:rsid w:val="000101B1"/>
    <w:rsid w:val="000108C7"/>
    <w:rsid w:val="00010AC6"/>
    <w:rsid w:val="00010B94"/>
    <w:rsid w:val="00010D02"/>
    <w:rsid w:val="0001126F"/>
    <w:rsid w:val="0001142D"/>
    <w:rsid w:val="00011A12"/>
    <w:rsid w:val="00011A21"/>
    <w:rsid w:val="00011A49"/>
    <w:rsid w:val="00011B2E"/>
    <w:rsid w:val="00011D38"/>
    <w:rsid w:val="00012328"/>
    <w:rsid w:val="00012347"/>
    <w:rsid w:val="00012528"/>
    <w:rsid w:val="00012662"/>
    <w:rsid w:val="00012723"/>
    <w:rsid w:val="00012774"/>
    <w:rsid w:val="00012A41"/>
    <w:rsid w:val="00012B85"/>
    <w:rsid w:val="00012C24"/>
    <w:rsid w:val="00012F99"/>
    <w:rsid w:val="00013168"/>
    <w:rsid w:val="000132FF"/>
    <w:rsid w:val="000133E4"/>
    <w:rsid w:val="0001341A"/>
    <w:rsid w:val="00013B42"/>
    <w:rsid w:val="00013E7E"/>
    <w:rsid w:val="00013FA0"/>
    <w:rsid w:val="00014352"/>
    <w:rsid w:val="00014422"/>
    <w:rsid w:val="000145A1"/>
    <w:rsid w:val="0001486F"/>
    <w:rsid w:val="00014A6E"/>
    <w:rsid w:val="00014AF9"/>
    <w:rsid w:val="00014DE4"/>
    <w:rsid w:val="00014EA7"/>
    <w:rsid w:val="000150A7"/>
    <w:rsid w:val="00015354"/>
    <w:rsid w:val="000154ED"/>
    <w:rsid w:val="000157D3"/>
    <w:rsid w:val="0001596D"/>
    <w:rsid w:val="00015C6D"/>
    <w:rsid w:val="00015E66"/>
    <w:rsid w:val="00015F34"/>
    <w:rsid w:val="00016777"/>
    <w:rsid w:val="000170B2"/>
    <w:rsid w:val="0001737C"/>
    <w:rsid w:val="000174E8"/>
    <w:rsid w:val="00017640"/>
    <w:rsid w:val="00017645"/>
    <w:rsid w:val="00017706"/>
    <w:rsid w:val="000179C8"/>
    <w:rsid w:val="00017CEE"/>
    <w:rsid w:val="00017ED6"/>
    <w:rsid w:val="0002043C"/>
    <w:rsid w:val="00020AA7"/>
    <w:rsid w:val="00020AE2"/>
    <w:rsid w:val="00020D16"/>
    <w:rsid w:val="00020FD6"/>
    <w:rsid w:val="00021228"/>
    <w:rsid w:val="0002128F"/>
    <w:rsid w:val="0002199D"/>
    <w:rsid w:val="00021FD1"/>
    <w:rsid w:val="00022070"/>
    <w:rsid w:val="00022233"/>
    <w:rsid w:val="00022440"/>
    <w:rsid w:val="00022C18"/>
    <w:rsid w:val="00022D71"/>
    <w:rsid w:val="00023405"/>
    <w:rsid w:val="0002344B"/>
    <w:rsid w:val="00023D42"/>
    <w:rsid w:val="00023D92"/>
    <w:rsid w:val="00024288"/>
    <w:rsid w:val="000243FD"/>
    <w:rsid w:val="00024584"/>
    <w:rsid w:val="0002483A"/>
    <w:rsid w:val="0002496C"/>
    <w:rsid w:val="00024AB3"/>
    <w:rsid w:val="00024B0C"/>
    <w:rsid w:val="00024BA0"/>
    <w:rsid w:val="00024D2C"/>
    <w:rsid w:val="00024F31"/>
    <w:rsid w:val="000250AD"/>
    <w:rsid w:val="000253F9"/>
    <w:rsid w:val="00025401"/>
    <w:rsid w:val="000256BA"/>
    <w:rsid w:val="0002573E"/>
    <w:rsid w:val="000257BB"/>
    <w:rsid w:val="00025927"/>
    <w:rsid w:val="000259B8"/>
    <w:rsid w:val="00025FCE"/>
    <w:rsid w:val="0002621A"/>
    <w:rsid w:val="00026364"/>
    <w:rsid w:val="0002642E"/>
    <w:rsid w:val="000264BA"/>
    <w:rsid w:val="00026B4B"/>
    <w:rsid w:val="00026CEA"/>
    <w:rsid w:val="00026EC8"/>
    <w:rsid w:val="000271EC"/>
    <w:rsid w:val="00027370"/>
    <w:rsid w:val="00027519"/>
    <w:rsid w:val="0002761F"/>
    <w:rsid w:val="000276FF"/>
    <w:rsid w:val="00027C0E"/>
    <w:rsid w:val="00027D92"/>
    <w:rsid w:val="00027E75"/>
    <w:rsid w:val="00030414"/>
    <w:rsid w:val="00030607"/>
    <w:rsid w:val="0003097F"/>
    <w:rsid w:val="00030BC5"/>
    <w:rsid w:val="00031249"/>
    <w:rsid w:val="0003140E"/>
    <w:rsid w:val="00031BA0"/>
    <w:rsid w:val="00031CC7"/>
    <w:rsid w:val="00031D79"/>
    <w:rsid w:val="00032209"/>
    <w:rsid w:val="0003237D"/>
    <w:rsid w:val="00032676"/>
    <w:rsid w:val="000328A7"/>
    <w:rsid w:val="000328EE"/>
    <w:rsid w:val="000330D1"/>
    <w:rsid w:val="00033176"/>
    <w:rsid w:val="000333D5"/>
    <w:rsid w:val="0003370D"/>
    <w:rsid w:val="0003372E"/>
    <w:rsid w:val="000339FA"/>
    <w:rsid w:val="000343EE"/>
    <w:rsid w:val="000347A3"/>
    <w:rsid w:val="000348FB"/>
    <w:rsid w:val="00034E0A"/>
    <w:rsid w:val="000353B4"/>
    <w:rsid w:val="00035595"/>
    <w:rsid w:val="00035869"/>
    <w:rsid w:val="00035CA9"/>
    <w:rsid w:val="00035CDF"/>
    <w:rsid w:val="00035DA3"/>
    <w:rsid w:val="00035F0A"/>
    <w:rsid w:val="0003661D"/>
    <w:rsid w:val="00036705"/>
    <w:rsid w:val="0003681D"/>
    <w:rsid w:val="00036C60"/>
    <w:rsid w:val="00037072"/>
    <w:rsid w:val="000370CE"/>
    <w:rsid w:val="000371A2"/>
    <w:rsid w:val="000373C9"/>
    <w:rsid w:val="000376F5"/>
    <w:rsid w:val="000379AA"/>
    <w:rsid w:val="00037A43"/>
    <w:rsid w:val="00037B6B"/>
    <w:rsid w:val="00037C6C"/>
    <w:rsid w:val="00037EE6"/>
    <w:rsid w:val="00037F66"/>
    <w:rsid w:val="0004007F"/>
    <w:rsid w:val="000404E5"/>
    <w:rsid w:val="00040515"/>
    <w:rsid w:val="000407BC"/>
    <w:rsid w:val="00040872"/>
    <w:rsid w:val="0004089C"/>
    <w:rsid w:val="0004093F"/>
    <w:rsid w:val="00040BD0"/>
    <w:rsid w:val="0004264B"/>
    <w:rsid w:val="000428C3"/>
    <w:rsid w:val="0004314A"/>
    <w:rsid w:val="00043428"/>
    <w:rsid w:val="00043786"/>
    <w:rsid w:val="00043AC6"/>
    <w:rsid w:val="00043CB5"/>
    <w:rsid w:val="00043E65"/>
    <w:rsid w:val="00043E7C"/>
    <w:rsid w:val="00044294"/>
    <w:rsid w:val="00044540"/>
    <w:rsid w:val="00044D88"/>
    <w:rsid w:val="00044E6C"/>
    <w:rsid w:val="00044F83"/>
    <w:rsid w:val="000455EF"/>
    <w:rsid w:val="000456A7"/>
    <w:rsid w:val="00045A53"/>
    <w:rsid w:val="00045C3B"/>
    <w:rsid w:val="00045CC7"/>
    <w:rsid w:val="00046BE4"/>
    <w:rsid w:val="00046EC3"/>
    <w:rsid w:val="000474FF"/>
    <w:rsid w:val="000476B9"/>
    <w:rsid w:val="0004770B"/>
    <w:rsid w:val="00047FD8"/>
    <w:rsid w:val="00050295"/>
    <w:rsid w:val="00050875"/>
    <w:rsid w:val="00050D5A"/>
    <w:rsid w:val="00050E46"/>
    <w:rsid w:val="00051128"/>
    <w:rsid w:val="00051439"/>
    <w:rsid w:val="00051B12"/>
    <w:rsid w:val="00051E64"/>
    <w:rsid w:val="000520D4"/>
    <w:rsid w:val="000522C3"/>
    <w:rsid w:val="00052379"/>
    <w:rsid w:val="000525C0"/>
    <w:rsid w:val="00052A40"/>
    <w:rsid w:val="00052B05"/>
    <w:rsid w:val="00052B96"/>
    <w:rsid w:val="00052B9A"/>
    <w:rsid w:val="00053196"/>
    <w:rsid w:val="00053B29"/>
    <w:rsid w:val="000541C2"/>
    <w:rsid w:val="00054435"/>
    <w:rsid w:val="000545F8"/>
    <w:rsid w:val="0005464D"/>
    <w:rsid w:val="000548F2"/>
    <w:rsid w:val="00054AEA"/>
    <w:rsid w:val="00054D0B"/>
    <w:rsid w:val="00054EBD"/>
    <w:rsid w:val="00054F63"/>
    <w:rsid w:val="0005515B"/>
    <w:rsid w:val="000554C0"/>
    <w:rsid w:val="00055A1C"/>
    <w:rsid w:val="00055C51"/>
    <w:rsid w:val="00055ED2"/>
    <w:rsid w:val="00056659"/>
    <w:rsid w:val="00056C63"/>
    <w:rsid w:val="000570BB"/>
    <w:rsid w:val="00057552"/>
    <w:rsid w:val="00057A05"/>
    <w:rsid w:val="00057FC0"/>
    <w:rsid w:val="00060A12"/>
    <w:rsid w:val="00060B8A"/>
    <w:rsid w:val="000617C0"/>
    <w:rsid w:val="00062186"/>
    <w:rsid w:val="00063151"/>
    <w:rsid w:val="0006328B"/>
    <w:rsid w:val="000632B7"/>
    <w:rsid w:val="00063329"/>
    <w:rsid w:val="00063456"/>
    <w:rsid w:val="00063605"/>
    <w:rsid w:val="000639B6"/>
    <w:rsid w:val="00063A30"/>
    <w:rsid w:val="00063F14"/>
    <w:rsid w:val="00063F4E"/>
    <w:rsid w:val="000640E1"/>
    <w:rsid w:val="0006476E"/>
    <w:rsid w:val="000647E1"/>
    <w:rsid w:val="00064C12"/>
    <w:rsid w:val="00065A41"/>
    <w:rsid w:val="00065D39"/>
    <w:rsid w:val="00065D7D"/>
    <w:rsid w:val="00065E46"/>
    <w:rsid w:val="000667CB"/>
    <w:rsid w:val="00066FCB"/>
    <w:rsid w:val="0006753B"/>
    <w:rsid w:val="00067887"/>
    <w:rsid w:val="00067A54"/>
    <w:rsid w:val="00067A9C"/>
    <w:rsid w:val="00067BD0"/>
    <w:rsid w:val="00067C06"/>
    <w:rsid w:val="00067DFC"/>
    <w:rsid w:val="00067E58"/>
    <w:rsid w:val="00070A32"/>
    <w:rsid w:val="00070D98"/>
    <w:rsid w:val="00070F93"/>
    <w:rsid w:val="00071007"/>
    <w:rsid w:val="00071046"/>
    <w:rsid w:val="0007128B"/>
    <w:rsid w:val="000715F1"/>
    <w:rsid w:val="000715FA"/>
    <w:rsid w:val="00071627"/>
    <w:rsid w:val="00071AE7"/>
    <w:rsid w:val="00071BF1"/>
    <w:rsid w:val="00071D22"/>
    <w:rsid w:val="00071D49"/>
    <w:rsid w:val="00071F4D"/>
    <w:rsid w:val="000723D3"/>
    <w:rsid w:val="000729AF"/>
    <w:rsid w:val="00072B02"/>
    <w:rsid w:val="00072B16"/>
    <w:rsid w:val="00072BB2"/>
    <w:rsid w:val="00072DBC"/>
    <w:rsid w:val="0007301F"/>
    <w:rsid w:val="00073047"/>
    <w:rsid w:val="000730E2"/>
    <w:rsid w:val="00073536"/>
    <w:rsid w:val="00073A73"/>
    <w:rsid w:val="00074140"/>
    <w:rsid w:val="000749E3"/>
    <w:rsid w:val="00074AD6"/>
    <w:rsid w:val="00074B19"/>
    <w:rsid w:val="00074BBC"/>
    <w:rsid w:val="00075917"/>
    <w:rsid w:val="000760EE"/>
    <w:rsid w:val="000763C1"/>
    <w:rsid w:val="00076423"/>
    <w:rsid w:val="0007651D"/>
    <w:rsid w:val="000765C0"/>
    <w:rsid w:val="00076812"/>
    <w:rsid w:val="00076D48"/>
    <w:rsid w:val="00076D56"/>
    <w:rsid w:val="00076E57"/>
    <w:rsid w:val="00076EB4"/>
    <w:rsid w:val="0007733E"/>
    <w:rsid w:val="000775BA"/>
    <w:rsid w:val="00077753"/>
    <w:rsid w:val="00077AD0"/>
    <w:rsid w:val="0008081F"/>
    <w:rsid w:val="00080971"/>
    <w:rsid w:val="000809D9"/>
    <w:rsid w:val="00080A81"/>
    <w:rsid w:val="00080B04"/>
    <w:rsid w:val="00080B7A"/>
    <w:rsid w:val="000819EE"/>
    <w:rsid w:val="00081A6B"/>
    <w:rsid w:val="00081DA9"/>
    <w:rsid w:val="00082288"/>
    <w:rsid w:val="000828A0"/>
    <w:rsid w:val="00082D1E"/>
    <w:rsid w:val="00083034"/>
    <w:rsid w:val="000830A6"/>
    <w:rsid w:val="000839CE"/>
    <w:rsid w:val="00083BA1"/>
    <w:rsid w:val="00083C6A"/>
    <w:rsid w:val="00083C7C"/>
    <w:rsid w:val="000840AD"/>
    <w:rsid w:val="00084177"/>
    <w:rsid w:val="00084242"/>
    <w:rsid w:val="000847B7"/>
    <w:rsid w:val="0008493E"/>
    <w:rsid w:val="000849F2"/>
    <w:rsid w:val="00084BA2"/>
    <w:rsid w:val="000851F6"/>
    <w:rsid w:val="0008523E"/>
    <w:rsid w:val="000852D9"/>
    <w:rsid w:val="0008543B"/>
    <w:rsid w:val="00085B01"/>
    <w:rsid w:val="00085B68"/>
    <w:rsid w:val="00085F87"/>
    <w:rsid w:val="00086CE6"/>
    <w:rsid w:val="00086D1D"/>
    <w:rsid w:val="00086ED0"/>
    <w:rsid w:val="0008771A"/>
    <w:rsid w:val="000877DB"/>
    <w:rsid w:val="00087945"/>
    <w:rsid w:val="00087EDE"/>
    <w:rsid w:val="00087FB3"/>
    <w:rsid w:val="000901BE"/>
    <w:rsid w:val="000901E9"/>
    <w:rsid w:val="0009087A"/>
    <w:rsid w:val="000908C8"/>
    <w:rsid w:val="00091D8A"/>
    <w:rsid w:val="00091D92"/>
    <w:rsid w:val="00091FAE"/>
    <w:rsid w:val="000921E0"/>
    <w:rsid w:val="00092629"/>
    <w:rsid w:val="00092C19"/>
    <w:rsid w:val="00092CE0"/>
    <w:rsid w:val="000930FA"/>
    <w:rsid w:val="000933AA"/>
    <w:rsid w:val="00093C08"/>
    <w:rsid w:val="0009423B"/>
    <w:rsid w:val="000943E0"/>
    <w:rsid w:val="0009480C"/>
    <w:rsid w:val="00094838"/>
    <w:rsid w:val="00094B2B"/>
    <w:rsid w:val="00094CD2"/>
    <w:rsid w:val="00094D7D"/>
    <w:rsid w:val="00094E02"/>
    <w:rsid w:val="0009527A"/>
    <w:rsid w:val="000953D7"/>
    <w:rsid w:val="00095515"/>
    <w:rsid w:val="0009563A"/>
    <w:rsid w:val="00095B27"/>
    <w:rsid w:val="00095BEA"/>
    <w:rsid w:val="00095F08"/>
    <w:rsid w:val="00096347"/>
    <w:rsid w:val="00096383"/>
    <w:rsid w:val="000968CC"/>
    <w:rsid w:val="00096C6C"/>
    <w:rsid w:val="00097429"/>
    <w:rsid w:val="0009753F"/>
    <w:rsid w:val="00097942"/>
    <w:rsid w:val="00097F07"/>
    <w:rsid w:val="000A019B"/>
    <w:rsid w:val="000A037A"/>
    <w:rsid w:val="000A072D"/>
    <w:rsid w:val="000A07DD"/>
    <w:rsid w:val="000A131F"/>
    <w:rsid w:val="000A16D9"/>
    <w:rsid w:val="000A1731"/>
    <w:rsid w:val="000A1790"/>
    <w:rsid w:val="000A1806"/>
    <w:rsid w:val="000A198F"/>
    <w:rsid w:val="000A205D"/>
    <w:rsid w:val="000A20DB"/>
    <w:rsid w:val="000A2672"/>
    <w:rsid w:val="000A26C8"/>
    <w:rsid w:val="000A2AAF"/>
    <w:rsid w:val="000A30B9"/>
    <w:rsid w:val="000A3286"/>
    <w:rsid w:val="000A361D"/>
    <w:rsid w:val="000A38F9"/>
    <w:rsid w:val="000A3ECB"/>
    <w:rsid w:val="000A403D"/>
    <w:rsid w:val="000A47E8"/>
    <w:rsid w:val="000A4811"/>
    <w:rsid w:val="000A4B8A"/>
    <w:rsid w:val="000A4F4D"/>
    <w:rsid w:val="000A5030"/>
    <w:rsid w:val="000A507E"/>
    <w:rsid w:val="000A5708"/>
    <w:rsid w:val="000A58F4"/>
    <w:rsid w:val="000A5984"/>
    <w:rsid w:val="000A600C"/>
    <w:rsid w:val="000A61B5"/>
    <w:rsid w:val="000A684C"/>
    <w:rsid w:val="000A6AF3"/>
    <w:rsid w:val="000A6AF7"/>
    <w:rsid w:val="000A719C"/>
    <w:rsid w:val="000A7550"/>
    <w:rsid w:val="000A779C"/>
    <w:rsid w:val="000A7BA8"/>
    <w:rsid w:val="000A7CCB"/>
    <w:rsid w:val="000A7DEC"/>
    <w:rsid w:val="000A7EC9"/>
    <w:rsid w:val="000A7F7D"/>
    <w:rsid w:val="000A7FE6"/>
    <w:rsid w:val="000B00A7"/>
    <w:rsid w:val="000B0398"/>
    <w:rsid w:val="000B07B6"/>
    <w:rsid w:val="000B0B79"/>
    <w:rsid w:val="000B0F92"/>
    <w:rsid w:val="000B199E"/>
    <w:rsid w:val="000B1ACE"/>
    <w:rsid w:val="000B1AF9"/>
    <w:rsid w:val="000B1DAE"/>
    <w:rsid w:val="000B2095"/>
    <w:rsid w:val="000B20B4"/>
    <w:rsid w:val="000B21A6"/>
    <w:rsid w:val="000B2301"/>
    <w:rsid w:val="000B26B2"/>
    <w:rsid w:val="000B297A"/>
    <w:rsid w:val="000B2CCB"/>
    <w:rsid w:val="000B3066"/>
    <w:rsid w:val="000B30A5"/>
    <w:rsid w:val="000B36AF"/>
    <w:rsid w:val="000B3703"/>
    <w:rsid w:val="000B3975"/>
    <w:rsid w:val="000B3A6B"/>
    <w:rsid w:val="000B3A8E"/>
    <w:rsid w:val="000B3B3F"/>
    <w:rsid w:val="000B3C52"/>
    <w:rsid w:val="000B3DCC"/>
    <w:rsid w:val="000B4391"/>
    <w:rsid w:val="000B4B24"/>
    <w:rsid w:val="000B4DD9"/>
    <w:rsid w:val="000B526D"/>
    <w:rsid w:val="000B552E"/>
    <w:rsid w:val="000B57D0"/>
    <w:rsid w:val="000B5A6A"/>
    <w:rsid w:val="000B5A76"/>
    <w:rsid w:val="000B5A7A"/>
    <w:rsid w:val="000B5B23"/>
    <w:rsid w:val="000B5E2A"/>
    <w:rsid w:val="000B5FF9"/>
    <w:rsid w:val="000B6270"/>
    <w:rsid w:val="000B62A1"/>
    <w:rsid w:val="000B6C4D"/>
    <w:rsid w:val="000B6DC4"/>
    <w:rsid w:val="000B6F67"/>
    <w:rsid w:val="000B70D1"/>
    <w:rsid w:val="000B7298"/>
    <w:rsid w:val="000B7826"/>
    <w:rsid w:val="000B7827"/>
    <w:rsid w:val="000B7E04"/>
    <w:rsid w:val="000B7F5D"/>
    <w:rsid w:val="000C077D"/>
    <w:rsid w:val="000C0820"/>
    <w:rsid w:val="000C0A93"/>
    <w:rsid w:val="000C0EFB"/>
    <w:rsid w:val="000C0FD8"/>
    <w:rsid w:val="000C168A"/>
    <w:rsid w:val="000C1A94"/>
    <w:rsid w:val="000C1B09"/>
    <w:rsid w:val="000C2196"/>
    <w:rsid w:val="000C226D"/>
    <w:rsid w:val="000C255D"/>
    <w:rsid w:val="000C2B48"/>
    <w:rsid w:val="000C2B81"/>
    <w:rsid w:val="000C2D77"/>
    <w:rsid w:val="000C2E5D"/>
    <w:rsid w:val="000C3369"/>
    <w:rsid w:val="000C33AA"/>
    <w:rsid w:val="000C344A"/>
    <w:rsid w:val="000C39B1"/>
    <w:rsid w:val="000C3B03"/>
    <w:rsid w:val="000C3F5C"/>
    <w:rsid w:val="000C3F6A"/>
    <w:rsid w:val="000C3F76"/>
    <w:rsid w:val="000C4391"/>
    <w:rsid w:val="000C448A"/>
    <w:rsid w:val="000C4886"/>
    <w:rsid w:val="000C4B4A"/>
    <w:rsid w:val="000C4DB8"/>
    <w:rsid w:val="000C4E95"/>
    <w:rsid w:val="000C55BE"/>
    <w:rsid w:val="000C56F6"/>
    <w:rsid w:val="000C5A83"/>
    <w:rsid w:val="000C5C70"/>
    <w:rsid w:val="000C5F3C"/>
    <w:rsid w:val="000C6014"/>
    <w:rsid w:val="000C6285"/>
    <w:rsid w:val="000C6356"/>
    <w:rsid w:val="000C648F"/>
    <w:rsid w:val="000C6980"/>
    <w:rsid w:val="000C6C0E"/>
    <w:rsid w:val="000C72EC"/>
    <w:rsid w:val="000C75F3"/>
    <w:rsid w:val="000C7792"/>
    <w:rsid w:val="000C7C96"/>
    <w:rsid w:val="000C7E0C"/>
    <w:rsid w:val="000C7E71"/>
    <w:rsid w:val="000D0123"/>
    <w:rsid w:val="000D025D"/>
    <w:rsid w:val="000D0892"/>
    <w:rsid w:val="000D0C44"/>
    <w:rsid w:val="000D0ECF"/>
    <w:rsid w:val="000D1148"/>
    <w:rsid w:val="000D1439"/>
    <w:rsid w:val="000D1795"/>
    <w:rsid w:val="000D1B99"/>
    <w:rsid w:val="000D1BA5"/>
    <w:rsid w:val="000D1C6F"/>
    <w:rsid w:val="000D1E22"/>
    <w:rsid w:val="000D1F83"/>
    <w:rsid w:val="000D1FE6"/>
    <w:rsid w:val="000D2150"/>
    <w:rsid w:val="000D2206"/>
    <w:rsid w:val="000D2A11"/>
    <w:rsid w:val="000D2DC9"/>
    <w:rsid w:val="000D2DFA"/>
    <w:rsid w:val="000D2F7C"/>
    <w:rsid w:val="000D3123"/>
    <w:rsid w:val="000D319C"/>
    <w:rsid w:val="000D3365"/>
    <w:rsid w:val="000D3467"/>
    <w:rsid w:val="000D3655"/>
    <w:rsid w:val="000D3B16"/>
    <w:rsid w:val="000D3CAA"/>
    <w:rsid w:val="000D3E85"/>
    <w:rsid w:val="000D3F89"/>
    <w:rsid w:val="000D3FEF"/>
    <w:rsid w:val="000D428B"/>
    <w:rsid w:val="000D43D6"/>
    <w:rsid w:val="000D49D0"/>
    <w:rsid w:val="000D4A39"/>
    <w:rsid w:val="000D5259"/>
    <w:rsid w:val="000D5359"/>
    <w:rsid w:val="000D53CC"/>
    <w:rsid w:val="000D56C9"/>
    <w:rsid w:val="000D5818"/>
    <w:rsid w:val="000D6189"/>
    <w:rsid w:val="000D624B"/>
    <w:rsid w:val="000D6CA1"/>
    <w:rsid w:val="000D6E94"/>
    <w:rsid w:val="000D7010"/>
    <w:rsid w:val="000D75B7"/>
    <w:rsid w:val="000D7E1D"/>
    <w:rsid w:val="000D7E33"/>
    <w:rsid w:val="000E01AD"/>
    <w:rsid w:val="000E01C9"/>
    <w:rsid w:val="000E02B4"/>
    <w:rsid w:val="000E0409"/>
    <w:rsid w:val="000E0659"/>
    <w:rsid w:val="000E0B48"/>
    <w:rsid w:val="000E0C54"/>
    <w:rsid w:val="000E0DAC"/>
    <w:rsid w:val="000E12DF"/>
    <w:rsid w:val="000E157B"/>
    <w:rsid w:val="000E1C20"/>
    <w:rsid w:val="000E1FFB"/>
    <w:rsid w:val="000E2027"/>
    <w:rsid w:val="000E29E7"/>
    <w:rsid w:val="000E2FC9"/>
    <w:rsid w:val="000E3065"/>
    <w:rsid w:val="000E34F1"/>
    <w:rsid w:val="000E37BB"/>
    <w:rsid w:val="000E37BC"/>
    <w:rsid w:val="000E37E2"/>
    <w:rsid w:val="000E3939"/>
    <w:rsid w:val="000E3D1E"/>
    <w:rsid w:val="000E4074"/>
    <w:rsid w:val="000E43E6"/>
    <w:rsid w:val="000E47C9"/>
    <w:rsid w:val="000E4AEA"/>
    <w:rsid w:val="000E4B96"/>
    <w:rsid w:val="000E5240"/>
    <w:rsid w:val="000E5442"/>
    <w:rsid w:val="000E57A1"/>
    <w:rsid w:val="000E5D01"/>
    <w:rsid w:val="000E63A3"/>
    <w:rsid w:val="000E6672"/>
    <w:rsid w:val="000E676D"/>
    <w:rsid w:val="000E6E7E"/>
    <w:rsid w:val="000E7343"/>
    <w:rsid w:val="000E7367"/>
    <w:rsid w:val="000E7814"/>
    <w:rsid w:val="000E78FA"/>
    <w:rsid w:val="000E79BC"/>
    <w:rsid w:val="000E7F86"/>
    <w:rsid w:val="000F04AF"/>
    <w:rsid w:val="000F0648"/>
    <w:rsid w:val="000F0665"/>
    <w:rsid w:val="000F0F15"/>
    <w:rsid w:val="000F126B"/>
    <w:rsid w:val="000F13DA"/>
    <w:rsid w:val="000F1BAC"/>
    <w:rsid w:val="000F1CC2"/>
    <w:rsid w:val="000F2436"/>
    <w:rsid w:val="000F24BC"/>
    <w:rsid w:val="000F2730"/>
    <w:rsid w:val="000F2742"/>
    <w:rsid w:val="000F30FB"/>
    <w:rsid w:val="000F3145"/>
    <w:rsid w:val="000F373C"/>
    <w:rsid w:val="000F3840"/>
    <w:rsid w:val="000F3AF1"/>
    <w:rsid w:val="000F3BCB"/>
    <w:rsid w:val="000F3C7D"/>
    <w:rsid w:val="000F454C"/>
    <w:rsid w:val="000F4A76"/>
    <w:rsid w:val="000F51CE"/>
    <w:rsid w:val="000F57ED"/>
    <w:rsid w:val="000F5B8D"/>
    <w:rsid w:val="000F602E"/>
    <w:rsid w:val="000F61AE"/>
    <w:rsid w:val="000F61BD"/>
    <w:rsid w:val="000F6269"/>
    <w:rsid w:val="000F6325"/>
    <w:rsid w:val="000F6404"/>
    <w:rsid w:val="000F6543"/>
    <w:rsid w:val="000F6652"/>
    <w:rsid w:val="000F67CA"/>
    <w:rsid w:val="000F6866"/>
    <w:rsid w:val="000F689E"/>
    <w:rsid w:val="000F68B7"/>
    <w:rsid w:val="000F700B"/>
    <w:rsid w:val="000F7024"/>
    <w:rsid w:val="000F70B8"/>
    <w:rsid w:val="000F7286"/>
    <w:rsid w:val="000F7320"/>
    <w:rsid w:val="000F74D8"/>
    <w:rsid w:val="000F758F"/>
    <w:rsid w:val="000F7BA7"/>
    <w:rsid w:val="00100070"/>
    <w:rsid w:val="00100134"/>
    <w:rsid w:val="00100283"/>
    <w:rsid w:val="001002D5"/>
    <w:rsid w:val="00100405"/>
    <w:rsid w:val="00100672"/>
    <w:rsid w:val="001007B3"/>
    <w:rsid w:val="001008E9"/>
    <w:rsid w:val="00100910"/>
    <w:rsid w:val="00100AC0"/>
    <w:rsid w:val="00100D33"/>
    <w:rsid w:val="00100D5F"/>
    <w:rsid w:val="0010100C"/>
    <w:rsid w:val="0010120E"/>
    <w:rsid w:val="001014F7"/>
    <w:rsid w:val="00101523"/>
    <w:rsid w:val="00101C6B"/>
    <w:rsid w:val="00101D5D"/>
    <w:rsid w:val="0010216F"/>
    <w:rsid w:val="001022A7"/>
    <w:rsid w:val="00102344"/>
    <w:rsid w:val="0010237A"/>
    <w:rsid w:val="00102450"/>
    <w:rsid w:val="00102DC3"/>
    <w:rsid w:val="00102F7D"/>
    <w:rsid w:val="00103262"/>
    <w:rsid w:val="001034BC"/>
    <w:rsid w:val="00103894"/>
    <w:rsid w:val="00104524"/>
    <w:rsid w:val="001046C5"/>
    <w:rsid w:val="0010476F"/>
    <w:rsid w:val="00105124"/>
    <w:rsid w:val="00105CFF"/>
    <w:rsid w:val="0010622A"/>
    <w:rsid w:val="001062B2"/>
    <w:rsid w:val="001066A6"/>
    <w:rsid w:val="00106E46"/>
    <w:rsid w:val="001070E7"/>
    <w:rsid w:val="001074DC"/>
    <w:rsid w:val="0010765A"/>
    <w:rsid w:val="0010767F"/>
    <w:rsid w:val="00107681"/>
    <w:rsid w:val="0010779B"/>
    <w:rsid w:val="0010784C"/>
    <w:rsid w:val="00107A53"/>
    <w:rsid w:val="00110424"/>
    <w:rsid w:val="00110472"/>
    <w:rsid w:val="001105D7"/>
    <w:rsid w:val="00110656"/>
    <w:rsid w:val="00110740"/>
    <w:rsid w:val="00110E25"/>
    <w:rsid w:val="00110F79"/>
    <w:rsid w:val="0011106A"/>
    <w:rsid w:val="0011130B"/>
    <w:rsid w:val="001117AA"/>
    <w:rsid w:val="00111E26"/>
    <w:rsid w:val="0011230C"/>
    <w:rsid w:val="00112725"/>
    <w:rsid w:val="001127ED"/>
    <w:rsid w:val="00112865"/>
    <w:rsid w:val="00112ABC"/>
    <w:rsid w:val="00112B48"/>
    <w:rsid w:val="00112B70"/>
    <w:rsid w:val="00113066"/>
    <w:rsid w:val="00113192"/>
    <w:rsid w:val="0011349A"/>
    <w:rsid w:val="001137AB"/>
    <w:rsid w:val="00113A06"/>
    <w:rsid w:val="00113A42"/>
    <w:rsid w:val="00113EB0"/>
    <w:rsid w:val="00114DC7"/>
    <w:rsid w:val="00115057"/>
    <w:rsid w:val="0011526C"/>
    <w:rsid w:val="00115449"/>
    <w:rsid w:val="001154EC"/>
    <w:rsid w:val="0011566B"/>
    <w:rsid w:val="001158F3"/>
    <w:rsid w:val="00115986"/>
    <w:rsid w:val="001162A8"/>
    <w:rsid w:val="00116341"/>
    <w:rsid w:val="001164FA"/>
    <w:rsid w:val="001166EE"/>
    <w:rsid w:val="00116B55"/>
    <w:rsid w:val="00116CDB"/>
    <w:rsid w:val="00116F60"/>
    <w:rsid w:val="0011794D"/>
    <w:rsid w:val="001179E9"/>
    <w:rsid w:val="00120473"/>
    <w:rsid w:val="001208BE"/>
    <w:rsid w:val="00120BBA"/>
    <w:rsid w:val="001211E7"/>
    <w:rsid w:val="00121530"/>
    <w:rsid w:val="00121954"/>
    <w:rsid w:val="00121A77"/>
    <w:rsid w:val="00121ACB"/>
    <w:rsid w:val="0012223D"/>
    <w:rsid w:val="00122719"/>
    <w:rsid w:val="0012294A"/>
    <w:rsid w:val="001234B9"/>
    <w:rsid w:val="0012382D"/>
    <w:rsid w:val="00123A00"/>
    <w:rsid w:val="00123BBF"/>
    <w:rsid w:val="00123E50"/>
    <w:rsid w:val="0012433A"/>
    <w:rsid w:val="0012433C"/>
    <w:rsid w:val="001244D4"/>
    <w:rsid w:val="00124572"/>
    <w:rsid w:val="00124803"/>
    <w:rsid w:val="00124DDE"/>
    <w:rsid w:val="001253A0"/>
    <w:rsid w:val="00125E9F"/>
    <w:rsid w:val="0012682B"/>
    <w:rsid w:val="0012697D"/>
    <w:rsid w:val="00126AE4"/>
    <w:rsid w:val="001273DC"/>
    <w:rsid w:val="00127E02"/>
    <w:rsid w:val="0013041C"/>
    <w:rsid w:val="00130540"/>
    <w:rsid w:val="0013094B"/>
    <w:rsid w:val="00130C0B"/>
    <w:rsid w:val="001311AD"/>
    <w:rsid w:val="00131232"/>
    <w:rsid w:val="00131C03"/>
    <w:rsid w:val="00131C84"/>
    <w:rsid w:val="00131F51"/>
    <w:rsid w:val="001328F1"/>
    <w:rsid w:val="001331B6"/>
    <w:rsid w:val="001338BC"/>
    <w:rsid w:val="00134168"/>
    <w:rsid w:val="0013421E"/>
    <w:rsid w:val="0013430C"/>
    <w:rsid w:val="001348A2"/>
    <w:rsid w:val="00134E1D"/>
    <w:rsid w:val="00134E5B"/>
    <w:rsid w:val="00134F13"/>
    <w:rsid w:val="00135005"/>
    <w:rsid w:val="00135830"/>
    <w:rsid w:val="001359C6"/>
    <w:rsid w:val="00135C5F"/>
    <w:rsid w:val="0013663B"/>
    <w:rsid w:val="0013666D"/>
    <w:rsid w:val="00136BC4"/>
    <w:rsid w:val="00136EDD"/>
    <w:rsid w:val="0013702F"/>
    <w:rsid w:val="00137597"/>
    <w:rsid w:val="00137887"/>
    <w:rsid w:val="00137C8E"/>
    <w:rsid w:val="00137F6C"/>
    <w:rsid w:val="0014004C"/>
    <w:rsid w:val="00140066"/>
    <w:rsid w:val="001403C8"/>
    <w:rsid w:val="00140653"/>
    <w:rsid w:val="00140B30"/>
    <w:rsid w:val="00140CDB"/>
    <w:rsid w:val="001410AC"/>
    <w:rsid w:val="00141205"/>
    <w:rsid w:val="001415ED"/>
    <w:rsid w:val="001415F5"/>
    <w:rsid w:val="00141868"/>
    <w:rsid w:val="00141C0E"/>
    <w:rsid w:val="00142101"/>
    <w:rsid w:val="00142898"/>
    <w:rsid w:val="00143043"/>
    <w:rsid w:val="00143049"/>
    <w:rsid w:val="001433E0"/>
    <w:rsid w:val="00143571"/>
    <w:rsid w:val="00143588"/>
    <w:rsid w:val="0014395D"/>
    <w:rsid w:val="00143A65"/>
    <w:rsid w:val="00143F49"/>
    <w:rsid w:val="00144086"/>
    <w:rsid w:val="00144326"/>
    <w:rsid w:val="001444B6"/>
    <w:rsid w:val="001444D0"/>
    <w:rsid w:val="00144862"/>
    <w:rsid w:val="00144E83"/>
    <w:rsid w:val="00145003"/>
    <w:rsid w:val="00145035"/>
    <w:rsid w:val="00145374"/>
    <w:rsid w:val="00145656"/>
    <w:rsid w:val="00145662"/>
    <w:rsid w:val="00145742"/>
    <w:rsid w:val="00145797"/>
    <w:rsid w:val="00145A05"/>
    <w:rsid w:val="00145ABB"/>
    <w:rsid w:val="00145BD6"/>
    <w:rsid w:val="001460EC"/>
    <w:rsid w:val="001461D1"/>
    <w:rsid w:val="00146319"/>
    <w:rsid w:val="001463F3"/>
    <w:rsid w:val="0014660C"/>
    <w:rsid w:val="00146DCA"/>
    <w:rsid w:val="00146EDB"/>
    <w:rsid w:val="00147094"/>
    <w:rsid w:val="00147098"/>
    <w:rsid w:val="001472A6"/>
    <w:rsid w:val="0014750E"/>
    <w:rsid w:val="001476BC"/>
    <w:rsid w:val="00147A3E"/>
    <w:rsid w:val="00147B3A"/>
    <w:rsid w:val="00147DA9"/>
    <w:rsid w:val="00147F0E"/>
    <w:rsid w:val="001500D0"/>
    <w:rsid w:val="00150616"/>
    <w:rsid w:val="00150698"/>
    <w:rsid w:val="001507BA"/>
    <w:rsid w:val="001508AC"/>
    <w:rsid w:val="001509F2"/>
    <w:rsid w:val="00150CD8"/>
    <w:rsid w:val="00151114"/>
    <w:rsid w:val="001511BF"/>
    <w:rsid w:val="0015127F"/>
    <w:rsid w:val="00151340"/>
    <w:rsid w:val="0015176B"/>
    <w:rsid w:val="001518B8"/>
    <w:rsid w:val="00151AE0"/>
    <w:rsid w:val="00151D22"/>
    <w:rsid w:val="00151E9A"/>
    <w:rsid w:val="00151EA9"/>
    <w:rsid w:val="00151EF1"/>
    <w:rsid w:val="00151F03"/>
    <w:rsid w:val="00152375"/>
    <w:rsid w:val="001525B5"/>
    <w:rsid w:val="0015269E"/>
    <w:rsid w:val="00152A40"/>
    <w:rsid w:val="00152C4E"/>
    <w:rsid w:val="00152D5A"/>
    <w:rsid w:val="00152FB1"/>
    <w:rsid w:val="001533EC"/>
    <w:rsid w:val="001534DD"/>
    <w:rsid w:val="001536AF"/>
    <w:rsid w:val="00153B20"/>
    <w:rsid w:val="00153F50"/>
    <w:rsid w:val="001546F4"/>
    <w:rsid w:val="001547DA"/>
    <w:rsid w:val="00154A70"/>
    <w:rsid w:val="00154D1D"/>
    <w:rsid w:val="00155114"/>
    <w:rsid w:val="0015525A"/>
    <w:rsid w:val="00155385"/>
    <w:rsid w:val="00155AFB"/>
    <w:rsid w:val="00155DDB"/>
    <w:rsid w:val="00155E12"/>
    <w:rsid w:val="00156227"/>
    <w:rsid w:val="001567B4"/>
    <w:rsid w:val="001568CC"/>
    <w:rsid w:val="0015703E"/>
    <w:rsid w:val="00157669"/>
    <w:rsid w:val="0015768B"/>
    <w:rsid w:val="001577C0"/>
    <w:rsid w:val="00157AEE"/>
    <w:rsid w:val="00157BB3"/>
    <w:rsid w:val="00157FE8"/>
    <w:rsid w:val="001603C8"/>
    <w:rsid w:val="00160745"/>
    <w:rsid w:val="001609C5"/>
    <w:rsid w:val="00160A9F"/>
    <w:rsid w:val="00160F3F"/>
    <w:rsid w:val="00161201"/>
    <w:rsid w:val="0016145F"/>
    <w:rsid w:val="0016167E"/>
    <w:rsid w:val="0016172A"/>
    <w:rsid w:val="001619F0"/>
    <w:rsid w:val="001622C8"/>
    <w:rsid w:val="001622DB"/>
    <w:rsid w:val="00162459"/>
    <w:rsid w:val="0016259C"/>
    <w:rsid w:val="00162674"/>
    <w:rsid w:val="00162B43"/>
    <w:rsid w:val="00163332"/>
    <w:rsid w:val="00163870"/>
    <w:rsid w:val="001638E2"/>
    <w:rsid w:val="00163902"/>
    <w:rsid w:val="00163B4A"/>
    <w:rsid w:val="001640F2"/>
    <w:rsid w:val="0016476B"/>
    <w:rsid w:val="001647FF"/>
    <w:rsid w:val="00164A53"/>
    <w:rsid w:val="00164C63"/>
    <w:rsid w:val="00164E75"/>
    <w:rsid w:val="00164F56"/>
    <w:rsid w:val="00165AB5"/>
    <w:rsid w:val="00165C65"/>
    <w:rsid w:val="00165DCE"/>
    <w:rsid w:val="001660A1"/>
    <w:rsid w:val="001662BA"/>
    <w:rsid w:val="00166CA8"/>
    <w:rsid w:val="00166D38"/>
    <w:rsid w:val="00166EC2"/>
    <w:rsid w:val="0016725A"/>
    <w:rsid w:val="0016731C"/>
    <w:rsid w:val="00167506"/>
    <w:rsid w:val="00167665"/>
    <w:rsid w:val="00167748"/>
    <w:rsid w:val="00167AEF"/>
    <w:rsid w:val="00167DF7"/>
    <w:rsid w:val="00170300"/>
    <w:rsid w:val="001703BA"/>
    <w:rsid w:val="001704EC"/>
    <w:rsid w:val="0017055D"/>
    <w:rsid w:val="0017090B"/>
    <w:rsid w:val="00170924"/>
    <w:rsid w:val="0017093E"/>
    <w:rsid w:val="00170CA5"/>
    <w:rsid w:val="00170CC4"/>
    <w:rsid w:val="00171085"/>
    <w:rsid w:val="001710F8"/>
    <w:rsid w:val="00171477"/>
    <w:rsid w:val="0017200F"/>
    <w:rsid w:val="001720E9"/>
    <w:rsid w:val="00172173"/>
    <w:rsid w:val="00172861"/>
    <w:rsid w:val="00172CB1"/>
    <w:rsid w:val="00172D81"/>
    <w:rsid w:val="0017318C"/>
    <w:rsid w:val="0017320B"/>
    <w:rsid w:val="00173433"/>
    <w:rsid w:val="00173AD2"/>
    <w:rsid w:val="00174BEB"/>
    <w:rsid w:val="00175108"/>
    <w:rsid w:val="00175623"/>
    <w:rsid w:val="001757E6"/>
    <w:rsid w:val="00175847"/>
    <w:rsid w:val="00175948"/>
    <w:rsid w:val="00175A2D"/>
    <w:rsid w:val="00175AF2"/>
    <w:rsid w:val="00175C71"/>
    <w:rsid w:val="00175F6E"/>
    <w:rsid w:val="00176105"/>
    <w:rsid w:val="0017616E"/>
    <w:rsid w:val="001761FD"/>
    <w:rsid w:val="0017620F"/>
    <w:rsid w:val="00176223"/>
    <w:rsid w:val="001763CA"/>
    <w:rsid w:val="001763DE"/>
    <w:rsid w:val="0017644D"/>
    <w:rsid w:val="001766FB"/>
    <w:rsid w:val="001767E6"/>
    <w:rsid w:val="00176C27"/>
    <w:rsid w:val="00176CA0"/>
    <w:rsid w:val="0017715B"/>
    <w:rsid w:val="001775EB"/>
    <w:rsid w:val="001778F0"/>
    <w:rsid w:val="00177AD1"/>
    <w:rsid w:val="00177C10"/>
    <w:rsid w:val="00177D8E"/>
    <w:rsid w:val="00177F02"/>
    <w:rsid w:val="00180220"/>
    <w:rsid w:val="001803E6"/>
    <w:rsid w:val="0018088D"/>
    <w:rsid w:val="001809D5"/>
    <w:rsid w:val="00180A8D"/>
    <w:rsid w:val="00180CC8"/>
    <w:rsid w:val="00180CF3"/>
    <w:rsid w:val="00181018"/>
    <w:rsid w:val="0018123D"/>
    <w:rsid w:val="001813C4"/>
    <w:rsid w:val="00181720"/>
    <w:rsid w:val="00181924"/>
    <w:rsid w:val="0018192F"/>
    <w:rsid w:val="00181B1F"/>
    <w:rsid w:val="00181C0E"/>
    <w:rsid w:val="00181D0E"/>
    <w:rsid w:val="00181D12"/>
    <w:rsid w:val="00181D58"/>
    <w:rsid w:val="001821C2"/>
    <w:rsid w:val="001821EC"/>
    <w:rsid w:val="001829A4"/>
    <w:rsid w:val="00182A19"/>
    <w:rsid w:val="00182C27"/>
    <w:rsid w:val="0018322F"/>
    <w:rsid w:val="00183573"/>
    <w:rsid w:val="0018386D"/>
    <w:rsid w:val="0018394F"/>
    <w:rsid w:val="00183C53"/>
    <w:rsid w:val="001842A9"/>
    <w:rsid w:val="001842B2"/>
    <w:rsid w:val="001843E8"/>
    <w:rsid w:val="00184599"/>
    <w:rsid w:val="001846A6"/>
    <w:rsid w:val="001847E3"/>
    <w:rsid w:val="001848C3"/>
    <w:rsid w:val="00185279"/>
    <w:rsid w:val="001853DA"/>
    <w:rsid w:val="00185561"/>
    <w:rsid w:val="001860A5"/>
    <w:rsid w:val="001866C6"/>
    <w:rsid w:val="0018692D"/>
    <w:rsid w:val="00186B3A"/>
    <w:rsid w:val="00186BE0"/>
    <w:rsid w:val="00186C57"/>
    <w:rsid w:val="00186C8D"/>
    <w:rsid w:val="0018727F"/>
    <w:rsid w:val="00187530"/>
    <w:rsid w:val="00187A53"/>
    <w:rsid w:val="00187BCE"/>
    <w:rsid w:val="0019043F"/>
    <w:rsid w:val="00190A02"/>
    <w:rsid w:val="00190B4A"/>
    <w:rsid w:val="00190B93"/>
    <w:rsid w:val="00190ED2"/>
    <w:rsid w:val="00190F62"/>
    <w:rsid w:val="001912F0"/>
    <w:rsid w:val="00191576"/>
    <w:rsid w:val="00191699"/>
    <w:rsid w:val="00192002"/>
    <w:rsid w:val="00192053"/>
    <w:rsid w:val="0019230F"/>
    <w:rsid w:val="00192398"/>
    <w:rsid w:val="00192484"/>
    <w:rsid w:val="00193260"/>
    <w:rsid w:val="001937C1"/>
    <w:rsid w:val="0019400C"/>
    <w:rsid w:val="001942F8"/>
    <w:rsid w:val="00194692"/>
    <w:rsid w:val="00194D4B"/>
    <w:rsid w:val="001956F0"/>
    <w:rsid w:val="00195915"/>
    <w:rsid w:val="00195B39"/>
    <w:rsid w:val="00195F10"/>
    <w:rsid w:val="001963FE"/>
    <w:rsid w:val="00196595"/>
    <w:rsid w:val="00196C90"/>
    <w:rsid w:val="00197081"/>
    <w:rsid w:val="00197346"/>
    <w:rsid w:val="00197B56"/>
    <w:rsid w:val="00197BBF"/>
    <w:rsid w:val="00197CCD"/>
    <w:rsid w:val="00197D46"/>
    <w:rsid w:val="00197F93"/>
    <w:rsid w:val="001A01E9"/>
    <w:rsid w:val="001A06D6"/>
    <w:rsid w:val="001A096C"/>
    <w:rsid w:val="001A09E8"/>
    <w:rsid w:val="001A0B20"/>
    <w:rsid w:val="001A0C8A"/>
    <w:rsid w:val="001A14CA"/>
    <w:rsid w:val="001A18E5"/>
    <w:rsid w:val="001A1D93"/>
    <w:rsid w:val="001A204B"/>
    <w:rsid w:val="001A2859"/>
    <w:rsid w:val="001A2963"/>
    <w:rsid w:val="001A2E06"/>
    <w:rsid w:val="001A2E76"/>
    <w:rsid w:val="001A2F29"/>
    <w:rsid w:val="001A329A"/>
    <w:rsid w:val="001A338A"/>
    <w:rsid w:val="001A34CF"/>
    <w:rsid w:val="001A35E9"/>
    <w:rsid w:val="001A3C66"/>
    <w:rsid w:val="001A409A"/>
    <w:rsid w:val="001A4130"/>
    <w:rsid w:val="001A431E"/>
    <w:rsid w:val="001A434D"/>
    <w:rsid w:val="001A51CF"/>
    <w:rsid w:val="001A5432"/>
    <w:rsid w:val="001A5921"/>
    <w:rsid w:val="001A59B4"/>
    <w:rsid w:val="001A5B5C"/>
    <w:rsid w:val="001A5CF3"/>
    <w:rsid w:val="001A5D58"/>
    <w:rsid w:val="001A5E83"/>
    <w:rsid w:val="001A62C0"/>
    <w:rsid w:val="001A65FA"/>
    <w:rsid w:val="001A6895"/>
    <w:rsid w:val="001A6BE2"/>
    <w:rsid w:val="001A6F57"/>
    <w:rsid w:val="001A720E"/>
    <w:rsid w:val="001A740C"/>
    <w:rsid w:val="001A778C"/>
    <w:rsid w:val="001A7F27"/>
    <w:rsid w:val="001B012D"/>
    <w:rsid w:val="001B066D"/>
    <w:rsid w:val="001B0692"/>
    <w:rsid w:val="001B0709"/>
    <w:rsid w:val="001B0B35"/>
    <w:rsid w:val="001B0D75"/>
    <w:rsid w:val="001B119D"/>
    <w:rsid w:val="001B1452"/>
    <w:rsid w:val="001B1B59"/>
    <w:rsid w:val="001B2348"/>
    <w:rsid w:val="001B239E"/>
    <w:rsid w:val="001B24E6"/>
    <w:rsid w:val="001B2A99"/>
    <w:rsid w:val="001B2C7C"/>
    <w:rsid w:val="001B31F5"/>
    <w:rsid w:val="001B332C"/>
    <w:rsid w:val="001B33B7"/>
    <w:rsid w:val="001B4183"/>
    <w:rsid w:val="001B46FB"/>
    <w:rsid w:val="001B4754"/>
    <w:rsid w:val="001B4758"/>
    <w:rsid w:val="001B4A25"/>
    <w:rsid w:val="001B5473"/>
    <w:rsid w:val="001B593E"/>
    <w:rsid w:val="001B5BE6"/>
    <w:rsid w:val="001B5D34"/>
    <w:rsid w:val="001B5DEB"/>
    <w:rsid w:val="001B61EA"/>
    <w:rsid w:val="001B623D"/>
    <w:rsid w:val="001B6338"/>
    <w:rsid w:val="001B66C0"/>
    <w:rsid w:val="001B66C1"/>
    <w:rsid w:val="001B690E"/>
    <w:rsid w:val="001B6C5B"/>
    <w:rsid w:val="001B6D39"/>
    <w:rsid w:val="001B6DDE"/>
    <w:rsid w:val="001B6EE8"/>
    <w:rsid w:val="001B7147"/>
    <w:rsid w:val="001B7790"/>
    <w:rsid w:val="001B7D0E"/>
    <w:rsid w:val="001B7F9F"/>
    <w:rsid w:val="001C03FA"/>
    <w:rsid w:val="001C0564"/>
    <w:rsid w:val="001C0989"/>
    <w:rsid w:val="001C1414"/>
    <w:rsid w:val="001C1429"/>
    <w:rsid w:val="001C1439"/>
    <w:rsid w:val="001C14FE"/>
    <w:rsid w:val="001C1B72"/>
    <w:rsid w:val="001C1E32"/>
    <w:rsid w:val="001C20BA"/>
    <w:rsid w:val="001C2338"/>
    <w:rsid w:val="001C27A3"/>
    <w:rsid w:val="001C2A01"/>
    <w:rsid w:val="001C30C7"/>
    <w:rsid w:val="001C3949"/>
    <w:rsid w:val="001C3F57"/>
    <w:rsid w:val="001C4037"/>
    <w:rsid w:val="001C4075"/>
    <w:rsid w:val="001C475D"/>
    <w:rsid w:val="001C4A27"/>
    <w:rsid w:val="001C526F"/>
    <w:rsid w:val="001C5444"/>
    <w:rsid w:val="001C54ED"/>
    <w:rsid w:val="001C58D2"/>
    <w:rsid w:val="001C5A6C"/>
    <w:rsid w:val="001C5BA4"/>
    <w:rsid w:val="001C5CF3"/>
    <w:rsid w:val="001C6007"/>
    <w:rsid w:val="001C6082"/>
    <w:rsid w:val="001C65C6"/>
    <w:rsid w:val="001C65E8"/>
    <w:rsid w:val="001C6843"/>
    <w:rsid w:val="001C69D4"/>
    <w:rsid w:val="001C6CB4"/>
    <w:rsid w:val="001C6F88"/>
    <w:rsid w:val="001C6FA0"/>
    <w:rsid w:val="001C718A"/>
    <w:rsid w:val="001C730B"/>
    <w:rsid w:val="001C73DB"/>
    <w:rsid w:val="001C7802"/>
    <w:rsid w:val="001C7B77"/>
    <w:rsid w:val="001D0278"/>
    <w:rsid w:val="001D0800"/>
    <w:rsid w:val="001D0F87"/>
    <w:rsid w:val="001D102F"/>
    <w:rsid w:val="001D1094"/>
    <w:rsid w:val="001D1290"/>
    <w:rsid w:val="001D1A03"/>
    <w:rsid w:val="001D2196"/>
    <w:rsid w:val="001D22D1"/>
    <w:rsid w:val="001D22DE"/>
    <w:rsid w:val="001D22F6"/>
    <w:rsid w:val="001D232B"/>
    <w:rsid w:val="001D2679"/>
    <w:rsid w:val="001D2973"/>
    <w:rsid w:val="001D2B84"/>
    <w:rsid w:val="001D2BFE"/>
    <w:rsid w:val="001D2C19"/>
    <w:rsid w:val="001D2CA4"/>
    <w:rsid w:val="001D2DD1"/>
    <w:rsid w:val="001D2DFC"/>
    <w:rsid w:val="001D35AB"/>
    <w:rsid w:val="001D3931"/>
    <w:rsid w:val="001D3C5A"/>
    <w:rsid w:val="001D4158"/>
    <w:rsid w:val="001D45AF"/>
    <w:rsid w:val="001D4759"/>
    <w:rsid w:val="001D504B"/>
    <w:rsid w:val="001D54EA"/>
    <w:rsid w:val="001D5E78"/>
    <w:rsid w:val="001D5EF1"/>
    <w:rsid w:val="001D5F06"/>
    <w:rsid w:val="001D6627"/>
    <w:rsid w:val="001D666C"/>
    <w:rsid w:val="001D6C9C"/>
    <w:rsid w:val="001D6CCA"/>
    <w:rsid w:val="001D6D76"/>
    <w:rsid w:val="001D6D97"/>
    <w:rsid w:val="001D6E21"/>
    <w:rsid w:val="001D728C"/>
    <w:rsid w:val="001D7346"/>
    <w:rsid w:val="001D74DB"/>
    <w:rsid w:val="001D77A0"/>
    <w:rsid w:val="001E0051"/>
    <w:rsid w:val="001E0202"/>
    <w:rsid w:val="001E0C0D"/>
    <w:rsid w:val="001E0D5F"/>
    <w:rsid w:val="001E0FE6"/>
    <w:rsid w:val="001E1589"/>
    <w:rsid w:val="001E177E"/>
    <w:rsid w:val="001E1A0C"/>
    <w:rsid w:val="001E1A6C"/>
    <w:rsid w:val="001E1FDC"/>
    <w:rsid w:val="001E296E"/>
    <w:rsid w:val="001E3086"/>
    <w:rsid w:val="001E3094"/>
    <w:rsid w:val="001E323F"/>
    <w:rsid w:val="001E39B8"/>
    <w:rsid w:val="001E3B50"/>
    <w:rsid w:val="001E3D27"/>
    <w:rsid w:val="001E3D3F"/>
    <w:rsid w:val="001E3FDA"/>
    <w:rsid w:val="001E427B"/>
    <w:rsid w:val="001E4602"/>
    <w:rsid w:val="001E47BA"/>
    <w:rsid w:val="001E4809"/>
    <w:rsid w:val="001E487B"/>
    <w:rsid w:val="001E4B0C"/>
    <w:rsid w:val="001E4B73"/>
    <w:rsid w:val="001E524B"/>
    <w:rsid w:val="001E6302"/>
    <w:rsid w:val="001E6C44"/>
    <w:rsid w:val="001E71AE"/>
    <w:rsid w:val="001E7658"/>
    <w:rsid w:val="001E7918"/>
    <w:rsid w:val="001E7CA3"/>
    <w:rsid w:val="001E7E4E"/>
    <w:rsid w:val="001F0150"/>
    <w:rsid w:val="001F01A0"/>
    <w:rsid w:val="001F032C"/>
    <w:rsid w:val="001F036E"/>
    <w:rsid w:val="001F0471"/>
    <w:rsid w:val="001F0AC5"/>
    <w:rsid w:val="001F0E9B"/>
    <w:rsid w:val="001F1022"/>
    <w:rsid w:val="001F10C6"/>
    <w:rsid w:val="001F1860"/>
    <w:rsid w:val="001F1867"/>
    <w:rsid w:val="001F1DB6"/>
    <w:rsid w:val="001F1E58"/>
    <w:rsid w:val="001F1E66"/>
    <w:rsid w:val="001F2617"/>
    <w:rsid w:val="001F27B5"/>
    <w:rsid w:val="001F29F6"/>
    <w:rsid w:val="001F2A32"/>
    <w:rsid w:val="001F2B03"/>
    <w:rsid w:val="001F2EF0"/>
    <w:rsid w:val="001F31E8"/>
    <w:rsid w:val="001F341E"/>
    <w:rsid w:val="001F3EC4"/>
    <w:rsid w:val="001F404A"/>
    <w:rsid w:val="001F4162"/>
    <w:rsid w:val="001F416E"/>
    <w:rsid w:val="001F42C8"/>
    <w:rsid w:val="001F520A"/>
    <w:rsid w:val="001F5353"/>
    <w:rsid w:val="001F553E"/>
    <w:rsid w:val="001F5AD6"/>
    <w:rsid w:val="001F5BCB"/>
    <w:rsid w:val="001F5C2C"/>
    <w:rsid w:val="001F5CAF"/>
    <w:rsid w:val="001F5CEB"/>
    <w:rsid w:val="001F5D61"/>
    <w:rsid w:val="001F6145"/>
    <w:rsid w:val="001F6159"/>
    <w:rsid w:val="001F61C5"/>
    <w:rsid w:val="001F62B5"/>
    <w:rsid w:val="001F6558"/>
    <w:rsid w:val="001F6BFA"/>
    <w:rsid w:val="001F6DC1"/>
    <w:rsid w:val="001F6E8F"/>
    <w:rsid w:val="001F73A0"/>
    <w:rsid w:val="001F760B"/>
    <w:rsid w:val="001F76A6"/>
    <w:rsid w:val="001F7CB8"/>
    <w:rsid w:val="00200116"/>
    <w:rsid w:val="002002BF"/>
    <w:rsid w:val="00200688"/>
    <w:rsid w:val="002009BD"/>
    <w:rsid w:val="002012DE"/>
    <w:rsid w:val="0020170A"/>
    <w:rsid w:val="00201720"/>
    <w:rsid w:val="0020196C"/>
    <w:rsid w:val="00201A5F"/>
    <w:rsid w:val="00201D14"/>
    <w:rsid w:val="00201EE0"/>
    <w:rsid w:val="00201FD0"/>
    <w:rsid w:val="002020F1"/>
    <w:rsid w:val="00202466"/>
    <w:rsid w:val="00202B95"/>
    <w:rsid w:val="00202D03"/>
    <w:rsid w:val="00202EFE"/>
    <w:rsid w:val="00202FDE"/>
    <w:rsid w:val="002034C1"/>
    <w:rsid w:val="002036CA"/>
    <w:rsid w:val="00203A21"/>
    <w:rsid w:val="00203AB3"/>
    <w:rsid w:val="00204041"/>
    <w:rsid w:val="002041D6"/>
    <w:rsid w:val="0020423C"/>
    <w:rsid w:val="002042AD"/>
    <w:rsid w:val="002042F1"/>
    <w:rsid w:val="00204345"/>
    <w:rsid w:val="00204A34"/>
    <w:rsid w:val="00205299"/>
    <w:rsid w:val="0020537C"/>
    <w:rsid w:val="002056B9"/>
    <w:rsid w:val="002057EC"/>
    <w:rsid w:val="00205C04"/>
    <w:rsid w:val="00205D67"/>
    <w:rsid w:val="00205EB1"/>
    <w:rsid w:val="00205F75"/>
    <w:rsid w:val="0020641D"/>
    <w:rsid w:val="0020655A"/>
    <w:rsid w:val="00206769"/>
    <w:rsid w:val="00206913"/>
    <w:rsid w:val="00206D59"/>
    <w:rsid w:val="00206DBA"/>
    <w:rsid w:val="00207904"/>
    <w:rsid w:val="0021018D"/>
    <w:rsid w:val="0021019B"/>
    <w:rsid w:val="0021035D"/>
    <w:rsid w:val="00210F8E"/>
    <w:rsid w:val="00210FF5"/>
    <w:rsid w:val="00211093"/>
    <w:rsid w:val="002110BF"/>
    <w:rsid w:val="00211330"/>
    <w:rsid w:val="0021152F"/>
    <w:rsid w:val="00211A56"/>
    <w:rsid w:val="0021258E"/>
    <w:rsid w:val="0021264C"/>
    <w:rsid w:val="0021269F"/>
    <w:rsid w:val="002128BA"/>
    <w:rsid w:val="00212BDB"/>
    <w:rsid w:val="00212C0C"/>
    <w:rsid w:val="002130D0"/>
    <w:rsid w:val="00213112"/>
    <w:rsid w:val="0021344B"/>
    <w:rsid w:val="00213461"/>
    <w:rsid w:val="002136D4"/>
    <w:rsid w:val="00213854"/>
    <w:rsid w:val="0021388D"/>
    <w:rsid w:val="00213B1E"/>
    <w:rsid w:val="00213ED5"/>
    <w:rsid w:val="00214200"/>
    <w:rsid w:val="002146C0"/>
    <w:rsid w:val="00214A27"/>
    <w:rsid w:val="0021519E"/>
    <w:rsid w:val="0021555C"/>
    <w:rsid w:val="00215941"/>
    <w:rsid w:val="00215DA2"/>
    <w:rsid w:val="002164ED"/>
    <w:rsid w:val="0021655F"/>
    <w:rsid w:val="002168EC"/>
    <w:rsid w:val="00216E96"/>
    <w:rsid w:val="00216E9C"/>
    <w:rsid w:val="002172F9"/>
    <w:rsid w:val="00217E2C"/>
    <w:rsid w:val="00217E62"/>
    <w:rsid w:val="00217E6A"/>
    <w:rsid w:val="0022076E"/>
    <w:rsid w:val="0022086A"/>
    <w:rsid w:val="002212A5"/>
    <w:rsid w:val="002216B7"/>
    <w:rsid w:val="00221AFA"/>
    <w:rsid w:val="00221DF5"/>
    <w:rsid w:val="0022264C"/>
    <w:rsid w:val="002226E8"/>
    <w:rsid w:val="002228B0"/>
    <w:rsid w:val="002229CE"/>
    <w:rsid w:val="00222DDD"/>
    <w:rsid w:val="00222F20"/>
    <w:rsid w:val="00223353"/>
    <w:rsid w:val="00223493"/>
    <w:rsid w:val="0022381D"/>
    <w:rsid w:val="00223B6C"/>
    <w:rsid w:val="0022464C"/>
    <w:rsid w:val="002246A3"/>
    <w:rsid w:val="002246E8"/>
    <w:rsid w:val="00224CF7"/>
    <w:rsid w:val="0022512E"/>
    <w:rsid w:val="002252E3"/>
    <w:rsid w:val="00225971"/>
    <w:rsid w:val="002259F1"/>
    <w:rsid w:val="00225ABC"/>
    <w:rsid w:val="00225D54"/>
    <w:rsid w:val="00226280"/>
    <w:rsid w:val="002263AE"/>
    <w:rsid w:val="0022644F"/>
    <w:rsid w:val="00226547"/>
    <w:rsid w:val="00226827"/>
    <w:rsid w:val="002268D3"/>
    <w:rsid w:val="00226977"/>
    <w:rsid w:val="00226E18"/>
    <w:rsid w:val="0022705D"/>
    <w:rsid w:val="002272E4"/>
    <w:rsid w:val="00227607"/>
    <w:rsid w:val="00227708"/>
    <w:rsid w:val="00227837"/>
    <w:rsid w:val="00227E43"/>
    <w:rsid w:val="00230568"/>
    <w:rsid w:val="002305BC"/>
    <w:rsid w:val="00230CBA"/>
    <w:rsid w:val="00230EF9"/>
    <w:rsid w:val="00230FC0"/>
    <w:rsid w:val="00231080"/>
    <w:rsid w:val="00231349"/>
    <w:rsid w:val="0023179C"/>
    <w:rsid w:val="002317C4"/>
    <w:rsid w:val="00231976"/>
    <w:rsid w:val="00231A57"/>
    <w:rsid w:val="00231B50"/>
    <w:rsid w:val="002325D5"/>
    <w:rsid w:val="00232627"/>
    <w:rsid w:val="0023297E"/>
    <w:rsid w:val="00232982"/>
    <w:rsid w:val="002329CB"/>
    <w:rsid w:val="00232D6F"/>
    <w:rsid w:val="0023307B"/>
    <w:rsid w:val="00233573"/>
    <w:rsid w:val="00233750"/>
    <w:rsid w:val="002337D4"/>
    <w:rsid w:val="0023382B"/>
    <w:rsid w:val="002339FC"/>
    <w:rsid w:val="00233F1B"/>
    <w:rsid w:val="00233FA0"/>
    <w:rsid w:val="0023416D"/>
    <w:rsid w:val="0023421B"/>
    <w:rsid w:val="00234275"/>
    <w:rsid w:val="00234373"/>
    <w:rsid w:val="0023478E"/>
    <w:rsid w:val="0023495E"/>
    <w:rsid w:val="00234D51"/>
    <w:rsid w:val="00234D66"/>
    <w:rsid w:val="00234F11"/>
    <w:rsid w:val="0023506B"/>
    <w:rsid w:val="0023553F"/>
    <w:rsid w:val="0023564F"/>
    <w:rsid w:val="0023576F"/>
    <w:rsid w:val="00235956"/>
    <w:rsid w:val="0023608C"/>
    <w:rsid w:val="0023612F"/>
    <w:rsid w:val="002361AA"/>
    <w:rsid w:val="00236A09"/>
    <w:rsid w:val="00236C6D"/>
    <w:rsid w:val="00236D57"/>
    <w:rsid w:val="002376D7"/>
    <w:rsid w:val="00237793"/>
    <w:rsid w:val="0023781F"/>
    <w:rsid w:val="00237A06"/>
    <w:rsid w:val="00240D19"/>
    <w:rsid w:val="00240F2B"/>
    <w:rsid w:val="002410F9"/>
    <w:rsid w:val="00241349"/>
    <w:rsid w:val="00241648"/>
    <w:rsid w:val="002417B6"/>
    <w:rsid w:val="00241984"/>
    <w:rsid w:val="00241CCC"/>
    <w:rsid w:val="00242033"/>
    <w:rsid w:val="0024233D"/>
    <w:rsid w:val="00242354"/>
    <w:rsid w:val="00242A0F"/>
    <w:rsid w:val="002432B0"/>
    <w:rsid w:val="00243462"/>
    <w:rsid w:val="0024368E"/>
    <w:rsid w:val="00243B99"/>
    <w:rsid w:val="00243BCB"/>
    <w:rsid w:val="00243C4E"/>
    <w:rsid w:val="00243D60"/>
    <w:rsid w:val="00243D65"/>
    <w:rsid w:val="00243D7B"/>
    <w:rsid w:val="00243E44"/>
    <w:rsid w:val="0024465E"/>
    <w:rsid w:val="00244869"/>
    <w:rsid w:val="00244975"/>
    <w:rsid w:val="00244AF3"/>
    <w:rsid w:val="00244E5D"/>
    <w:rsid w:val="0024501C"/>
    <w:rsid w:val="002450BF"/>
    <w:rsid w:val="002450CA"/>
    <w:rsid w:val="002453D9"/>
    <w:rsid w:val="00245C7F"/>
    <w:rsid w:val="00245E09"/>
    <w:rsid w:val="002460A2"/>
    <w:rsid w:val="00246DBC"/>
    <w:rsid w:val="00246EF4"/>
    <w:rsid w:val="002474B1"/>
    <w:rsid w:val="00247692"/>
    <w:rsid w:val="002477A5"/>
    <w:rsid w:val="002478F1"/>
    <w:rsid w:val="00247A30"/>
    <w:rsid w:val="00247B0A"/>
    <w:rsid w:val="00247C37"/>
    <w:rsid w:val="00247C92"/>
    <w:rsid w:val="00247E41"/>
    <w:rsid w:val="00247EB6"/>
    <w:rsid w:val="00250349"/>
    <w:rsid w:val="002506EB"/>
    <w:rsid w:val="002507E7"/>
    <w:rsid w:val="002508A5"/>
    <w:rsid w:val="0025092F"/>
    <w:rsid w:val="00250DE5"/>
    <w:rsid w:val="00250FA4"/>
    <w:rsid w:val="0025113C"/>
    <w:rsid w:val="002512F0"/>
    <w:rsid w:val="00251374"/>
    <w:rsid w:val="0025143D"/>
    <w:rsid w:val="0025174C"/>
    <w:rsid w:val="002517AC"/>
    <w:rsid w:val="00251A58"/>
    <w:rsid w:val="00251AFA"/>
    <w:rsid w:val="00251D18"/>
    <w:rsid w:val="00251E78"/>
    <w:rsid w:val="00252208"/>
    <w:rsid w:val="00252456"/>
    <w:rsid w:val="002525A2"/>
    <w:rsid w:val="0025264E"/>
    <w:rsid w:val="00252A5C"/>
    <w:rsid w:val="00252C2B"/>
    <w:rsid w:val="002536DC"/>
    <w:rsid w:val="0025396A"/>
    <w:rsid w:val="00253B3E"/>
    <w:rsid w:val="00253C4E"/>
    <w:rsid w:val="00253CBC"/>
    <w:rsid w:val="00253F45"/>
    <w:rsid w:val="00253FFD"/>
    <w:rsid w:val="00254224"/>
    <w:rsid w:val="002542C9"/>
    <w:rsid w:val="002545D5"/>
    <w:rsid w:val="00254832"/>
    <w:rsid w:val="00254882"/>
    <w:rsid w:val="00254C4A"/>
    <w:rsid w:val="00255083"/>
    <w:rsid w:val="00255262"/>
    <w:rsid w:val="00255953"/>
    <w:rsid w:val="00255CA4"/>
    <w:rsid w:val="00255CD1"/>
    <w:rsid w:val="00255E30"/>
    <w:rsid w:val="00255E4F"/>
    <w:rsid w:val="00255E77"/>
    <w:rsid w:val="002560B7"/>
    <w:rsid w:val="00256167"/>
    <w:rsid w:val="00256249"/>
    <w:rsid w:val="0025637C"/>
    <w:rsid w:val="00256430"/>
    <w:rsid w:val="00256AB7"/>
    <w:rsid w:val="00256EAB"/>
    <w:rsid w:val="00257933"/>
    <w:rsid w:val="00257B18"/>
    <w:rsid w:val="00257DC5"/>
    <w:rsid w:val="00257E71"/>
    <w:rsid w:val="00257F9D"/>
    <w:rsid w:val="00257FEE"/>
    <w:rsid w:val="002600B5"/>
    <w:rsid w:val="002603CB"/>
    <w:rsid w:val="0026065B"/>
    <w:rsid w:val="00260672"/>
    <w:rsid w:val="002609EA"/>
    <w:rsid w:val="00260F25"/>
    <w:rsid w:val="00260F26"/>
    <w:rsid w:val="00260F5D"/>
    <w:rsid w:val="002612D5"/>
    <w:rsid w:val="002615AE"/>
    <w:rsid w:val="002615E6"/>
    <w:rsid w:val="00261893"/>
    <w:rsid w:val="00261DAF"/>
    <w:rsid w:val="00261F90"/>
    <w:rsid w:val="00261FC9"/>
    <w:rsid w:val="00262170"/>
    <w:rsid w:val="00262A1C"/>
    <w:rsid w:val="00262DCF"/>
    <w:rsid w:val="002634E3"/>
    <w:rsid w:val="002637AA"/>
    <w:rsid w:val="002637CE"/>
    <w:rsid w:val="00263907"/>
    <w:rsid w:val="00263A5F"/>
    <w:rsid w:val="00263BEE"/>
    <w:rsid w:val="00263DD7"/>
    <w:rsid w:val="00263E7C"/>
    <w:rsid w:val="0026414E"/>
    <w:rsid w:val="002644E2"/>
    <w:rsid w:val="002648D8"/>
    <w:rsid w:val="00264EB5"/>
    <w:rsid w:val="002653D8"/>
    <w:rsid w:val="00266276"/>
    <w:rsid w:val="002662E0"/>
    <w:rsid w:val="002663C6"/>
    <w:rsid w:val="00266A61"/>
    <w:rsid w:val="00266DB3"/>
    <w:rsid w:val="0026794C"/>
    <w:rsid w:val="00267A6D"/>
    <w:rsid w:val="0027004C"/>
    <w:rsid w:val="00270052"/>
    <w:rsid w:val="002701F7"/>
    <w:rsid w:val="0027070A"/>
    <w:rsid w:val="00270BFF"/>
    <w:rsid w:val="002718B3"/>
    <w:rsid w:val="00271906"/>
    <w:rsid w:val="00271B92"/>
    <w:rsid w:val="00271CB5"/>
    <w:rsid w:val="00272822"/>
    <w:rsid w:val="00272A25"/>
    <w:rsid w:val="00272A3D"/>
    <w:rsid w:val="00272B36"/>
    <w:rsid w:val="00272B7F"/>
    <w:rsid w:val="00272FE3"/>
    <w:rsid w:val="002730E6"/>
    <w:rsid w:val="002732EF"/>
    <w:rsid w:val="002732FD"/>
    <w:rsid w:val="00273783"/>
    <w:rsid w:val="002740CA"/>
    <w:rsid w:val="002740E6"/>
    <w:rsid w:val="002743AB"/>
    <w:rsid w:val="0027451C"/>
    <w:rsid w:val="002746D8"/>
    <w:rsid w:val="00274719"/>
    <w:rsid w:val="00274BA9"/>
    <w:rsid w:val="00274BFE"/>
    <w:rsid w:val="0027506F"/>
    <w:rsid w:val="002752E5"/>
    <w:rsid w:val="002755B2"/>
    <w:rsid w:val="002757E5"/>
    <w:rsid w:val="0027582F"/>
    <w:rsid w:val="00275855"/>
    <w:rsid w:val="002758F1"/>
    <w:rsid w:val="00275B53"/>
    <w:rsid w:val="0027614E"/>
    <w:rsid w:val="00276B37"/>
    <w:rsid w:val="00276D00"/>
    <w:rsid w:val="00276D97"/>
    <w:rsid w:val="00276E79"/>
    <w:rsid w:val="00276FAE"/>
    <w:rsid w:val="00277AB4"/>
    <w:rsid w:val="00277BFA"/>
    <w:rsid w:val="00277C75"/>
    <w:rsid w:val="00280298"/>
    <w:rsid w:val="00280369"/>
    <w:rsid w:val="00280576"/>
    <w:rsid w:val="00280608"/>
    <w:rsid w:val="002806AA"/>
    <w:rsid w:val="0028079D"/>
    <w:rsid w:val="00280904"/>
    <w:rsid w:val="00280B2B"/>
    <w:rsid w:val="002816CA"/>
    <w:rsid w:val="002817AA"/>
    <w:rsid w:val="00281D3E"/>
    <w:rsid w:val="0028206A"/>
    <w:rsid w:val="00282225"/>
    <w:rsid w:val="00282B54"/>
    <w:rsid w:val="00282C3B"/>
    <w:rsid w:val="00282D36"/>
    <w:rsid w:val="00283379"/>
    <w:rsid w:val="0028343A"/>
    <w:rsid w:val="00283614"/>
    <w:rsid w:val="00283632"/>
    <w:rsid w:val="002836BF"/>
    <w:rsid w:val="00284022"/>
    <w:rsid w:val="0028418C"/>
    <w:rsid w:val="00284315"/>
    <w:rsid w:val="0028436E"/>
    <w:rsid w:val="002845B1"/>
    <w:rsid w:val="00284831"/>
    <w:rsid w:val="00284BBE"/>
    <w:rsid w:val="00284EAB"/>
    <w:rsid w:val="00285193"/>
    <w:rsid w:val="002852C0"/>
    <w:rsid w:val="00285A6F"/>
    <w:rsid w:val="00285B17"/>
    <w:rsid w:val="00285B84"/>
    <w:rsid w:val="00286710"/>
    <w:rsid w:val="00286D95"/>
    <w:rsid w:val="002871C8"/>
    <w:rsid w:val="002874F7"/>
    <w:rsid w:val="002876CB"/>
    <w:rsid w:val="00287ABB"/>
    <w:rsid w:val="00287D97"/>
    <w:rsid w:val="00290003"/>
    <w:rsid w:val="00290320"/>
    <w:rsid w:val="00290562"/>
    <w:rsid w:val="0029076A"/>
    <w:rsid w:val="00290952"/>
    <w:rsid w:val="002912A7"/>
    <w:rsid w:val="002912CA"/>
    <w:rsid w:val="002912E3"/>
    <w:rsid w:val="00291313"/>
    <w:rsid w:val="002916B9"/>
    <w:rsid w:val="00291712"/>
    <w:rsid w:val="0029211F"/>
    <w:rsid w:val="002921A5"/>
    <w:rsid w:val="002922FE"/>
    <w:rsid w:val="00292647"/>
    <w:rsid w:val="00292A92"/>
    <w:rsid w:val="00292AAB"/>
    <w:rsid w:val="00292BC4"/>
    <w:rsid w:val="00292FC9"/>
    <w:rsid w:val="00293385"/>
    <w:rsid w:val="002936C0"/>
    <w:rsid w:val="00293880"/>
    <w:rsid w:val="00293971"/>
    <w:rsid w:val="00293B19"/>
    <w:rsid w:val="00293B28"/>
    <w:rsid w:val="0029409A"/>
    <w:rsid w:val="00294172"/>
    <w:rsid w:val="00294305"/>
    <w:rsid w:val="00294387"/>
    <w:rsid w:val="002946D7"/>
    <w:rsid w:val="0029482E"/>
    <w:rsid w:val="002948D2"/>
    <w:rsid w:val="002949B9"/>
    <w:rsid w:val="00294C01"/>
    <w:rsid w:val="00294F6D"/>
    <w:rsid w:val="00294F6E"/>
    <w:rsid w:val="00295441"/>
    <w:rsid w:val="0029582A"/>
    <w:rsid w:val="002961E2"/>
    <w:rsid w:val="00296533"/>
    <w:rsid w:val="002967D9"/>
    <w:rsid w:val="00296BDD"/>
    <w:rsid w:val="00296ED4"/>
    <w:rsid w:val="0029700C"/>
    <w:rsid w:val="00297289"/>
    <w:rsid w:val="00297D80"/>
    <w:rsid w:val="002A007D"/>
    <w:rsid w:val="002A01C7"/>
    <w:rsid w:val="002A04C0"/>
    <w:rsid w:val="002A07D2"/>
    <w:rsid w:val="002A0BD8"/>
    <w:rsid w:val="002A0DA8"/>
    <w:rsid w:val="002A0F11"/>
    <w:rsid w:val="002A10E9"/>
    <w:rsid w:val="002A1208"/>
    <w:rsid w:val="002A13C7"/>
    <w:rsid w:val="002A1559"/>
    <w:rsid w:val="002A1720"/>
    <w:rsid w:val="002A172F"/>
    <w:rsid w:val="002A185B"/>
    <w:rsid w:val="002A1EEF"/>
    <w:rsid w:val="002A31AF"/>
    <w:rsid w:val="002A323D"/>
    <w:rsid w:val="002A3416"/>
    <w:rsid w:val="002A3831"/>
    <w:rsid w:val="002A392D"/>
    <w:rsid w:val="002A3981"/>
    <w:rsid w:val="002A3B5B"/>
    <w:rsid w:val="002A3D81"/>
    <w:rsid w:val="002A3E8D"/>
    <w:rsid w:val="002A3E95"/>
    <w:rsid w:val="002A404D"/>
    <w:rsid w:val="002A40EA"/>
    <w:rsid w:val="002A40EC"/>
    <w:rsid w:val="002A440C"/>
    <w:rsid w:val="002A45FD"/>
    <w:rsid w:val="002A4C18"/>
    <w:rsid w:val="002A58D5"/>
    <w:rsid w:val="002A5D67"/>
    <w:rsid w:val="002A6601"/>
    <w:rsid w:val="002A692E"/>
    <w:rsid w:val="002A6C45"/>
    <w:rsid w:val="002A6D14"/>
    <w:rsid w:val="002A6DF8"/>
    <w:rsid w:val="002A6E4B"/>
    <w:rsid w:val="002A73E7"/>
    <w:rsid w:val="002A78E7"/>
    <w:rsid w:val="002A7D4B"/>
    <w:rsid w:val="002A7E31"/>
    <w:rsid w:val="002A7E99"/>
    <w:rsid w:val="002B014F"/>
    <w:rsid w:val="002B04A5"/>
    <w:rsid w:val="002B07D1"/>
    <w:rsid w:val="002B083E"/>
    <w:rsid w:val="002B08E4"/>
    <w:rsid w:val="002B0BED"/>
    <w:rsid w:val="002B0E4C"/>
    <w:rsid w:val="002B0E55"/>
    <w:rsid w:val="002B0F55"/>
    <w:rsid w:val="002B11B1"/>
    <w:rsid w:val="002B172B"/>
    <w:rsid w:val="002B1DD3"/>
    <w:rsid w:val="002B202B"/>
    <w:rsid w:val="002B2115"/>
    <w:rsid w:val="002B2392"/>
    <w:rsid w:val="002B32D9"/>
    <w:rsid w:val="002B357F"/>
    <w:rsid w:val="002B3B35"/>
    <w:rsid w:val="002B3DA1"/>
    <w:rsid w:val="002B4847"/>
    <w:rsid w:val="002B4850"/>
    <w:rsid w:val="002B4A00"/>
    <w:rsid w:val="002B4F88"/>
    <w:rsid w:val="002B50FE"/>
    <w:rsid w:val="002B529F"/>
    <w:rsid w:val="002B5559"/>
    <w:rsid w:val="002B55EB"/>
    <w:rsid w:val="002B58E6"/>
    <w:rsid w:val="002B59A4"/>
    <w:rsid w:val="002B5B91"/>
    <w:rsid w:val="002B60CB"/>
    <w:rsid w:val="002B6152"/>
    <w:rsid w:val="002B640E"/>
    <w:rsid w:val="002B670D"/>
    <w:rsid w:val="002B678E"/>
    <w:rsid w:val="002B6AE4"/>
    <w:rsid w:val="002B6BE3"/>
    <w:rsid w:val="002B6D21"/>
    <w:rsid w:val="002B6FBB"/>
    <w:rsid w:val="002B75C7"/>
    <w:rsid w:val="002B7876"/>
    <w:rsid w:val="002B7A53"/>
    <w:rsid w:val="002B7D61"/>
    <w:rsid w:val="002C06B8"/>
    <w:rsid w:val="002C0D47"/>
    <w:rsid w:val="002C0E24"/>
    <w:rsid w:val="002C1071"/>
    <w:rsid w:val="002C1701"/>
    <w:rsid w:val="002C1905"/>
    <w:rsid w:val="002C1D2E"/>
    <w:rsid w:val="002C1EED"/>
    <w:rsid w:val="002C216E"/>
    <w:rsid w:val="002C2175"/>
    <w:rsid w:val="002C23BD"/>
    <w:rsid w:val="002C301C"/>
    <w:rsid w:val="002C38A7"/>
    <w:rsid w:val="002C3A0D"/>
    <w:rsid w:val="002C3C71"/>
    <w:rsid w:val="002C3CDB"/>
    <w:rsid w:val="002C411A"/>
    <w:rsid w:val="002C428C"/>
    <w:rsid w:val="002C558F"/>
    <w:rsid w:val="002C5A6D"/>
    <w:rsid w:val="002C5C7C"/>
    <w:rsid w:val="002C6218"/>
    <w:rsid w:val="002C67E9"/>
    <w:rsid w:val="002C69E8"/>
    <w:rsid w:val="002C6A63"/>
    <w:rsid w:val="002C6AE6"/>
    <w:rsid w:val="002C6D13"/>
    <w:rsid w:val="002C741B"/>
    <w:rsid w:val="002C7447"/>
    <w:rsid w:val="002C757A"/>
    <w:rsid w:val="002C76C9"/>
    <w:rsid w:val="002C78D4"/>
    <w:rsid w:val="002C7CAC"/>
    <w:rsid w:val="002C7CE3"/>
    <w:rsid w:val="002C7D54"/>
    <w:rsid w:val="002C7DDA"/>
    <w:rsid w:val="002D02E6"/>
    <w:rsid w:val="002D0332"/>
    <w:rsid w:val="002D057F"/>
    <w:rsid w:val="002D0F2D"/>
    <w:rsid w:val="002D11AC"/>
    <w:rsid w:val="002D137D"/>
    <w:rsid w:val="002D1653"/>
    <w:rsid w:val="002D18E7"/>
    <w:rsid w:val="002D233F"/>
    <w:rsid w:val="002D2C62"/>
    <w:rsid w:val="002D2D3F"/>
    <w:rsid w:val="002D2EC1"/>
    <w:rsid w:val="002D2F1D"/>
    <w:rsid w:val="002D3365"/>
    <w:rsid w:val="002D383E"/>
    <w:rsid w:val="002D3982"/>
    <w:rsid w:val="002D3C16"/>
    <w:rsid w:val="002D428D"/>
    <w:rsid w:val="002D48BF"/>
    <w:rsid w:val="002D4A7F"/>
    <w:rsid w:val="002D520C"/>
    <w:rsid w:val="002D535B"/>
    <w:rsid w:val="002D5E84"/>
    <w:rsid w:val="002D5FEC"/>
    <w:rsid w:val="002D6016"/>
    <w:rsid w:val="002D6133"/>
    <w:rsid w:val="002D651E"/>
    <w:rsid w:val="002D65A3"/>
    <w:rsid w:val="002D69E9"/>
    <w:rsid w:val="002D6B97"/>
    <w:rsid w:val="002D75F6"/>
    <w:rsid w:val="002D7929"/>
    <w:rsid w:val="002D7C63"/>
    <w:rsid w:val="002D7DCC"/>
    <w:rsid w:val="002D7E42"/>
    <w:rsid w:val="002E0168"/>
    <w:rsid w:val="002E028F"/>
    <w:rsid w:val="002E052B"/>
    <w:rsid w:val="002E064D"/>
    <w:rsid w:val="002E08A7"/>
    <w:rsid w:val="002E0DD3"/>
    <w:rsid w:val="002E0F87"/>
    <w:rsid w:val="002E1028"/>
    <w:rsid w:val="002E164F"/>
    <w:rsid w:val="002E17D7"/>
    <w:rsid w:val="002E1D9B"/>
    <w:rsid w:val="002E1DA9"/>
    <w:rsid w:val="002E2421"/>
    <w:rsid w:val="002E27C5"/>
    <w:rsid w:val="002E28A8"/>
    <w:rsid w:val="002E299F"/>
    <w:rsid w:val="002E2E8A"/>
    <w:rsid w:val="002E3016"/>
    <w:rsid w:val="002E339E"/>
    <w:rsid w:val="002E347B"/>
    <w:rsid w:val="002E37AC"/>
    <w:rsid w:val="002E3E05"/>
    <w:rsid w:val="002E3F68"/>
    <w:rsid w:val="002E4423"/>
    <w:rsid w:val="002E4505"/>
    <w:rsid w:val="002E461E"/>
    <w:rsid w:val="002E467C"/>
    <w:rsid w:val="002E4799"/>
    <w:rsid w:val="002E4C9C"/>
    <w:rsid w:val="002E4FC4"/>
    <w:rsid w:val="002E553A"/>
    <w:rsid w:val="002E56DA"/>
    <w:rsid w:val="002E572A"/>
    <w:rsid w:val="002E57C4"/>
    <w:rsid w:val="002E59BE"/>
    <w:rsid w:val="002E59D5"/>
    <w:rsid w:val="002E5B49"/>
    <w:rsid w:val="002E5B7D"/>
    <w:rsid w:val="002E5BC9"/>
    <w:rsid w:val="002E5BCC"/>
    <w:rsid w:val="002E5BE9"/>
    <w:rsid w:val="002E5C51"/>
    <w:rsid w:val="002E61A6"/>
    <w:rsid w:val="002E6620"/>
    <w:rsid w:val="002E6A70"/>
    <w:rsid w:val="002E6E07"/>
    <w:rsid w:val="002E7744"/>
    <w:rsid w:val="002E7CB5"/>
    <w:rsid w:val="002F0022"/>
    <w:rsid w:val="002F0578"/>
    <w:rsid w:val="002F0734"/>
    <w:rsid w:val="002F0BAF"/>
    <w:rsid w:val="002F1249"/>
    <w:rsid w:val="002F15FC"/>
    <w:rsid w:val="002F1665"/>
    <w:rsid w:val="002F17B7"/>
    <w:rsid w:val="002F1821"/>
    <w:rsid w:val="002F1AEA"/>
    <w:rsid w:val="002F26BF"/>
    <w:rsid w:val="002F29C7"/>
    <w:rsid w:val="002F29DC"/>
    <w:rsid w:val="002F2A1C"/>
    <w:rsid w:val="002F2BD7"/>
    <w:rsid w:val="002F2C67"/>
    <w:rsid w:val="002F2DBF"/>
    <w:rsid w:val="002F33A7"/>
    <w:rsid w:val="002F3871"/>
    <w:rsid w:val="002F3CC9"/>
    <w:rsid w:val="002F43C8"/>
    <w:rsid w:val="002F43E1"/>
    <w:rsid w:val="002F4445"/>
    <w:rsid w:val="002F493E"/>
    <w:rsid w:val="002F4FF6"/>
    <w:rsid w:val="002F55CC"/>
    <w:rsid w:val="002F5605"/>
    <w:rsid w:val="002F573A"/>
    <w:rsid w:val="002F577C"/>
    <w:rsid w:val="002F5F97"/>
    <w:rsid w:val="002F645A"/>
    <w:rsid w:val="002F66C1"/>
    <w:rsid w:val="002F67F2"/>
    <w:rsid w:val="002F6ABB"/>
    <w:rsid w:val="002F72B0"/>
    <w:rsid w:val="002F7422"/>
    <w:rsid w:val="002F748C"/>
    <w:rsid w:val="002F7682"/>
    <w:rsid w:val="002F78C6"/>
    <w:rsid w:val="002F7D17"/>
    <w:rsid w:val="0030077D"/>
    <w:rsid w:val="00300B2C"/>
    <w:rsid w:val="0030107C"/>
    <w:rsid w:val="00301163"/>
    <w:rsid w:val="00301435"/>
    <w:rsid w:val="00301A3A"/>
    <w:rsid w:val="00301AA1"/>
    <w:rsid w:val="00301B90"/>
    <w:rsid w:val="00301EB4"/>
    <w:rsid w:val="003022CB"/>
    <w:rsid w:val="00302628"/>
    <w:rsid w:val="00302720"/>
    <w:rsid w:val="00302B52"/>
    <w:rsid w:val="00302C92"/>
    <w:rsid w:val="00302EBA"/>
    <w:rsid w:val="00302F1B"/>
    <w:rsid w:val="00303275"/>
    <w:rsid w:val="00303541"/>
    <w:rsid w:val="00303892"/>
    <w:rsid w:val="00303B4B"/>
    <w:rsid w:val="00304575"/>
    <w:rsid w:val="00304770"/>
    <w:rsid w:val="0030494E"/>
    <w:rsid w:val="003049C5"/>
    <w:rsid w:val="003050D5"/>
    <w:rsid w:val="00305934"/>
    <w:rsid w:val="00305E12"/>
    <w:rsid w:val="00305ED3"/>
    <w:rsid w:val="0030604A"/>
    <w:rsid w:val="00306237"/>
    <w:rsid w:val="00306683"/>
    <w:rsid w:val="00306841"/>
    <w:rsid w:val="0030690A"/>
    <w:rsid w:val="00306970"/>
    <w:rsid w:val="00306A1C"/>
    <w:rsid w:val="00306AEE"/>
    <w:rsid w:val="00306B4B"/>
    <w:rsid w:val="003072C7"/>
    <w:rsid w:val="00307902"/>
    <w:rsid w:val="00310025"/>
    <w:rsid w:val="003101CC"/>
    <w:rsid w:val="00310B3A"/>
    <w:rsid w:val="00310C7F"/>
    <w:rsid w:val="00310EF7"/>
    <w:rsid w:val="00311575"/>
    <w:rsid w:val="00311EDC"/>
    <w:rsid w:val="00312298"/>
    <w:rsid w:val="003124F5"/>
    <w:rsid w:val="003128CC"/>
    <w:rsid w:val="003128D9"/>
    <w:rsid w:val="00312F95"/>
    <w:rsid w:val="0031329B"/>
    <w:rsid w:val="003132D5"/>
    <w:rsid w:val="003133B3"/>
    <w:rsid w:val="003137E0"/>
    <w:rsid w:val="0031385F"/>
    <w:rsid w:val="0031389D"/>
    <w:rsid w:val="003138B2"/>
    <w:rsid w:val="00313999"/>
    <w:rsid w:val="003139C9"/>
    <w:rsid w:val="003139FE"/>
    <w:rsid w:val="00314204"/>
    <w:rsid w:val="00314564"/>
    <w:rsid w:val="00314907"/>
    <w:rsid w:val="00315241"/>
    <w:rsid w:val="0031538E"/>
    <w:rsid w:val="00315742"/>
    <w:rsid w:val="0031591E"/>
    <w:rsid w:val="00315971"/>
    <w:rsid w:val="00315AA3"/>
    <w:rsid w:val="0031632B"/>
    <w:rsid w:val="003166B4"/>
    <w:rsid w:val="00316B1B"/>
    <w:rsid w:val="0031741D"/>
    <w:rsid w:val="00317A38"/>
    <w:rsid w:val="00317AA4"/>
    <w:rsid w:val="00317C81"/>
    <w:rsid w:val="00320042"/>
    <w:rsid w:val="00320129"/>
    <w:rsid w:val="00320D40"/>
    <w:rsid w:val="00320EB3"/>
    <w:rsid w:val="0032105C"/>
    <w:rsid w:val="003210D9"/>
    <w:rsid w:val="0032141C"/>
    <w:rsid w:val="00321610"/>
    <w:rsid w:val="0032164E"/>
    <w:rsid w:val="00321672"/>
    <w:rsid w:val="00321969"/>
    <w:rsid w:val="00321D2C"/>
    <w:rsid w:val="003220DF"/>
    <w:rsid w:val="003223AB"/>
    <w:rsid w:val="0032246B"/>
    <w:rsid w:val="003226BC"/>
    <w:rsid w:val="00322723"/>
    <w:rsid w:val="00322829"/>
    <w:rsid w:val="00322E94"/>
    <w:rsid w:val="00322EDF"/>
    <w:rsid w:val="003236D0"/>
    <w:rsid w:val="00323AAD"/>
    <w:rsid w:val="00324184"/>
    <w:rsid w:val="00324698"/>
    <w:rsid w:val="003247F7"/>
    <w:rsid w:val="00324921"/>
    <w:rsid w:val="00324EA1"/>
    <w:rsid w:val="003250E0"/>
    <w:rsid w:val="00325708"/>
    <w:rsid w:val="0032576B"/>
    <w:rsid w:val="00325825"/>
    <w:rsid w:val="00325B36"/>
    <w:rsid w:val="00325DE4"/>
    <w:rsid w:val="00325FE2"/>
    <w:rsid w:val="00325FF6"/>
    <w:rsid w:val="00326171"/>
    <w:rsid w:val="0032641A"/>
    <w:rsid w:val="003264B6"/>
    <w:rsid w:val="00326533"/>
    <w:rsid w:val="00326731"/>
    <w:rsid w:val="00326AB3"/>
    <w:rsid w:val="00326AB8"/>
    <w:rsid w:val="00326C73"/>
    <w:rsid w:val="00326E18"/>
    <w:rsid w:val="00326F56"/>
    <w:rsid w:val="00326F67"/>
    <w:rsid w:val="00327D75"/>
    <w:rsid w:val="00330009"/>
    <w:rsid w:val="00330016"/>
    <w:rsid w:val="0033002C"/>
    <w:rsid w:val="003302D3"/>
    <w:rsid w:val="00330592"/>
    <w:rsid w:val="00330607"/>
    <w:rsid w:val="00330C3A"/>
    <w:rsid w:val="00330DB6"/>
    <w:rsid w:val="00331770"/>
    <w:rsid w:val="0033184A"/>
    <w:rsid w:val="00331EDB"/>
    <w:rsid w:val="00332020"/>
    <w:rsid w:val="00332302"/>
    <w:rsid w:val="0033324E"/>
    <w:rsid w:val="0033327D"/>
    <w:rsid w:val="003333D6"/>
    <w:rsid w:val="00333548"/>
    <w:rsid w:val="00333794"/>
    <w:rsid w:val="003337B3"/>
    <w:rsid w:val="00333A88"/>
    <w:rsid w:val="00333E96"/>
    <w:rsid w:val="00333EAE"/>
    <w:rsid w:val="003342D3"/>
    <w:rsid w:val="0033477C"/>
    <w:rsid w:val="003347A4"/>
    <w:rsid w:val="003349AD"/>
    <w:rsid w:val="00334DED"/>
    <w:rsid w:val="00334EE4"/>
    <w:rsid w:val="00335040"/>
    <w:rsid w:val="003352AA"/>
    <w:rsid w:val="003352CF"/>
    <w:rsid w:val="003359B0"/>
    <w:rsid w:val="00335BD4"/>
    <w:rsid w:val="00336240"/>
    <w:rsid w:val="00336498"/>
    <w:rsid w:val="003364F9"/>
    <w:rsid w:val="00336D8A"/>
    <w:rsid w:val="0033700E"/>
    <w:rsid w:val="003370E3"/>
    <w:rsid w:val="00337107"/>
    <w:rsid w:val="003372B4"/>
    <w:rsid w:val="00337697"/>
    <w:rsid w:val="00337F0D"/>
    <w:rsid w:val="00337F16"/>
    <w:rsid w:val="003400B5"/>
    <w:rsid w:val="003400DF"/>
    <w:rsid w:val="00340227"/>
    <w:rsid w:val="0034027F"/>
    <w:rsid w:val="00340766"/>
    <w:rsid w:val="00340B4B"/>
    <w:rsid w:val="00340CAF"/>
    <w:rsid w:val="00341E64"/>
    <w:rsid w:val="00341F69"/>
    <w:rsid w:val="0034202C"/>
    <w:rsid w:val="00342322"/>
    <w:rsid w:val="003423F2"/>
    <w:rsid w:val="003423F6"/>
    <w:rsid w:val="003427BF"/>
    <w:rsid w:val="00342B0B"/>
    <w:rsid w:val="00342C8C"/>
    <w:rsid w:val="0034401D"/>
    <w:rsid w:val="00344308"/>
    <w:rsid w:val="003446DF"/>
    <w:rsid w:val="00344BD0"/>
    <w:rsid w:val="00344C28"/>
    <w:rsid w:val="0034505F"/>
    <w:rsid w:val="0034509D"/>
    <w:rsid w:val="003455CD"/>
    <w:rsid w:val="00345A31"/>
    <w:rsid w:val="00345BDB"/>
    <w:rsid w:val="00345DE6"/>
    <w:rsid w:val="00346347"/>
    <w:rsid w:val="003465B7"/>
    <w:rsid w:val="003467E6"/>
    <w:rsid w:val="00346A12"/>
    <w:rsid w:val="00346AC2"/>
    <w:rsid w:val="00346DF5"/>
    <w:rsid w:val="003470A6"/>
    <w:rsid w:val="0034772A"/>
    <w:rsid w:val="00347E78"/>
    <w:rsid w:val="00347F1E"/>
    <w:rsid w:val="00350149"/>
    <w:rsid w:val="00350502"/>
    <w:rsid w:val="00350C17"/>
    <w:rsid w:val="00350D9D"/>
    <w:rsid w:val="00350E9A"/>
    <w:rsid w:val="00350EC1"/>
    <w:rsid w:val="003511B2"/>
    <w:rsid w:val="003512F0"/>
    <w:rsid w:val="00351694"/>
    <w:rsid w:val="00351CB0"/>
    <w:rsid w:val="00351F2E"/>
    <w:rsid w:val="00352107"/>
    <w:rsid w:val="003522A8"/>
    <w:rsid w:val="003527EA"/>
    <w:rsid w:val="00352AA3"/>
    <w:rsid w:val="00352C1B"/>
    <w:rsid w:val="0035397D"/>
    <w:rsid w:val="00353DA0"/>
    <w:rsid w:val="003540CA"/>
    <w:rsid w:val="00354216"/>
    <w:rsid w:val="00354304"/>
    <w:rsid w:val="003543FC"/>
    <w:rsid w:val="003547AB"/>
    <w:rsid w:val="00354A74"/>
    <w:rsid w:val="00354B9C"/>
    <w:rsid w:val="00354E9E"/>
    <w:rsid w:val="003551C0"/>
    <w:rsid w:val="003552FE"/>
    <w:rsid w:val="00355642"/>
    <w:rsid w:val="003556B1"/>
    <w:rsid w:val="003561BD"/>
    <w:rsid w:val="00356485"/>
    <w:rsid w:val="00356854"/>
    <w:rsid w:val="003569F5"/>
    <w:rsid w:val="00356A5D"/>
    <w:rsid w:val="00356A65"/>
    <w:rsid w:val="00356AF3"/>
    <w:rsid w:val="00356AFA"/>
    <w:rsid w:val="00357045"/>
    <w:rsid w:val="00357074"/>
    <w:rsid w:val="003576AC"/>
    <w:rsid w:val="00357910"/>
    <w:rsid w:val="00357C06"/>
    <w:rsid w:val="003600E6"/>
    <w:rsid w:val="00360D34"/>
    <w:rsid w:val="00360F6B"/>
    <w:rsid w:val="00361960"/>
    <w:rsid w:val="00361DFF"/>
    <w:rsid w:val="00361F7C"/>
    <w:rsid w:val="0036237B"/>
    <w:rsid w:val="0036243B"/>
    <w:rsid w:val="003627BA"/>
    <w:rsid w:val="003627C1"/>
    <w:rsid w:val="0036297E"/>
    <w:rsid w:val="00362E1C"/>
    <w:rsid w:val="00362F0F"/>
    <w:rsid w:val="003633BD"/>
    <w:rsid w:val="0036355D"/>
    <w:rsid w:val="003637C2"/>
    <w:rsid w:val="003637E5"/>
    <w:rsid w:val="00363D2B"/>
    <w:rsid w:val="0036437A"/>
    <w:rsid w:val="003643CE"/>
    <w:rsid w:val="003644A2"/>
    <w:rsid w:val="003646CD"/>
    <w:rsid w:val="0036472F"/>
    <w:rsid w:val="00364921"/>
    <w:rsid w:val="00364BA2"/>
    <w:rsid w:val="00364F52"/>
    <w:rsid w:val="00364F5A"/>
    <w:rsid w:val="00364F9A"/>
    <w:rsid w:val="003654F7"/>
    <w:rsid w:val="00365E8A"/>
    <w:rsid w:val="00365F92"/>
    <w:rsid w:val="003662F0"/>
    <w:rsid w:val="0036641F"/>
    <w:rsid w:val="00366521"/>
    <w:rsid w:val="00366FF3"/>
    <w:rsid w:val="003673AF"/>
    <w:rsid w:val="003674D0"/>
    <w:rsid w:val="003679EA"/>
    <w:rsid w:val="00370082"/>
    <w:rsid w:val="003701B9"/>
    <w:rsid w:val="0037028A"/>
    <w:rsid w:val="003708E8"/>
    <w:rsid w:val="00370945"/>
    <w:rsid w:val="00370D13"/>
    <w:rsid w:val="00370DCB"/>
    <w:rsid w:val="00371019"/>
    <w:rsid w:val="0037138F"/>
    <w:rsid w:val="003719C2"/>
    <w:rsid w:val="00371BA1"/>
    <w:rsid w:val="00372360"/>
    <w:rsid w:val="003726E3"/>
    <w:rsid w:val="00372795"/>
    <w:rsid w:val="003729E5"/>
    <w:rsid w:val="00372EC0"/>
    <w:rsid w:val="00373107"/>
    <w:rsid w:val="0037340E"/>
    <w:rsid w:val="00373433"/>
    <w:rsid w:val="00373457"/>
    <w:rsid w:val="00373690"/>
    <w:rsid w:val="003739E3"/>
    <w:rsid w:val="0037432C"/>
    <w:rsid w:val="00374A50"/>
    <w:rsid w:val="00374B9B"/>
    <w:rsid w:val="00374C03"/>
    <w:rsid w:val="00374E8E"/>
    <w:rsid w:val="003751F5"/>
    <w:rsid w:val="00375682"/>
    <w:rsid w:val="00375A52"/>
    <w:rsid w:val="00375BDC"/>
    <w:rsid w:val="00375D84"/>
    <w:rsid w:val="00376594"/>
    <w:rsid w:val="003768B2"/>
    <w:rsid w:val="00376A76"/>
    <w:rsid w:val="00376AFC"/>
    <w:rsid w:val="00377082"/>
    <w:rsid w:val="00377109"/>
    <w:rsid w:val="0037726D"/>
    <w:rsid w:val="0037732A"/>
    <w:rsid w:val="00377376"/>
    <w:rsid w:val="00377461"/>
    <w:rsid w:val="003774E0"/>
    <w:rsid w:val="003775E7"/>
    <w:rsid w:val="00377983"/>
    <w:rsid w:val="003779AF"/>
    <w:rsid w:val="00380021"/>
    <w:rsid w:val="0038032F"/>
    <w:rsid w:val="00380878"/>
    <w:rsid w:val="00380D69"/>
    <w:rsid w:val="00380DE8"/>
    <w:rsid w:val="003811A3"/>
    <w:rsid w:val="00381291"/>
    <w:rsid w:val="003812B1"/>
    <w:rsid w:val="003814B8"/>
    <w:rsid w:val="003817BF"/>
    <w:rsid w:val="003819E9"/>
    <w:rsid w:val="00381BE8"/>
    <w:rsid w:val="00381DCF"/>
    <w:rsid w:val="00382370"/>
    <w:rsid w:val="003828F7"/>
    <w:rsid w:val="00382935"/>
    <w:rsid w:val="00382AC2"/>
    <w:rsid w:val="00382BA8"/>
    <w:rsid w:val="003833FB"/>
    <w:rsid w:val="0038349E"/>
    <w:rsid w:val="00383B11"/>
    <w:rsid w:val="00383C13"/>
    <w:rsid w:val="00383C49"/>
    <w:rsid w:val="00383CAC"/>
    <w:rsid w:val="0038442A"/>
    <w:rsid w:val="0038444C"/>
    <w:rsid w:val="00384B28"/>
    <w:rsid w:val="00384BB6"/>
    <w:rsid w:val="00384CB1"/>
    <w:rsid w:val="00384D22"/>
    <w:rsid w:val="00384D76"/>
    <w:rsid w:val="00384DE0"/>
    <w:rsid w:val="003854BD"/>
    <w:rsid w:val="003855DA"/>
    <w:rsid w:val="00385741"/>
    <w:rsid w:val="0038585A"/>
    <w:rsid w:val="00385F70"/>
    <w:rsid w:val="00386575"/>
    <w:rsid w:val="003867F6"/>
    <w:rsid w:val="00386A8A"/>
    <w:rsid w:val="00386AC5"/>
    <w:rsid w:val="00386FEC"/>
    <w:rsid w:val="003875E2"/>
    <w:rsid w:val="00387BAD"/>
    <w:rsid w:val="00390067"/>
    <w:rsid w:val="00390103"/>
    <w:rsid w:val="00390385"/>
    <w:rsid w:val="0039087C"/>
    <w:rsid w:val="00390963"/>
    <w:rsid w:val="00390FAC"/>
    <w:rsid w:val="003915F7"/>
    <w:rsid w:val="00391739"/>
    <w:rsid w:val="00391932"/>
    <w:rsid w:val="00391BEE"/>
    <w:rsid w:val="00391C34"/>
    <w:rsid w:val="00391CFA"/>
    <w:rsid w:val="00391DEF"/>
    <w:rsid w:val="00391ED6"/>
    <w:rsid w:val="0039208E"/>
    <w:rsid w:val="00392447"/>
    <w:rsid w:val="00392567"/>
    <w:rsid w:val="00392C65"/>
    <w:rsid w:val="00392C77"/>
    <w:rsid w:val="00392F08"/>
    <w:rsid w:val="00393342"/>
    <w:rsid w:val="0039347A"/>
    <w:rsid w:val="0039394D"/>
    <w:rsid w:val="0039471C"/>
    <w:rsid w:val="00394850"/>
    <w:rsid w:val="003949EB"/>
    <w:rsid w:val="00394B49"/>
    <w:rsid w:val="00395124"/>
    <w:rsid w:val="00395140"/>
    <w:rsid w:val="003955B6"/>
    <w:rsid w:val="00395637"/>
    <w:rsid w:val="0039591C"/>
    <w:rsid w:val="00396102"/>
    <w:rsid w:val="0039636B"/>
    <w:rsid w:val="003963C6"/>
    <w:rsid w:val="003964C1"/>
    <w:rsid w:val="0039667B"/>
    <w:rsid w:val="00396FC4"/>
    <w:rsid w:val="003973E2"/>
    <w:rsid w:val="00397489"/>
    <w:rsid w:val="00397548"/>
    <w:rsid w:val="00397594"/>
    <w:rsid w:val="00397838"/>
    <w:rsid w:val="00397905"/>
    <w:rsid w:val="003A0386"/>
    <w:rsid w:val="003A0400"/>
    <w:rsid w:val="003A06DF"/>
    <w:rsid w:val="003A128B"/>
    <w:rsid w:val="003A14FB"/>
    <w:rsid w:val="003A1586"/>
    <w:rsid w:val="003A1769"/>
    <w:rsid w:val="003A179B"/>
    <w:rsid w:val="003A1816"/>
    <w:rsid w:val="003A1ECC"/>
    <w:rsid w:val="003A2C1D"/>
    <w:rsid w:val="003A2C2C"/>
    <w:rsid w:val="003A32EC"/>
    <w:rsid w:val="003A35B5"/>
    <w:rsid w:val="003A363B"/>
    <w:rsid w:val="003A3B14"/>
    <w:rsid w:val="003A40A3"/>
    <w:rsid w:val="003A47A7"/>
    <w:rsid w:val="003A4B12"/>
    <w:rsid w:val="003A5075"/>
    <w:rsid w:val="003A5124"/>
    <w:rsid w:val="003A5548"/>
    <w:rsid w:val="003A5714"/>
    <w:rsid w:val="003A5B6C"/>
    <w:rsid w:val="003A5CD5"/>
    <w:rsid w:val="003A6262"/>
    <w:rsid w:val="003A66F4"/>
    <w:rsid w:val="003A6808"/>
    <w:rsid w:val="003A6828"/>
    <w:rsid w:val="003A684C"/>
    <w:rsid w:val="003A68B4"/>
    <w:rsid w:val="003A6EF7"/>
    <w:rsid w:val="003A73C5"/>
    <w:rsid w:val="003A754D"/>
    <w:rsid w:val="003A75F7"/>
    <w:rsid w:val="003A79DA"/>
    <w:rsid w:val="003B0342"/>
    <w:rsid w:val="003B041D"/>
    <w:rsid w:val="003B0AD5"/>
    <w:rsid w:val="003B0DF1"/>
    <w:rsid w:val="003B15F3"/>
    <w:rsid w:val="003B1690"/>
    <w:rsid w:val="003B2050"/>
    <w:rsid w:val="003B2212"/>
    <w:rsid w:val="003B2383"/>
    <w:rsid w:val="003B29A3"/>
    <w:rsid w:val="003B2CF1"/>
    <w:rsid w:val="003B2CFD"/>
    <w:rsid w:val="003B30CD"/>
    <w:rsid w:val="003B3E1B"/>
    <w:rsid w:val="003B3E93"/>
    <w:rsid w:val="003B3F1A"/>
    <w:rsid w:val="003B468A"/>
    <w:rsid w:val="003B494D"/>
    <w:rsid w:val="003B5147"/>
    <w:rsid w:val="003B524F"/>
    <w:rsid w:val="003B5269"/>
    <w:rsid w:val="003B550D"/>
    <w:rsid w:val="003B5AAD"/>
    <w:rsid w:val="003B5EBB"/>
    <w:rsid w:val="003B6034"/>
    <w:rsid w:val="003B6B17"/>
    <w:rsid w:val="003B6E0F"/>
    <w:rsid w:val="003B6E27"/>
    <w:rsid w:val="003B725D"/>
    <w:rsid w:val="003B73D3"/>
    <w:rsid w:val="003B770F"/>
    <w:rsid w:val="003B784C"/>
    <w:rsid w:val="003B7D2B"/>
    <w:rsid w:val="003B7D9F"/>
    <w:rsid w:val="003B7F51"/>
    <w:rsid w:val="003B7FBA"/>
    <w:rsid w:val="003C04DF"/>
    <w:rsid w:val="003C0533"/>
    <w:rsid w:val="003C0700"/>
    <w:rsid w:val="003C0BA3"/>
    <w:rsid w:val="003C108D"/>
    <w:rsid w:val="003C1B03"/>
    <w:rsid w:val="003C1E7E"/>
    <w:rsid w:val="003C1EEA"/>
    <w:rsid w:val="003C21B6"/>
    <w:rsid w:val="003C222F"/>
    <w:rsid w:val="003C23A9"/>
    <w:rsid w:val="003C23CC"/>
    <w:rsid w:val="003C2843"/>
    <w:rsid w:val="003C2A64"/>
    <w:rsid w:val="003C2CC5"/>
    <w:rsid w:val="003C2DEC"/>
    <w:rsid w:val="003C2F93"/>
    <w:rsid w:val="003C31A8"/>
    <w:rsid w:val="003C3230"/>
    <w:rsid w:val="003C334C"/>
    <w:rsid w:val="003C34B5"/>
    <w:rsid w:val="003C366B"/>
    <w:rsid w:val="003C38A8"/>
    <w:rsid w:val="003C3C6E"/>
    <w:rsid w:val="003C4A4F"/>
    <w:rsid w:val="003C4B4F"/>
    <w:rsid w:val="003C4BEF"/>
    <w:rsid w:val="003C5038"/>
    <w:rsid w:val="003C5098"/>
    <w:rsid w:val="003C5194"/>
    <w:rsid w:val="003C5470"/>
    <w:rsid w:val="003C56F9"/>
    <w:rsid w:val="003C57E3"/>
    <w:rsid w:val="003C5B37"/>
    <w:rsid w:val="003C5BBB"/>
    <w:rsid w:val="003C621F"/>
    <w:rsid w:val="003C6338"/>
    <w:rsid w:val="003C63C8"/>
    <w:rsid w:val="003C6541"/>
    <w:rsid w:val="003C6580"/>
    <w:rsid w:val="003C671E"/>
    <w:rsid w:val="003C6A81"/>
    <w:rsid w:val="003C6C32"/>
    <w:rsid w:val="003C6F30"/>
    <w:rsid w:val="003C78D4"/>
    <w:rsid w:val="003C78D8"/>
    <w:rsid w:val="003C7981"/>
    <w:rsid w:val="003C7986"/>
    <w:rsid w:val="003C7AC7"/>
    <w:rsid w:val="003D01B4"/>
    <w:rsid w:val="003D0BFC"/>
    <w:rsid w:val="003D0F6F"/>
    <w:rsid w:val="003D0FDD"/>
    <w:rsid w:val="003D120C"/>
    <w:rsid w:val="003D12CA"/>
    <w:rsid w:val="003D14C1"/>
    <w:rsid w:val="003D165A"/>
    <w:rsid w:val="003D21DD"/>
    <w:rsid w:val="003D21DF"/>
    <w:rsid w:val="003D239D"/>
    <w:rsid w:val="003D255E"/>
    <w:rsid w:val="003D25D9"/>
    <w:rsid w:val="003D2E24"/>
    <w:rsid w:val="003D2EFB"/>
    <w:rsid w:val="003D342A"/>
    <w:rsid w:val="003D3667"/>
    <w:rsid w:val="003D3867"/>
    <w:rsid w:val="003D3E35"/>
    <w:rsid w:val="003D3F20"/>
    <w:rsid w:val="003D40FB"/>
    <w:rsid w:val="003D4171"/>
    <w:rsid w:val="003D4301"/>
    <w:rsid w:val="003D4988"/>
    <w:rsid w:val="003D4EE8"/>
    <w:rsid w:val="003D5699"/>
    <w:rsid w:val="003D5BFE"/>
    <w:rsid w:val="003D5D3B"/>
    <w:rsid w:val="003D5F52"/>
    <w:rsid w:val="003D5FF0"/>
    <w:rsid w:val="003D6017"/>
    <w:rsid w:val="003D6170"/>
    <w:rsid w:val="003D644B"/>
    <w:rsid w:val="003D649B"/>
    <w:rsid w:val="003D64CB"/>
    <w:rsid w:val="003D657E"/>
    <w:rsid w:val="003D6869"/>
    <w:rsid w:val="003D6FDD"/>
    <w:rsid w:val="003D7103"/>
    <w:rsid w:val="003D77FE"/>
    <w:rsid w:val="003D7A19"/>
    <w:rsid w:val="003D7B52"/>
    <w:rsid w:val="003D7CC3"/>
    <w:rsid w:val="003E0066"/>
    <w:rsid w:val="003E0207"/>
    <w:rsid w:val="003E02D5"/>
    <w:rsid w:val="003E0DA8"/>
    <w:rsid w:val="003E13D2"/>
    <w:rsid w:val="003E14CA"/>
    <w:rsid w:val="003E1526"/>
    <w:rsid w:val="003E1DA9"/>
    <w:rsid w:val="003E2345"/>
    <w:rsid w:val="003E24E0"/>
    <w:rsid w:val="003E252F"/>
    <w:rsid w:val="003E26AD"/>
    <w:rsid w:val="003E2BDA"/>
    <w:rsid w:val="003E3087"/>
    <w:rsid w:val="003E3855"/>
    <w:rsid w:val="003E4623"/>
    <w:rsid w:val="003E4F61"/>
    <w:rsid w:val="003E578F"/>
    <w:rsid w:val="003E583C"/>
    <w:rsid w:val="003E59AC"/>
    <w:rsid w:val="003E5F0C"/>
    <w:rsid w:val="003E5F74"/>
    <w:rsid w:val="003E6330"/>
    <w:rsid w:val="003E64D3"/>
    <w:rsid w:val="003E66E0"/>
    <w:rsid w:val="003E6F1F"/>
    <w:rsid w:val="003E748E"/>
    <w:rsid w:val="003E750C"/>
    <w:rsid w:val="003E7E38"/>
    <w:rsid w:val="003E7ED6"/>
    <w:rsid w:val="003F00A4"/>
    <w:rsid w:val="003F00CA"/>
    <w:rsid w:val="003F0293"/>
    <w:rsid w:val="003F02EF"/>
    <w:rsid w:val="003F079C"/>
    <w:rsid w:val="003F08C7"/>
    <w:rsid w:val="003F0B07"/>
    <w:rsid w:val="003F0D20"/>
    <w:rsid w:val="003F0E11"/>
    <w:rsid w:val="003F1C2A"/>
    <w:rsid w:val="003F26A2"/>
    <w:rsid w:val="003F28F6"/>
    <w:rsid w:val="003F2AE2"/>
    <w:rsid w:val="003F2EC8"/>
    <w:rsid w:val="003F32D5"/>
    <w:rsid w:val="003F33A6"/>
    <w:rsid w:val="003F341E"/>
    <w:rsid w:val="003F39BF"/>
    <w:rsid w:val="003F3F53"/>
    <w:rsid w:val="003F418D"/>
    <w:rsid w:val="003F4C1B"/>
    <w:rsid w:val="003F543B"/>
    <w:rsid w:val="003F54C1"/>
    <w:rsid w:val="003F5653"/>
    <w:rsid w:val="003F5872"/>
    <w:rsid w:val="003F5B40"/>
    <w:rsid w:val="003F5C3A"/>
    <w:rsid w:val="003F5C52"/>
    <w:rsid w:val="003F6328"/>
    <w:rsid w:val="003F6646"/>
    <w:rsid w:val="003F6716"/>
    <w:rsid w:val="003F6B3B"/>
    <w:rsid w:val="003F6CCD"/>
    <w:rsid w:val="003F6D7B"/>
    <w:rsid w:val="003F710C"/>
    <w:rsid w:val="003F747A"/>
    <w:rsid w:val="003F75A7"/>
    <w:rsid w:val="003F75FA"/>
    <w:rsid w:val="003F7890"/>
    <w:rsid w:val="003F7B6A"/>
    <w:rsid w:val="003F7C1F"/>
    <w:rsid w:val="003F7DBE"/>
    <w:rsid w:val="00400296"/>
    <w:rsid w:val="004004E8"/>
    <w:rsid w:val="004006B3"/>
    <w:rsid w:val="0040094A"/>
    <w:rsid w:val="00400CF1"/>
    <w:rsid w:val="0040100F"/>
    <w:rsid w:val="00401067"/>
    <w:rsid w:val="004010B3"/>
    <w:rsid w:val="004011BC"/>
    <w:rsid w:val="00401467"/>
    <w:rsid w:val="004015FF"/>
    <w:rsid w:val="0040189C"/>
    <w:rsid w:val="00401F5B"/>
    <w:rsid w:val="0040271C"/>
    <w:rsid w:val="00402733"/>
    <w:rsid w:val="00402A25"/>
    <w:rsid w:val="00402D6D"/>
    <w:rsid w:val="004034DD"/>
    <w:rsid w:val="004036E9"/>
    <w:rsid w:val="00403822"/>
    <w:rsid w:val="00403A9F"/>
    <w:rsid w:val="00404033"/>
    <w:rsid w:val="00404364"/>
    <w:rsid w:val="00404440"/>
    <w:rsid w:val="004049C0"/>
    <w:rsid w:val="00404B98"/>
    <w:rsid w:val="00404BFB"/>
    <w:rsid w:val="00404D02"/>
    <w:rsid w:val="00405151"/>
    <w:rsid w:val="0040596F"/>
    <w:rsid w:val="00405CA3"/>
    <w:rsid w:val="004065F1"/>
    <w:rsid w:val="00406CF6"/>
    <w:rsid w:val="00406E4F"/>
    <w:rsid w:val="00406F9A"/>
    <w:rsid w:val="0040704B"/>
    <w:rsid w:val="00407085"/>
    <w:rsid w:val="004071FE"/>
    <w:rsid w:val="004075B9"/>
    <w:rsid w:val="00407A8A"/>
    <w:rsid w:val="00407F52"/>
    <w:rsid w:val="00410191"/>
    <w:rsid w:val="0041020A"/>
    <w:rsid w:val="0041037A"/>
    <w:rsid w:val="00410C73"/>
    <w:rsid w:val="00410F9E"/>
    <w:rsid w:val="004113B6"/>
    <w:rsid w:val="004118BE"/>
    <w:rsid w:val="00411CE8"/>
    <w:rsid w:val="004122F9"/>
    <w:rsid w:val="00412352"/>
    <w:rsid w:val="0041292A"/>
    <w:rsid w:val="00412AD3"/>
    <w:rsid w:val="00412EB8"/>
    <w:rsid w:val="00412F7B"/>
    <w:rsid w:val="00413205"/>
    <w:rsid w:val="004133D4"/>
    <w:rsid w:val="0041349F"/>
    <w:rsid w:val="004134B5"/>
    <w:rsid w:val="00413663"/>
    <w:rsid w:val="00413C50"/>
    <w:rsid w:val="004148E1"/>
    <w:rsid w:val="00414DFD"/>
    <w:rsid w:val="00414F5E"/>
    <w:rsid w:val="00415075"/>
    <w:rsid w:val="004151D6"/>
    <w:rsid w:val="004154F8"/>
    <w:rsid w:val="00415976"/>
    <w:rsid w:val="00415996"/>
    <w:rsid w:val="004159FB"/>
    <w:rsid w:val="00415D76"/>
    <w:rsid w:val="004160D0"/>
    <w:rsid w:val="0041614B"/>
    <w:rsid w:val="00416721"/>
    <w:rsid w:val="004176DC"/>
    <w:rsid w:val="00417C14"/>
    <w:rsid w:val="00417F19"/>
    <w:rsid w:val="004200BD"/>
    <w:rsid w:val="004202C9"/>
    <w:rsid w:val="00420443"/>
    <w:rsid w:val="00420577"/>
    <w:rsid w:val="00420597"/>
    <w:rsid w:val="0042069A"/>
    <w:rsid w:val="00420CCD"/>
    <w:rsid w:val="00420E36"/>
    <w:rsid w:val="00420FDB"/>
    <w:rsid w:val="004210CA"/>
    <w:rsid w:val="004212A0"/>
    <w:rsid w:val="004212B9"/>
    <w:rsid w:val="00421A07"/>
    <w:rsid w:val="00421A90"/>
    <w:rsid w:val="00421CD5"/>
    <w:rsid w:val="00421CEB"/>
    <w:rsid w:val="00421E8C"/>
    <w:rsid w:val="004228F7"/>
    <w:rsid w:val="00422A4B"/>
    <w:rsid w:val="00422AE5"/>
    <w:rsid w:val="00423200"/>
    <w:rsid w:val="00423A42"/>
    <w:rsid w:val="00423AC7"/>
    <w:rsid w:val="00423C25"/>
    <w:rsid w:val="00423FF9"/>
    <w:rsid w:val="00424953"/>
    <w:rsid w:val="00424AE9"/>
    <w:rsid w:val="00425582"/>
    <w:rsid w:val="00425CB3"/>
    <w:rsid w:val="00426062"/>
    <w:rsid w:val="00426381"/>
    <w:rsid w:val="0042693E"/>
    <w:rsid w:val="00426BD8"/>
    <w:rsid w:val="00426D70"/>
    <w:rsid w:val="00427415"/>
    <w:rsid w:val="00427483"/>
    <w:rsid w:val="00427486"/>
    <w:rsid w:val="00427CB2"/>
    <w:rsid w:val="00427D41"/>
    <w:rsid w:val="00427E9A"/>
    <w:rsid w:val="0043022F"/>
    <w:rsid w:val="0043072C"/>
    <w:rsid w:val="00431091"/>
    <w:rsid w:val="004310DC"/>
    <w:rsid w:val="00431167"/>
    <w:rsid w:val="004314AE"/>
    <w:rsid w:val="004315A6"/>
    <w:rsid w:val="0043178E"/>
    <w:rsid w:val="004317AB"/>
    <w:rsid w:val="00431BD3"/>
    <w:rsid w:val="00431C99"/>
    <w:rsid w:val="004321FD"/>
    <w:rsid w:val="00432377"/>
    <w:rsid w:val="00432430"/>
    <w:rsid w:val="00432C97"/>
    <w:rsid w:val="004331C7"/>
    <w:rsid w:val="004331D7"/>
    <w:rsid w:val="004333CC"/>
    <w:rsid w:val="004334DD"/>
    <w:rsid w:val="004336D8"/>
    <w:rsid w:val="00433967"/>
    <w:rsid w:val="004339A8"/>
    <w:rsid w:val="00433E5A"/>
    <w:rsid w:val="00434052"/>
    <w:rsid w:val="004341FA"/>
    <w:rsid w:val="004343AB"/>
    <w:rsid w:val="00434524"/>
    <w:rsid w:val="00434EA7"/>
    <w:rsid w:val="00435072"/>
    <w:rsid w:val="004355A1"/>
    <w:rsid w:val="0043576F"/>
    <w:rsid w:val="00435D76"/>
    <w:rsid w:val="00435DD7"/>
    <w:rsid w:val="00435F38"/>
    <w:rsid w:val="004362A6"/>
    <w:rsid w:val="004365A8"/>
    <w:rsid w:val="00436A40"/>
    <w:rsid w:val="00436A81"/>
    <w:rsid w:val="00436B21"/>
    <w:rsid w:val="00436F8D"/>
    <w:rsid w:val="00437246"/>
    <w:rsid w:val="00437936"/>
    <w:rsid w:val="00437F70"/>
    <w:rsid w:val="00440480"/>
    <w:rsid w:val="0044096B"/>
    <w:rsid w:val="00440F12"/>
    <w:rsid w:val="00441070"/>
    <w:rsid w:val="00441081"/>
    <w:rsid w:val="004412DE"/>
    <w:rsid w:val="00441386"/>
    <w:rsid w:val="00441920"/>
    <w:rsid w:val="00441A8E"/>
    <w:rsid w:val="0044277A"/>
    <w:rsid w:val="00442BA4"/>
    <w:rsid w:val="00442E70"/>
    <w:rsid w:val="00443209"/>
    <w:rsid w:val="00443771"/>
    <w:rsid w:val="00443B40"/>
    <w:rsid w:val="00443C42"/>
    <w:rsid w:val="00444497"/>
    <w:rsid w:val="004444D1"/>
    <w:rsid w:val="004447C8"/>
    <w:rsid w:val="004449B3"/>
    <w:rsid w:val="00444E07"/>
    <w:rsid w:val="00445252"/>
    <w:rsid w:val="0044551A"/>
    <w:rsid w:val="004455BA"/>
    <w:rsid w:val="00445871"/>
    <w:rsid w:val="004459A6"/>
    <w:rsid w:val="00445F47"/>
    <w:rsid w:val="0044609E"/>
    <w:rsid w:val="004462D9"/>
    <w:rsid w:val="0044636A"/>
    <w:rsid w:val="00446587"/>
    <w:rsid w:val="004467F1"/>
    <w:rsid w:val="00446EA0"/>
    <w:rsid w:val="0044728B"/>
    <w:rsid w:val="004474F6"/>
    <w:rsid w:val="00447B5D"/>
    <w:rsid w:val="00447EE2"/>
    <w:rsid w:val="004503EA"/>
    <w:rsid w:val="00450E2B"/>
    <w:rsid w:val="004512D2"/>
    <w:rsid w:val="0045143B"/>
    <w:rsid w:val="004516AF"/>
    <w:rsid w:val="004516DA"/>
    <w:rsid w:val="004518A0"/>
    <w:rsid w:val="00451D76"/>
    <w:rsid w:val="00452128"/>
    <w:rsid w:val="0045241B"/>
    <w:rsid w:val="0045286F"/>
    <w:rsid w:val="004529E8"/>
    <w:rsid w:val="004529F7"/>
    <w:rsid w:val="00453040"/>
    <w:rsid w:val="004544E0"/>
    <w:rsid w:val="004546B0"/>
    <w:rsid w:val="00454B93"/>
    <w:rsid w:val="00454EAB"/>
    <w:rsid w:val="0045503C"/>
    <w:rsid w:val="00455641"/>
    <w:rsid w:val="0045592C"/>
    <w:rsid w:val="00455E10"/>
    <w:rsid w:val="00455F7C"/>
    <w:rsid w:val="00455FFB"/>
    <w:rsid w:val="004560B2"/>
    <w:rsid w:val="00456816"/>
    <w:rsid w:val="00456F46"/>
    <w:rsid w:val="004572EC"/>
    <w:rsid w:val="00457359"/>
    <w:rsid w:val="004573AE"/>
    <w:rsid w:val="0045773D"/>
    <w:rsid w:val="00457874"/>
    <w:rsid w:val="0045788B"/>
    <w:rsid w:val="004578B1"/>
    <w:rsid w:val="004578D1"/>
    <w:rsid w:val="004578E6"/>
    <w:rsid w:val="00457BC8"/>
    <w:rsid w:val="00457D00"/>
    <w:rsid w:val="00460580"/>
    <w:rsid w:val="00460717"/>
    <w:rsid w:val="00461801"/>
    <w:rsid w:val="00461B5A"/>
    <w:rsid w:val="0046227E"/>
    <w:rsid w:val="0046237A"/>
    <w:rsid w:val="0046239A"/>
    <w:rsid w:val="00462638"/>
    <w:rsid w:val="0046283B"/>
    <w:rsid w:val="00462B12"/>
    <w:rsid w:val="00462C6B"/>
    <w:rsid w:val="00462F6D"/>
    <w:rsid w:val="00462F9F"/>
    <w:rsid w:val="00462FC3"/>
    <w:rsid w:val="00463102"/>
    <w:rsid w:val="00463580"/>
    <w:rsid w:val="00463940"/>
    <w:rsid w:val="00463979"/>
    <w:rsid w:val="00463A98"/>
    <w:rsid w:val="00463DBE"/>
    <w:rsid w:val="00463DDC"/>
    <w:rsid w:val="00463EC9"/>
    <w:rsid w:val="00463F1C"/>
    <w:rsid w:val="004640DC"/>
    <w:rsid w:val="004641C7"/>
    <w:rsid w:val="004643F5"/>
    <w:rsid w:val="00464454"/>
    <w:rsid w:val="00464487"/>
    <w:rsid w:val="0046448D"/>
    <w:rsid w:val="00464A0F"/>
    <w:rsid w:val="00464B42"/>
    <w:rsid w:val="00464D50"/>
    <w:rsid w:val="00464F3C"/>
    <w:rsid w:val="004651D7"/>
    <w:rsid w:val="00465721"/>
    <w:rsid w:val="00465A2C"/>
    <w:rsid w:val="0046601F"/>
    <w:rsid w:val="0046610F"/>
    <w:rsid w:val="00466325"/>
    <w:rsid w:val="004667A3"/>
    <w:rsid w:val="00466843"/>
    <w:rsid w:val="004668B7"/>
    <w:rsid w:val="00466BF1"/>
    <w:rsid w:val="00467059"/>
    <w:rsid w:val="0046706D"/>
    <w:rsid w:val="004670AE"/>
    <w:rsid w:val="004671E0"/>
    <w:rsid w:val="0046778D"/>
    <w:rsid w:val="004679F0"/>
    <w:rsid w:val="00467A4A"/>
    <w:rsid w:val="00467C4F"/>
    <w:rsid w:val="00467C65"/>
    <w:rsid w:val="0047010F"/>
    <w:rsid w:val="00470356"/>
    <w:rsid w:val="00470448"/>
    <w:rsid w:val="0047047A"/>
    <w:rsid w:val="00470622"/>
    <w:rsid w:val="00470902"/>
    <w:rsid w:val="00470BAE"/>
    <w:rsid w:val="00470D72"/>
    <w:rsid w:val="00470DF0"/>
    <w:rsid w:val="00471429"/>
    <w:rsid w:val="004717DC"/>
    <w:rsid w:val="00471A04"/>
    <w:rsid w:val="00471B55"/>
    <w:rsid w:val="00471B86"/>
    <w:rsid w:val="00471D64"/>
    <w:rsid w:val="00471DB9"/>
    <w:rsid w:val="00471DE4"/>
    <w:rsid w:val="004721D8"/>
    <w:rsid w:val="00472AB3"/>
    <w:rsid w:val="00472C6C"/>
    <w:rsid w:val="00472C7C"/>
    <w:rsid w:val="00472CBE"/>
    <w:rsid w:val="00473290"/>
    <w:rsid w:val="004732FC"/>
    <w:rsid w:val="00473451"/>
    <w:rsid w:val="0047376C"/>
    <w:rsid w:val="004738B9"/>
    <w:rsid w:val="00473A2B"/>
    <w:rsid w:val="00473A62"/>
    <w:rsid w:val="00473AF9"/>
    <w:rsid w:val="00473C15"/>
    <w:rsid w:val="00473DD5"/>
    <w:rsid w:val="00473E22"/>
    <w:rsid w:val="00474009"/>
    <w:rsid w:val="0047412E"/>
    <w:rsid w:val="004741B2"/>
    <w:rsid w:val="00474510"/>
    <w:rsid w:val="00474E2D"/>
    <w:rsid w:val="00474E8A"/>
    <w:rsid w:val="00475447"/>
    <w:rsid w:val="00475517"/>
    <w:rsid w:val="00475631"/>
    <w:rsid w:val="00475948"/>
    <w:rsid w:val="004759F1"/>
    <w:rsid w:val="00475B0B"/>
    <w:rsid w:val="00475CC3"/>
    <w:rsid w:val="00475D81"/>
    <w:rsid w:val="00475DFC"/>
    <w:rsid w:val="0047611A"/>
    <w:rsid w:val="0047642C"/>
    <w:rsid w:val="00476E01"/>
    <w:rsid w:val="0047735B"/>
    <w:rsid w:val="004773CB"/>
    <w:rsid w:val="004773EC"/>
    <w:rsid w:val="00477744"/>
    <w:rsid w:val="004778A8"/>
    <w:rsid w:val="00477943"/>
    <w:rsid w:val="00477A93"/>
    <w:rsid w:val="00477C6F"/>
    <w:rsid w:val="00477DDB"/>
    <w:rsid w:val="00480059"/>
    <w:rsid w:val="00480105"/>
    <w:rsid w:val="00480222"/>
    <w:rsid w:val="00480380"/>
    <w:rsid w:val="0048042C"/>
    <w:rsid w:val="0048076A"/>
    <w:rsid w:val="004808EA"/>
    <w:rsid w:val="004809D1"/>
    <w:rsid w:val="00480B15"/>
    <w:rsid w:val="00480DBE"/>
    <w:rsid w:val="00480DEF"/>
    <w:rsid w:val="004814E0"/>
    <w:rsid w:val="00481CB7"/>
    <w:rsid w:val="00481F0C"/>
    <w:rsid w:val="00482210"/>
    <w:rsid w:val="00482323"/>
    <w:rsid w:val="004829A5"/>
    <w:rsid w:val="00482C07"/>
    <w:rsid w:val="00482D7F"/>
    <w:rsid w:val="00482F7E"/>
    <w:rsid w:val="00483343"/>
    <w:rsid w:val="0048348C"/>
    <w:rsid w:val="00483935"/>
    <w:rsid w:val="00483A1D"/>
    <w:rsid w:val="00483BDD"/>
    <w:rsid w:val="00483C89"/>
    <w:rsid w:val="00483CA4"/>
    <w:rsid w:val="00484F26"/>
    <w:rsid w:val="0048510B"/>
    <w:rsid w:val="0048575D"/>
    <w:rsid w:val="004860ED"/>
    <w:rsid w:val="00486508"/>
    <w:rsid w:val="00486F2E"/>
    <w:rsid w:val="00486FA8"/>
    <w:rsid w:val="004873A8"/>
    <w:rsid w:val="004873E8"/>
    <w:rsid w:val="0048786B"/>
    <w:rsid w:val="00487BC7"/>
    <w:rsid w:val="00487F3A"/>
    <w:rsid w:val="00490049"/>
    <w:rsid w:val="0049027E"/>
    <w:rsid w:val="004902A1"/>
    <w:rsid w:val="0049035B"/>
    <w:rsid w:val="004908AA"/>
    <w:rsid w:val="00490D10"/>
    <w:rsid w:val="00490DA0"/>
    <w:rsid w:val="00490E4A"/>
    <w:rsid w:val="0049102B"/>
    <w:rsid w:val="004913E6"/>
    <w:rsid w:val="004915DA"/>
    <w:rsid w:val="0049161F"/>
    <w:rsid w:val="0049176E"/>
    <w:rsid w:val="00491892"/>
    <w:rsid w:val="00491DBC"/>
    <w:rsid w:val="00491E86"/>
    <w:rsid w:val="00492121"/>
    <w:rsid w:val="0049243D"/>
    <w:rsid w:val="00492942"/>
    <w:rsid w:val="00492B68"/>
    <w:rsid w:val="00492E52"/>
    <w:rsid w:val="0049304C"/>
    <w:rsid w:val="0049365C"/>
    <w:rsid w:val="00493751"/>
    <w:rsid w:val="00493834"/>
    <w:rsid w:val="00493B6E"/>
    <w:rsid w:val="00493E3D"/>
    <w:rsid w:val="004943D9"/>
    <w:rsid w:val="0049482C"/>
    <w:rsid w:val="00494938"/>
    <w:rsid w:val="00494E2E"/>
    <w:rsid w:val="004950CB"/>
    <w:rsid w:val="004953A9"/>
    <w:rsid w:val="004953AA"/>
    <w:rsid w:val="004956FF"/>
    <w:rsid w:val="004957C1"/>
    <w:rsid w:val="00495C5D"/>
    <w:rsid w:val="00495E4E"/>
    <w:rsid w:val="004962D3"/>
    <w:rsid w:val="004966C7"/>
    <w:rsid w:val="00496D18"/>
    <w:rsid w:val="004974A7"/>
    <w:rsid w:val="004974AE"/>
    <w:rsid w:val="00497749"/>
    <w:rsid w:val="004978A4"/>
    <w:rsid w:val="00497C47"/>
    <w:rsid w:val="00497D80"/>
    <w:rsid w:val="00497EDD"/>
    <w:rsid w:val="00497FB9"/>
    <w:rsid w:val="004A0077"/>
    <w:rsid w:val="004A06F9"/>
    <w:rsid w:val="004A0AA9"/>
    <w:rsid w:val="004A0ACA"/>
    <w:rsid w:val="004A12D1"/>
    <w:rsid w:val="004A144D"/>
    <w:rsid w:val="004A14F2"/>
    <w:rsid w:val="004A17B0"/>
    <w:rsid w:val="004A1BB5"/>
    <w:rsid w:val="004A1BF8"/>
    <w:rsid w:val="004A1ECA"/>
    <w:rsid w:val="004A20A8"/>
    <w:rsid w:val="004A221F"/>
    <w:rsid w:val="004A2688"/>
    <w:rsid w:val="004A2B40"/>
    <w:rsid w:val="004A2D92"/>
    <w:rsid w:val="004A35FE"/>
    <w:rsid w:val="004A3CDA"/>
    <w:rsid w:val="004A3F73"/>
    <w:rsid w:val="004A3FAC"/>
    <w:rsid w:val="004A40EE"/>
    <w:rsid w:val="004A40F3"/>
    <w:rsid w:val="004A4416"/>
    <w:rsid w:val="004A47F3"/>
    <w:rsid w:val="004A4AC0"/>
    <w:rsid w:val="004A4CD6"/>
    <w:rsid w:val="004A50B7"/>
    <w:rsid w:val="004A511B"/>
    <w:rsid w:val="004A5186"/>
    <w:rsid w:val="004A52C1"/>
    <w:rsid w:val="004A52D3"/>
    <w:rsid w:val="004A586D"/>
    <w:rsid w:val="004A59C0"/>
    <w:rsid w:val="004A5C50"/>
    <w:rsid w:val="004A5D2F"/>
    <w:rsid w:val="004A5E3E"/>
    <w:rsid w:val="004A6849"/>
    <w:rsid w:val="004A6A67"/>
    <w:rsid w:val="004A6A79"/>
    <w:rsid w:val="004A6D1C"/>
    <w:rsid w:val="004A6E64"/>
    <w:rsid w:val="004A6F59"/>
    <w:rsid w:val="004A6FC2"/>
    <w:rsid w:val="004A733B"/>
    <w:rsid w:val="004A7340"/>
    <w:rsid w:val="004A7A27"/>
    <w:rsid w:val="004A7F29"/>
    <w:rsid w:val="004B1329"/>
    <w:rsid w:val="004B1446"/>
    <w:rsid w:val="004B1469"/>
    <w:rsid w:val="004B1491"/>
    <w:rsid w:val="004B14ED"/>
    <w:rsid w:val="004B157D"/>
    <w:rsid w:val="004B1849"/>
    <w:rsid w:val="004B239E"/>
    <w:rsid w:val="004B2943"/>
    <w:rsid w:val="004B2B43"/>
    <w:rsid w:val="004B2CE7"/>
    <w:rsid w:val="004B321B"/>
    <w:rsid w:val="004B3B20"/>
    <w:rsid w:val="004B3B92"/>
    <w:rsid w:val="004B3D54"/>
    <w:rsid w:val="004B3EE8"/>
    <w:rsid w:val="004B44EC"/>
    <w:rsid w:val="004B4BD8"/>
    <w:rsid w:val="004B4ECC"/>
    <w:rsid w:val="004B52D3"/>
    <w:rsid w:val="004B54C3"/>
    <w:rsid w:val="004B5649"/>
    <w:rsid w:val="004B5B16"/>
    <w:rsid w:val="004B5BA9"/>
    <w:rsid w:val="004B5D52"/>
    <w:rsid w:val="004B615C"/>
    <w:rsid w:val="004B61F9"/>
    <w:rsid w:val="004B63E4"/>
    <w:rsid w:val="004B6A06"/>
    <w:rsid w:val="004B6BBE"/>
    <w:rsid w:val="004B6CF2"/>
    <w:rsid w:val="004B6D40"/>
    <w:rsid w:val="004B6FB5"/>
    <w:rsid w:val="004B781A"/>
    <w:rsid w:val="004B7B21"/>
    <w:rsid w:val="004B7B9F"/>
    <w:rsid w:val="004B7BE0"/>
    <w:rsid w:val="004B7C03"/>
    <w:rsid w:val="004C01BC"/>
    <w:rsid w:val="004C0345"/>
    <w:rsid w:val="004C04E2"/>
    <w:rsid w:val="004C050E"/>
    <w:rsid w:val="004C0A05"/>
    <w:rsid w:val="004C0A0E"/>
    <w:rsid w:val="004C0BC1"/>
    <w:rsid w:val="004C0E73"/>
    <w:rsid w:val="004C12B9"/>
    <w:rsid w:val="004C12D5"/>
    <w:rsid w:val="004C1473"/>
    <w:rsid w:val="004C1529"/>
    <w:rsid w:val="004C17BA"/>
    <w:rsid w:val="004C1A3F"/>
    <w:rsid w:val="004C1BF7"/>
    <w:rsid w:val="004C1F8D"/>
    <w:rsid w:val="004C2241"/>
    <w:rsid w:val="004C228C"/>
    <w:rsid w:val="004C2350"/>
    <w:rsid w:val="004C2545"/>
    <w:rsid w:val="004C2603"/>
    <w:rsid w:val="004C265D"/>
    <w:rsid w:val="004C281F"/>
    <w:rsid w:val="004C2A74"/>
    <w:rsid w:val="004C30FF"/>
    <w:rsid w:val="004C36CD"/>
    <w:rsid w:val="004C3977"/>
    <w:rsid w:val="004C3B76"/>
    <w:rsid w:val="004C3BBF"/>
    <w:rsid w:val="004C3D5B"/>
    <w:rsid w:val="004C3E25"/>
    <w:rsid w:val="004C4291"/>
    <w:rsid w:val="004C42E5"/>
    <w:rsid w:val="004C47BD"/>
    <w:rsid w:val="004C48A0"/>
    <w:rsid w:val="004C4C09"/>
    <w:rsid w:val="004C4D25"/>
    <w:rsid w:val="004C4DE5"/>
    <w:rsid w:val="004C5330"/>
    <w:rsid w:val="004C5807"/>
    <w:rsid w:val="004C5A51"/>
    <w:rsid w:val="004C5C5F"/>
    <w:rsid w:val="004C5F1C"/>
    <w:rsid w:val="004C5F70"/>
    <w:rsid w:val="004C656B"/>
    <w:rsid w:val="004C6709"/>
    <w:rsid w:val="004C68EA"/>
    <w:rsid w:val="004C6EA8"/>
    <w:rsid w:val="004C6EF1"/>
    <w:rsid w:val="004C728A"/>
    <w:rsid w:val="004C73D3"/>
    <w:rsid w:val="004C74B1"/>
    <w:rsid w:val="004C7C50"/>
    <w:rsid w:val="004C7E08"/>
    <w:rsid w:val="004C7E83"/>
    <w:rsid w:val="004D052E"/>
    <w:rsid w:val="004D0605"/>
    <w:rsid w:val="004D09DF"/>
    <w:rsid w:val="004D0A0A"/>
    <w:rsid w:val="004D106D"/>
    <w:rsid w:val="004D13A3"/>
    <w:rsid w:val="004D1407"/>
    <w:rsid w:val="004D15D8"/>
    <w:rsid w:val="004D174F"/>
    <w:rsid w:val="004D19B0"/>
    <w:rsid w:val="004D19BF"/>
    <w:rsid w:val="004D1C40"/>
    <w:rsid w:val="004D1C54"/>
    <w:rsid w:val="004D1CD2"/>
    <w:rsid w:val="004D1F66"/>
    <w:rsid w:val="004D205C"/>
    <w:rsid w:val="004D3256"/>
    <w:rsid w:val="004D329E"/>
    <w:rsid w:val="004D32B6"/>
    <w:rsid w:val="004D3400"/>
    <w:rsid w:val="004D362E"/>
    <w:rsid w:val="004D37DB"/>
    <w:rsid w:val="004D3A9A"/>
    <w:rsid w:val="004D3C02"/>
    <w:rsid w:val="004D3C69"/>
    <w:rsid w:val="004D3DE9"/>
    <w:rsid w:val="004D4002"/>
    <w:rsid w:val="004D4070"/>
    <w:rsid w:val="004D42F9"/>
    <w:rsid w:val="004D4621"/>
    <w:rsid w:val="004D48C3"/>
    <w:rsid w:val="004D4A02"/>
    <w:rsid w:val="004D4D0E"/>
    <w:rsid w:val="004D4E13"/>
    <w:rsid w:val="004D53D6"/>
    <w:rsid w:val="004D5B7F"/>
    <w:rsid w:val="004D5EEC"/>
    <w:rsid w:val="004D6499"/>
    <w:rsid w:val="004D677C"/>
    <w:rsid w:val="004D7118"/>
    <w:rsid w:val="004D7152"/>
    <w:rsid w:val="004D72DB"/>
    <w:rsid w:val="004D7883"/>
    <w:rsid w:val="004D7FCA"/>
    <w:rsid w:val="004E0468"/>
    <w:rsid w:val="004E06C8"/>
    <w:rsid w:val="004E0901"/>
    <w:rsid w:val="004E09C7"/>
    <w:rsid w:val="004E09FB"/>
    <w:rsid w:val="004E0B5E"/>
    <w:rsid w:val="004E0C96"/>
    <w:rsid w:val="004E14F7"/>
    <w:rsid w:val="004E1579"/>
    <w:rsid w:val="004E1639"/>
    <w:rsid w:val="004E18A6"/>
    <w:rsid w:val="004E19A8"/>
    <w:rsid w:val="004E1EDA"/>
    <w:rsid w:val="004E1FA4"/>
    <w:rsid w:val="004E20C2"/>
    <w:rsid w:val="004E2179"/>
    <w:rsid w:val="004E2214"/>
    <w:rsid w:val="004E2443"/>
    <w:rsid w:val="004E24FF"/>
    <w:rsid w:val="004E270E"/>
    <w:rsid w:val="004E2720"/>
    <w:rsid w:val="004E276A"/>
    <w:rsid w:val="004E2ADC"/>
    <w:rsid w:val="004E2C2C"/>
    <w:rsid w:val="004E31E5"/>
    <w:rsid w:val="004E3263"/>
    <w:rsid w:val="004E3897"/>
    <w:rsid w:val="004E392C"/>
    <w:rsid w:val="004E3949"/>
    <w:rsid w:val="004E39E9"/>
    <w:rsid w:val="004E3AC0"/>
    <w:rsid w:val="004E3D00"/>
    <w:rsid w:val="004E3D62"/>
    <w:rsid w:val="004E4471"/>
    <w:rsid w:val="004E465E"/>
    <w:rsid w:val="004E4787"/>
    <w:rsid w:val="004E47C4"/>
    <w:rsid w:val="004E4902"/>
    <w:rsid w:val="004E4F2C"/>
    <w:rsid w:val="004E506B"/>
    <w:rsid w:val="004E548C"/>
    <w:rsid w:val="004E549A"/>
    <w:rsid w:val="004E5998"/>
    <w:rsid w:val="004E5A3B"/>
    <w:rsid w:val="004E5E55"/>
    <w:rsid w:val="004E6476"/>
    <w:rsid w:val="004E6533"/>
    <w:rsid w:val="004E6572"/>
    <w:rsid w:val="004E6CA5"/>
    <w:rsid w:val="004E6FB0"/>
    <w:rsid w:val="004E7B22"/>
    <w:rsid w:val="004F03B9"/>
    <w:rsid w:val="004F0644"/>
    <w:rsid w:val="004F08A4"/>
    <w:rsid w:val="004F0A39"/>
    <w:rsid w:val="004F0AF1"/>
    <w:rsid w:val="004F0B1D"/>
    <w:rsid w:val="004F0B1E"/>
    <w:rsid w:val="004F0F1F"/>
    <w:rsid w:val="004F0F89"/>
    <w:rsid w:val="004F1143"/>
    <w:rsid w:val="004F1212"/>
    <w:rsid w:val="004F1347"/>
    <w:rsid w:val="004F139F"/>
    <w:rsid w:val="004F1708"/>
    <w:rsid w:val="004F1B61"/>
    <w:rsid w:val="004F1BFB"/>
    <w:rsid w:val="004F1C65"/>
    <w:rsid w:val="004F1D50"/>
    <w:rsid w:val="004F1FC2"/>
    <w:rsid w:val="004F2000"/>
    <w:rsid w:val="004F2214"/>
    <w:rsid w:val="004F2465"/>
    <w:rsid w:val="004F276E"/>
    <w:rsid w:val="004F2B77"/>
    <w:rsid w:val="004F2E77"/>
    <w:rsid w:val="004F2FD4"/>
    <w:rsid w:val="004F3061"/>
    <w:rsid w:val="004F3225"/>
    <w:rsid w:val="004F3526"/>
    <w:rsid w:val="004F3575"/>
    <w:rsid w:val="004F3864"/>
    <w:rsid w:val="004F3AF6"/>
    <w:rsid w:val="004F3B27"/>
    <w:rsid w:val="004F3C1A"/>
    <w:rsid w:val="004F41E5"/>
    <w:rsid w:val="004F45E8"/>
    <w:rsid w:val="004F46DB"/>
    <w:rsid w:val="004F471E"/>
    <w:rsid w:val="004F4CE2"/>
    <w:rsid w:val="004F4E25"/>
    <w:rsid w:val="004F4F0A"/>
    <w:rsid w:val="004F5449"/>
    <w:rsid w:val="004F57A8"/>
    <w:rsid w:val="004F5991"/>
    <w:rsid w:val="004F5ABC"/>
    <w:rsid w:val="004F5E8C"/>
    <w:rsid w:val="004F6230"/>
    <w:rsid w:val="004F6243"/>
    <w:rsid w:val="004F63A7"/>
    <w:rsid w:val="004F646E"/>
    <w:rsid w:val="004F6B3F"/>
    <w:rsid w:val="004F6D66"/>
    <w:rsid w:val="004F746D"/>
    <w:rsid w:val="004F7CC2"/>
    <w:rsid w:val="004F7D04"/>
    <w:rsid w:val="004F7D09"/>
    <w:rsid w:val="004F7D53"/>
    <w:rsid w:val="004F7E99"/>
    <w:rsid w:val="00500026"/>
    <w:rsid w:val="005002D0"/>
    <w:rsid w:val="005003B8"/>
    <w:rsid w:val="005005D6"/>
    <w:rsid w:val="00501423"/>
    <w:rsid w:val="00501484"/>
    <w:rsid w:val="005018C4"/>
    <w:rsid w:val="005018F9"/>
    <w:rsid w:val="00501B19"/>
    <w:rsid w:val="00501E2F"/>
    <w:rsid w:val="00501F40"/>
    <w:rsid w:val="00502011"/>
    <w:rsid w:val="0050214E"/>
    <w:rsid w:val="00502297"/>
    <w:rsid w:val="00502684"/>
    <w:rsid w:val="00503259"/>
    <w:rsid w:val="005032D1"/>
    <w:rsid w:val="00503571"/>
    <w:rsid w:val="00503D56"/>
    <w:rsid w:val="00503FA2"/>
    <w:rsid w:val="005044E9"/>
    <w:rsid w:val="005047CA"/>
    <w:rsid w:val="00504B09"/>
    <w:rsid w:val="00504BE0"/>
    <w:rsid w:val="00504CB3"/>
    <w:rsid w:val="00505072"/>
    <w:rsid w:val="00505698"/>
    <w:rsid w:val="005059F0"/>
    <w:rsid w:val="00505AB4"/>
    <w:rsid w:val="00505FFA"/>
    <w:rsid w:val="0050634A"/>
    <w:rsid w:val="005064CB"/>
    <w:rsid w:val="005066A2"/>
    <w:rsid w:val="00506806"/>
    <w:rsid w:val="00507633"/>
    <w:rsid w:val="0050783A"/>
    <w:rsid w:val="00507867"/>
    <w:rsid w:val="00507A95"/>
    <w:rsid w:val="00507D12"/>
    <w:rsid w:val="00510D51"/>
    <w:rsid w:val="00510E92"/>
    <w:rsid w:val="00511084"/>
    <w:rsid w:val="00511291"/>
    <w:rsid w:val="005115E7"/>
    <w:rsid w:val="00512739"/>
    <w:rsid w:val="00512C95"/>
    <w:rsid w:val="00512E53"/>
    <w:rsid w:val="00513156"/>
    <w:rsid w:val="0051320F"/>
    <w:rsid w:val="00513231"/>
    <w:rsid w:val="005138E9"/>
    <w:rsid w:val="005139D3"/>
    <w:rsid w:val="00513D0E"/>
    <w:rsid w:val="0051438C"/>
    <w:rsid w:val="0051473E"/>
    <w:rsid w:val="00514C58"/>
    <w:rsid w:val="0051559C"/>
    <w:rsid w:val="0051570E"/>
    <w:rsid w:val="00515892"/>
    <w:rsid w:val="005159F9"/>
    <w:rsid w:val="00515E9C"/>
    <w:rsid w:val="0051606F"/>
    <w:rsid w:val="005161D7"/>
    <w:rsid w:val="005161E7"/>
    <w:rsid w:val="005162C4"/>
    <w:rsid w:val="00516657"/>
    <w:rsid w:val="00516DBC"/>
    <w:rsid w:val="00517065"/>
    <w:rsid w:val="005172FE"/>
    <w:rsid w:val="0051772E"/>
    <w:rsid w:val="00517E1E"/>
    <w:rsid w:val="00520861"/>
    <w:rsid w:val="00520B7B"/>
    <w:rsid w:val="00520C6A"/>
    <w:rsid w:val="00520D4D"/>
    <w:rsid w:val="00520E07"/>
    <w:rsid w:val="00521570"/>
    <w:rsid w:val="00521681"/>
    <w:rsid w:val="00521D54"/>
    <w:rsid w:val="00521DAF"/>
    <w:rsid w:val="00521EB4"/>
    <w:rsid w:val="0052234A"/>
    <w:rsid w:val="00522BC2"/>
    <w:rsid w:val="005232CE"/>
    <w:rsid w:val="00523472"/>
    <w:rsid w:val="00523970"/>
    <w:rsid w:val="00523992"/>
    <w:rsid w:val="00523BFF"/>
    <w:rsid w:val="0052426B"/>
    <w:rsid w:val="005246E2"/>
    <w:rsid w:val="00525274"/>
    <w:rsid w:val="00525403"/>
    <w:rsid w:val="005254E3"/>
    <w:rsid w:val="00525646"/>
    <w:rsid w:val="0052571B"/>
    <w:rsid w:val="0052580E"/>
    <w:rsid w:val="00525913"/>
    <w:rsid w:val="005259FC"/>
    <w:rsid w:val="00525A06"/>
    <w:rsid w:val="0052642A"/>
    <w:rsid w:val="005264D7"/>
    <w:rsid w:val="00526954"/>
    <w:rsid w:val="00526CE7"/>
    <w:rsid w:val="00526E28"/>
    <w:rsid w:val="00526E4A"/>
    <w:rsid w:val="00526F72"/>
    <w:rsid w:val="00527510"/>
    <w:rsid w:val="00527545"/>
    <w:rsid w:val="00527880"/>
    <w:rsid w:val="00527C02"/>
    <w:rsid w:val="00527E25"/>
    <w:rsid w:val="00527F82"/>
    <w:rsid w:val="005305A5"/>
    <w:rsid w:val="00530923"/>
    <w:rsid w:val="00530BCD"/>
    <w:rsid w:val="0053119C"/>
    <w:rsid w:val="00531DFF"/>
    <w:rsid w:val="00531E60"/>
    <w:rsid w:val="0053219A"/>
    <w:rsid w:val="0053224F"/>
    <w:rsid w:val="005322BE"/>
    <w:rsid w:val="005323CD"/>
    <w:rsid w:val="005323D3"/>
    <w:rsid w:val="00532559"/>
    <w:rsid w:val="0053256D"/>
    <w:rsid w:val="00532589"/>
    <w:rsid w:val="00532687"/>
    <w:rsid w:val="005329AA"/>
    <w:rsid w:val="00532B95"/>
    <w:rsid w:val="00532C21"/>
    <w:rsid w:val="0053306B"/>
    <w:rsid w:val="00533121"/>
    <w:rsid w:val="005333A6"/>
    <w:rsid w:val="005334DF"/>
    <w:rsid w:val="00533599"/>
    <w:rsid w:val="0053362B"/>
    <w:rsid w:val="005338CB"/>
    <w:rsid w:val="005339C4"/>
    <w:rsid w:val="00533ABA"/>
    <w:rsid w:val="00534226"/>
    <w:rsid w:val="005343B1"/>
    <w:rsid w:val="0053455A"/>
    <w:rsid w:val="005348C7"/>
    <w:rsid w:val="00534E7C"/>
    <w:rsid w:val="00535144"/>
    <w:rsid w:val="00535167"/>
    <w:rsid w:val="00535216"/>
    <w:rsid w:val="005352BF"/>
    <w:rsid w:val="00535AB2"/>
    <w:rsid w:val="00535B5A"/>
    <w:rsid w:val="00535C1B"/>
    <w:rsid w:val="00535C6A"/>
    <w:rsid w:val="0053675A"/>
    <w:rsid w:val="00536866"/>
    <w:rsid w:val="005368B0"/>
    <w:rsid w:val="00536C3F"/>
    <w:rsid w:val="00537064"/>
    <w:rsid w:val="00537093"/>
    <w:rsid w:val="005371AF"/>
    <w:rsid w:val="005371C5"/>
    <w:rsid w:val="005376E1"/>
    <w:rsid w:val="00537CAD"/>
    <w:rsid w:val="0054025F"/>
    <w:rsid w:val="00540378"/>
    <w:rsid w:val="00540417"/>
    <w:rsid w:val="00540C2F"/>
    <w:rsid w:val="00540E40"/>
    <w:rsid w:val="00541151"/>
    <w:rsid w:val="00541414"/>
    <w:rsid w:val="00541424"/>
    <w:rsid w:val="0054179C"/>
    <w:rsid w:val="00542184"/>
    <w:rsid w:val="005423EE"/>
    <w:rsid w:val="0054270D"/>
    <w:rsid w:val="00542853"/>
    <w:rsid w:val="00542C32"/>
    <w:rsid w:val="00542C98"/>
    <w:rsid w:val="00542D76"/>
    <w:rsid w:val="00542F94"/>
    <w:rsid w:val="0054351E"/>
    <w:rsid w:val="0054374B"/>
    <w:rsid w:val="00543A58"/>
    <w:rsid w:val="00543E04"/>
    <w:rsid w:val="00543FB7"/>
    <w:rsid w:val="0054451F"/>
    <w:rsid w:val="0054460B"/>
    <w:rsid w:val="00544A20"/>
    <w:rsid w:val="00544A7A"/>
    <w:rsid w:val="00544C86"/>
    <w:rsid w:val="00544DE9"/>
    <w:rsid w:val="0054544F"/>
    <w:rsid w:val="00545A69"/>
    <w:rsid w:val="00545FD2"/>
    <w:rsid w:val="0054690E"/>
    <w:rsid w:val="00546ABC"/>
    <w:rsid w:val="00546B18"/>
    <w:rsid w:val="00546ED8"/>
    <w:rsid w:val="005476DC"/>
    <w:rsid w:val="00547BAA"/>
    <w:rsid w:val="00547F93"/>
    <w:rsid w:val="0055015D"/>
    <w:rsid w:val="00550708"/>
    <w:rsid w:val="00550ABE"/>
    <w:rsid w:val="00550B58"/>
    <w:rsid w:val="00550C2F"/>
    <w:rsid w:val="00550D0D"/>
    <w:rsid w:val="005511FB"/>
    <w:rsid w:val="0055121A"/>
    <w:rsid w:val="005514A3"/>
    <w:rsid w:val="00551824"/>
    <w:rsid w:val="0055183F"/>
    <w:rsid w:val="00551C93"/>
    <w:rsid w:val="00551D8C"/>
    <w:rsid w:val="00552868"/>
    <w:rsid w:val="005528B9"/>
    <w:rsid w:val="00553030"/>
    <w:rsid w:val="0055376F"/>
    <w:rsid w:val="005539A7"/>
    <w:rsid w:val="005541E1"/>
    <w:rsid w:val="0055421B"/>
    <w:rsid w:val="00554B05"/>
    <w:rsid w:val="00554BA8"/>
    <w:rsid w:val="00554FD7"/>
    <w:rsid w:val="00555417"/>
    <w:rsid w:val="00555506"/>
    <w:rsid w:val="005556C4"/>
    <w:rsid w:val="00555719"/>
    <w:rsid w:val="0055595F"/>
    <w:rsid w:val="00555D6B"/>
    <w:rsid w:val="00555F9D"/>
    <w:rsid w:val="00555FAC"/>
    <w:rsid w:val="0055678E"/>
    <w:rsid w:val="005568BE"/>
    <w:rsid w:val="00556904"/>
    <w:rsid w:val="00556977"/>
    <w:rsid w:val="00556A06"/>
    <w:rsid w:val="0055783D"/>
    <w:rsid w:val="00557E52"/>
    <w:rsid w:val="005601FE"/>
    <w:rsid w:val="00560321"/>
    <w:rsid w:val="00560A0B"/>
    <w:rsid w:val="00560A55"/>
    <w:rsid w:val="00560BCE"/>
    <w:rsid w:val="00560C77"/>
    <w:rsid w:val="00560F2D"/>
    <w:rsid w:val="005614C1"/>
    <w:rsid w:val="005619B7"/>
    <w:rsid w:val="00561ADA"/>
    <w:rsid w:val="00561B38"/>
    <w:rsid w:val="00561CD7"/>
    <w:rsid w:val="00561D0E"/>
    <w:rsid w:val="005620A6"/>
    <w:rsid w:val="005623F0"/>
    <w:rsid w:val="00562688"/>
    <w:rsid w:val="00562B3A"/>
    <w:rsid w:val="00562DAE"/>
    <w:rsid w:val="00562E41"/>
    <w:rsid w:val="005631BD"/>
    <w:rsid w:val="00563622"/>
    <w:rsid w:val="005637F3"/>
    <w:rsid w:val="005639F5"/>
    <w:rsid w:val="00563A06"/>
    <w:rsid w:val="00563C05"/>
    <w:rsid w:val="00563F0C"/>
    <w:rsid w:val="00563F36"/>
    <w:rsid w:val="005641F7"/>
    <w:rsid w:val="005642DF"/>
    <w:rsid w:val="00564347"/>
    <w:rsid w:val="00564420"/>
    <w:rsid w:val="005645D3"/>
    <w:rsid w:val="00564753"/>
    <w:rsid w:val="00564C14"/>
    <w:rsid w:val="00564F89"/>
    <w:rsid w:val="005651A6"/>
    <w:rsid w:val="005654D3"/>
    <w:rsid w:val="0056570A"/>
    <w:rsid w:val="005657D0"/>
    <w:rsid w:val="00565DA5"/>
    <w:rsid w:val="00566128"/>
    <w:rsid w:val="005663E6"/>
    <w:rsid w:val="00566589"/>
    <w:rsid w:val="0056661A"/>
    <w:rsid w:val="00566635"/>
    <w:rsid w:val="00566672"/>
    <w:rsid w:val="00566745"/>
    <w:rsid w:val="00566763"/>
    <w:rsid w:val="005671EA"/>
    <w:rsid w:val="00567225"/>
    <w:rsid w:val="005676C1"/>
    <w:rsid w:val="00567839"/>
    <w:rsid w:val="005679B6"/>
    <w:rsid w:val="00567BD5"/>
    <w:rsid w:val="00567C76"/>
    <w:rsid w:val="00567FFE"/>
    <w:rsid w:val="005702C0"/>
    <w:rsid w:val="0057033B"/>
    <w:rsid w:val="0057034E"/>
    <w:rsid w:val="00570458"/>
    <w:rsid w:val="00570691"/>
    <w:rsid w:val="00570759"/>
    <w:rsid w:val="00570E14"/>
    <w:rsid w:val="00570FAE"/>
    <w:rsid w:val="00571095"/>
    <w:rsid w:val="00571388"/>
    <w:rsid w:val="0057158F"/>
    <w:rsid w:val="00571FE5"/>
    <w:rsid w:val="00572023"/>
    <w:rsid w:val="00572382"/>
    <w:rsid w:val="00572E1C"/>
    <w:rsid w:val="00572FAF"/>
    <w:rsid w:val="005733C9"/>
    <w:rsid w:val="00573428"/>
    <w:rsid w:val="00573C15"/>
    <w:rsid w:val="00573C3D"/>
    <w:rsid w:val="00574186"/>
    <w:rsid w:val="00574198"/>
    <w:rsid w:val="00574277"/>
    <w:rsid w:val="005742C6"/>
    <w:rsid w:val="00574371"/>
    <w:rsid w:val="005748F7"/>
    <w:rsid w:val="00574A28"/>
    <w:rsid w:val="00574A69"/>
    <w:rsid w:val="00574CAD"/>
    <w:rsid w:val="0057578A"/>
    <w:rsid w:val="00575B4D"/>
    <w:rsid w:val="005760CA"/>
    <w:rsid w:val="00576292"/>
    <w:rsid w:val="00576A53"/>
    <w:rsid w:val="00577C84"/>
    <w:rsid w:val="00577DB5"/>
    <w:rsid w:val="00577E79"/>
    <w:rsid w:val="005808BE"/>
    <w:rsid w:val="0058093E"/>
    <w:rsid w:val="00581069"/>
    <w:rsid w:val="005810A0"/>
    <w:rsid w:val="00581160"/>
    <w:rsid w:val="00581230"/>
    <w:rsid w:val="0058154C"/>
    <w:rsid w:val="0058195C"/>
    <w:rsid w:val="00581EFF"/>
    <w:rsid w:val="0058201A"/>
    <w:rsid w:val="005821D2"/>
    <w:rsid w:val="00582316"/>
    <w:rsid w:val="00582594"/>
    <w:rsid w:val="0058272B"/>
    <w:rsid w:val="0058276D"/>
    <w:rsid w:val="00582811"/>
    <w:rsid w:val="0058291F"/>
    <w:rsid w:val="00582945"/>
    <w:rsid w:val="0058302C"/>
    <w:rsid w:val="00583131"/>
    <w:rsid w:val="00583AAB"/>
    <w:rsid w:val="00583D2F"/>
    <w:rsid w:val="00583DEE"/>
    <w:rsid w:val="00583FEE"/>
    <w:rsid w:val="005841C1"/>
    <w:rsid w:val="0058422B"/>
    <w:rsid w:val="00584692"/>
    <w:rsid w:val="005846F0"/>
    <w:rsid w:val="00584803"/>
    <w:rsid w:val="005848F5"/>
    <w:rsid w:val="00584917"/>
    <w:rsid w:val="00584D76"/>
    <w:rsid w:val="00584FD3"/>
    <w:rsid w:val="005850E7"/>
    <w:rsid w:val="00585655"/>
    <w:rsid w:val="005857C8"/>
    <w:rsid w:val="005857E6"/>
    <w:rsid w:val="00585B65"/>
    <w:rsid w:val="00585EA8"/>
    <w:rsid w:val="00585EEC"/>
    <w:rsid w:val="0058649D"/>
    <w:rsid w:val="005867A8"/>
    <w:rsid w:val="00586E54"/>
    <w:rsid w:val="00586E9A"/>
    <w:rsid w:val="00586EAE"/>
    <w:rsid w:val="005870FE"/>
    <w:rsid w:val="005876A9"/>
    <w:rsid w:val="00587AAC"/>
    <w:rsid w:val="00587AE3"/>
    <w:rsid w:val="00587DC9"/>
    <w:rsid w:val="00587F96"/>
    <w:rsid w:val="0059061C"/>
    <w:rsid w:val="0059087B"/>
    <w:rsid w:val="00590A67"/>
    <w:rsid w:val="00590DEA"/>
    <w:rsid w:val="00591197"/>
    <w:rsid w:val="0059120C"/>
    <w:rsid w:val="00591434"/>
    <w:rsid w:val="0059155D"/>
    <w:rsid w:val="00591758"/>
    <w:rsid w:val="00591BC3"/>
    <w:rsid w:val="00591E39"/>
    <w:rsid w:val="00592747"/>
    <w:rsid w:val="00592806"/>
    <w:rsid w:val="00592CB2"/>
    <w:rsid w:val="005937F9"/>
    <w:rsid w:val="00593800"/>
    <w:rsid w:val="005938B2"/>
    <w:rsid w:val="00593998"/>
    <w:rsid w:val="00593CF8"/>
    <w:rsid w:val="005943A8"/>
    <w:rsid w:val="005948CC"/>
    <w:rsid w:val="00594F0E"/>
    <w:rsid w:val="0059527E"/>
    <w:rsid w:val="0059532F"/>
    <w:rsid w:val="00595410"/>
    <w:rsid w:val="005954B2"/>
    <w:rsid w:val="005956EC"/>
    <w:rsid w:val="00595750"/>
    <w:rsid w:val="00595852"/>
    <w:rsid w:val="005958C3"/>
    <w:rsid w:val="00595945"/>
    <w:rsid w:val="005959E2"/>
    <w:rsid w:val="00595AE3"/>
    <w:rsid w:val="00595C8B"/>
    <w:rsid w:val="00595D99"/>
    <w:rsid w:val="00595FD7"/>
    <w:rsid w:val="0059609A"/>
    <w:rsid w:val="00596177"/>
    <w:rsid w:val="005963C2"/>
    <w:rsid w:val="00596475"/>
    <w:rsid w:val="005965BF"/>
    <w:rsid w:val="005973B6"/>
    <w:rsid w:val="0059751A"/>
    <w:rsid w:val="00597FAD"/>
    <w:rsid w:val="005A02A6"/>
    <w:rsid w:val="005A052D"/>
    <w:rsid w:val="005A0A67"/>
    <w:rsid w:val="005A0E66"/>
    <w:rsid w:val="005A0F36"/>
    <w:rsid w:val="005A0FE7"/>
    <w:rsid w:val="005A1034"/>
    <w:rsid w:val="005A1361"/>
    <w:rsid w:val="005A1658"/>
    <w:rsid w:val="005A1662"/>
    <w:rsid w:val="005A1B52"/>
    <w:rsid w:val="005A1DB9"/>
    <w:rsid w:val="005A1E08"/>
    <w:rsid w:val="005A2557"/>
    <w:rsid w:val="005A2776"/>
    <w:rsid w:val="005A29E6"/>
    <w:rsid w:val="005A29F4"/>
    <w:rsid w:val="005A2E5F"/>
    <w:rsid w:val="005A32B6"/>
    <w:rsid w:val="005A35CF"/>
    <w:rsid w:val="005A3968"/>
    <w:rsid w:val="005A39CC"/>
    <w:rsid w:val="005A3A04"/>
    <w:rsid w:val="005A3AB9"/>
    <w:rsid w:val="005A3AFA"/>
    <w:rsid w:val="005A3BD7"/>
    <w:rsid w:val="005A3D4A"/>
    <w:rsid w:val="005A3FB1"/>
    <w:rsid w:val="005A4186"/>
    <w:rsid w:val="005A426D"/>
    <w:rsid w:val="005A47B3"/>
    <w:rsid w:val="005A5919"/>
    <w:rsid w:val="005A5D6B"/>
    <w:rsid w:val="005A5E62"/>
    <w:rsid w:val="005A5FD3"/>
    <w:rsid w:val="005A60C3"/>
    <w:rsid w:val="005A63D0"/>
    <w:rsid w:val="005A64ED"/>
    <w:rsid w:val="005A661E"/>
    <w:rsid w:val="005A7249"/>
    <w:rsid w:val="005A7419"/>
    <w:rsid w:val="005A74BA"/>
    <w:rsid w:val="005A79EE"/>
    <w:rsid w:val="005B0455"/>
    <w:rsid w:val="005B05B2"/>
    <w:rsid w:val="005B06BA"/>
    <w:rsid w:val="005B0BD9"/>
    <w:rsid w:val="005B0E9E"/>
    <w:rsid w:val="005B0F91"/>
    <w:rsid w:val="005B128B"/>
    <w:rsid w:val="005B1320"/>
    <w:rsid w:val="005B227A"/>
    <w:rsid w:val="005B22CB"/>
    <w:rsid w:val="005B28E8"/>
    <w:rsid w:val="005B2BE7"/>
    <w:rsid w:val="005B2D73"/>
    <w:rsid w:val="005B302C"/>
    <w:rsid w:val="005B3195"/>
    <w:rsid w:val="005B36CA"/>
    <w:rsid w:val="005B3C0F"/>
    <w:rsid w:val="005B3DEF"/>
    <w:rsid w:val="005B486C"/>
    <w:rsid w:val="005B4A51"/>
    <w:rsid w:val="005B512B"/>
    <w:rsid w:val="005B53CA"/>
    <w:rsid w:val="005B5659"/>
    <w:rsid w:val="005B56D0"/>
    <w:rsid w:val="005B5A39"/>
    <w:rsid w:val="005B5AEF"/>
    <w:rsid w:val="005B5B2E"/>
    <w:rsid w:val="005B5F39"/>
    <w:rsid w:val="005B6212"/>
    <w:rsid w:val="005B6300"/>
    <w:rsid w:val="005B6735"/>
    <w:rsid w:val="005B6CD0"/>
    <w:rsid w:val="005B6E7C"/>
    <w:rsid w:val="005B7740"/>
    <w:rsid w:val="005B7904"/>
    <w:rsid w:val="005C019E"/>
    <w:rsid w:val="005C02F5"/>
    <w:rsid w:val="005C0368"/>
    <w:rsid w:val="005C0558"/>
    <w:rsid w:val="005C0895"/>
    <w:rsid w:val="005C0AD4"/>
    <w:rsid w:val="005C0C3E"/>
    <w:rsid w:val="005C1137"/>
    <w:rsid w:val="005C1161"/>
    <w:rsid w:val="005C16B5"/>
    <w:rsid w:val="005C2401"/>
    <w:rsid w:val="005C2498"/>
    <w:rsid w:val="005C2C40"/>
    <w:rsid w:val="005C30D7"/>
    <w:rsid w:val="005C31A1"/>
    <w:rsid w:val="005C31D3"/>
    <w:rsid w:val="005C3770"/>
    <w:rsid w:val="005C4030"/>
    <w:rsid w:val="005C40BC"/>
    <w:rsid w:val="005C415E"/>
    <w:rsid w:val="005C44D2"/>
    <w:rsid w:val="005C46A6"/>
    <w:rsid w:val="005C48BA"/>
    <w:rsid w:val="005C4B3B"/>
    <w:rsid w:val="005C4DC3"/>
    <w:rsid w:val="005C4E63"/>
    <w:rsid w:val="005C51E9"/>
    <w:rsid w:val="005C53A8"/>
    <w:rsid w:val="005C5877"/>
    <w:rsid w:val="005C5A18"/>
    <w:rsid w:val="005C5A33"/>
    <w:rsid w:val="005C614D"/>
    <w:rsid w:val="005C6161"/>
    <w:rsid w:val="005C6554"/>
    <w:rsid w:val="005C6EC1"/>
    <w:rsid w:val="005C700B"/>
    <w:rsid w:val="005C7112"/>
    <w:rsid w:val="005C7199"/>
    <w:rsid w:val="005C7412"/>
    <w:rsid w:val="005C7664"/>
    <w:rsid w:val="005C783F"/>
    <w:rsid w:val="005C7A8F"/>
    <w:rsid w:val="005C7CFA"/>
    <w:rsid w:val="005C7E1B"/>
    <w:rsid w:val="005D04F3"/>
    <w:rsid w:val="005D08E7"/>
    <w:rsid w:val="005D0C67"/>
    <w:rsid w:val="005D0EAD"/>
    <w:rsid w:val="005D111A"/>
    <w:rsid w:val="005D12FE"/>
    <w:rsid w:val="005D1380"/>
    <w:rsid w:val="005D14FB"/>
    <w:rsid w:val="005D1554"/>
    <w:rsid w:val="005D15C5"/>
    <w:rsid w:val="005D1945"/>
    <w:rsid w:val="005D1ACF"/>
    <w:rsid w:val="005D1DE3"/>
    <w:rsid w:val="005D1FB3"/>
    <w:rsid w:val="005D2055"/>
    <w:rsid w:val="005D222D"/>
    <w:rsid w:val="005D236E"/>
    <w:rsid w:val="005D2473"/>
    <w:rsid w:val="005D283D"/>
    <w:rsid w:val="005D2D81"/>
    <w:rsid w:val="005D310F"/>
    <w:rsid w:val="005D34A0"/>
    <w:rsid w:val="005D34C8"/>
    <w:rsid w:val="005D3658"/>
    <w:rsid w:val="005D3671"/>
    <w:rsid w:val="005D3C94"/>
    <w:rsid w:val="005D3E52"/>
    <w:rsid w:val="005D417E"/>
    <w:rsid w:val="005D4245"/>
    <w:rsid w:val="005D4395"/>
    <w:rsid w:val="005D45A9"/>
    <w:rsid w:val="005D4667"/>
    <w:rsid w:val="005D4713"/>
    <w:rsid w:val="005D48E1"/>
    <w:rsid w:val="005D4AB2"/>
    <w:rsid w:val="005D4F98"/>
    <w:rsid w:val="005D5109"/>
    <w:rsid w:val="005D5228"/>
    <w:rsid w:val="005D5507"/>
    <w:rsid w:val="005D58EA"/>
    <w:rsid w:val="005D5F3A"/>
    <w:rsid w:val="005D684F"/>
    <w:rsid w:val="005D6984"/>
    <w:rsid w:val="005D6CC3"/>
    <w:rsid w:val="005D6D43"/>
    <w:rsid w:val="005D6D89"/>
    <w:rsid w:val="005D6D9A"/>
    <w:rsid w:val="005D6FC7"/>
    <w:rsid w:val="005D73B1"/>
    <w:rsid w:val="005D7A52"/>
    <w:rsid w:val="005E01FE"/>
    <w:rsid w:val="005E0346"/>
    <w:rsid w:val="005E050D"/>
    <w:rsid w:val="005E091B"/>
    <w:rsid w:val="005E0A4F"/>
    <w:rsid w:val="005E0BC3"/>
    <w:rsid w:val="005E0DD8"/>
    <w:rsid w:val="005E10A8"/>
    <w:rsid w:val="005E11CC"/>
    <w:rsid w:val="005E1274"/>
    <w:rsid w:val="005E198A"/>
    <w:rsid w:val="005E1A85"/>
    <w:rsid w:val="005E1BE3"/>
    <w:rsid w:val="005E1C53"/>
    <w:rsid w:val="005E1C5F"/>
    <w:rsid w:val="005E1D51"/>
    <w:rsid w:val="005E1D94"/>
    <w:rsid w:val="005E1EDE"/>
    <w:rsid w:val="005E26C7"/>
    <w:rsid w:val="005E2B02"/>
    <w:rsid w:val="005E2B2E"/>
    <w:rsid w:val="005E2D5A"/>
    <w:rsid w:val="005E2E65"/>
    <w:rsid w:val="005E2EC3"/>
    <w:rsid w:val="005E2FDE"/>
    <w:rsid w:val="005E3037"/>
    <w:rsid w:val="005E3720"/>
    <w:rsid w:val="005E3A2E"/>
    <w:rsid w:val="005E3D1A"/>
    <w:rsid w:val="005E4237"/>
    <w:rsid w:val="005E4539"/>
    <w:rsid w:val="005E4B6F"/>
    <w:rsid w:val="005E4C7D"/>
    <w:rsid w:val="005E4E53"/>
    <w:rsid w:val="005E4EF6"/>
    <w:rsid w:val="005E5114"/>
    <w:rsid w:val="005E526B"/>
    <w:rsid w:val="005E5279"/>
    <w:rsid w:val="005E5719"/>
    <w:rsid w:val="005E58F8"/>
    <w:rsid w:val="005E5CFD"/>
    <w:rsid w:val="005E5DA1"/>
    <w:rsid w:val="005E5DD4"/>
    <w:rsid w:val="005E5E36"/>
    <w:rsid w:val="005E6956"/>
    <w:rsid w:val="005E6B5D"/>
    <w:rsid w:val="005E6B93"/>
    <w:rsid w:val="005E6BFB"/>
    <w:rsid w:val="005E7258"/>
    <w:rsid w:val="005E743B"/>
    <w:rsid w:val="005E7747"/>
    <w:rsid w:val="005E7D39"/>
    <w:rsid w:val="005E7EE3"/>
    <w:rsid w:val="005F008A"/>
    <w:rsid w:val="005F03DF"/>
    <w:rsid w:val="005F04D1"/>
    <w:rsid w:val="005F0DB0"/>
    <w:rsid w:val="005F0E4F"/>
    <w:rsid w:val="005F11F5"/>
    <w:rsid w:val="005F1464"/>
    <w:rsid w:val="005F14C3"/>
    <w:rsid w:val="005F19BD"/>
    <w:rsid w:val="005F1BF5"/>
    <w:rsid w:val="005F1CBD"/>
    <w:rsid w:val="005F1DCD"/>
    <w:rsid w:val="005F1F53"/>
    <w:rsid w:val="005F1FE7"/>
    <w:rsid w:val="005F20F2"/>
    <w:rsid w:val="005F21B8"/>
    <w:rsid w:val="005F227E"/>
    <w:rsid w:val="005F257A"/>
    <w:rsid w:val="005F307B"/>
    <w:rsid w:val="005F35EC"/>
    <w:rsid w:val="005F36F0"/>
    <w:rsid w:val="005F42C7"/>
    <w:rsid w:val="005F42E8"/>
    <w:rsid w:val="005F43C4"/>
    <w:rsid w:val="005F44DB"/>
    <w:rsid w:val="005F45CF"/>
    <w:rsid w:val="005F47FF"/>
    <w:rsid w:val="005F4AD6"/>
    <w:rsid w:val="005F519B"/>
    <w:rsid w:val="005F547A"/>
    <w:rsid w:val="005F5E05"/>
    <w:rsid w:val="005F65B6"/>
    <w:rsid w:val="005F6686"/>
    <w:rsid w:val="005F6859"/>
    <w:rsid w:val="005F6CC5"/>
    <w:rsid w:val="005F6D3F"/>
    <w:rsid w:val="005F77BC"/>
    <w:rsid w:val="005F78D1"/>
    <w:rsid w:val="005F7D58"/>
    <w:rsid w:val="005F7F48"/>
    <w:rsid w:val="00600732"/>
    <w:rsid w:val="0060074D"/>
    <w:rsid w:val="00600881"/>
    <w:rsid w:val="006009FD"/>
    <w:rsid w:val="00600BD2"/>
    <w:rsid w:val="00600E0C"/>
    <w:rsid w:val="00600E60"/>
    <w:rsid w:val="006011FE"/>
    <w:rsid w:val="006015A7"/>
    <w:rsid w:val="00601CF1"/>
    <w:rsid w:val="0060241D"/>
    <w:rsid w:val="006028E1"/>
    <w:rsid w:val="006031E9"/>
    <w:rsid w:val="00603B76"/>
    <w:rsid w:val="00604038"/>
    <w:rsid w:val="006040A2"/>
    <w:rsid w:val="00604239"/>
    <w:rsid w:val="006043F3"/>
    <w:rsid w:val="00604784"/>
    <w:rsid w:val="00605012"/>
    <w:rsid w:val="00605591"/>
    <w:rsid w:val="00605770"/>
    <w:rsid w:val="00605EBA"/>
    <w:rsid w:val="006060F2"/>
    <w:rsid w:val="006068A6"/>
    <w:rsid w:val="00606ACB"/>
    <w:rsid w:val="00606BAA"/>
    <w:rsid w:val="00606EAB"/>
    <w:rsid w:val="00607118"/>
    <w:rsid w:val="00607425"/>
    <w:rsid w:val="006078BC"/>
    <w:rsid w:val="00607A4B"/>
    <w:rsid w:val="00607B84"/>
    <w:rsid w:val="00607B85"/>
    <w:rsid w:val="006101DD"/>
    <w:rsid w:val="006102CD"/>
    <w:rsid w:val="00610810"/>
    <w:rsid w:val="0061097B"/>
    <w:rsid w:val="00610F8F"/>
    <w:rsid w:val="00610FF5"/>
    <w:rsid w:val="00611BDE"/>
    <w:rsid w:val="00611C15"/>
    <w:rsid w:val="00611CEB"/>
    <w:rsid w:val="00611DCB"/>
    <w:rsid w:val="0061220A"/>
    <w:rsid w:val="006122C5"/>
    <w:rsid w:val="0061259F"/>
    <w:rsid w:val="006126CC"/>
    <w:rsid w:val="00612C0E"/>
    <w:rsid w:val="00612E51"/>
    <w:rsid w:val="00612EEC"/>
    <w:rsid w:val="00612F3C"/>
    <w:rsid w:val="00612FF0"/>
    <w:rsid w:val="006130D6"/>
    <w:rsid w:val="006131B4"/>
    <w:rsid w:val="006133E4"/>
    <w:rsid w:val="006134FE"/>
    <w:rsid w:val="006137A9"/>
    <w:rsid w:val="006137C6"/>
    <w:rsid w:val="00613B94"/>
    <w:rsid w:val="00613BE8"/>
    <w:rsid w:val="00613C38"/>
    <w:rsid w:val="006143DA"/>
    <w:rsid w:val="006143F0"/>
    <w:rsid w:val="0061480C"/>
    <w:rsid w:val="00614E6E"/>
    <w:rsid w:val="00614E86"/>
    <w:rsid w:val="006153D8"/>
    <w:rsid w:val="0061543E"/>
    <w:rsid w:val="006154A2"/>
    <w:rsid w:val="006154AD"/>
    <w:rsid w:val="006156DC"/>
    <w:rsid w:val="00615742"/>
    <w:rsid w:val="006159F6"/>
    <w:rsid w:val="00615AF7"/>
    <w:rsid w:val="00616AA0"/>
    <w:rsid w:val="00616AF3"/>
    <w:rsid w:val="006176FC"/>
    <w:rsid w:val="00617809"/>
    <w:rsid w:val="00617826"/>
    <w:rsid w:val="00617833"/>
    <w:rsid w:val="00617D94"/>
    <w:rsid w:val="00617E68"/>
    <w:rsid w:val="006202AF"/>
    <w:rsid w:val="006202EC"/>
    <w:rsid w:val="006209FF"/>
    <w:rsid w:val="00620BC4"/>
    <w:rsid w:val="0062125B"/>
    <w:rsid w:val="00621453"/>
    <w:rsid w:val="006224FD"/>
    <w:rsid w:val="006225E8"/>
    <w:rsid w:val="00622B1C"/>
    <w:rsid w:val="0062348B"/>
    <w:rsid w:val="006236B7"/>
    <w:rsid w:val="00623D97"/>
    <w:rsid w:val="006242A0"/>
    <w:rsid w:val="006246CF"/>
    <w:rsid w:val="00625144"/>
    <w:rsid w:val="0062564E"/>
    <w:rsid w:val="00625702"/>
    <w:rsid w:val="00625E22"/>
    <w:rsid w:val="00625F09"/>
    <w:rsid w:val="00626166"/>
    <w:rsid w:val="0062634C"/>
    <w:rsid w:val="0062653F"/>
    <w:rsid w:val="00626976"/>
    <w:rsid w:val="00626A82"/>
    <w:rsid w:val="00626BE2"/>
    <w:rsid w:val="00626EB6"/>
    <w:rsid w:val="00627A06"/>
    <w:rsid w:val="00627DD2"/>
    <w:rsid w:val="00627F83"/>
    <w:rsid w:val="006301B6"/>
    <w:rsid w:val="00630373"/>
    <w:rsid w:val="00630496"/>
    <w:rsid w:val="006304AC"/>
    <w:rsid w:val="0063069D"/>
    <w:rsid w:val="006306FA"/>
    <w:rsid w:val="00630875"/>
    <w:rsid w:val="006309E4"/>
    <w:rsid w:val="00630A1E"/>
    <w:rsid w:val="00630A95"/>
    <w:rsid w:val="00630D72"/>
    <w:rsid w:val="0063102A"/>
    <w:rsid w:val="00631209"/>
    <w:rsid w:val="0063141E"/>
    <w:rsid w:val="00631562"/>
    <w:rsid w:val="00631A66"/>
    <w:rsid w:val="00631C00"/>
    <w:rsid w:val="00631C33"/>
    <w:rsid w:val="00631DDF"/>
    <w:rsid w:val="00631E36"/>
    <w:rsid w:val="0063229D"/>
    <w:rsid w:val="0063262B"/>
    <w:rsid w:val="00632D21"/>
    <w:rsid w:val="006332CB"/>
    <w:rsid w:val="006333B2"/>
    <w:rsid w:val="00633431"/>
    <w:rsid w:val="0063355B"/>
    <w:rsid w:val="006337EA"/>
    <w:rsid w:val="0063389F"/>
    <w:rsid w:val="00633AB5"/>
    <w:rsid w:val="00633D98"/>
    <w:rsid w:val="00633E65"/>
    <w:rsid w:val="00634247"/>
    <w:rsid w:val="00634A51"/>
    <w:rsid w:val="00634E06"/>
    <w:rsid w:val="00634FBA"/>
    <w:rsid w:val="0063510A"/>
    <w:rsid w:val="006351AA"/>
    <w:rsid w:val="00635AC5"/>
    <w:rsid w:val="00635B7A"/>
    <w:rsid w:val="00635BCD"/>
    <w:rsid w:val="00635C95"/>
    <w:rsid w:val="0063688F"/>
    <w:rsid w:val="00636BC3"/>
    <w:rsid w:val="00636DDF"/>
    <w:rsid w:val="00636E36"/>
    <w:rsid w:val="006371AE"/>
    <w:rsid w:val="00637BD3"/>
    <w:rsid w:val="0064010E"/>
    <w:rsid w:val="00640322"/>
    <w:rsid w:val="006407A1"/>
    <w:rsid w:val="00640890"/>
    <w:rsid w:val="00640C35"/>
    <w:rsid w:val="00640C55"/>
    <w:rsid w:val="00641079"/>
    <w:rsid w:val="006410AF"/>
    <w:rsid w:val="006417CA"/>
    <w:rsid w:val="00641858"/>
    <w:rsid w:val="00641BEF"/>
    <w:rsid w:val="00641C25"/>
    <w:rsid w:val="00641D0B"/>
    <w:rsid w:val="006420B8"/>
    <w:rsid w:val="006424D5"/>
    <w:rsid w:val="006427E4"/>
    <w:rsid w:val="00642A24"/>
    <w:rsid w:val="00642C96"/>
    <w:rsid w:val="00643149"/>
    <w:rsid w:val="00643C49"/>
    <w:rsid w:val="00643CC6"/>
    <w:rsid w:val="00643E4A"/>
    <w:rsid w:val="00643F38"/>
    <w:rsid w:val="00644216"/>
    <w:rsid w:val="0064426C"/>
    <w:rsid w:val="00644B26"/>
    <w:rsid w:val="00644B9A"/>
    <w:rsid w:val="00644C01"/>
    <w:rsid w:val="00644DA2"/>
    <w:rsid w:val="00644DA6"/>
    <w:rsid w:val="00644DBE"/>
    <w:rsid w:val="00645105"/>
    <w:rsid w:val="0064529A"/>
    <w:rsid w:val="00645BFB"/>
    <w:rsid w:val="00645FB3"/>
    <w:rsid w:val="0064612A"/>
    <w:rsid w:val="0064655E"/>
    <w:rsid w:val="00646B42"/>
    <w:rsid w:val="00646E45"/>
    <w:rsid w:val="0064704B"/>
    <w:rsid w:val="006478B8"/>
    <w:rsid w:val="00647A57"/>
    <w:rsid w:val="006500BD"/>
    <w:rsid w:val="00650352"/>
    <w:rsid w:val="0065037F"/>
    <w:rsid w:val="00650515"/>
    <w:rsid w:val="006506B4"/>
    <w:rsid w:val="00650BCF"/>
    <w:rsid w:val="00650C1D"/>
    <w:rsid w:val="00650C78"/>
    <w:rsid w:val="006512B5"/>
    <w:rsid w:val="00651449"/>
    <w:rsid w:val="006515BD"/>
    <w:rsid w:val="00651B88"/>
    <w:rsid w:val="00651F20"/>
    <w:rsid w:val="00652293"/>
    <w:rsid w:val="006526FF"/>
    <w:rsid w:val="00652952"/>
    <w:rsid w:val="00653021"/>
    <w:rsid w:val="006534EE"/>
    <w:rsid w:val="00653761"/>
    <w:rsid w:val="006537CC"/>
    <w:rsid w:val="00653FA3"/>
    <w:rsid w:val="00653FCF"/>
    <w:rsid w:val="006552DC"/>
    <w:rsid w:val="006554E0"/>
    <w:rsid w:val="006559CD"/>
    <w:rsid w:val="00655A41"/>
    <w:rsid w:val="00655C75"/>
    <w:rsid w:val="00655D5A"/>
    <w:rsid w:val="00655D7B"/>
    <w:rsid w:val="00656033"/>
    <w:rsid w:val="006566FE"/>
    <w:rsid w:val="00656A8C"/>
    <w:rsid w:val="00656CF2"/>
    <w:rsid w:val="00656ED1"/>
    <w:rsid w:val="006571B5"/>
    <w:rsid w:val="0065796F"/>
    <w:rsid w:val="00657D5B"/>
    <w:rsid w:val="00660168"/>
    <w:rsid w:val="00660262"/>
    <w:rsid w:val="00660373"/>
    <w:rsid w:val="0066041C"/>
    <w:rsid w:val="0066045C"/>
    <w:rsid w:val="00660494"/>
    <w:rsid w:val="00660696"/>
    <w:rsid w:val="0066071D"/>
    <w:rsid w:val="00660FC3"/>
    <w:rsid w:val="006616FC"/>
    <w:rsid w:val="006617C5"/>
    <w:rsid w:val="00661CC7"/>
    <w:rsid w:val="00662381"/>
    <w:rsid w:val="006624E2"/>
    <w:rsid w:val="0066254F"/>
    <w:rsid w:val="00662804"/>
    <w:rsid w:val="006629BB"/>
    <w:rsid w:val="00662A0F"/>
    <w:rsid w:val="00662AD6"/>
    <w:rsid w:val="0066302B"/>
    <w:rsid w:val="0066328C"/>
    <w:rsid w:val="00663CD9"/>
    <w:rsid w:val="00663DE9"/>
    <w:rsid w:val="00664379"/>
    <w:rsid w:val="006643B3"/>
    <w:rsid w:val="006645C3"/>
    <w:rsid w:val="00664734"/>
    <w:rsid w:val="006649DE"/>
    <w:rsid w:val="00664B7A"/>
    <w:rsid w:val="00664EA2"/>
    <w:rsid w:val="00664F0F"/>
    <w:rsid w:val="00664FD8"/>
    <w:rsid w:val="0066506B"/>
    <w:rsid w:val="00665167"/>
    <w:rsid w:val="0066588F"/>
    <w:rsid w:val="00665ADA"/>
    <w:rsid w:val="00665BD0"/>
    <w:rsid w:val="00665E7D"/>
    <w:rsid w:val="00666103"/>
    <w:rsid w:val="0066658A"/>
    <w:rsid w:val="00666D6B"/>
    <w:rsid w:val="00666E08"/>
    <w:rsid w:val="00667171"/>
    <w:rsid w:val="0066767F"/>
    <w:rsid w:val="00667805"/>
    <w:rsid w:val="00667AAE"/>
    <w:rsid w:val="00667C5F"/>
    <w:rsid w:val="00667CD2"/>
    <w:rsid w:val="00670291"/>
    <w:rsid w:val="00670729"/>
    <w:rsid w:val="006707B4"/>
    <w:rsid w:val="00670C3E"/>
    <w:rsid w:val="00670C7D"/>
    <w:rsid w:val="00670F5B"/>
    <w:rsid w:val="00670F95"/>
    <w:rsid w:val="006715D6"/>
    <w:rsid w:val="00671637"/>
    <w:rsid w:val="00671875"/>
    <w:rsid w:val="00671891"/>
    <w:rsid w:val="00671EB2"/>
    <w:rsid w:val="00671F06"/>
    <w:rsid w:val="00672235"/>
    <w:rsid w:val="006728D1"/>
    <w:rsid w:val="00672956"/>
    <w:rsid w:val="00672E16"/>
    <w:rsid w:val="00672F2B"/>
    <w:rsid w:val="00673143"/>
    <w:rsid w:val="006732B6"/>
    <w:rsid w:val="006733C4"/>
    <w:rsid w:val="00673ABA"/>
    <w:rsid w:val="00673D0A"/>
    <w:rsid w:val="00673E1C"/>
    <w:rsid w:val="00673E87"/>
    <w:rsid w:val="00673F8C"/>
    <w:rsid w:val="00674145"/>
    <w:rsid w:val="0067414E"/>
    <w:rsid w:val="006741E2"/>
    <w:rsid w:val="006747B3"/>
    <w:rsid w:val="006748AE"/>
    <w:rsid w:val="00674957"/>
    <w:rsid w:val="00674AEC"/>
    <w:rsid w:val="00674D63"/>
    <w:rsid w:val="00675103"/>
    <w:rsid w:val="006753C0"/>
    <w:rsid w:val="006753FE"/>
    <w:rsid w:val="006754ED"/>
    <w:rsid w:val="00675725"/>
    <w:rsid w:val="00675AF0"/>
    <w:rsid w:val="00676115"/>
    <w:rsid w:val="006762C7"/>
    <w:rsid w:val="006763EE"/>
    <w:rsid w:val="00676975"/>
    <w:rsid w:val="00676B49"/>
    <w:rsid w:val="00676CA5"/>
    <w:rsid w:val="00676D77"/>
    <w:rsid w:val="00676E93"/>
    <w:rsid w:val="0067713B"/>
    <w:rsid w:val="006775F6"/>
    <w:rsid w:val="006777A0"/>
    <w:rsid w:val="00677812"/>
    <w:rsid w:val="006779AF"/>
    <w:rsid w:val="00677ADC"/>
    <w:rsid w:val="006800C6"/>
    <w:rsid w:val="00680188"/>
    <w:rsid w:val="0068090D"/>
    <w:rsid w:val="00680C80"/>
    <w:rsid w:val="006810A6"/>
    <w:rsid w:val="00681121"/>
    <w:rsid w:val="0068127B"/>
    <w:rsid w:val="00681444"/>
    <w:rsid w:val="006815A3"/>
    <w:rsid w:val="006815BC"/>
    <w:rsid w:val="00681CE8"/>
    <w:rsid w:val="0068227E"/>
    <w:rsid w:val="00682348"/>
    <w:rsid w:val="006828BE"/>
    <w:rsid w:val="00682A32"/>
    <w:rsid w:val="006831F8"/>
    <w:rsid w:val="0068330B"/>
    <w:rsid w:val="00683349"/>
    <w:rsid w:val="00683376"/>
    <w:rsid w:val="006835C0"/>
    <w:rsid w:val="00683C7C"/>
    <w:rsid w:val="00683E36"/>
    <w:rsid w:val="00684D71"/>
    <w:rsid w:val="00685215"/>
    <w:rsid w:val="0068537B"/>
    <w:rsid w:val="00685415"/>
    <w:rsid w:val="006858C9"/>
    <w:rsid w:val="00685961"/>
    <w:rsid w:val="00685A6B"/>
    <w:rsid w:val="00685E24"/>
    <w:rsid w:val="00685EA0"/>
    <w:rsid w:val="006863FA"/>
    <w:rsid w:val="00686A07"/>
    <w:rsid w:val="00686A7A"/>
    <w:rsid w:val="00686BD9"/>
    <w:rsid w:val="0068712F"/>
    <w:rsid w:val="00687440"/>
    <w:rsid w:val="006904BE"/>
    <w:rsid w:val="0069079C"/>
    <w:rsid w:val="00690A8F"/>
    <w:rsid w:val="00690D3D"/>
    <w:rsid w:val="00690F3B"/>
    <w:rsid w:val="00690FD7"/>
    <w:rsid w:val="006912E4"/>
    <w:rsid w:val="00691A4D"/>
    <w:rsid w:val="00691F5A"/>
    <w:rsid w:val="0069221C"/>
    <w:rsid w:val="00692385"/>
    <w:rsid w:val="006925A2"/>
    <w:rsid w:val="00692796"/>
    <w:rsid w:val="00692A16"/>
    <w:rsid w:val="00692A1E"/>
    <w:rsid w:val="00692E69"/>
    <w:rsid w:val="00693247"/>
    <w:rsid w:val="006935E5"/>
    <w:rsid w:val="00693DA7"/>
    <w:rsid w:val="00693DE2"/>
    <w:rsid w:val="00693E01"/>
    <w:rsid w:val="00693E8B"/>
    <w:rsid w:val="00693F1A"/>
    <w:rsid w:val="0069483C"/>
    <w:rsid w:val="00694940"/>
    <w:rsid w:val="006950DA"/>
    <w:rsid w:val="00695921"/>
    <w:rsid w:val="00695E85"/>
    <w:rsid w:val="00696465"/>
    <w:rsid w:val="00696809"/>
    <w:rsid w:val="006968C7"/>
    <w:rsid w:val="00696A79"/>
    <w:rsid w:val="00696B79"/>
    <w:rsid w:val="00696D0B"/>
    <w:rsid w:val="0069720A"/>
    <w:rsid w:val="00697231"/>
    <w:rsid w:val="00697684"/>
    <w:rsid w:val="0069769D"/>
    <w:rsid w:val="0069781C"/>
    <w:rsid w:val="00697A0C"/>
    <w:rsid w:val="00697FD3"/>
    <w:rsid w:val="00697FEF"/>
    <w:rsid w:val="006A03CB"/>
    <w:rsid w:val="006A0A60"/>
    <w:rsid w:val="006A1082"/>
    <w:rsid w:val="006A135B"/>
    <w:rsid w:val="006A18BA"/>
    <w:rsid w:val="006A28D4"/>
    <w:rsid w:val="006A2A3F"/>
    <w:rsid w:val="006A2B92"/>
    <w:rsid w:val="006A2E4B"/>
    <w:rsid w:val="006A2E59"/>
    <w:rsid w:val="006A3062"/>
    <w:rsid w:val="006A319B"/>
    <w:rsid w:val="006A3328"/>
    <w:rsid w:val="006A3C83"/>
    <w:rsid w:val="006A3DF8"/>
    <w:rsid w:val="006A3EDB"/>
    <w:rsid w:val="006A4068"/>
    <w:rsid w:val="006A4250"/>
    <w:rsid w:val="006A4463"/>
    <w:rsid w:val="006A4787"/>
    <w:rsid w:val="006A4791"/>
    <w:rsid w:val="006A49EF"/>
    <w:rsid w:val="006A4A96"/>
    <w:rsid w:val="006A50D6"/>
    <w:rsid w:val="006A6866"/>
    <w:rsid w:val="006A6A95"/>
    <w:rsid w:val="006A719E"/>
    <w:rsid w:val="006A727A"/>
    <w:rsid w:val="006A74C0"/>
    <w:rsid w:val="006A74CB"/>
    <w:rsid w:val="006A7521"/>
    <w:rsid w:val="006A77BC"/>
    <w:rsid w:val="006A7B43"/>
    <w:rsid w:val="006A7BA9"/>
    <w:rsid w:val="006A7CE9"/>
    <w:rsid w:val="006B0153"/>
    <w:rsid w:val="006B02C9"/>
    <w:rsid w:val="006B0522"/>
    <w:rsid w:val="006B05BC"/>
    <w:rsid w:val="006B06DD"/>
    <w:rsid w:val="006B08F4"/>
    <w:rsid w:val="006B0C62"/>
    <w:rsid w:val="006B0D12"/>
    <w:rsid w:val="006B114F"/>
    <w:rsid w:val="006B137E"/>
    <w:rsid w:val="006B16B8"/>
    <w:rsid w:val="006B17F1"/>
    <w:rsid w:val="006B1883"/>
    <w:rsid w:val="006B23EF"/>
    <w:rsid w:val="006B2420"/>
    <w:rsid w:val="006B28BD"/>
    <w:rsid w:val="006B2BD1"/>
    <w:rsid w:val="006B2C10"/>
    <w:rsid w:val="006B2CEE"/>
    <w:rsid w:val="006B391E"/>
    <w:rsid w:val="006B3AB3"/>
    <w:rsid w:val="006B3C45"/>
    <w:rsid w:val="006B3F9E"/>
    <w:rsid w:val="006B42B5"/>
    <w:rsid w:val="006B46B9"/>
    <w:rsid w:val="006B48E9"/>
    <w:rsid w:val="006B4B14"/>
    <w:rsid w:val="006B4BE2"/>
    <w:rsid w:val="006B4CAC"/>
    <w:rsid w:val="006B51C7"/>
    <w:rsid w:val="006B567C"/>
    <w:rsid w:val="006B5857"/>
    <w:rsid w:val="006B58B6"/>
    <w:rsid w:val="006B592C"/>
    <w:rsid w:val="006B5BF9"/>
    <w:rsid w:val="006B5EF7"/>
    <w:rsid w:val="006B6181"/>
    <w:rsid w:val="006B6242"/>
    <w:rsid w:val="006B63EB"/>
    <w:rsid w:val="006B66B0"/>
    <w:rsid w:val="006B6966"/>
    <w:rsid w:val="006B6C81"/>
    <w:rsid w:val="006B7018"/>
    <w:rsid w:val="006B71A7"/>
    <w:rsid w:val="006B790B"/>
    <w:rsid w:val="006B7ECA"/>
    <w:rsid w:val="006C0550"/>
    <w:rsid w:val="006C0886"/>
    <w:rsid w:val="006C0E03"/>
    <w:rsid w:val="006C0F58"/>
    <w:rsid w:val="006C1627"/>
    <w:rsid w:val="006C16A4"/>
    <w:rsid w:val="006C16C7"/>
    <w:rsid w:val="006C16E4"/>
    <w:rsid w:val="006C18BB"/>
    <w:rsid w:val="006C1A01"/>
    <w:rsid w:val="006C1B73"/>
    <w:rsid w:val="006C1E88"/>
    <w:rsid w:val="006C1FDB"/>
    <w:rsid w:val="006C2813"/>
    <w:rsid w:val="006C2945"/>
    <w:rsid w:val="006C299F"/>
    <w:rsid w:val="006C2A6B"/>
    <w:rsid w:val="006C2C2E"/>
    <w:rsid w:val="006C2DE9"/>
    <w:rsid w:val="006C2EBD"/>
    <w:rsid w:val="006C34A4"/>
    <w:rsid w:val="006C354A"/>
    <w:rsid w:val="006C3B57"/>
    <w:rsid w:val="006C3D8C"/>
    <w:rsid w:val="006C3DF8"/>
    <w:rsid w:val="006C40E2"/>
    <w:rsid w:val="006C4177"/>
    <w:rsid w:val="006C4258"/>
    <w:rsid w:val="006C44C3"/>
    <w:rsid w:val="006C4534"/>
    <w:rsid w:val="006C4B78"/>
    <w:rsid w:val="006C4E48"/>
    <w:rsid w:val="006C5037"/>
    <w:rsid w:val="006C51D2"/>
    <w:rsid w:val="006C540D"/>
    <w:rsid w:val="006C541F"/>
    <w:rsid w:val="006C561B"/>
    <w:rsid w:val="006C5AA0"/>
    <w:rsid w:val="006C5B3F"/>
    <w:rsid w:val="006C5C2C"/>
    <w:rsid w:val="006C5CCD"/>
    <w:rsid w:val="006C5ECF"/>
    <w:rsid w:val="006C5FDB"/>
    <w:rsid w:val="006C6042"/>
    <w:rsid w:val="006C6206"/>
    <w:rsid w:val="006C672F"/>
    <w:rsid w:val="006C6B67"/>
    <w:rsid w:val="006C6D7C"/>
    <w:rsid w:val="006C6DE6"/>
    <w:rsid w:val="006C7BD6"/>
    <w:rsid w:val="006C7C3D"/>
    <w:rsid w:val="006C7D32"/>
    <w:rsid w:val="006D004D"/>
    <w:rsid w:val="006D0147"/>
    <w:rsid w:val="006D03AE"/>
    <w:rsid w:val="006D03F1"/>
    <w:rsid w:val="006D07C8"/>
    <w:rsid w:val="006D08E2"/>
    <w:rsid w:val="006D09EF"/>
    <w:rsid w:val="006D09F5"/>
    <w:rsid w:val="006D0C7B"/>
    <w:rsid w:val="006D0E63"/>
    <w:rsid w:val="006D175E"/>
    <w:rsid w:val="006D19A5"/>
    <w:rsid w:val="006D1ADC"/>
    <w:rsid w:val="006D1C18"/>
    <w:rsid w:val="006D1CFB"/>
    <w:rsid w:val="006D1FBA"/>
    <w:rsid w:val="006D2002"/>
    <w:rsid w:val="006D25C1"/>
    <w:rsid w:val="006D2B88"/>
    <w:rsid w:val="006D311C"/>
    <w:rsid w:val="006D3553"/>
    <w:rsid w:val="006D368D"/>
    <w:rsid w:val="006D3789"/>
    <w:rsid w:val="006D3EAC"/>
    <w:rsid w:val="006D3F7C"/>
    <w:rsid w:val="006D412D"/>
    <w:rsid w:val="006D4159"/>
    <w:rsid w:val="006D4283"/>
    <w:rsid w:val="006D4C27"/>
    <w:rsid w:val="006D4CC7"/>
    <w:rsid w:val="006D505F"/>
    <w:rsid w:val="006D513C"/>
    <w:rsid w:val="006D52C8"/>
    <w:rsid w:val="006D52D6"/>
    <w:rsid w:val="006D5590"/>
    <w:rsid w:val="006D5B3E"/>
    <w:rsid w:val="006D5F2D"/>
    <w:rsid w:val="006D6245"/>
    <w:rsid w:val="006D6383"/>
    <w:rsid w:val="006D649C"/>
    <w:rsid w:val="006D6682"/>
    <w:rsid w:val="006D6987"/>
    <w:rsid w:val="006D6BD5"/>
    <w:rsid w:val="006D6F31"/>
    <w:rsid w:val="006D722D"/>
    <w:rsid w:val="006D7254"/>
    <w:rsid w:val="006D7298"/>
    <w:rsid w:val="006D7389"/>
    <w:rsid w:val="006D7AC7"/>
    <w:rsid w:val="006D7B36"/>
    <w:rsid w:val="006D7DD8"/>
    <w:rsid w:val="006E0471"/>
    <w:rsid w:val="006E07DF"/>
    <w:rsid w:val="006E0CA5"/>
    <w:rsid w:val="006E0CA7"/>
    <w:rsid w:val="006E1321"/>
    <w:rsid w:val="006E13E8"/>
    <w:rsid w:val="006E154D"/>
    <w:rsid w:val="006E1B30"/>
    <w:rsid w:val="006E208D"/>
    <w:rsid w:val="006E249E"/>
    <w:rsid w:val="006E2669"/>
    <w:rsid w:val="006E27D1"/>
    <w:rsid w:val="006E2D45"/>
    <w:rsid w:val="006E30E8"/>
    <w:rsid w:val="006E3169"/>
    <w:rsid w:val="006E3215"/>
    <w:rsid w:val="006E3C13"/>
    <w:rsid w:val="006E3EA4"/>
    <w:rsid w:val="006E3F7A"/>
    <w:rsid w:val="006E4071"/>
    <w:rsid w:val="006E40D8"/>
    <w:rsid w:val="006E4499"/>
    <w:rsid w:val="006E4680"/>
    <w:rsid w:val="006E4C15"/>
    <w:rsid w:val="006E4C8C"/>
    <w:rsid w:val="006E4CE9"/>
    <w:rsid w:val="006E4F05"/>
    <w:rsid w:val="006E52C4"/>
    <w:rsid w:val="006E5C00"/>
    <w:rsid w:val="006E5F86"/>
    <w:rsid w:val="006E63DD"/>
    <w:rsid w:val="006E684E"/>
    <w:rsid w:val="006E6D30"/>
    <w:rsid w:val="006E6FC8"/>
    <w:rsid w:val="006E6FFF"/>
    <w:rsid w:val="006E73AC"/>
    <w:rsid w:val="006E7422"/>
    <w:rsid w:val="006E77B8"/>
    <w:rsid w:val="006E7A7F"/>
    <w:rsid w:val="006E7BB6"/>
    <w:rsid w:val="006F0249"/>
    <w:rsid w:val="006F0702"/>
    <w:rsid w:val="006F0815"/>
    <w:rsid w:val="006F095B"/>
    <w:rsid w:val="006F1423"/>
    <w:rsid w:val="006F1A5C"/>
    <w:rsid w:val="006F1FFE"/>
    <w:rsid w:val="006F229B"/>
    <w:rsid w:val="006F22D0"/>
    <w:rsid w:val="006F2B57"/>
    <w:rsid w:val="006F2BFC"/>
    <w:rsid w:val="006F2CE7"/>
    <w:rsid w:val="006F30DD"/>
    <w:rsid w:val="006F30E0"/>
    <w:rsid w:val="006F30F6"/>
    <w:rsid w:val="006F3141"/>
    <w:rsid w:val="006F31B7"/>
    <w:rsid w:val="006F32ED"/>
    <w:rsid w:val="006F3319"/>
    <w:rsid w:val="006F3718"/>
    <w:rsid w:val="006F3915"/>
    <w:rsid w:val="006F3919"/>
    <w:rsid w:val="006F3E4B"/>
    <w:rsid w:val="006F3F9E"/>
    <w:rsid w:val="006F4540"/>
    <w:rsid w:val="006F486A"/>
    <w:rsid w:val="006F4B77"/>
    <w:rsid w:val="006F4CB8"/>
    <w:rsid w:val="006F4DC0"/>
    <w:rsid w:val="006F4E96"/>
    <w:rsid w:val="006F5309"/>
    <w:rsid w:val="006F5649"/>
    <w:rsid w:val="006F580F"/>
    <w:rsid w:val="006F5962"/>
    <w:rsid w:val="006F64A3"/>
    <w:rsid w:val="006F676A"/>
    <w:rsid w:val="006F67D1"/>
    <w:rsid w:val="006F6806"/>
    <w:rsid w:val="006F6850"/>
    <w:rsid w:val="006F6BB6"/>
    <w:rsid w:val="006F6C61"/>
    <w:rsid w:val="006F6FD3"/>
    <w:rsid w:val="006F735E"/>
    <w:rsid w:val="006F7DC8"/>
    <w:rsid w:val="006F7E09"/>
    <w:rsid w:val="00700564"/>
    <w:rsid w:val="00700611"/>
    <w:rsid w:val="0070070D"/>
    <w:rsid w:val="007007C8"/>
    <w:rsid w:val="00700ECA"/>
    <w:rsid w:val="00701C6E"/>
    <w:rsid w:val="00701D9C"/>
    <w:rsid w:val="00701E6E"/>
    <w:rsid w:val="00701E9C"/>
    <w:rsid w:val="00702576"/>
    <w:rsid w:val="007025CF"/>
    <w:rsid w:val="00702837"/>
    <w:rsid w:val="00702B59"/>
    <w:rsid w:val="00702C2D"/>
    <w:rsid w:val="0070403D"/>
    <w:rsid w:val="00704285"/>
    <w:rsid w:val="00704381"/>
    <w:rsid w:val="007044F6"/>
    <w:rsid w:val="007047BF"/>
    <w:rsid w:val="00704B74"/>
    <w:rsid w:val="00704DE1"/>
    <w:rsid w:val="00704EB0"/>
    <w:rsid w:val="00704FBB"/>
    <w:rsid w:val="00705219"/>
    <w:rsid w:val="007052DA"/>
    <w:rsid w:val="00705893"/>
    <w:rsid w:val="00705D70"/>
    <w:rsid w:val="00705F29"/>
    <w:rsid w:val="007061F0"/>
    <w:rsid w:val="007063F1"/>
    <w:rsid w:val="0070668C"/>
    <w:rsid w:val="00706B1F"/>
    <w:rsid w:val="00706E43"/>
    <w:rsid w:val="00707405"/>
    <w:rsid w:val="007076D7"/>
    <w:rsid w:val="00707B15"/>
    <w:rsid w:val="00707D3E"/>
    <w:rsid w:val="00707EC4"/>
    <w:rsid w:val="00707F8C"/>
    <w:rsid w:val="00710E4B"/>
    <w:rsid w:val="007114E9"/>
    <w:rsid w:val="00711C95"/>
    <w:rsid w:val="00711D2B"/>
    <w:rsid w:val="0071204C"/>
    <w:rsid w:val="0071211A"/>
    <w:rsid w:val="007122C8"/>
    <w:rsid w:val="007122F0"/>
    <w:rsid w:val="0071239F"/>
    <w:rsid w:val="007125D7"/>
    <w:rsid w:val="007127E2"/>
    <w:rsid w:val="0071296D"/>
    <w:rsid w:val="007129CF"/>
    <w:rsid w:val="00712A21"/>
    <w:rsid w:val="00712DC0"/>
    <w:rsid w:val="0071343F"/>
    <w:rsid w:val="0071419B"/>
    <w:rsid w:val="00714649"/>
    <w:rsid w:val="00715271"/>
    <w:rsid w:val="007152F0"/>
    <w:rsid w:val="007156A6"/>
    <w:rsid w:val="00715A2D"/>
    <w:rsid w:val="00715DB6"/>
    <w:rsid w:val="00715ED7"/>
    <w:rsid w:val="00716528"/>
    <w:rsid w:val="00716B24"/>
    <w:rsid w:val="00717192"/>
    <w:rsid w:val="0071734F"/>
    <w:rsid w:val="007174E9"/>
    <w:rsid w:val="007176F3"/>
    <w:rsid w:val="00717AE8"/>
    <w:rsid w:val="00717CB1"/>
    <w:rsid w:val="00720137"/>
    <w:rsid w:val="007201FD"/>
    <w:rsid w:val="0072081C"/>
    <w:rsid w:val="00721082"/>
    <w:rsid w:val="007211FE"/>
    <w:rsid w:val="00721397"/>
    <w:rsid w:val="00721912"/>
    <w:rsid w:val="00721F5F"/>
    <w:rsid w:val="00722260"/>
    <w:rsid w:val="007222EF"/>
    <w:rsid w:val="007228DB"/>
    <w:rsid w:val="00722EEF"/>
    <w:rsid w:val="0072319C"/>
    <w:rsid w:val="007237E2"/>
    <w:rsid w:val="0072486B"/>
    <w:rsid w:val="00724B94"/>
    <w:rsid w:val="00724DB1"/>
    <w:rsid w:val="0072575F"/>
    <w:rsid w:val="00725784"/>
    <w:rsid w:val="007260EE"/>
    <w:rsid w:val="0072657C"/>
    <w:rsid w:val="007267E1"/>
    <w:rsid w:val="007269FF"/>
    <w:rsid w:val="00726D77"/>
    <w:rsid w:val="00726DB2"/>
    <w:rsid w:val="007273C6"/>
    <w:rsid w:val="00727479"/>
    <w:rsid w:val="00727866"/>
    <w:rsid w:val="00727C9D"/>
    <w:rsid w:val="00727EEB"/>
    <w:rsid w:val="0073007B"/>
    <w:rsid w:val="00730147"/>
    <w:rsid w:val="007308A7"/>
    <w:rsid w:val="0073102B"/>
    <w:rsid w:val="0073143B"/>
    <w:rsid w:val="00731643"/>
    <w:rsid w:val="00731A1D"/>
    <w:rsid w:val="0073228C"/>
    <w:rsid w:val="00732303"/>
    <w:rsid w:val="00732644"/>
    <w:rsid w:val="00732847"/>
    <w:rsid w:val="007329B4"/>
    <w:rsid w:val="00732CEB"/>
    <w:rsid w:val="00732F4F"/>
    <w:rsid w:val="00733233"/>
    <w:rsid w:val="007333D0"/>
    <w:rsid w:val="00733478"/>
    <w:rsid w:val="00733629"/>
    <w:rsid w:val="00733FD5"/>
    <w:rsid w:val="00734277"/>
    <w:rsid w:val="007342F1"/>
    <w:rsid w:val="007346B9"/>
    <w:rsid w:val="007347AA"/>
    <w:rsid w:val="007348A4"/>
    <w:rsid w:val="007348B0"/>
    <w:rsid w:val="0073492C"/>
    <w:rsid w:val="00734D8E"/>
    <w:rsid w:val="00734DC2"/>
    <w:rsid w:val="00735663"/>
    <w:rsid w:val="0073597D"/>
    <w:rsid w:val="00735A82"/>
    <w:rsid w:val="00735B80"/>
    <w:rsid w:val="00735BA8"/>
    <w:rsid w:val="00735BDF"/>
    <w:rsid w:val="00736429"/>
    <w:rsid w:val="007366FE"/>
    <w:rsid w:val="00736882"/>
    <w:rsid w:val="00736CE3"/>
    <w:rsid w:val="007377DF"/>
    <w:rsid w:val="0073781F"/>
    <w:rsid w:val="00740765"/>
    <w:rsid w:val="0074139D"/>
    <w:rsid w:val="00741597"/>
    <w:rsid w:val="00741815"/>
    <w:rsid w:val="007419FC"/>
    <w:rsid w:val="00741A2A"/>
    <w:rsid w:val="00741EEF"/>
    <w:rsid w:val="00742C11"/>
    <w:rsid w:val="0074318C"/>
    <w:rsid w:val="00743210"/>
    <w:rsid w:val="00743A68"/>
    <w:rsid w:val="00743C5C"/>
    <w:rsid w:val="00743DB0"/>
    <w:rsid w:val="00743E23"/>
    <w:rsid w:val="00744418"/>
    <w:rsid w:val="00744501"/>
    <w:rsid w:val="00744AA6"/>
    <w:rsid w:val="00744DED"/>
    <w:rsid w:val="00744EEE"/>
    <w:rsid w:val="00745650"/>
    <w:rsid w:val="007458AB"/>
    <w:rsid w:val="00745985"/>
    <w:rsid w:val="00745CE8"/>
    <w:rsid w:val="00745D61"/>
    <w:rsid w:val="00745EFA"/>
    <w:rsid w:val="0074696B"/>
    <w:rsid w:val="00747032"/>
    <w:rsid w:val="00747418"/>
    <w:rsid w:val="0074763F"/>
    <w:rsid w:val="00747DFD"/>
    <w:rsid w:val="00750079"/>
    <w:rsid w:val="007501F5"/>
    <w:rsid w:val="00750723"/>
    <w:rsid w:val="00750C0F"/>
    <w:rsid w:val="007515A4"/>
    <w:rsid w:val="0075173A"/>
    <w:rsid w:val="00751F79"/>
    <w:rsid w:val="0075213B"/>
    <w:rsid w:val="007525F8"/>
    <w:rsid w:val="007527CF"/>
    <w:rsid w:val="00752A46"/>
    <w:rsid w:val="00752D3A"/>
    <w:rsid w:val="00752D3D"/>
    <w:rsid w:val="0075348D"/>
    <w:rsid w:val="007534A7"/>
    <w:rsid w:val="007535AE"/>
    <w:rsid w:val="00753881"/>
    <w:rsid w:val="007538D3"/>
    <w:rsid w:val="00753C0D"/>
    <w:rsid w:val="007543BB"/>
    <w:rsid w:val="0075445B"/>
    <w:rsid w:val="007544E7"/>
    <w:rsid w:val="007546C9"/>
    <w:rsid w:val="007548E4"/>
    <w:rsid w:val="007549C2"/>
    <w:rsid w:val="00754A99"/>
    <w:rsid w:val="00754B27"/>
    <w:rsid w:val="00755237"/>
    <w:rsid w:val="007552CF"/>
    <w:rsid w:val="007553DC"/>
    <w:rsid w:val="00755598"/>
    <w:rsid w:val="00755E34"/>
    <w:rsid w:val="00756048"/>
    <w:rsid w:val="00756141"/>
    <w:rsid w:val="00756253"/>
    <w:rsid w:val="00756747"/>
    <w:rsid w:val="00756A70"/>
    <w:rsid w:val="00756BBD"/>
    <w:rsid w:val="00756D47"/>
    <w:rsid w:val="0075799A"/>
    <w:rsid w:val="00757AD3"/>
    <w:rsid w:val="00757BD1"/>
    <w:rsid w:val="0076016D"/>
    <w:rsid w:val="007601CD"/>
    <w:rsid w:val="00760B14"/>
    <w:rsid w:val="00760C6B"/>
    <w:rsid w:val="0076125E"/>
    <w:rsid w:val="007612A8"/>
    <w:rsid w:val="00761307"/>
    <w:rsid w:val="00761366"/>
    <w:rsid w:val="007613E3"/>
    <w:rsid w:val="00761593"/>
    <w:rsid w:val="007618DA"/>
    <w:rsid w:val="00761A1F"/>
    <w:rsid w:val="00761D70"/>
    <w:rsid w:val="00761E74"/>
    <w:rsid w:val="0076227D"/>
    <w:rsid w:val="00762593"/>
    <w:rsid w:val="007629A4"/>
    <w:rsid w:val="00762AF2"/>
    <w:rsid w:val="00762D87"/>
    <w:rsid w:val="00763153"/>
    <w:rsid w:val="00763154"/>
    <w:rsid w:val="0076330C"/>
    <w:rsid w:val="0076339E"/>
    <w:rsid w:val="007633F3"/>
    <w:rsid w:val="00763DC3"/>
    <w:rsid w:val="00764147"/>
    <w:rsid w:val="007641EA"/>
    <w:rsid w:val="00764567"/>
    <w:rsid w:val="0076474F"/>
    <w:rsid w:val="00764F5C"/>
    <w:rsid w:val="00765147"/>
    <w:rsid w:val="007651F6"/>
    <w:rsid w:val="007657BA"/>
    <w:rsid w:val="007657BC"/>
    <w:rsid w:val="00765CAE"/>
    <w:rsid w:val="00765E41"/>
    <w:rsid w:val="007660D4"/>
    <w:rsid w:val="00766746"/>
    <w:rsid w:val="0076694C"/>
    <w:rsid w:val="00766BD6"/>
    <w:rsid w:val="0076704B"/>
    <w:rsid w:val="007671B1"/>
    <w:rsid w:val="007677EA"/>
    <w:rsid w:val="0076792D"/>
    <w:rsid w:val="00767F86"/>
    <w:rsid w:val="007704D7"/>
    <w:rsid w:val="007708A8"/>
    <w:rsid w:val="0077091A"/>
    <w:rsid w:val="00770C37"/>
    <w:rsid w:val="00770CB6"/>
    <w:rsid w:val="00771034"/>
    <w:rsid w:val="00771157"/>
    <w:rsid w:val="00771547"/>
    <w:rsid w:val="00771668"/>
    <w:rsid w:val="007716D1"/>
    <w:rsid w:val="00771AD4"/>
    <w:rsid w:val="00771CE7"/>
    <w:rsid w:val="00771D04"/>
    <w:rsid w:val="00771F37"/>
    <w:rsid w:val="007724A0"/>
    <w:rsid w:val="00772CB3"/>
    <w:rsid w:val="007730A5"/>
    <w:rsid w:val="0077331B"/>
    <w:rsid w:val="0077365D"/>
    <w:rsid w:val="00773DBF"/>
    <w:rsid w:val="00773DD3"/>
    <w:rsid w:val="00773EF3"/>
    <w:rsid w:val="007740FA"/>
    <w:rsid w:val="007741A5"/>
    <w:rsid w:val="007741C7"/>
    <w:rsid w:val="00774499"/>
    <w:rsid w:val="007745AF"/>
    <w:rsid w:val="00774750"/>
    <w:rsid w:val="00774854"/>
    <w:rsid w:val="00774A42"/>
    <w:rsid w:val="007750AD"/>
    <w:rsid w:val="00775103"/>
    <w:rsid w:val="00775181"/>
    <w:rsid w:val="007754AE"/>
    <w:rsid w:val="00775988"/>
    <w:rsid w:val="00775A0F"/>
    <w:rsid w:val="00775BB4"/>
    <w:rsid w:val="00776155"/>
    <w:rsid w:val="007765AA"/>
    <w:rsid w:val="0077666D"/>
    <w:rsid w:val="00776760"/>
    <w:rsid w:val="00776897"/>
    <w:rsid w:val="007768B8"/>
    <w:rsid w:val="007769A4"/>
    <w:rsid w:val="007769EA"/>
    <w:rsid w:val="00776FAF"/>
    <w:rsid w:val="0077761F"/>
    <w:rsid w:val="007777C8"/>
    <w:rsid w:val="00777A8A"/>
    <w:rsid w:val="00777B8F"/>
    <w:rsid w:val="007803C9"/>
    <w:rsid w:val="007804AB"/>
    <w:rsid w:val="00780720"/>
    <w:rsid w:val="00780989"/>
    <w:rsid w:val="00780A7D"/>
    <w:rsid w:val="00780F05"/>
    <w:rsid w:val="00781237"/>
    <w:rsid w:val="00781251"/>
    <w:rsid w:val="007817ED"/>
    <w:rsid w:val="00781F1B"/>
    <w:rsid w:val="007821E7"/>
    <w:rsid w:val="00782403"/>
    <w:rsid w:val="007825C5"/>
    <w:rsid w:val="007825EA"/>
    <w:rsid w:val="0078261F"/>
    <w:rsid w:val="00782765"/>
    <w:rsid w:val="007828E1"/>
    <w:rsid w:val="00782F03"/>
    <w:rsid w:val="00782F29"/>
    <w:rsid w:val="0078318C"/>
    <w:rsid w:val="007834F5"/>
    <w:rsid w:val="007837D4"/>
    <w:rsid w:val="0078380A"/>
    <w:rsid w:val="00783CF1"/>
    <w:rsid w:val="00783CF4"/>
    <w:rsid w:val="00784050"/>
    <w:rsid w:val="00784159"/>
    <w:rsid w:val="0078432E"/>
    <w:rsid w:val="00784B81"/>
    <w:rsid w:val="00784E2A"/>
    <w:rsid w:val="00785233"/>
    <w:rsid w:val="007857BA"/>
    <w:rsid w:val="00785AF8"/>
    <w:rsid w:val="00785CD4"/>
    <w:rsid w:val="0078614E"/>
    <w:rsid w:val="00786605"/>
    <w:rsid w:val="007866CD"/>
    <w:rsid w:val="00786B02"/>
    <w:rsid w:val="00786B16"/>
    <w:rsid w:val="00787091"/>
    <w:rsid w:val="0078718E"/>
    <w:rsid w:val="007871E5"/>
    <w:rsid w:val="0078727E"/>
    <w:rsid w:val="007875D0"/>
    <w:rsid w:val="007875F5"/>
    <w:rsid w:val="00787888"/>
    <w:rsid w:val="00787C0B"/>
    <w:rsid w:val="00787CFC"/>
    <w:rsid w:val="00787F33"/>
    <w:rsid w:val="0079068B"/>
    <w:rsid w:val="00790ABC"/>
    <w:rsid w:val="00790FDA"/>
    <w:rsid w:val="00790FF4"/>
    <w:rsid w:val="0079115D"/>
    <w:rsid w:val="007913E9"/>
    <w:rsid w:val="007922E9"/>
    <w:rsid w:val="00792581"/>
    <w:rsid w:val="00792A52"/>
    <w:rsid w:val="00792AD3"/>
    <w:rsid w:val="00793AB5"/>
    <w:rsid w:val="00793AEE"/>
    <w:rsid w:val="00793F59"/>
    <w:rsid w:val="007941D4"/>
    <w:rsid w:val="007942EC"/>
    <w:rsid w:val="00794C62"/>
    <w:rsid w:val="00794F0F"/>
    <w:rsid w:val="00795642"/>
    <w:rsid w:val="007959AD"/>
    <w:rsid w:val="00795CA6"/>
    <w:rsid w:val="00795DF9"/>
    <w:rsid w:val="00795F04"/>
    <w:rsid w:val="00795FD1"/>
    <w:rsid w:val="007963F5"/>
    <w:rsid w:val="007964DC"/>
    <w:rsid w:val="00796618"/>
    <w:rsid w:val="007966B0"/>
    <w:rsid w:val="00796752"/>
    <w:rsid w:val="00796938"/>
    <w:rsid w:val="00796ADB"/>
    <w:rsid w:val="00796BD3"/>
    <w:rsid w:val="00797063"/>
    <w:rsid w:val="007970CB"/>
    <w:rsid w:val="0079749B"/>
    <w:rsid w:val="00797581"/>
    <w:rsid w:val="007A00F7"/>
    <w:rsid w:val="007A0102"/>
    <w:rsid w:val="007A02D0"/>
    <w:rsid w:val="007A094F"/>
    <w:rsid w:val="007A09B9"/>
    <w:rsid w:val="007A0A30"/>
    <w:rsid w:val="007A12EA"/>
    <w:rsid w:val="007A139A"/>
    <w:rsid w:val="007A168C"/>
    <w:rsid w:val="007A1BCA"/>
    <w:rsid w:val="007A1DD4"/>
    <w:rsid w:val="007A205C"/>
    <w:rsid w:val="007A2690"/>
    <w:rsid w:val="007A27FB"/>
    <w:rsid w:val="007A2A08"/>
    <w:rsid w:val="007A2FAA"/>
    <w:rsid w:val="007A2FD4"/>
    <w:rsid w:val="007A318A"/>
    <w:rsid w:val="007A32E7"/>
    <w:rsid w:val="007A355F"/>
    <w:rsid w:val="007A3699"/>
    <w:rsid w:val="007A36E2"/>
    <w:rsid w:val="007A37C9"/>
    <w:rsid w:val="007A3E9B"/>
    <w:rsid w:val="007A4162"/>
    <w:rsid w:val="007A41E9"/>
    <w:rsid w:val="007A43B1"/>
    <w:rsid w:val="007A44EC"/>
    <w:rsid w:val="007A4A96"/>
    <w:rsid w:val="007A4D9B"/>
    <w:rsid w:val="007A4DF7"/>
    <w:rsid w:val="007A5A0D"/>
    <w:rsid w:val="007A5BA8"/>
    <w:rsid w:val="007A5C92"/>
    <w:rsid w:val="007A5E41"/>
    <w:rsid w:val="007A5ECD"/>
    <w:rsid w:val="007A62F6"/>
    <w:rsid w:val="007A6529"/>
    <w:rsid w:val="007A668E"/>
    <w:rsid w:val="007A66E7"/>
    <w:rsid w:val="007A67B0"/>
    <w:rsid w:val="007A6A0F"/>
    <w:rsid w:val="007A6FF1"/>
    <w:rsid w:val="007A739F"/>
    <w:rsid w:val="007A7A9E"/>
    <w:rsid w:val="007A7B7A"/>
    <w:rsid w:val="007B0072"/>
    <w:rsid w:val="007B020D"/>
    <w:rsid w:val="007B03BB"/>
    <w:rsid w:val="007B074A"/>
    <w:rsid w:val="007B07DD"/>
    <w:rsid w:val="007B0D28"/>
    <w:rsid w:val="007B0D5E"/>
    <w:rsid w:val="007B0E52"/>
    <w:rsid w:val="007B10EB"/>
    <w:rsid w:val="007B1364"/>
    <w:rsid w:val="007B17E4"/>
    <w:rsid w:val="007B1F40"/>
    <w:rsid w:val="007B27FF"/>
    <w:rsid w:val="007B2EA1"/>
    <w:rsid w:val="007B3480"/>
    <w:rsid w:val="007B390A"/>
    <w:rsid w:val="007B3E9D"/>
    <w:rsid w:val="007B3EF5"/>
    <w:rsid w:val="007B431C"/>
    <w:rsid w:val="007B46A4"/>
    <w:rsid w:val="007B46C9"/>
    <w:rsid w:val="007B4836"/>
    <w:rsid w:val="007B4913"/>
    <w:rsid w:val="007B4981"/>
    <w:rsid w:val="007B4FD8"/>
    <w:rsid w:val="007B5281"/>
    <w:rsid w:val="007B545D"/>
    <w:rsid w:val="007B577E"/>
    <w:rsid w:val="007B5994"/>
    <w:rsid w:val="007B59B6"/>
    <w:rsid w:val="007B5A08"/>
    <w:rsid w:val="007B5AA8"/>
    <w:rsid w:val="007B64E8"/>
    <w:rsid w:val="007B6A7B"/>
    <w:rsid w:val="007B6E39"/>
    <w:rsid w:val="007B6E76"/>
    <w:rsid w:val="007B6E8D"/>
    <w:rsid w:val="007B6EC1"/>
    <w:rsid w:val="007B6FD6"/>
    <w:rsid w:val="007B7159"/>
    <w:rsid w:val="007B7701"/>
    <w:rsid w:val="007B7A69"/>
    <w:rsid w:val="007B7C8E"/>
    <w:rsid w:val="007B7C9C"/>
    <w:rsid w:val="007B7E6A"/>
    <w:rsid w:val="007B7F9C"/>
    <w:rsid w:val="007C02A0"/>
    <w:rsid w:val="007C05E8"/>
    <w:rsid w:val="007C0A04"/>
    <w:rsid w:val="007C0FFF"/>
    <w:rsid w:val="007C113F"/>
    <w:rsid w:val="007C11CD"/>
    <w:rsid w:val="007C1530"/>
    <w:rsid w:val="007C1932"/>
    <w:rsid w:val="007C1961"/>
    <w:rsid w:val="007C1AC0"/>
    <w:rsid w:val="007C1CA8"/>
    <w:rsid w:val="007C1DC7"/>
    <w:rsid w:val="007C20CD"/>
    <w:rsid w:val="007C2588"/>
    <w:rsid w:val="007C2704"/>
    <w:rsid w:val="007C27F6"/>
    <w:rsid w:val="007C35A1"/>
    <w:rsid w:val="007C37E5"/>
    <w:rsid w:val="007C3942"/>
    <w:rsid w:val="007C3F23"/>
    <w:rsid w:val="007C4106"/>
    <w:rsid w:val="007C41A9"/>
    <w:rsid w:val="007C4687"/>
    <w:rsid w:val="007C4907"/>
    <w:rsid w:val="007C4936"/>
    <w:rsid w:val="007C4ECB"/>
    <w:rsid w:val="007C4F14"/>
    <w:rsid w:val="007C542D"/>
    <w:rsid w:val="007C5483"/>
    <w:rsid w:val="007C57F1"/>
    <w:rsid w:val="007C59BF"/>
    <w:rsid w:val="007C5C18"/>
    <w:rsid w:val="007C5CE0"/>
    <w:rsid w:val="007C5D07"/>
    <w:rsid w:val="007C6194"/>
    <w:rsid w:val="007C6364"/>
    <w:rsid w:val="007C64E9"/>
    <w:rsid w:val="007C65AE"/>
    <w:rsid w:val="007C6888"/>
    <w:rsid w:val="007C6C55"/>
    <w:rsid w:val="007C6D43"/>
    <w:rsid w:val="007C7119"/>
    <w:rsid w:val="007C7215"/>
    <w:rsid w:val="007C73A3"/>
    <w:rsid w:val="007C7678"/>
    <w:rsid w:val="007C7A30"/>
    <w:rsid w:val="007C7B24"/>
    <w:rsid w:val="007C7B79"/>
    <w:rsid w:val="007C7DF2"/>
    <w:rsid w:val="007D0036"/>
    <w:rsid w:val="007D01AB"/>
    <w:rsid w:val="007D037C"/>
    <w:rsid w:val="007D05D0"/>
    <w:rsid w:val="007D0747"/>
    <w:rsid w:val="007D07B2"/>
    <w:rsid w:val="007D07EF"/>
    <w:rsid w:val="007D11F8"/>
    <w:rsid w:val="007D18DD"/>
    <w:rsid w:val="007D1909"/>
    <w:rsid w:val="007D1C91"/>
    <w:rsid w:val="007D1DE7"/>
    <w:rsid w:val="007D1E08"/>
    <w:rsid w:val="007D1F04"/>
    <w:rsid w:val="007D21D6"/>
    <w:rsid w:val="007D30D8"/>
    <w:rsid w:val="007D3108"/>
    <w:rsid w:val="007D31C6"/>
    <w:rsid w:val="007D3441"/>
    <w:rsid w:val="007D36F1"/>
    <w:rsid w:val="007D3D21"/>
    <w:rsid w:val="007D405A"/>
    <w:rsid w:val="007D40FD"/>
    <w:rsid w:val="007D41B2"/>
    <w:rsid w:val="007D436F"/>
    <w:rsid w:val="007D48C6"/>
    <w:rsid w:val="007D4CB3"/>
    <w:rsid w:val="007D516D"/>
    <w:rsid w:val="007D521B"/>
    <w:rsid w:val="007D5476"/>
    <w:rsid w:val="007D5AE7"/>
    <w:rsid w:val="007D67FD"/>
    <w:rsid w:val="007D6A0E"/>
    <w:rsid w:val="007D6A68"/>
    <w:rsid w:val="007D6FD6"/>
    <w:rsid w:val="007D70F1"/>
    <w:rsid w:val="007D713E"/>
    <w:rsid w:val="007D7178"/>
    <w:rsid w:val="007D76A5"/>
    <w:rsid w:val="007D7A62"/>
    <w:rsid w:val="007D7CEA"/>
    <w:rsid w:val="007E0059"/>
    <w:rsid w:val="007E00FE"/>
    <w:rsid w:val="007E01C8"/>
    <w:rsid w:val="007E01F1"/>
    <w:rsid w:val="007E0261"/>
    <w:rsid w:val="007E0483"/>
    <w:rsid w:val="007E04E8"/>
    <w:rsid w:val="007E0573"/>
    <w:rsid w:val="007E08C2"/>
    <w:rsid w:val="007E0B1D"/>
    <w:rsid w:val="007E0D16"/>
    <w:rsid w:val="007E12E2"/>
    <w:rsid w:val="007E16F3"/>
    <w:rsid w:val="007E1A74"/>
    <w:rsid w:val="007E2038"/>
    <w:rsid w:val="007E215D"/>
    <w:rsid w:val="007E221F"/>
    <w:rsid w:val="007E2280"/>
    <w:rsid w:val="007E22D3"/>
    <w:rsid w:val="007E25E9"/>
    <w:rsid w:val="007E29F4"/>
    <w:rsid w:val="007E2F28"/>
    <w:rsid w:val="007E30AE"/>
    <w:rsid w:val="007E33CE"/>
    <w:rsid w:val="007E4102"/>
    <w:rsid w:val="007E4144"/>
    <w:rsid w:val="007E4C2C"/>
    <w:rsid w:val="007E524D"/>
    <w:rsid w:val="007E5381"/>
    <w:rsid w:val="007E55FA"/>
    <w:rsid w:val="007E572E"/>
    <w:rsid w:val="007E58CD"/>
    <w:rsid w:val="007E5BF2"/>
    <w:rsid w:val="007E5BF9"/>
    <w:rsid w:val="007E60BE"/>
    <w:rsid w:val="007E611A"/>
    <w:rsid w:val="007E6185"/>
    <w:rsid w:val="007E6566"/>
    <w:rsid w:val="007E72C1"/>
    <w:rsid w:val="007E7366"/>
    <w:rsid w:val="007E753E"/>
    <w:rsid w:val="007E75DF"/>
    <w:rsid w:val="007E7952"/>
    <w:rsid w:val="007E7A24"/>
    <w:rsid w:val="007E7EDE"/>
    <w:rsid w:val="007E7FA4"/>
    <w:rsid w:val="007F046C"/>
    <w:rsid w:val="007F0943"/>
    <w:rsid w:val="007F095B"/>
    <w:rsid w:val="007F0A6B"/>
    <w:rsid w:val="007F0E36"/>
    <w:rsid w:val="007F11D5"/>
    <w:rsid w:val="007F1261"/>
    <w:rsid w:val="007F13A5"/>
    <w:rsid w:val="007F17D9"/>
    <w:rsid w:val="007F1D5F"/>
    <w:rsid w:val="007F1D9A"/>
    <w:rsid w:val="007F2260"/>
    <w:rsid w:val="007F2299"/>
    <w:rsid w:val="007F259E"/>
    <w:rsid w:val="007F2BA5"/>
    <w:rsid w:val="007F322F"/>
    <w:rsid w:val="007F346B"/>
    <w:rsid w:val="007F35E6"/>
    <w:rsid w:val="007F39D4"/>
    <w:rsid w:val="007F3B26"/>
    <w:rsid w:val="007F3D26"/>
    <w:rsid w:val="007F3D64"/>
    <w:rsid w:val="007F3FAC"/>
    <w:rsid w:val="007F40BA"/>
    <w:rsid w:val="007F43E5"/>
    <w:rsid w:val="007F448B"/>
    <w:rsid w:val="007F4574"/>
    <w:rsid w:val="007F4578"/>
    <w:rsid w:val="007F49C2"/>
    <w:rsid w:val="007F4B25"/>
    <w:rsid w:val="007F561D"/>
    <w:rsid w:val="007F576B"/>
    <w:rsid w:val="007F57CE"/>
    <w:rsid w:val="007F580C"/>
    <w:rsid w:val="007F58EC"/>
    <w:rsid w:val="007F59A4"/>
    <w:rsid w:val="007F5FB1"/>
    <w:rsid w:val="007F6556"/>
    <w:rsid w:val="007F6B4D"/>
    <w:rsid w:val="007F6D87"/>
    <w:rsid w:val="007F6F8A"/>
    <w:rsid w:val="007F74B6"/>
    <w:rsid w:val="007F79F8"/>
    <w:rsid w:val="00800750"/>
    <w:rsid w:val="0080076C"/>
    <w:rsid w:val="00800957"/>
    <w:rsid w:val="0080099F"/>
    <w:rsid w:val="00800E40"/>
    <w:rsid w:val="008010E7"/>
    <w:rsid w:val="008012AF"/>
    <w:rsid w:val="008014B3"/>
    <w:rsid w:val="00801768"/>
    <w:rsid w:val="00801A4F"/>
    <w:rsid w:val="00802364"/>
    <w:rsid w:val="008024C8"/>
    <w:rsid w:val="0080265F"/>
    <w:rsid w:val="00802830"/>
    <w:rsid w:val="0080283E"/>
    <w:rsid w:val="00802A4E"/>
    <w:rsid w:val="0080316E"/>
    <w:rsid w:val="0080340E"/>
    <w:rsid w:val="00803872"/>
    <w:rsid w:val="00803E92"/>
    <w:rsid w:val="00803F21"/>
    <w:rsid w:val="00804079"/>
    <w:rsid w:val="008048DB"/>
    <w:rsid w:val="00804A0A"/>
    <w:rsid w:val="00804D2F"/>
    <w:rsid w:val="00804D4B"/>
    <w:rsid w:val="00804FDE"/>
    <w:rsid w:val="0080531D"/>
    <w:rsid w:val="00805443"/>
    <w:rsid w:val="00805460"/>
    <w:rsid w:val="0080548A"/>
    <w:rsid w:val="0080567C"/>
    <w:rsid w:val="00805694"/>
    <w:rsid w:val="00805EE6"/>
    <w:rsid w:val="008061CD"/>
    <w:rsid w:val="0080621F"/>
    <w:rsid w:val="008067F2"/>
    <w:rsid w:val="00806828"/>
    <w:rsid w:val="00806890"/>
    <w:rsid w:val="00806893"/>
    <w:rsid w:val="00806DC1"/>
    <w:rsid w:val="008071A8"/>
    <w:rsid w:val="008071C1"/>
    <w:rsid w:val="008074C8"/>
    <w:rsid w:val="0080755A"/>
    <w:rsid w:val="0080771B"/>
    <w:rsid w:val="00807DC7"/>
    <w:rsid w:val="00807E81"/>
    <w:rsid w:val="00810501"/>
    <w:rsid w:val="00810989"/>
    <w:rsid w:val="008109E4"/>
    <w:rsid w:val="00810A6B"/>
    <w:rsid w:val="00810D3F"/>
    <w:rsid w:val="00810F10"/>
    <w:rsid w:val="0081105F"/>
    <w:rsid w:val="008112D3"/>
    <w:rsid w:val="008114E8"/>
    <w:rsid w:val="0081153A"/>
    <w:rsid w:val="0081154A"/>
    <w:rsid w:val="00811856"/>
    <w:rsid w:val="008119E2"/>
    <w:rsid w:val="008119FA"/>
    <w:rsid w:val="00811EA3"/>
    <w:rsid w:val="008120DE"/>
    <w:rsid w:val="0081223D"/>
    <w:rsid w:val="008122FD"/>
    <w:rsid w:val="0081232A"/>
    <w:rsid w:val="008126DF"/>
    <w:rsid w:val="00812B35"/>
    <w:rsid w:val="00812B63"/>
    <w:rsid w:val="00812D70"/>
    <w:rsid w:val="00812D7E"/>
    <w:rsid w:val="0081341C"/>
    <w:rsid w:val="008145AC"/>
    <w:rsid w:val="0081484D"/>
    <w:rsid w:val="008148F7"/>
    <w:rsid w:val="00814D30"/>
    <w:rsid w:val="008153AD"/>
    <w:rsid w:val="0081578C"/>
    <w:rsid w:val="008158E0"/>
    <w:rsid w:val="00815D34"/>
    <w:rsid w:val="00815E55"/>
    <w:rsid w:val="00816045"/>
    <w:rsid w:val="0081651A"/>
    <w:rsid w:val="00816D87"/>
    <w:rsid w:val="008170FD"/>
    <w:rsid w:val="008177F4"/>
    <w:rsid w:val="00817DB0"/>
    <w:rsid w:val="00817EA2"/>
    <w:rsid w:val="008202E5"/>
    <w:rsid w:val="008204D4"/>
    <w:rsid w:val="0082050A"/>
    <w:rsid w:val="0082095C"/>
    <w:rsid w:val="00821014"/>
    <w:rsid w:val="008210B2"/>
    <w:rsid w:val="008210D2"/>
    <w:rsid w:val="0082185C"/>
    <w:rsid w:val="00821C68"/>
    <w:rsid w:val="008221D4"/>
    <w:rsid w:val="00822238"/>
    <w:rsid w:val="008222C8"/>
    <w:rsid w:val="0082235F"/>
    <w:rsid w:val="0082245F"/>
    <w:rsid w:val="00822C36"/>
    <w:rsid w:val="00822CEF"/>
    <w:rsid w:val="008232C9"/>
    <w:rsid w:val="00823DAD"/>
    <w:rsid w:val="00824937"/>
    <w:rsid w:val="00824B67"/>
    <w:rsid w:val="00824E15"/>
    <w:rsid w:val="00824F85"/>
    <w:rsid w:val="0082500F"/>
    <w:rsid w:val="00825375"/>
    <w:rsid w:val="008253D4"/>
    <w:rsid w:val="00825AF4"/>
    <w:rsid w:val="00825CCC"/>
    <w:rsid w:val="00825E97"/>
    <w:rsid w:val="00825F3F"/>
    <w:rsid w:val="0082673F"/>
    <w:rsid w:val="00826805"/>
    <w:rsid w:val="008270EF"/>
    <w:rsid w:val="00827148"/>
    <w:rsid w:val="008271EB"/>
    <w:rsid w:val="0082782D"/>
    <w:rsid w:val="00827C04"/>
    <w:rsid w:val="00827F1A"/>
    <w:rsid w:val="00827FA1"/>
    <w:rsid w:val="00830212"/>
    <w:rsid w:val="00830400"/>
    <w:rsid w:val="008304B4"/>
    <w:rsid w:val="008304D1"/>
    <w:rsid w:val="00830F33"/>
    <w:rsid w:val="00831189"/>
    <w:rsid w:val="0083148A"/>
    <w:rsid w:val="0083167F"/>
    <w:rsid w:val="00831ADC"/>
    <w:rsid w:val="00831B58"/>
    <w:rsid w:val="00831E5A"/>
    <w:rsid w:val="00831F54"/>
    <w:rsid w:val="00832240"/>
    <w:rsid w:val="0083253F"/>
    <w:rsid w:val="008326B0"/>
    <w:rsid w:val="00832A78"/>
    <w:rsid w:val="008336B1"/>
    <w:rsid w:val="0083387F"/>
    <w:rsid w:val="008338A0"/>
    <w:rsid w:val="008338FF"/>
    <w:rsid w:val="00833F9D"/>
    <w:rsid w:val="0083414E"/>
    <w:rsid w:val="00834282"/>
    <w:rsid w:val="0083445F"/>
    <w:rsid w:val="00834828"/>
    <w:rsid w:val="00834B67"/>
    <w:rsid w:val="00834BEC"/>
    <w:rsid w:val="00834DCD"/>
    <w:rsid w:val="0083519A"/>
    <w:rsid w:val="00835398"/>
    <w:rsid w:val="008358EF"/>
    <w:rsid w:val="00835ACE"/>
    <w:rsid w:val="00836AD5"/>
    <w:rsid w:val="00836EC1"/>
    <w:rsid w:val="00836F67"/>
    <w:rsid w:val="0083702E"/>
    <w:rsid w:val="008373A2"/>
    <w:rsid w:val="0083770E"/>
    <w:rsid w:val="00837726"/>
    <w:rsid w:val="00837947"/>
    <w:rsid w:val="00837AD4"/>
    <w:rsid w:val="00837B9A"/>
    <w:rsid w:val="00837DF3"/>
    <w:rsid w:val="008403B7"/>
    <w:rsid w:val="00840F3B"/>
    <w:rsid w:val="00841377"/>
    <w:rsid w:val="008413F0"/>
    <w:rsid w:val="00841632"/>
    <w:rsid w:val="00841673"/>
    <w:rsid w:val="00841969"/>
    <w:rsid w:val="00841E81"/>
    <w:rsid w:val="008421FF"/>
    <w:rsid w:val="008422D2"/>
    <w:rsid w:val="00842677"/>
    <w:rsid w:val="00842975"/>
    <w:rsid w:val="00842CE6"/>
    <w:rsid w:val="00842FAF"/>
    <w:rsid w:val="008430E4"/>
    <w:rsid w:val="008436AE"/>
    <w:rsid w:val="0084372D"/>
    <w:rsid w:val="00843BA0"/>
    <w:rsid w:val="00843C2D"/>
    <w:rsid w:val="00843D6E"/>
    <w:rsid w:val="00843DB1"/>
    <w:rsid w:val="0084431F"/>
    <w:rsid w:val="00845158"/>
    <w:rsid w:val="0084581A"/>
    <w:rsid w:val="008458FD"/>
    <w:rsid w:val="00845B48"/>
    <w:rsid w:val="00845B85"/>
    <w:rsid w:val="00845C2A"/>
    <w:rsid w:val="00845F50"/>
    <w:rsid w:val="00846026"/>
    <w:rsid w:val="0084607D"/>
    <w:rsid w:val="008462E7"/>
    <w:rsid w:val="00846543"/>
    <w:rsid w:val="00846549"/>
    <w:rsid w:val="008465CF"/>
    <w:rsid w:val="00846617"/>
    <w:rsid w:val="0084690E"/>
    <w:rsid w:val="00846EAA"/>
    <w:rsid w:val="0084713F"/>
    <w:rsid w:val="00847240"/>
    <w:rsid w:val="0084728A"/>
    <w:rsid w:val="008472AF"/>
    <w:rsid w:val="00847E29"/>
    <w:rsid w:val="00847EA6"/>
    <w:rsid w:val="008504CB"/>
    <w:rsid w:val="008507AB"/>
    <w:rsid w:val="00850ABE"/>
    <w:rsid w:val="00850B05"/>
    <w:rsid w:val="00851576"/>
    <w:rsid w:val="00851F09"/>
    <w:rsid w:val="00851FC1"/>
    <w:rsid w:val="0085285A"/>
    <w:rsid w:val="00852CF5"/>
    <w:rsid w:val="00852E8A"/>
    <w:rsid w:val="008530A0"/>
    <w:rsid w:val="008531BF"/>
    <w:rsid w:val="00853349"/>
    <w:rsid w:val="00853DF1"/>
    <w:rsid w:val="0085458E"/>
    <w:rsid w:val="00854D6D"/>
    <w:rsid w:val="00855141"/>
    <w:rsid w:val="00855192"/>
    <w:rsid w:val="008551F5"/>
    <w:rsid w:val="008552EB"/>
    <w:rsid w:val="0085544D"/>
    <w:rsid w:val="00855FE2"/>
    <w:rsid w:val="0085618A"/>
    <w:rsid w:val="008568F7"/>
    <w:rsid w:val="00857036"/>
    <w:rsid w:val="008570E2"/>
    <w:rsid w:val="0085723B"/>
    <w:rsid w:val="0085783F"/>
    <w:rsid w:val="00857CE9"/>
    <w:rsid w:val="00857EAD"/>
    <w:rsid w:val="00860043"/>
    <w:rsid w:val="00860083"/>
    <w:rsid w:val="0086061F"/>
    <w:rsid w:val="00860708"/>
    <w:rsid w:val="00860767"/>
    <w:rsid w:val="008607EE"/>
    <w:rsid w:val="0086084B"/>
    <w:rsid w:val="00860A65"/>
    <w:rsid w:val="00860B25"/>
    <w:rsid w:val="0086163B"/>
    <w:rsid w:val="00861FA9"/>
    <w:rsid w:val="00862461"/>
    <w:rsid w:val="0086275D"/>
    <w:rsid w:val="0086290E"/>
    <w:rsid w:val="00862C3A"/>
    <w:rsid w:val="00862CBF"/>
    <w:rsid w:val="00862E28"/>
    <w:rsid w:val="0086302F"/>
    <w:rsid w:val="008632DA"/>
    <w:rsid w:val="00863550"/>
    <w:rsid w:val="0086369A"/>
    <w:rsid w:val="0086399E"/>
    <w:rsid w:val="008639DA"/>
    <w:rsid w:val="00863F3E"/>
    <w:rsid w:val="008646F7"/>
    <w:rsid w:val="00864876"/>
    <w:rsid w:val="008649FB"/>
    <w:rsid w:val="00864C90"/>
    <w:rsid w:val="00864CA0"/>
    <w:rsid w:val="00864D9A"/>
    <w:rsid w:val="00864DA9"/>
    <w:rsid w:val="00864F15"/>
    <w:rsid w:val="008653FA"/>
    <w:rsid w:val="0086548D"/>
    <w:rsid w:val="008654C1"/>
    <w:rsid w:val="00865EF5"/>
    <w:rsid w:val="008660B6"/>
    <w:rsid w:val="00866531"/>
    <w:rsid w:val="00866803"/>
    <w:rsid w:val="0086685A"/>
    <w:rsid w:val="00866B4F"/>
    <w:rsid w:val="00866B77"/>
    <w:rsid w:val="00866E6E"/>
    <w:rsid w:val="00867448"/>
    <w:rsid w:val="0086795E"/>
    <w:rsid w:val="0086797E"/>
    <w:rsid w:val="00867EE2"/>
    <w:rsid w:val="00870457"/>
    <w:rsid w:val="008705FD"/>
    <w:rsid w:val="00870987"/>
    <w:rsid w:val="00870F05"/>
    <w:rsid w:val="008711E8"/>
    <w:rsid w:val="008716F7"/>
    <w:rsid w:val="00871800"/>
    <w:rsid w:val="00871802"/>
    <w:rsid w:val="00871EF5"/>
    <w:rsid w:val="00872416"/>
    <w:rsid w:val="008728C3"/>
    <w:rsid w:val="00873551"/>
    <w:rsid w:val="00873DD3"/>
    <w:rsid w:val="0087451E"/>
    <w:rsid w:val="008746ED"/>
    <w:rsid w:val="008746F5"/>
    <w:rsid w:val="00874878"/>
    <w:rsid w:val="008748AE"/>
    <w:rsid w:val="008749AA"/>
    <w:rsid w:val="008750A5"/>
    <w:rsid w:val="00875199"/>
    <w:rsid w:val="00875308"/>
    <w:rsid w:val="008756AD"/>
    <w:rsid w:val="008756C2"/>
    <w:rsid w:val="00875B8E"/>
    <w:rsid w:val="008777B9"/>
    <w:rsid w:val="00877B4A"/>
    <w:rsid w:val="00880771"/>
    <w:rsid w:val="00880ABD"/>
    <w:rsid w:val="00880DD2"/>
    <w:rsid w:val="008816C8"/>
    <w:rsid w:val="0088181E"/>
    <w:rsid w:val="00881B89"/>
    <w:rsid w:val="00881D65"/>
    <w:rsid w:val="00881DE7"/>
    <w:rsid w:val="008821EE"/>
    <w:rsid w:val="008825DB"/>
    <w:rsid w:val="008825F4"/>
    <w:rsid w:val="00882911"/>
    <w:rsid w:val="00882CB0"/>
    <w:rsid w:val="00882DF0"/>
    <w:rsid w:val="00883005"/>
    <w:rsid w:val="008835CC"/>
    <w:rsid w:val="0088365F"/>
    <w:rsid w:val="00883846"/>
    <w:rsid w:val="008838A5"/>
    <w:rsid w:val="008838AB"/>
    <w:rsid w:val="00884532"/>
    <w:rsid w:val="0088454E"/>
    <w:rsid w:val="0088458E"/>
    <w:rsid w:val="00884633"/>
    <w:rsid w:val="0088469B"/>
    <w:rsid w:val="008846D5"/>
    <w:rsid w:val="0088486F"/>
    <w:rsid w:val="00884B4A"/>
    <w:rsid w:val="00884BA0"/>
    <w:rsid w:val="00884EE0"/>
    <w:rsid w:val="00884F41"/>
    <w:rsid w:val="00885280"/>
    <w:rsid w:val="0088536B"/>
    <w:rsid w:val="008856CD"/>
    <w:rsid w:val="00885823"/>
    <w:rsid w:val="00885AF8"/>
    <w:rsid w:val="008863A2"/>
    <w:rsid w:val="00886528"/>
    <w:rsid w:val="00886624"/>
    <w:rsid w:val="0088665E"/>
    <w:rsid w:val="00886786"/>
    <w:rsid w:val="008867C4"/>
    <w:rsid w:val="0088691F"/>
    <w:rsid w:val="00886967"/>
    <w:rsid w:val="00886B97"/>
    <w:rsid w:val="00886C61"/>
    <w:rsid w:val="00886D87"/>
    <w:rsid w:val="00887577"/>
    <w:rsid w:val="008879B9"/>
    <w:rsid w:val="00887AE3"/>
    <w:rsid w:val="00887D16"/>
    <w:rsid w:val="00887EC4"/>
    <w:rsid w:val="00887F7E"/>
    <w:rsid w:val="00887F8B"/>
    <w:rsid w:val="00887FA6"/>
    <w:rsid w:val="0089055D"/>
    <w:rsid w:val="00890F04"/>
    <w:rsid w:val="00890F0E"/>
    <w:rsid w:val="00890F35"/>
    <w:rsid w:val="008918A7"/>
    <w:rsid w:val="00891F63"/>
    <w:rsid w:val="00891FB3"/>
    <w:rsid w:val="00892214"/>
    <w:rsid w:val="00892300"/>
    <w:rsid w:val="00892343"/>
    <w:rsid w:val="00892376"/>
    <w:rsid w:val="00892BC9"/>
    <w:rsid w:val="0089393A"/>
    <w:rsid w:val="00893F25"/>
    <w:rsid w:val="0089416F"/>
    <w:rsid w:val="0089423D"/>
    <w:rsid w:val="00894267"/>
    <w:rsid w:val="00894834"/>
    <w:rsid w:val="0089492F"/>
    <w:rsid w:val="00894E76"/>
    <w:rsid w:val="00895118"/>
    <w:rsid w:val="00895319"/>
    <w:rsid w:val="00895439"/>
    <w:rsid w:val="00895D3F"/>
    <w:rsid w:val="00896360"/>
    <w:rsid w:val="008963F6"/>
    <w:rsid w:val="0089665F"/>
    <w:rsid w:val="00896F18"/>
    <w:rsid w:val="0089703E"/>
    <w:rsid w:val="00897193"/>
    <w:rsid w:val="008971D6"/>
    <w:rsid w:val="00897428"/>
    <w:rsid w:val="008975ED"/>
    <w:rsid w:val="00897A2A"/>
    <w:rsid w:val="00897CC5"/>
    <w:rsid w:val="00897F5C"/>
    <w:rsid w:val="008A0317"/>
    <w:rsid w:val="008A09CF"/>
    <w:rsid w:val="008A0B7D"/>
    <w:rsid w:val="008A16BF"/>
    <w:rsid w:val="008A1A7C"/>
    <w:rsid w:val="008A1C77"/>
    <w:rsid w:val="008A1E3E"/>
    <w:rsid w:val="008A265B"/>
    <w:rsid w:val="008A2664"/>
    <w:rsid w:val="008A2A78"/>
    <w:rsid w:val="008A2B28"/>
    <w:rsid w:val="008A33F9"/>
    <w:rsid w:val="008A3572"/>
    <w:rsid w:val="008A3B46"/>
    <w:rsid w:val="008A3D7C"/>
    <w:rsid w:val="008A3ED2"/>
    <w:rsid w:val="008A4464"/>
    <w:rsid w:val="008A45AF"/>
    <w:rsid w:val="008A46FF"/>
    <w:rsid w:val="008A4A9A"/>
    <w:rsid w:val="008A502A"/>
    <w:rsid w:val="008A51BD"/>
    <w:rsid w:val="008A54E3"/>
    <w:rsid w:val="008A564C"/>
    <w:rsid w:val="008A5D0C"/>
    <w:rsid w:val="008A5D90"/>
    <w:rsid w:val="008A5E5C"/>
    <w:rsid w:val="008A619F"/>
    <w:rsid w:val="008A663C"/>
    <w:rsid w:val="008A6CC7"/>
    <w:rsid w:val="008A6DFC"/>
    <w:rsid w:val="008A735F"/>
    <w:rsid w:val="008A7584"/>
    <w:rsid w:val="008A795B"/>
    <w:rsid w:val="008A7C37"/>
    <w:rsid w:val="008B0242"/>
    <w:rsid w:val="008B03C8"/>
    <w:rsid w:val="008B053B"/>
    <w:rsid w:val="008B05F7"/>
    <w:rsid w:val="008B0762"/>
    <w:rsid w:val="008B0BEC"/>
    <w:rsid w:val="008B0E5B"/>
    <w:rsid w:val="008B1053"/>
    <w:rsid w:val="008B106A"/>
    <w:rsid w:val="008B1208"/>
    <w:rsid w:val="008B1A55"/>
    <w:rsid w:val="008B1B5F"/>
    <w:rsid w:val="008B1E1B"/>
    <w:rsid w:val="008B2186"/>
    <w:rsid w:val="008B2384"/>
    <w:rsid w:val="008B2667"/>
    <w:rsid w:val="008B26F0"/>
    <w:rsid w:val="008B27F4"/>
    <w:rsid w:val="008B27F9"/>
    <w:rsid w:val="008B2835"/>
    <w:rsid w:val="008B295B"/>
    <w:rsid w:val="008B2CF7"/>
    <w:rsid w:val="008B3081"/>
    <w:rsid w:val="008B3630"/>
    <w:rsid w:val="008B3D03"/>
    <w:rsid w:val="008B3ED6"/>
    <w:rsid w:val="008B4438"/>
    <w:rsid w:val="008B4892"/>
    <w:rsid w:val="008B48BD"/>
    <w:rsid w:val="008B4BF4"/>
    <w:rsid w:val="008B5204"/>
    <w:rsid w:val="008B552F"/>
    <w:rsid w:val="008B55C3"/>
    <w:rsid w:val="008B64FC"/>
    <w:rsid w:val="008B65D6"/>
    <w:rsid w:val="008B6835"/>
    <w:rsid w:val="008B69BA"/>
    <w:rsid w:val="008B6AAD"/>
    <w:rsid w:val="008B6C5B"/>
    <w:rsid w:val="008B6CDC"/>
    <w:rsid w:val="008B6D57"/>
    <w:rsid w:val="008B6D72"/>
    <w:rsid w:val="008B773C"/>
    <w:rsid w:val="008B7780"/>
    <w:rsid w:val="008B7A1B"/>
    <w:rsid w:val="008B7AA8"/>
    <w:rsid w:val="008B7AD4"/>
    <w:rsid w:val="008B7CE4"/>
    <w:rsid w:val="008B7D5E"/>
    <w:rsid w:val="008C011F"/>
    <w:rsid w:val="008C04D9"/>
    <w:rsid w:val="008C0D2C"/>
    <w:rsid w:val="008C0D5B"/>
    <w:rsid w:val="008C0DF8"/>
    <w:rsid w:val="008C115E"/>
    <w:rsid w:val="008C16BF"/>
    <w:rsid w:val="008C1700"/>
    <w:rsid w:val="008C19DC"/>
    <w:rsid w:val="008C211D"/>
    <w:rsid w:val="008C224F"/>
    <w:rsid w:val="008C237C"/>
    <w:rsid w:val="008C250C"/>
    <w:rsid w:val="008C2655"/>
    <w:rsid w:val="008C2C87"/>
    <w:rsid w:val="008C3015"/>
    <w:rsid w:val="008C31AF"/>
    <w:rsid w:val="008C322F"/>
    <w:rsid w:val="008C3248"/>
    <w:rsid w:val="008C341B"/>
    <w:rsid w:val="008C3FD3"/>
    <w:rsid w:val="008C4100"/>
    <w:rsid w:val="008C4B7D"/>
    <w:rsid w:val="008C53E0"/>
    <w:rsid w:val="008C57E1"/>
    <w:rsid w:val="008C57FD"/>
    <w:rsid w:val="008C57FF"/>
    <w:rsid w:val="008C586D"/>
    <w:rsid w:val="008C5A42"/>
    <w:rsid w:val="008C5C07"/>
    <w:rsid w:val="008C5D5A"/>
    <w:rsid w:val="008C5DA9"/>
    <w:rsid w:val="008C5EA8"/>
    <w:rsid w:val="008C5EEA"/>
    <w:rsid w:val="008C60B7"/>
    <w:rsid w:val="008C61A8"/>
    <w:rsid w:val="008C6A1C"/>
    <w:rsid w:val="008C6C17"/>
    <w:rsid w:val="008C6DB2"/>
    <w:rsid w:val="008C6E75"/>
    <w:rsid w:val="008C71E5"/>
    <w:rsid w:val="008C77CF"/>
    <w:rsid w:val="008C7D1E"/>
    <w:rsid w:val="008C7DA3"/>
    <w:rsid w:val="008D035B"/>
    <w:rsid w:val="008D03EC"/>
    <w:rsid w:val="008D067D"/>
    <w:rsid w:val="008D06EE"/>
    <w:rsid w:val="008D074A"/>
    <w:rsid w:val="008D0810"/>
    <w:rsid w:val="008D0E8C"/>
    <w:rsid w:val="008D117D"/>
    <w:rsid w:val="008D156E"/>
    <w:rsid w:val="008D15FF"/>
    <w:rsid w:val="008D160F"/>
    <w:rsid w:val="008D1908"/>
    <w:rsid w:val="008D1C8F"/>
    <w:rsid w:val="008D20B9"/>
    <w:rsid w:val="008D20BF"/>
    <w:rsid w:val="008D20C3"/>
    <w:rsid w:val="008D2315"/>
    <w:rsid w:val="008D272C"/>
    <w:rsid w:val="008D28BA"/>
    <w:rsid w:val="008D35D4"/>
    <w:rsid w:val="008D36E9"/>
    <w:rsid w:val="008D395E"/>
    <w:rsid w:val="008D3DBF"/>
    <w:rsid w:val="008D4172"/>
    <w:rsid w:val="008D4428"/>
    <w:rsid w:val="008D4510"/>
    <w:rsid w:val="008D4569"/>
    <w:rsid w:val="008D572E"/>
    <w:rsid w:val="008D578D"/>
    <w:rsid w:val="008D584D"/>
    <w:rsid w:val="008D586A"/>
    <w:rsid w:val="008D5C3D"/>
    <w:rsid w:val="008D5CE9"/>
    <w:rsid w:val="008D5FC4"/>
    <w:rsid w:val="008D6034"/>
    <w:rsid w:val="008D63D4"/>
    <w:rsid w:val="008D713D"/>
    <w:rsid w:val="008D7397"/>
    <w:rsid w:val="008D73F9"/>
    <w:rsid w:val="008D76A0"/>
    <w:rsid w:val="008D7797"/>
    <w:rsid w:val="008D790A"/>
    <w:rsid w:val="008D7B76"/>
    <w:rsid w:val="008D7BC0"/>
    <w:rsid w:val="008D7C6D"/>
    <w:rsid w:val="008D7D88"/>
    <w:rsid w:val="008D7E5D"/>
    <w:rsid w:val="008E03C0"/>
    <w:rsid w:val="008E0612"/>
    <w:rsid w:val="008E0621"/>
    <w:rsid w:val="008E0AD3"/>
    <w:rsid w:val="008E1D84"/>
    <w:rsid w:val="008E1DA0"/>
    <w:rsid w:val="008E1DBB"/>
    <w:rsid w:val="008E20BD"/>
    <w:rsid w:val="008E29B8"/>
    <w:rsid w:val="008E2A6D"/>
    <w:rsid w:val="008E2B0C"/>
    <w:rsid w:val="008E2D5B"/>
    <w:rsid w:val="008E30E6"/>
    <w:rsid w:val="008E337D"/>
    <w:rsid w:val="008E3386"/>
    <w:rsid w:val="008E3739"/>
    <w:rsid w:val="008E3D9D"/>
    <w:rsid w:val="008E406A"/>
    <w:rsid w:val="008E48DB"/>
    <w:rsid w:val="008E4956"/>
    <w:rsid w:val="008E49C1"/>
    <w:rsid w:val="008E4ADE"/>
    <w:rsid w:val="008E4D0B"/>
    <w:rsid w:val="008E5311"/>
    <w:rsid w:val="008E55B1"/>
    <w:rsid w:val="008E55B7"/>
    <w:rsid w:val="008E57EB"/>
    <w:rsid w:val="008E5863"/>
    <w:rsid w:val="008E5C6A"/>
    <w:rsid w:val="008E5DA4"/>
    <w:rsid w:val="008E5E26"/>
    <w:rsid w:val="008E600F"/>
    <w:rsid w:val="008E6032"/>
    <w:rsid w:val="008E60AC"/>
    <w:rsid w:val="008E68CC"/>
    <w:rsid w:val="008E6B04"/>
    <w:rsid w:val="008E6DE0"/>
    <w:rsid w:val="008E6EFC"/>
    <w:rsid w:val="008E6FE8"/>
    <w:rsid w:val="008E705A"/>
    <w:rsid w:val="008E73EB"/>
    <w:rsid w:val="008E769D"/>
    <w:rsid w:val="008E78CD"/>
    <w:rsid w:val="008E79C7"/>
    <w:rsid w:val="008E7C2A"/>
    <w:rsid w:val="008E7CD5"/>
    <w:rsid w:val="008E7D2A"/>
    <w:rsid w:val="008E7DBD"/>
    <w:rsid w:val="008E7DE8"/>
    <w:rsid w:val="008F04DE"/>
    <w:rsid w:val="008F0632"/>
    <w:rsid w:val="008F0910"/>
    <w:rsid w:val="008F0912"/>
    <w:rsid w:val="008F09A7"/>
    <w:rsid w:val="008F114D"/>
    <w:rsid w:val="008F11E2"/>
    <w:rsid w:val="008F131C"/>
    <w:rsid w:val="008F1747"/>
    <w:rsid w:val="008F1954"/>
    <w:rsid w:val="008F22A2"/>
    <w:rsid w:val="008F2322"/>
    <w:rsid w:val="008F2637"/>
    <w:rsid w:val="008F2705"/>
    <w:rsid w:val="008F2733"/>
    <w:rsid w:val="008F283C"/>
    <w:rsid w:val="008F2941"/>
    <w:rsid w:val="008F2A84"/>
    <w:rsid w:val="008F2ADA"/>
    <w:rsid w:val="008F2E7E"/>
    <w:rsid w:val="008F2FB6"/>
    <w:rsid w:val="008F359C"/>
    <w:rsid w:val="008F3873"/>
    <w:rsid w:val="008F3946"/>
    <w:rsid w:val="008F3DDB"/>
    <w:rsid w:val="008F3F7A"/>
    <w:rsid w:val="008F3FC1"/>
    <w:rsid w:val="008F482A"/>
    <w:rsid w:val="008F51A1"/>
    <w:rsid w:val="008F529A"/>
    <w:rsid w:val="008F53C3"/>
    <w:rsid w:val="008F5571"/>
    <w:rsid w:val="008F557E"/>
    <w:rsid w:val="008F56BF"/>
    <w:rsid w:val="008F5A61"/>
    <w:rsid w:val="008F615F"/>
    <w:rsid w:val="008F662A"/>
    <w:rsid w:val="008F68B5"/>
    <w:rsid w:val="008F70A7"/>
    <w:rsid w:val="008F72FB"/>
    <w:rsid w:val="008F795A"/>
    <w:rsid w:val="008F79D2"/>
    <w:rsid w:val="008F7D8C"/>
    <w:rsid w:val="008F7F2F"/>
    <w:rsid w:val="008FE602"/>
    <w:rsid w:val="00900225"/>
    <w:rsid w:val="00900525"/>
    <w:rsid w:val="00900A4B"/>
    <w:rsid w:val="00900AE1"/>
    <w:rsid w:val="00900B68"/>
    <w:rsid w:val="00900D9F"/>
    <w:rsid w:val="00900E35"/>
    <w:rsid w:val="00900F14"/>
    <w:rsid w:val="009014BB"/>
    <w:rsid w:val="00901562"/>
    <w:rsid w:val="009016D4"/>
    <w:rsid w:val="00901808"/>
    <w:rsid w:val="00901EF2"/>
    <w:rsid w:val="009021AB"/>
    <w:rsid w:val="00902600"/>
    <w:rsid w:val="009028B6"/>
    <w:rsid w:val="00902AE6"/>
    <w:rsid w:val="00902B42"/>
    <w:rsid w:val="00902B4F"/>
    <w:rsid w:val="00902D74"/>
    <w:rsid w:val="00902F69"/>
    <w:rsid w:val="0090311C"/>
    <w:rsid w:val="00903716"/>
    <w:rsid w:val="0090395C"/>
    <w:rsid w:val="00903B49"/>
    <w:rsid w:val="00903BD2"/>
    <w:rsid w:val="00903BF2"/>
    <w:rsid w:val="00903C95"/>
    <w:rsid w:val="009043C1"/>
    <w:rsid w:val="00904F44"/>
    <w:rsid w:val="00905284"/>
    <w:rsid w:val="00905307"/>
    <w:rsid w:val="0090570F"/>
    <w:rsid w:val="00906121"/>
    <w:rsid w:val="009061A5"/>
    <w:rsid w:val="00906325"/>
    <w:rsid w:val="0090662E"/>
    <w:rsid w:val="009067D5"/>
    <w:rsid w:val="00906BDD"/>
    <w:rsid w:val="00906D47"/>
    <w:rsid w:val="00906D48"/>
    <w:rsid w:val="00906DB7"/>
    <w:rsid w:val="00906EB2"/>
    <w:rsid w:val="00906FBD"/>
    <w:rsid w:val="00907383"/>
    <w:rsid w:val="009078F2"/>
    <w:rsid w:val="00907A32"/>
    <w:rsid w:val="00907A6B"/>
    <w:rsid w:val="00907AAA"/>
    <w:rsid w:val="00907BA6"/>
    <w:rsid w:val="00907C7B"/>
    <w:rsid w:val="00910160"/>
    <w:rsid w:val="00910262"/>
    <w:rsid w:val="0091094F"/>
    <w:rsid w:val="00911150"/>
    <w:rsid w:val="0091141A"/>
    <w:rsid w:val="00911690"/>
    <w:rsid w:val="00912212"/>
    <w:rsid w:val="009125C5"/>
    <w:rsid w:val="00912780"/>
    <w:rsid w:val="00912ADE"/>
    <w:rsid w:val="00912CF9"/>
    <w:rsid w:val="00912E99"/>
    <w:rsid w:val="00913935"/>
    <w:rsid w:val="00913D96"/>
    <w:rsid w:val="0091441F"/>
    <w:rsid w:val="009144E4"/>
    <w:rsid w:val="009147A1"/>
    <w:rsid w:val="00914A59"/>
    <w:rsid w:val="00914C64"/>
    <w:rsid w:val="00915130"/>
    <w:rsid w:val="0091567C"/>
    <w:rsid w:val="00915D83"/>
    <w:rsid w:val="00915D91"/>
    <w:rsid w:val="00915F36"/>
    <w:rsid w:val="00915FB4"/>
    <w:rsid w:val="00916199"/>
    <w:rsid w:val="00916366"/>
    <w:rsid w:val="00916472"/>
    <w:rsid w:val="009174FC"/>
    <w:rsid w:val="00917735"/>
    <w:rsid w:val="00917BE8"/>
    <w:rsid w:val="00917FA0"/>
    <w:rsid w:val="00920198"/>
    <w:rsid w:val="00920453"/>
    <w:rsid w:val="009205E7"/>
    <w:rsid w:val="009208B6"/>
    <w:rsid w:val="00920917"/>
    <w:rsid w:val="009209D8"/>
    <w:rsid w:val="00920E4F"/>
    <w:rsid w:val="009210A6"/>
    <w:rsid w:val="009210BB"/>
    <w:rsid w:val="00921799"/>
    <w:rsid w:val="00922021"/>
    <w:rsid w:val="00922059"/>
    <w:rsid w:val="00922745"/>
    <w:rsid w:val="00922A55"/>
    <w:rsid w:val="009230B0"/>
    <w:rsid w:val="00923157"/>
    <w:rsid w:val="00923215"/>
    <w:rsid w:val="00923367"/>
    <w:rsid w:val="0092342A"/>
    <w:rsid w:val="00923617"/>
    <w:rsid w:val="00923DDF"/>
    <w:rsid w:val="00923FEF"/>
    <w:rsid w:val="0092444D"/>
    <w:rsid w:val="0092460E"/>
    <w:rsid w:val="00924994"/>
    <w:rsid w:val="00924AB9"/>
    <w:rsid w:val="009253D0"/>
    <w:rsid w:val="00925B18"/>
    <w:rsid w:val="00925D88"/>
    <w:rsid w:val="00926336"/>
    <w:rsid w:val="009270B8"/>
    <w:rsid w:val="0092770B"/>
    <w:rsid w:val="009277FB"/>
    <w:rsid w:val="00927B66"/>
    <w:rsid w:val="00927DC2"/>
    <w:rsid w:val="00930118"/>
    <w:rsid w:val="009307D3"/>
    <w:rsid w:val="0093082C"/>
    <w:rsid w:val="00930B01"/>
    <w:rsid w:val="00930E32"/>
    <w:rsid w:val="0093125E"/>
    <w:rsid w:val="00931640"/>
    <w:rsid w:val="00931D4C"/>
    <w:rsid w:val="009321A6"/>
    <w:rsid w:val="00932211"/>
    <w:rsid w:val="0093238A"/>
    <w:rsid w:val="0093260D"/>
    <w:rsid w:val="0093344D"/>
    <w:rsid w:val="00933690"/>
    <w:rsid w:val="0093468A"/>
    <w:rsid w:val="009346E7"/>
    <w:rsid w:val="00934877"/>
    <w:rsid w:val="00934982"/>
    <w:rsid w:val="009349AA"/>
    <w:rsid w:val="00934B9C"/>
    <w:rsid w:val="00934BDB"/>
    <w:rsid w:val="00934C67"/>
    <w:rsid w:val="00934D5A"/>
    <w:rsid w:val="00934EAC"/>
    <w:rsid w:val="00934F10"/>
    <w:rsid w:val="009355D2"/>
    <w:rsid w:val="00935622"/>
    <w:rsid w:val="009358D8"/>
    <w:rsid w:val="009359C0"/>
    <w:rsid w:val="00935A28"/>
    <w:rsid w:val="00935BF7"/>
    <w:rsid w:val="00935D91"/>
    <w:rsid w:val="00936016"/>
    <w:rsid w:val="009360E6"/>
    <w:rsid w:val="00936790"/>
    <w:rsid w:val="00936A1D"/>
    <w:rsid w:val="009374D1"/>
    <w:rsid w:val="009377CD"/>
    <w:rsid w:val="00937C36"/>
    <w:rsid w:val="00937ED5"/>
    <w:rsid w:val="00937F43"/>
    <w:rsid w:val="00937FDA"/>
    <w:rsid w:val="0093AD7F"/>
    <w:rsid w:val="009401AD"/>
    <w:rsid w:val="00940499"/>
    <w:rsid w:val="009404ED"/>
    <w:rsid w:val="009404EF"/>
    <w:rsid w:val="0094078C"/>
    <w:rsid w:val="0094096E"/>
    <w:rsid w:val="00940B70"/>
    <w:rsid w:val="00940C56"/>
    <w:rsid w:val="009410D7"/>
    <w:rsid w:val="00941A3D"/>
    <w:rsid w:val="00941F79"/>
    <w:rsid w:val="009420A5"/>
    <w:rsid w:val="0094227B"/>
    <w:rsid w:val="009428E3"/>
    <w:rsid w:val="00942BC5"/>
    <w:rsid w:val="00942D09"/>
    <w:rsid w:val="00942D59"/>
    <w:rsid w:val="00943214"/>
    <w:rsid w:val="009434A8"/>
    <w:rsid w:val="00943748"/>
    <w:rsid w:val="00944238"/>
    <w:rsid w:val="00944281"/>
    <w:rsid w:val="009442D5"/>
    <w:rsid w:val="009442D8"/>
    <w:rsid w:val="00944C55"/>
    <w:rsid w:val="00944DBA"/>
    <w:rsid w:val="00944E1C"/>
    <w:rsid w:val="009452D0"/>
    <w:rsid w:val="009453D4"/>
    <w:rsid w:val="0094549E"/>
    <w:rsid w:val="009458A5"/>
    <w:rsid w:val="00945938"/>
    <w:rsid w:val="00945B71"/>
    <w:rsid w:val="009462E3"/>
    <w:rsid w:val="0094636A"/>
    <w:rsid w:val="00946411"/>
    <w:rsid w:val="00946691"/>
    <w:rsid w:val="00946864"/>
    <w:rsid w:val="00946D4B"/>
    <w:rsid w:val="00946F02"/>
    <w:rsid w:val="009473BB"/>
    <w:rsid w:val="00947678"/>
    <w:rsid w:val="0094785D"/>
    <w:rsid w:val="00947870"/>
    <w:rsid w:val="00947A0C"/>
    <w:rsid w:val="00950416"/>
    <w:rsid w:val="00950440"/>
    <w:rsid w:val="00950957"/>
    <w:rsid w:val="00950AE3"/>
    <w:rsid w:val="00950D99"/>
    <w:rsid w:val="0095130D"/>
    <w:rsid w:val="00951468"/>
    <w:rsid w:val="00951526"/>
    <w:rsid w:val="00951855"/>
    <w:rsid w:val="00951A50"/>
    <w:rsid w:val="00952316"/>
    <w:rsid w:val="00952ABC"/>
    <w:rsid w:val="00952E0B"/>
    <w:rsid w:val="00952EBA"/>
    <w:rsid w:val="009536D4"/>
    <w:rsid w:val="00953A53"/>
    <w:rsid w:val="00953BB7"/>
    <w:rsid w:val="00953E7A"/>
    <w:rsid w:val="00954118"/>
    <w:rsid w:val="00954224"/>
    <w:rsid w:val="00954EA5"/>
    <w:rsid w:val="00955208"/>
    <w:rsid w:val="0095547D"/>
    <w:rsid w:val="009554BC"/>
    <w:rsid w:val="0095555B"/>
    <w:rsid w:val="00955E2D"/>
    <w:rsid w:val="00955F45"/>
    <w:rsid w:val="009564C4"/>
    <w:rsid w:val="00956CAD"/>
    <w:rsid w:val="00956EAE"/>
    <w:rsid w:val="0095717E"/>
    <w:rsid w:val="0095751D"/>
    <w:rsid w:val="009578CF"/>
    <w:rsid w:val="00957B2D"/>
    <w:rsid w:val="00957DC2"/>
    <w:rsid w:val="00957DEE"/>
    <w:rsid w:val="00957EE5"/>
    <w:rsid w:val="0096017A"/>
    <w:rsid w:val="009606A5"/>
    <w:rsid w:val="00960738"/>
    <w:rsid w:val="00960901"/>
    <w:rsid w:val="0096094E"/>
    <w:rsid w:val="00960A23"/>
    <w:rsid w:val="00960D8D"/>
    <w:rsid w:val="00960FAD"/>
    <w:rsid w:val="0096118B"/>
    <w:rsid w:val="00961C8B"/>
    <w:rsid w:val="00962B52"/>
    <w:rsid w:val="00962D47"/>
    <w:rsid w:val="009633D7"/>
    <w:rsid w:val="00963634"/>
    <w:rsid w:val="00963B3E"/>
    <w:rsid w:val="00963CF5"/>
    <w:rsid w:val="00964092"/>
    <w:rsid w:val="00964208"/>
    <w:rsid w:val="00964ADE"/>
    <w:rsid w:val="00964F26"/>
    <w:rsid w:val="009654BC"/>
    <w:rsid w:val="00965665"/>
    <w:rsid w:val="00965B72"/>
    <w:rsid w:val="00965F5A"/>
    <w:rsid w:val="00965F69"/>
    <w:rsid w:val="0096671E"/>
    <w:rsid w:val="009667CA"/>
    <w:rsid w:val="0096686D"/>
    <w:rsid w:val="0096692A"/>
    <w:rsid w:val="009669BF"/>
    <w:rsid w:val="009669DD"/>
    <w:rsid w:val="00966DFE"/>
    <w:rsid w:val="00966F77"/>
    <w:rsid w:val="00967333"/>
    <w:rsid w:val="009679D4"/>
    <w:rsid w:val="00967B66"/>
    <w:rsid w:val="00967F2F"/>
    <w:rsid w:val="009702A9"/>
    <w:rsid w:val="0097066D"/>
    <w:rsid w:val="009711D7"/>
    <w:rsid w:val="009715E6"/>
    <w:rsid w:val="00972980"/>
    <w:rsid w:val="00972F1C"/>
    <w:rsid w:val="00972F74"/>
    <w:rsid w:val="009738AA"/>
    <w:rsid w:val="0097395D"/>
    <w:rsid w:val="00973BC1"/>
    <w:rsid w:val="00973FC8"/>
    <w:rsid w:val="00974286"/>
    <w:rsid w:val="009744CF"/>
    <w:rsid w:val="00974AA4"/>
    <w:rsid w:val="00974C98"/>
    <w:rsid w:val="0097514E"/>
    <w:rsid w:val="0097545B"/>
    <w:rsid w:val="0097552F"/>
    <w:rsid w:val="009759A9"/>
    <w:rsid w:val="00975FD2"/>
    <w:rsid w:val="009761FA"/>
    <w:rsid w:val="00976229"/>
    <w:rsid w:val="009764C0"/>
    <w:rsid w:val="0097697D"/>
    <w:rsid w:val="00976995"/>
    <w:rsid w:val="00976F71"/>
    <w:rsid w:val="00977123"/>
    <w:rsid w:val="00977391"/>
    <w:rsid w:val="00977690"/>
    <w:rsid w:val="0097782C"/>
    <w:rsid w:val="009778EE"/>
    <w:rsid w:val="00977947"/>
    <w:rsid w:val="00977D5B"/>
    <w:rsid w:val="009806AD"/>
    <w:rsid w:val="0098081D"/>
    <w:rsid w:val="00980FFD"/>
    <w:rsid w:val="00981020"/>
    <w:rsid w:val="009816A6"/>
    <w:rsid w:val="00981729"/>
    <w:rsid w:val="009821B1"/>
    <w:rsid w:val="009826B3"/>
    <w:rsid w:val="0098294A"/>
    <w:rsid w:val="00982F9E"/>
    <w:rsid w:val="00982F9F"/>
    <w:rsid w:val="0098310D"/>
    <w:rsid w:val="009831BB"/>
    <w:rsid w:val="00983613"/>
    <w:rsid w:val="00983B4F"/>
    <w:rsid w:val="00983CAF"/>
    <w:rsid w:val="0098404F"/>
    <w:rsid w:val="00984172"/>
    <w:rsid w:val="0098489E"/>
    <w:rsid w:val="00984966"/>
    <w:rsid w:val="00984B0E"/>
    <w:rsid w:val="00984CD4"/>
    <w:rsid w:val="009851C3"/>
    <w:rsid w:val="009852D8"/>
    <w:rsid w:val="009854F5"/>
    <w:rsid w:val="009856A7"/>
    <w:rsid w:val="0098572F"/>
    <w:rsid w:val="0098593B"/>
    <w:rsid w:val="00985D63"/>
    <w:rsid w:val="00985E17"/>
    <w:rsid w:val="00985E37"/>
    <w:rsid w:val="009865EE"/>
    <w:rsid w:val="009872C2"/>
    <w:rsid w:val="00987429"/>
    <w:rsid w:val="00987AD2"/>
    <w:rsid w:val="00987BEA"/>
    <w:rsid w:val="009902B7"/>
    <w:rsid w:val="0099098A"/>
    <w:rsid w:val="00990B7A"/>
    <w:rsid w:val="00990DAE"/>
    <w:rsid w:val="0099109A"/>
    <w:rsid w:val="009912C5"/>
    <w:rsid w:val="00991EB0"/>
    <w:rsid w:val="0099208A"/>
    <w:rsid w:val="0099209C"/>
    <w:rsid w:val="00992234"/>
    <w:rsid w:val="00992363"/>
    <w:rsid w:val="0099260B"/>
    <w:rsid w:val="009928BB"/>
    <w:rsid w:val="00992952"/>
    <w:rsid w:val="0099295D"/>
    <w:rsid w:val="00992A0E"/>
    <w:rsid w:val="00992AE9"/>
    <w:rsid w:val="00993046"/>
    <w:rsid w:val="009931D5"/>
    <w:rsid w:val="00993278"/>
    <w:rsid w:val="00993472"/>
    <w:rsid w:val="0099396E"/>
    <w:rsid w:val="00993ACA"/>
    <w:rsid w:val="00993C8D"/>
    <w:rsid w:val="00994CAC"/>
    <w:rsid w:val="00994FD3"/>
    <w:rsid w:val="00995379"/>
    <w:rsid w:val="00995711"/>
    <w:rsid w:val="00996188"/>
    <w:rsid w:val="009963EF"/>
    <w:rsid w:val="0099673B"/>
    <w:rsid w:val="00996AAD"/>
    <w:rsid w:val="00996CE4"/>
    <w:rsid w:val="009976B6"/>
    <w:rsid w:val="00997B3A"/>
    <w:rsid w:val="00997B99"/>
    <w:rsid w:val="00997BA8"/>
    <w:rsid w:val="00997BC2"/>
    <w:rsid w:val="00997EA0"/>
    <w:rsid w:val="009A038C"/>
    <w:rsid w:val="009A1085"/>
    <w:rsid w:val="009A148B"/>
    <w:rsid w:val="009A161A"/>
    <w:rsid w:val="009A1E7B"/>
    <w:rsid w:val="009A2A64"/>
    <w:rsid w:val="009A2D0C"/>
    <w:rsid w:val="009A35C5"/>
    <w:rsid w:val="009A39B1"/>
    <w:rsid w:val="009A3E27"/>
    <w:rsid w:val="009A3E44"/>
    <w:rsid w:val="009A3EAC"/>
    <w:rsid w:val="009A3EF9"/>
    <w:rsid w:val="009A415B"/>
    <w:rsid w:val="009A42B5"/>
    <w:rsid w:val="009A4327"/>
    <w:rsid w:val="009A4360"/>
    <w:rsid w:val="009A44A6"/>
    <w:rsid w:val="009A4597"/>
    <w:rsid w:val="009A4684"/>
    <w:rsid w:val="009A474C"/>
    <w:rsid w:val="009A4869"/>
    <w:rsid w:val="009A4887"/>
    <w:rsid w:val="009A48CE"/>
    <w:rsid w:val="009A4BD4"/>
    <w:rsid w:val="009A553E"/>
    <w:rsid w:val="009A5969"/>
    <w:rsid w:val="009A5C17"/>
    <w:rsid w:val="009A5DBC"/>
    <w:rsid w:val="009A5DD7"/>
    <w:rsid w:val="009A66F6"/>
    <w:rsid w:val="009A6752"/>
    <w:rsid w:val="009A6A0C"/>
    <w:rsid w:val="009A6A29"/>
    <w:rsid w:val="009A73BE"/>
    <w:rsid w:val="009A7446"/>
    <w:rsid w:val="009A7C67"/>
    <w:rsid w:val="009B00DA"/>
    <w:rsid w:val="009B02BF"/>
    <w:rsid w:val="009B0852"/>
    <w:rsid w:val="009B0A7F"/>
    <w:rsid w:val="009B13A6"/>
    <w:rsid w:val="009B1428"/>
    <w:rsid w:val="009B15CC"/>
    <w:rsid w:val="009B1B29"/>
    <w:rsid w:val="009B2068"/>
    <w:rsid w:val="009B22BE"/>
    <w:rsid w:val="009B2817"/>
    <w:rsid w:val="009B2B4A"/>
    <w:rsid w:val="009B2FAE"/>
    <w:rsid w:val="009B31EB"/>
    <w:rsid w:val="009B37F5"/>
    <w:rsid w:val="009B3DA7"/>
    <w:rsid w:val="009B3E9A"/>
    <w:rsid w:val="009B3EA5"/>
    <w:rsid w:val="009B452D"/>
    <w:rsid w:val="009B48BC"/>
    <w:rsid w:val="009B4FDD"/>
    <w:rsid w:val="009B58D0"/>
    <w:rsid w:val="009B5985"/>
    <w:rsid w:val="009B5BEB"/>
    <w:rsid w:val="009B5DDE"/>
    <w:rsid w:val="009B62F0"/>
    <w:rsid w:val="009B6810"/>
    <w:rsid w:val="009B6997"/>
    <w:rsid w:val="009B70E6"/>
    <w:rsid w:val="009B7112"/>
    <w:rsid w:val="009B72F1"/>
    <w:rsid w:val="009B7389"/>
    <w:rsid w:val="009B74EB"/>
    <w:rsid w:val="009B765B"/>
    <w:rsid w:val="009B7E84"/>
    <w:rsid w:val="009C036F"/>
    <w:rsid w:val="009C058B"/>
    <w:rsid w:val="009C0763"/>
    <w:rsid w:val="009C0834"/>
    <w:rsid w:val="009C0AEB"/>
    <w:rsid w:val="009C0B67"/>
    <w:rsid w:val="009C0C0C"/>
    <w:rsid w:val="009C0DA0"/>
    <w:rsid w:val="009C0EBD"/>
    <w:rsid w:val="009C0F3A"/>
    <w:rsid w:val="009C136B"/>
    <w:rsid w:val="009C1935"/>
    <w:rsid w:val="009C1972"/>
    <w:rsid w:val="009C2162"/>
    <w:rsid w:val="009C2279"/>
    <w:rsid w:val="009C22CC"/>
    <w:rsid w:val="009C23AC"/>
    <w:rsid w:val="009C2B09"/>
    <w:rsid w:val="009C2FBC"/>
    <w:rsid w:val="009C3379"/>
    <w:rsid w:val="009C349F"/>
    <w:rsid w:val="009C363E"/>
    <w:rsid w:val="009C3BC9"/>
    <w:rsid w:val="009C3F10"/>
    <w:rsid w:val="009C454D"/>
    <w:rsid w:val="009C49AB"/>
    <w:rsid w:val="009C49FD"/>
    <w:rsid w:val="009C4B95"/>
    <w:rsid w:val="009C4F16"/>
    <w:rsid w:val="009C4F63"/>
    <w:rsid w:val="009C52FC"/>
    <w:rsid w:val="009C5334"/>
    <w:rsid w:val="009C5434"/>
    <w:rsid w:val="009C5864"/>
    <w:rsid w:val="009C5923"/>
    <w:rsid w:val="009C5A2E"/>
    <w:rsid w:val="009C5BAD"/>
    <w:rsid w:val="009C5EC8"/>
    <w:rsid w:val="009C62FC"/>
    <w:rsid w:val="009C631F"/>
    <w:rsid w:val="009C668B"/>
    <w:rsid w:val="009C6705"/>
    <w:rsid w:val="009C6C1A"/>
    <w:rsid w:val="009C7202"/>
    <w:rsid w:val="009C7400"/>
    <w:rsid w:val="009C7494"/>
    <w:rsid w:val="009C74BF"/>
    <w:rsid w:val="009C7679"/>
    <w:rsid w:val="009C7F13"/>
    <w:rsid w:val="009C7F99"/>
    <w:rsid w:val="009D0324"/>
    <w:rsid w:val="009D054E"/>
    <w:rsid w:val="009D069F"/>
    <w:rsid w:val="009D0785"/>
    <w:rsid w:val="009D07D2"/>
    <w:rsid w:val="009D08A4"/>
    <w:rsid w:val="009D0DC2"/>
    <w:rsid w:val="009D0DF9"/>
    <w:rsid w:val="009D0E0C"/>
    <w:rsid w:val="009D0F5F"/>
    <w:rsid w:val="009D13B9"/>
    <w:rsid w:val="009D14C4"/>
    <w:rsid w:val="009D15EB"/>
    <w:rsid w:val="009D1A01"/>
    <w:rsid w:val="009D1B08"/>
    <w:rsid w:val="009D256F"/>
    <w:rsid w:val="009D25C7"/>
    <w:rsid w:val="009D342B"/>
    <w:rsid w:val="009D356D"/>
    <w:rsid w:val="009D3AA6"/>
    <w:rsid w:val="009D3AF0"/>
    <w:rsid w:val="009D4004"/>
    <w:rsid w:val="009D4180"/>
    <w:rsid w:val="009D43F8"/>
    <w:rsid w:val="009D452D"/>
    <w:rsid w:val="009D4C74"/>
    <w:rsid w:val="009D4F12"/>
    <w:rsid w:val="009D4F24"/>
    <w:rsid w:val="009D4FCB"/>
    <w:rsid w:val="009D50C4"/>
    <w:rsid w:val="009D51EE"/>
    <w:rsid w:val="009D575A"/>
    <w:rsid w:val="009D5A35"/>
    <w:rsid w:val="009D5E82"/>
    <w:rsid w:val="009D607A"/>
    <w:rsid w:val="009D609C"/>
    <w:rsid w:val="009D629F"/>
    <w:rsid w:val="009D64AB"/>
    <w:rsid w:val="009D6532"/>
    <w:rsid w:val="009D65B2"/>
    <w:rsid w:val="009D67E6"/>
    <w:rsid w:val="009D6A8F"/>
    <w:rsid w:val="009D74A4"/>
    <w:rsid w:val="009D763B"/>
    <w:rsid w:val="009D7D64"/>
    <w:rsid w:val="009D7F7A"/>
    <w:rsid w:val="009E01F7"/>
    <w:rsid w:val="009E04AB"/>
    <w:rsid w:val="009E04CF"/>
    <w:rsid w:val="009E0574"/>
    <w:rsid w:val="009E0620"/>
    <w:rsid w:val="009E075F"/>
    <w:rsid w:val="009E088D"/>
    <w:rsid w:val="009E08ED"/>
    <w:rsid w:val="009E09B0"/>
    <w:rsid w:val="009E106B"/>
    <w:rsid w:val="009E164F"/>
    <w:rsid w:val="009E17E9"/>
    <w:rsid w:val="009E1EFF"/>
    <w:rsid w:val="009E1F0E"/>
    <w:rsid w:val="009E2340"/>
    <w:rsid w:val="009E234D"/>
    <w:rsid w:val="009E27C3"/>
    <w:rsid w:val="009E2A1D"/>
    <w:rsid w:val="009E2FFB"/>
    <w:rsid w:val="009E30E9"/>
    <w:rsid w:val="009E330F"/>
    <w:rsid w:val="009E3389"/>
    <w:rsid w:val="009E3529"/>
    <w:rsid w:val="009E3757"/>
    <w:rsid w:val="009E3795"/>
    <w:rsid w:val="009E3AA4"/>
    <w:rsid w:val="009E3B27"/>
    <w:rsid w:val="009E3BF6"/>
    <w:rsid w:val="009E3DB3"/>
    <w:rsid w:val="009E3E67"/>
    <w:rsid w:val="009E3EA5"/>
    <w:rsid w:val="009E4161"/>
    <w:rsid w:val="009E417A"/>
    <w:rsid w:val="009E47FF"/>
    <w:rsid w:val="009E4893"/>
    <w:rsid w:val="009E48C0"/>
    <w:rsid w:val="009E4921"/>
    <w:rsid w:val="009E4B52"/>
    <w:rsid w:val="009E4CBC"/>
    <w:rsid w:val="009E5279"/>
    <w:rsid w:val="009E5927"/>
    <w:rsid w:val="009E5A98"/>
    <w:rsid w:val="009E5B99"/>
    <w:rsid w:val="009E5D43"/>
    <w:rsid w:val="009E6104"/>
    <w:rsid w:val="009E622B"/>
    <w:rsid w:val="009E6546"/>
    <w:rsid w:val="009E6CED"/>
    <w:rsid w:val="009E6F76"/>
    <w:rsid w:val="009E6FFD"/>
    <w:rsid w:val="009E742E"/>
    <w:rsid w:val="009E7900"/>
    <w:rsid w:val="009E7A9D"/>
    <w:rsid w:val="009E7E5E"/>
    <w:rsid w:val="009F06D5"/>
    <w:rsid w:val="009F08A9"/>
    <w:rsid w:val="009F0A1F"/>
    <w:rsid w:val="009F0A76"/>
    <w:rsid w:val="009F0DD4"/>
    <w:rsid w:val="009F1300"/>
    <w:rsid w:val="009F148F"/>
    <w:rsid w:val="009F1949"/>
    <w:rsid w:val="009F1C8A"/>
    <w:rsid w:val="009F218E"/>
    <w:rsid w:val="009F2523"/>
    <w:rsid w:val="009F2651"/>
    <w:rsid w:val="009F284A"/>
    <w:rsid w:val="009F2C3F"/>
    <w:rsid w:val="009F2FE3"/>
    <w:rsid w:val="009F32A5"/>
    <w:rsid w:val="009F3817"/>
    <w:rsid w:val="009F4124"/>
    <w:rsid w:val="009F43FD"/>
    <w:rsid w:val="009F4792"/>
    <w:rsid w:val="009F4B94"/>
    <w:rsid w:val="009F4FB9"/>
    <w:rsid w:val="009F50C2"/>
    <w:rsid w:val="009F5483"/>
    <w:rsid w:val="009F54CE"/>
    <w:rsid w:val="009F56A2"/>
    <w:rsid w:val="009F5821"/>
    <w:rsid w:val="009F589E"/>
    <w:rsid w:val="009F59DA"/>
    <w:rsid w:val="009F59E2"/>
    <w:rsid w:val="009F5AC1"/>
    <w:rsid w:val="009F5CFC"/>
    <w:rsid w:val="009F60D7"/>
    <w:rsid w:val="009F6174"/>
    <w:rsid w:val="009F6623"/>
    <w:rsid w:val="009F69BF"/>
    <w:rsid w:val="009F6BCC"/>
    <w:rsid w:val="009F7236"/>
    <w:rsid w:val="009F74BF"/>
    <w:rsid w:val="009F7539"/>
    <w:rsid w:val="009F9F1D"/>
    <w:rsid w:val="00A00050"/>
    <w:rsid w:val="00A005FC"/>
    <w:rsid w:val="00A007F1"/>
    <w:rsid w:val="00A008E0"/>
    <w:rsid w:val="00A00AB4"/>
    <w:rsid w:val="00A00BD7"/>
    <w:rsid w:val="00A00DBB"/>
    <w:rsid w:val="00A00F05"/>
    <w:rsid w:val="00A00F22"/>
    <w:rsid w:val="00A011CF"/>
    <w:rsid w:val="00A01501"/>
    <w:rsid w:val="00A01502"/>
    <w:rsid w:val="00A01C41"/>
    <w:rsid w:val="00A01DDB"/>
    <w:rsid w:val="00A01E33"/>
    <w:rsid w:val="00A01F42"/>
    <w:rsid w:val="00A026BF"/>
    <w:rsid w:val="00A026C0"/>
    <w:rsid w:val="00A032C5"/>
    <w:rsid w:val="00A03D10"/>
    <w:rsid w:val="00A03DA1"/>
    <w:rsid w:val="00A03EB8"/>
    <w:rsid w:val="00A04415"/>
    <w:rsid w:val="00A04450"/>
    <w:rsid w:val="00A0489D"/>
    <w:rsid w:val="00A0489F"/>
    <w:rsid w:val="00A04979"/>
    <w:rsid w:val="00A049BD"/>
    <w:rsid w:val="00A05283"/>
    <w:rsid w:val="00A0566C"/>
    <w:rsid w:val="00A057E3"/>
    <w:rsid w:val="00A05B2E"/>
    <w:rsid w:val="00A05B61"/>
    <w:rsid w:val="00A05B8E"/>
    <w:rsid w:val="00A0601B"/>
    <w:rsid w:val="00A06260"/>
    <w:rsid w:val="00A06666"/>
    <w:rsid w:val="00A06799"/>
    <w:rsid w:val="00A069E4"/>
    <w:rsid w:val="00A06DC0"/>
    <w:rsid w:val="00A0710D"/>
    <w:rsid w:val="00A07183"/>
    <w:rsid w:val="00A073C9"/>
    <w:rsid w:val="00A073EB"/>
    <w:rsid w:val="00A0772B"/>
    <w:rsid w:val="00A07830"/>
    <w:rsid w:val="00A07989"/>
    <w:rsid w:val="00A07CE2"/>
    <w:rsid w:val="00A07D54"/>
    <w:rsid w:val="00A07F5B"/>
    <w:rsid w:val="00A102EF"/>
    <w:rsid w:val="00A10575"/>
    <w:rsid w:val="00A105D7"/>
    <w:rsid w:val="00A106C0"/>
    <w:rsid w:val="00A106E1"/>
    <w:rsid w:val="00A109AE"/>
    <w:rsid w:val="00A10B12"/>
    <w:rsid w:val="00A10BC5"/>
    <w:rsid w:val="00A10CFB"/>
    <w:rsid w:val="00A10E37"/>
    <w:rsid w:val="00A113EF"/>
    <w:rsid w:val="00A117BA"/>
    <w:rsid w:val="00A117D1"/>
    <w:rsid w:val="00A11C4B"/>
    <w:rsid w:val="00A11F8B"/>
    <w:rsid w:val="00A12117"/>
    <w:rsid w:val="00A121EC"/>
    <w:rsid w:val="00A128CC"/>
    <w:rsid w:val="00A12B1B"/>
    <w:rsid w:val="00A132C4"/>
    <w:rsid w:val="00A1331B"/>
    <w:rsid w:val="00A13338"/>
    <w:rsid w:val="00A139BB"/>
    <w:rsid w:val="00A139E2"/>
    <w:rsid w:val="00A13B2F"/>
    <w:rsid w:val="00A13D67"/>
    <w:rsid w:val="00A146E7"/>
    <w:rsid w:val="00A14832"/>
    <w:rsid w:val="00A14F8C"/>
    <w:rsid w:val="00A157B7"/>
    <w:rsid w:val="00A1586E"/>
    <w:rsid w:val="00A158A9"/>
    <w:rsid w:val="00A15E1E"/>
    <w:rsid w:val="00A160A5"/>
    <w:rsid w:val="00A16160"/>
    <w:rsid w:val="00A16189"/>
    <w:rsid w:val="00A167F6"/>
    <w:rsid w:val="00A17031"/>
    <w:rsid w:val="00A1713E"/>
    <w:rsid w:val="00A17218"/>
    <w:rsid w:val="00A201FB"/>
    <w:rsid w:val="00A20230"/>
    <w:rsid w:val="00A20793"/>
    <w:rsid w:val="00A2089F"/>
    <w:rsid w:val="00A20B77"/>
    <w:rsid w:val="00A20C70"/>
    <w:rsid w:val="00A20C96"/>
    <w:rsid w:val="00A20C9C"/>
    <w:rsid w:val="00A20E2A"/>
    <w:rsid w:val="00A21273"/>
    <w:rsid w:val="00A215AF"/>
    <w:rsid w:val="00A2169B"/>
    <w:rsid w:val="00A2188B"/>
    <w:rsid w:val="00A21975"/>
    <w:rsid w:val="00A21A29"/>
    <w:rsid w:val="00A21F20"/>
    <w:rsid w:val="00A2212E"/>
    <w:rsid w:val="00A22150"/>
    <w:rsid w:val="00A22290"/>
    <w:rsid w:val="00A2258D"/>
    <w:rsid w:val="00A2260F"/>
    <w:rsid w:val="00A228AE"/>
    <w:rsid w:val="00A23353"/>
    <w:rsid w:val="00A23730"/>
    <w:rsid w:val="00A23772"/>
    <w:rsid w:val="00A237F8"/>
    <w:rsid w:val="00A23C6A"/>
    <w:rsid w:val="00A2464C"/>
    <w:rsid w:val="00A24716"/>
    <w:rsid w:val="00A2475C"/>
    <w:rsid w:val="00A24BB9"/>
    <w:rsid w:val="00A24C42"/>
    <w:rsid w:val="00A25296"/>
    <w:rsid w:val="00A252D8"/>
    <w:rsid w:val="00A252E1"/>
    <w:rsid w:val="00A258C8"/>
    <w:rsid w:val="00A259D4"/>
    <w:rsid w:val="00A25AD9"/>
    <w:rsid w:val="00A25BB5"/>
    <w:rsid w:val="00A25BC3"/>
    <w:rsid w:val="00A25BC9"/>
    <w:rsid w:val="00A25D6E"/>
    <w:rsid w:val="00A25F99"/>
    <w:rsid w:val="00A25FAC"/>
    <w:rsid w:val="00A265AE"/>
    <w:rsid w:val="00A26855"/>
    <w:rsid w:val="00A269A1"/>
    <w:rsid w:val="00A270A0"/>
    <w:rsid w:val="00A27194"/>
    <w:rsid w:val="00A274B6"/>
    <w:rsid w:val="00A2755E"/>
    <w:rsid w:val="00A27789"/>
    <w:rsid w:val="00A27ECD"/>
    <w:rsid w:val="00A30443"/>
    <w:rsid w:val="00A30483"/>
    <w:rsid w:val="00A30557"/>
    <w:rsid w:val="00A3086C"/>
    <w:rsid w:val="00A308FF"/>
    <w:rsid w:val="00A30A98"/>
    <w:rsid w:val="00A30B18"/>
    <w:rsid w:val="00A30C5F"/>
    <w:rsid w:val="00A31279"/>
    <w:rsid w:val="00A317A4"/>
    <w:rsid w:val="00A319A7"/>
    <w:rsid w:val="00A31D2E"/>
    <w:rsid w:val="00A31E30"/>
    <w:rsid w:val="00A31F3F"/>
    <w:rsid w:val="00A32854"/>
    <w:rsid w:val="00A32D98"/>
    <w:rsid w:val="00A331C5"/>
    <w:rsid w:val="00A331F8"/>
    <w:rsid w:val="00A33513"/>
    <w:rsid w:val="00A33551"/>
    <w:rsid w:val="00A33623"/>
    <w:rsid w:val="00A33762"/>
    <w:rsid w:val="00A33B59"/>
    <w:rsid w:val="00A33C00"/>
    <w:rsid w:val="00A3480B"/>
    <w:rsid w:val="00A34931"/>
    <w:rsid w:val="00A34B14"/>
    <w:rsid w:val="00A34D47"/>
    <w:rsid w:val="00A34EA7"/>
    <w:rsid w:val="00A34FD1"/>
    <w:rsid w:val="00A3521B"/>
    <w:rsid w:val="00A352A2"/>
    <w:rsid w:val="00A35FF8"/>
    <w:rsid w:val="00A363E4"/>
    <w:rsid w:val="00A364A3"/>
    <w:rsid w:val="00A369B6"/>
    <w:rsid w:val="00A36B94"/>
    <w:rsid w:val="00A36C26"/>
    <w:rsid w:val="00A36C3B"/>
    <w:rsid w:val="00A3711A"/>
    <w:rsid w:val="00A371F6"/>
    <w:rsid w:val="00A3755B"/>
    <w:rsid w:val="00A3781D"/>
    <w:rsid w:val="00A40172"/>
    <w:rsid w:val="00A401A7"/>
    <w:rsid w:val="00A40357"/>
    <w:rsid w:val="00A403A2"/>
    <w:rsid w:val="00A406CD"/>
    <w:rsid w:val="00A40AF9"/>
    <w:rsid w:val="00A40E7B"/>
    <w:rsid w:val="00A41119"/>
    <w:rsid w:val="00A41303"/>
    <w:rsid w:val="00A414EE"/>
    <w:rsid w:val="00A4180F"/>
    <w:rsid w:val="00A41979"/>
    <w:rsid w:val="00A41A6F"/>
    <w:rsid w:val="00A41BC5"/>
    <w:rsid w:val="00A41D89"/>
    <w:rsid w:val="00A4235A"/>
    <w:rsid w:val="00A42475"/>
    <w:rsid w:val="00A424B6"/>
    <w:rsid w:val="00A42779"/>
    <w:rsid w:val="00A42925"/>
    <w:rsid w:val="00A42AB1"/>
    <w:rsid w:val="00A42C16"/>
    <w:rsid w:val="00A42DB6"/>
    <w:rsid w:val="00A42E3A"/>
    <w:rsid w:val="00A42FBA"/>
    <w:rsid w:val="00A435A8"/>
    <w:rsid w:val="00A43913"/>
    <w:rsid w:val="00A43E0A"/>
    <w:rsid w:val="00A43F5F"/>
    <w:rsid w:val="00A44121"/>
    <w:rsid w:val="00A4481C"/>
    <w:rsid w:val="00A44886"/>
    <w:rsid w:val="00A44BFF"/>
    <w:rsid w:val="00A44EA2"/>
    <w:rsid w:val="00A44ED9"/>
    <w:rsid w:val="00A45022"/>
    <w:rsid w:val="00A45572"/>
    <w:rsid w:val="00A45713"/>
    <w:rsid w:val="00A45915"/>
    <w:rsid w:val="00A45B43"/>
    <w:rsid w:val="00A45B75"/>
    <w:rsid w:val="00A45BCB"/>
    <w:rsid w:val="00A462BB"/>
    <w:rsid w:val="00A463AC"/>
    <w:rsid w:val="00A46497"/>
    <w:rsid w:val="00A46741"/>
    <w:rsid w:val="00A4674F"/>
    <w:rsid w:val="00A46DD1"/>
    <w:rsid w:val="00A46DEC"/>
    <w:rsid w:val="00A46E09"/>
    <w:rsid w:val="00A4735A"/>
    <w:rsid w:val="00A473B5"/>
    <w:rsid w:val="00A474E2"/>
    <w:rsid w:val="00A47953"/>
    <w:rsid w:val="00A47B48"/>
    <w:rsid w:val="00A47C0B"/>
    <w:rsid w:val="00A47E7D"/>
    <w:rsid w:val="00A501C3"/>
    <w:rsid w:val="00A5049D"/>
    <w:rsid w:val="00A50860"/>
    <w:rsid w:val="00A50DC4"/>
    <w:rsid w:val="00A50DEE"/>
    <w:rsid w:val="00A511AD"/>
    <w:rsid w:val="00A514BF"/>
    <w:rsid w:val="00A514DF"/>
    <w:rsid w:val="00A5154B"/>
    <w:rsid w:val="00A51684"/>
    <w:rsid w:val="00A51AF2"/>
    <w:rsid w:val="00A51CB5"/>
    <w:rsid w:val="00A51CEB"/>
    <w:rsid w:val="00A51EF9"/>
    <w:rsid w:val="00A51F29"/>
    <w:rsid w:val="00A52267"/>
    <w:rsid w:val="00A5233D"/>
    <w:rsid w:val="00A523CD"/>
    <w:rsid w:val="00A524AD"/>
    <w:rsid w:val="00A524AE"/>
    <w:rsid w:val="00A5262C"/>
    <w:rsid w:val="00A52B0E"/>
    <w:rsid w:val="00A52B8E"/>
    <w:rsid w:val="00A53352"/>
    <w:rsid w:val="00A5337F"/>
    <w:rsid w:val="00A53467"/>
    <w:rsid w:val="00A534CF"/>
    <w:rsid w:val="00A535CE"/>
    <w:rsid w:val="00A53683"/>
    <w:rsid w:val="00A5392B"/>
    <w:rsid w:val="00A53AE3"/>
    <w:rsid w:val="00A53D5C"/>
    <w:rsid w:val="00A5408E"/>
    <w:rsid w:val="00A5459E"/>
    <w:rsid w:val="00A5470A"/>
    <w:rsid w:val="00A54AF4"/>
    <w:rsid w:val="00A54B69"/>
    <w:rsid w:val="00A54CCD"/>
    <w:rsid w:val="00A54FF2"/>
    <w:rsid w:val="00A5516B"/>
    <w:rsid w:val="00A55255"/>
    <w:rsid w:val="00A55359"/>
    <w:rsid w:val="00A553F0"/>
    <w:rsid w:val="00A55456"/>
    <w:rsid w:val="00A55960"/>
    <w:rsid w:val="00A55B92"/>
    <w:rsid w:val="00A55EE4"/>
    <w:rsid w:val="00A56EE6"/>
    <w:rsid w:val="00A57248"/>
    <w:rsid w:val="00A5739C"/>
    <w:rsid w:val="00A57613"/>
    <w:rsid w:val="00A5763E"/>
    <w:rsid w:val="00A57846"/>
    <w:rsid w:val="00A57BF5"/>
    <w:rsid w:val="00A57E28"/>
    <w:rsid w:val="00A6084F"/>
    <w:rsid w:val="00A60BA5"/>
    <w:rsid w:val="00A60C79"/>
    <w:rsid w:val="00A60CA3"/>
    <w:rsid w:val="00A60EF7"/>
    <w:rsid w:val="00A612AE"/>
    <w:rsid w:val="00A61440"/>
    <w:rsid w:val="00A6154F"/>
    <w:rsid w:val="00A62162"/>
    <w:rsid w:val="00A6246E"/>
    <w:rsid w:val="00A62473"/>
    <w:rsid w:val="00A62496"/>
    <w:rsid w:val="00A626D4"/>
    <w:rsid w:val="00A6287A"/>
    <w:rsid w:val="00A62FA6"/>
    <w:rsid w:val="00A63776"/>
    <w:rsid w:val="00A63BD0"/>
    <w:rsid w:val="00A63EBD"/>
    <w:rsid w:val="00A640A4"/>
    <w:rsid w:val="00A6497F"/>
    <w:rsid w:val="00A64B1B"/>
    <w:rsid w:val="00A64C01"/>
    <w:rsid w:val="00A64D7D"/>
    <w:rsid w:val="00A64E32"/>
    <w:rsid w:val="00A64FF3"/>
    <w:rsid w:val="00A650FC"/>
    <w:rsid w:val="00A65ADC"/>
    <w:rsid w:val="00A65D5B"/>
    <w:rsid w:val="00A6625F"/>
    <w:rsid w:val="00A6655F"/>
    <w:rsid w:val="00A666A4"/>
    <w:rsid w:val="00A66BF3"/>
    <w:rsid w:val="00A66F3E"/>
    <w:rsid w:val="00A67616"/>
    <w:rsid w:val="00A67C11"/>
    <w:rsid w:val="00A67E53"/>
    <w:rsid w:val="00A67EDD"/>
    <w:rsid w:val="00A702FB"/>
    <w:rsid w:val="00A70857"/>
    <w:rsid w:val="00A708CB"/>
    <w:rsid w:val="00A70A91"/>
    <w:rsid w:val="00A71268"/>
    <w:rsid w:val="00A713F6"/>
    <w:rsid w:val="00A71428"/>
    <w:rsid w:val="00A715D6"/>
    <w:rsid w:val="00A716BA"/>
    <w:rsid w:val="00A7171E"/>
    <w:rsid w:val="00A71A21"/>
    <w:rsid w:val="00A71D02"/>
    <w:rsid w:val="00A71F8E"/>
    <w:rsid w:val="00A721B1"/>
    <w:rsid w:val="00A721EF"/>
    <w:rsid w:val="00A729C8"/>
    <w:rsid w:val="00A73557"/>
    <w:rsid w:val="00A73956"/>
    <w:rsid w:val="00A7398D"/>
    <w:rsid w:val="00A73EBC"/>
    <w:rsid w:val="00A74166"/>
    <w:rsid w:val="00A745C7"/>
    <w:rsid w:val="00A74A5D"/>
    <w:rsid w:val="00A74C3A"/>
    <w:rsid w:val="00A74DCF"/>
    <w:rsid w:val="00A7509E"/>
    <w:rsid w:val="00A75378"/>
    <w:rsid w:val="00A753E4"/>
    <w:rsid w:val="00A7550F"/>
    <w:rsid w:val="00A75A7A"/>
    <w:rsid w:val="00A75CC8"/>
    <w:rsid w:val="00A75FBA"/>
    <w:rsid w:val="00A763CD"/>
    <w:rsid w:val="00A7644E"/>
    <w:rsid w:val="00A76660"/>
    <w:rsid w:val="00A76CDF"/>
    <w:rsid w:val="00A76CE0"/>
    <w:rsid w:val="00A771AF"/>
    <w:rsid w:val="00A773BA"/>
    <w:rsid w:val="00A77507"/>
    <w:rsid w:val="00A77A96"/>
    <w:rsid w:val="00A77EEC"/>
    <w:rsid w:val="00A802D5"/>
    <w:rsid w:val="00A80420"/>
    <w:rsid w:val="00A807BB"/>
    <w:rsid w:val="00A80AF0"/>
    <w:rsid w:val="00A80DF4"/>
    <w:rsid w:val="00A81242"/>
    <w:rsid w:val="00A812C1"/>
    <w:rsid w:val="00A81477"/>
    <w:rsid w:val="00A81682"/>
    <w:rsid w:val="00A817A6"/>
    <w:rsid w:val="00A818FA"/>
    <w:rsid w:val="00A81A03"/>
    <w:rsid w:val="00A81D3D"/>
    <w:rsid w:val="00A81EC1"/>
    <w:rsid w:val="00A823A0"/>
    <w:rsid w:val="00A8242B"/>
    <w:rsid w:val="00A82911"/>
    <w:rsid w:val="00A82A29"/>
    <w:rsid w:val="00A82D8D"/>
    <w:rsid w:val="00A82DF4"/>
    <w:rsid w:val="00A82E4A"/>
    <w:rsid w:val="00A83167"/>
    <w:rsid w:val="00A835DB"/>
    <w:rsid w:val="00A835E2"/>
    <w:rsid w:val="00A839A5"/>
    <w:rsid w:val="00A83AD1"/>
    <w:rsid w:val="00A83BD6"/>
    <w:rsid w:val="00A83C7D"/>
    <w:rsid w:val="00A840BB"/>
    <w:rsid w:val="00A842D3"/>
    <w:rsid w:val="00A843C2"/>
    <w:rsid w:val="00A84544"/>
    <w:rsid w:val="00A8458A"/>
    <w:rsid w:val="00A846EA"/>
    <w:rsid w:val="00A84799"/>
    <w:rsid w:val="00A848B2"/>
    <w:rsid w:val="00A849DD"/>
    <w:rsid w:val="00A84E3F"/>
    <w:rsid w:val="00A85298"/>
    <w:rsid w:val="00A8581F"/>
    <w:rsid w:val="00A858FB"/>
    <w:rsid w:val="00A85917"/>
    <w:rsid w:val="00A85C8A"/>
    <w:rsid w:val="00A86106"/>
    <w:rsid w:val="00A86402"/>
    <w:rsid w:val="00A8662B"/>
    <w:rsid w:val="00A869F9"/>
    <w:rsid w:val="00A86DA2"/>
    <w:rsid w:val="00A86DA6"/>
    <w:rsid w:val="00A86F78"/>
    <w:rsid w:val="00A8704C"/>
    <w:rsid w:val="00A871C5"/>
    <w:rsid w:val="00A87904"/>
    <w:rsid w:val="00A87961"/>
    <w:rsid w:val="00A879A0"/>
    <w:rsid w:val="00A87E6E"/>
    <w:rsid w:val="00A87FAB"/>
    <w:rsid w:val="00A9012A"/>
    <w:rsid w:val="00A903A2"/>
    <w:rsid w:val="00A9049F"/>
    <w:rsid w:val="00A906AF"/>
    <w:rsid w:val="00A90852"/>
    <w:rsid w:val="00A90A9F"/>
    <w:rsid w:val="00A90C5F"/>
    <w:rsid w:val="00A90CA8"/>
    <w:rsid w:val="00A90EC5"/>
    <w:rsid w:val="00A910AA"/>
    <w:rsid w:val="00A9117C"/>
    <w:rsid w:val="00A915C9"/>
    <w:rsid w:val="00A9191B"/>
    <w:rsid w:val="00A91A8E"/>
    <w:rsid w:val="00A91B99"/>
    <w:rsid w:val="00A921EC"/>
    <w:rsid w:val="00A92502"/>
    <w:rsid w:val="00A92710"/>
    <w:rsid w:val="00A92A9E"/>
    <w:rsid w:val="00A931EC"/>
    <w:rsid w:val="00A9328B"/>
    <w:rsid w:val="00A93DA2"/>
    <w:rsid w:val="00A93DAE"/>
    <w:rsid w:val="00A93ECB"/>
    <w:rsid w:val="00A9450A"/>
    <w:rsid w:val="00A94F60"/>
    <w:rsid w:val="00A95003"/>
    <w:rsid w:val="00A953BF"/>
    <w:rsid w:val="00A9583B"/>
    <w:rsid w:val="00A95C19"/>
    <w:rsid w:val="00A9612D"/>
    <w:rsid w:val="00A962CA"/>
    <w:rsid w:val="00A96353"/>
    <w:rsid w:val="00A96652"/>
    <w:rsid w:val="00A96776"/>
    <w:rsid w:val="00A96B32"/>
    <w:rsid w:val="00A9700F"/>
    <w:rsid w:val="00A97483"/>
    <w:rsid w:val="00A97E3B"/>
    <w:rsid w:val="00AA0118"/>
    <w:rsid w:val="00AA080C"/>
    <w:rsid w:val="00AA0AE5"/>
    <w:rsid w:val="00AA0BB8"/>
    <w:rsid w:val="00AA0BED"/>
    <w:rsid w:val="00AA0C90"/>
    <w:rsid w:val="00AA0E9C"/>
    <w:rsid w:val="00AA0FB6"/>
    <w:rsid w:val="00AA12EB"/>
    <w:rsid w:val="00AA1334"/>
    <w:rsid w:val="00AA19F0"/>
    <w:rsid w:val="00AA1C20"/>
    <w:rsid w:val="00AA1F91"/>
    <w:rsid w:val="00AA21C0"/>
    <w:rsid w:val="00AA2352"/>
    <w:rsid w:val="00AA2B1B"/>
    <w:rsid w:val="00AA3448"/>
    <w:rsid w:val="00AA3662"/>
    <w:rsid w:val="00AA3938"/>
    <w:rsid w:val="00AA3D5B"/>
    <w:rsid w:val="00AA3E5E"/>
    <w:rsid w:val="00AA3F8A"/>
    <w:rsid w:val="00AA407E"/>
    <w:rsid w:val="00AA4611"/>
    <w:rsid w:val="00AA462E"/>
    <w:rsid w:val="00AA49BA"/>
    <w:rsid w:val="00AA4AE8"/>
    <w:rsid w:val="00AA4DB6"/>
    <w:rsid w:val="00AA5263"/>
    <w:rsid w:val="00AA5CD4"/>
    <w:rsid w:val="00AA5DB3"/>
    <w:rsid w:val="00AA6030"/>
    <w:rsid w:val="00AA623E"/>
    <w:rsid w:val="00AA6304"/>
    <w:rsid w:val="00AA63BF"/>
    <w:rsid w:val="00AA65C3"/>
    <w:rsid w:val="00AA6886"/>
    <w:rsid w:val="00AA6983"/>
    <w:rsid w:val="00AA6DC9"/>
    <w:rsid w:val="00AA6E64"/>
    <w:rsid w:val="00AA71F0"/>
    <w:rsid w:val="00AA7710"/>
    <w:rsid w:val="00AA7C0C"/>
    <w:rsid w:val="00AA7C7D"/>
    <w:rsid w:val="00AB0238"/>
    <w:rsid w:val="00AB0278"/>
    <w:rsid w:val="00AB029E"/>
    <w:rsid w:val="00AB06F5"/>
    <w:rsid w:val="00AB06F7"/>
    <w:rsid w:val="00AB0FF3"/>
    <w:rsid w:val="00AB13AE"/>
    <w:rsid w:val="00AB14BB"/>
    <w:rsid w:val="00AB155B"/>
    <w:rsid w:val="00AB1AAA"/>
    <w:rsid w:val="00AB1C4A"/>
    <w:rsid w:val="00AB2A50"/>
    <w:rsid w:val="00AB3150"/>
    <w:rsid w:val="00AB3929"/>
    <w:rsid w:val="00AB451F"/>
    <w:rsid w:val="00AB4C35"/>
    <w:rsid w:val="00AB5133"/>
    <w:rsid w:val="00AB56CB"/>
    <w:rsid w:val="00AB5F4B"/>
    <w:rsid w:val="00AB5F67"/>
    <w:rsid w:val="00AB6039"/>
    <w:rsid w:val="00AB6125"/>
    <w:rsid w:val="00AB63F8"/>
    <w:rsid w:val="00AB64A9"/>
    <w:rsid w:val="00AB652C"/>
    <w:rsid w:val="00AB6805"/>
    <w:rsid w:val="00AB7279"/>
    <w:rsid w:val="00AB7989"/>
    <w:rsid w:val="00AC0090"/>
    <w:rsid w:val="00AC0563"/>
    <w:rsid w:val="00AC0917"/>
    <w:rsid w:val="00AC0A61"/>
    <w:rsid w:val="00AC0DE4"/>
    <w:rsid w:val="00AC1008"/>
    <w:rsid w:val="00AC1034"/>
    <w:rsid w:val="00AC112B"/>
    <w:rsid w:val="00AC1665"/>
    <w:rsid w:val="00AC1ECD"/>
    <w:rsid w:val="00AC1F11"/>
    <w:rsid w:val="00AC2056"/>
    <w:rsid w:val="00AC235A"/>
    <w:rsid w:val="00AC25DB"/>
    <w:rsid w:val="00AC294E"/>
    <w:rsid w:val="00AC2A70"/>
    <w:rsid w:val="00AC2F11"/>
    <w:rsid w:val="00AC3041"/>
    <w:rsid w:val="00AC37D9"/>
    <w:rsid w:val="00AC3A2D"/>
    <w:rsid w:val="00AC3D8B"/>
    <w:rsid w:val="00AC3EEE"/>
    <w:rsid w:val="00AC3F33"/>
    <w:rsid w:val="00AC3FA8"/>
    <w:rsid w:val="00AC44D4"/>
    <w:rsid w:val="00AC4D13"/>
    <w:rsid w:val="00AC4FE1"/>
    <w:rsid w:val="00AC55ED"/>
    <w:rsid w:val="00AC5669"/>
    <w:rsid w:val="00AC56FA"/>
    <w:rsid w:val="00AC5E4E"/>
    <w:rsid w:val="00AC61DB"/>
    <w:rsid w:val="00AC6361"/>
    <w:rsid w:val="00AC668D"/>
    <w:rsid w:val="00AC688E"/>
    <w:rsid w:val="00AC7278"/>
    <w:rsid w:val="00AC75DC"/>
    <w:rsid w:val="00AC771A"/>
    <w:rsid w:val="00AC7EA2"/>
    <w:rsid w:val="00AC7FA8"/>
    <w:rsid w:val="00AD09F6"/>
    <w:rsid w:val="00AD131B"/>
    <w:rsid w:val="00AD14DA"/>
    <w:rsid w:val="00AD1814"/>
    <w:rsid w:val="00AD184A"/>
    <w:rsid w:val="00AD191B"/>
    <w:rsid w:val="00AD1A5B"/>
    <w:rsid w:val="00AD1AAC"/>
    <w:rsid w:val="00AD1C22"/>
    <w:rsid w:val="00AD1EA3"/>
    <w:rsid w:val="00AD2222"/>
    <w:rsid w:val="00AD2355"/>
    <w:rsid w:val="00AD2740"/>
    <w:rsid w:val="00AD281C"/>
    <w:rsid w:val="00AD2A49"/>
    <w:rsid w:val="00AD2C5E"/>
    <w:rsid w:val="00AD307C"/>
    <w:rsid w:val="00AD3534"/>
    <w:rsid w:val="00AD35AB"/>
    <w:rsid w:val="00AD3A77"/>
    <w:rsid w:val="00AD3B8A"/>
    <w:rsid w:val="00AD42A5"/>
    <w:rsid w:val="00AD4417"/>
    <w:rsid w:val="00AD4798"/>
    <w:rsid w:val="00AD4866"/>
    <w:rsid w:val="00AD4897"/>
    <w:rsid w:val="00AD501C"/>
    <w:rsid w:val="00AD50BE"/>
    <w:rsid w:val="00AD50FB"/>
    <w:rsid w:val="00AD51F2"/>
    <w:rsid w:val="00AD56DD"/>
    <w:rsid w:val="00AD582C"/>
    <w:rsid w:val="00AD590C"/>
    <w:rsid w:val="00AD6455"/>
    <w:rsid w:val="00AD6E6C"/>
    <w:rsid w:val="00AD70F8"/>
    <w:rsid w:val="00AD73A6"/>
    <w:rsid w:val="00AD76B3"/>
    <w:rsid w:val="00AD7887"/>
    <w:rsid w:val="00AD7E63"/>
    <w:rsid w:val="00AD7E8E"/>
    <w:rsid w:val="00AD7F72"/>
    <w:rsid w:val="00AD7F80"/>
    <w:rsid w:val="00AE024F"/>
    <w:rsid w:val="00AE0385"/>
    <w:rsid w:val="00AE06B8"/>
    <w:rsid w:val="00AE0878"/>
    <w:rsid w:val="00AE0F40"/>
    <w:rsid w:val="00AE1283"/>
    <w:rsid w:val="00AE1862"/>
    <w:rsid w:val="00AE1A8B"/>
    <w:rsid w:val="00AE1AED"/>
    <w:rsid w:val="00AE1C71"/>
    <w:rsid w:val="00AE22E3"/>
    <w:rsid w:val="00AE2E3A"/>
    <w:rsid w:val="00AE3878"/>
    <w:rsid w:val="00AE3AA8"/>
    <w:rsid w:val="00AE3BFB"/>
    <w:rsid w:val="00AE3C98"/>
    <w:rsid w:val="00AE4603"/>
    <w:rsid w:val="00AE51AF"/>
    <w:rsid w:val="00AE545B"/>
    <w:rsid w:val="00AE5464"/>
    <w:rsid w:val="00AE54EA"/>
    <w:rsid w:val="00AE5C27"/>
    <w:rsid w:val="00AE5C48"/>
    <w:rsid w:val="00AE5CCA"/>
    <w:rsid w:val="00AE5E05"/>
    <w:rsid w:val="00AE608B"/>
    <w:rsid w:val="00AE6A79"/>
    <w:rsid w:val="00AE6EB4"/>
    <w:rsid w:val="00AE6FC0"/>
    <w:rsid w:val="00AE70AF"/>
    <w:rsid w:val="00AE7538"/>
    <w:rsid w:val="00AE77B9"/>
    <w:rsid w:val="00AE7C05"/>
    <w:rsid w:val="00AE7C67"/>
    <w:rsid w:val="00AF0065"/>
    <w:rsid w:val="00AF03E2"/>
    <w:rsid w:val="00AF0405"/>
    <w:rsid w:val="00AF05AD"/>
    <w:rsid w:val="00AF1416"/>
    <w:rsid w:val="00AF20FD"/>
    <w:rsid w:val="00AF21B5"/>
    <w:rsid w:val="00AF232D"/>
    <w:rsid w:val="00AF2701"/>
    <w:rsid w:val="00AF27A8"/>
    <w:rsid w:val="00AF3273"/>
    <w:rsid w:val="00AF39B8"/>
    <w:rsid w:val="00AF3DA6"/>
    <w:rsid w:val="00AF4079"/>
    <w:rsid w:val="00AF421E"/>
    <w:rsid w:val="00AF45D2"/>
    <w:rsid w:val="00AF488E"/>
    <w:rsid w:val="00AF4911"/>
    <w:rsid w:val="00AF4A07"/>
    <w:rsid w:val="00AF5707"/>
    <w:rsid w:val="00AF57DF"/>
    <w:rsid w:val="00AF5A2D"/>
    <w:rsid w:val="00AF5B84"/>
    <w:rsid w:val="00AF5E44"/>
    <w:rsid w:val="00AF633C"/>
    <w:rsid w:val="00AF67F3"/>
    <w:rsid w:val="00AF69EF"/>
    <w:rsid w:val="00AF6B76"/>
    <w:rsid w:val="00AF7402"/>
    <w:rsid w:val="00AF76CC"/>
    <w:rsid w:val="00AF7D04"/>
    <w:rsid w:val="00AF7DED"/>
    <w:rsid w:val="00B003AF"/>
    <w:rsid w:val="00B00405"/>
    <w:rsid w:val="00B00523"/>
    <w:rsid w:val="00B00B2A"/>
    <w:rsid w:val="00B00CF5"/>
    <w:rsid w:val="00B00FCF"/>
    <w:rsid w:val="00B01170"/>
    <w:rsid w:val="00B012A0"/>
    <w:rsid w:val="00B01429"/>
    <w:rsid w:val="00B019DD"/>
    <w:rsid w:val="00B01DAB"/>
    <w:rsid w:val="00B02857"/>
    <w:rsid w:val="00B0293C"/>
    <w:rsid w:val="00B03CD2"/>
    <w:rsid w:val="00B043C0"/>
    <w:rsid w:val="00B0466E"/>
    <w:rsid w:val="00B0490E"/>
    <w:rsid w:val="00B04947"/>
    <w:rsid w:val="00B05896"/>
    <w:rsid w:val="00B05A32"/>
    <w:rsid w:val="00B06526"/>
    <w:rsid w:val="00B06ACA"/>
    <w:rsid w:val="00B06B4E"/>
    <w:rsid w:val="00B06DD8"/>
    <w:rsid w:val="00B06F70"/>
    <w:rsid w:val="00B0704C"/>
    <w:rsid w:val="00B071D8"/>
    <w:rsid w:val="00B07424"/>
    <w:rsid w:val="00B07727"/>
    <w:rsid w:val="00B07797"/>
    <w:rsid w:val="00B07B83"/>
    <w:rsid w:val="00B07C73"/>
    <w:rsid w:val="00B07F94"/>
    <w:rsid w:val="00B10201"/>
    <w:rsid w:val="00B10A09"/>
    <w:rsid w:val="00B10D87"/>
    <w:rsid w:val="00B11880"/>
    <w:rsid w:val="00B118AC"/>
    <w:rsid w:val="00B11BC0"/>
    <w:rsid w:val="00B12092"/>
    <w:rsid w:val="00B12397"/>
    <w:rsid w:val="00B127E4"/>
    <w:rsid w:val="00B127ED"/>
    <w:rsid w:val="00B12C42"/>
    <w:rsid w:val="00B12F67"/>
    <w:rsid w:val="00B12FEA"/>
    <w:rsid w:val="00B130B5"/>
    <w:rsid w:val="00B1394E"/>
    <w:rsid w:val="00B13EE9"/>
    <w:rsid w:val="00B15661"/>
    <w:rsid w:val="00B15EC7"/>
    <w:rsid w:val="00B16025"/>
    <w:rsid w:val="00B1646F"/>
    <w:rsid w:val="00B1649B"/>
    <w:rsid w:val="00B164DF"/>
    <w:rsid w:val="00B16530"/>
    <w:rsid w:val="00B165C1"/>
    <w:rsid w:val="00B1665A"/>
    <w:rsid w:val="00B1673B"/>
    <w:rsid w:val="00B16764"/>
    <w:rsid w:val="00B16880"/>
    <w:rsid w:val="00B16971"/>
    <w:rsid w:val="00B176F6"/>
    <w:rsid w:val="00B1792C"/>
    <w:rsid w:val="00B17AE5"/>
    <w:rsid w:val="00B17D15"/>
    <w:rsid w:val="00B17DCF"/>
    <w:rsid w:val="00B2085D"/>
    <w:rsid w:val="00B20A1B"/>
    <w:rsid w:val="00B20A1E"/>
    <w:rsid w:val="00B20B60"/>
    <w:rsid w:val="00B20B6C"/>
    <w:rsid w:val="00B21124"/>
    <w:rsid w:val="00B21515"/>
    <w:rsid w:val="00B2193A"/>
    <w:rsid w:val="00B22031"/>
    <w:rsid w:val="00B221CA"/>
    <w:rsid w:val="00B221DA"/>
    <w:rsid w:val="00B22B8D"/>
    <w:rsid w:val="00B22D68"/>
    <w:rsid w:val="00B22F26"/>
    <w:rsid w:val="00B23750"/>
    <w:rsid w:val="00B2390E"/>
    <w:rsid w:val="00B23A56"/>
    <w:rsid w:val="00B23BBB"/>
    <w:rsid w:val="00B23C5F"/>
    <w:rsid w:val="00B23D90"/>
    <w:rsid w:val="00B24108"/>
    <w:rsid w:val="00B24909"/>
    <w:rsid w:val="00B24972"/>
    <w:rsid w:val="00B24DE2"/>
    <w:rsid w:val="00B2533C"/>
    <w:rsid w:val="00B258F7"/>
    <w:rsid w:val="00B25E05"/>
    <w:rsid w:val="00B2615C"/>
    <w:rsid w:val="00B263A0"/>
    <w:rsid w:val="00B26550"/>
    <w:rsid w:val="00B26A5A"/>
    <w:rsid w:val="00B26C47"/>
    <w:rsid w:val="00B26E4F"/>
    <w:rsid w:val="00B26ECC"/>
    <w:rsid w:val="00B26F08"/>
    <w:rsid w:val="00B27280"/>
    <w:rsid w:val="00B272EF"/>
    <w:rsid w:val="00B2774B"/>
    <w:rsid w:val="00B27C41"/>
    <w:rsid w:val="00B27CF5"/>
    <w:rsid w:val="00B27E06"/>
    <w:rsid w:val="00B27F5D"/>
    <w:rsid w:val="00B301E0"/>
    <w:rsid w:val="00B302A0"/>
    <w:rsid w:val="00B302A6"/>
    <w:rsid w:val="00B302AA"/>
    <w:rsid w:val="00B305E5"/>
    <w:rsid w:val="00B30917"/>
    <w:rsid w:val="00B30DD6"/>
    <w:rsid w:val="00B31364"/>
    <w:rsid w:val="00B3144A"/>
    <w:rsid w:val="00B3144F"/>
    <w:rsid w:val="00B31A9D"/>
    <w:rsid w:val="00B31B6D"/>
    <w:rsid w:val="00B31C9D"/>
    <w:rsid w:val="00B32627"/>
    <w:rsid w:val="00B32AC1"/>
    <w:rsid w:val="00B32DD4"/>
    <w:rsid w:val="00B32F14"/>
    <w:rsid w:val="00B33221"/>
    <w:rsid w:val="00B3349B"/>
    <w:rsid w:val="00B33C56"/>
    <w:rsid w:val="00B33C5F"/>
    <w:rsid w:val="00B33EBA"/>
    <w:rsid w:val="00B33FB5"/>
    <w:rsid w:val="00B34297"/>
    <w:rsid w:val="00B3458F"/>
    <w:rsid w:val="00B34951"/>
    <w:rsid w:val="00B34CD1"/>
    <w:rsid w:val="00B34F2F"/>
    <w:rsid w:val="00B34F9D"/>
    <w:rsid w:val="00B35009"/>
    <w:rsid w:val="00B35019"/>
    <w:rsid w:val="00B35114"/>
    <w:rsid w:val="00B35148"/>
    <w:rsid w:val="00B35569"/>
    <w:rsid w:val="00B357FB"/>
    <w:rsid w:val="00B3593B"/>
    <w:rsid w:val="00B35BD7"/>
    <w:rsid w:val="00B3626A"/>
    <w:rsid w:val="00B36362"/>
    <w:rsid w:val="00B3666C"/>
    <w:rsid w:val="00B36B38"/>
    <w:rsid w:val="00B37734"/>
    <w:rsid w:val="00B377EF"/>
    <w:rsid w:val="00B378E9"/>
    <w:rsid w:val="00B37916"/>
    <w:rsid w:val="00B37B29"/>
    <w:rsid w:val="00B37D26"/>
    <w:rsid w:val="00B37FEE"/>
    <w:rsid w:val="00B4026E"/>
    <w:rsid w:val="00B4047B"/>
    <w:rsid w:val="00B40675"/>
    <w:rsid w:val="00B406D8"/>
    <w:rsid w:val="00B4077D"/>
    <w:rsid w:val="00B40D8A"/>
    <w:rsid w:val="00B40FA6"/>
    <w:rsid w:val="00B4106B"/>
    <w:rsid w:val="00B411E7"/>
    <w:rsid w:val="00B4181B"/>
    <w:rsid w:val="00B4186A"/>
    <w:rsid w:val="00B4213B"/>
    <w:rsid w:val="00B421D3"/>
    <w:rsid w:val="00B42249"/>
    <w:rsid w:val="00B422BA"/>
    <w:rsid w:val="00B42663"/>
    <w:rsid w:val="00B42BBC"/>
    <w:rsid w:val="00B42CCA"/>
    <w:rsid w:val="00B42D2B"/>
    <w:rsid w:val="00B42E60"/>
    <w:rsid w:val="00B42EC9"/>
    <w:rsid w:val="00B43162"/>
    <w:rsid w:val="00B43489"/>
    <w:rsid w:val="00B436EE"/>
    <w:rsid w:val="00B438C4"/>
    <w:rsid w:val="00B43AE4"/>
    <w:rsid w:val="00B43CB5"/>
    <w:rsid w:val="00B43CBB"/>
    <w:rsid w:val="00B43D88"/>
    <w:rsid w:val="00B4402F"/>
    <w:rsid w:val="00B44850"/>
    <w:rsid w:val="00B448D3"/>
    <w:rsid w:val="00B44937"/>
    <w:rsid w:val="00B44DDC"/>
    <w:rsid w:val="00B45080"/>
    <w:rsid w:val="00B4558C"/>
    <w:rsid w:val="00B457CD"/>
    <w:rsid w:val="00B45E3C"/>
    <w:rsid w:val="00B45F39"/>
    <w:rsid w:val="00B46081"/>
    <w:rsid w:val="00B460C0"/>
    <w:rsid w:val="00B46146"/>
    <w:rsid w:val="00B46606"/>
    <w:rsid w:val="00B467C2"/>
    <w:rsid w:val="00B469E9"/>
    <w:rsid w:val="00B46B0A"/>
    <w:rsid w:val="00B46F04"/>
    <w:rsid w:val="00B4715C"/>
    <w:rsid w:val="00B4721F"/>
    <w:rsid w:val="00B4749D"/>
    <w:rsid w:val="00B474DE"/>
    <w:rsid w:val="00B479F0"/>
    <w:rsid w:val="00B47B6E"/>
    <w:rsid w:val="00B47FDB"/>
    <w:rsid w:val="00B501F9"/>
    <w:rsid w:val="00B505E9"/>
    <w:rsid w:val="00B5061A"/>
    <w:rsid w:val="00B509E0"/>
    <w:rsid w:val="00B50E69"/>
    <w:rsid w:val="00B50F7E"/>
    <w:rsid w:val="00B50F94"/>
    <w:rsid w:val="00B51093"/>
    <w:rsid w:val="00B51204"/>
    <w:rsid w:val="00B5125A"/>
    <w:rsid w:val="00B514E6"/>
    <w:rsid w:val="00B51659"/>
    <w:rsid w:val="00B51684"/>
    <w:rsid w:val="00B5179D"/>
    <w:rsid w:val="00B51A88"/>
    <w:rsid w:val="00B51E16"/>
    <w:rsid w:val="00B51E83"/>
    <w:rsid w:val="00B52248"/>
    <w:rsid w:val="00B5262B"/>
    <w:rsid w:val="00B527C6"/>
    <w:rsid w:val="00B529CB"/>
    <w:rsid w:val="00B52A78"/>
    <w:rsid w:val="00B52D96"/>
    <w:rsid w:val="00B5322A"/>
    <w:rsid w:val="00B53774"/>
    <w:rsid w:val="00B53E36"/>
    <w:rsid w:val="00B54272"/>
    <w:rsid w:val="00B54418"/>
    <w:rsid w:val="00B544DF"/>
    <w:rsid w:val="00B54604"/>
    <w:rsid w:val="00B54D84"/>
    <w:rsid w:val="00B551A9"/>
    <w:rsid w:val="00B554F5"/>
    <w:rsid w:val="00B555CD"/>
    <w:rsid w:val="00B555EC"/>
    <w:rsid w:val="00B55737"/>
    <w:rsid w:val="00B55D90"/>
    <w:rsid w:val="00B55E9F"/>
    <w:rsid w:val="00B56403"/>
    <w:rsid w:val="00B568C7"/>
    <w:rsid w:val="00B569D5"/>
    <w:rsid w:val="00B56A8F"/>
    <w:rsid w:val="00B56CFB"/>
    <w:rsid w:val="00B56E89"/>
    <w:rsid w:val="00B56F5A"/>
    <w:rsid w:val="00B57431"/>
    <w:rsid w:val="00B57983"/>
    <w:rsid w:val="00B57ADF"/>
    <w:rsid w:val="00B57D06"/>
    <w:rsid w:val="00B603BB"/>
    <w:rsid w:val="00B60640"/>
    <w:rsid w:val="00B6070E"/>
    <w:rsid w:val="00B60B46"/>
    <w:rsid w:val="00B60F5E"/>
    <w:rsid w:val="00B611FD"/>
    <w:rsid w:val="00B614C8"/>
    <w:rsid w:val="00B614F6"/>
    <w:rsid w:val="00B61818"/>
    <w:rsid w:val="00B61B31"/>
    <w:rsid w:val="00B61D2B"/>
    <w:rsid w:val="00B61D50"/>
    <w:rsid w:val="00B62241"/>
    <w:rsid w:val="00B6267D"/>
    <w:rsid w:val="00B628A5"/>
    <w:rsid w:val="00B62A67"/>
    <w:rsid w:val="00B62D7B"/>
    <w:rsid w:val="00B62ED4"/>
    <w:rsid w:val="00B62F10"/>
    <w:rsid w:val="00B63331"/>
    <w:rsid w:val="00B635C8"/>
    <w:rsid w:val="00B646C8"/>
    <w:rsid w:val="00B64920"/>
    <w:rsid w:val="00B64C33"/>
    <w:rsid w:val="00B64D4A"/>
    <w:rsid w:val="00B6530C"/>
    <w:rsid w:val="00B65E38"/>
    <w:rsid w:val="00B662DC"/>
    <w:rsid w:val="00B664EA"/>
    <w:rsid w:val="00B666EC"/>
    <w:rsid w:val="00B66A9C"/>
    <w:rsid w:val="00B6704D"/>
    <w:rsid w:val="00B671E1"/>
    <w:rsid w:val="00B673DE"/>
    <w:rsid w:val="00B675B5"/>
    <w:rsid w:val="00B675E7"/>
    <w:rsid w:val="00B6780B"/>
    <w:rsid w:val="00B678DF"/>
    <w:rsid w:val="00B6796C"/>
    <w:rsid w:val="00B67AED"/>
    <w:rsid w:val="00B67C4E"/>
    <w:rsid w:val="00B67CFB"/>
    <w:rsid w:val="00B67E04"/>
    <w:rsid w:val="00B700FE"/>
    <w:rsid w:val="00B70290"/>
    <w:rsid w:val="00B705B3"/>
    <w:rsid w:val="00B708E8"/>
    <w:rsid w:val="00B70E4C"/>
    <w:rsid w:val="00B710E7"/>
    <w:rsid w:val="00B7119E"/>
    <w:rsid w:val="00B713DA"/>
    <w:rsid w:val="00B71588"/>
    <w:rsid w:val="00B71CA9"/>
    <w:rsid w:val="00B72291"/>
    <w:rsid w:val="00B723BB"/>
    <w:rsid w:val="00B72577"/>
    <w:rsid w:val="00B72616"/>
    <w:rsid w:val="00B727DD"/>
    <w:rsid w:val="00B72879"/>
    <w:rsid w:val="00B72B3D"/>
    <w:rsid w:val="00B730EF"/>
    <w:rsid w:val="00B73564"/>
    <w:rsid w:val="00B74131"/>
    <w:rsid w:val="00B741F3"/>
    <w:rsid w:val="00B743D6"/>
    <w:rsid w:val="00B74420"/>
    <w:rsid w:val="00B7477F"/>
    <w:rsid w:val="00B747D6"/>
    <w:rsid w:val="00B749B2"/>
    <w:rsid w:val="00B74A9E"/>
    <w:rsid w:val="00B74B35"/>
    <w:rsid w:val="00B74E35"/>
    <w:rsid w:val="00B74FFC"/>
    <w:rsid w:val="00B750D7"/>
    <w:rsid w:val="00B753DB"/>
    <w:rsid w:val="00B75466"/>
    <w:rsid w:val="00B75C64"/>
    <w:rsid w:val="00B75C8D"/>
    <w:rsid w:val="00B75DEF"/>
    <w:rsid w:val="00B76079"/>
    <w:rsid w:val="00B7686C"/>
    <w:rsid w:val="00B76ACB"/>
    <w:rsid w:val="00B76EF9"/>
    <w:rsid w:val="00B774C1"/>
    <w:rsid w:val="00B774E7"/>
    <w:rsid w:val="00B77795"/>
    <w:rsid w:val="00B77821"/>
    <w:rsid w:val="00B77C0A"/>
    <w:rsid w:val="00B77FE0"/>
    <w:rsid w:val="00B80002"/>
    <w:rsid w:val="00B800E2"/>
    <w:rsid w:val="00B800F9"/>
    <w:rsid w:val="00B807F2"/>
    <w:rsid w:val="00B80B53"/>
    <w:rsid w:val="00B80B83"/>
    <w:rsid w:val="00B81D30"/>
    <w:rsid w:val="00B81F06"/>
    <w:rsid w:val="00B821DB"/>
    <w:rsid w:val="00B82463"/>
    <w:rsid w:val="00B82670"/>
    <w:rsid w:val="00B8278D"/>
    <w:rsid w:val="00B82AA9"/>
    <w:rsid w:val="00B82DEF"/>
    <w:rsid w:val="00B832AF"/>
    <w:rsid w:val="00B83ABD"/>
    <w:rsid w:val="00B8454A"/>
    <w:rsid w:val="00B8469B"/>
    <w:rsid w:val="00B846AC"/>
    <w:rsid w:val="00B847A2"/>
    <w:rsid w:val="00B8490C"/>
    <w:rsid w:val="00B84ABB"/>
    <w:rsid w:val="00B84FA2"/>
    <w:rsid w:val="00B8567E"/>
    <w:rsid w:val="00B859DF"/>
    <w:rsid w:val="00B85B3F"/>
    <w:rsid w:val="00B85CC4"/>
    <w:rsid w:val="00B85FAA"/>
    <w:rsid w:val="00B8601F"/>
    <w:rsid w:val="00B86059"/>
    <w:rsid w:val="00B86486"/>
    <w:rsid w:val="00B86876"/>
    <w:rsid w:val="00B868D4"/>
    <w:rsid w:val="00B86A48"/>
    <w:rsid w:val="00B86B26"/>
    <w:rsid w:val="00B87017"/>
    <w:rsid w:val="00B87124"/>
    <w:rsid w:val="00B87154"/>
    <w:rsid w:val="00B874BD"/>
    <w:rsid w:val="00B875B8"/>
    <w:rsid w:val="00B8772C"/>
    <w:rsid w:val="00B87892"/>
    <w:rsid w:val="00B87B54"/>
    <w:rsid w:val="00B87CC5"/>
    <w:rsid w:val="00B87E13"/>
    <w:rsid w:val="00B9000D"/>
    <w:rsid w:val="00B90194"/>
    <w:rsid w:val="00B90262"/>
    <w:rsid w:val="00B902AA"/>
    <w:rsid w:val="00B9089B"/>
    <w:rsid w:val="00B90BE5"/>
    <w:rsid w:val="00B90E3F"/>
    <w:rsid w:val="00B91166"/>
    <w:rsid w:val="00B91469"/>
    <w:rsid w:val="00B91559"/>
    <w:rsid w:val="00B91B7B"/>
    <w:rsid w:val="00B91DD2"/>
    <w:rsid w:val="00B92007"/>
    <w:rsid w:val="00B9250A"/>
    <w:rsid w:val="00B925F1"/>
    <w:rsid w:val="00B9296C"/>
    <w:rsid w:val="00B92BFA"/>
    <w:rsid w:val="00B92C18"/>
    <w:rsid w:val="00B92D8A"/>
    <w:rsid w:val="00B9315B"/>
    <w:rsid w:val="00B9331F"/>
    <w:rsid w:val="00B9343F"/>
    <w:rsid w:val="00B93450"/>
    <w:rsid w:val="00B934D0"/>
    <w:rsid w:val="00B93C3F"/>
    <w:rsid w:val="00B93ED9"/>
    <w:rsid w:val="00B93F17"/>
    <w:rsid w:val="00B93F1E"/>
    <w:rsid w:val="00B93FBD"/>
    <w:rsid w:val="00B9416B"/>
    <w:rsid w:val="00B943D9"/>
    <w:rsid w:val="00B945DB"/>
    <w:rsid w:val="00B94D02"/>
    <w:rsid w:val="00B94E7F"/>
    <w:rsid w:val="00B95134"/>
    <w:rsid w:val="00B953B1"/>
    <w:rsid w:val="00B955E0"/>
    <w:rsid w:val="00B957F8"/>
    <w:rsid w:val="00B95B2A"/>
    <w:rsid w:val="00B9645D"/>
    <w:rsid w:val="00B96737"/>
    <w:rsid w:val="00B96CEF"/>
    <w:rsid w:val="00B96EB4"/>
    <w:rsid w:val="00B96EC7"/>
    <w:rsid w:val="00B975C1"/>
    <w:rsid w:val="00B97EC8"/>
    <w:rsid w:val="00BA077B"/>
    <w:rsid w:val="00BA0785"/>
    <w:rsid w:val="00BA0C5F"/>
    <w:rsid w:val="00BA1308"/>
    <w:rsid w:val="00BA135A"/>
    <w:rsid w:val="00BA145F"/>
    <w:rsid w:val="00BA1557"/>
    <w:rsid w:val="00BA1BF8"/>
    <w:rsid w:val="00BA1D8E"/>
    <w:rsid w:val="00BA1FF1"/>
    <w:rsid w:val="00BA26D0"/>
    <w:rsid w:val="00BA2A0F"/>
    <w:rsid w:val="00BA2E05"/>
    <w:rsid w:val="00BA2F02"/>
    <w:rsid w:val="00BA3542"/>
    <w:rsid w:val="00BA3749"/>
    <w:rsid w:val="00BA4093"/>
    <w:rsid w:val="00BA4707"/>
    <w:rsid w:val="00BA4D96"/>
    <w:rsid w:val="00BA5172"/>
    <w:rsid w:val="00BA5458"/>
    <w:rsid w:val="00BA587D"/>
    <w:rsid w:val="00BA58DF"/>
    <w:rsid w:val="00BA5AE0"/>
    <w:rsid w:val="00BA5EBB"/>
    <w:rsid w:val="00BA6427"/>
    <w:rsid w:val="00BA6530"/>
    <w:rsid w:val="00BA6746"/>
    <w:rsid w:val="00BA7A5D"/>
    <w:rsid w:val="00BA7D6C"/>
    <w:rsid w:val="00BB091E"/>
    <w:rsid w:val="00BB0A08"/>
    <w:rsid w:val="00BB0E10"/>
    <w:rsid w:val="00BB1701"/>
    <w:rsid w:val="00BB1A48"/>
    <w:rsid w:val="00BB1C06"/>
    <w:rsid w:val="00BB2070"/>
    <w:rsid w:val="00BB2883"/>
    <w:rsid w:val="00BB2B75"/>
    <w:rsid w:val="00BB2C49"/>
    <w:rsid w:val="00BB2DDF"/>
    <w:rsid w:val="00BB2FFA"/>
    <w:rsid w:val="00BB3899"/>
    <w:rsid w:val="00BB3BDA"/>
    <w:rsid w:val="00BB3C73"/>
    <w:rsid w:val="00BB3DC5"/>
    <w:rsid w:val="00BB3E99"/>
    <w:rsid w:val="00BB412D"/>
    <w:rsid w:val="00BB4209"/>
    <w:rsid w:val="00BB43CF"/>
    <w:rsid w:val="00BB532F"/>
    <w:rsid w:val="00BB53FD"/>
    <w:rsid w:val="00BB5605"/>
    <w:rsid w:val="00BB5863"/>
    <w:rsid w:val="00BB5C7C"/>
    <w:rsid w:val="00BB5E44"/>
    <w:rsid w:val="00BB5F33"/>
    <w:rsid w:val="00BB605F"/>
    <w:rsid w:val="00BB61F5"/>
    <w:rsid w:val="00BB636B"/>
    <w:rsid w:val="00BB689D"/>
    <w:rsid w:val="00BB68EC"/>
    <w:rsid w:val="00BB698E"/>
    <w:rsid w:val="00BB6AC5"/>
    <w:rsid w:val="00BB6D45"/>
    <w:rsid w:val="00BB6E74"/>
    <w:rsid w:val="00BB71C6"/>
    <w:rsid w:val="00BB7906"/>
    <w:rsid w:val="00BB7993"/>
    <w:rsid w:val="00BB7C2F"/>
    <w:rsid w:val="00BB7DE3"/>
    <w:rsid w:val="00BB7F3A"/>
    <w:rsid w:val="00BC0217"/>
    <w:rsid w:val="00BC0227"/>
    <w:rsid w:val="00BC0331"/>
    <w:rsid w:val="00BC09DF"/>
    <w:rsid w:val="00BC0B02"/>
    <w:rsid w:val="00BC0D66"/>
    <w:rsid w:val="00BC0D9D"/>
    <w:rsid w:val="00BC114D"/>
    <w:rsid w:val="00BC12BF"/>
    <w:rsid w:val="00BC1826"/>
    <w:rsid w:val="00BC1880"/>
    <w:rsid w:val="00BC1A57"/>
    <w:rsid w:val="00BC2AAC"/>
    <w:rsid w:val="00BC31A9"/>
    <w:rsid w:val="00BC33AA"/>
    <w:rsid w:val="00BC3A90"/>
    <w:rsid w:val="00BC3BE3"/>
    <w:rsid w:val="00BC3DFD"/>
    <w:rsid w:val="00BC415B"/>
    <w:rsid w:val="00BC4229"/>
    <w:rsid w:val="00BC4AD6"/>
    <w:rsid w:val="00BC4D2C"/>
    <w:rsid w:val="00BC5323"/>
    <w:rsid w:val="00BC5634"/>
    <w:rsid w:val="00BC5EF9"/>
    <w:rsid w:val="00BC609A"/>
    <w:rsid w:val="00BC6D6D"/>
    <w:rsid w:val="00BC7648"/>
    <w:rsid w:val="00BC7B2C"/>
    <w:rsid w:val="00BC7C49"/>
    <w:rsid w:val="00BC7ED5"/>
    <w:rsid w:val="00BD0181"/>
    <w:rsid w:val="00BD02D2"/>
    <w:rsid w:val="00BD06BB"/>
    <w:rsid w:val="00BD08BA"/>
    <w:rsid w:val="00BD08F1"/>
    <w:rsid w:val="00BD0B17"/>
    <w:rsid w:val="00BD0B79"/>
    <w:rsid w:val="00BD12E4"/>
    <w:rsid w:val="00BD1A1A"/>
    <w:rsid w:val="00BD1A79"/>
    <w:rsid w:val="00BD1C6A"/>
    <w:rsid w:val="00BD1DEB"/>
    <w:rsid w:val="00BD201E"/>
    <w:rsid w:val="00BD204E"/>
    <w:rsid w:val="00BD2102"/>
    <w:rsid w:val="00BD24C7"/>
    <w:rsid w:val="00BD257C"/>
    <w:rsid w:val="00BD2725"/>
    <w:rsid w:val="00BD2767"/>
    <w:rsid w:val="00BD2866"/>
    <w:rsid w:val="00BD2956"/>
    <w:rsid w:val="00BD29DE"/>
    <w:rsid w:val="00BD2BC6"/>
    <w:rsid w:val="00BD2E72"/>
    <w:rsid w:val="00BD2FB0"/>
    <w:rsid w:val="00BD3413"/>
    <w:rsid w:val="00BD3866"/>
    <w:rsid w:val="00BD396C"/>
    <w:rsid w:val="00BD3C04"/>
    <w:rsid w:val="00BD3EA4"/>
    <w:rsid w:val="00BD4186"/>
    <w:rsid w:val="00BD4BA8"/>
    <w:rsid w:val="00BD522C"/>
    <w:rsid w:val="00BD543E"/>
    <w:rsid w:val="00BD55CA"/>
    <w:rsid w:val="00BD56AD"/>
    <w:rsid w:val="00BD5AC9"/>
    <w:rsid w:val="00BD6A1C"/>
    <w:rsid w:val="00BD6F9D"/>
    <w:rsid w:val="00BD735E"/>
    <w:rsid w:val="00BD776F"/>
    <w:rsid w:val="00BE055B"/>
    <w:rsid w:val="00BE073D"/>
    <w:rsid w:val="00BE0D80"/>
    <w:rsid w:val="00BE0E2C"/>
    <w:rsid w:val="00BE0E70"/>
    <w:rsid w:val="00BE108F"/>
    <w:rsid w:val="00BE1365"/>
    <w:rsid w:val="00BE1420"/>
    <w:rsid w:val="00BE178C"/>
    <w:rsid w:val="00BE1B37"/>
    <w:rsid w:val="00BE1B7B"/>
    <w:rsid w:val="00BE256E"/>
    <w:rsid w:val="00BE277A"/>
    <w:rsid w:val="00BE2900"/>
    <w:rsid w:val="00BE2B56"/>
    <w:rsid w:val="00BE3017"/>
    <w:rsid w:val="00BE321E"/>
    <w:rsid w:val="00BE3539"/>
    <w:rsid w:val="00BE3667"/>
    <w:rsid w:val="00BE3A51"/>
    <w:rsid w:val="00BE3E08"/>
    <w:rsid w:val="00BE4164"/>
    <w:rsid w:val="00BE4568"/>
    <w:rsid w:val="00BE4C58"/>
    <w:rsid w:val="00BE4DA6"/>
    <w:rsid w:val="00BE4E30"/>
    <w:rsid w:val="00BE5122"/>
    <w:rsid w:val="00BE514A"/>
    <w:rsid w:val="00BE529D"/>
    <w:rsid w:val="00BE6507"/>
    <w:rsid w:val="00BE68DC"/>
    <w:rsid w:val="00BE6BBD"/>
    <w:rsid w:val="00BE700B"/>
    <w:rsid w:val="00BE7231"/>
    <w:rsid w:val="00BE7E70"/>
    <w:rsid w:val="00BE7E91"/>
    <w:rsid w:val="00BF019D"/>
    <w:rsid w:val="00BF01C9"/>
    <w:rsid w:val="00BF027A"/>
    <w:rsid w:val="00BF0291"/>
    <w:rsid w:val="00BF04DD"/>
    <w:rsid w:val="00BF0504"/>
    <w:rsid w:val="00BF0723"/>
    <w:rsid w:val="00BF0AD1"/>
    <w:rsid w:val="00BF0AF4"/>
    <w:rsid w:val="00BF0C37"/>
    <w:rsid w:val="00BF0EB0"/>
    <w:rsid w:val="00BF158B"/>
    <w:rsid w:val="00BF161C"/>
    <w:rsid w:val="00BF170A"/>
    <w:rsid w:val="00BF175A"/>
    <w:rsid w:val="00BF1CBC"/>
    <w:rsid w:val="00BF1D54"/>
    <w:rsid w:val="00BF1E87"/>
    <w:rsid w:val="00BF20CA"/>
    <w:rsid w:val="00BF21DA"/>
    <w:rsid w:val="00BF28FE"/>
    <w:rsid w:val="00BF2C6E"/>
    <w:rsid w:val="00BF328B"/>
    <w:rsid w:val="00BF362E"/>
    <w:rsid w:val="00BF363D"/>
    <w:rsid w:val="00BF36BC"/>
    <w:rsid w:val="00BF3CF5"/>
    <w:rsid w:val="00BF3EF5"/>
    <w:rsid w:val="00BF3F33"/>
    <w:rsid w:val="00BF5295"/>
    <w:rsid w:val="00BF53CE"/>
    <w:rsid w:val="00BF57C8"/>
    <w:rsid w:val="00BF5FB1"/>
    <w:rsid w:val="00BF5FE9"/>
    <w:rsid w:val="00BF60F4"/>
    <w:rsid w:val="00BF6110"/>
    <w:rsid w:val="00BF6165"/>
    <w:rsid w:val="00BF65B2"/>
    <w:rsid w:val="00BF65E8"/>
    <w:rsid w:val="00BF697F"/>
    <w:rsid w:val="00BF6AE1"/>
    <w:rsid w:val="00BF6B6C"/>
    <w:rsid w:val="00BF71D2"/>
    <w:rsid w:val="00BF7480"/>
    <w:rsid w:val="00BF7686"/>
    <w:rsid w:val="00BF7769"/>
    <w:rsid w:val="00BF7800"/>
    <w:rsid w:val="00BF7B40"/>
    <w:rsid w:val="00BF7F00"/>
    <w:rsid w:val="00C00145"/>
    <w:rsid w:val="00C0021A"/>
    <w:rsid w:val="00C008C1"/>
    <w:rsid w:val="00C00A04"/>
    <w:rsid w:val="00C00DB6"/>
    <w:rsid w:val="00C00EEF"/>
    <w:rsid w:val="00C014B1"/>
    <w:rsid w:val="00C01EEC"/>
    <w:rsid w:val="00C029A8"/>
    <w:rsid w:val="00C029B7"/>
    <w:rsid w:val="00C02B8D"/>
    <w:rsid w:val="00C02BFE"/>
    <w:rsid w:val="00C02C18"/>
    <w:rsid w:val="00C030D9"/>
    <w:rsid w:val="00C03145"/>
    <w:rsid w:val="00C031EF"/>
    <w:rsid w:val="00C03651"/>
    <w:rsid w:val="00C03940"/>
    <w:rsid w:val="00C039B3"/>
    <w:rsid w:val="00C03A56"/>
    <w:rsid w:val="00C041FD"/>
    <w:rsid w:val="00C043A8"/>
    <w:rsid w:val="00C0472C"/>
    <w:rsid w:val="00C0473F"/>
    <w:rsid w:val="00C048E2"/>
    <w:rsid w:val="00C04EE8"/>
    <w:rsid w:val="00C050A1"/>
    <w:rsid w:val="00C05102"/>
    <w:rsid w:val="00C05586"/>
    <w:rsid w:val="00C05763"/>
    <w:rsid w:val="00C05FD1"/>
    <w:rsid w:val="00C061F9"/>
    <w:rsid w:val="00C063A2"/>
    <w:rsid w:val="00C064BC"/>
    <w:rsid w:val="00C065B7"/>
    <w:rsid w:val="00C06C17"/>
    <w:rsid w:val="00C06C7C"/>
    <w:rsid w:val="00C073D7"/>
    <w:rsid w:val="00C075B7"/>
    <w:rsid w:val="00C078C1"/>
    <w:rsid w:val="00C07A11"/>
    <w:rsid w:val="00C07B50"/>
    <w:rsid w:val="00C07B70"/>
    <w:rsid w:val="00C07ED7"/>
    <w:rsid w:val="00C10077"/>
    <w:rsid w:val="00C10081"/>
    <w:rsid w:val="00C105D6"/>
    <w:rsid w:val="00C10A73"/>
    <w:rsid w:val="00C10D02"/>
    <w:rsid w:val="00C10DF7"/>
    <w:rsid w:val="00C11A90"/>
    <w:rsid w:val="00C11B88"/>
    <w:rsid w:val="00C11BE4"/>
    <w:rsid w:val="00C11CE8"/>
    <w:rsid w:val="00C11EDB"/>
    <w:rsid w:val="00C11EF9"/>
    <w:rsid w:val="00C11F2B"/>
    <w:rsid w:val="00C12087"/>
    <w:rsid w:val="00C1208D"/>
    <w:rsid w:val="00C12499"/>
    <w:rsid w:val="00C12573"/>
    <w:rsid w:val="00C126D8"/>
    <w:rsid w:val="00C12A00"/>
    <w:rsid w:val="00C12C57"/>
    <w:rsid w:val="00C132A7"/>
    <w:rsid w:val="00C133ED"/>
    <w:rsid w:val="00C1353F"/>
    <w:rsid w:val="00C13F2F"/>
    <w:rsid w:val="00C13F3F"/>
    <w:rsid w:val="00C1413D"/>
    <w:rsid w:val="00C144CB"/>
    <w:rsid w:val="00C14505"/>
    <w:rsid w:val="00C155E2"/>
    <w:rsid w:val="00C15E89"/>
    <w:rsid w:val="00C15FE6"/>
    <w:rsid w:val="00C160C5"/>
    <w:rsid w:val="00C16108"/>
    <w:rsid w:val="00C162E1"/>
    <w:rsid w:val="00C16328"/>
    <w:rsid w:val="00C16391"/>
    <w:rsid w:val="00C16478"/>
    <w:rsid w:val="00C164F7"/>
    <w:rsid w:val="00C167A6"/>
    <w:rsid w:val="00C1693A"/>
    <w:rsid w:val="00C170FA"/>
    <w:rsid w:val="00C17369"/>
    <w:rsid w:val="00C1748A"/>
    <w:rsid w:val="00C17588"/>
    <w:rsid w:val="00C1798B"/>
    <w:rsid w:val="00C17C1B"/>
    <w:rsid w:val="00C17F67"/>
    <w:rsid w:val="00C20317"/>
    <w:rsid w:val="00C20641"/>
    <w:rsid w:val="00C2073D"/>
    <w:rsid w:val="00C20787"/>
    <w:rsid w:val="00C20BDC"/>
    <w:rsid w:val="00C20C28"/>
    <w:rsid w:val="00C20D63"/>
    <w:rsid w:val="00C20E06"/>
    <w:rsid w:val="00C20F2C"/>
    <w:rsid w:val="00C215C6"/>
    <w:rsid w:val="00C216E5"/>
    <w:rsid w:val="00C21776"/>
    <w:rsid w:val="00C217EB"/>
    <w:rsid w:val="00C219A4"/>
    <w:rsid w:val="00C21A2B"/>
    <w:rsid w:val="00C220D8"/>
    <w:rsid w:val="00C22196"/>
    <w:rsid w:val="00C2275F"/>
    <w:rsid w:val="00C228B9"/>
    <w:rsid w:val="00C2294C"/>
    <w:rsid w:val="00C229B6"/>
    <w:rsid w:val="00C2316C"/>
    <w:rsid w:val="00C2373F"/>
    <w:rsid w:val="00C239C6"/>
    <w:rsid w:val="00C23A2C"/>
    <w:rsid w:val="00C23D8D"/>
    <w:rsid w:val="00C23F79"/>
    <w:rsid w:val="00C23FC5"/>
    <w:rsid w:val="00C242EE"/>
    <w:rsid w:val="00C2467A"/>
    <w:rsid w:val="00C24790"/>
    <w:rsid w:val="00C24855"/>
    <w:rsid w:val="00C24939"/>
    <w:rsid w:val="00C24AB9"/>
    <w:rsid w:val="00C24F77"/>
    <w:rsid w:val="00C25493"/>
    <w:rsid w:val="00C25AA9"/>
    <w:rsid w:val="00C25CA0"/>
    <w:rsid w:val="00C26576"/>
    <w:rsid w:val="00C26A98"/>
    <w:rsid w:val="00C26BF1"/>
    <w:rsid w:val="00C26D5B"/>
    <w:rsid w:val="00C2730D"/>
    <w:rsid w:val="00C27B87"/>
    <w:rsid w:val="00C27BAE"/>
    <w:rsid w:val="00C27C2C"/>
    <w:rsid w:val="00C27F03"/>
    <w:rsid w:val="00C303E1"/>
    <w:rsid w:val="00C307D3"/>
    <w:rsid w:val="00C30F72"/>
    <w:rsid w:val="00C310E4"/>
    <w:rsid w:val="00C31A99"/>
    <w:rsid w:val="00C3208D"/>
    <w:rsid w:val="00C32505"/>
    <w:rsid w:val="00C326E3"/>
    <w:rsid w:val="00C32888"/>
    <w:rsid w:val="00C32B79"/>
    <w:rsid w:val="00C32C5B"/>
    <w:rsid w:val="00C32C89"/>
    <w:rsid w:val="00C32F01"/>
    <w:rsid w:val="00C32F4B"/>
    <w:rsid w:val="00C33208"/>
    <w:rsid w:val="00C332DD"/>
    <w:rsid w:val="00C33409"/>
    <w:rsid w:val="00C337D6"/>
    <w:rsid w:val="00C337FA"/>
    <w:rsid w:val="00C3398F"/>
    <w:rsid w:val="00C339B5"/>
    <w:rsid w:val="00C33D65"/>
    <w:rsid w:val="00C33EF8"/>
    <w:rsid w:val="00C34011"/>
    <w:rsid w:val="00C34054"/>
    <w:rsid w:val="00C3462D"/>
    <w:rsid w:val="00C34E11"/>
    <w:rsid w:val="00C34E28"/>
    <w:rsid w:val="00C35194"/>
    <w:rsid w:val="00C356C7"/>
    <w:rsid w:val="00C36104"/>
    <w:rsid w:val="00C3633A"/>
    <w:rsid w:val="00C363CC"/>
    <w:rsid w:val="00C367E7"/>
    <w:rsid w:val="00C36A3C"/>
    <w:rsid w:val="00C370A3"/>
    <w:rsid w:val="00C372B0"/>
    <w:rsid w:val="00C374A9"/>
    <w:rsid w:val="00C3760F"/>
    <w:rsid w:val="00C37EBB"/>
    <w:rsid w:val="00C409FC"/>
    <w:rsid w:val="00C40B5D"/>
    <w:rsid w:val="00C40D43"/>
    <w:rsid w:val="00C40DDB"/>
    <w:rsid w:val="00C40EAB"/>
    <w:rsid w:val="00C40EC6"/>
    <w:rsid w:val="00C40EF2"/>
    <w:rsid w:val="00C40F1F"/>
    <w:rsid w:val="00C414B0"/>
    <w:rsid w:val="00C41811"/>
    <w:rsid w:val="00C41C51"/>
    <w:rsid w:val="00C4274E"/>
    <w:rsid w:val="00C42D50"/>
    <w:rsid w:val="00C42D5D"/>
    <w:rsid w:val="00C4308F"/>
    <w:rsid w:val="00C43776"/>
    <w:rsid w:val="00C4388C"/>
    <w:rsid w:val="00C43989"/>
    <w:rsid w:val="00C43B10"/>
    <w:rsid w:val="00C43FC6"/>
    <w:rsid w:val="00C44400"/>
    <w:rsid w:val="00C45051"/>
    <w:rsid w:val="00C4534E"/>
    <w:rsid w:val="00C455CB"/>
    <w:rsid w:val="00C45716"/>
    <w:rsid w:val="00C45779"/>
    <w:rsid w:val="00C45A29"/>
    <w:rsid w:val="00C45E4B"/>
    <w:rsid w:val="00C46456"/>
    <w:rsid w:val="00C465C1"/>
    <w:rsid w:val="00C46642"/>
    <w:rsid w:val="00C46660"/>
    <w:rsid w:val="00C4696F"/>
    <w:rsid w:val="00C469C4"/>
    <w:rsid w:val="00C46B4D"/>
    <w:rsid w:val="00C46C16"/>
    <w:rsid w:val="00C47100"/>
    <w:rsid w:val="00C47538"/>
    <w:rsid w:val="00C475D6"/>
    <w:rsid w:val="00C4788A"/>
    <w:rsid w:val="00C47A41"/>
    <w:rsid w:val="00C47A6E"/>
    <w:rsid w:val="00C47BDC"/>
    <w:rsid w:val="00C47CF9"/>
    <w:rsid w:val="00C50088"/>
    <w:rsid w:val="00C5011F"/>
    <w:rsid w:val="00C5075D"/>
    <w:rsid w:val="00C5086E"/>
    <w:rsid w:val="00C5139B"/>
    <w:rsid w:val="00C514F7"/>
    <w:rsid w:val="00C52454"/>
    <w:rsid w:val="00C5251C"/>
    <w:rsid w:val="00C52C1F"/>
    <w:rsid w:val="00C52CC1"/>
    <w:rsid w:val="00C52F6A"/>
    <w:rsid w:val="00C53170"/>
    <w:rsid w:val="00C533CF"/>
    <w:rsid w:val="00C5349F"/>
    <w:rsid w:val="00C53EDB"/>
    <w:rsid w:val="00C540F1"/>
    <w:rsid w:val="00C544A8"/>
    <w:rsid w:val="00C545B1"/>
    <w:rsid w:val="00C54A8D"/>
    <w:rsid w:val="00C54AB5"/>
    <w:rsid w:val="00C54B40"/>
    <w:rsid w:val="00C5542E"/>
    <w:rsid w:val="00C55817"/>
    <w:rsid w:val="00C55913"/>
    <w:rsid w:val="00C55C66"/>
    <w:rsid w:val="00C55E1F"/>
    <w:rsid w:val="00C56112"/>
    <w:rsid w:val="00C5688A"/>
    <w:rsid w:val="00C571C5"/>
    <w:rsid w:val="00C5778E"/>
    <w:rsid w:val="00C57921"/>
    <w:rsid w:val="00C57997"/>
    <w:rsid w:val="00C57A99"/>
    <w:rsid w:val="00C57B76"/>
    <w:rsid w:val="00C57DBA"/>
    <w:rsid w:val="00C57F0D"/>
    <w:rsid w:val="00C57F16"/>
    <w:rsid w:val="00C57F59"/>
    <w:rsid w:val="00C5C7A1"/>
    <w:rsid w:val="00C60187"/>
    <w:rsid w:val="00C6028F"/>
    <w:rsid w:val="00C60914"/>
    <w:rsid w:val="00C60B5F"/>
    <w:rsid w:val="00C60B8F"/>
    <w:rsid w:val="00C6138E"/>
    <w:rsid w:val="00C61497"/>
    <w:rsid w:val="00C618A4"/>
    <w:rsid w:val="00C618BF"/>
    <w:rsid w:val="00C6194A"/>
    <w:rsid w:val="00C61A60"/>
    <w:rsid w:val="00C6221B"/>
    <w:rsid w:val="00C62CE6"/>
    <w:rsid w:val="00C6352D"/>
    <w:rsid w:val="00C63719"/>
    <w:rsid w:val="00C63920"/>
    <w:rsid w:val="00C63F78"/>
    <w:rsid w:val="00C64367"/>
    <w:rsid w:val="00C64A2A"/>
    <w:rsid w:val="00C64C20"/>
    <w:rsid w:val="00C64DB6"/>
    <w:rsid w:val="00C64FDE"/>
    <w:rsid w:val="00C65109"/>
    <w:rsid w:val="00C654F5"/>
    <w:rsid w:val="00C65515"/>
    <w:rsid w:val="00C65602"/>
    <w:rsid w:val="00C65772"/>
    <w:rsid w:val="00C657C0"/>
    <w:rsid w:val="00C65839"/>
    <w:rsid w:val="00C658D6"/>
    <w:rsid w:val="00C65E91"/>
    <w:rsid w:val="00C65F18"/>
    <w:rsid w:val="00C65F46"/>
    <w:rsid w:val="00C664BE"/>
    <w:rsid w:val="00C6657E"/>
    <w:rsid w:val="00C66679"/>
    <w:rsid w:val="00C66835"/>
    <w:rsid w:val="00C66F68"/>
    <w:rsid w:val="00C67005"/>
    <w:rsid w:val="00C674FB"/>
    <w:rsid w:val="00C67784"/>
    <w:rsid w:val="00C67A33"/>
    <w:rsid w:val="00C700F3"/>
    <w:rsid w:val="00C70190"/>
    <w:rsid w:val="00C702A8"/>
    <w:rsid w:val="00C70756"/>
    <w:rsid w:val="00C70C96"/>
    <w:rsid w:val="00C70D48"/>
    <w:rsid w:val="00C70F99"/>
    <w:rsid w:val="00C710D8"/>
    <w:rsid w:val="00C7143F"/>
    <w:rsid w:val="00C717CA"/>
    <w:rsid w:val="00C71AB6"/>
    <w:rsid w:val="00C71ADD"/>
    <w:rsid w:val="00C71EC7"/>
    <w:rsid w:val="00C7230A"/>
    <w:rsid w:val="00C725E4"/>
    <w:rsid w:val="00C726EF"/>
    <w:rsid w:val="00C72822"/>
    <w:rsid w:val="00C72ACF"/>
    <w:rsid w:val="00C72DF4"/>
    <w:rsid w:val="00C72E35"/>
    <w:rsid w:val="00C72FB2"/>
    <w:rsid w:val="00C73098"/>
    <w:rsid w:val="00C73230"/>
    <w:rsid w:val="00C736DA"/>
    <w:rsid w:val="00C73CD0"/>
    <w:rsid w:val="00C73F45"/>
    <w:rsid w:val="00C73FCC"/>
    <w:rsid w:val="00C744D1"/>
    <w:rsid w:val="00C7470A"/>
    <w:rsid w:val="00C74E45"/>
    <w:rsid w:val="00C7507C"/>
    <w:rsid w:val="00C7537E"/>
    <w:rsid w:val="00C755FD"/>
    <w:rsid w:val="00C75659"/>
    <w:rsid w:val="00C75DAD"/>
    <w:rsid w:val="00C7618A"/>
    <w:rsid w:val="00C76826"/>
    <w:rsid w:val="00C768CC"/>
    <w:rsid w:val="00C769B6"/>
    <w:rsid w:val="00C76AAB"/>
    <w:rsid w:val="00C76B76"/>
    <w:rsid w:val="00C76C6F"/>
    <w:rsid w:val="00C77286"/>
    <w:rsid w:val="00C772CB"/>
    <w:rsid w:val="00C778B9"/>
    <w:rsid w:val="00C80846"/>
    <w:rsid w:val="00C8094B"/>
    <w:rsid w:val="00C809D4"/>
    <w:rsid w:val="00C80D31"/>
    <w:rsid w:val="00C8121D"/>
    <w:rsid w:val="00C812B7"/>
    <w:rsid w:val="00C814B5"/>
    <w:rsid w:val="00C8152D"/>
    <w:rsid w:val="00C81564"/>
    <w:rsid w:val="00C81A4E"/>
    <w:rsid w:val="00C81DBC"/>
    <w:rsid w:val="00C8295A"/>
    <w:rsid w:val="00C82EEA"/>
    <w:rsid w:val="00C8316C"/>
    <w:rsid w:val="00C83383"/>
    <w:rsid w:val="00C83428"/>
    <w:rsid w:val="00C83A89"/>
    <w:rsid w:val="00C83BC7"/>
    <w:rsid w:val="00C845D7"/>
    <w:rsid w:val="00C84C18"/>
    <w:rsid w:val="00C84D7A"/>
    <w:rsid w:val="00C84FAE"/>
    <w:rsid w:val="00C84FBE"/>
    <w:rsid w:val="00C85044"/>
    <w:rsid w:val="00C852A9"/>
    <w:rsid w:val="00C85A45"/>
    <w:rsid w:val="00C85B56"/>
    <w:rsid w:val="00C85C1A"/>
    <w:rsid w:val="00C85E6C"/>
    <w:rsid w:val="00C85FDE"/>
    <w:rsid w:val="00C8658D"/>
    <w:rsid w:val="00C865F2"/>
    <w:rsid w:val="00C86810"/>
    <w:rsid w:val="00C868A1"/>
    <w:rsid w:val="00C868BD"/>
    <w:rsid w:val="00C86906"/>
    <w:rsid w:val="00C8706B"/>
    <w:rsid w:val="00C87082"/>
    <w:rsid w:val="00C8716B"/>
    <w:rsid w:val="00C873C6"/>
    <w:rsid w:val="00C87946"/>
    <w:rsid w:val="00C87993"/>
    <w:rsid w:val="00C879C5"/>
    <w:rsid w:val="00C87DFA"/>
    <w:rsid w:val="00C87E0F"/>
    <w:rsid w:val="00C87F99"/>
    <w:rsid w:val="00C9000D"/>
    <w:rsid w:val="00C90228"/>
    <w:rsid w:val="00C902B2"/>
    <w:rsid w:val="00C9052C"/>
    <w:rsid w:val="00C90609"/>
    <w:rsid w:val="00C90B1E"/>
    <w:rsid w:val="00C90CD2"/>
    <w:rsid w:val="00C90F69"/>
    <w:rsid w:val="00C91242"/>
    <w:rsid w:val="00C9165A"/>
    <w:rsid w:val="00C91730"/>
    <w:rsid w:val="00C91B1E"/>
    <w:rsid w:val="00C91D57"/>
    <w:rsid w:val="00C9241D"/>
    <w:rsid w:val="00C92459"/>
    <w:rsid w:val="00C927D8"/>
    <w:rsid w:val="00C928B9"/>
    <w:rsid w:val="00C92E34"/>
    <w:rsid w:val="00C92EAE"/>
    <w:rsid w:val="00C9309A"/>
    <w:rsid w:val="00C93573"/>
    <w:rsid w:val="00C93816"/>
    <w:rsid w:val="00C938EF"/>
    <w:rsid w:val="00C939D4"/>
    <w:rsid w:val="00C944B9"/>
    <w:rsid w:val="00C947E7"/>
    <w:rsid w:val="00C948E8"/>
    <w:rsid w:val="00C94B1B"/>
    <w:rsid w:val="00C94DC9"/>
    <w:rsid w:val="00C94F6B"/>
    <w:rsid w:val="00C95156"/>
    <w:rsid w:val="00C95962"/>
    <w:rsid w:val="00C95B2A"/>
    <w:rsid w:val="00C962D2"/>
    <w:rsid w:val="00C96590"/>
    <w:rsid w:val="00C965DF"/>
    <w:rsid w:val="00C96B71"/>
    <w:rsid w:val="00C96BDC"/>
    <w:rsid w:val="00C97015"/>
    <w:rsid w:val="00C97347"/>
    <w:rsid w:val="00C97464"/>
    <w:rsid w:val="00C9780E"/>
    <w:rsid w:val="00C97F82"/>
    <w:rsid w:val="00CA0281"/>
    <w:rsid w:val="00CA055A"/>
    <w:rsid w:val="00CA07B8"/>
    <w:rsid w:val="00CA0D9D"/>
    <w:rsid w:val="00CA16D2"/>
    <w:rsid w:val="00CA1702"/>
    <w:rsid w:val="00CA1C6F"/>
    <w:rsid w:val="00CA1D84"/>
    <w:rsid w:val="00CA1E7C"/>
    <w:rsid w:val="00CA1F51"/>
    <w:rsid w:val="00CA274A"/>
    <w:rsid w:val="00CA27FE"/>
    <w:rsid w:val="00CA29FB"/>
    <w:rsid w:val="00CA2A61"/>
    <w:rsid w:val="00CA2CCC"/>
    <w:rsid w:val="00CA32B9"/>
    <w:rsid w:val="00CA3923"/>
    <w:rsid w:val="00CA3AD6"/>
    <w:rsid w:val="00CA4218"/>
    <w:rsid w:val="00CA4615"/>
    <w:rsid w:val="00CA5412"/>
    <w:rsid w:val="00CA54AA"/>
    <w:rsid w:val="00CA54CD"/>
    <w:rsid w:val="00CA56FB"/>
    <w:rsid w:val="00CA5771"/>
    <w:rsid w:val="00CA5772"/>
    <w:rsid w:val="00CA5A77"/>
    <w:rsid w:val="00CA5DC6"/>
    <w:rsid w:val="00CA6029"/>
    <w:rsid w:val="00CA60C5"/>
    <w:rsid w:val="00CA63A8"/>
    <w:rsid w:val="00CA63D3"/>
    <w:rsid w:val="00CA67BF"/>
    <w:rsid w:val="00CA67F7"/>
    <w:rsid w:val="00CA692A"/>
    <w:rsid w:val="00CA6B47"/>
    <w:rsid w:val="00CA6BA5"/>
    <w:rsid w:val="00CA6E14"/>
    <w:rsid w:val="00CA7471"/>
    <w:rsid w:val="00CA7638"/>
    <w:rsid w:val="00CB0233"/>
    <w:rsid w:val="00CB025C"/>
    <w:rsid w:val="00CB05D7"/>
    <w:rsid w:val="00CB07FE"/>
    <w:rsid w:val="00CB092A"/>
    <w:rsid w:val="00CB0AB6"/>
    <w:rsid w:val="00CB0DA8"/>
    <w:rsid w:val="00CB1B9B"/>
    <w:rsid w:val="00CB1D81"/>
    <w:rsid w:val="00CB2230"/>
    <w:rsid w:val="00CB2396"/>
    <w:rsid w:val="00CB271F"/>
    <w:rsid w:val="00CB286D"/>
    <w:rsid w:val="00CB2934"/>
    <w:rsid w:val="00CB2C79"/>
    <w:rsid w:val="00CB3116"/>
    <w:rsid w:val="00CB3557"/>
    <w:rsid w:val="00CB359B"/>
    <w:rsid w:val="00CB36F4"/>
    <w:rsid w:val="00CB3A4A"/>
    <w:rsid w:val="00CB3BD7"/>
    <w:rsid w:val="00CB3DE9"/>
    <w:rsid w:val="00CB3E06"/>
    <w:rsid w:val="00CB3E51"/>
    <w:rsid w:val="00CB47C0"/>
    <w:rsid w:val="00CB4D61"/>
    <w:rsid w:val="00CB4F50"/>
    <w:rsid w:val="00CB51F6"/>
    <w:rsid w:val="00CB55CC"/>
    <w:rsid w:val="00CB593D"/>
    <w:rsid w:val="00CB5BBF"/>
    <w:rsid w:val="00CB62B4"/>
    <w:rsid w:val="00CB6438"/>
    <w:rsid w:val="00CB6815"/>
    <w:rsid w:val="00CB6AC3"/>
    <w:rsid w:val="00CB6BB3"/>
    <w:rsid w:val="00CB74DC"/>
    <w:rsid w:val="00CB7803"/>
    <w:rsid w:val="00CB78B4"/>
    <w:rsid w:val="00CB797E"/>
    <w:rsid w:val="00CB7AAE"/>
    <w:rsid w:val="00CB7E65"/>
    <w:rsid w:val="00CC0318"/>
    <w:rsid w:val="00CC0792"/>
    <w:rsid w:val="00CC08BB"/>
    <w:rsid w:val="00CC092A"/>
    <w:rsid w:val="00CC0B0A"/>
    <w:rsid w:val="00CC113E"/>
    <w:rsid w:val="00CC17DF"/>
    <w:rsid w:val="00CC1805"/>
    <w:rsid w:val="00CC1987"/>
    <w:rsid w:val="00CC1BBD"/>
    <w:rsid w:val="00CC1E3B"/>
    <w:rsid w:val="00CC26BA"/>
    <w:rsid w:val="00CC293D"/>
    <w:rsid w:val="00CC2A9F"/>
    <w:rsid w:val="00CC2C2A"/>
    <w:rsid w:val="00CC2DB8"/>
    <w:rsid w:val="00CC308E"/>
    <w:rsid w:val="00CC3535"/>
    <w:rsid w:val="00CC3841"/>
    <w:rsid w:val="00CC3D35"/>
    <w:rsid w:val="00CC405A"/>
    <w:rsid w:val="00CC4126"/>
    <w:rsid w:val="00CC4899"/>
    <w:rsid w:val="00CC4970"/>
    <w:rsid w:val="00CC4B6F"/>
    <w:rsid w:val="00CC4E3D"/>
    <w:rsid w:val="00CC50D5"/>
    <w:rsid w:val="00CC51CF"/>
    <w:rsid w:val="00CC5615"/>
    <w:rsid w:val="00CC570A"/>
    <w:rsid w:val="00CC5978"/>
    <w:rsid w:val="00CC5B49"/>
    <w:rsid w:val="00CC5BF0"/>
    <w:rsid w:val="00CC5C74"/>
    <w:rsid w:val="00CC5DCA"/>
    <w:rsid w:val="00CC604E"/>
    <w:rsid w:val="00CC6420"/>
    <w:rsid w:val="00CC68A6"/>
    <w:rsid w:val="00CC7041"/>
    <w:rsid w:val="00CC7130"/>
    <w:rsid w:val="00CC72B5"/>
    <w:rsid w:val="00CC758D"/>
    <w:rsid w:val="00CC76D5"/>
    <w:rsid w:val="00CC7E37"/>
    <w:rsid w:val="00CC7E64"/>
    <w:rsid w:val="00CD0521"/>
    <w:rsid w:val="00CD06C9"/>
    <w:rsid w:val="00CD0A3F"/>
    <w:rsid w:val="00CD0B3B"/>
    <w:rsid w:val="00CD0DEA"/>
    <w:rsid w:val="00CD0E7A"/>
    <w:rsid w:val="00CD103A"/>
    <w:rsid w:val="00CD14A9"/>
    <w:rsid w:val="00CD1DDB"/>
    <w:rsid w:val="00CD1EAB"/>
    <w:rsid w:val="00CD2010"/>
    <w:rsid w:val="00CD233A"/>
    <w:rsid w:val="00CD240E"/>
    <w:rsid w:val="00CD24F2"/>
    <w:rsid w:val="00CD255C"/>
    <w:rsid w:val="00CD2B86"/>
    <w:rsid w:val="00CD2BA7"/>
    <w:rsid w:val="00CD2E04"/>
    <w:rsid w:val="00CD2E9B"/>
    <w:rsid w:val="00CD30E5"/>
    <w:rsid w:val="00CD3AD4"/>
    <w:rsid w:val="00CD3BE9"/>
    <w:rsid w:val="00CD3E16"/>
    <w:rsid w:val="00CD3E9D"/>
    <w:rsid w:val="00CD433E"/>
    <w:rsid w:val="00CD4442"/>
    <w:rsid w:val="00CD4549"/>
    <w:rsid w:val="00CD48F0"/>
    <w:rsid w:val="00CD4B64"/>
    <w:rsid w:val="00CD4C5C"/>
    <w:rsid w:val="00CD5031"/>
    <w:rsid w:val="00CD5052"/>
    <w:rsid w:val="00CD5924"/>
    <w:rsid w:val="00CD59C0"/>
    <w:rsid w:val="00CD5ADE"/>
    <w:rsid w:val="00CD65EA"/>
    <w:rsid w:val="00CD6B23"/>
    <w:rsid w:val="00CD701F"/>
    <w:rsid w:val="00CD7258"/>
    <w:rsid w:val="00CD7367"/>
    <w:rsid w:val="00CD7595"/>
    <w:rsid w:val="00CD7971"/>
    <w:rsid w:val="00CE00A8"/>
    <w:rsid w:val="00CE065A"/>
    <w:rsid w:val="00CE0B52"/>
    <w:rsid w:val="00CE0EBC"/>
    <w:rsid w:val="00CE126F"/>
    <w:rsid w:val="00CE1396"/>
    <w:rsid w:val="00CE1475"/>
    <w:rsid w:val="00CE1530"/>
    <w:rsid w:val="00CE1A51"/>
    <w:rsid w:val="00CE1EDB"/>
    <w:rsid w:val="00CE224B"/>
    <w:rsid w:val="00CE2488"/>
    <w:rsid w:val="00CE25C3"/>
    <w:rsid w:val="00CE2833"/>
    <w:rsid w:val="00CE2955"/>
    <w:rsid w:val="00CE2C77"/>
    <w:rsid w:val="00CE31E5"/>
    <w:rsid w:val="00CE31EC"/>
    <w:rsid w:val="00CE3561"/>
    <w:rsid w:val="00CE456E"/>
    <w:rsid w:val="00CE470C"/>
    <w:rsid w:val="00CE47B5"/>
    <w:rsid w:val="00CE4A2A"/>
    <w:rsid w:val="00CE4BC7"/>
    <w:rsid w:val="00CE4BEB"/>
    <w:rsid w:val="00CE51E0"/>
    <w:rsid w:val="00CE546C"/>
    <w:rsid w:val="00CE5852"/>
    <w:rsid w:val="00CE58A4"/>
    <w:rsid w:val="00CE58C6"/>
    <w:rsid w:val="00CE5915"/>
    <w:rsid w:val="00CE5C62"/>
    <w:rsid w:val="00CE5DB5"/>
    <w:rsid w:val="00CE5DB8"/>
    <w:rsid w:val="00CE63B9"/>
    <w:rsid w:val="00CE6F17"/>
    <w:rsid w:val="00CE71EE"/>
    <w:rsid w:val="00CE73C1"/>
    <w:rsid w:val="00CE7821"/>
    <w:rsid w:val="00CE78C9"/>
    <w:rsid w:val="00CE7A9C"/>
    <w:rsid w:val="00CE7DE9"/>
    <w:rsid w:val="00CF04CA"/>
    <w:rsid w:val="00CF0B8A"/>
    <w:rsid w:val="00CF0BCB"/>
    <w:rsid w:val="00CF0FC6"/>
    <w:rsid w:val="00CF1178"/>
    <w:rsid w:val="00CF11BD"/>
    <w:rsid w:val="00CF155C"/>
    <w:rsid w:val="00CF155D"/>
    <w:rsid w:val="00CF1975"/>
    <w:rsid w:val="00CF1A3A"/>
    <w:rsid w:val="00CF1AB1"/>
    <w:rsid w:val="00CF211D"/>
    <w:rsid w:val="00CF225F"/>
    <w:rsid w:val="00CF254D"/>
    <w:rsid w:val="00CF2666"/>
    <w:rsid w:val="00CF293F"/>
    <w:rsid w:val="00CF2BA4"/>
    <w:rsid w:val="00CF2D78"/>
    <w:rsid w:val="00CF2DD0"/>
    <w:rsid w:val="00CF32C4"/>
    <w:rsid w:val="00CF35F1"/>
    <w:rsid w:val="00CF384A"/>
    <w:rsid w:val="00CF39FA"/>
    <w:rsid w:val="00CF3CD4"/>
    <w:rsid w:val="00CF3D43"/>
    <w:rsid w:val="00CF4174"/>
    <w:rsid w:val="00CF42D9"/>
    <w:rsid w:val="00CF4727"/>
    <w:rsid w:val="00CF4B0C"/>
    <w:rsid w:val="00CF4DA2"/>
    <w:rsid w:val="00CF5404"/>
    <w:rsid w:val="00CF5497"/>
    <w:rsid w:val="00CF564F"/>
    <w:rsid w:val="00CF578D"/>
    <w:rsid w:val="00CF58A2"/>
    <w:rsid w:val="00CF5AF6"/>
    <w:rsid w:val="00CF5F93"/>
    <w:rsid w:val="00CF61A0"/>
    <w:rsid w:val="00CF61A8"/>
    <w:rsid w:val="00CF67BC"/>
    <w:rsid w:val="00CF6CAE"/>
    <w:rsid w:val="00CF6D32"/>
    <w:rsid w:val="00CF7429"/>
    <w:rsid w:val="00CF7641"/>
    <w:rsid w:val="00CF7A3C"/>
    <w:rsid w:val="00D00A0A"/>
    <w:rsid w:val="00D00B11"/>
    <w:rsid w:val="00D01017"/>
    <w:rsid w:val="00D0128E"/>
    <w:rsid w:val="00D0135A"/>
    <w:rsid w:val="00D015A8"/>
    <w:rsid w:val="00D01677"/>
    <w:rsid w:val="00D017BF"/>
    <w:rsid w:val="00D01996"/>
    <w:rsid w:val="00D01BFC"/>
    <w:rsid w:val="00D01C6E"/>
    <w:rsid w:val="00D01E55"/>
    <w:rsid w:val="00D02123"/>
    <w:rsid w:val="00D02190"/>
    <w:rsid w:val="00D02F51"/>
    <w:rsid w:val="00D0385E"/>
    <w:rsid w:val="00D041AB"/>
    <w:rsid w:val="00D04200"/>
    <w:rsid w:val="00D0442F"/>
    <w:rsid w:val="00D044D4"/>
    <w:rsid w:val="00D04509"/>
    <w:rsid w:val="00D045F6"/>
    <w:rsid w:val="00D048B8"/>
    <w:rsid w:val="00D04AA1"/>
    <w:rsid w:val="00D04C64"/>
    <w:rsid w:val="00D04DA3"/>
    <w:rsid w:val="00D04DC1"/>
    <w:rsid w:val="00D05553"/>
    <w:rsid w:val="00D058A0"/>
    <w:rsid w:val="00D058F3"/>
    <w:rsid w:val="00D05982"/>
    <w:rsid w:val="00D059D3"/>
    <w:rsid w:val="00D060B7"/>
    <w:rsid w:val="00D06146"/>
    <w:rsid w:val="00D062DB"/>
    <w:rsid w:val="00D06493"/>
    <w:rsid w:val="00D066D3"/>
    <w:rsid w:val="00D0684E"/>
    <w:rsid w:val="00D06B0C"/>
    <w:rsid w:val="00D074D7"/>
    <w:rsid w:val="00D07588"/>
    <w:rsid w:val="00D07728"/>
    <w:rsid w:val="00D07944"/>
    <w:rsid w:val="00D07C19"/>
    <w:rsid w:val="00D07D70"/>
    <w:rsid w:val="00D07ED0"/>
    <w:rsid w:val="00D10164"/>
    <w:rsid w:val="00D10657"/>
    <w:rsid w:val="00D10706"/>
    <w:rsid w:val="00D10BA4"/>
    <w:rsid w:val="00D10BF0"/>
    <w:rsid w:val="00D10E89"/>
    <w:rsid w:val="00D110EE"/>
    <w:rsid w:val="00D1134A"/>
    <w:rsid w:val="00D115FF"/>
    <w:rsid w:val="00D118FD"/>
    <w:rsid w:val="00D1198E"/>
    <w:rsid w:val="00D11A35"/>
    <w:rsid w:val="00D11CCB"/>
    <w:rsid w:val="00D11EAC"/>
    <w:rsid w:val="00D124F6"/>
    <w:rsid w:val="00D126B6"/>
    <w:rsid w:val="00D12B76"/>
    <w:rsid w:val="00D12C3B"/>
    <w:rsid w:val="00D13BDE"/>
    <w:rsid w:val="00D13C22"/>
    <w:rsid w:val="00D13D33"/>
    <w:rsid w:val="00D140B2"/>
    <w:rsid w:val="00D149CB"/>
    <w:rsid w:val="00D14B12"/>
    <w:rsid w:val="00D14DA4"/>
    <w:rsid w:val="00D14E20"/>
    <w:rsid w:val="00D14E70"/>
    <w:rsid w:val="00D15100"/>
    <w:rsid w:val="00D156F4"/>
    <w:rsid w:val="00D156FA"/>
    <w:rsid w:val="00D15B29"/>
    <w:rsid w:val="00D15D6F"/>
    <w:rsid w:val="00D15E81"/>
    <w:rsid w:val="00D15ECF"/>
    <w:rsid w:val="00D1662B"/>
    <w:rsid w:val="00D1663F"/>
    <w:rsid w:val="00D168CA"/>
    <w:rsid w:val="00D1699D"/>
    <w:rsid w:val="00D16C64"/>
    <w:rsid w:val="00D16CC1"/>
    <w:rsid w:val="00D170B0"/>
    <w:rsid w:val="00D171F7"/>
    <w:rsid w:val="00D176F1"/>
    <w:rsid w:val="00D17A51"/>
    <w:rsid w:val="00D17C3E"/>
    <w:rsid w:val="00D2009E"/>
    <w:rsid w:val="00D20197"/>
    <w:rsid w:val="00D20484"/>
    <w:rsid w:val="00D20F09"/>
    <w:rsid w:val="00D21294"/>
    <w:rsid w:val="00D21697"/>
    <w:rsid w:val="00D217FC"/>
    <w:rsid w:val="00D21A19"/>
    <w:rsid w:val="00D21C52"/>
    <w:rsid w:val="00D22588"/>
    <w:rsid w:val="00D227C4"/>
    <w:rsid w:val="00D2298E"/>
    <w:rsid w:val="00D22AD7"/>
    <w:rsid w:val="00D22F60"/>
    <w:rsid w:val="00D23185"/>
    <w:rsid w:val="00D2336A"/>
    <w:rsid w:val="00D233EE"/>
    <w:rsid w:val="00D235AA"/>
    <w:rsid w:val="00D2366D"/>
    <w:rsid w:val="00D24147"/>
    <w:rsid w:val="00D242F9"/>
    <w:rsid w:val="00D24776"/>
    <w:rsid w:val="00D24A03"/>
    <w:rsid w:val="00D24D1E"/>
    <w:rsid w:val="00D24F0F"/>
    <w:rsid w:val="00D2522B"/>
    <w:rsid w:val="00D25421"/>
    <w:rsid w:val="00D2574E"/>
    <w:rsid w:val="00D25B88"/>
    <w:rsid w:val="00D25ED5"/>
    <w:rsid w:val="00D262AC"/>
    <w:rsid w:val="00D26359"/>
    <w:rsid w:val="00D26370"/>
    <w:rsid w:val="00D26AB4"/>
    <w:rsid w:val="00D26B19"/>
    <w:rsid w:val="00D26C4B"/>
    <w:rsid w:val="00D270FC"/>
    <w:rsid w:val="00D2783F"/>
    <w:rsid w:val="00D27A67"/>
    <w:rsid w:val="00D27C2A"/>
    <w:rsid w:val="00D30002"/>
    <w:rsid w:val="00D30075"/>
    <w:rsid w:val="00D30C9A"/>
    <w:rsid w:val="00D30D3E"/>
    <w:rsid w:val="00D30D95"/>
    <w:rsid w:val="00D31150"/>
    <w:rsid w:val="00D311D1"/>
    <w:rsid w:val="00D31756"/>
    <w:rsid w:val="00D317CC"/>
    <w:rsid w:val="00D31827"/>
    <w:rsid w:val="00D319F7"/>
    <w:rsid w:val="00D31C5D"/>
    <w:rsid w:val="00D31E6D"/>
    <w:rsid w:val="00D32057"/>
    <w:rsid w:val="00D32272"/>
    <w:rsid w:val="00D32BB2"/>
    <w:rsid w:val="00D32FFD"/>
    <w:rsid w:val="00D33461"/>
    <w:rsid w:val="00D33FCF"/>
    <w:rsid w:val="00D341F1"/>
    <w:rsid w:val="00D344F9"/>
    <w:rsid w:val="00D34891"/>
    <w:rsid w:val="00D349F0"/>
    <w:rsid w:val="00D34D49"/>
    <w:rsid w:val="00D34EFE"/>
    <w:rsid w:val="00D35532"/>
    <w:rsid w:val="00D35617"/>
    <w:rsid w:val="00D35BB6"/>
    <w:rsid w:val="00D35EAA"/>
    <w:rsid w:val="00D35EE1"/>
    <w:rsid w:val="00D36502"/>
    <w:rsid w:val="00D36784"/>
    <w:rsid w:val="00D36955"/>
    <w:rsid w:val="00D36D22"/>
    <w:rsid w:val="00D36D5B"/>
    <w:rsid w:val="00D36ECD"/>
    <w:rsid w:val="00D37385"/>
    <w:rsid w:val="00D37BCD"/>
    <w:rsid w:val="00D37D4F"/>
    <w:rsid w:val="00D37DB9"/>
    <w:rsid w:val="00D37F5B"/>
    <w:rsid w:val="00D37F6B"/>
    <w:rsid w:val="00D4026D"/>
    <w:rsid w:val="00D40322"/>
    <w:rsid w:val="00D4079C"/>
    <w:rsid w:val="00D407F8"/>
    <w:rsid w:val="00D408BA"/>
    <w:rsid w:val="00D41187"/>
    <w:rsid w:val="00D41339"/>
    <w:rsid w:val="00D417C7"/>
    <w:rsid w:val="00D41E6D"/>
    <w:rsid w:val="00D41F84"/>
    <w:rsid w:val="00D42175"/>
    <w:rsid w:val="00D429FD"/>
    <w:rsid w:val="00D42D93"/>
    <w:rsid w:val="00D4310E"/>
    <w:rsid w:val="00D431A9"/>
    <w:rsid w:val="00D434A4"/>
    <w:rsid w:val="00D434AE"/>
    <w:rsid w:val="00D43618"/>
    <w:rsid w:val="00D4362A"/>
    <w:rsid w:val="00D43C27"/>
    <w:rsid w:val="00D4421B"/>
    <w:rsid w:val="00D446C2"/>
    <w:rsid w:val="00D44770"/>
    <w:rsid w:val="00D44C32"/>
    <w:rsid w:val="00D44D0C"/>
    <w:rsid w:val="00D44DBA"/>
    <w:rsid w:val="00D44F71"/>
    <w:rsid w:val="00D45B0B"/>
    <w:rsid w:val="00D45C7D"/>
    <w:rsid w:val="00D46331"/>
    <w:rsid w:val="00D467A2"/>
    <w:rsid w:val="00D46A54"/>
    <w:rsid w:val="00D46E0F"/>
    <w:rsid w:val="00D46E4A"/>
    <w:rsid w:val="00D46EA1"/>
    <w:rsid w:val="00D46F2A"/>
    <w:rsid w:val="00D4752B"/>
    <w:rsid w:val="00D4779C"/>
    <w:rsid w:val="00D4797B"/>
    <w:rsid w:val="00D50435"/>
    <w:rsid w:val="00D508A4"/>
    <w:rsid w:val="00D50A06"/>
    <w:rsid w:val="00D50ADA"/>
    <w:rsid w:val="00D50C53"/>
    <w:rsid w:val="00D50DC8"/>
    <w:rsid w:val="00D50E13"/>
    <w:rsid w:val="00D50E1C"/>
    <w:rsid w:val="00D50E3E"/>
    <w:rsid w:val="00D50F8A"/>
    <w:rsid w:val="00D51120"/>
    <w:rsid w:val="00D511B1"/>
    <w:rsid w:val="00D51247"/>
    <w:rsid w:val="00D512E8"/>
    <w:rsid w:val="00D5199B"/>
    <w:rsid w:val="00D51DAA"/>
    <w:rsid w:val="00D524D8"/>
    <w:rsid w:val="00D528B1"/>
    <w:rsid w:val="00D52E29"/>
    <w:rsid w:val="00D52E2D"/>
    <w:rsid w:val="00D531EE"/>
    <w:rsid w:val="00D5320A"/>
    <w:rsid w:val="00D5353A"/>
    <w:rsid w:val="00D53C06"/>
    <w:rsid w:val="00D54021"/>
    <w:rsid w:val="00D5439E"/>
    <w:rsid w:val="00D546C7"/>
    <w:rsid w:val="00D546CE"/>
    <w:rsid w:val="00D54A65"/>
    <w:rsid w:val="00D5525A"/>
    <w:rsid w:val="00D5532E"/>
    <w:rsid w:val="00D55752"/>
    <w:rsid w:val="00D55909"/>
    <w:rsid w:val="00D55AB5"/>
    <w:rsid w:val="00D55F0E"/>
    <w:rsid w:val="00D55FBC"/>
    <w:rsid w:val="00D565C1"/>
    <w:rsid w:val="00D56636"/>
    <w:rsid w:val="00D56989"/>
    <w:rsid w:val="00D56C8B"/>
    <w:rsid w:val="00D56DEB"/>
    <w:rsid w:val="00D56EAC"/>
    <w:rsid w:val="00D5708C"/>
    <w:rsid w:val="00D570D5"/>
    <w:rsid w:val="00D574FF"/>
    <w:rsid w:val="00D57811"/>
    <w:rsid w:val="00D5794E"/>
    <w:rsid w:val="00D57985"/>
    <w:rsid w:val="00D57B32"/>
    <w:rsid w:val="00D57DA0"/>
    <w:rsid w:val="00D57EE1"/>
    <w:rsid w:val="00D6032D"/>
    <w:rsid w:val="00D60421"/>
    <w:rsid w:val="00D607E9"/>
    <w:rsid w:val="00D60EA9"/>
    <w:rsid w:val="00D613AB"/>
    <w:rsid w:val="00D613FF"/>
    <w:rsid w:val="00D61434"/>
    <w:rsid w:val="00D61683"/>
    <w:rsid w:val="00D61978"/>
    <w:rsid w:val="00D61AE8"/>
    <w:rsid w:val="00D61C0C"/>
    <w:rsid w:val="00D61EFD"/>
    <w:rsid w:val="00D6242F"/>
    <w:rsid w:val="00D62483"/>
    <w:rsid w:val="00D627CE"/>
    <w:rsid w:val="00D62E0E"/>
    <w:rsid w:val="00D62F68"/>
    <w:rsid w:val="00D634B2"/>
    <w:rsid w:val="00D63880"/>
    <w:rsid w:val="00D638BE"/>
    <w:rsid w:val="00D63BB2"/>
    <w:rsid w:val="00D63EBD"/>
    <w:rsid w:val="00D63F14"/>
    <w:rsid w:val="00D64098"/>
    <w:rsid w:val="00D64112"/>
    <w:rsid w:val="00D64612"/>
    <w:rsid w:val="00D6483B"/>
    <w:rsid w:val="00D64A2D"/>
    <w:rsid w:val="00D64A6C"/>
    <w:rsid w:val="00D64CDB"/>
    <w:rsid w:val="00D65146"/>
    <w:rsid w:val="00D654C8"/>
    <w:rsid w:val="00D654F2"/>
    <w:rsid w:val="00D65D27"/>
    <w:rsid w:val="00D663D2"/>
    <w:rsid w:val="00D668FE"/>
    <w:rsid w:val="00D66C7A"/>
    <w:rsid w:val="00D66CEB"/>
    <w:rsid w:val="00D671BD"/>
    <w:rsid w:val="00D671D8"/>
    <w:rsid w:val="00D672C6"/>
    <w:rsid w:val="00D67337"/>
    <w:rsid w:val="00D67DDA"/>
    <w:rsid w:val="00D67E85"/>
    <w:rsid w:val="00D67EAD"/>
    <w:rsid w:val="00D7017B"/>
    <w:rsid w:val="00D70725"/>
    <w:rsid w:val="00D7073A"/>
    <w:rsid w:val="00D71675"/>
    <w:rsid w:val="00D718C2"/>
    <w:rsid w:val="00D71A09"/>
    <w:rsid w:val="00D7222F"/>
    <w:rsid w:val="00D722D3"/>
    <w:rsid w:val="00D72539"/>
    <w:rsid w:val="00D725D8"/>
    <w:rsid w:val="00D72915"/>
    <w:rsid w:val="00D72E97"/>
    <w:rsid w:val="00D731B9"/>
    <w:rsid w:val="00D7374F"/>
    <w:rsid w:val="00D73750"/>
    <w:rsid w:val="00D73D40"/>
    <w:rsid w:val="00D73E81"/>
    <w:rsid w:val="00D73ED5"/>
    <w:rsid w:val="00D740BC"/>
    <w:rsid w:val="00D7414C"/>
    <w:rsid w:val="00D749BA"/>
    <w:rsid w:val="00D74A4B"/>
    <w:rsid w:val="00D74B7E"/>
    <w:rsid w:val="00D74F95"/>
    <w:rsid w:val="00D74FC7"/>
    <w:rsid w:val="00D751F4"/>
    <w:rsid w:val="00D75442"/>
    <w:rsid w:val="00D75443"/>
    <w:rsid w:val="00D75482"/>
    <w:rsid w:val="00D7598D"/>
    <w:rsid w:val="00D76186"/>
    <w:rsid w:val="00D76248"/>
    <w:rsid w:val="00D76760"/>
    <w:rsid w:val="00D76F4A"/>
    <w:rsid w:val="00D76F65"/>
    <w:rsid w:val="00D771F2"/>
    <w:rsid w:val="00D773E0"/>
    <w:rsid w:val="00D7780B"/>
    <w:rsid w:val="00D7784D"/>
    <w:rsid w:val="00D77954"/>
    <w:rsid w:val="00D77BEF"/>
    <w:rsid w:val="00D8068D"/>
    <w:rsid w:val="00D80E78"/>
    <w:rsid w:val="00D8136C"/>
    <w:rsid w:val="00D81D35"/>
    <w:rsid w:val="00D81E55"/>
    <w:rsid w:val="00D81F0F"/>
    <w:rsid w:val="00D82047"/>
    <w:rsid w:val="00D82459"/>
    <w:rsid w:val="00D82874"/>
    <w:rsid w:val="00D8327A"/>
    <w:rsid w:val="00D83500"/>
    <w:rsid w:val="00D83FD0"/>
    <w:rsid w:val="00D8440B"/>
    <w:rsid w:val="00D84D1A"/>
    <w:rsid w:val="00D850CE"/>
    <w:rsid w:val="00D857D9"/>
    <w:rsid w:val="00D85D1A"/>
    <w:rsid w:val="00D85F49"/>
    <w:rsid w:val="00D860A1"/>
    <w:rsid w:val="00D8610B"/>
    <w:rsid w:val="00D861C9"/>
    <w:rsid w:val="00D86243"/>
    <w:rsid w:val="00D865F4"/>
    <w:rsid w:val="00D86AB1"/>
    <w:rsid w:val="00D86AE9"/>
    <w:rsid w:val="00D86C11"/>
    <w:rsid w:val="00D86CF1"/>
    <w:rsid w:val="00D86DBF"/>
    <w:rsid w:val="00D86EC9"/>
    <w:rsid w:val="00D87347"/>
    <w:rsid w:val="00D8742C"/>
    <w:rsid w:val="00D876EC"/>
    <w:rsid w:val="00D87937"/>
    <w:rsid w:val="00D87C90"/>
    <w:rsid w:val="00D87CD0"/>
    <w:rsid w:val="00D87D46"/>
    <w:rsid w:val="00D87E36"/>
    <w:rsid w:val="00D90A6B"/>
    <w:rsid w:val="00D90EA6"/>
    <w:rsid w:val="00D91FDB"/>
    <w:rsid w:val="00D920D0"/>
    <w:rsid w:val="00D92287"/>
    <w:rsid w:val="00D92528"/>
    <w:rsid w:val="00D92C74"/>
    <w:rsid w:val="00D92DE6"/>
    <w:rsid w:val="00D92DEA"/>
    <w:rsid w:val="00D93217"/>
    <w:rsid w:val="00D9338F"/>
    <w:rsid w:val="00D937C3"/>
    <w:rsid w:val="00D93D45"/>
    <w:rsid w:val="00D944D5"/>
    <w:rsid w:val="00D94705"/>
    <w:rsid w:val="00D94AD4"/>
    <w:rsid w:val="00D94B62"/>
    <w:rsid w:val="00D94DAD"/>
    <w:rsid w:val="00D94F07"/>
    <w:rsid w:val="00D9510A"/>
    <w:rsid w:val="00D95873"/>
    <w:rsid w:val="00D95AA8"/>
    <w:rsid w:val="00D95F9D"/>
    <w:rsid w:val="00D9625F"/>
    <w:rsid w:val="00D9648E"/>
    <w:rsid w:val="00D964FA"/>
    <w:rsid w:val="00D96BE1"/>
    <w:rsid w:val="00D96D93"/>
    <w:rsid w:val="00D96DBE"/>
    <w:rsid w:val="00D96DC0"/>
    <w:rsid w:val="00D97015"/>
    <w:rsid w:val="00D9716E"/>
    <w:rsid w:val="00D97235"/>
    <w:rsid w:val="00D97266"/>
    <w:rsid w:val="00D972D0"/>
    <w:rsid w:val="00D97322"/>
    <w:rsid w:val="00DA015F"/>
    <w:rsid w:val="00DA0308"/>
    <w:rsid w:val="00DA032D"/>
    <w:rsid w:val="00DA04FD"/>
    <w:rsid w:val="00DA06A0"/>
    <w:rsid w:val="00DA12FD"/>
    <w:rsid w:val="00DA16C8"/>
    <w:rsid w:val="00DA1865"/>
    <w:rsid w:val="00DA1BF1"/>
    <w:rsid w:val="00DA1EE6"/>
    <w:rsid w:val="00DA2401"/>
    <w:rsid w:val="00DA256E"/>
    <w:rsid w:val="00DA2602"/>
    <w:rsid w:val="00DA295E"/>
    <w:rsid w:val="00DA2A7D"/>
    <w:rsid w:val="00DA308C"/>
    <w:rsid w:val="00DA30F3"/>
    <w:rsid w:val="00DA34A9"/>
    <w:rsid w:val="00DA36C4"/>
    <w:rsid w:val="00DA36CE"/>
    <w:rsid w:val="00DA4158"/>
    <w:rsid w:val="00DA43DF"/>
    <w:rsid w:val="00DA45E9"/>
    <w:rsid w:val="00DA479C"/>
    <w:rsid w:val="00DA4B49"/>
    <w:rsid w:val="00DA4D64"/>
    <w:rsid w:val="00DA5219"/>
    <w:rsid w:val="00DA5EDA"/>
    <w:rsid w:val="00DA60C8"/>
    <w:rsid w:val="00DA62CD"/>
    <w:rsid w:val="00DA633F"/>
    <w:rsid w:val="00DA6465"/>
    <w:rsid w:val="00DA66C0"/>
    <w:rsid w:val="00DA677F"/>
    <w:rsid w:val="00DA6916"/>
    <w:rsid w:val="00DA6976"/>
    <w:rsid w:val="00DA6B60"/>
    <w:rsid w:val="00DA7369"/>
    <w:rsid w:val="00DA7CFB"/>
    <w:rsid w:val="00DA7DE6"/>
    <w:rsid w:val="00DA7EE4"/>
    <w:rsid w:val="00DA7FDD"/>
    <w:rsid w:val="00DB001F"/>
    <w:rsid w:val="00DB0224"/>
    <w:rsid w:val="00DB0409"/>
    <w:rsid w:val="00DB0A9B"/>
    <w:rsid w:val="00DB0E44"/>
    <w:rsid w:val="00DB1080"/>
    <w:rsid w:val="00DB1184"/>
    <w:rsid w:val="00DB183B"/>
    <w:rsid w:val="00DB1961"/>
    <w:rsid w:val="00DB19A2"/>
    <w:rsid w:val="00DB1CF5"/>
    <w:rsid w:val="00DB1D6C"/>
    <w:rsid w:val="00DB21AD"/>
    <w:rsid w:val="00DB2758"/>
    <w:rsid w:val="00DB2DF7"/>
    <w:rsid w:val="00DB2E15"/>
    <w:rsid w:val="00DB2FA1"/>
    <w:rsid w:val="00DB36FD"/>
    <w:rsid w:val="00DB38DC"/>
    <w:rsid w:val="00DB3B2D"/>
    <w:rsid w:val="00DB4233"/>
    <w:rsid w:val="00DB473E"/>
    <w:rsid w:val="00DB4DA1"/>
    <w:rsid w:val="00DB4DC7"/>
    <w:rsid w:val="00DB4FC5"/>
    <w:rsid w:val="00DB5546"/>
    <w:rsid w:val="00DB55C6"/>
    <w:rsid w:val="00DB568B"/>
    <w:rsid w:val="00DB57C8"/>
    <w:rsid w:val="00DB5918"/>
    <w:rsid w:val="00DB5A28"/>
    <w:rsid w:val="00DB5A81"/>
    <w:rsid w:val="00DB5E0E"/>
    <w:rsid w:val="00DB6093"/>
    <w:rsid w:val="00DB64AF"/>
    <w:rsid w:val="00DB67B5"/>
    <w:rsid w:val="00DB6897"/>
    <w:rsid w:val="00DB6962"/>
    <w:rsid w:val="00DB6BF8"/>
    <w:rsid w:val="00DB6F99"/>
    <w:rsid w:val="00DB7253"/>
    <w:rsid w:val="00DB76CE"/>
    <w:rsid w:val="00DB7B50"/>
    <w:rsid w:val="00DB7C76"/>
    <w:rsid w:val="00DC01AB"/>
    <w:rsid w:val="00DC0201"/>
    <w:rsid w:val="00DC04DD"/>
    <w:rsid w:val="00DC0A01"/>
    <w:rsid w:val="00DC0AA8"/>
    <w:rsid w:val="00DC0C17"/>
    <w:rsid w:val="00DC0E7A"/>
    <w:rsid w:val="00DC1040"/>
    <w:rsid w:val="00DC11C4"/>
    <w:rsid w:val="00DC1660"/>
    <w:rsid w:val="00DC1927"/>
    <w:rsid w:val="00DC1C83"/>
    <w:rsid w:val="00DC1EEF"/>
    <w:rsid w:val="00DC1F0B"/>
    <w:rsid w:val="00DC1FF5"/>
    <w:rsid w:val="00DC2020"/>
    <w:rsid w:val="00DC21C1"/>
    <w:rsid w:val="00DC2533"/>
    <w:rsid w:val="00DC2B0D"/>
    <w:rsid w:val="00DC2D7E"/>
    <w:rsid w:val="00DC2F60"/>
    <w:rsid w:val="00DC32E9"/>
    <w:rsid w:val="00DC3764"/>
    <w:rsid w:val="00DC3ACE"/>
    <w:rsid w:val="00DC3BDA"/>
    <w:rsid w:val="00DC3D50"/>
    <w:rsid w:val="00DC3F70"/>
    <w:rsid w:val="00DC4516"/>
    <w:rsid w:val="00DC54C2"/>
    <w:rsid w:val="00DC5519"/>
    <w:rsid w:val="00DC5CBB"/>
    <w:rsid w:val="00DC5CC6"/>
    <w:rsid w:val="00DC5DD7"/>
    <w:rsid w:val="00DC6004"/>
    <w:rsid w:val="00DC62BA"/>
    <w:rsid w:val="00DC68C0"/>
    <w:rsid w:val="00DC68E4"/>
    <w:rsid w:val="00DC74CE"/>
    <w:rsid w:val="00DC7622"/>
    <w:rsid w:val="00DC7FAB"/>
    <w:rsid w:val="00DD016A"/>
    <w:rsid w:val="00DD0423"/>
    <w:rsid w:val="00DD06AB"/>
    <w:rsid w:val="00DD0F4E"/>
    <w:rsid w:val="00DD10DE"/>
    <w:rsid w:val="00DD11C5"/>
    <w:rsid w:val="00DD18C7"/>
    <w:rsid w:val="00DD1BA6"/>
    <w:rsid w:val="00DD1CD4"/>
    <w:rsid w:val="00DD1D6B"/>
    <w:rsid w:val="00DD209C"/>
    <w:rsid w:val="00DD220B"/>
    <w:rsid w:val="00DD2396"/>
    <w:rsid w:val="00DD24A5"/>
    <w:rsid w:val="00DD2928"/>
    <w:rsid w:val="00DD2C55"/>
    <w:rsid w:val="00DD2C9F"/>
    <w:rsid w:val="00DD2E9C"/>
    <w:rsid w:val="00DD2EBD"/>
    <w:rsid w:val="00DD3A39"/>
    <w:rsid w:val="00DD3ABB"/>
    <w:rsid w:val="00DD3D19"/>
    <w:rsid w:val="00DD3D3E"/>
    <w:rsid w:val="00DD3D99"/>
    <w:rsid w:val="00DD487E"/>
    <w:rsid w:val="00DD49C3"/>
    <w:rsid w:val="00DD4C57"/>
    <w:rsid w:val="00DD4DAC"/>
    <w:rsid w:val="00DD4EF8"/>
    <w:rsid w:val="00DD55D5"/>
    <w:rsid w:val="00DD5678"/>
    <w:rsid w:val="00DD57D0"/>
    <w:rsid w:val="00DD5932"/>
    <w:rsid w:val="00DD5E28"/>
    <w:rsid w:val="00DD5E68"/>
    <w:rsid w:val="00DD5E98"/>
    <w:rsid w:val="00DD643B"/>
    <w:rsid w:val="00DD644F"/>
    <w:rsid w:val="00DD668C"/>
    <w:rsid w:val="00DD6705"/>
    <w:rsid w:val="00DD68A9"/>
    <w:rsid w:val="00DD7284"/>
    <w:rsid w:val="00DD76F4"/>
    <w:rsid w:val="00DD7852"/>
    <w:rsid w:val="00DD7C18"/>
    <w:rsid w:val="00DD7D59"/>
    <w:rsid w:val="00DE03CA"/>
    <w:rsid w:val="00DE0E09"/>
    <w:rsid w:val="00DE1126"/>
    <w:rsid w:val="00DE1186"/>
    <w:rsid w:val="00DE13D0"/>
    <w:rsid w:val="00DE157C"/>
    <w:rsid w:val="00DE18DF"/>
    <w:rsid w:val="00DE19AD"/>
    <w:rsid w:val="00DE1A0C"/>
    <w:rsid w:val="00DE1C20"/>
    <w:rsid w:val="00DE1CFD"/>
    <w:rsid w:val="00DE1F41"/>
    <w:rsid w:val="00DE20EE"/>
    <w:rsid w:val="00DE23BF"/>
    <w:rsid w:val="00DE25A2"/>
    <w:rsid w:val="00DE279E"/>
    <w:rsid w:val="00DE286A"/>
    <w:rsid w:val="00DE2AF6"/>
    <w:rsid w:val="00DE2CBC"/>
    <w:rsid w:val="00DE2D05"/>
    <w:rsid w:val="00DE304A"/>
    <w:rsid w:val="00DE32E6"/>
    <w:rsid w:val="00DE378A"/>
    <w:rsid w:val="00DE4430"/>
    <w:rsid w:val="00DE4A33"/>
    <w:rsid w:val="00DE4B1A"/>
    <w:rsid w:val="00DE4C58"/>
    <w:rsid w:val="00DE4E74"/>
    <w:rsid w:val="00DE53ED"/>
    <w:rsid w:val="00DE6074"/>
    <w:rsid w:val="00DE6118"/>
    <w:rsid w:val="00DE62BB"/>
    <w:rsid w:val="00DE6669"/>
    <w:rsid w:val="00DE6757"/>
    <w:rsid w:val="00DE6A9C"/>
    <w:rsid w:val="00DE6FE0"/>
    <w:rsid w:val="00DE70FF"/>
    <w:rsid w:val="00DE7501"/>
    <w:rsid w:val="00DE7703"/>
    <w:rsid w:val="00DE7841"/>
    <w:rsid w:val="00DE79FD"/>
    <w:rsid w:val="00DF0093"/>
    <w:rsid w:val="00DF01F6"/>
    <w:rsid w:val="00DF05B6"/>
    <w:rsid w:val="00DF0639"/>
    <w:rsid w:val="00DF0C3D"/>
    <w:rsid w:val="00DF0CBC"/>
    <w:rsid w:val="00DF0D92"/>
    <w:rsid w:val="00DF0FB4"/>
    <w:rsid w:val="00DF13B8"/>
    <w:rsid w:val="00DF1BE2"/>
    <w:rsid w:val="00DF1F31"/>
    <w:rsid w:val="00DF231D"/>
    <w:rsid w:val="00DF2674"/>
    <w:rsid w:val="00DF2969"/>
    <w:rsid w:val="00DF2AEA"/>
    <w:rsid w:val="00DF2B6D"/>
    <w:rsid w:val="00DF2DED"/>
    <w:rsid w:val="00DF3440"/>
    <w:rsid w:val="00DF3868"/>
    <w:rsid w:val="00DF3D02"/>
    <w:rsid w:val="00DF3FAB"/>
    <w:rsid w:val="00DF418D"/>
    <w:rsid w:val="00DF4503"/>
    <w:rsid w:val="00DF4534"/>
    <w:rsid w:val="00DF4738"/>
    <w:rsid w:val="00DF4B57"/>
    <w:rsid w:val="00DF4B66"/>
    <w:rsid w:val="00DF4BB0"/>
    <w:rsid w:val="00DF4C7F"/>
    <w:rsid w:val="00DF5626"/>
    <w:rsid w:val="00DF58DF"/>
    <w:rsid w:val="00DF5A79"/>
    <w:rsid w:val="00DF5C64"/>
    <w:rsid w:val="00DF5C9F"/>
    <w:rsid w:val="00DF6372"/>
    <w:rsid w:val="00DF657B"/>
    <w:rsid w:val="00DF6993"/>
    <w:rsid w:val="00DF6AC6"/>
    <w:rsid w:val="00DF6E7F"/>
    <w:rsid w:val="00DF719E"/>
    <w:rsid w:val="00DF7210"/>
    <w:rsid w:val="00DF7276"/>
    <w:rsid w:val="00DF73A5"/>
    <w:rsid w:val="00DF79EA"/>
    <w:rsid w:val="00DF7CFB"/>
    <w:rsid w:val="00E003C1"/>
    <w:rsid w:val="00E00718"/>
    <w:rsid w:val="00E00CD9"/>
    <w:rsid w:val="00E011BF"/>
    <w:rsid w:val="00E01260"/>
    <w:rsid w:val="00E01521"/>
    <w:rsid w:val="00E018E1"/>
    <w:rsid w:val="00E019FA"/>
    <w:rsid w:val="00E01A62"/>
    <w:rsid w:val="00E01EEF"/>
    <w:rsid w:val="00E01F19"/>
    <w:rsid w:val="00E01F34"/>
    <w:rsid w:val="00E02324"/>
    <w:rsid w:val="00E02617"/>
    <w:rsid w:val="00E02A6C"/>
    <w:rsid w:val="00E02D99"/>
    <w:rsid w:val="00E035B5"/>
    <w:rsid w:val="00E03931"/>
    <w:rsid w:val="00E03C96"/>
    <w:rsid w:val="00E03F3D"/>
    <w:rsid w:val="00E040CE"/>
    <w:rsid w:val="00E04262"/>
    <w:rsid w:val="00E04649"/>
    <w:rsid w:val="00E049C2"/>
    <w:rsid w:val="00E04C1D"/>
    <w:rsid w:val="00E04DD7"/>
    <w:rsid w:val="00E04EC3"/>
    <w:rsid w:val="00E04F9D"/>
    <w:rsid w:val="00E053A1"/>
    <w:rsid w:val="00E0555A"/>
    <w:rsid w:val="00E05800"/>
    <w:rsid w:val="00E05AAA"/>
    <w:rsid w:val="00E05C21"/>
    <w:rsid w:val="00E05EAB"/>
    <w:rsid w:val="00E06332"/>
    <w:rsid w:val="00E06425"/>
    <w:rsid w:val="00E10389"/>
    <w:rsid w:val="00E10631"/>
    <w:rsid w:val="00E1092C"/>
    <w:rsid w:val="00E11717"/>
    <w:rsid w:val="00E11E26"/>
    <w:rsid w:val="00E1202D"/>
    <w:rsid w:val="00E128B1"/>
    <w:rsid w:val="00E12A60"/>
    <w:rsid w:val="00E12C1D"/>
    <w:rsid w:val="00E13007"/>
    <w:rsid w:val="00E13080"/>
    <w:rsid w:val="00E13328"/>
    <w:rsid w:val="00E13C8C"/>
    <w:rsid w:val="00E14228"/>
    <w:rsid w:val="00E1430C"/>
    <w:rsid w:val="00E14C31"/>
    <w:rsid w:val="00E14D20"/>
    <w:rsid w:val="00E14FE3"/>
    <w:rsid w:val="00E15257"/>
    <w:rsid w:val="00E15462"/>
    <w:rsid w:val="00E15A1A"/>
    <w:rsid w:val="00E15B3A"/>
    <w:rsid w:val="00E15BFD"/>
    <w:rsid w:val="00E16034"/>
    <w:rsid w:val="00E16220"/>
    <w:rsid w:val="00E16252"/>
    <w:rsid w:val="00E1663E"/>
    <w:rsid w:val="00E16DE9"/>
    <w:rsid w:val="00E16F03"/>
    <w:rsid w:val="00E16F4B"/>
    <w:rsid w:val="00E16F80"/>
    <w:rsid w:val="00E17500"/>
    <w:rsid w:val="00E17AAE"/>
    <w:rsid w:val="00E17D1A"/>
    <w:rsid w:val="00E17E33"/>
    <w:rsid w:val="00E20079"/>
    <w:rsid w:val="00E2028B"/>
    <w:rsid w:val="00E20562"/>
    <w:rsid w:val="00E20A9D"/>
    <w:rsid w:val="00E20CC3"/>
    <w:rsid w:val="00E2118F"/>
    <w:rsid w:val="00E2122C"/>
    <w:rsid w:val="00E2139A"/>
    <w:rsid w:val="00E21459"/>
    <w:rsid w:val="00E21BF6"/>
    <w:rsid w:val="00E21EA8"/>
    <w:rsid w:val="00E21EED"/>
    <w:rsid w:val="00E2200C"/>
    <w:rsid w:val="00E224F4"/>
    <w:rsid w:val="00E22655"/>
    <w:rsid w:val="00E2292D"/>
    <w:rsid w:val="00E22E04"/>
    <w:rsid w:val="00E23574"/>
    <w:rsid w:val="00E23A7D"/>
    <w:rsid w:val="00E23C48"/>
    <w:rsid w:val="00E23E02"/>
    <w:rsid w:val="00E23FFC"/>
    <w:rsid w:val="00E2405A"/>
    <w:rsid w:val="00E24435"/>
    <w:rsid w:val="00E247C7"/>
    <w:rsid w:val="00E24807"/>
    <w:rsid w:val="00E253A0"/>
    <w:rsid w:val="00E25996"/>
    <w:rsid w:val="00E25C91"/>
    <w:rsid w:val="00E25DB3"/>
    <w:rsid w:val="00E26515"/>
    <w:rsid w:val="00E26D5F"/>
    <w:rsid w:val="00E275DC"/>
    <w:rsid w:val="00E2773F"/>
    <w:rsid w:val="00E27C9E"/>
    <w:rsid w:val="00E27DDA"/>
    <w:rsid w:val="00E27E36"/>
    <w:rsid w:val="00E306FB"/>
    <w:rsid w:val="00E310D2"/>
    <w:rsid w:val="00E3130D"/>
    <w:rsid w:val="00E31C25"/>
    <w:rsid w:val="00E31D71"/>
    <w:rsid w:val="00E31EA2"/>
    <w:rsid w:val="00E3250E"/>
    <w:rsid w:val="00E32563"/>
    <w:rsid w:val="00E329D3"/>
    <w:rsid w:val="00E32A5B"/>
    <w:rsid w:val="00E32B0D"/>
    <w:rsid w:val="00E32B2E"/>
    <w:rsid w:val="00E32CE6"/>
    <w:rsid w:val="00E32FA5"/>
    <w:rsid w:val="00E32FF6"/>
    <w:rsid w:val="00E33179"/>
    <w:rsid w:val="00E331F5"/>
    <w:rsid w:val="00E3322E"/>
    <w:rsid w:val="00E334E2"/>
    <w:rsid w:val="00E338D6"/>
    <w:rsid w:val="00E33ABA"/>
    <w:rsid w:val="00E33AEB"/>
    <w:rsid w:val="00E33DEB"/>
    <w:rsid w:val="00E33EEF"/>
    <w:rsid w:val="00E34253"/>
    <w:rsid w:val="00E3444D"/>
    <w:rsid w:val="00E34887"/>
    <w:rsid w:val="00E349C1"/>
    <w:rsid w:val="00E352C8"/>
    <w:rsid w:val="00E35B9F"/>
    <w:rsid w:val="00E3676E"/>
    <w:rsid w:val="00E367BA"/>
    <w:rsid w:val="00E368C5"/>
    <w:rsid w:val="00E36AA2"/>
    <w:rsid w:val="00E36BAF"/>
    <w:rsid w:val="00E36F35"/>
    <w:rsid w:val="00E3708A"/>
    <w:rsid w:val="00E373AD"/>
    <w:rsid w:val="00E37BA1"/>
    <w:rsid w:val="00E37D1D"/>
    <w:rsid w:val="00E37DA7"/>
    <w:rsid w:val="00E40030"/>
    <w:rsid w:val="00E404F6"/>
    <w:rsid w:val="00E4090C"/>
    <w:rsid w:val="00E40C5D"/>
    <w:rsid w:val="00E40C89"/>
    <w:rsid w:val="00E41243"/>
    <w:rsid w:val="00E412EF"/>
    <w:rsid w:val="00E41C3A"/>
    <w:rsid w:val="00E424BB"/>
    <w:rsid w:val="00E42841"/>
    <w:rsid w:val="00E42890"/>
    <w:rsid w:val="00E42905"/>
    <w:rsid w:val="00E42B68"/>
    <w:rsid w:val="00E4336F"/>
    <w:rsid w:val="00E43432"/>
    <w:rsid w:val="00E43647"/>
    <w:rsid w:val="00E437AC"/>
    <w:rsid w:val="00E438B4"/>
    <w:rsid w:val="00E43AB1"/>
    <w:rsid w:val="00E43B4D"/>
    <w:rsid w:val="00E43F5B"/>
    <w:rsid w:val="00E44855"/>
    <w:rsid w:val="00E44C04"/>
    <w:rsid w:val="00E4514E"/>
    <w:rsid w:val="00E45299"/>
    <w:rsid w:val="00E45538"/>
    <w:rsid w:val="00E45809"/>
    <w:rsid w:val="00E458A0"/>
    <w:rsid w:val="00E458FE"/>
    <w:rsid w:val="00E4591B"/>
    <w:rsid w:val="00E45CB9"/>
    <w:rsid w:val="00E46172"/>
    <w:rsid w:val="00E4630C"/>
    <w:rsid w:val="00E466CD"/>
    <w:rsid w:val="00E46843"/>
    <w:rsid w:val="00E46D02"/>
    <w:rsid w:val="00E46DB4"/>
    <w:rsid w:val="00E47703"/>
    <w:rsid w:val="00E47D3A"/>
    <w:rsid w:val="00E47F4A"/>
    <w:rsid w:val="00E502D6"/>
    <w:rsid w:val="00E50405"/>
    <w:rsid w:val="00E5049A"/>
    <w:rsid w:val="00E50537"/>
    <w:rsid w:val="00E506AA"/>
    <w:rsid w:val="00E50809"/>
    <w:rsid w:val="00E50938"/>
    <w:rsid w:val="00E509C6"/>
    <w:rsid w:val="00E5104B"/>
    <w:rsid w:val="00E518DF"/>
    <w:rsid w:val="00E52367"/>
    <w:rsid w:val="00E5246E"/>
    <w:rsid w:val="00E52B14"/>
    <w:rsid w:val="00E52C0A"/>
    <w:rsid w:val="00E52FDD"/>
    <w:rsid w:val="00E52FE5"/>
    <w:rsid w:val="00E532F1"/>
    <w:rsid w:val="00E535E3"/>
    <w:rsid w:val="00E53A43"/>
    <w:rsid w:val="00E53B41"/>
    <w:rsid w:val="00E53B93"/>
    <w:rsid w:val="00E53BA8"/>
    <w:rsid w:val="00E5419E"/>
    <w:rsid w:val="00E541EC"/>
    <w:rsid w:val="00E544DE"/>
    <w:rsid w:val="00E545C7"/>
    <w:rsid w:val="00E548E5"/>
    <w:rsid w:val="00E54B2D"/>
    <w:rsid w:val="00E54CC4"/>
    <w:rsid w:val="00E558A6"/>
    <w:rsid w:val="00E560DD"/>
    <w:rsid w:val="00E569C6"/>
    <w:rsid w:val="00E56B10"/>
    <w:rsid w:val="00E57760"/>
    <w:rsid w:val="00E57872"/>
    <w:rsid w:val="00E57947"/>
    <w:rsid w:val="00E57E79"/>
    <w:rsid w:val="00E60202"/>
    <w:rsid w:val="00E604F5"/>
    <w:rsid w:val="00E60AD7"/>
    <w:rsid w:val="00E60D35"/>
    <w:rsid w:val="00E60E38"/>
    <w:rsid w:val="00E60EF7"/>
    <w:rsid w:val="00E60F93"/>
    <w:rsid w:val="00E610F7"/>
    <w:rsid w:val="00E61B73"/>
    <w:rsid w:val="00E61B77"/>
    <w:rsid w:val="00E62047"/>
    <w:rsid w:val="00E62630"/>
    <w:rsid w:val="00E6263A"/>
    <w:rsid w:val="00E62C20"/>
    <w:rsid w:val="00E62D1A"/>
    <w:rsid w:val="00E62E88"/>
    <w:rsid w:val="00E632D3"/>
    <w:rsid w:val="00E6375F"/>
    <w:rsid w:val="00E63927"/>
    <w:rsid w:val="00E63BB8"/>
    <w:rsid w:val="00E64492"/>
    <w:rsid w:val="00E6481D"/>
    <w:rsid w:val="00E6488D"/>
    <w:rsid w:val="00E64913"/>
    <w:rsid w:val="00E64A85"/>
    <w:rsid w:val="00E64EB3"/>
    <w:rsid w:val="00E64F71"/>
    <w:rsid w:val="00E65057"/>
    <w:rsid w:val="00E6519B"/>
    <w:rsid w:val="00E65251"/>
    <w:rsid w:val="00E655E6"/>
    <w:rsid w:val="00E6570C"/>
    <w:rsid w:val="00E65864"/>
    <w:rsid w:val="00E65AE8"/>
    <w:rsid w:val="00E65DB0"/>
    <w:rsid w:val="00E66280"/>
    <w:rsid w:val="00E665C7"/>
    <w:rsid w:val="00E666C9"/>
    <w:rsid w:val="00E667E6"/>
    <w:rsid w:val="00E66AA6"/>
    <w:rsid w:val="00E66BDE"/>
    <w:rsid w:val="00E66C52"/>
    <w:rsid w:val="00E67032"/>
    <w:rsid w:val="00E673D5"/>
    <w:rsid w:val="00E67436"/>
    <w:rsid w:val="00E6760C"/>
    <w:rsid w:val="00E67684"/>
    <w:rsid w:val="00E678F6"/>
    <w:rsid w:val="00E67C72"/>
    <w:rsid w:val="00E700E4"/>
    <w:rsid w:val="00E707FF"/>
    <w:rsid w:val="00E70D39"/>
    <w:rsid w:val="00E71067"/>
    <w:rsid w:val="00E71923"/>
    <w:rsid w:val="00E71A7C"/>
    <w:rsid w:val="00E7269F"/>
    <w:rsid w:val="00E72713"/>
    <w:rsid w:val="00E7299E"/>
    <w:rsid w:val="00E72CB1"/>
    <w:rsid w:val="00E72F5F"/>
    <w:rsid w:val="00E730D2"/>
    <w:rsid w:val="00E73199"/>
    <w:rsid w:val="00E7330F"/>
    <w:rsid w:val="00E73413"/>
    <w:rsid w:val="00E73469"/>
    <w:rsid w:val="00E73C14"/>
    <w:rsid w:val="00E73EA6"/>
    <w:rsid w:val="00E741F4"/>
    <w:rsid w:val="00E7443E"/>
    <w:rsid w:val="00E74460"/>
    <w:rsid w:val="00E74A37"/>
    <w:rsid w:val="00E74CD9"/>
    <w:rsid w:val="00E753CE"/>
    <w:rsid w:val="00E755EE"/>
    <w:rsid w:val="00E757E2"/>
    <w:rsid w:val="00E75B4D"/>
    <w:rsid w:val="00E7617D"/>
    <w:rsid w:val="00E762ED"/>
    <w:rsid w:val="00E76534"/>
    <w:rsid w:val="00E768EC"/>
    <w:rsid w:val="00E76DDB"/>
    <w:rsid w:val="00E76E06"/>
    <w:rsid w:val="00E77CC7"/>
    <w:rsid w:val="00E8053F"/>
    <w:rsid w:val="00E805F4"/>
    <w:rsid w:val="00E80738"/>
    <w:rsid w:val="00E8074F"/>
    <w:rsid w:val="00E80A27"/>
    <w:rsid w:val="00E80ADF"/>
    <w:rsid w:val="00E80C79"/>
    <w:rsid w:val="00E80EDE"/>
    <w:rsid w:val="00E81049"/>
    <w:rsid w:val="00E815DC"/>
    <w:rsid w:val="00E81A7C"/>
    <w:rsid w:val="00E81C23"/>
    <w:rsid w:val="00E82110"/>
    <w:rsid w:val="00E82438"/>
    <w:rsid w:val="00E82492"/>
    <w:rsid w:val="00E82666"/>
    <w:rsid w:val="00E82A21"/>
    <w:rsid w:val="00E831D8"/>
    <w:rsid w:val="00E838E4"/>
    <w:rsid w:val="00E83997"/>
    <w:rsid w:val="00E83D10"/>
    <w:rsid w:val="00E8433E"/>
    <w:rsid w:val="00E844CE"/>
    <w:rsid w:val="00E84C90"/>
    <w:rsid w:val="00E85145"/>
    <w:rsid w:val="00E851E2"/>
    <w:rsid w:val="00E853B6"/>
    <w:rsid w:val="00E85629"/>
    <w:rsid w:val="00E8562E"/>
    <w:rsid w:val="00E85C73"/>
    <w:rsid w:val="00E863BC"/>
    <w:rsid w:val="00E8645F"/>
    <w:rsid w:val="00E868BD"/>
    <w:rsid w:val="00E868D6"/>
    <w:rsid w:val="00E86C57"/>
    <w:rsid w:val="00E86C91"/>
    <w:rsid w:val="00E86EC0"/>
    <w:rsid w:val="00E86F81"/>
    <w:rsid w:val="00E878DB"/>
    <w:rsid w:val="00E87E1A"/>
    <w:rsid w:val="00E87FA4"/>
    <w:rsid w:val="00E9013D"/>
    <w:rsid w:val="00E909CD"/>
    <w:rsid w:val="00E909CF"/>
    <w:rsid w:val="00E90B63"/>
    <w:rsid w:val="00E913F1"/>
    <w:rsid w:val="00E9154C"/>
    <w:rsid w:val="00E917A0"/>
    <w:rsid w:val="00E91840"/>
    <w:rsid w:val="00E91AC0"/>
    <w:rsid w:val="00E91C90"/>
    <w:rsid w:val="00E9217F"/>
    <w:rsid w:val="00E921DB"/>
    <w:rsid w:val="00E9225E"/>
    <w:rsid w:val="00E9260A"/>
    <w:rsid w:val="00E92827"/>
    <w:rsid w:val="00E929A4"/>
    <w:rsid w:val="00E92A42"/>
    <w:rsid w:val="00E92AD9"/>
    <w:rsid w:val="00E92B2B"/>
    <w:rsid w:val="00E92C56"/>
    <w:rsid w:val="00E9331B"/>
    <w:rsid w:val="00E934FE"/>
    <w:rsid w:val="00E93A37"/>
    <w:rsid w:val="00E93B70"/>
    <w:rsid w:val="00E93BFB"/>
    <w:rsid w:val="00E93D42"/>
    <w:rsid w:val="00E941C8"/>
    <w:rsid w:val="00E9428C"/>
    <w:rsid w:val="00E94899"/>
    <w:rsid w:val="00E94A6F"/>
    <w:rsid w:val="00E94C8F"/>
    <w:rsid w:val="00E94DD8"/>
    <w:rsid w:val="00E94FA4"/>
    <w:rsid w:val="00E95642"/>
    <w:rsid w:val="00E9569E"/>
    <w:rsid w:val="00E9589E"/>
    <w:rsid w:val="00E95EC4"/>
    <w:rsid w:val="00E96243"/>
    <w:rsid w:val="00E962FB"/>
    <w:rsid w:val="00E964A8"/>
    <w:rsid w:val="00E9692D"/>
    <w:rsid w:val="00E97076"/>
    <w:rsid w:val="00E9710D"/>
    <w:rsid w:val="00E97694"/>
    <w:rsid w:val="00E97A8D"/>
    <w:rsid w:val="00E97B1D"/>
    <w:rsid w:val="00EA002D"/>
    <w:rsid w:val="00EA033A"/>
    <w:rsid w:val="00EA05C0"/>
    <w:rsid w:val="00EA0777"/>
    <w:rsid w:val="00EA081B"/>
    <w:rsid w:val="00EA0A2F"/>
    <w:rsid w:val="00EA1283"/>
    <w:rsid w:val="00EA1AFC"/>
    <w:rsid w:val="00EA1C9D"/>
    <w:rsid w:val="00EA1DFC"/>
    <w:rsid w:val="00EA1FBA"/>
    <w:rsid w:val="00EA2190"/>
    <w:rsid w:val="00EA22A3"/>
    <w:rsid w:val="00EA2437"/>
    <w:rsid w:val="00EA2E66"/>
    <w:rsid w:val="00EA32B4"/>
    <w:rsid w:val="00EA363F"/>
    <w:rsid w:val="00EA385D"/>
    <w:rsid w:val="00EA3BEF"/>
    <w:rsid w:val="00EA3D39"/>
    <w:rsid w:val="00EA42F4"/>
    <w:rsid w:val="00EA44F3"/>
    <w:rsid w:val="00EA450D"/>
    <w:rsid w:val="00EA47A7"/>
    <w:rsid w:val="00EA4A9A"/>
    <w:rsid w:val="00EA4D78"/>
    <w:rsid w:val="00EA4DCF"/>
    <w:rsid w:val="00EA50D8"/>
    <w:rsid w:val="00EA5190"/>
    <w:rsid w:val="00EA55A8"/>
    <w:rsid w:val="00EA5980"/>
    <w:rsid w:val="00EA5D0A"/>
    <w:rsid w:val="00EA6171"/>
    <w:rsid w:val="00EA6802"/>
    <w:rsid w:val="00EA69E2"/>
    <w:rsid w:val="00EA6E60"/>
    <w:rsid w:val="00EA6F86"/>
    <w:rsid w:val="00EA730C"/>
    <w:rsid w:val="00EA7765"/>
    <w:rsid w:val="00EB0213"/>
    <w:rsid w:val="00EB09BD"/>
    <w:rsid w:val="00EB0B85"/>
    <w:rsid w:val="00EB0EEA"/>
    <w:rsid w:val="00EB1475"/>
    <w:rsid w:val="00EB164C"/>
    <w:rsid w:val="00EB24E7"/>
    <w:rsid w:val="00EB2549"/>
    <w:rsid w:val="00EB2745"/>
    <w:rsid w:val="00EB2B04"/>
    <w:rsid w:val="00EB3080"/>
    <w:rsid w:val="00EB3F8B"/>
    <w:rsid w:val="00EB4711"/>
    <w:rsid w:val="00EB4810"/>
    <w:rsid w:val="00EB4958"/>
    <w:rsid w:val="00EB4969"/>
    <w:rsid w:val="00EB4C37"/>
    <w:rsid w:val="00EB4D12"/>
    <w:rsid w:val="00EB4F29"/>
    <w:rsid w:val="00EB5227"/>
    <w:rsid w:val="00EB53BE"/>
    <w:rsid w:val="00EB5545"/>
    <w:rsid w:val="00EB55CC"/>
    <w:rsid w:val="00EB574B"/>
    <w:rsid w:val="00EB610E"/>
    <w:rsid w:val="00EB637D"/>
    <w:rsid w:val="00EB63EC"/>
    <w:rsid w:val="00EB67BD"/>
    <w:rsid w:val="00EB6A94"/>
    <w:rsid w:val="00EB6EF2"/>
    <w:rsid w:val="00EB6F9E"/>
    <w:rsid w:val="00EB7143"/>
    <w:rsid w:val="00EB7301"/>
    <w:rsid w:val="00EB734D"/>
    <w:rsid w:val="00EB76F5"/>
    <w:rsid w:val="00EB7872"/>
    <w:rsid w:val="00EC00C7"/>
    <w:rsid w:val="00EC0229"/>
    <w:rsid w:val="00EC023F"/>
    <w:rsid w:val="00EC085C"/>
    <w:rsid w:val="00EC0A55"/>
    <w:rsid w:val="00EC0BC8"/>
    <w:rsid w:val="00EC0C4B"/>
    <w:rsid w:val="00EC0C72"/>
    <w:rsid w:val="00EC0EAA"/>
    <w:rsid w:val="00EC123E"/>
    <w:rsid w:val="00EC1557"/>
    <w:rsid w:val="00EC1636"/>
    <w:rsid w:val="00EC17A7"/>
    <w:rsid w:val="00EC1B7F"/>
    <w:rsid w:val="00EC20ED"/>
    <w:rsid w:val="00EC2173"/>
    <w:rsid w:val="00EC2399"/>
    <w:rsid w:val="00EC2890"/>
    <w:rsid w:val="00EC2D26"/>
    <w:rsid w:val="00EC2E6E"/>
    <w:rsid w:val="00EC3456"/>
    <w:rsid w:val="00EC372E"/>
    <w:rsid w:val="00EC3D1F"/>
    <w:rsid w:val="00EC3D22"/>
    <w:rsid w:val="00EC3E52"/>
    <w:rsid w:val="00EC44E6"/>
    <w:rsid w:val="00EC464D"/>
    <w:rsid w:val="00EC4710"/>
    <w:rsid w:val="00EC4EDE"/>
    <w:rsid w:val="00EC5169"/>
    <w:rsid w:val="00EC5447"/>
    <w:rsid w:val="00EC5573"/>
    <w:rsid w:val="00EC5642"/>
    <w:rsid w:val="00EC57CA"/>
    <w:rsid w:val="00EC57F3"/>
    <w:rsid w:val="00EC5898"/>
    <w:rsid w:val="00EC5DE4"/>
    <w:rsid w:val="00EC6176"/>
    <w:rsid w:val="00EC6186"/>
    <w:rsid w:val="00EC7093"/>
    <w:rsid w:val="00EC7127"/>
    <w:rsid w:val="00ED011F"/>
    <w:rsid w:val="00ED0D87"/>
    <w:rsid w:val="00ED1122"/>
    <w:rsid w:val="00ED1314"/>
    <w:rsid w:val="00ED19E3"/>
    <w:rsid w:val="00ED1C10"/>
    <w:rsid w:val="00ED1DC3"/>
    <w:rsid w:val="00ED1F55"/>
    <w:rsid w:val="00ED2421"/>
    <w:rsid w:val="00ED248C"/>
    <w:rsid w:val="00ED2878"/>
    <w:rsid w:val="00ED28FC"/>
    <w:rsid w:val="00ED2AAB"/>
    <w:rsid w:val="00ED2B8E"/>
    <w:rsid w:val="00ED2BA8"/>
    <w:rsid w:val="00ED2C14"/>
    <w:rsid w:val="00ED2E3E"/>
    <w:rsid w:val="00ED2F06"/>
    <w:rsid w:val="00ED2F4B"/>
    <w:rsid w:val="00ED3251"/>
    <w:rsid w:val="00ED35A2"/>
    <w:rsid w:val="00ED3B17"/>
    <w:rsid w:val="00ED47B7"/>
    <w:rsid w:val="00ED5067"/>
    <w:rsid w:val="00ED5109"/>
    <w:rsid w:val="00ED53A4"/>
    <w:rsid w:val="00ED563D"/>
    <w:rsid w:val="00ED5830"/>
    <w:rsid w:val="00ED5A3B"/>
    <w:rsid w:val="00ED5B67"/>
    <w:rsid w:val="00ED5D2D"/>
    <w:rsid w:val="00ED67A6"/>
    <w:rsid w:val="00ED6BC2"/>
    <w:rsid w:val="00ED6C4A"/>
    <w:rsid w:val="00ED71F9"/>
    <w:rsid w:val="00ED7B0A"/>
    <w:rsid w:val="00ED7BB8"/>
    <w:rsid w:val="00EE042E"/>
    <w:rsid w:val="00EE0753"/>
    <w:rsid w:val="00EE0997"/>
    <w:rsid w:val="00EE0D39"/>
    <w:rsid w:val="00EE0FB9"/>
    <w:rsid w:val="00EE10D2"/>
    <w:rsid w:val="00EE172C"/>
    <w:rsid w:val="00EE1891"/>
    <w:rsid w:val="00EE1892"/>
    <w:rsid w:val="00EE1C71"/>
    <w:rsid w:val="00EE1D45"/>
    <w:rsid w:val="00EE2368"/>
    <w:rsid w:val="00EE23EF"/>
    <w:rsid w:val="00EE26E3"/>
    <w:rsid w:val="00EE2981"/>
    <w:rsid w:val="00EE2C9C"/>
    <w:rsid w:val="00EE2D84"/>
    <w:rsid w:val="00EE2EAD"/>
    <w:rsid w:val="00EE31F1"/>
    <w:rsid w:val="00EE3843"/>
    <w:rsid w:val="00EE384C"/>
    <w:rsid w:val="00EE3CFB"/>
    <w:rsid w:val="00EE410B"/>
    <w:rsid w:val="00EE4666"/>
    <w:rsid w:val="00EE480A"/>
    <w:rsid w:val="00EE4A8B"/>
    <w:rsid w:val="00EE4AA3"/>
    <w:rsid w:val="00EE4BCA"/>
    <w:rsid w:val="00EE4BD5"/>
    <w:rsid w:val="00EE5795"/>
    <w:rsid w:val="00EE57AC"/>
    <w:rsid w:val="00EE5814"/>
    <w:rsid w:val="00EE5A52"/>
    <w:rsid w:val="00EE5B03"/>
    <w:rsid w:val="00EE6552"/>
    <w:rsid w:val="00EE69CC"/>
    <w:rsid w:val="00EE6A3D"/>
    <w:rsid w:val="00EE6A55"/>
    <w:rsid w:val="00EE6BF3"/>
    <w:rsid w:val="00EE6D44"/>
    <w:rsid w:val="00EE6F18"/>
    <w:rsid w:val="00EE702D"/>
    <w:rsid w:val="00EE71E9"/>
    <w:rsid w:val="00EE728D"/>
    <w:rsid w:val="00EE764E"/>
    <w:rsid w:val="00EE78CA"/>
    <w:rsid w:val="00EF0460"/>
    <w:rsid w:val="00EF0648"/>
    <w:rsid w:val="00EF0711"/>
    <w:rsid w:val="00EF0873"/>
    <w:rsid w:val="00EF0A62"/>
    <w:rsid w:val="00EF1079"/>
    <w:rsid w:val="00EF1513"/>
    <w:rsid w:val="00EF1548"/>
    <w:rsid w:val="00EF16E9"/>
    <w:rsid w:val="00EF16F6"/>
    <w:rsid w:val="00EF1FA0"/>
    <w:rsid w:val="00EF20CD"/>
    <w:rsid w:val="00EF212D"/>
    <w:rsid w:val="00EF2259"/>
    <w:rsid w:val="00EF253F"/>
    <w:rsid w:val="00EF2963"/>
    <w:rsid w:val="00EF2E36"/>
    <w:rsid w:val="00EF33A1"/>
    <w:rsid w:val="00EF33E5"/>
    <w:rsid w:val="00EF40A8"/>
    <w:rsid w:val="00EF421A"/>
    <w:rsid w:val="00EF4455"/>
    <w:rsid w:val="00EF47E5"/>
    <w:rsid w:val="00EF4D83"/>
    <w:rsid w:val="00EF5550"/>
    <w:rsid w:val="00EF5643"/>
    <w:rsid w:val="00EF58A6"/>
    <w:rsid w:val="00EF5DC5"/>
    <w:rsid w:val="00EF5E82"/>
    <w:rsid w:val="00EF61B2"/>
    <w:rsid w:val="00EF6464"/>
    <w:rsid w:val="00EF715B"/>
    <w:rsid w:val="00EF71DC"/>
    <w:rsid w:val="00EF7377"/>
    <w:rsid w:val="00EF77D1"/>
    <w:rsid w:val="00EF7E0F"/>
    <w:rsid w:val="00EF7F45"/>
    <w:rsid w:val="00F00171"/>
    <w:rsid w:val="00F006B7"/>
    <w:rsid w:val="00F008B6"/>
    <w:rsid w:val="00F00C6E"/>
    <w:rsid w:val="00F00F54"/>
    <w:rsid w:val="00F01675"/>
    <w:rsid w:val="00F016CE"/>
    <w:rsid w:val="00F01731"/>
    <w:rsid w:val="00F01EE3"/>
    <w:rsid w:val="00F01F41"/>
    <w:rsid w:val="00F02400"/>
    <w:rsid w:val="00F02534"/>
    <w:rsid w:val="00F0278B"/>
    <w:rsid w:val="00F028E7"/>
    <w:rsid w:val="00F02948"/>
    <w:rsid w:val="00F02C43"/>
    <w:rsid w:val="00F0317D"/>
    <w:rsid w:val="00F0346D"/>
    <w:rsid w:val="00F03891"/>
    <w:rsid w:val="00F03ADC"/>
    <w:rsid w:val="00F03EB0"/>
    <w:rsid w:val="00F04163"/>
    <w:rsid w:val="00F04298"/>
    <w:rsid w:val="00F046D6"/>
    <w:rsid w:val="00F04779"/>
    <w:rsid w:val="00F04A7C"/>
    <w:rsid w:val="00F04B2A"/>
    <w:rsid w:val="00F04EC7"/>
    <w:rsid w:val="00F04F13"/>
    <w:rsid w:val="00F058BE"/>
    <w:rsid w:val="00F059D7"/>
    <w:rsid w:val="00F05F81"/>
    <w:rsid w:val="00F06928"/>
    <w:rsid w:val="00F06939"/>
    <w:rsid w:val="00F0695D"/>
    <w:rsid w:val="00F06D07"/>
    <w:rsid w:val="00F06EEC"/>
    <w:rsid w:val="00F06F2F"/>
    <w:rsid w:val="00F07014"/>
    <w:rsid w:val="00F07903"/>
    <w:rsid w:val="00F07CF4"/>
    <w:rsid w:val="00F07D34"/>
    <w:rsid w:val="00F07D39"/>
    <w:rsid w:val="00F1040E"/>
    <w:rsid w:val="00F1052D"/>
    <w:rsid w:val="00F109BF"/>
    <w:rsid w:val="00F10ACD"/>
    <w:rsid w:val="00F10FAF"/>
    <w:rsid w:val="00F10FCC"/>
    <w:rsid w:val="00F112EA"/>
    <w:rsid w:val="00F115DB"/>
    <w:rsid w:val="00F12143"/>
    <w:rsid w:val="00F12BE6"/>
    <w:rsid w:val="00F13490"/>
    <w:rsid w:val="00F135D9"/>
    <w:rsid w:val="00F13AD0"/>
    <w:rsid w:val="00F13DA7"/>
    <w:rsid w:val="00F14450"/>
    <w:rsid w:val="00F144FE"/>
    <w:rsid w:val="00F14A55"/>
    <w:rsid w:val="00F15AA8"/>
    <w:rsid w:val="00F15B76"/>
    <w:rsid w:val="00F15F53"/>
    <w:rsid w:val="00F161B0"/>
    <w:rsid w:val="00F17491"/>
    <w:rsid w:val="00F1752D"/>
    <w:rsid w:val="00F17729"/>
    <w:rsid w:val="00F177AC"/>
    <w:rsid w:val="00F177B8"/>
    <w:rsid w:val="00F17DB2"/>
    <w:rsid w:val="00F200A1"/>
    <w:rsid w:val="00F200C9"/>
    <w:rsid w:val="00F207DC"/>
    <w:rsid w:val="00F20D84"/>
    <w:rsid w:val="00F21476"/>
    <w:rsid w:val="00F219FF"/>
    <w:rsid w:val="00F22503"/>
    <w:rsid w:val="00F2261A"/>
    <w:rsid w:val="00F2277A"/>
    <w:rsid w:val="00F2292F"/>
    <w:rsid w:val="00F22CEA"/>
    <w:rsid w:val="00F23046"/>
    <w:rsid w:val="00F23336"/>
    <w:rsid w:val="00F237E4"/>
    <w:rsid w:val="00F238AE"/>
    <w:rsid w:val="00F2411F"/>
    <w:rsid w:val="00F24124"/>
    <w:rsid w:val="00F242F7"/>
    <w:rsid w:val="00F243BD"/>
    <w:rsid w:val="00F24B03"/>
    <w:rsid w:val="00F24CBE"/>
    <w:rsid w:val="00F25185"/>
    <w:rsid w:val="00F254DA"/>
    <w:rsid w:val="00F2591B"/>
    <w:rsid w:val="00F25949"/>
    <w:rsid w:val="00F25FE6"/>
    <w:rsid w:val="00F261B1"/>
    <w:rsid w:val="00F26664"/>
    <w:rsid w:val="00F26E4E"/>
    <w:rsid w:val="00F27296"/>
    <w:rsid w:val="00F2754F"/>
    <w:rsid w:val="00F277BF"/>
    <w:rsid w:val="00F27B7E"/>
    <w:rsid w:val="00F302AE"/>
    <w:rsid w:val="00F30610"/>
    <w:rsid w:val="00F30636"/>
    <w:rsid w:val="00F30637"/>
    <w:rsid w:val="00F30730"/>
    <w:rsid w:val="00F30772"/>
    <w:rsid w:val="00F30B53"/>
    <w:rsid w:val="00F30C86"/>
    <w:rsid w:val="00F3227B"/>
    <w:rsid w:val="00F3231E"/>
    <w:rsid w:val="00F32641"/>
    <w:rsid w:val="00F32859"/>
    <w:rsid w:val="00F32B2A"/>
    <w:rsid w:val="00F32D0A"/>
    <w:rsid w:val="00F32D10"/>
    <w:rsid w:val="00F32D16"/>
    <w:rsid w:val="00F32F95"/>
    <w:rsid w:val="00F3300A"/>
    <w:rsid w:val="00F3323A"/>
    <w:rsid w:val="00F333D1"/>
    <w:rsid w:val="00F334D1"/>
    <w:rsid w:val="00F335FF"/>
    <w:rsid w:val="00F338D2"/>
    <w:rsid w:val="00F3396B"/>
    <w:rsid w:val="00F33970"/>
    <w:rsid w:val="00F33DC9"/>
    <w:rsid w:val="00F33F79"/>
    <w:rsid w:val="00F33FA3"/>
    <w:rsid w:val="00F34F6C"/>
    <w:rsid w:val="00F35012"/>
    <w:rsid w:val="00F353E3"/>
    <w:rsid w:val="00F357C4"/>
    <w:rsid w:val="00F358DA"/>
    <w:rsid w:val="00F35D89"/>
    <w:rsid w:val="00F360A0"/>
    <w:rsid w:val="00F365C9"/>
    <w:rsid w:val="00F36FBB"/>
    <w:rsid w:val="00F3716C"/>
    <w:rsid w:val="00F371E0"/>
    <w:rsid w:val="00F37570"/>
    <w:rsid w:val="00F37B49"/>
    <w:rsid w:val="00F37B76"/>
    <w:rsid w:val="00F403FE"/>
    <w:rsid w:val="00F408BD"/>
    <w:rsid w:val="00F40A0A"/>
    <w:rsid w:val="00F40F0D"/>
    <w:rsid w:val="00F4122A"/>
    <w:rsid w:val="00F4153C"/>
    <w:rsid w:val="00F41935"/>
    <w:rsid w:val="00F4199C"/>
    <w:rsid w:val="00F41B8E"/>
    <w:rsid w:val="00F41C0E"/>
    <w:rsid w:val="00F41D04"/>
    <w:rsid w:val="00F41DA2"/>
    <w:rsid w:val="00F41FD6"/>
    <w:rsid w:val="00F4201B"/>
    <w:rsid w:val="00F42153"/>
    <w:rsid w:val="00F42423"/>
    <w:rsid w:val="00F4273E"/>
    <w:rsid w:val="00F4275E"/>
    <w:rsid w:val="00F429A8"/>
    <w:rsid w:val="00F42D81"/>
    <w:rsid w:val="00F42FF1"/>
    <w:rsid w:val="00F433C6"/>
    <w:rsid w:val="00F436DE"/>
    <w:rsid w:val="00F437FB"/>
    <w:rsid w:val="00F440B9"/>
    <w:rsid w:val="00F4452C"/>
    <w:rsid w:val="00F44535"/>
    <w:rsid w:val="00F44993"/>
    <w:rsid w:val="00F44AE4"/>
    <w:rsid w:val="00F44D61"/>
    <w:rsid w:val="00F44D77"/>
    <w:rsid w:val="00F450DF"/>
    <w:rsid w:val="00F451E7"/>
    <w:rsid w:val="00F452E4"/>
    <w:rsid w:val="00F45357"/>
    <w:rsid w:val="00F45668"/>
    <w:rsid w:val="00F45CEA"/>
    <w:rsid w:val="00F45D3A"/>
    <w:rsid w:val="00F45E31"/>
    <w:rsid w:val="00F45FDA"/>
    <w:rsid w:val="00F464F9"/>
    <w:rsid w:val="00F46792"/>
    <w:rsid w:val="00F46981"/>
    <w:rsid w:val="00F46E23"/>
    <w:rsid w:val="00F4763D"/>
    <w:rsid w:val="00F477B7"/>
    <w:rsid w:val="00F477CD"/>
    <w:rsid w:val="00F478D1"/>
    <w:rsid w:val="00F478D8"/>
    <w:rsid w:val="00F50052"/>
    <w:rsid w:val="00F50358"/>
    <w:rsid w:val="00F50373"/>
    <w:rsid w:val="00F50AEA"/>
    <w:rsid w:val="00F51176"/>
    <w:rsid w:val="00F5149A"/>
    <w:rsid w:val="00F51745"/>
    <w:rsid w:val="00F51860"/>
    <w:rsid w:val="00F51924"/>
    <w:rsid w:val="00F51A29"/>
    <w:rsid w:val="00F521C9"/>
    <w:rsid w:val="00F52774"/>
    <w:rsid w:val="00F52947"/>
    <w:rsid w:val="00F52A5B"/>
    <w:rsid w:val="00F52B69"/>
    <w:rsid w:val="00F53066"/>
    <w:rsid w:val="00F532E9"/>
    <w:rsid w:val="00F53471"/>
    <w:rsid w:val="00F536B7"/>
    <w:rsid w:val="00F5380E"/>
    <w:rsid w:val="00F5384B"/>
    <w:rsid w:val="00F53E09"/>
    <w:rsid w:val="00F53E94"/>
    <w:rsid w:val="00F54368"/>
    <w:rsid w:val="00F5436F"/>
    <w:rsid w:val="00F54D46"/>
    <w:rsid w:val="00F54E07"/>
    <w:rsid w:val="00F552C3"/>
    <w:rsid w:val="00F554D8"/>
    <w:rsid w:val="00F555E3"/>
    <w:rsid w:val="00F556A4"/>
    <w:rsid w:val="00F5592D"/>
    <w:rsid w:val="00F55A1B"/>
    <w:rsid w:val="00F55AFC"/>
    <w:rsid w:val="00F55F09"/>
    <w:rsid w:val="00F5635B"/>
    <w:rsid w:val="00F564A4"/>
    <w:rsid w:val="00F565C7"/>
    <w:rsid w:val="00F566FB"/>
    <w:rsid w:val="00F5689F"/>
    <w:rsid w:val="00F56B5D"/>
    <w:rsid w:val="00F56E0D"/>
    <w:rsid w:val="00F56EAF"/>
    <w:rsid w:val="00F578CA"/>
    <w:rsid w:val="00F57CA9"/>
    <w:rsid w:val="00F57E0F"/>
    <w:rsid w:val="00F60519"/>
    <w:rsid w:val="00F608BB"/>
    <w:rsid w:val="00F60A3E"/>
    <w:rsid w:val="00F60F2D"/>
    <w:rsid w:val="00F6111E"/>
    <w:rsid w:val="00F61388"/>
    <w:rsid w:val="00F613DB"/>
    <w:rsid w:val="00F618D5"/>
    <w:rsid w:val="00F619D2"/>
    <w:rsid w:val="00F61AE6"/>
    <w:rsid w:val="00F61E45"/>
    <w:rsid w:val="00F62007"/>
    <w:rsid w:val="00F6214D"/>
    <w:rsid w:val="00F62268"/>
    <w:rsid w:val="00F62572"/>
    <w:rsid w:val="00F626C5"/>
    <w:rsid w:val="00F62733"/>
    <w:rsid w:val="00F629BB"/>
    <w:rsid w:val="00F62A6B"/>
    <w:rsid w:val="00F62B79"/>
    <w:rsid w:val="00F62D62"/>
    <w:rsid w:val="00F62F2E"/>
    <w:rsid w:val="00F63CCF"/>
    <w:rsid w:val="00F640BC"/>
    <w:rsid w:val="00F640ED"/>
    <w:rsid w:val="00F646DD"/>
    <w:rsid w:val="00F64BA6"/>
    <w:rsid w:val="00F64CB1"/>
    <w:rsid w:val="00F64E6E"/>
    <w:rsid w:val="00F6572B"/>
    <w:rsid w:val="00F6598B"/>
    <w:rsid w:val="00F6618D"/>
    <w:rsid w:val="00F66196"/>
    <w:rsid w:val="00F6682D"/>
    <w:rsid w:val="00F66A31"/>
    <w:rsid w:val="00F66A7E"/>
    <w:rsid w:val="00F66B5B"/>
    <w:rsid w:val="00F6706D"/>
    <w:rsid w:val="00F67B53"/>
    <w:rsid w:val="00F67CAA"/>
    <w:rsid w:val="00F67DDE"/>
    <w:rsid w:val="00F67EEC"/>
    <w:rsid w:val="00F67F4A"/>
    <w:rsid w:val="00F7011F"/>
    <w:rsid w:val="00F7035D"/>
    <w:rsid w:val="00F709AF"/>
    <w:rsid w:val="00F7120E"/>
    <w:rsid w:val="00F7151E"/>
    <w:rsid w:val="00F71DB8"/>
    <w:rsid w:val="00F71F7B"/>
    <w:rsid w:val="00F723AC"/>
    <w:rsid w:val="00F72613"/>
    <w:rsid w:val="00F72E71"/>
    <w:rsid w:val="00F73025"/>
    <w:rsid w:val="00F733C3"/>
    <w:rsid w:val="00F73665"/>
    <w:rsid w:val="00F738AC"/>
    <w:rsid w:val="00F7395E"/>
    <w:rsid w:val="00F73A4A"/>
    <w:rsid w:val="00F74067"/>
    <w:rsid w:val="00F7427C"/>
    <w:rsid w:val="00F7444E"/>
    <w:rsid w:val="00F74596"/>
    <w:rsid w:val="00F747A6"/>
    <w:rsid w:val="00F748C6"/>
    <w:rsid w:val="00F74EEB"/>
    <w:rsid w:val="00F74F46"/>
    <w:rsid w:val="00F74FEC"/>
    <w:rsid w:val="00F75022"/>
    <w:rsid w:val="00F752A8"/>
    <w:rsid w:val="00F758FE"/>
    <w:rsid w:val="00F75B48"/>
    <w:rsid w:val="00F75FE9"/>
    <w:rsid w:val="00F7629A"/>
    <w:rsid w:val="00F764A6"/>
    <w:rsid w:val="00F76B29"/>
    <w:rsid w:val="00F76C5A"/>
    <w:rsid w:val="00F76F11"/>
    <w:rsid w:val="00F76FFD"/>
    <w:rsid w:val="00F77143"/>
    <w:rsid w:val="00F772CC"/>
    <w:rsid w:val="00F7783D"/>
    <w:rsid w:val="00F80313"/>
    <w:rsid w:val="00F8052A"/>
    <w:rsid w:val="00F805B6"/>
    <w:rsid w:val="00F80A11"/>
    <w:rsid w:val="00F80AC2"/>
    <w:rsid w:val="00F80F03"/>
    <w:rsid w:val="00F80F1F"/>
    <w:rsid w:val="00F812CA"/>
    <w:rsid w:val="00F8158F"/>
    <w:rsid w:val="00F81683"/>
    <w:rsid w:val="00F81BB3"/>
    <w:rsid w:val="00F81C62"/>
    <w:rsid w:val="00F81CF4"/>
    <w:rsid w:val="00F82235"/>
    <w:rsid w:val="00F82575"/>
    <w:rsid w:val="00F82729"/>
    <w:rsid w:val="00F82C7A"/>
    <w:rsid w:val="00F83145"/>
    <w:rsid w:val="00F83A4F"/>
    <w:rsid w:val="00F83B97"/>
    <w:rsid w:val="00F83C8B"/>
    <w:rsid w:val="00F83D7B"/>
    <w:rsid w:val="00F8400C"/>
    <w:rsid w:val="00F842AC"/>
    <w:rsid w:val="00F847DE"/>
    <w:rsid w:val="00F84820"/>
    <w:rsid w:val="00F84A2D"/>
    <w:rsid w:val="00F84BF5"/>
    <w:rsid w:val="00F84E07"/>
    <w:rsid w:val="00F85781"/>
    <w:rsid w:val="00F85917"/>
    <w:rsid w:val="00F85A88"/>
    <w:rsid w:val="00F85BFA"/>
    <w:rsid w:val="00F85D43"/>
    <w:rsid w:val="00F85D78"/>
    <w:rsid w:val="00F86097"/>
    <w:rsid w:val="00F861C6"/>
    <w:rsid w:val="00F8644F"/>
    <w:rsid w:val="00F864BE"/>
    <w:rsid w:val="00F8658F"/>
    <w:rsid w:val="00F86E25"/>
    <w:rsid w:val="00F86F00"/>
    <w:rsid w:val="00F86F3E"/>
    <w:rsid w:val="00F87000"/>
    <w:rsid w:val="00F87268"/>
    <w:rsid w:val="00F87366"/>
    <w:rsid w:val="00F87528"/>
    <w:rsid w:val="00F875DA"/>
    <w:rsid w:val="00F87FD2"/>
    <w:rsid w:val="00F9040E"/>
    <w:rsid w:val="00F9052E"/>
    <w:rsid w:val="00F909AF"/>
    <w:rsid w:val="00F90A0E"/>
    <w:rsid w:val="00F90ACF"/>
    <w:rsid w:val="00F90CAD"/>
    <w:rsid w:val="00F90D33"/>
    <w:rsid w:val="00F90DE6"/>
    <w:rsid w:val="00F90E52"/>
    <w:rsid w:val="00F90E9B"/>
    <w:rsid w:val="00F913E7"/>
    <w:rsid w:val="00F91464"/>
    <w:rsid w:val="00F91891"/>
    <w:rsid w:val="00F91A92"/>
    <w:rsid w:val="00F921E6"/>
    <w:rsid w:val="00F925EA"/>
    <w:rsid w:val="00F92BC4"/>
    <w:rsid w:val="00F92C93"/>
    <w:rsid w:val="00F9369D"/>
    <w:rsid w:val="00F93A71"/>
    <w:rsid w:val="00F93B90"/>
    <w:rsid w:val="00F93D59"/>
    <w:rsid w:val="00F93E29"/>
    <w:rsid w:val="00F93FE7"/>
    <w:rsid w:val="00F9439B"/>
    <w:rsid w:val="00F94547"/>
    <w:rsid w:val="00F9487C"/>
    <w:rsid w:val="00F948FC"/>
    <w:rsid w:val="00F950EB"/>
    <w:rsid w:val="00F95120"/>
    <w:rsid w:val="00F95149"/>
    <w:rsid w:val="00F958EC"/>
    <w:rsid w:val="00F961F0"/>
    <w:rsid w:val="00F96376"/>
    <w:rsid w:val="00F963B8"/>
    <w:rsid w:val="00F964F1"/>
    <w:rsid w:val="00F9686A"/>
    <w:rsid w:val="00F96887"/>
    <w:rsid w:val="00F96F1B"/>
    <w:rsid w:val="00F97258"/>
    <w:rsid w:val="00F974EA"/>
    <w:rsid w:val="00F97516"/>
    <w:rsid w:val="00F975CB"/>
    <w:rsid w:val="00F976B9"/>
    <w:rsid w:val="00F97CD1"/>
    <w:rsid w:val="00F97EC3"/>
    <w:rsid w:val="00FA114C"/>
    <w:rsid w:val="00FA18BC"/>
    <w:rsid w:val="00FA1C6D"/>
    <w:rsid w:val="00FA1DA3"/>
    <w:rsid w:val="00FA2200"/>
    <w:rsid w:val="00FA244F"/>
    <w:rsid w:val="00FA24D7"/>
    <w:rsid w:val="00FA2560"/>
    <w:rsid w:val="00FA268D"/>
    <w:rsid w:val="00FA2C22"/>
    <w:rsid w:val="00FA2E6E"/>
    <w:rsid w:val="00FA3348"/>
    <w:rsid w:val="00FA33B8"/>
    <w:rsid w:val="00FA394F"/>
    <w:rsid w:val="00FA3E95"/>
    <w:rsid w:val="00FA417B"/>
    <w:rsid w:val="00FA467C"/>
    <w:rsid w:val="00FA4A63"/>
    <w:rsid w:val="00FA4D55"/>
    <w:rsid w:val="00FA5737"/>
    <w:rsid w:val="00FA59F9"/>
    <w:rsid w:val="00FA6018"/>
    <w:rsid w:val="00FA6048"/>
    <w:rsid w:val="00FA6288"/>
    <w:rsid w:val="00FA6602"/>
    <w:rsid w:val="00FA6BAF"/>
    <w:rsid w:val="00FA6DBF"/>
    <w:rsid w:val="00FA71FC"/>
    <w:rsid w:val="00FA7351"/>
    <w:rsid w:val="00FA7873"/>
    <w:rsid w:val="00FA7E2F"/>
    <w:rsid w:val="00FB0156"/>
    <w:rsid w:val="00FB0330"/>
    <w:rsid w:val="00FB0339"/>
    <w:rsid w:val="00FB04AA"/>
    <w:rsid w:val="00FB07A6"/>
    <w:rsid w:val="00FB1CDC"/>
    <w:rsid w:val="00FB1CF7"/>
    <w:rsid w:val="00FB1DD1"/>
    <w:rsid w:val="00FB249E"/>
    <w:rsid w:val="00FB27C5"/>
    <w:rsid w:val="00FB2AD5"/>
    <w:rsid w:val="00FB2AF9"/>
    <w:rsid w:val="00FB2BA2"/>
    <w:rsid w:val="00FB2BCA"/>
    <w:rsid w:val="00FB2F68"/>
    <w:rsid w:val="00FB3084"/>
    <w:rsid w:val="00FB3310"/>
    <w:rsid w:val="00FB38FD"/>
    <w:rsid w:val="00FB3A96"/>
    <w:rsid w:val="00FB40C5"/>
    <w:rsid w:val="00FB4693"/>
    <w:rsid w:val="00FB4848"/>
    <w:rsid w:val="00FB4A13"/>
    <w:rsid w:val="00FB50B0"/>
    <w:rsid w:val="00FB51CF"/>
    <w:rsid w:val="00FB5B99"/>
    <w:rsid w:val="00FB636B"/>
    <w:rsid w:val="00FB6422"/>
    <w:rsid w:val="00FB6630"/>
    <w:rsid w:val="00FB6720"/>
    <w:rsid w:val="00FB6806"/>
    <w:rsid w:val="00FB6928"/>
    <w:rsid w:val="00FB69B7"/>
    <w:rsid w:val="00FB6BF2"/>
    <w:rsid w:val="00FB6E04"/>
    <w:rsid w:val="00FB6F0F"/>
    <w:rsid w:val="00FB6F4E"/>
    <w:rsid w:val="00FB7709"/>
    <w:rsid w:val="00FB77E6"/>
    <w:rsid w:val="00FB794F"/>
    <w:rsid w:val="00FB79A9"/>
    <w:rsid w:val="00FB7B99"/>
    <w:rsid w:val="00FB7D33"/>
    <w:rsid w:val="00FB7E33"/>
    <w:rsid w:val="00FB7E5C"/>
    <w:rsid w:val="00FC0148"/>
    <w:rsid w:val="00FC0916"/>
    <w:rsid w:val="00FC0A11"/>
    <w:rsid w:val="00FC0FE9"/>
    <w:rsid w:val="00FC119E"/>
    <w:rsid w:val="00FC1426"/>
    <w:rsid w:val="00FC14B2"/>
    <w:rsid w:val="00FC1A36"/>
    <w:rsid w:val="00FC22BA"/>
    <w:rsid w:val="00FC24C1"/>
    <w:rsid w:val="00FC27E7"/>
    <w:rsid w:val="00FC2F65"/>
    <w:rsid w:val="00FC30EE"/>
    <w:rsid w:val="00FC3531"/>
    <w:rsid w:val="00FC3890"/>
    <w:rsid w:val="00FC3991"/>
    <w:rsid w:val="00FC3B9F"/>
    <w:rsid w:val="00FC3CED"/>
    <w:rsid w:val="00FC3E8D"/>
    <w:rsid w:val="00FC3F13"/>
    <w:rsid w:val="00FC44FF"/>
    <w:rsid w:val="00FC48DE"/>
    <w:rsid w:val="00FC49EF"/>
    <w:rsid w:val="00FC4AFF"/>
    <w:rsid w:val="00FC4BED"/>
    <w:rsid w:val="00FC4D7E"/>
    <w:rsid w:val="00FC53AD"/>
    <w:rsid w:val="00FC53E8"/>
    <w:rsid w:val="00FC551D"/>
    <w:rsid w:val="00FC5555"/>
    <w:rsid w:val="00FC598A"/>
    <w:rsid w:val="00FC5C28"/>
    <w:rsid w:val="00FC5D62"/>
    <w:rsid w:val="00FC62F0"/>
    <w:rsid w:val="00FC6412"/>
    <w:rsid w:val="00FC6A4B"/>
    <w:rsid w:val="00FC6C04"/>
    <w:rsid w:val="00FC7007"/>
    <w:rsid w:val="00FC766B"/>
    <w:rsid w:val="00FC7850"/>
    <w:rsid w:val="00FC7AAF"/>
    <w:rsid w:val="00FD0BBD"/>
    <w:rsid w:val="00FD0EA1"/>
    <w:rsid w:val="00FD0F83"/>
    <w:rsid w:val="00FD0FE6"/>
    <w:rsid w:val="00FD10C5"/>
    <w:rsid w:val="00FD1123"/>
    <w:rsid w:val="00FD154E"/>
    <w:rsid w:val="00FD156B"/>
    <w:rsid w:val="00FD162C"/>
    <w:rsid w:val="00FD164B"/>
    <w:rsid w:val="00FD1D24"/>
    <w:rsid w:val="00FD20B2"/>
    <w:rsid w:val="00FD2697"/>
    <w:rsid w:val="00FD2708"/>
    <w:rsid w:val="00FD293A"/>
    <w:rsid w:val="00FD2953"/>
    <w:rsid w:val="00FD29F1"/>
    <w:rsid w:val="00FD2A58"/>
    <w:rsid w:val="00FD30FC"/>
    <w:rsid w:val="00FD342D"/>
    <w:rsid w:val="00FD377B"/>
    <w:rsid w:val="00FD37C9"/>
    <w:rsid w:val="00FD3BBF"/>
    <w:rsid w:val="00FD4343"/>
    <w:rsid w:val="00FD47C3"/>
    <w:rsid w:val="00FD4A50"/>
    <w:rsid w:val="00FD4BB8"/>
    <w:rsid w:val="00FD5185"/>
    <w:rsid w:val="00FD5455"/>
    <w:rsid w:val="00FD5699"/>
    <w:rsid w:val="00FD5795"/>
    <w:rsid w:val="00FD5CE0"/>
    <w:rsid w:val="00FD5DB6"/>
    <w:rsid w:val="00FD5E2E"/>
    <w:rsid w:val="00FD6119"/>
    <w:rsid w:val="00FD634C"/>
    <w:rsid w:val="00FD6402"/>
    <w:rsid w:val="00FD657F"/>
    <w:rsid w:val="00FD6723"/>
    <w:rsid w:val="00FD69E4"/>
    <w:rsid w:val="00FD6A3E"/>
    <w:rsid w:val="00FD6AAD"/>
    <w:rsid w:val="00FD6B8A"/>
    <w:rsid w:val="00FD703F"/>
    <w:rsid w:val="00FD70DD"/>
    <w:rsid w:val="00FD7154"/>
    <w:rsid w:val="00FD7394"/>
    <w:rsid w:val="00FD7C18"/>
    <w:rsid w:val="00FD7C1F"/>
    <w:rsid w:val="00FD7FE5"/>
    <w:rsid w:val="00FE0182"/>
    <w:rsid w:val="00FE054D"/>
    <w:rsid w:val="00FE08C5"/>
    <w:rsid w:val="00FE09B7"/>
    <w:rsid w:val="00FE0E0A"/>
    <w:rsid w:val="00FE10CD"/>
    <w:rsid w:val="00FE1303"/>
    <w:rsid w:val="00FE147A"/>
    <w:rsid w:val="00FE156D"/>
    <w:rsid w:val="00FE16AC"/>
    <w:rsid w:val="00FE1982"/>
    <w:rsid w:val="00FE1A2B"/>
    <w:rsid w:val="00FE1D85"/>
    <w:rsid w:val="00FE251A"/>
    <w:rsid w:val="00FE2700"/>
    <w:rsid w:val="00FE2920"/>
    <w:rsid w:val="00FE29D7"/>
    <w:rsid w:val="00FE2A3F"/>
    <w:rsid w:val="00FE2AC0"/>
    <w:rsid w:val="00FE2B78"/>
    <w:rsid w:val="00FE384F"/>
    <w:rsid w:val="00FE3B38"/>
    <w:rsid w:val="00FE42C3"/>
    <w:rsid w:val="00FE4326"/>
    <w:rsid w:val="00FE440F"/>
    <w:rsid w:val="00FE45ED"/>
    <w:rsid w:val="00FE49FB"/>
    <w:rsid w:val="00FE4E25"/>
    <w:rsid w:val="00FE4E64"/>
    <w:rsid w:val="00FE50F0"/>
    <w:rsid w:val="00FE53FA"/>
    <w:rsid w:val="00FE5443"/>
    <w:rsid w:val="00FE57B6"/>
    <w:rsid w:val="00FE5D4C"/>
    <w:rsid w:val="00FE5DE8"/>
    <w:rsid w:val="00FE5EA2"/>
    <w:rsid w:val="00FE67D4"/>
    <w:rsid w:val="00FE69B4"/>
    <w:rsid w:val="00FE707F"/>
    <w:rsid w:val="00FE70BD"/>
    <w:rsid w:val="00FE7474"/>
    <w:rsid w:val="00FE758E"/>
    <w:rsid w:val="00FE7705"/>
    <w:rsid w:val="00FE77C2"/>
    <w:rsid w:val="00FE7A68"/>
    <w:rsid w:val="00FE7BB5"/>
    <w:rsid w:val="00FE7D8B"/>
    <w:rsid w:val="00FE7DD1"/>
    <w:rsid w:val="00FE7F9F"/>
    <w:rsid w:val="00FF0299"/>
    <w:rsid w:val="00FF02B4"/>
    <w:rsid w:val="00FF0301"/>
    <w:rsid w:val="00FF07F7"/>
    <w:rsid w:val="00FF0A72"/>
    <w:rsid w:val="00FF0BCF"/>
    <w:rsid w:val="00FF0FA8"/>
    <w:rsid w:val="00FF101E"/>
    <w:rsid w:val="00FF1267"/>
    <w:rsid w:val="00FF1511"/>
    <w:rsid w:val="00FF15D1"/>
    <w:rsid w:val="00FF191A"/>
    <w:rsid w:val="00FF1925"/>
    <w:rsid w:val="00FF2370"/>
    <w:rsid w:val="00FF258F"/>
    <w:rsid w:val="00FF277A"/>
    <w:rsid w:val="00FF29F2"/>
    <w:rsid w:val="00FF2F7C"/>
    <w:rsid w:val="00FF337E"/>
    <w:rsid w:val="00FF39B1"/>
    <w:rsid w:val="00FF3D21"/>
    <w:rsid w:val="00FF3D7D"/>
    <w:rsid w:val="00FF3FD7"/>
    <w:rsid w:val="00FF43B4"/>
    <w:rsid w:val="00FF4451"/>
    <w:rsid w:val="00FF44FC"/>
    <w:rsid w:val="00FF4668"/>
    <w:rsid w:val="00FF47FB"/>
    <w:rsid w:val="00FF4AD6"/>
    <w:rsid w:val="00FF4EAE"/>
    <w:rsid w:val="00FF517C"/>
    <w:rsid w:val="00FF5771"/>
    <w:rsid w:val="00FF59A2"/>
    <w:rsid w:val="00FF5B32"/>
    <w:rsid w:val="00FF603E"/>
    <w:rsid w:val="00FF6225"/>
    <w:rsid w:val="00FF63B6"/>
    <w:rsid w:val="00FF63F7"/>
    <w:rsid w:val="00FF652D"/>
    <w:rsid w:val="00FF667E"/>
    <w:rsid w:val="00FF692F"/>
    <w:rsid w:val="00FF6D1A"/>
    <w:rsid w:val="00FF6D56"/>
    <w:rsid w:val="00FF6D7B"/>
    <w:rsid w:val="00FF6F2B"/>
    <w:rsid w:val="00FF7037"/>
    <w:rsid w:val="00FF73BE"/>
    <w:rsid w:val="00FF753D"/>
    <w:rsid w:val="00FF79D9"/>
    <w:rsid w:val="00FF7C45"/>
    <w:rsid w:val="00FF7EFE"/>
    <w:rsid w:val="010C273B"/>
    <w:rsid w:val="012F26ED"/>
    <w:rsid w:val="0149B2CE"/>
    <w:rsid w:val="016E0351"/>
    <w:rsid w:val="0175DBD7"/>
    <w:rsid w:val="01845D3F"/>
    <w:rsid w:val="01934928"/>
    <w:rsid w:val="01A11FF2"/>
    <w:rsid w:val="01A2ACDF"/>
    <w:rsid w:val="01A78394"/>
    <w:rsid w:val="01DB8EA9"/>
    <w:rsid w:val="01EDAF9E"/>
    <w:rsid w:val="022A85F6"/>
    <w:rsid w:val="0253F5DB"/>
    <w:rsid w:val="026B7A56"/>
    <w:rsid w:val="02701622"/>
    <w:rsid w:val="02866623"/>
    <w:rsid w:val="0286FA87"/>
    <w:rsid w:val="02B2FC89"/>
    <w:rsid w:val="02D956C4"/>
    <w:rsid w:val="02EE123C"/>
    <w:rsid w:val="030A939B"/>
    <w:rsid w:val="030D6C0A"/>
    <w:rsid w:val="033675AB"/>
    <w:rsid w:val="034B93D5"/>
    <w:rsid w:val="03570F06"/>
    <w:rsid w:val="035854B0"/>
    <w:rsid w:val="03AF5647"/>
    <w:rsid w:val="03DD9D53"/>
    <w:rsid w:val="03E51E85"/>
    <w:rsid w:val="040B3DD6"/>
    <w:rsid w:val="045BE461"/>
    <w:rsid w:val="04807578"/>
    <w:rsid w:val="04BAAC51"/>
    <w:rsid w:val="04C9DCA9"/>
    <w:rsid w:val="04CB63A3"/>
    <w:rsid w:val="0549F211"/>
    <w:rsid w:val="055481B9"/>
    <w:rsid w:val="0569C088"/>
    <w:rsid w:val="058157DC"/>
    <w:rsid w:val="05E046AE"/>
    <w:rsid w:val="05F5D9BC"/>
    <w:rsid w:val="05F931FD"/>
    <w:rsid w:val="0602C942"/>
    <w:rsid w:val="0606A093"/>
    <w:rsid w:val="06182B2D"/>
    <w:rsid w:val="06267564"/>
    <w:rsid w:val="06428C88"/>
    <w:rsid w:val="064AE7AC"/>
    <w:rsid w:val="0677BC83"/>
    <w:rsid w:val="06B8D7BF"/>
    <w:rsid w:val="06C803DA"/>
    <w:rsid w:val="06CFD4F3"/>
    <w:rsid w:val="06ECA176"/>
    <w:rsid w:val="06ECDDEC"/>
    <w:rsid w:val="07067C82"/>
    <w:rsid w:val="071EEB00"/>
    <w:rsid w:val="0748ADD7"/>
    <w:rsid w:val="07491DF8"/>
    <w:rsid w:val="0763986E"/>
    <w:rsid w:val="079D86BC"/>
    <w:rsid w:val="07CAC038"/>
    <w:rsid w:val="07E40B9A"/>
    <w:rsid w:val="07F1BA0D"/>
    <w:rsid w:val="07FE477E"/>
    <w:rsid w:val="085A2D5E"/>
    <w:rsid w:val="0871B911"/>
    <w:rsid w:val="0874B495"/>
    <w:rsid w:val="08766AC4"/>
    <w:rsid w:val="087C8DA9"/>
    <w:rsid w:val="08830120"/>
    <w:rsid w:val="08BB59A8"/>
    <w:rsid w:val="08C2875A"/>
    <w:rsid w:val="09930764"/>
    <w:rsid w:val="09A038C4"/>
    <w:rsid w:val="09A9AC33"/>
    <w:rsid w:val="09AEE055"/>
    <w:rsid w:val="09B4D4F6"/>
    <w:rsid w:val="0A148E75"/>
    <w:rsid w:val="0A2BA83C"/>
    <w:rsid w:val="0A329FF6"/>
    <w:rsid w:val="0A370A25"/>
    <w:rsid w:val="0A3A4DD6"/>
    <w:rsid w:val="0A46C9D7"/>
    <w:rsid w:val="0A68E2E5"/>
    <w:rsid w:val="0A6CB459"/>
    <w:rsid w:val="0A7722FA"/>
    <w:rsid w:val="0A8CDA1D"/>
    <w:rsid w:val="0AB28DB8"/>
    <w:rsid w:val="0AC70265"/>
    <w:rsid w:val="0AD766CF"/>
    <w:rsid w:val="0AD7AC83"/>
    <w:rsid w:val="0ADEC5F4"/>
    <w:rsid w:val="0B0804BB"/>
    <w:rsid w:val="0B723183"/>
    <w:rsid w:val="0B837B14"/>
    <w:rsid w:val="0BBDD638"/>
    <w:rsid w:val="0BD9D57A"/>
    <w:rsid w:val="0C1AA9DC"/>
    <w:rsid w:val="0C208799"/>
    <w:rsid w:val="0C28BC6F"/>
    <w:rsid w:val="0C341F76"/>
    <w:rsid w:val="0C34B78E"/>
    <w:rsid w:val="0C4E1187"/>
    <w:rsid w:val="0C608CDE"/>
    <w:rsid w:val="0C7990B9"/>
    <w:rsid w:val="0C7FBEED"/>
    <w:rsid w:val="0D1C6806"/>
    <w:rsid w:val="0D24C719"/>
    <w:rsid w:val="0D26FC64"/>
    <w:rsid w:val="0D415A32"/>
    <w:rsid w:val="0D4F1076"/>
    <w:rsid w:val="0D6ADC86"/>
    <w:rsid w:val="0D78CDE5"/>
    <w:rsid w:val="0DAA206B"/>
    <w:rsid w:val="0DACA4B1"/>
    <w:rsid w:val="0DDF7681"/>
    <w:rsid w:val="0E0B53C8"/>
    <w:rsid w:val="0E8B301E"/>
    <w:rsid w:val="0E8FDE3F"/>
    <w:rsid w:val="0EAD3B43"/>
    <w:rsid w:val="0ED896AC"/>
    <w:rsid w:val="0EE03A38"/>
    <w:rsid w:val="0EE1E2DC"/>
    <w:rsid w:val="0F14E008"/>
    <w:rsid w:val="0F35FED5"/>
    <w:rsid w:val="0F4F0FD8"/>
    <w:rsid w:val="0F58E84B"/>
    <w:rsid w:val="0F5D6E28"/>
    <w:rsid w:val="0F929E75"/>
    <w:rsid w:val="0FA6E3B3"/>
    <w:rsid w:val="0FBACE62"/>
    <w:rsid w:val="0FC0F0F6"/>
    <w:rsid w:val="0FCE4B4E"/>
    <w:rsid w:val="1023844F"/>
    <w:rsid w:val="1054406A"/>
    <w:rsid w:val="10703D74"/>
    <w:rsid w:val="107ACBCE"/>
    <w:rsid w:val="10875B91"/>
    <w:rsid w:val="10900576"/>
    <w:rsid w:val="10AFB4AE"/>
    <w:rsid w:val="10BD4FBB"/>
    <w:rsid w:val="10F0DD9A"/>
    <w:rsid w:val="1124C070"/>
    <w:rsid w:val="114D26DA"/>
    <w:rsid w:val="11591A60"/>
    <w:rsid w:val="117F281A"/>
    <w:rsid w:val="1187D62E"/>
    <w:rsid w:val="1195FAAD"/>
    <w:rsid w:val="11CFFD21"/>
    <w:rsid w:val="11EEFAC4"/>
    <w:rsid w:val="1219D2D5"/>
    <w:rsid w:val="12248811"/>
    <w:rsid w:val="12628542"/>
    <w:rsid w:val="1289D632"/>
    <w:rsid w:val="129E59B1"/>
    <w:rsid w:val="12B70CCE"/>
    <w:rsid w:val="12D2ECD1"/>
    <w:rsid w:val="12DA9702"/>
    <w:rsid w:val="1300D586"/>
    <w:rsid w:val="1324F858"/>
    <w:rsid w:val="1341E1FB"/>
    <w:rsid w:val="1367F3BB"/>
    <w:rsid w:val="1369F9E8"/>
    <w:rsid w:val="136BC2AF"/>
    <w:rsid w:val="13795A87"/>
    <w:rsid w:val="13846974"/>
    <w:rsid w:val="1394016A"/>
    <w:rsid w:val="141B59AD"/>
    <w:rsid w:val="14388F69"/>
    <w:rsid w:val="143CC0F3"/>
    <w:rsid w:val="1443DDFA"/>
    <w:rsid w:val="14531478"/>
    <w:rsid w:val="1470E750"/>
    <w:rsid w:val="14ACD217"/>
    <w:rsid w:val="14C2383F"/>
    <w:rsid w:val="14D8169E"/>
    <w:rsid w:val="15129D24"/>
    <w:rsid w:val="151ADDB6"/>
    <w:rsid w:val="151E800C"/>
    <w:rsid w:val="15513B32"/>
    <w:rsid w:val="156B5892"/>
    <w:rsid w:val="15866B39"/>
    <w:rsid w:val="15B3A300"/>
    <w:rsid w:val="15F44DF5"/>
    <w:rsid w:val="15FD88F8"/>
    <w:rsid w:val="160BE605"/>
    <w:rsid w:val="16146266"/>
    <w:rsid w:val="16457531"/>
    <w:rsid w:val="16469B6D"/>
    <w:rsid w:val="1660C1E0"/>
    <w:rsid w:val="166688CE"/>
    <w:rsid w:val="1677F60F"/>
    <w:rsid w:val="167F5099"/>
    <w:rsid w:val="167FD21D"/>
    <w:rsid w:val="16EE5947"/>
    <w:rsid w:val="174BB934"/>
    <w:rsid w:val="17644B06"/>
    <w:rsid w:val="1774E2FC"/>
    <w:rsid w:val="177D782E"/>
    <w:rsid w:val="1781AFD9"/>
    <w:rsid w:val="17826DDC"/>
    <w:rsid w:val="17AEE4DF"/>
    <w:rsid w:val="17C46172"/>
    <w:rsid w:val="17EE9356"/>
    <w:rsid w:val="17F85821"/>
    <w:rsid w:val="17FE4EDC"/>
    <w:rsid w:val="1803EA02"/>
    <w:rsid w:val="18190232"/>
    <w:rsid w:val="1834453F"/>
    <w:rsid w:val="1879B561"/>
    <w:rsid w:val="18E5AD59"/>
    <w:rsid w:val="18EE7AE2"/>
    <w:rsid w:val="18F859CA"/>
    <w:rsid w:val="1909455E"/>
    <w:rsid w:val="192F3B81"/>
    <w:rsid w:val="1933D083"/>
    <w:rsid w:val="19504ADC"/>
    <w:rsid w:val="1970C61B"/>
    <w:rsid w:val="19766582"/>
    <w:rsid w:val="19776021"/>
    <w:rsid w:val="197E561F"/>
    <w:rsid w:val="198EDBE9"/>
    <w:rsid w:val="19AA70A8"/>
    <w:rsid w:val="1A1E629F"/>
    <w:rsid w:val="1A25A3DD"/>
    <w:rsid w:val="1A625AE7"/>
    <w:rsid w:val="1A787D73"/>
    <w:rsid w:val="1A93F0AB"/>
    <w:rsid w:val="1AC4E9FA"/>
    <w:rsid w:val="1AD8FCBE"/>
    <w:rsid w:val="1B0240EF"/>
    <w:rsid w:val="1B05E3B6"/>
    <w:rsid w:val="1B33DB20"/>
    <w:rsid w:val="1B506EF7"/>
    <w:rsid w:val="1B6D3F1C"/>
    <w:rsid w:val="1B70399B"/>
    <w:rsid w:val="1B8304E8"/>
    <w:rsid w:val="1B9565EE"/>
    <w:rsid w:val="1BA00096"/>
    <w:rsid w:val="1BB037DA"/>
    <w:rsid w:val="1BE6EFBE"/>
    <w:rsid w:val="1BE77D05"/>
    <w:rsid w:val="1BF875EF"/>
    <w:rsid w:val="1C0B41B4"/>
    <w:rsid w:val="1C53D3BF"/>
    <w:rsid w:val="1C8DDF7D"/>
    <w:rsid w:val="1C8FB00B"/>
    <w:rsid w:val="1C917378"/>
    <w:rsid w:val="1CAFC2C0"/>
    <w:rsid w:val="1CC7C159"/>
    <w:rsid w:val="1D17EC1F"/>
    <w:rsid w:val="1D3C57A9"/>
    <w:rsid w:val="1D5E1643"/>
    <w:rsid w:val="1D755F9C"/>
    <w:rsid w:val="1D8D88C8"/>
    <w:rsid w:val="1D94B398"/>
    <w:rsid w:val="1D96BF78"/>
    <w:rsid w:val="1D9E4C0D"/>
    <w:rsid w:val="1DADA0AC"/>
    <w:rsid w:val="1DB4698C"/>
    <w:rsid w:val="1DC558DC"/>
    <w:rsid w:val="1DD3C62D"/>
    <w:rsid w:val="1E162522"/>
    <w:rsid w:val="1E5EA9DE"/>
    <w:rsid w:val="1E7CB74E"/>
    <w:rsid w:val="1EA752E4"/>
    <w:rsid w:val="1EAC6A93"/>
    <w:rsid w:val="1EE15DE8"/>
    <w:rsid w:val="1EE68415"/>
    <w:rsid w:val="1F1E7DA6"/>
    <w:rsid w:val="1F383D55"/>
    <w:rsid w:val="1F53FA81"/>
    <w:rsid w:val="1F5C98AF"/>
    <w:rsid w:val="1F953B4A"/>
    <w:rsid w:val="1FB93707"/>
    <w:rsid w:val="1FE24D79"/>
    <w:rsid w:val="200CB7B5"/>
    <w:rsid w:val="201194AB"/>
    <w:rsid w:val="2029D14D"/>
    <w:rsid w:val="2044EB75"/>
    <w:rsid w:val="20514C88"/>
    <w:rsid w:val="207FF01A"/>
    <w:rsid w:val="2085F231"/>
    <w:rsid w:val="20DC9A18"/>
    <w:rsid w:val="20E769F1"/>
    <w:rsid w:val="20F11130"/>
    <w:rsid w:val="21170C0E"/>
    <w:rsid w:val="2123DB03"/>
    <w:rsid w:val="21295EBA"/>
    <w:rsid w:val="213B3D11"/>
    <w:rsid w:val="21510A27"/>
    <w:rsid w:val="21944126"/>
    <w:rsid w:val="21C87037"/>
    <w:rsid w:val="2210BEC9"/>
    <w:rsid w:val="22267253"/>
    <w:rsid w:val="22422B83"/>
    <w:rsid w:val="22927E2D"/>
    <w:rsid w:val="22B11DC6"/>
    <w:rsid w:val="22BE1AB1"/>
    <w:rsid w:val="22C192D5"/>
    <w:rsid w:val="22F7C8EB"/>
    <w:rsid w:val="2302AD28"/>
    <w:rsid w:val="2302C409"/>
    <w:rsid w:val="23442B0B"/>
    <w:rsid w:val="2348BC28"/>
    <w:rsid w:val="237A51C0"/>
    <w:rsid w:val="2387936A"/>
    <w:rsid w:val="23981FA4"/>
    <w:rsid w:val="23A02793"/>
    <w:rsid w:val="23A713C9"/>
    <w:rsid w:val="23BFB695"/>
    <w:rsid w:val="23C94219"/>
    <w:rsid w:val="244232D7"/>
    <w:rsid w:val="244E75DD"/>
    <w:rsid w:val="24543149"/>
    <w:rsid w:val="245B786A"/>
    <w:rsid w:val="2461EF57"/>
    <w:rsid w:val="24BE4CD1"/>
    <w:rsid w:val="24C9B900"/>
    <w:rsid w:val="24DBC2DF"/>
    <w:rsid w:val="24E70959"/>
    <w:rsid w:val="25148A3B"/>
    <w:rsid w:val="2520D2CF"/>
    <w:rsid w:val="253CF773"/>
    <w:rsid w:val="254DC455"/>
    <w:rsid w:val="2589326A"/>
    <w:rsid w:val="2595BB19"/>
    <w:rsid w:val="25DE9AC7"/>
    <w:rsid w:val="25F733D1"/>
    <w:rsid w:val="261762D0"/>
    <w:rsid w:val="26734CDE"/>
    <w:rsid w:val="267CC562"/>
    <w:rsid w:val="268389FA"/>
    <w:rsid w:val="2699BC45"/>
    <w:rsid w:val="26B03D4E"/>
    <w:rsid w:val="26D3B87E"/>
    <w:rsid w:val="27144F64"/>
    <w:rsid w:val="272D1972"/>
    <w:rsid w:val="27520481"/>
    <w:rsid w:val="276C8EB1"/>
    <w:rsid w:val="27967424"/>
    <w:rsid w:val="27D5B14C"/>
    <w:rsid w:val="27F0C450"/>
    <w:rsid w:val="27FBA548"/>
    <w:rsid w:val="27FD19AE"/>
    <w:rsid w:val="2841FE0C"/>
    <w:rsid w:val="2853A761"/>
    <w:rsid w:val="289F9C77"/>
    <w:rsid w:val="28CB6299"/>
    <w:rsid w:val="28D69697"/>
    <w:rsid w:val="28F784A7"/>
    <w:rsid w:val="29292CF0"/>
    <w:rsid w:val="292E0370"/>
    <w:rsid w:val="293D58F3"/>
    <w:rsid w:val="297F2C82"/>
    <w:rsid w:val="29B480B6"/>
    <w:rsid w:val="29BC5E58"/>
    <w:rsid w:val="29CCA7BB"/>
    <w:rsid w:val="29E55F0F"/>
    <w:rsid w:val="29F1A30A"/>
    <w:rsid w:val="2A164D6C"/>
    <w:rsid w:val="2A328344"/>
    <w:rsid w:val="2A3568EF"/>
    <w:rsid w:val="2A5516E7"/>
    <w:rsid w:val="2A76EDD2"/>
    <w:rsid w:val="2A90D41A"/>
    <w:rsid w:val="2AC4DF77"/>
    <w:rsid w:val="2ACE9E27"/>
    <w:rsid w:val="2B01C174"/>
    <w:rsid w:val="2B13DDDD"/>
    <w:rsid w:val="2B1A02C6"/>
    <w:rsid w:val="2B3F6AEF"/>
    <w:rsid w:val="2B790F1F"/>
    <w:rsid w:val="2B931BB8"/>
    <w:rsid w:val="2BAD0E97"/>
    <w:rsid w:val="2BCBACF8"/>
    <w:rsid w:val="2BF3A698"/>
    <w:rsid w:val="2C024AF0"/>
    <w:rsid w:val="2C2A0637"/>
    <w:rsid w:val="2C4AB223"/>
    <w:rsid w:val="2C54FF09"/>
    <w:rsid w:val="2C57946C"/>
    <w:rsid w:val="2C66B35D"/>
    <w:rsid w:val="2C67527D"/>
    <w:rsid w:val="2C95E9D7"/>
    <w:rsid w:val="2CA528BF"/>
    <w:rsid w:val="2CB1BEC1"/>
    <w:rsid w:val="2D1F833A"/>
    <w:rsid w:val="2D3882B4"/>
    <w:rsid w:val="2D539FE1"/>
    <w:rsid w:val="2D607CF0"/>
    <w:rsid w:val="2D699779"/>
    <w:rsid w:val="2D7381C6"/>
    <w:rsid w:val="2E119178"/>
    <w:rsid w:val="2E36A094"/>
    <w:rsid w:val="2E381C2C"/>
    <w:rsid w:val="2E45120E"/>
    <w:rsid w:val="2E5081B8"/>
    <w:rsid w:val="2E5518EB"/>
    <w:rsid w:val="2E6E8A2A"/>
    <w:rsid w:val="2E74F882"/>
    <w:rsid w:val="2E8B87FB"/>
    <w:rsid w:val="2E95EA09"/>
    <w:rsid w:val="2E9C882A"/>
    <w:rsid w:val="2EDDAB45"/>
    <w:rsid w:val="2F4C6E05"/>
    <w:rsid w:val="2F6695E0"/>
    <w:rsid w:val="2F9B2574"/>
    <w:rsid w:val="2FEF9B20"/>
    <w:rsid w:val="301EE702"/>
    <w:rsid w:val="30248989"/>
    <w:rsid w:val="30340ADF"/>
    <w:rsid w:val="3040687C"/>
    <w:rsid w:val="305B5E0E"/>
    <w:rsid w:val="308A0C0A"/>
    <w:rsid w:val="309E0035"/>
    <w:rsid w:val="30AFAD6B"/>
    <w:rsid w:val="30B9F653"/>
    <w:rsid w:val="30E9C58A"/>
    <w:rsid w:val="30F27C9F"/>
    <w:rsid w:val="31296620"/>
    <w:rsid w:val="31603DF8"/>
    <w:rsid w:val="3165D75D"/>
    <w:rsid w:val="31750AA0"/>
    <w:rsid w:val="31778077"/>
    <w:rsid w:val="3214E9AF"/>
    <w:rsid w:val="32203430"/>
    <w:rsid w:val="323BC02D"/>
    <w:rsid w:val="325476A1"/>
    <w:rsid w:val="3273FC25"/>
    <w:rsid w:val="327C7E5F"/>
    <w:rsid w:val="32B4F3AB"/>
    <w:rsid w:val="32E34CF7"/>
    <w:rsid w:val="32EF7E4B"/>
    <w:rsid w:val="33802E26"/>
    <w:rsid w:val="33D840F5"/>
    <w:rsid w:val="340ED828"/>
    <w:rsid w:val="343C8D30"/>
    <w:rsid w:val="343DC308"/>
    <w:rsid w:val="3454C33C"/>
    <w:rsid w:val="3460397E"/>
    <w:rsid w:val="346CBDE9"/>
    <w:rsid w:val="34B7A0F2"/>
    <w:rsid w:val="34B8BBF9"/>
    <w:rsid w:val="34BFE6A1"/>
    <w:rsid w:val="34C21A2F"/>
    <w:rsid w:val="34EC0374"/>
    <w:rsid w:val="34F9E256"/>
    <w:rsid w:val="3509A24E"/>
    <w:rsid w:val="35418528"/>
    <w:rsid w:val="3552F592"/>
    <w:rsid w:val="35977D26"/>
    <w:rsid w:val="35A8BCC1"/>
    <w:rsid w:val="35B11CB4"/>
    <w:rsid w:val="35B41B32"/>
    <w:rsid w:val="35D4E82B"/>
    <w:rsid w:val="35DCAA55"/>
    <w:rsid w:val="35FBD998"/>
    <w:rsid w:val="360DE54A"/>
    <w:rsid w:val="3611F94C"/>
    <w:rsid w:val="36A2BC61"/>
    <w:rsid w:val="37182319"/>
    <w:rsid w:val="3747C116"/>
    <w:rsid w:val="376081D6"/>
    <w:rsid w:val="377E1600"/>
    <w:rsid w:val="378487F1"/>
    <w:rsid w:val="3785D707"/>
    <w:rsid w:val="37885095"/>
    <w:rsid w:val="3799D142"/>
    <w:rsid w:val="37C57D53"/>
    <w:rsid w:val="37D334F7"/>
    <w:rsid w:val="37F5FCC8"/>
    <w:rsid w:val="38112CE3"/>
    <w:rsid w:val="3845D2F8"/>
    <w:rsid w:val="3849B530"/>
    <w:rsid w:val="385DC708"/>
    <w:rsid w:val="3860B977"/>
    <w:rsid w:val="387ECBA3"/>
    <w:rsid w:val="38BD0762"/>
    <w:rsid w:val="39042FBC"/>
    <w:rsid w:val="39165A71"/>
    <w:rsid w:val="391FC028"/>
    <w:rsid w:val="3923832C"/>
    <w:rsid w:val="39305E6B"/>
    <w:rsid w:val="393E6AAB"/>
    <w:rsid w:val="396BC63A"/>
    <w:rsid w:val="3971BDDB"/>
    <w:rsid w:val="3979E244"/>
    <w:rsid w:val="39957CD0"/>
    <w:rsid w:val="399DF23A"/>
    <w:rsid w:val="39AA5F17"/>
    <w:rsid w:val="39E38457"/>
    <w:rsid w:val="3A03AD91"/>
    <w:rsid w:val="3A25524A"/>
    <w:rsid w:val="3A30366C"/>
    <w:rsid w:val="3A7C0E78"/>
    <w:rsid w:val="3A7E37A9"/>
    <w:rsid w:val="3A846A51"/>
    <w:rsid w:val="3ABB1561"/>
    <w:rsid w:val="3AD3CD37"/>
    <w:rsid w:val="3AE47AEF"/>
    <w:rsid w:val="3AE9C700"/>
    <w:rsid w:val="3AECDB1A"/>
    <w:rsid w:val="3B1DD2F6"/>
    <w:rsid w:val="3B7055A2"/>
    <w:rsid w:val="3B78F3B1"/>
    <w:rsid w:val="3BAEF4A9"/>
    <w:rsid w:val="3BD7186B"/>
    <w:rsid w:val="3BDA344B"/>
    <w:rsid w:val="3C00C183"/>
    <w:rsid w:val="3C2286EA"/>
    <w:rsid w:val="3C4176B3"/>
    <w:rsid w:val="3C5A34F5"/>
    <w:rsid w:val="3C8A91B7"/>
    <w:rsid w:val="3CAA2C23"/>
    <w:rsid w:val="3CC4E3E3"/>
    <w:rsid w:val="3D2C9AFC"/>
    <w:rsid w:val="3D5F5CB1"/>
    <w:rsid w:val="3D6A33F3"/>
    <w:rsid w:val="3DA2CD16"/>
    <w:rsid w:val="3DA76FCE"/>
    <w:rsid w:val="3DD335C6"/>
    <w:rsid w:val="3DEDC075"/>
    <w:rsid w:val="3DF685A4"/>
    <w:rsid w:val="3E1185AF"/>
    <w:rsid w:val="3E16FFD6"/>
    <w:rsid w:val="3E32721D"/>
    <w:rsid w:val="3E39DA45"/>
    <w:rsid w:val="3E4AB548"/>
    <w:rsid w:val="3E554221"/>
    <w:rsid w:val="3E5AA1BF"/>
    <w:rsid w:val="3E8D19F4"/>
    <w:rsid w:val="3E91176B"/>
    <w:rsid w:val="3E934762"/>
    <w:rsid w:val="3EEC79DB"/>
    <w:rsid w:val="3F0974A5"/>
    <w:rsid w:val="3F0C6860"/>
    <w:rsid w:val="3F1F04DF"/>
    <w:rsid w:val="3F5B8EC0"/>
    <w:rsid w:val="3FB854A1"/>
    <w:rsid w:val="3FCF3786"/>
    <w:rsid w:val="3FD3CA0E"/>
    <w:rsid w:val="3FD6572B"/>
    <w:rsid w:val="3FF900CD"/>
    <w:rsid w:val="3FFC0E15"/>
    <w:rsid w:val="400897E7"/>
    <w:rsid w:val="402A5791"/>
    <w:rsid w:val="402D5DDF"/>
    <w:rsid w:val="40455948"/>
    <w:rsid w:val="40466CBF"/>
    <w:rsid w:val="40681ACC"/>
    <w:rsid w:val="4071E190"/>
    <w:rsid w:val="409D36C9"/>
    <w:rsid w:val="40A2251A"/>
    <w:rsid w:val="40D2C2C2"/>
    <w:rsid w:val="40DF8017"/>
    <w:rsid w:val="4149628C"/>
    <w:rsid w:val="4170AB37"/>
    <w:rsid w:val="419379E1"/>
    <w:rsid w:val="41ACC46F"/>
    <w:rsid w:val="41B25B72"/>
    <w:rsid w:val="41DC204C"/>
    <w:rsid w:val="41E6A8C6"/>
    <w:rsid w:val="41FFF559"/>
    <w:rsid w:val="420FB8B6"/>
    <w:rsid w:val="4248E87D"/>
    <w:rsid w:val="4263EFFA"/>
    <w:rsid w:val="4268995C"/>
    <w:rsid w:val="4275791A"/>
    <w:rsid w:val="42874568"/>
    <w:rsid w:val="4297D8B4"/>
    <w:rsid w:val="42A59102"/>
    <w:rsid w:val="42E6284D"/>
    <w:rsid w:val="42FF45C4"/>
    <w:rsid w:val="43104B18"/>
    <w:rsid w:val="4332F0FB"/>
    <w:rsid w:val="434062C5"/>
    <w:rsid w:val="435D68EE"/>
    <w:rsid w:val="437B1664"/>
    <w:rsid w:val="43888A83"/>
    <w:rsid w:val="43906994"/>
    <w:rsid w:val="439F35E1"/>
    <w:rsid w:val="43B7E79B"/>
    <w:rsid w:val="43D4A582"/>
    <w:rsid w:val="43FD7E2F"/>
    <w:rsid w:val="440A97A3"/>
    <w:rsid w:val="441895A7"/>
    <w:rsid w:val="441DC7A6"/>
    <w:rsid w:val="442E2262"/>
    <w:rsid w:val="44433DD7"/>
    <w:rsid w:val="4443C504"/>
    <w:rsid w:val="44704D5C"/>
    <w:rsid w:val="4470D691"/>
    <w:rsid w:val="44810677"/>
    <w:rsid w:val="44A7559D"/>
    <w:rsid w:val="44AA6A74"/>
    <w:rsid w:val="44BACBA7"/>
    <w:rsid w:val="44CD0385"/>
    <w:rsid w:val="45008D3B"/>
    <w:rsid w:val="45316C8F"/>
    <w:rsid w:val="45555118"/>
    <w:rsid w:val="457A9AAB"/>
    <w:rsid w:val="4595E849"/>
    <w:rsid w:val="45AD1865"/>
    <w:rsid w:val="45E0968D"/>
    <w:rsid w:val="45E4AA23"/>
    <w:rsid w:val="45E967CA"/>
    <w:rsid w:val="45F1C016"/>
    <w:rsid w:val="46028FEF"/>
    <w:rsid w:val="460B6456"/>
    <w:rsid w:val="461D9F76"/>
    <w:rsid w:val="4629F2AC"/>
    <w:rsid w:val="467938A7"/>
    <w:rsid w:val="46820017"/>
    <w:rsid w:val="469D76DE"/>
    <w:rsid w:val="46A3C420"/>
    <w:rsid w:val="46AA55AD"/>
    <w:rsid w:val="46AF6E0D"/>
    <w:rsid w:val="46BDEC4D"/>
    <w:rsid w:val="46E9285C"/>
    <w:rsid w:val="4714AD93"/>
    <w:rsid w:val="47176C87"/>
    <w:rsid w:val="472D7624"/>
    <w:rsid w:val="47388A80"/>
    <w:rsid w:val="476130F7"/>
    <w:rsid w:val="4765EC33"/>
    <w:rsid w:val="47A0205A"/>
    <w:rsid w:val="47BD0742"/>
    <w:rsid w:val="47BDB108"/>
    <w:rsid w:val="47E39C09"/>
    <w:rsid w:val="4804EEDB"/>
    <w:rsid w:val="483EC6F6"/>
    <w:rsid w:val="484A0345"/>
    <w:rsid w:val="4870DA09"/>
    <w:rsid w:val="48A775C7"/>
    <w:rsid w:val="48B483A7"/>
    <w:rsid w:val="48B67DA9"/>
    <w:rsid w:val="48F539C6"/>
    <w:rsid w:val="49047693"/>
    <w:rsid w:val="491B503D"/>
    <w:rsid w:val="4933063F"/>
    <w:rsid w:val="49552132"/>
    <w:rsid w:val="4975E031"/>
    <w:rsid w:val="4976B777"/>
    <w:rsid w:val="498FABF0"/>
    <w:rsid w:val="49A94B50"/>
    <w:rsid w:val="4A0BC872"/>
    <w:rsid w:val="4AB597AE"/>
    <w:rsid w:val="4AB936C2"/>
    <w:rsid w:val="4AD47031"/>
    <w:rsid w:val="4AE9E3DC"/>
    <w:rsid w:val="4AEB3309"/>
    <w:rsid w:val="4B038B85"/>
    <w:rsid w:val="4B0CACED"/>
    <w:rsid w:val="4B253963"/>
    <w:rsid w:val="4B3CD1A4"/>
    <w:rsid w:val="4B60EC04"/>
    <w:rsid w:val="4B668039"/>
    <w:rsid w:val="4B7628D1"/>
    <w:rsid w:val="4BF9D676"/>
    <w:rsid w:val="4C12AF4E"/>
    <w:rsid w:val="4C2B10D7"/>
    <w:rsid w:val="4C3B7B7D"/>
    <w:rsid w:val="4C3E9FAE"/>
    <w:rsid w:val="4C421E61"/>
    <w:rsid w:val="4C4F1581"/>
    <w:rsid w:val="4C50D792"/>
    <w:rsid w:val="4C57BF06"/>
    <w:rsid w:val="4C8DC645"/>
    <w:rsid w:val="4C989B86"/>
    <w:rsid w:val="4CC31149"/>
    <w:rsid w:val="4D13376F"/>
    <w:rsid w:val="4D1B88BD"/>
    <w:rsid w:val="4D3B0DB8"/>
    <w:rsid w:val="4D4D4BA5"/>
    <w:rsid w:val="4D4ED8CE"/>
    <w:rsid w:val="4DD3B4CC"/>
    <w:rsid w:val="4DE3CA0E"/>
    <w:rsid w:val="4DFAEF2E"/>
    <w:rsid w:val="4DFC8E85"/>
    <w:rsid w:val="4E03B701"/>
    <w:rsid w:val="4E0D2C03"/>
    <w:rsid w:val="4E282147"/>
    <w:rsid w:val="4E2E587F"/>
    <w:rsid w:val="4E3095B7"/>
    <w:rsid w:val="4E470A3F"/>
    <w:rsid w:val="4E4D11A8"/>
    <w:rsid w:val="4E5A9F30"/>
    <w:rsid w:val="4E6B1AC0"/>
    <w:rsid w:val="4E7610E7"/>
    <w:rsid w:val="4E7E9010"/>
    <w:rsid w:val="4E925379"/>
    <w:rsid w:val="4EE0C03B"/>
    <w:rsid w:val="4EE95792"/>
    <w:rsid w:val="4F01F4E1"/>
    <w:rsid w:val="4F3BBE44"/>
    <w:rsid w:val="4F71E162"/>
    <w:rsid w:val="4FD349E9"/>
    <w:rsid w:val="4FDE94E2"/>
    <w:rsid w:val="50010740"/>
    <w:rsid w:val="503A1D01"/>
    <w:rsid w:val="50B90FC6"/>
    <w:rsid w:val="50C745A5"/>
    <w:rsid w:val="50D305E8"/>
    <w:rsid w:val="50D8EFD1"/>
    <w:rsid w:val="50E4AC6C"/>
    <w:rsid w:val="50EEC506"/>
    <w:rsid w:val="50F2A8B9"/>
    <w:rsid w:val="51067EAF"/>
    <w:rsid w:val="51554734"/>
    <w:rsid w:val="51645B23"/>
    <w:rsid w:val="51A3A34A"/>
    <w:rsid w:val="51C41F8E"/>
    <w:rsid w:val="51C7CFEF"/>
    <w:rsid w:val="51D7CDD9"/>
    <w:rsid w:val="51E93EEA"/>
    <w:rsid w:val="51FBF9AB"/>
    <w:rsid w:val="51FFB2EE"/>
    <w:rsid w:val="5201A412"/>
    <w:rsid w:val="524EE15F"/>
    <w:rsid w:val="526EE4D1"/>
    <w:rsid w:val="5270E6D6"/>
    <w:rsid w:val="5276CDC0"/>
    <w:rsid w:val="52786DA0"/>
    <w:rsid w:val="5296CB16"/>
    <w:rsid w:val="529E30DB"/>
    <w:rsid w:val="52AC3722"/>
    <w:rsid w:val="52E0DBF0"/>
    <w:rsid w:val="52E26A7B"/>
    <w:rsid w:val="52ECB20F"/>
    <w:rsid w:val="530A8751"/>
    <w:rsid w:val="53302455"/>
    <w:rsid w:val="5374DA96"/>
    <w:rsid w:val="53A8A6EF"/>
    <w:rsid w:val="53FD21F4"/>
    <w:rsid w:val="54247F47"/>
    <w:rsid w:val="543C5E7D"/>
    <w:rsid w:val="5467146E"/>
    <w:rsid w:val="5467801A"/>
    <w:rsid w:val="5471E3A7"/>
    <w:rsid w:val="547D0CA7"/>
    <w:rsid w:val="549E4DB7"/>
    <w:rsid w:val="54A2371D"/>
    <w:rsid w:val="54A7424C"/>
    <w:rsid w:val="54B1C7AF"/>
    <w:rsid w:val="54F86F41"/>
    <w:rsid w:val="55152481"/>
    <w:rsid w:val="5528BA30"/>
    <w:rsid w:val="558C6C4D"/>
    <w:rsid w:val="55F1C376"/>
    <w:rsid w:val="56134CF7"/>
    <w:rsid w:val="56268FED"/>
    <w:rsid w:val="563DEE7C"/>
    <w:rsid w:val="5649F439"/>
    <w:rsid w:val="566C030F"/>
    <w:rsid w:val="566D2900"/>
    <w:rsid w:val="56A07D28"/>
    <w:rsid w:val="56F3F485"/>
    <w:rsid w:val="56FF7617"/>
    <w:rsid w:val="57373C73"/>
    <w:rsid w:val="573DDFC9"/>
    <w:rsid w:val="576E1708"/>
    <w:rsid w:val="5795F951"/>
    <w:rsid w:val="579E03FA"/>
    <w:rsid w:val="57AE6391"/>
    <w:rsid w:val="57BF1248"/>
    <w:rsid w:val="57CE928B"/>
    <w:rsid w:val="57E64DE6"/>
    <w:rsid w:val="57F1D9F1"/>
    <w:rsid w:val="580C4EEA"/>
    <w:rsid w:val="581DE75D"/>
    <w:rsid w:val="5821F68F"/>
    <w:rsid w:val="58259CA9"/>
    <w:rsid w:val="5833747F"/>
    <w:rsid w:val="58679089"/>
    <w:rsid w:val="58AF2A76"/>
    <w:rsid w:val="58BE47C8"/>
    <w:rsid w:val="58C9401D"/>
    <w:rsid w:val="58D3049A"/>
    <w:rsid w:val="5930D434"/>
    <w:rsid w:val="59329209"/>
    <w:rsid w:val="5940DB2A"/>
    <w:rsid w:val="5967EB33"/>
    <w:rsid w:val="59908E06"/>
    <w:rsid w:val="5992152F"/>
    <w:rsid w:val="59971B56"/>
    <w:rsid w:val="59AFAA74"/>
    <w:rsid w:val="59C5C51B"/>
    <w:rsid w:val="59DFA3E9"/>
    <w:rsid w:val="59ECC25E"/>
    <w:rsid w:val="59F6441F"/>
    <w:rsid w:val="5A01D01A"/>
    <w:rsid w:val="5A5AECA1"/>
    <w:rsid w:val="5A652C55"/>
    <w:rsid w:val="5A89345A"/>
    <w:rsid w:val="5A95B6FA"/>
    <w:rsid w:val="5A9DEE22"/>
    <w:rsid w:val="5AB72531"/>
    <w:rsid w:val="5B2BD760"/>
    <w:rsid w:val="5B2D14CD"/>
    <w:rsid w:val="5B536884"/>
    <w:rsid w:val="5B58BA50"/>
    <w:rsid w:val="5B6B682D"/>
    <w:rsid w:val="5B83AF7E"/>
    <w:rsid w:val="5B84EBD8"/>
    <w:rsid w:val="5B9712E0"/>
    <w:rsid w:val="5BD34BDF"/>
    <w:rsid w:val="5BFBC160"/>
    <w:rsid w:val="5C080596"/>
    <w:rsid w:val="5C16A9FB"/>
    <w:rsid w:val="5C40C3FD"/>
    <w:rsid w:val="5C5E1592"/>
    <w:rsid w:val="5C81A871"/>
    <w:rsid w:val="5C87351C"/>
    <w:rsid w:val="5C97ED76"/>
    <w:rsid w:val="5CAE3699"/>
    <w:rsid w:val="5CB44A72"/>
    <w:rsid w:val="5CBD7A92"/>
    <w:rsid w:val="5CDE0DC5"/>
    <w:rsid w:val="5CF316A2"/>
    <w:rsid w:val="5D35C5D9"/>
    <w:rsid w:val="5D8E1B92"/>
    <w:rsid w:val="5D8EBBD2"/>
    <w:rsid w:val="5D9865AC"/>
    <w:rsid w:val="5DB143FE"/>
    <w:rsid w:val="5DBBE9D9"/>
    <w:rsid w:val="5DD157E3"/>
    <w:rsid w:val="5DDAD964"/>
    <w:rsid w:val="5DED37A0"/>
    <w:rsid w:val="5DFC98B8"/>
    <w:rsid w:val="5E2076A3"/>
    <w:rsid w:val="5E6F9359"/>
    <w:rsid w:val="5E7CFF6F"/>
    <w:rsid w:val="5EA576C8"/>
    <w:rsid w:val="5EB89F57"/>
    <w:rsid w:val="5EBE217E"/>
    <w:rsid w:val="5EC50641"/>
    <w:rsid w:val="5EE3B1FD"/>
    <w:rsid w:val="5F0084B7"/>
    <w:rsid w:val="5FA69240"/>
    <w:rsid w:val="5FABE58F"/>
    <w:rsid w:val="5FC94F88"/>
    <w:rsid w:val="5FFC348D"/>
    <w:rsid w:val="602F43E5"/>
    <w:rsid w:val="604D434B"/>
    <w:rsid w:val="60787291"/>
    <w:rsid w:val="6080A7A6"/>
    <w:rsid w:val="60BFD908"/>
    <w:rsid w:val="60C3227E"/>
    <w:rsid w:val="613AE406"/>
    <w:rsid w:val="618EA4D4"/>
    <w:rsid w:val="61A3331C"/>
    <w:rsid w:val="61F1D962"/>
    <w:rsid w:val="61FB4C93"/>
    <w:rsid w:val="6204931C"/>
    <w:rsid w:val="62651DCA"/>
    <w:rsid w:val="626951D7"/>
    <w:rsid w:val="62780C54"/>
    <w:rsid w:val="6279D125"/>
    <w:rsid w:val="62CA44A0"/>
    <w:rsid w:val="63195549"/>
    <w:rsid w:val="632BF01B"/>
    <w:rsid w:val="634AFAE6"/>
    <w:rsid w:val="6351D73C"/>
    <w:rsid w:val="63710805"/>
    <w:rsid w:val="63BD1137"/>
    <w:rsid w:val="641CA603"/>
    <w:rsid w:val="642E0199"/>
    <w:rsid w:val="64371B22"/>
    <w:rsid w:val="6464833B"/>
    <w:rsid w:val="6498B963"/>
    <w:rsid w:val="64996E95"/>
    <w:rsid w:val="64B1A851"/>
    <w:rsid w:val="64B38840"/>
    <w:rsid w:val="64CC1EB3"/>
    <w:rsid w:val="64F45E0A"/>
    <w:rsid w:val="64F4AF6A"/>
    <w:rsid w:val="652BD623"/>
    <w:rsid w:val="6536D7D2"/>
    <w:rsid w:val="655AF706"/>
    <w:rsid w:val="6583191E"/>
    <w:rsid w:val="6584F5EF"/>
    <w:rsid w:val="65878F34"/>
    <w:rsid w:val="65B2FC0C"/>
    <w:rsid w:val="65CEBE15"/>
    <w:rsid w:val="66589D36"/>
    <w:rsid w:val="665D8633"/>
    <w:rsid w:val="6665C303"/>
    <w:rsid w:val="667CFA86"/>
    <w:rsid w:val="66A19C81"/>
    <w:rsid w:val="66A7DFE9"/>
    <w:rsid w:val="66BA1213"/>
    <w:rsid w:val="66C56EA4"/>
    <w:rsid w:val="66D79CA9"/>
    <w:rsid w:val="6703A1E2"/>
    <w:rsid w:val="672D435A"/>
    <w:rsid w:val="672E996B"/>
    <w:rsid w:val="674072E9"/>
    <w:rsid w:val="67660FBC"/>
    <w:rsid w:val="676DA49F"/>
    <w:rsid w:val="6782DA2D"/>
    <w:rsid w:val="679AD628"/>
    <w:rsid w:val="679CC108"/>
    <w:rsid w:val="68043CD7"/>
    <w:rsid w:val="68064FFB"/>
    <w:rsid w:val="684180F1"/>
    <w:rsid w:val="6867E5A4"/>
    <w:rsid w:val="6875BAE8"/>
    <w:rsid w:val="68795BED"/>
    <w:rsid w:val="688A8114"/>
    <w:rsid w:val="68A258C8"/>
    <w:rsid w:val="68B25711"/>
    <w:rsid w:val="68B567F9"/>
    <w:rsid w:val="68B74C01"/>
    <w:rsid w:val="68FD77DB"/>
    <w:rsid w:val="690E9ED8"/>
    <w:rsid w:val="6957E974"/>
    <w:rsid w:val="69870406"/>
    <w:rsid w:val="698CB7A9"/>
    <w:rsid w:val="69B8D50D"/>
    <w:rsid w:val="69BD791E"/>
    <w:rsid w:val="69E206A4"/>
    <w:rsid w:val="69F51AD5"/>
    <w:rsid w:val="69FFED40"/>
    <w:rsid w:val="6A1FC146"/>
    <w:rsid w:val="6A68FC33"/>
    <w:rsid w:val="6A702109"/>
    <w:rsid w:val="6A856E68"/>
    <w:rsid w:val="6AEE1C47"/>
    <w:rsid w:val="6AFFD308"/>
    <w:rsid w:val="6B0ABDAA"/>
    <w:rsid w:val="6B0BCF90"/>
    <w:rsid w:val="6B2DB103"/>
    <w:rsid w:val="6B4DA792"/>
    <w:rsid w:val="6B8B7CF0"/>
    <w:rsid w:val="6BA8B7FB"/>
    <w:rsid w:val="6BA8DF4D"/>
    <w:rsid w:val="6BB05B0C"/>
    <w:rsid w:val="6BE50541"/>
    <w:rsid w:val="6BE7CBEB"/>
    <w:rsid w:val="6BF72129"/>
    <w:rsid w:val="6BFF3AAE"/>
    <w:rsid w:val="6C1FABC5"/>
    <w:rsid w:val="6C20B449"/>
    <w:rsid w:val="6C279CB7"/>
    <w:rsid w:val="6C37BEEE"/>
    <w:rsid w:val="6C643BCF"/>
    <w:rsid w:val="6C707891"/>
    <w:rsid w:val="6CAAA9A4"/>
    <w:rsid w:val="6CB1031D"/>
    <w:rsid w:val="6CDE3AAF"/>
    <w:rsid w:val="6CEAD21D"/>
    <w:rsid w:val="6CFFC486"/>
    <w:rsid w:val="6D073370"/>
    <w:rsid w:val="6D77E31C"/>
    <w:rsid w:val="6D7A5A94"/>
    <w:rsid w:val="6DBA79FA"/>
    <w:rsid w:val="6E16DE72"/>
    <w:rsid w:val="6E2550EB"/>
    <w:rsid w:val="6E31C72C"/>
    <w:rsid w:val="6E348508"/>
    <w:rsid w:val="6E5A8E7C"/>
    <w:rsid w:val="6EC47476"/>
    <w:rsid w:val="6ED4A4DA"/>
    <w:rsid w:val="6EE8D85E"/>
    <w:rsid w:val="6EFA2A4E"/>
    <w:rsid w:val="6F395F3A"/>
    <w:rsid w:val="6F5D426A"/>
    <w:rsid w:val="6F5F2600"/>
    <w:rsid w:val="6F793F39"/>
    <w:rsid w:val="6F8282AC"/>
    <w:rsid w:val="6FA386FE"/>
    <w:rsid w:val="6FBE04F2"/>
    <w:rsid w:val="6FBF16DA"/>
    <w:rsid w:val="6FCA8802"/>
    <w:rsid w:val="6FEDE49A"/>
    <w:rsid w:val="6FFC2BA7"/>
    <w:rsid w:val="6FFD544D"/>
    <w:rsid w:val="7004B071"/>
    <w:rsid w:val="70075F62"/>
    <w:rsid w:val="70076592"/>
    <w:rsid w:val="70114B57"/>
    <w:rsid w:val="708CD722"/>
    <w:rsid w:val="708D9379"/>
    <w:rsid w:val="70D2A8B3"/>
    <w:rsid w:val="70F3DE91"/>
    <w:rsid w:val="71098081"/>
    <w:rsid w:val="710ADD13"/>
    <w:rsid w:val="7125C45B"/>
    <w:rsid w:val="712C2E54"/>
    <w:rsid w:val="71375A0D"/>
    <w:rsid w:val="715491CF"/>
    <w:rsid w:val="7157C959"/>
    <w:rsid w:val="71829582"/>
    <w:rsid w:val="7189F296"/>
    <w:rsid w:val="71C01A59"/>
    <w:rsid w:val="71F1F714"/>
    <w:rsid w:val="71F8128A"/>
    <w:rsid w:val="720B3BED"/>
    <w:rsid w:val="7243B5DD"/>
    <w:rsid w:val="724F6514"/>
    <w:rsid w:val="7264037B"/>
    <w:rsid w:val="72BD55EF"/>
    <w:rsid w:val="72D12CC3"/>
    <w:rsid w:val="72D997AB"/>
    <w:rsid w:val="72E0515A"/>
    <w:rsid w:val="72E57001"/>
    <w:rsid w:val="72FB7E4F"/>
    <w:rsid w:val="730EBEF3"/>
    <w:rsid w:val="731C5D44"/>
    <w:rsid w:val="733B88CD"/>
    <w:rsid w:val="7361C15F"/>
    <w:rsid w:val="738743F6"/>
    <w:rsid w:val="738CDEBB"/>
    <w:rsid w:val="7390D75C"/>
    <w:rsid w:val="73AC6FA2"/>
    <w:rsid w:val="73E864AC"/>
    <w:rsid w:val="73F2076C"/>
    <w:rsid w:val="73F4021B"/>
    <w:rsid w:val="73F5319A"/>
    <w:rsid w:val="74072423"/>
    <w:rsid w:val="74141B2D"/>
    <w:rsid w:val="74473994"/>
    <w:rsid w:val="7451DCCF"/>
    <w:rsid w:val="746349C4"/>
    <w:rsid w:val="746C5DF2"/>
    <w:rsid w:val="7471A0E6"/>
    <w:rsid w:val="7474E062"/>
    <w:rsid w:val="7496C596"/>
    <w:rsid w:val="74A8F3AF"/>
    <w:rsid w:val="7537B4F4"/>
    <w:rsid w:val="759FFFB9"/>
    <w:rsid w:val="75CF8646"/>
    <w:rsid w:val="75FACE43"/>
    <w:rsid w:val="76115B0B"/>
    <w:rsid w:val="7641BC28"/>
    <w:rsid w:val="765ADFBF"/>
    <w:rsid w:val="765EB924"/>
    <w:rsid w:val="7665B2AC"/>
    <w:rsid w:val="7679CF47"/>
    <w:rsid w:val="768576E9"/>
    <w:rsid w:val="76C118DA"/>
    <w:rsid w:val="76E580F6"/>
    <w:rsid w:val="772ED185"/>
    <w:rsid w:val="774E95FD"/>
    <w:rsid w:val="778C87E8"/>
    <w:rsid w:val="778D63C0"/>
    <w:rsid w:val="77C47FE7"/>
    <w:rsid w:val="77DF5973"/>
    <w:rsid w:val="77E57F26"/>
    <w:rsid w:val="78136C29"/>
    <w:rsid w:val="78672EDF"/>
    <w:rsid w:val="7890402A"/>
    <w:rsid w:val="78934F96"/>
    <w:rsid w:val="78B6CC2A"/>
    <w:rsid w:val="78C377D8"/>
    <w:rsid w:val="78E92911"/>
    <w:rsid w:val="79011147"/>
    <w:rsid w:val="79084653"/>
    <w:rsid w:val="791026C2"/>
    <w:rsid w:val="793FC3E4"/>
    <w:rsid w:val="7984156F"/>
    <w:rsid w:val="79984CE0"/>
    <w:rsid w:val="79B011AD"/>
    <w:rsid w:val="79B82CFA"/>
    <w:rsid w:val="79BF688D"/>
    <w:rsid w:val="79CB39CD"/>
    <w:rsid w:val="7A15742E"/>
    <w:rsid w:val="7A30BCAB"/>
    <w:rsid w:val="7A4FB72D"/>
    <w:rsid w:val="7A53BEBB"/>
    <w:rsid w:val="7A864102"/>
    <w:rsid w:val="7ACF7076"/>
    <w:rsid w:val="7ACFBB91"/>
    <w:rsid w:val="7B2A8BA4"/>
    <w:rsid w:val="7B312489"/>
    <w:rsid w:val="7B9DAF59"/>
    <w:rsid w:val="7BB01BD6"/>
    <w:rsid w:val="7BDCD777"/>
    <w:rsid w:val="7BDE4F7D"/>
    <w:rsid w:val="7BE5D85F"/>
    <w:rsid w:val="7BE6B1D3"/>
    <w:rsid w:val="7BFA8D48"/>
    <w:rsid w:val="7C0A923F"/>
    <w:rsid w:val="7C1CC5C0"/>
    <w:rsid w:val="7C215BFF"/>
    <w:rsid w:val="7C27FF02"/>
    <w:rsid w:val="7C6BACFF"/>
    <w:rsid w:val="7C926169"/>
    <w:rsid w:val="7C9B2718"/>
    <w:rsid w:val="7CB3187E"/>
    <w:rsid w:val="7CDBA75C"/>
    <w:rsid w:val="7CFA773E"/>
    <w:rsid w:val="7D09D620"/>
    <w:rsid w:val="7D4A1203"/>
    <w:rsid w:val="7D4AB83D"/>
    <w:rsid w:val="7D508DC3"/>
    <w:rsid w:val="7D7A82DF"/>
    <w:rsid w:val="7DAF33A3"/>
    <w:rsid w:val="7DCA33B9"/>
    <w:rsid w:val="7DCF69EA"/>
    <w:rsid w:val="7DED414D"/>
    <w:rsid w:val="7E01BABF"/>
    <w:rsid w:val="7E06E493"/>
    <w:rsid w:val="7E8BCD57"/>
    <w:rsid w:val="7E8FD6CC"/>
    <w:rsid w:val="7E9A33C0"/>
    <w:rsid w:val="7E9A712F"/>
    <w:rsid w:val="7EA20E48"/>
    <w:rsid w:val="7EAB1406"/>
    <w:rsid w:val="7ED0C060"/>
    <w:rsid w:val="7ED8240D"/>
    <w:rsid w:val="7ED984BD"/>
    <w:rsid w:val="7EFE99B1"/>
    <w:rsid w:val="7F143E08"/>
    <w:rsid w:val="7F3CEA93"/>
    <w:rsid w:val="7F8100CC"/>
    <w:rsid w:val="7F9A771C"/>
    <w:rsid w:val="7FA687F2"/>
    <w:rsid w:val="7FB47521"/>
    <w:rsid w:val="7FBCAEE8"/>
    <w:rsid w:val="7FC163C1"/>
    <w:rsid w:val="7FD8A616"/>
    <w:rsid w:val="7FE71F7A"/>
    <w:rsid w:val="7FEB56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line;v-text-anchor:middle" fillcolor="none [3215]" strokecolor="none [2415]">
      <v:fill color="none [3215]"/>
      <v:stroke color="none [2415]" weight="5pt"/>
      <v:textbox inset=",2.5mm,,2.5mm"/>
    </o:shapedefaults>
    <o:shapelayout v:ext="edit">
      <o:idmap v:ext="edit" data="2"/>
    </o:shapelayout>
  </w:shapeDefaults>
  <w:decimalSymbol w:val="."/>
  <w:listSeparator w:val=","/>
  <w14:docId w14:val="4282DB2E"/>
  <w14:defaultImageDpi w14:val="32767"/>
  <w15:docId w15:val="{6B97EDD9-D46C-413C-A6F2-C0FBB981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0"/>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iPriority="29"/>
    <w:lsdException w:name="index 2" w:semiHidden="1" w:uiPriority="29"/>
    <w:lsdException w:name="index 3" w:semiHidden="1" w:uiPriority="29"/>
    <w:lsdException w:name="index 4" w:semiHidden="1" w:uiPriority="29"/>
    <w:lsdException w:name="index 5" w:semiHidden="1" w:uiPriority="29"/>
    <w:lsdException w:name="index 6" w:semiHidden="1" w:uiPriority="29"/>
    <w:lsdException w:name="index 7" w:semiHidden="1" w:uiPriority="29"/>
    <w:lsdException w:name="index 8" w:semiHidden="1" w:uiPriority="29"/>
    <w:lsdException w:name="index 9" w:semiHidden="1" w:uiPriority="29"/>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39"/>
    <w:lsdException w:name="toc 6" w:semiHidden="1" w:uiPriority="39" w:unhideWhenUsed="1"/>
    <w:lsdException w:name="toc 7" w:semiHidden="1" w:uiPriority="39"/>
    <w:lsdException w:name="toc 8" w:semiHidden="1" w:uiPriority="39"/>
    <w:lsdException w:name="toc 9" w:semiHidden="1" w:uiPriority="39"/>
    <w:lsdException w:name="Normal Indent" w:semiHidden="1" w:uiPriority="29"/>
    <w:lsdException w:name="footnote text" w:semiHidden="1" w:uiPriority="99" w:unhideWhenUsed="1" w:qFormat="1"/>
    <w:lsdException w:name="annotation text" w:semiHidden="1" w:uiPriority="99"/>
    <w:lsdException w:name="header" w:semiHidden="1" w:uiPriority="29" w:unhideWhenUsed="1"/>
    <w:lsdException w:name="footer" w:semiHidden="1" w:uiPriority="21" w:unhideWhenUsed="1" w:qFormat="1"/>
    <w:lsdException w:name="index heading" w:semiHidden="1" w:uiPriority="29"/>
    <w:lsdException w:name="caption" w:semiHidden="1" w:uiPriority="19"/>
    <w:lsdException w:name="table of figures" w:semiHidden="1" w:uiPriority="99" w:unhideWhenUsed="1"/>
    <w:lsdException w:name="envelope address" w:semiHidden="1" w:uiPriority="50"/>
    <w:lsdException w:name="envelope return" w:semiHidden="1" w:uiPriority="50"/>
    <w:lsdException w:name="footnote reference" w:semiHidden="1" w:uiPriority="99" w:unhideWhenUsed="1"/>
    <w:lsdException w:name="annotation reference" w:semiHidden="1" w:uiPriority="99"/>
    <w:lsdException w:name="line number" w:semiHidden="1" w:uiPriority="29"/>
    <w:lsdException w:name="page number" w:semiHidden="1" w:uiPriority="49"/>
    <w:lsdException w:name="endnote reference" w:semiHidden="1" w:uiPriority="50"/>
    <w:lsdException w:name="endnote text" w:semiHidden="1" w:uiPriority="50"/>
    <w:lsdException w:name="table of authorities" w:semiHidden="1" w:unhideWhenUsed="1"/>
    <w:lsdException w:name="macro" w:semiHidden="1" w:uiPriority="29"/>
    <w:lsdException w:name="toa heading" w:semiHidden="1" w:uiPriority="20"/>
    <w:lsdException w:name="List" w:semiHidden="1" w:uiPriority="4" w:unhideWhenUsed="1" w:qFormat="1"/>
    <w:lsdException w:name="List Bullet" w:semiHidden="1" w:uiPriority="3" w:unhideWhenUsed="1" w:qFormat="1"/>
    <w:lsdException w:name="List Number" w:uiPriority="3" w:qFormat="1"/>
    <w:lsdException w:name="List 2" w:semiHidden="1" w:uiPriority="4" w:unhideWhenUsed="1"/>
    <w:lsdException w:name="List 3" w:semiHidden="1" w:uiPriority="4" w:unhideWhenUsed="1"/>
    <w:lsdException w:name="List 4" w:semiHidden="1" w:uiPriority="3"/>
    <w:lsdException w:name="List 5" w:semiHidden="1" w:uiPriority="3"/>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0"/>
    <w:lsdException w:name="Closing" w:semiHidden="1" w:uiPriority="29"/>
    <w:lsdException w:name="Signature" w:semiHidden="1" w:uiPriority="49"/>
    <w:lsdException w:name="Default Paragraph Font" w:semiHidden="1" w:uiPriority="0" w:unhideWhenUsed="1"/>
    <w:lsdException w:name="Body Text" w:semiHidden="1" w:uiPriority="0" w:qFormat="1"/>
    <w:lsdException w:name="Body Text Indent" w:semiHidden="1" w:uiPriority="29"/>
    <w:lsdException w:name="List Continue" w:semiHidden="1" w:uiPriority="29"/>
    <w:lsdException w:name="List Continue 2" w:semiHidden="1" w:uiPriority="29"/>
    <w:lsdException w:name="List Continue 3" w:semiHidden="1" w:uiPriority="29"/>
    <w:lsdException w:name="List Continue 4" w:semiHidden="1" w:uiPriority="29"/>
    <w:lsdException w:name="List Continue 5" w:semiHidden="1" w:uiPriority="29"/>
    <w:lsdException w:name="Message Header" w:semiHidden="1" w:uiPriority="29"/>
    <w:lsdException w:name="Subtitle" w:uiPriority="0"/>
    <w:lsdException w:name="Salutation" w:semiHidden="1" w:uiPriority="49"/>
    <w:lsdException w:name="Date" w:uiPriority="0"/>
    <w:lsdException w:name="Body Text First Indent" w:semiHidden="1" w:uiPriority="29"/>
    <w:lsdException w:name="Body Text First Indent 2" w:semiHidden="1" w:uiPriority="29"/>
    <w:lsdException w:name="Note Heading" w:semiHidden="1" w:uiPriority="29"/>
    <w:lsdException w:name="Body Text 2" w:semiHidden="1" w:uiPriority="29"/>
    <w:lsdException w:name="Body Text 3" w:semiHidden="1" w:uiPriority="29"/>
    <w:lsdException w:name="Body Text Indent 2" w:semiHidden="1" w:uiPriority="29"/>
    <w:lsdException w:name="Body Text Indent 3" w:semiHidden="1" w:uiPriority="29"/>
    <w:lsdException w:name="Block Text" w:semiHidden="1" w:uiPriority="29"/>
    <w:lsdException w:name="Hyperlink" w:semiHidden="1" w:uiPriority="99" w:unhideWhenUsed="1"/>
    <w:lsdException w:name="FollowedHyperlink" w:semiHidden="1" w:uiPriority="50"/>
    <w:lsdException w:name="Strong" w:semiHidden="1" w:uiPriority="22" w:qFormat="1"/>
    <w:lsdException w:name="Emphasis" w:semiHidden="1" w:uiPriority="50"/>
    <w:lsdException w:name="Document Map" w:semiHidden="1" w:uiPriority="50"/>
    <w:lsdException w:name="Plain Text" w:semiHidden="1" w:uiPriority="49"/>
    <w:lsdException w:name="E-mail Signature" w:semiHidden="1" w:uiPriority="50"/>
    <w:lsdException w:name="HTML Top of Form" w:semiHidden="1" w:uiPriority="0" w:unhideWhenUsed="1"/>
    <w:lsdException w:name="HTML Bottom of Form" w:semiHidden="1" w:uiPriority="0" w:unhideWhenUsed="1"/>
    <w:lsdException w:name="Normal (Web)" w:semiHidden="1" w:uiPriority="99"/>
    <w:lsdException w:name="HTML Acronym" w:semiHidden="1" w:uiPriority="29"/>
    <w:lsdException w:name="HTML Address" w:semiHidden="1" w:uiPriority="29"/>
    <w:lsdException w:name="HTML Cite" w:semiHidden="1" w:uiPriority="29"/>
    <w:lsdException w:name="HTML Code" w:semiHidden="1" w:uiPriority="29"/>
    <w:lsdException w:name="HTML Definition" w:semiHidden="1" w:uiPriority="29"/>
    <w:lsdException w:name="HTML Keyboard" w:semiHidden="1" w:uiPriority="29"/>
    <w:lsdException w:name="HTML Preformatted" w:semiHidden="1" w:uiPriority="29"/>
    <w:lsdException w:name="HTML Sample" w:semiHidden="1" w:uiPriority="29"/>
    <w:lsdException w:name="HTML Typewriter" w:semiHidden="1" w:uiPriority="29"/>
    <w:lsdException w:name="HTML Variable" w:semiHidden="1" w:uiPriority="29"/>
    <w:lsdException w:name="Normal Table" w:semiHidden="1" w:unhideWhenUsed="1"/>
    <w:lsdException w:name="annotation subject" w:semiHidden="1" w:uiPriority="29"/>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99"/>
    <w:lsdException w:name="No Spacing" w:uiPriority="3"/>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4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Grid Table 5 Dark Accent 2"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145656"/>
    <w:pPr>
      <w:spacing w:after="160" w:line="280" w:lineRule="atLeast"/>
    </w:pPr>
    <w:rPr>
      <w:rFonts w:asciiTheme="minorHAnsi" w:eastAsiaTheme="majorEastAsia" w:hAnsiTheme="minorHAnsi" w:cs="Calibri"/>
      <w:color w:val="000000" w:themeColor="text1"/>
      <w:szCs w:val="24"/>
    </w:rPr>
  </w:style>
  <w:style w:type="paragraph" w:styleId="Heading1">
    <w:name w:val="heading 1"/>
    <w:basedOn w:val="Normal"/>
    <w:next w:val="Normal"/>
    <w:link w:val="Heading1Char"/>
    <w:uiPriority w:val="1"/>
    <w:qFormat/>
    <w:rsid w:val="003A5075"/>
    <w:pPr>
      <w:pBdr>
        <w:bottom w:val="single" w:sz="4" w:space="1" w:color="1D336D" w:themeColor="background2"/>
      </w:pBdr>
      <w:spacing w:before="240"/>
      <w:outlineLvl w:val="0"/>
    </w:pPr>
    <w:rPr>
      <w:bCs/>
      <w:iCs/>
      <w:caps/>
      <w:color w:val="1D336D" w:themeColor="background2"/>
      <w:sz w:val="32"/>
      <w:szCs w:val="28"/>
    </w:rPr>
  </w:style>
  <w:style w:type="paragraph" w:styleId="Heading2">
    <w:name w:val="heading 2"/>
    <w:basedOn w:val="Heading1"/>
    <w:next w:val="Normal"/>
    <w:link w:val="Heading2Char"/>
    <w:uiPriority w:val="1"/>
    <w:qFormat/>
    <w:rsid w:val="003A5075"/>
    <w:pPr>
      <w:numPr>
        <w:ilvl w:val="1"/>
      </w:numPr>
      <w:pBdr>
        <w:bottom w:val="none" w:sz="0" w:space="0" w:color="auto"/>
      </w:pBdr>
      <w:outlineLvl w:val="1"/>
    </w:pPr>
    <w:rPr>
      <w:b/>
      <w:color w:val="C9C9CA" w:themeColor="accent2"/>
      <w:sz w:val="28"/>
      <w:szCs w:val="26"/>
    </w:rPr>
  </w:style>
  <w:style w:type="paragraph" w:styleId="Heading3">
    <w:name w:val="heading 3"/>
    <w:basedOn w:val="Heading1"/>
    <w:next w:val="Normal"/>
    <w:link w:val="Heading3Char"/>
    <w:uiPriority w:val="1"/>
    <w:qFormat/>
    <w:rsid w:val="003A5075"/>
    <w:pPr>
      <w:keepNext/>
      <w:numPr>
        <w:ilvl w:val="2"/>
      </w:numPr>
      <w:pBdr>
        <w:bottom w:val="none" w:sz="0" w:space="0" w:color="auto"/>
      </w:pBdr>
      <w:outlineLvl w:val="2"/>
    </w:pPr>
    <w:rPr>
      <w:b/>
      <w:bCs w:val="0"/>
      <w:caps w:val="0"/>
      <w:color w:val="507CB9"/>
      <w:sz w:val="24"/>
      <w:szCs w:val="26"/>
    </w:rPr>
  </w:style>
  <w:style w:type="paragraph" w:styleId="Heading4">
    <w:name w:val="heading 4"/>
    <w:basedOn w:val="Heading3"/>
    <w:next w:val="Normal"/>
    <w:link w:val="Heading4Char"/>
    <w:uiPriority w:val="1"/>
    <w:rsid w:val="00100070"/>
    <w:pPr>
      <w:outlineLvl w:val="3"/>
    </w:pPr>
    <w:rPr>
      <w:rFonts w:eastAsia="Century Gothic"/>
      <w:sz w:val="20"/>
    </w:rPr>
  </w:style>
  <w:style w:type="paragraph" w:styleId="Heading5">
    <w:name w:val="heading 5"/>
    <w:basedOn w:val="Normal"/>
    <w:next w:val="Normal"/>
    <w:link w:val="Heading5Char"/>
    <w:uiPriority w:val="1"/>
    <w:semiHidden/>
    <w:qFormat/>
    <w:rsid w:val="00100070"/>
    <w:pPr>
      <w:keepNext/>
      <w:keepLines/>
      <w:spacing w:before="40" w:after="0"/>
      <w:outlineLvl w:val="4"/>
    </w:pPr>
    <w:rPr>
      <w:rFonts w:asciiTheme="majorHAnsi" w:hAnsiTheme="majorHAnsi" w:cstheme="majorBidi"/>
      <w:color w:val="585858" w:themeColor="text2"/>
    </w:rPr>
  </w:style>
  <w:style w:type="paragraph" w:styleId="Heading6">
    <w:name w:val="heading 6"/>
    <w:basedOn w:val="Normal"/>
    <w:next w:val="Normal"/>
    <w:link w:val="Heading6Char"/>
    <w:uiPriority w:val="1"/>
    <w:semiHidden/>
    <w:qFormat/>
    <w:rsid w:val="00100070"/>
    <w:pPr>
      <w:keepNext/>
      <w:keepLines/>
      <w:spacing w:before="40" w:after="0"/>
      <w:outlineLvl w:val="5"/>
    </w:pPr>
    <w:rPr>
      <w:rFonts w:asciiTheme="majorHAnsi" w:hAnsiTheme="majorHAnsi" w:cstheme="majorBidi"/>
      <w:color w:val="1D336D" w:themeColor="background2"/>
    </w:rPr>
  </w:style>
  <w:style w:type="paragraph" w:styleId="Heading7">
    <w:name w:val="heading 7"/>
    <w:basedOn w:val="Normal"/>
    <w:next w:val="Normal"/>
    <w:link w:val="Heading7Char"/>
    <w:uiPriority w:val="1"/>
    <w:semiHidden/>
    <w:qFormat/>
    <w:rsid w:val="00100070"/>
    <w:pPr>
      <w:keepNext/>
      <w:keepLines/>
      <w:spacing w:before="40" w:after="0"/>
      <w:outlineLvl w:val="6"/>
    </w:pPr>
    <w:rPr>
      <w:rFonts w:asciiTheme="majorHAnsi" w:hAnsiTheme="majorHAnsi" w:cstheme="majorBidi"/>
      <w:i/>
      <w:iCs/>
      <w:color w:val="585858" w:themeColor="text2"/>
    </w:rPr>
  </w:style>
  <w:style w:type="paragraph" w:styleId="Heading8">
    <w:name w:val="heading 8"/>
    <w:basedOn w:val="Normal"/>
    <w:next w:val="Normal"/>
    <w:link w:val="Heading8Char"/>
    <w:uiPriority w:val="1"/>
    <w:semiHidden/>
    <w:qFormat/>
    <w:rsid w:val="00100070"/>
    <w:pPr>
      <w:keepNext/>
      <w:keepLines/>
      <w:spacing w:before="240"/>
      <w:outlineLvl w:val="7"/>
    </w:pPr>
    <w:rPr>
      <w:rFonts w:asciiTheme="majorHAnsi" w:hAnsiTheme="majorHAnsi" w:cstheme="majorBidi"/>
      <w:i/>
      <w:color w:val="1D336D" w:themeColor="background2"/>
      <w:szCs w:val="21"/>
    </w:rPr>
  </w:style>
  <w:style w:type="paragraph" w:styleId="Heading9">
    <w:name w:val="heading 9"/>
    <w:basedOn w:val="Normal"/>
    <w:next w:val="Normal"/>
    <w:link w:val="Heading9Char"/>
    <w:uiPriority w:val="1"/>
    <w:semiHidden/>
    <w:qFormat/>
    <w:rsid w:val="00100070"/>
    <w:pPr>
      <w:keepNext/>
      <w:keepLines/>
      <w:spacing w:before="240"/>
      <w:outlineLvl w:val="8"/>
    </w:pPr>
    <w:rPr>
      <w:rFonts w:asciiTheme="majorHAnsi" w:hAnsiTheme="majorHAnsi" w:cstheme="majorBidi"/>
      <w:i/>
      <w:iCs/>
      <w:color w:val="00000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DPS Table Grid,Plain Table,GRM Table"/>
    <w:basedOn w:val="TableNormal"/>
    <w:uiPriority w:val="59"/>
    <w:rsid w:val="00827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29"/>
    <w:semiHidden/>
    <w:rsid w:val="00BD2E72"/>
    <w:pPr>
      <w:spacing w:after="0" w:line="240" w:lineRule="auto"/>
    </w:pPr>
    <w:rPr>
      <w:color w:val="FFFFFF"/>
    </w:rPr>
  </w:style>
  <w:style w:type="character" w:customStyle="1" w:styleId="HeaderChar">
    <w:name w:val="Header Char"/>
    <w:basedOn w:val="DefaultParagraphFont"/>
    <w:link w:val="Header"/>
    <w:uiPriority w:val="29"/>
    <w:semiHidden/>
    <w:rsid w:val="00310B3A"/>
    <w:rPr>
      <w:rFonts w:asciiTheme="minorHAnsi" w:eastAsiaTheme="majorEastAsia" w:hAnsiTheme="minorHAnsi" w:cs="Calibri"/>
      <w:color w:val="FFFFFF"/>
      <w:szCs w:val="24"/>
    </w:rPr>
  </w:style>
  <w:style w:type="paragraph" w:styleId="Footer">
    <w:name w:val="footer"/>
    <w:basedOn w:val="Normal"/>
    <w:link w:val="FooterChar"/>
    <w:uiPriority w:val="21"/>
    <w:qFormat/>
    <w:rsid w:val="00145656"/>
    <w:pPr>
      <w:spacing w:after="0" w:line="240" w:lineRule="auto"/>
    </w:pPr>
    <w:rPr>
      <w:color w:val="1D336D" w:themeColor="background2"/>
      <w:sz w:val="18"/>
    </w:rPr>
  </w:style>
  <w:style w:type="character" w:customStyle="1" w:styleId="FooterChar">
    <w:name w:val="Footer Char"/>
    <w:basedOn w:val="DefaultParagraphFont"/>
    <w:link w:val="Footer"/>
    <w:uiPriority w:val="21"/>
    <w:rsid w:val="00145656"/>
    <w:rPr>
      <w:rFonts w:asciiTheme="minorHAnsi" w:eastAsiaTheme="majorEastAsia" w:hAnsiTheme="minorHAnsi" w:cs="Calibri"/>
      <w:color w:val="1D336D" w:themeColor="background2"/>
      <w:sz w:val="18"/>
      <w:szCs w:val="24"/>
    </w:rPr>
  </w:style>
  <w:style w:type="paragraph" w:styleId="BalloonText">
    <w:name w:val="Balloon Text"/>
    <w:basedOn w:val="Normal"/>
    <w:link w:val="BalloonTextChar"/>
    <w:uiPriority w:val="29"/>
    <w:semiHidden/>
    <w:rsid w:val="00675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29"/>
    <w:semiHidden/>
    <w:rsid w:val="00E4514E"/>
    <w:rPr>
      <w:rFonts w:ascii="Tahoma" w:hAnsi="Tahoma" w:cs="Tahoma"/>
      <w:sz w:val="16"/>
      <w:szCs w:val="16"/>
    </w:rPr>
  </w:style>
  <w:style w:type="paragraph" w:customStyle="1" w:styleId="Detail">
    <w:name w:val="Detail"/>
    <w:basedOn w:val="Normal"/>
    <w:uiPriority w:val="50"/>
    <w:semiHidden/>
    <w:rsid w:val="00A67C11"/>
  </w:style>
  <w:style w:type="paragraph" w:styleId="ListNumber">
    <w:name w:val="List Number"/>
    <w:basedOn w:val="Normal"/>
    <w:link w:val="ListNumberChar"/>
    <w:uiPriority w:val="3"/>
    <w:qFormat/>
    <w:rsid w:val="00D4310E"/>
    <w:pPr>
      <w:tabs>
        <w:tab w:val="num" w:pos="284"/>
      </w:tabs>
      <w:spacing w:after="120"/>
      <w:ind w:left="284" w:hanging="284"/>
    </w:pPr>
    <w:rPr>
      <w:rFonts w:eastAsia="Century Gothic" w:cstheme="minorBidi"/>
      <w:szCs w:val="20"/>
      <w:lang w:eastAsia="en-US"/>
    </w:rPr>
  </w:style>
  <w:style w:type="paragraph" w:styleId="ListBullet">
    <w:name w:val="List Bullet"/>
    <w:basedOn w:val="Normal"/>
    <w:uiPriority w:val="3"/>
    <w:qFormat/>
    <w:rsid w:val="00596177"/>
    <w:pPr>
      <w:tabs>
        <w:tab w:val="num" w:pos="284"/>
      </w:tabs>
      <w:spacing w:after="120"/>
      <w:ind w:left="284" w:hanging="284"/>
    </w:pPr>
    <w:rPr>
      <w:rFonts w:eastAsia="Century Gothic" w:cstheme="minorBidi"/>
      <w:szCs w:val="20"/>
      <w:lang w:eastAsia="en-US"/>
    </w:rPr>
  </w:style>
  <w:style w:type="paragraph" w:styleId="Date">
    <w:name w:val="Date"/>
    <w:basedOn w:val="Normal"/>
    <w:next w:val="Normal"/>
    <w:link w:val="DateChar"/>
    <w:uiPriority w:val="49"/>
    <w:semiHidden/>
    <w:rsid w:val="00F958EC"/>
    <w:pPr>
      <w:spacing w:after="0" w:line="240" w:lineRule="auto"/>
    </w:pPr>
    <w:rPr>
      <w:rFonts w:ascii="Corpid C1 SCd Regular" w:hAnsi="Corpid C1 SCd Regular"/>
      <w:color w:val="FFFFFF"/>
    </w:rPr>
  </w:style>
  <w:style w:type="character" w:customStyle="1" w:styleId="DateChar">
    <w:name w:val="Date Char"/>
    <w:basedOn w:val="DefaultParagraphFont"/>
    <w:link w:val="Date"/>
    <w:uiPriority w:val="49"/>
    <w:semiHidden/>
    <w:rsid w:val="00310B3A"/>
    <w:rPr>
      <w:rFonts w:ascii="Corpid C1 SCd Regular" w:eastAsiaTheme="majorEastAsia" w:hAnsi="Corpid C1 SCd Regular" w:cs="Calibri"/>
      <w:color w:val="FFFFFF"/>
      <w:szCs w:val="24"/>
    </w:rPr>
  </w:style>
  <w:style w:type="character" w:styleId="PlaceholderText">
    <w:name w:val="Placeholder Text"/>
    <w:basedOn w:val="DefaultParagraphFont"/>
    <w:uiPriority w:val="99"/>
    <w:semiHidden/>
    <w:rsid w:val="00415976"/>
    <w:rPr>
      <w:vanish w:val="0"/>
      <w:color w:val="FF0000"/>
    </w:rPr>
  </w:style>
  <w:style w:type="numbering" w:customStyle="1" w:styleId="AlphaList">
    <w:name w:val="_Alpha List"/>
    <w:uiPriority w:val="99"/>
    <w:rsid w:val="00581230"/>
    <w:pPr>
      <w:numPr>
        <w:numId w:val="1"/>
      </w:numPr>
    </w:pPr>
  </w:style>
  <w:style w:type="character" w:customStyle="1" w:styleId="Heading5Char">
    <w:name w:val="Heading 5 Char"/>
    <w:basedOn w:val="DefaultParagraphFont"/>
    <w:link w:val="Heading5"/>
    <w:uiPriority w:val="1"/>
    <w:semiHidden/>
    <w:rsid w:val="000E3939"/>
    <w:rPr>
      <w:rFonts w:asciiTheme="majorHAnsi" w:eastAsiaTheme="majorEastAsia" w:hAnsiTheme="majorHAnsi" w:cstheme="majorBidi"/>
      <w:color w:val="585858" w:themeColor="text2"/>
      <w:szCs w:val="24"/>
    </w:rPr>
  </w:style>
  <w:style w:type="paragraph" w:customStyle="1" w:styleId="TableHeading">
    <w:name w:val="Table Heading"/>
    <w:basedOn w:val="Normal"/>
    <w:link w:val="TableHeadingChar"/>
    <w:uiPriority w:val="9"/>
    <w:qFormat/>
    <w:rsid w:val="00885AF8"/>
    <w:pPr>
      <w:numPr>
        <w:numId w:val="8"/>
      </w:numPr>
      <w:spacing w:before="20" w:after="20" w:line="240" w:lineRule="auto"/>
    </w:pPr>
    <w:rPr>
      <w:rFonts w:eastAsia="Century Gothic"/>
      <w:b/>
      <w:bCs/>
      <w:color w:val="FFFFFF"/>
      <w:lang w:eastAsia="en-US"/>
    </w:rPr>
  </w:style>
  <w:style w:type="paragraph" w:styleId="Title">
    <w:name w:val="Title"/>
    <w:basedOn w:val="Normal"/>
    <w:next w:val="Subtitle"/>
    <w:link w:val="TitleChar"/>
    <w:uiPriority w:val="49"/>
    <w:semiHidden/>
    <w:rsid w:val="00F2411F"/>
    <w:pPr>
      <w:pageBreakBefore/>
      <w:framePr w:w="8964" w:wrap="notBeside" w:vAnchor="text" w:hAnchor="text" w:yAlign="top"/>
      <w:spacing w:before="240"/>
      <w:outlineLvl w:val="0"/>
    </w:pPr>
    <w:rPr>
      <w:rFonts w:asciiTheme="majorHAnsi" w:hAnsiTheme="majorHAnsi"/>
      <w:b/>
      <w:bCs/>
      <w:iCs/>
      <w:color w:val="585858" w:themeColor="text2"/>
      <w:sz w:val="40"/>
      <w:szCs w:val="28"/>
    </w:rPr>
  </w:style>
  <w:style w:type="character" w:customStyle="1" w:styleId="TitleChar">
    <w:name w:val="Title Char"/>
    <w:basedOn w:val="DefaultParagraphFont"/>
    <w:link w:val="Title"/>
    <w:uiPriority w:val="49"/>
    <w:semiHidden/>
    <w:rsid w:val="00310B3A"/>
    <w:rPr>
      <w:rFonts w:asciiTheme="majorHAnsi" w:eastAsiaTheme="majorEastAsia" w:hAnsiTheme="majorHAnsi" w:cs="Calibri"/>
      <w:b/>
      <w:bCs/>
      <w:iCs/>
      <w:color w:val="585858" w:themeColor="text2"/>
      <w:sz w:val="40"/>
      <w:szCs w:val="28"/>
    </w:rPr>
  </w:style>
  <w:style w:type="table" w:styleId="ListTable3-Accent1">
    <w:name w:val="List Table 3 Accent 1"/>
    <w:basedOn w:val="TableNormal"/>
    <w:uiPriority w:val="98"/>
    <w:semiHidden/>
    <w:rsid w:val="007E01F1"/>
    <w:rPr>
      <w:rFonts w:asciiTheme="minorHAnsi" w:eastAsia="Century Gothic" w:hAnsiTheme="minorHAnsi" w:cstheme="minorBidi"/>
      <w:lang w:eastAsia="en-US"/>
    </w:rPr>
    <w:tblPr>
      <w:tblStyleRowBandSize w:val="1"/>
      <w:tblStyleColBandSize w:val="1"/>
      <w:tblInd w:w="57" w:type="dxa"/>
      <w:tblBorders>
        <w:top w:val="single" w:sz="4" w:space="0" w:color="63D0DF" w:themeColor="accent1"/>
        <w:left w:val="single" w:sz="4" w:space="0" w:color="63D0DF" w:themeColor="accent1"/>
        <w:bottom w:val="single" w:sz="4" w:space="0" w:color="63D0DF" w:themeColor="accent1"/>
        <w:right w:val="single" w:sz="4" w:space="0" w:color="63D0DF" w:themeColor="accent1"/>
      </w:tblBorders>
      <w:tblCellMar>
        <w:top w:w="57" w:type="dxa"/>
        <w:left w:w="57" w:type="dxa"/>
        <w:bottom w:w="57" w:type="dxa"/>
        <w:right w:w="57" w:type="dxa"/>
      </w:tblCellMar>
    </w:tblPr>
    <w:tblStylePr w:type="firstRow">
      <w:rPr>
        <w:b/>
        <w:bCs/>
        <w:color w:val="FFFFFF" w:themeColor="background1"/>
      </w:rPr>
      <w:tblPr/>
      <w:tcPr>
        <w:shd w:val="clear" w:color="auto" w:fill="63D0DF" w:themeFill="accent1"/>
      </w:tcPr>
    </w:tblStylePr>
    <w:tblStylePr w:type="lastRow">
      <w:rPr>
        <w:b/>
        <w:bCs/>
      </w:rPr>
      <w:tblPr/>
      <w:tcPr>
        <w:tcBorders>
          <w:top w:val="double" w:sz="4" w:space="0" w:color="63D0D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D0DF" w:themeColor="accent1"/>
          <w:right w:val="single" w:sz="4" w:space="0" w:color="63D0DF" w:themeColor="accent1"/>
        </w:tcBorders>
      </w:tcPr>
    </w:tblStylePr>
    <w:tblStylePr w:type="band1Horz">
      <w:tblPr/>
      <w:tcPr>
        <w:tcBorders>
          <w:top w:val="single" w:sz="4" w:space="0" w:color="63D0DF" w:themeColor="accent1"/>
          <w:bottom w:val="single" w:sz="4" w:space="0" w:color="63D0D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D0DF" w:themeColor="accent1"/>
          <w:left w:val="nil"/>
        </w:tcBorders>
      </w:tcPr>
    </w:tblStylePr>
    <w:tblStylePr w:type="swCell">
      <w:tblPr/>
      <w:tcPr>
        <w:tcBorders>
          <w:top w:val="double" w:sz="4" w:space="0" w:color="63D0DF" w:themeColor="accent1"/>
          <w:right w:val="nil"/>
        </w:tcBorders>
      </w:tcPr>
    </w:tblStylePr>
  </w:style>
  <w:style w:type="numbering" w:customStyle="1" w:styleId="Bullets">
    <w:name w:val="_Bullets"/>
    <w:uiPriority w:val="99"/>
    <w:rsid w:val="00847E29"/>
    <w:pPr>
      <w:numPr>
        <w:numId w:val="2"/>
      </w:numPr>
    </w:pPr>
  </w:style>
  <w:style w:type="numbering" w:customStyle="1" w:styleId="NumberedList">
    <w:name w:val="_Numbered List"/>
    <w:uiPriority w:val="99"/>
    <w:rsid w:val="0091567C"/>
    <w:pPr>
      <w:numPr>
        <w:numId w:val="3"/>
      </w:numPr>
    </w:pPr>
  </w:style>
  <w:style w:type="paragraph" w:styleId="List">
    <w:name w:val="List"/>
    <w:basedOn w:val="Normal"/>
    <w:uiPriority w:val="3"/>
    <w:qFormat/>
    <w:rsid w:val="00581230"/>
    <w:pPr>
      <w:ind w:left="284" w:hanging="284"/>
    </w:pPr>
    <w:rPr>
      <w:rFonts w:eastAsia="Century Gothic" w:cstheme="minorBidi"/>
      <w:szCs w:val="20"/>
      <w:lang w:eastAsia="en-US"/>
    </w:rPr>
  </w:style>
  <w:style w:type="paragraph" w:styleId="List2">
    <w:name w:val="List 2"/>
    <w:basedOn w:val="Normal"/>
    <w:uiPriority w:val="3"/>
    <w:unhideWhenUsed/>
    <w:rsid w:val="00581230"/>
    <w:pPr>
      <w:ind w:left="568" w:hanging="284"/>
    </w:pPr>
    <w:rPr>
      <w:rFonts w:eastAsia="Century Gothic" w:cstheme="minorBidi"/>
      <w:szCs w:val="20"/>
      <w:lang w:eastAsia="en-US"/>
    </w:rPr>
  </w:style>
  <w:style w:type="paragraph" w:styleId="List3">
    <w:name w:val="List 3"/>
    <w:basedOn w:val="Normal"/>
    <w:uiPriority w:val="3"/>
    <w:unhideWhenUsed/>
    <w:rsid w:val="00581230"/>
    <w:pPr>
      <w:spacing w:after="233" w:line="240" w:lineRule="auto"/>
      <w:ind w:left="852" w:hanging="284"/>
    </w:pPr>
    <w:rPr>
      <w:rFonts w:eastAsia="Century Gothic" w:cstheme="minorBidi"/>
      <w:szCs w:val="20"/>
      <w:lang w:eastAsia="en-US"/>
    </w:rPr>
  </w:style>
  <w:style w:type="paragraph" w:styleId="ListNumber2">
    <w:name w:val="List Number 2"/>
    <w:basedOn w:val="Normal"/>
    <w:uiPriority w:val="3"/>
    <w:rsid w:val="00D4310E"/>
    <w:pPr>
      <w:tabs>
        <w:tab w:val="num" w:pos="567"/>
      </w:tabs>
      <w:spacing w:after="120"/>
      <w:ind w:left="568" w:hanging="284"/>
    </w:pPr>
    <w:rPr>
      <w:rFonts w:eastAsia="Century Gothic" w:cstheme="minorBidi"/>
      <w:szCs w:val="20"/>
      <w:lang w:eastAsia="en-US"/>
    </w:rPr>
  </w:style>
  <w:style w:type="paragraph" w:styleId="ListNumber3">
    <w:name w:val="List Number 3"/>
    <w:basedOn w:val="Normal"/>
    <w:uiPriority w:val="3"/>
    <w:rsid w:val="00D4310E"/>
    <w:pPr>
      <w:tabs>
        <w:tab w:val="num" w:pos="851"/>
      </w:tabs>
      <w:spacing w:after="120"/>
      <w:ind w:left="852" w:hanging="284"/>
    </w:pPr>
    <w:rPr>
      <w:rFonts w:eastAsia="Century Gothic" w:cstheme="minorBidi"/>
      <w:szCs w:val="20"/>
      <w:lang w:eastAsia="en-US"/>
    </w:rPr>
  </w:style>
  <w:style w:type="paragraph" w:styleId="ListNumber4">
    <w:name w:val="List Number 4"/>
    <w:basedOn w:val="Normal"/>
    <w:uiPriority w:val="50"/>
    <w:semiHidden/>
    <w:rsid w:val="0091567C"/>
    <w:pPr>
      <w:spacing w:after="100" w:line="240" w:lineRule="auto"/>
      <w:contextualSpacing/>
    </w:pPr>
    <w:rPr>
      <w:rFonts w:eastAsia="Century Gothic" w:cstheme="minorBidi"/>
      <w:szCs w:val="20"/>
      <w:lang w:eastAsia="en-US"/>
    </w:rPr>
  </w:style>
  <w:style w:type="paragraph" w:styleId="ListNumber5">
    <w:name w:val="List Number 5"/>
    <w:basedOn w:val="Normal"/>
    <w:uiPriority w:val="50"/>
    <w:semiHidden/>
    <w:rsid w:val="0091567C"/>
    <w:pPr>
      <w:spacing w:after="100" w:line="240" w:lineRule="auto"/>
      <w:contextualSpacing/>
    </w:pPr>
    <w:rPr>
      <w:rFonts w:eastAsia="Century Gothic" w:cstheme="minorBidi"/>
      <w:szCs w:val="20"/>
      <w:lang w:eastAsia="en-US"/>
    </w:rPr>
  </w:style>
  <w:style w:type="table" w:styleId="GridTable1Light">
    <w:name w:val="Grid Table 1 Light"/>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57" w:type="dxa"/>
        <w:left w:w="57" w:type="dxa"/>
        <w:bottom w:w="57" w:type="dxa"/>
        <w:right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0ECF2" w:themeColor="accent1" w:themeTint="66"/>
        <w:left w:val="single" w:sz="4" w:space="0" w:color="C0ECF2" w:themeColor="accent1" w:themeTint="66"/>
        <w:bottom w:val="single" w:sz="4" w:space="0" w:color="C0ECF2" w:themeColor="accent1" w:themeTint="66"/>
        <w:right w:val="single" w:sz="4" w:space="0" w:color="C0ECF2" w:themeColor="accent1" w:themeTint="66"/>
        <w:insideH w:val="single" w:sz="4" w:space="0" w:color="C0ECF2" w:themeColor="accent1" w:themeTint="66"/>
        <w:insideV w:val="single" w:sz="4" w:space="0" w:color="C0ECF2" w:themeColor="accent1" w:themeTint="66"/>
      </w:tblBorders>
      <w:tblCellMar>
        <w:top w:w="57" w:type="dxa"/>
        <w:left w:w="57" w:type="dxa"/>
        <w:bottom w:w="57" w:type="dxa"/>
        <w:right w:w="57" w:type="dxa"/>
      </w:tblCellMar>
    </w:tblPr>
    <w:tblStylePr w:type="firstRow">
      <w:rPr>
        <w:b/>
        <w:bCs/>
      </w:rPr>
      <w:tblPr/>
      <w:tcPr>
        <w:tcBorders>
          <w:bottom w:val="single" w:sz="12" w:space="0" w:color="A1E2EB" w:themeColor="accent1" w:themeTint="99"/>
        </w:tcBorders>
      </w:tcPr>
    </w:tblStylePr>
    <w:tblStylePr w:type="lastRow">
      <w:rPr>
        <w:b/>
        <w:bCs/>
      </w:rPr>
      <w:tblPr/>
      <w:tcPr>
        <w:tcBorders>
          <w:top w:val="double" w:sz="2" w:space="0" w:color="A1E2E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E9E9E9" w:themeColor="accent2" w:themeTint="66"/>
        <w:left w:val="single" w:sz="4" w:space="0" w:color="E9E9E9" w:themeColor="accent2" w:themeTint="66"/>
        <w:bottom w:val="single" w:sz="4" w:space="0" w:color="E9E9E9" w:themeColor="accent2" w:themeTint="66"/>
        <w:right w:val="single" w:sz="4" w:space="0" w:color="E9E9E9" w:themeColor="accent2" w:themeTint="66"/>
        <w:insideH w:val="single" w:sz="4" w:space="0" w:color="E9E9E9" w:themeColor="accent2" w:themeTint="66"/>
        <w:insideV w:val="single" w:sz="4" w:space="0" w:color="E9E9E9" w:themeColor="accent2" w:themeTint="66"/>
      </w:tblBorders>
      <w:tblCellMar>
        <w:top w:w="57" w:type="dxa"/>
        <w:left w:w="57" w:type="dxa"/>
        <w:bottom w:w="57" w:type="dxa"/>
        <w:right w:w="57" w:type="dxa"/>
      </w:tblCellMar>
    </w:tblPr>
    <w:tblStylePr w:type="firstRow">
      <w:rPr>
        <w:b/>
        <w:bCs/>
      </w:rPr>
      <w:tblPr/>
      <w:tcPr>
        <w:tcBorders>
          <w:bottom w:val="single" w:sz="12" w:space="0" w:color="DEDEDF" w:themeColor="accent2" w:themeTint="99"/>
        </w:tcBorders>
      </w:tcPr>
    </w:tblStylePr>
    <w:tblStylePr w:type="lastRow">
      <w:rPr>
        <w:b/>
        <w:bCs/>
      </w:rPr>
      <w:tblPr/>
      <w:tcPr>
        <w:tcBorders>
          <w:top w:val="double" w:sz="2" w:space="0" w:color="DEDED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0ECF2" w:themeColor="accent3" w:themeTint="66"/>
        <w:left w:val="single" w:sz="4" w:space="0" w:color="C0ECF2" w:themeColor="accent3" w:themeTint="66"/>
        <w:bottom w:val="single" w:sz="4" w:space="0" w:color="C0ECF2" w:themeColor="accent3" w:themeTint="66"/>
        <w:right w:val="single" w:sz="4" w:space="0" w:color="C0ECF2" w:themeColor="accent3" w:themeTint="66"/>
        <w:insideH w:val="single" w:sz="4" w:space="0" w:color="C0ECF2" w:themeColor="accent3" w:themeTint="66"/>
        <w:insideV w:val="single" w:sz="4" w:space="0" w:color="C0ECF2" w:themeColor="accent3" w:themeTint="66"/>
      </w:tblBorders>
      <w:tblCellMar>
        <w:top w:w="57" w:type="dxa"/>
        <w:left w:w="57" w:type="dxa"/>
        <w:bottom w:w="57" w:type="dxa"/>
        <w:right w:w="57" w:type="dxa"/>
      </w:tblCellMar>
    </w:tblPr>
    <w:tblStylePr w:type="firstRow">
      <w:rPr>
        <w:b/>
        <w:bCs/>
      </w:rPr>
      <w:tblPr/>
      <w:tcPr>
        <w:tcBorders>
          <w:bottom w:val="single" w:sz="12" w:space="0" w:color="A1E2EB" w:themeColor="accent3" w:themeTint="99"/>
        </w:tcBorders>
      </w:tcPr>
    </w:tblStylePr>
    <w:tblStylePr w:type="lastRow">
      <w:rPr>
        <w:b/>
        <w:bCs/>
      </w:rPr>
      <w:tblPr/>
      <w:tcPr>
        <w:tcBorders>
          <w:top w:val="double" w:sz="2" w:space="0" w:color="A1E2E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9D9D9" w:themeColor="accent4" w:themeTint="66"/>
        <w:left w:val="single" w:sz="4" w:space="0" w:color="D9D9D9" w:themeColor="accent4" w:themeTint="66"/>
        <w:bottom w:val="single" w:sz="4" w:space="0" w:color="D9D9D9" w:themeColor="accent4" w:themeTint="66"/>
        <w:right w:val="single" w:sz="4" w:space="0" w:color="D9D9D9" w:themeColor="accent4" w:themeTint="66"/>
        <w:insideH w:val="single" w:sz="4" w:space="0" w:color="D9D9D9" w:themeColor="accent4" w:themeTint="66"/>
        <w:insideV w:val="single" w:sz="4" w:space="0" w:color="D9D9D9" w:themeColor="accent4" w:themeTint="66"/>
      </w:tblBorders>
      <w:tblCellMar>
        <w:top w:w="57" w:type="dxa"/>
        <w:left w:w="57" w:type="dxa"/>
        <w:bottom w:w="57" w:type="dxa"/>
        <w:right w:w="57" w:type="dxa"/>
      </w:tblCellMar>
    </w:tblPr>
    <w:tblStylePr w:type="firstRow">
      <w:rPr>
        <w:b/>
        <w:bCs/>
      </w:rPr>
      <w:tblPr/>
      <w:tcPr>
        <w:tcBorders>
          <w:bottom w:val="single" w:sz="12" w:space="0" w:color="C6C6C6" w:themeColor="accent4" w:themeTint="99"/>
        </w:tcBorders>
      </w:tcPr>
    </w:tblStylePr>
    <w:tblStylePr w:type="lastRow">
      <w:rPr>
        <w:b/>
        <w:bCs/>
      </w:rPr>
      <w:tblPr/>
      <w:tcPr>
        <w:tcBorders>
          <w:top w:val="double" w:sz="2" w:space="0" w:color="C6C6C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0ECF2" w:themeColor="accent5" w:themeTint="66"/>
        <w:left w:val="single" w:sz="4" w:space="0" w:color="C0ECF2" w:themeColor="accent5" w:themeTint="66"/>
        <w:bottom w:val="single" w:sz="4" w:space="0" w:color="C0ECF2" w:themeColor="accent5" w:themeTint="66"/>
        <w:right w:val="single" w:sz="4" w:space="0" w:color="C0ECF2" w:themeColor="accent5" w:themeTint="66"/>
        <w:insideH w:val="single" w:sz="4" w:space="0" w:color="C0ECF2" w:themeColor="accent5" w:themeTint="66"/>
        <w:insideV w:val="single" w:sz="4" w:space="0" w:color="C0ECF2" w:themeColor="accent5" w:themeTint="66"/>
      </w:tblBorders>
      <w:tblCellMar>
        <w:top w:w="57" w:type="dxa"/>
        <w:left w:w="57" w:type="dxa"/>
        <w:bottom w:w="57" w:type="dxa"/>
        <w:right w:w="57" w:type="dxa"/>
      </w:tblCellMar>
    </w:tblPr>
    <w:tblStylePr w:type="firstRow">
      <w:rPr>
        <w:b/>
        <w:bCs/>
      </w:rPr>
      <w:tblPr/>
      <w:tcPr>
        <w:tcBorders>
          <w:bottom w:val="single" w:sz="12" w:space="0" w:color="A1E2EB" w:themeColor="accent5" w:themeTint="99"/>
        </w:tcBorders>
      </w:tcPr>
    </w:tblStylePr>
    <w:tblStylePr w:type="lastRow">
      <w:rPr>
        <w:b/>
        <w:bCs/>
      </w:rPr>
      <w:tblPr/>
      <w:tcPr>
        <w:tcBorders>
          <w:top w:val="double" w:sz="2" w:space="0" w:color="A1E2E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9D9D9" w:themeColor="accent6" w:themeTint="66"/>
        <w:left w:val="single" w:sz="4" w:space="0" w:color="D9D9D9" w:themeColor="accent6" w:themeTint="66"/>
        <w:bottom w:val="single" w:sz="4" w:space="0" w:color="D9D9D9" w:themeColor="accent6" w:themeTint="66"/>
        <w:right w:val="single" w:sz="4" w:space="0" w:color="D9D9D9" w:themeColor="accent6" w:themeTint="66"/>
        <w:insideH w:val="single" w:sz="4" w:space="0" w:color="D9D9D9" w:themeColor="accent6" w:themeTint="66"/>
        <w:insideV w:val="single" w:sz="4" w:space="0" w:color="D9D9D9" w:themeColor="accent6" w:themeTint="66"/>
      </w:tblBorders>
      <w:tblCellMar>
        <w:top w:w="57" w:type="dxa"/>
        <w:left w:w="57" w:type="dxa"/>
        <w:bottom w:w="57" w:type="dxa"/>
        <w:right w:w="57" w:type="dxa"/>
      </w:tblCellMar>
    </w:tblPr>
    <w:tblStylePr w:type="firstRow">
      <w:rPr>
        <w:b/>
        <w:bCs/>
      </w:rPr>
      <w:tblPr/>
      <w:tcPr>
        <w:tcBorders>
          <w:bottom w:val="single" w:sz="12" w:space="0" w:color="C6C6C6" w:themeColor="accent6" w:themeTint="99"/>
        </w:tcBorders>
      </w:tcPr>
    </w:tblStylePr>
    <w:tblStylePr w:type="lastRow">
      <w:rPr>
        <w:b/>
        <w:bCs/>
      </w:rPr>
      <w:tblPr/>
      <w:tcPr>
        <w:tcBorders>
          <w:top w:val="double" w:sz="2" w:space="0" w:color="C6C6C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57" w:type="dxa"/>
        <w:left w:w="57" w:type="dxa"/>
        <w:bottom w:w="57" w:type="dxa"/>
        <w:right w:w="57"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A1E2EB" w:themeColor="accent1" w:themeTint="99"/>
        <w:bottom w:val="single" w:sz="2" w:space="0" w:color="A1E2EB" w:themeColor="accent1" w:themeTint="99"/>
        <w:insideH w:val="single" w:sz="2" w:space="0" w:color="A1E2EB" w:themeColor="accent1" w:themeTint="99"/>
        <w:insideV w:val="single" w:sz="2" w:space="0" w:color="A1E2EB" w:themeColor="accent1" w:themeTint="99"/>
      </w:tblBorders>
      <w:tblCellMar>
        <w:top w:w="57" w:type="dxa"/>
        <w:left w:w="57" w:type="dxa"/>
        <w:bottom w:w="57" w:type="dxa"/>
        <w:right w:w="57" w:type="dxa"/>
      </w:tblCellMar>
    </w:tblPr>
    <w:tblStylePr w:type="firstRow">
      <w:rPr>
        <w:b/>
        <w:bCs/>
      </w:rPr>
      <w:tblPr/>
      <w:tcPr>
        <w:tcBorders>
          <w:top w:val="nil"/>
          <w:bottom w:val="single" w:sz="12" w:space="0" w:color="A1E2EB" w:themeColor="accent1" w:themeTint="99"/>
          <w:insideH w:val="nil"/>
          <w:insideV w:val="nil"/>
        </w:tcBorders>
        <w:shd w:val="clear" w:color="auto" w:fill="FFFFFF" w:themeFill="background1"/>
      </w:tcPr>
    </w:tblStylePr>
    <w:tblStylePr w:type="lastRow">
      <w:rPr>
        <w:b/>
        <w:bCs/>
      </w:rPr>
      <w:tblPr/>
      <w:tcPr>
        <w:tcBorders>
          <w:top w:val="double" w:sz="2" w:space="0" w:color="A1E2E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5F8" w:themeFill="accent1" w:themeFillTint="33"/>
      </w:tcPr>
    </w:tblStylePr>
    <w:tblStylePr w:type="band1Horz">
      <w:tblPr/>
      <w:tcPr>
        <w:shd w:val="clear" w:color="auto" w:fill="DFF5F8" w:themeFill="accent1" w:themeFillTint="33"/>
      </w:tcPr>
    </w:tblStylePr>
  </w:style>
  <w:style w:type="table" w:styleId="GridTable2-Accent2">
    <w:name w:val="Grid Table 2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DEDEDF" w:themeColor="accent2" w:themeTint="99"/>
        <w:bottom w:val="single" w:sz="2" w:space="0" w:color="DEDEDF" w:themeColor="accent2" w:themeTint="99"/>
        <w:insideH w:val="single" w:sz="2" w:space="0" w:color="DEDEDF" w:themeColor="accent2" w:themeTint="99"/>
        <w:insideV w:val="single" w:sz="2" w:space="0" w:color="DEDEDF" w:themeColor="accent2" w:themeTint="99"/>
      </w:tblBorders>
      <w:tblCellMar>
        <w:top w:w="57" w:type="dxa"/>
        <w:left w:w="57" w:type="dxa"/>
        <w:bottom w:w="57" w:type="dxa"/>
        <w:right w:w="57" w:type="dxa"/>
      </w:tblCellMar>
    </w:tblPr>
    <w:tblStylePr w:type="firstRow">
      <w:rPr>
        <w:b/>
        <w:bCs/>
      </w:rPr>
      <w:tblPr/>
      <w:tcPr>
        <w:tcBorders>
          <w:top w:val="nil"/>
          <w:bottom w:val="single" w:sz="12" w:space="0" w:color="DEDEDF" w:themeColor="accent2" w:themeTint="99"/>
          <w:insideH w:val="nil"/>
          <w:insideV w:val="nil"/>
        </w:tcBorders>
        <w:shd w:val="clear" w:color="auto" w:fill="FFFFFF" w:themeFill="background1"/>
      </w:tcPr>
    </w:tblStylePr>
    <w:tblStylePr w:type="lastRow">
      <w:rPr>
        <w:b/>
        <w:bCs/>
      </w:rPr>
      <w:tblPr/>
      <w:tcPr>
        <w:tcBorders>
          <w:top w:val="double" w:sz="2" w:space="0" w:color="DEDED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GridTable2-Accent3">
    <w:name w:val="Grid Table 2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A1E2EB" w:themeColor="accent3" w:themeTint="99"/>
        <w:bottom w:val="single" w:sz="2" w:space="0" w:color="A1E2EB" w:themeColor="accent3" w:themeTint="99"/>
        <w:insideH w:val="single" w:sz="2" w:space="0" w:color="A1E2EB" w:themeColor="accent3" w:themeTint="99"/>
        <w:insideV w:val="single" w:sz="2" w:space="0" w:color="A1E2EB" w:themeColor="accent3" w:themeTint="99"/>
      </w:tblBorders>
      <w:tblCellMar>
        <w:top w:w="57" w:type="dxa"/>
        <w:left w:w="57" w:type="dxa"/>
        <w:bottom w:w="57" w:type="dxa"/>
        <w:right w:w="57" w:type="dxa"/>
      </w:tblCellMar>
    </w:tblPr>
    <w:tblStylePr w:type="firstRow">
      <w:rPr>
        <w:b/>
        <w:bCs/>
      </w:rPr>
      <w:tblPr/>
      <w:tcPr>
        <w:tcBorders>
          <w:top w:val="nil"/>
          <w:bottom w:val="single" w:sz="12" w:space="0" w:color="A1E2EB" w:themeColor="accent3" w:themeTint="99"/>
          <w:insideH w:val="nil"/>
          <w:insideV w:val="nil"/>
        </w:tcBorders>
        <w:shd w:val="clear" w:color="auto" w:fill="FFFFFF" w:themeFill="background1"/>
      </w:tcPr>
    </w:tblStylePr>
    <w:tblStylePr w:type="lastRow">
      <w:rPr>
        <w:b/>
        <w:bCs/>
      </w:rPr>
      <w:tblPr/>
      <w:tcPr>
        <w:tcBorders>
          <w:top w:val="double" w:sz="2" w:space="0" w:color="A1E2E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5F8" w:themeFill="accent3" w:themeFillTint="33"/>
      </w:tcPr>
    </w:tblStylePr>
    <w:tblStylePr w:type="band1Horz">
      <w:tblPr/>
      <w:tcPr>
        <w:shd w:val="clear" w:color="auto" w:fill="DFF5F8" w:themeFill="accent3" w:themeFillTint="33"/>
      </w:tcPr>
    </w:tblStylePr>
  </w:style>
  <w:style w:type="table" w:styleId="GridTable2-Accent4">
    <w:name w:val="Grid Table 2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C6C6C6" w:themeColor="accent4" w:themeTint="99"/>
        <w:bottom w:val="single" w:sz="2" w:space="0" w:color="C6C6C6" w:themeColor="accent4" w:themeTint="99"/>
        <w:insideH w:val="single" w:sz="2" w:space="0" w:color="C6C6C6" w:themeColor="accent4" w:themeTint="99"/>
        <w:insideV w:val="single" w:sz="2" w:space="0" w:color="C6C6C6" w:themeColor="accent4" w:themeTint="99"/>
      </w:tblBorders>
      <w:tblCellMar>
        <w:top w:w="57" w:type="dxa"/>
        <w:left w:w="57" w:type="dxa"/>
        <w:bottom w:w="57" w:type="dxa"/>
        <w:right w:w="57" w:type="dxa"/>
      </w:tblCellMar>
    </w:tblPr>
    <w:tblStylePr w:type="firstRow">
      <w:rPr>
        <w:b/>
        <w:bCs/>
      </w:rPr>
      <w:tblPr/>
      <w:tcPr>
        <w:tcBorders>
          <w:top w:val="nil"/>
          <w:bottom w:val="single" w:sz="12" w:space="0" w:color="C6C6C6" w:themeColor="accent4" w:themeTint="99"/>
          <w:insideH w:val="nil"/>
          <w:insideV w:val="nil"/>
        </w:tcBorders>
        <w:shd w:val="clear" w:color="auto" w:fill="FFFFFF" w:themeFill="background1"/>
      </w:tcPr>
    </w:tblStylePr>
    <w:tblStylePr w:type="lastRow">
      <w:rPr>
        <w:b/>
        <w:bCs/>
      </w:rPr>
      <w:tblPr/>
      <w:tcPr>
        <w:tcBorders>
          <w:top w:val="double" w:sz="2" w:space="0" w:color="C6C6C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CEC" w:themeFill="accent4" w:themeFillTint="33"/>
      </w:tcPr>
    </w:tblStylePr>
    <w:tblStylePr w:type="band1Horz">
      <w:tblPr/>
      <w:tcPr>
        <w:shd w:val="clear" w:color="auto" w:fill="ECECEC" w:themeFill="accent4" w:themeFillTint="33"/>
      </w:tcPr>
    </w:tblStylePr>
  </w:style>
  <w:style w:type="table" w:styleId="GridTable2-Accent5">
    <w:name w:val="Grid Table 2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A1E2EB" w:themeColor="accent5" w:themeTint="99"/>
        <w:bottom w:val="single" w:sz="2" w:space="0" w:color="A1E2EB" w:themeColor="accent5" w:themeTint="99"/>
        <w:insideH w:val="single" w:sz="2" w:space="0" w:color="A1E2EB" w:themeColor="accent5" w:themeTint="99"/>
        <w:insideV w:val="single" w:sz="2" w:space="0" w:color="A1E2EB" w:themeColor="accent5" w:themeTint="99"/>
      </w:tblBorders>
      <w:tblCellMar>
        <w:top w:w="57" w:type="dxa"/>
        <w:left w:w="57" w:type="dxa"/>
        <w:bottom w:w="57" w:type="dxa"/>
        <w:right w:w="57" w:type="dxa"/>
      </w:tblCellMar>
    </w:tblPr>
    <w:tblStylePr w:type="firstRow">
      <w:rPr>
        <w:b/>
        <w:bCs/>
      </w:rPr>
      <w:tblPr/>
      <w:tcPr>
        <w:tcBorders>
          <w:top w:val="nil"/>
          <w:bottom w:val="single" w:sz="12" w:space="0" w:color="A1E2EB" w:themeColor="accent5" w:themeTint="99"/>
          <w:insideH w:val="nil"/>
          <w:insideV w:val="nil"/>
        </w:tcBorders>
        <w:shd w:val="clear" w:color="auto" w:fill="FFFFFF" w:themeFill="background1"/>
      </w:tcPr>
    </w:tblStylePr>
    <w:tblStylePr w:type="lastRow">
      <w:rPr>
        <w:b/>
        <w:bCs/>
      </w:rPr>
      <w:tblPr/>
      <w:tcPr>
        <w:tcBorders>
          <w:top w:val="double" w:sz="2" w:space="0" w:color="A1E2E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5F8" w:themeFill="accent5" w:themeFillTint="33"/>
      </w:tcPr>
    </w:tblStylePr>
    <w:tblStylePr w:type="band1Horz">
      <w:tblPr/>
      <w:tcPr>
        <w:shd w:val="clear" w:color="auto" w:fill="DFF5F8" w:themeFill="accent5" w:themeFillTint="33"/>
      </w:tcPr>
    </w:tblStylePr>
  </w:style>
  <w:style w:type="table" w:styleId="GridTable2-Accent6">
    <w:name w:val="Grid Table 2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C6C6C6" w:themeColor="accent6" w:themeTint="99"/>
        <w:bottom w:val="single" w:sz="2" w:space="0" w:color="C6C6C6" w:themeColor="accent6" w:themeTint="99"/>
        <w:insideH w:val="single" w:sz="2" w:space="0" w:color="C6C6C6" w:themeColor="accent6" w:themeTint="99"/>
        <w:insideV w:val="single" w:sz="2" w:space="0" w:color="C6C6C6" w:themeColor="accent6" w:themeTint="99"/>
      </w:tblBorders>
      <w:tblCellMar>
        <w:top w:w="57" w:type="dxa"/>
        <w:left w:w="57" w:type="dxa"/>
        <w:bottom w:w="57" w:type="dxa"/>
        <w:right w:w="57" w:type="dxa"/>
      </w:tblCellMar>
    </w:tblPr>
    <w:tblStylePr w:type="firstRow">
      <w:rPr>
        <w:b/>
        <w:bCs/>
      </w:rPr>
      <w:tblPr/>
      <w:tcPr>
        <w:tcBorders>
          <w:top w:val="nil"/>
          <w:bottom w:val="single" w:sz="12" w:space="0" w:color="C6C6C6" w:themeColor="accent6" w:themeTint="99"/>
          <w:insideH w:val="nil"/>
          <w:insideV w:val="nil"/>
        </w:tcBorders>
        <w:shd w:val="clear" w:color="auto" w:fill="FFFFFF" w:themeFill="background1"/>
      </w:tcPr>
    </w:tblStylePr>
    <w:tblStylePr w:type="lastRow">
      <w:rPr>
        <w:b/>
        <w:bCs/>
      </w:rPr>
      <w:tblPr/>
      <w:tcPr>
        <w:tcBorders>
          <w:top w:val="double" w:sz="2" w:space="0" w:color="C6C6C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CEC" w:themeFill="accent6" w:themeFillTint="33"/>
      </w:tcPr>
    </w:tblStylePr>
    <w:tblStylePr w:type="band1Horz">
      <w:tblPr/>
      <w:tcPr>
        <w:shd w:val="clear" w:color="auto" w:fill="ECECEC" w:themeFill="accent6" w:themeFillTint="33"/>
      </w:tcPr>
    </w:tblStylePr>
  </w:style>
  <w:style w:type="table" w:styleId="GridTable3">
    <w:name w:val="Grid Table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1" w:themeTint="99"/>
        <w:left w:val="single" w:sz="4" w:space="0" w:color="A1E2EB" w:themeColor="accent1" w:themeTint="99"/>
        <w:bottom w:val="single" w:sz="4" w:space="0" w:color="A1E2EB" w:themeColor="accent1" w:themeTint="99"/>
        <w:right w:val="single" w:sz="4" w:space="0" w:color="A1E2EB" w:themeColor="accent1" w:themeTint="99"/>
        <w:insideH w:val="single" w:sz="4" w:space="0" w:color="A1E2EB" w:themeColor="accent1" w:themeTint="99"/>
        <w:insideV w:val="single" w:sz="4" w:space="0" w:color="A1E2EB" w:themeColor="accen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5F8" w:themeFill="accent1" w:themeFillTint="33"/>
      </w:tcPr>
    </w:tblStylePr>
    <w:tblStylePr w:type="band1Horz">
      <w:tblPr/>
      <w:tcPr>
        <w:shd w:val="clear" w:color="auto" w:fill="DFF5F8" w:themeFill="accent1" w:themeFillTint="33"/>
      </w:tcPr>
    </w:tblStylePr>
    <w:tblStylePr w:type="neCell">
      <w:tblPr/>
      <w:tcPr>
        <w:tcBorders>
          <w:bottom w:val="single" w:sz="4" w:space="0" w:color="A1E2EB" w:themeColor="accent1" w:themeTint="99"/>
        </w:tcBorders>
      </w:tcPr>
    </w:tblStylePr>
    <w:tblStylePr w:type="nwCell">
      <w:tblPr/>
      <w:tcPr>
        <w:tcBorders>
          <w:bottom w:val="single" w:sz="4" w:space="0" w:color="A1E2EB" w:themeColor="accent1" w:themeTint="99"/>
        </w:tcBorders>
      </w:tcPr>
    </w:tblStylePr>
    <w:tblStylePr w:type="seCell">
      <w:tblPr/>
      <w:tcPr>
        <w:tcBorders>
          <w:top w:val="single" w:sz="4" w:space="0" w:color="A1E2EB" w:themeColor="accent1" w:themeTint="99"/>
        </w:tcBorders>
      </w:tcPr>
    </w:tblStylePr>
    <w:tblStylePr w:type="swCell">
      <w:tblPr/>
      <w:tcPr>
        <w:tcBorders>
          <w:top w:val="single" w:sz="4" w:space="0" w:color="A1E2EB" w:themeColor="accent1" w:themeTint="99"/>
        </w:tcBorders>
      </w:tcPr>
    </w:tblStylePr>
  </w:style>
  <w:style w:type="table" w:styleId="GridTable3-Accent2">
    <w:name w:val="Grid Table 3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EDEDF" w:themeColor="accent2" w:themeTint="99"/>
        <w:left w:val="single" w:sz="4" w:space="0" w:color="DEDEDF" w:themeColor="accent2" w:themeTint="99"/>
        <w:bottom w:val="single" w:sz="4" w:space="0" w:color="DEDEDF" w:themeColor="accent2" w:themeTint="99"/>
        <w:right w:val="single" w:sz="4" w:space="0" w:color="DEDEDF" w:themeColor="accent2" w:themeTint="99"/>
        <w:insideH w:val="single" w:sz="4" w:space="0" w:color="DEDEDF" w:themeColor="accent2" w:themeTint="99"/>
        <w:insideV w:val="single" w:sz="4" w:space="0" w:color="DEDEDF" w:themeColor="accent2"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4F4" w:themeFill="accent2" w:themeFillTint="33"/>
      </w:tcPr>
    </w:tblStylePr>
    <w:tblStylePr w:type="band1Horz">
      <w:tblPr/>
      <w:tcPr>
        <w:shd w:val="clear" w:color="auto" w:fill="F4F4F4" w:themeFill="accent2" w:themeFillTint="33"/>
      </w:tcPr>
    </w:tblStylePr>
    <w:tblStylePr w:type="neCell">
      <w:tblPr/>
      <w:tcPr>
        <w:tcBorders>
          <w:bottom w:val="single" w:sz="4" w:space="0" w:color="DEDEDF" w:themeColor="accent2" w:themeTint="99"/>
        </w:tcBorders>
      </w:tcPr>
    </w:tblStylePr>
    <w:tblStylePr w:type="nwCell">
      <w:tblPr/>
      <w:tcPr>
        <w:tcBorders>
          <w:bottom w:val="single" w:sz="4" w:space="0" w:color="DEDEDF" w:themeColor="accent2" w:themeTint="99"/>
        </w:tcBorders>
      </w:tcPr>
    </w:tblStylePr>
    <w:tblStylePr w:type="seCell">
      <w:tblPr/>
      <w:tcPr>
        <w:tcBorders>
          <w:top w:val="single" w:sz="4" w:space="0" w:color="DEDEDF" w:themeColor="accent2" w:themeTint="99"/>
        </w:tcBorders>
      </w:tcPr>
    </w:tblStylePr>
    <w:tblStylePr w:type="swCell">
      <w:tblPr/>
      <w:tcPr>
        <w:tcBorders>
          <w:top w:val="single" w:sz="4" w:space="0" w:color="DEDEDF" w:themeColor="accent2" w:themeTint="99"/>
        </w:tcBorders>
      </w:tcPr>
    </w:tblStylePr>
  </w:style>
  <w:style w:type="table" w:styleId="GridTable3-Accent3">
    <w:name w:val="Grid Table 3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3" w:themeTint="99"/>
        <w:left w:val="single" w:sz="4" w:space="0" w:color="A1E2EB" w:themeColor="accent3" w:themeTint="99"/>
        <w:bottom w:val="single" w:sz="4" w:space="0" w:color="A1E2EB" w:themeColor="accent3" w:themeTint="99"/>
        <w:right w:val="single" w:sz="4" w:space="0" w:color="A1E2EB" w:themeColor="accent3" w:themeTint="99"/>
        <w:insideH w:val="single" w:sz="4" w:space="0" w:color="A1E2EB" w:themeColor="accent3" w:themeTint="99"/>
        <w:insideV w:val="single" w:sz="4" w:space="0" w:color="A1E2EB" w:themeColor="accent3"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5F8" w:themeFill="accent3" w:themeFillTint="33"/>
      </w:tcPr>
    </w:tblStylePr>
    <w:tblStylePr w:type="band1Horz">
      <w:tblPr/>
      <w:tcPr>
        <w:shd w:val="clear" w:color="auto" w:fill="DFF5F8" w:themeFill="accent3" w:themeFillTint="33"/>
      </w:tcPr>
    </w:tblStylePr>
    <w:tblStylePr w:type="neCell">
      <w:tblPr/>
      <w:tcPr>
        <w:tcBorders>
          <w:bottom w:val="single" w:sz="4" w:space="0" w:color="A1E2EB" w:themeColor="accent3" w:themeTint="99"/>
        </w:tcBorders>
      </w:tcPr>
    </w:tblStylePr>
    <w:tblStylePr w:type="nwCell">
      <w:tblPr/>
      <w:tcPr>
        <w:tcBorders>
          <w:bottom w:val="single" w:sz="4" w:space="0" w:color="A1E2EB" w:themeColor="accent3" w:themeTint="99"/>
        </w:tcBorders>
      </w:tcPr>
    </w:tblStylePr>
    <w:tblStylePr w:type="seCell">
      <w:tblPr/>
      <w:tcPr>
        <w:tcBorders>
          <w:top w:val="single" w:sz="4" w:space="0" w:color="A1E2EB" w:themeColor="accent3" w:themeTint="99"/>
        </w:tcBorders>
      </w:tcPr>
    </w:tblStylePr>
    <w:tblStylePr w:type="swCell">
      <w:tblPr/>
      <w:tcPr>
        <w:tcBorders>
          <w:top w:val="single" w:sz="4" w:space="0" w:color="A1E2EB" w:themeColor="accent3" w:themeTint="99"/>
        </w:tcBorders>
      </w:tcPr>
    </w:tblStylePr>
  </w:style>
  <w:style w:type="table" w:styleId="GridTable3-Accent4">
    <w:name w:val="Grid Table 3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4" w:themeTint="99"/>
        <w:left w:val="single" w:sz="4" w:space="0" w:color="C6C6C6" w:themeColor="accent4" w:themeTint="99"/>
        <w:bottom w:val="single" w:sz="4" w:space="0" w:color="C6C6C6" w:themeColor="accent4" w:themeTint="99"/>
        <w:right w:val="single" w:sz="4" w:space="0" w:color="C6C6C6" w:themeColor="accent4" w:themeTint="99"/>
        <w:insideH w:val="single" w:sz="4" w:space="0" w:color="C6C6C6" w:themeColor="accent4" w:themeTint="99"/>
        <w:insideV w:val="single" w:sz="4" w:space="0" w:color="C6C6C6" w:themeColor="accent4"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CEC" w:themeFill="accent4" w:themeFillTint="33"/>
      </w:tcPr>
    </w:tblStylePr>
    <w:tblStylePr w:type="band1Horz">
      <w:tblPr/>
      <w:tcPr>
        <w:shd w:val="clear" w:color="auto" w:fill="ECECEC" w:themeFill="accent4" w:themeFillTint="33"/>
      </w:tcPr>
    </w:tblStylePr>
    <w:tblStylePr w:type="neCell">
      <w:tblPr/>
      <w:tcPr>
        <w:tcBorders>
          <w:bottom w:val="single" w:sz="4" w:space="0" w:color="C6C6C6" w:themeColor="accent4" w:themeTint="99"/>
        </w:tcBorders>
      </w:tcPr>
    </w:tblStylePr>
    <w:tblStylePr w:type="nwCell">
      <w:tblPr/>
      <w:tcPr>
        <w:tcBorders>
          <w:bottom w:val="single" w:sz="4" w:space="0" w:color="C6C6C6" w:themeColor="accent4" w:themeTint="99"/>
        </w:tcBorders>
      </w:tcPr>
    </w:tblStylePr>
    <w:tblStylePr w:type="seCell">
      <w:tblPr/>
      <w:tcPr>
        <w:tcBorders>
          <w:top w:val="single" w:sz="4" w:space="0" w:color="C6C6C6" w:themeColor="accent4" w:themeTint="99"/>
        </w:tcBorders>
      </w:tcPr>
    </w:tblStylePr>
    <w:tblStylePr w:type="swCell">
      <w:tblPr/>
      <w:tcPr>
        <w:tcBorders>
          <w:top w:val="single" w:sz="4" w:space="0" w:color="C6C6C6" w:themeColor="accent4" w:themeTint="99"/>
        </w:tcBorders>
      </w:tcPr>
    </w:tblStylePr>
  </w:style>
  <w:style w:type="table" w:styleId="GridTable3-Accent5">
    <w:name w:val="Grid Table 3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5" w:themeTint="99"/>
        <w:left w:val="single" w:sz="4" w:space="0" w:color="A1E2EB" w:themeColor="accent5" w:themeTint="99"/>
        <w:bottom w:val="single" w:sz="4" w:space="0" w:color="A1E2EB" w:themeColor="accent5" w:themeTint="99"/>
        <w:right w:val="single" w:sz="4" w:space="0" w:color="A1E2EB" w:themeColor="accent5" w:themeTint="99"/>
        <w:insideH w:val="single" w:sz="4" w:space="0" w:color="A1E2EB" w:themeColor="accent5" w:themeTint="99"/>
        <w:insideV w:val="single" w:sz="4" w:space="0" w:color="A1E2EB" w:themeColor="accent5"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5F8" w:themeFill="accent5" w:themeFillTint="33"/>
      </w:tcPr>
    </w:tblStylePr>
    <w:tblStylePr w:type="band1Horz">
      <w:tblPr/>
      <w:tcPr>
        <w:shd w:val="clear" w:color="auto" w:fill="DFF5F8" w:themeFill="accent5" w:themeFillTint="33"/>
      </w:tcPr>
    </w:tblStylePr>
    <w:tblStylePr w:type="neCell">
      <w:tblPr/>
      <w:tcPr>
        <w:tcBorders>
          <w:bottom w:val="single" w:sz="4" w:space="0" w:color="A1E2EB" w:themeColor="accent5" w:themeTint="99"/>
        </w:tcBorders>
      </w:tcPr>
    </w:tblStylePr>
    <w:tblStylePr w:type="nwCell">
      <w:tblPr/>
      <w:tcPr>
        <w:tcBorders>
          <w:bottom w:val="single" w:sz="4" w:space="0" w:color="A1E2EB" w:themeColor="accent5" w:themeTint="99"/>
        </w:tcBorders>
      </w:tcPr>
    </w:tblStylePr>
    <w:tblStylePr w:type="seCell">
      <w:tblPr/>
      <w:tcPr>
        <w:tcBorders>
          <w:top w:val="single" w:sz="4" w:space="0" w:color="A1E2EB" w:themeColor="accent5" w:themeTint="99"/>
        </w:tcBorders>
      </w:tcPr>
    </w:tblStylePr>
    <w:tblStylePr w:type="swCell">
      <w:tblPr/>
      <w:tcPr>
        <w:tcBorders>
          <w:top w:val="single" w:sz="4" w:space="0" w:color="A1E2EB" w:themeColor="accent5" w:themeTint="99"/>
        </w:tcBorders>
      </w:tcPr>
    </w:tblStylePr>
  </w:style>
  <w:style w:type="table" w:styleId="GridTable3-Accent6">
    <w:name w:val="Grid Table 3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6" w:themeTint="99"/>
        <w:left w:val="single" w:sz="4" w:space="0" w:color="C6C6C6" w:themeColor="accent6" w:themeTint="99"/>
        <w:bottom w:val="single" w:sz="4" w:space="0" w:color="C6C6C6" w:themeColor="accent6" w:themeTint="99"/>
        <w:right w:val="single" w:sz="4" w:space="0" w:color="C6C6C6" w:themeColor="accent6" w:themeTint="99"/>
        <w:insideH w:val="single" w:sz="4" w:space="0" w:color="C6C6C6" w:themeColor="accent6" w:themeTint="99"/>
        <w:insideV w:val="single" w:sz="4" w:space="0" w:color="C6C6C6" w:themeColor="accent6"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CEC" w:themeFill="accent6" w:themeFillTint="33"/>
      </w:tcPr>
    </w:tblStylePr>
    <w:tblStylePr w:type="band1Horz">
      <w:tblPr/>
      <w:tcPr>
        <w:shd w:val="clear" w:color="auto" w:fill="ECECEC" w:themeFill="accent6" w:themeFillTint="33"/>
      </w:tcPr>
    </w:tblStylePr>
    <w:tblStylePr w:type="neCell">
      <w:tblPr/>
      <w:tcPr>
        <w:tcBorders>
          <w:bottom w:val="single" w:sz="4" w:space="0" w:color="C6C6C6" w:themeColor="accent6" w:themeTint="99"/>
        </w:tcBorders>
      </w:tcPr>
    </w:tblStylePr>
    <w:tblStylePr w:type="nwCell">
      <w:tblPr/>
      <w:tcPr>
        <w:tcBorders>
          <w:bottom w:val="single" w:sz="4" w:space="0" w:color="C6C6C6" w:themeColor="accent6" w:themeTint="99"/>
        </w:tcBorders>
      </w:tcPr>
    </w:tblStylePr>
    <w:tblStylePr w:type="seCell">
      <w:tblPr/>
      <w:tcPr>
        <w:tcBorders>
          <w:top w:val="single" w:sz="4" w:space="0" w:color="C6C6C6" w:themeColor="accent6" w:themeTint="99"/>
        </w:tcBorders>
      </w:tcPr>
    </w:tblStylePr>
    <w:tblStylePr w:type="swCell">
      <w:tblPr/>
      <w:tcPr>
        <w:tcBorders>
          <w:top w:val="single" w:sz="4" w:space="0" w:color="C6C6C6" w:themeColor="accent6" w:themeTint="99"/>
        </w:tcBorders>
      </w:tcPr>
    </w:tblStylePr>
  </w:style>
  <w:style w:type="table" w:styleId="GridTable4">
    <w:name w:val="Grid Table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1" w:themeTint="99"/>
        <w:left w:val="single" w:sz="4" w:space="0" w:color="A1E2EB" w:themeColor="accent1" w:themeTint="99"/>
        <w:bottom w:val="single" w:sz="4" w:space="0" w:color="A1E2EB" w:themeColor="accent1" w:themeTint="99"/>
        <w:right w:val="single" w:sz="4" w:space="0" w:color="A1E2EB" w:themeColor="accent1" w:themeTint="99"/>
        <w:insideH w:val="single" w:sz="4" w:space="0" w:color="A1E2EB" w:themeColor="accent1" w:themeTint="99"/>
        <w:insideV w:val="single" w:sz="4" w:space="0" w:color="A1E2EB" w:themeColor="accen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63D0DF" w:themeColor="accent1"/>
          <w:left w:val="single" w:sz="4" w:space="0" w:color="63D0DF" w:themeColor="accent1"/>
          <w:bottom w:val="single" w:sz="4" w:space="0" w:color="63D0DF" w:themeColor="accent1"/>
          <w:right w:val="single" w:sz="4" w:space="0" w:color="63D0DF" w:themeColor="accent1"/>
          <w:insideH w:val="nil"/>
          <w:insideV w:val="nil"/>
        </w:tcBorders>
        <w:shd w:val="clear" w:color="auto" w:fill="63D0DF" w:themeFill="accent1"/>
      </w:tcPr>
    </w:tblStylePr>
    <w:tblStylePr w:type="lastRow">
      <w:rPr>
        <w:b/>
        <w:bCs/>
      </w:rPr>
      <w:tblPr/>
      <w:tcPr>
        <w:tcBorders>
          <w:top w:val="double" w:sz="4" w:space="0" w:color="63D0DF" w:themeColor="accent1"/>
        </w:tcBorders>
      </w:tcPr>
    </w:tblStylePr>
    <w:tblStylePr w:type="firstCol">
      <w:rPr>
        <w:b/>
        <w:bCs/>
      </w:rPr>
    </w:tblStylePr>
    <w:tblStylePr w:type="lastCol">
      <w:rPr>
        <w:b/>
        <w:bCs/>
      </w:rPr>
    </w:tblStylePr>
    <w:tblStylePr w:type="band1Vert">
      <w:tblPr/>
      <w:tcPr>
        <w:shd w:val="clear" w:color="auto" w:fill="DFF5F8" w:themeFill="accent1" w:themeFillTint="33"/>
      </w:tcPr>
    </w:tblStylePr>
    <w:tblStylePr w:type="band1Horz">
      <w:tblPr/>
      <w:tcPr>
        <w:shd w:val="clear" w:color="auto" w:fill="DFF5F8" w:themeFill="accent1" w:themeFillTint="33"/>
      </w:tcPr>
    </w:tblStylePr>
  </w:style>
  <w:style w:type="table" w:styleId="GridTable4-Accent2">
    <w:name w:val="Grid Table 4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EDEDF" w:themeColor="accent2" w:themeTint="99"/>
        <w:left w:val="single" w:sz="4" w:space="0" w:color="DEDEDF" w:themeColor="accent2" w:themeTint="99"/>
        <w:bottom w:val="single" w:sz="4" w:space="0" w:color="DEDEDF" w:themeColor="accent2" w:themeTint="99"/>
        <w:right w:val="single" w:sz="4" w:space="0" w:color="DEDEDF" w:themeColor="accent2" w:themeTint="99"/>
        <w:insideH w:val="single" w:sz="4" w:space="0" w:color="DEDEDF" w:themeColor="accent2" w:themeTint="99"/>
        <w:insideV w:val="single" w:sz="4" w:space="0" w:color="DEDEDF" w:themeColor="accent2"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C9C9CA" w:themeColor="accent2"/>
          <w:left w:val="single" w:sz="4" w:space="0" w:color="C9C9CA" w:themeColor="accent2"/>
          <w:bottom w:val="single" w:sz="4" w:space="0" w:color="C9C9CA" w:themeColor="accent2"/>
          <w:right w:val="single" w:sz="4" w:space="0" w:color="C9C9CA" w:themeColor="accent2"/>
          <w:insideH w:val="nil"/>
          <w:insideV w:val="nil"/>
        </w:tcBorders>
        <w:shd w:val="clear" w:color="auto" w:fill="C9C9CA" w:themeFill="accent2"/>
      </w:tcPr>
    </w:tblStylePr>
    <w:tblStylePr w:type="lastRow">
      <w:rPr>
        <w:b/>
        <w:bCs/>
      </w:rPr>
      <w:tblPr/>
      <w:tcPr>
        <w:tcBorders>
          <w:top w:val="double" w:sz="4" w:space="0" w:color="C9C9CA" w:themeColor="accent2"/>
        </w:tcBorders>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GridTable4-Accent3">
    <w:name w:val="Grid Table 4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3" w:themeTint="99"/>
        <w:left w:val="single" w:sz="4" w:space="0" w:color="A1E2EB" w:themeColor="accent3" w:themeTint="99"/>
        <w:bottom w:val="single" w:sz="4" w:space="0" w:color="A1E2EB" w:themeColor="accent3" w:themeTint="99"/>
        <w:right w:val="single" w:sz="4" w:space="0" w:color="A1E2EB" w:themeColor="accent3" w:themeTint="99"/>
        <w:insideH w:val="single" w:sz="4" w:space="0" w:color="A1E2EB" w:themeColor="accent3" w:themeTint="99"/>
        <w:insideV w:val="single" w:sz="4" w:space="0" w:color="A1E2EB" w:themeColor="accent3"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63D0DF" w:themeColor="accent3"/>
          <w:left w:val="single" w:sz="4" w:space="0" w:color="63D0DF" w:themeColor="accent3"/>
          <w:bottom w:val="single" w:sz="4" w:space="0" w:color="63D0DF" w:themeColor="accent3"/>
          <w:right w:val="single" w:sz="4" w:space="0" w:color="63D0DF" w:themeColor="accent3"/>
          <w:insideH w:val="nil"/>
          <w:insideV w:val="nil"/>
        </w:tcBorders>
        <w:shd w:val="clear" w:color="auto" w:fill="63D0DF" w:themeFill="accent3"/>
      </w:tcPr>
    </w:tblStylePr>
    <w:tblStylePr w:type="lastRow">
      <w:rPr>
        <w:b/>
        <w:bCs/>
      </w:rPr>
      <w:tblPr/>
      <w:tcPr>
        <w:tcBorders>
          <w:top w:val="double" w:sz="4" w:space="0" w:color="63D0DF" w:themeColor="accent3"/>
        </w:tcBorders>
      </w:tcPr>
    </w:tblStylePr>
    <w:tblStylePr w:type="firstCol">
      <w:rPr>
        <w:b/>
        <w:bCs/>
      </w:rPr>
    </w:tblStylePr>
    <w:tblStylePr w:type="lastCol">
      <w:rPr>
        <w:b/>
        <w:bCs/>
      </w:rPr>
    </w:tblStylePr>
    <w:tblStylePr w:type="band1Vert">
      <w:tblPr/>
      <w:tcPr>
        <w:shd w:val="clear" w:color="auto" w:fill="DFF5F8" w:themeFill="accent3" w:themeFillTint="33"/>
      </w:tcPr>
    </w:tblStylePr>
    <w:tblStylePr w:type="band1Horz">
      <w:tblPr/>
      <w:tcPr>
        <w:shd w:val="clear" w:color="auto" w:fill="DFF5F8" w:themeFill="accent3" w:themeFillTint="33"/>
      </w:tcPr>
    </w:tblStylePr>
  </w:style>
  <w:style w:type="table" w:styleId="GridTable4-Accent4">
    <w:name w:val="Grid Table 4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4" w:themeTint="99"/>
        <w:left w:val="single" w:sz="4" w:space="0" w:color="C6C6C6" w:themeColor="accent4" w:themeTint="99"/>
        <w:bottom w:val="single" w:sz="4" w:space="0" w:color="C6C6C6" w:themeColor="accent4" w:themeTint="99"/>
        <w:right w:val="single" w:sz="4" w:space="0" w:color="C6C6C6" w:themeColor="accent4" w:themeTint="99"/>
        <w:insideH w:val="single" w:sz="4" w:space="0" w:color="C6C6C6" w:themeColor="accent4" w:themeTint="99"/>
        <w:insideV w:val="single" w:sz="4" w:space="0" w:color="C6C6C6" w:themeColor="accent4"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A1A1A1" w:themeColor="accent4"/>
          <w:left w:val="single" w:sz="4" w:space="0" w:color="A1A1A1" w:themeColor="accent4"/>
          <w:bottom w:val="single" w:sz="4" w:space="0" w:color="A1A1A1" w:themeColor="accent4"/>
          <w:right w:val="single" w:sz="4" w:space="0" w:color="A1A1A1" w:themeColor="accent4"/>
          <w:insideH w:val="nil"/>
          <w:insideV w:val="nil"/>
        </w:tcBorders>
        <w:shd w:val="clear" w:color="auto" w:fill="A1A1A1" w:themeFill="accent4"/>
      </w:tcPr>
    </w:tblStylePr>
    <w:tblStylePr w:type="lastRow">
      <w:rPr>
        <w:b/>
        <w:bCs/>
      </w:rPr>
      <w:tblPr/>
      <w:tcPr>
        <w:tcBorders>
          <w:top w:val="double" w:sz="4" w:space="0" w:color="A1A1A1" w:themeColor="accent4"/>
        </w:tcBorders>
      </w:tcPr>
    </w:tblStylePr>
    <w:tblStylePr w:type="firstCol">
      <w:rPr>
        <w:b/>
        <w:bCs/>
      </w:rPr>
    </w:tblStylePr>
    <w:tblStylePr w:type="lastCol">
      <w:rPr>
        <w:b/>
        <w:bCs/>
      </w:rPr>
    </w:tblStylePr>
    <w:tblStylePr w:type="band1Vert">
      <w:tblPr/>
      <w:tcPr>
        <w:shd w:val="clear" w:color="auto" w:fill="ECECEC" w:themeFill="accent4" w:themeFillTint="33"/>
      </w:tcPr>
    </w:tblStylePr>
    <w:tblStylePr w:type="band1Horz">
      <w:tblPr/>
      <w:tcPr>
        <w:shd w:val="clear" w:color="auto" w:fill="ECECEC" w:themeFill="accent4" w:themeFillTint="33"/>
      </w:tcPr>
    </w:tblStylePr>
  </w:style>
  <w:style w:type="table" w:styleId="GridTable4-Accent5">
    <w:name w:val="Grid Table 4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5" w:themeTint="99"/>
        <w:left w:val="single" w:sz="4" w:space="0" w:color="A1E2EB" w:themeColor="accent5" w:themeTint="99"/>
        <w:bottom w:val="single" w:sz="4" w:space="0" w:color="A1E2EB" w:themeColor="accent5" w:themeTint="99"/>
        <w:right w:val="single" w:sz="4" w:space="0" w:color="A1E2EB" w:themeColor="accent5" w:themeTint="99"/>
        <w:insideH w:val="single" w:sz="4" w:space="0" w:color="A1E2EB" w:themeColor="accent5" w:themeTint="99"/>
        <w:insideV w:val="single" w:sz="4" w:space="0" w:color="A1E2EB" w:themeColor="accent5"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63D0DF" w:themeColor="accent5"/>
          <w:left w:val="single" w:sz="4" w:space="0" w:color="63D0DF" w:themeColor="accent5"/>
          <w:bottom w:val="single" w:sz="4" w:space="0" w:color="63D0DF" w:themeColor="accent5"/>
          <w:right w:val="single" w:sz="4" w:space="0" w:color="63D0DF" w:themeColor="accent5"/>
          <w:insideH w:val="nil"/>
          <w:insideV w:val="nil"/>
        </w:tcBorders>
        <w:shd w:val="clear" w:color="auto" w:fill="63D0DF" w:themeFill="accent5"/>
      </w:tcPr>
    </w:tblStylePr>
    <w:tblStylePr w:type="lastRow">
      <w:rPr>
        <w:b/>
        <w:bCs/>
      </w:rPr>
      <w:tblPr/>
      <w:tcPr>
        <w:tcBorders>
          <w:top w:val="double" w:sz="4" w:space="0" w:color="63D0DF" w:themeColor="accent5"/>
        </w:tcBorders>
      </w:tcPr>
    </w:tblStylePr>
    <w:tblStylePr w:type="firstCol">
      <w:rPr>
        <w:b/>
        <w:bCs/>
      </w:rPr>
    </w:tblStylePr>
    <w:tblStylePr w:type="lastCol">
      <w:rPr>
        <w:b/>
        <w:bCs/>
      </w:rPr>
    </w:tblStylePr>
    <w:tblStylePr w:type="band1Vert">
      <w:tblPr/>
      <w:tcPr>
        <w:shd w:val="clear" w:color="auto" w:fill="DFF5F8" w:themeFill="accent5" w:themeFillTint="33"/>
      </w:tcPr>
    </w:tblStylePr>
    <w:tblStylePr w:type="band1Horz">
      <w:tblPr/>
      <w:tcPr>
        <w:shd w:val="clear" w:color="auto" w:fill="DFF5F8" w:themeFill="accent5" w:themeFillTint="33"/>
      </w:tcPr>
    </w:tblStylePr>
  </w:style>
  <w:style w:type="table" w:styleId="GridTable4-Accent6">
    <w:name w:val="Grid Table 4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6" w:themeTint="99"/>
        <w:left w:val="single" w:sz="4" w:space="0" w:color="C6C6C6" w:themeColor="accent6" w:themeTint="99"/>
        <w:bottom w:val="single" w:sz="4" w:space="0" w:color="C6C6C6" w:themeColor="accent6" w:themeTint="99"/>
        <w:right w:val="single" w:sz="4" w:space="0" w:color="C6C6C6" w:themeColor="accent6" w:themeTint="99"/>
        <w:insideH w:val="single" w:sz="4" w:space="0" w:color="C6C6C6" w:themeColor="accent6" w:themeTint="99"/>
        <w:insideV w:val="single" w:sz="4" w:space="0" w:color="C6C6C6" w:themeColor="accent6"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A1A1A1" w:themeColor="accent6"/>
          <w:left w:val="single" w:sz="4" w:space="0" w:color="A1A1A1" w:themeColor="accent6"/>
          <w:bottom w:val="single" w:sz="4" w:space="0" w:color="A1A1A1" w:themeColor="accent6"/>
          <w:right w:val="single" w:sz="4" w:space="0" w:color="A1A1A1" w:themeColor="accent6"/>
          <w:insideH w:val="nil"/>
          <w:insideV w:val="nil"/>
        </w:tcBorders>
        <w:shd w:val="clear" w:color="auto" w:fill="A1A1A1" w:themeFill="accent6"/>
      </w:tcPr>
    </w:tblStylePr>
    <w:tblStylePr w:type="lastRow">
      <w:rPr>
        <w:b/>
        <w:bCs/>
      </w:rPr>
      <w:tblPr/>
      <w:tcPr>
        <w:tcBorders>
          <w:top w:val="double" w:sz="4" w:space="0" w:color="A1A1A1" w:themeColor="accent6"/>
        </w:tcBorders>
      </w:tcPr>
    </w:tblStylePr>
    <w:tblStylePr w:type="firstCol">
      <w:rPr>
        <w:b/>
        <w:bCs/>
      </w:rPr>
    </w:tblStylePr>
    <w:tblStylePr w:type="lastCol">
      <w:rPr>
        <w:b/>
        <w:bCs/>
      </w:rPr>
    </w:tblStylePr>
    <w:tblStylePr w:type="band1Vert">
      <w:tblPr/>
      <w:tcPr>
        <w:shd w:val="clear" w:color="auto" w:fill="ECECEC" w:themeFill="accent6" w:themeFillTint="33"/>
      </w:tcPr>
    </w:tblStylePr>
    <w:tblStylePr w:type="band1Horz">
      <w:tblPr/>
      <w:tcPr>
        <w:shd w:val="clear" w:color="auto" w:fill="ECECEC" w:themeFill="accent6" w:themeFillTint="33"/>
      </w:tcPr>
    </w:tblStylePr>
  </w:style>
  <w:style w:type="table" w:styleId="GridTable5Dark">
    <w:name w:val="Grid Table 5 Dark"/>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DFF5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D0D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D0D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D0D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D0DF" w:themeFill="accent1"/>
      </w:tcPr>
    </w:tblStylePr>
    <w:tblStylePr w:type="band1Vert">
      <w:tblPr/>
      <w:tcPr>
        <w:shd w:val="clear" w:color="auto" w:fill="C0ECF2" w:themeFill="accent1" w:themeFillTint="66"/>
      </w:tcPr>
    </w:tblStylePr>
    <w:tblStylePr w:type="band1Horz">
      <w:tblPr/>
      <w:tcPr>
        <w:shd w:val="clear" w:color="auto" w:fill="C0ECF2" w:themeFill="accent1" w:themeFillTint="66"/>
      </w:tcPr>
    </w:tblStylePr>
  </w:style>
  <w:style w:type="table" w:styleId="GridTable5Dark-Accent2">
    <w:name w:val="Grid Table 5 Dark Accent 2"/>
    <w:basedOn w:val="TableNormal"/>
    <w:uiPriority w:val="50"/>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4F4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9C9C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9C9C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9C9C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9C9CA" w:themeFill="accent2"/>
      </w:tcPr>
    </w:tblStylePr>
    <w:tblStylePr w:type="band1Vert">
      <w:tblPr/>
      <w:tcPr>
        <w:shd w:val="clear" w:color="auto" w:fill="E9E9E9" w:themeFill="accent2" w:themeFillTint="66"/>
      </w:tcPr>
    </w:tblStylePr>
    <w:tblStylePr w:type="band1Horz">
      <w:tblPr/>
      <w:tcPr>
        <w:shd w:val="clear" w:color="auto" w:fill="E9E9E9" w:themeFill="accent2" w:themeFillTint="66"/>
      </w:tcPr>
    </w:tblStylePr>
  </w:style>
  <w:style w:type="table" w:styleId="GridTable5Dark-Accent3">
    <w:name w:val="Grid Table 5 Dark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DFF5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D0D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D0D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D0D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D0DF" w:themeFill="accent3"/>
      </w:tcPr>
    </w:tblStylePr>
    <w:tblStylePr w:type="band1Vert">
      <w:tblPr/>
      <w:tcPr>
        <w:shd w:val="clear" w:color="auto" w:fill="C0ECF2" w:themeFill="accent3" w:themeFillTint="66"/>
      </w:tcPr>
    </w:tblStylePr>
    <w:tblStylePr w:type="band1Horz">
      <w:tblPr/>
      <w:tcPr>
        <w:shd w:val="clear" w:color="auto" w:fill="C0ECF2" w:themeFill="accent3" w:themeFillTint="66"/>
      </w:tcPr>
    </w:tblStylePr>
  </w:style>
  <w:style w:type="table" w:styleId="GridTable5Dark-Accent4">
    <w:name w:val="Grid Table 5 Dark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ECEC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1A1A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1A1A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1A1A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1A1A1" w:themeFill="accent4"/>
      </w:tcPr>
    </w:tblStylePr>
    <w:tblStylePr w:type="band1Vert">
      <w:tblPr/>
      <w:tcPr>
        <w:shd w:val="clear" w:color="auto" w:fill="D9D9D9" w:themeFill="accent4" w:themeFillTint="66"/>
      </w:tcPr>
    </w:tblStylePr>
    <w:tblStylePr w:type="band1Horz">
      <w:tblPr/>
      <w:tcPr>
        <w:shd w:val="clear" w:color="auto" w:fill="D9D9D9" w:themeFill="accent4" w:themeFillTint="66"/>
      </w:tcPr>
    </w:tblStylePr>
  </w:style>
  <w:style w:type="table" w:styleId="GridTable5Dark-Accent5">
    <w:name w:val="Grid Table 5 Dark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DFF5F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D0D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D0D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D0D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D0DF" w:themeFill="accent5"/>
      </w:tcPr>
    </w:tblStylePr>
    <w:tblStylePr w:type="band1Vert">
      <w:tblPr/>
      <w:tcPr>
        <w:shd w:val="clear" w:color="auto" w:fill="C0ECF2" w:themeFill="accent5" w:themeFillTint="66"/>
      </w:tcPr>
    </w:tblStylePr>
    <w:tblStylePr w:type="band1Horz">
      <w:tblPr/>
      <w:tcPr>
        <w:shd w:val="clear" w:color="auto" w:fill="C0ECF2" w:themeFill="accent5" w:themeFillTint="66"/>
      </w:tcPr>
    </w:tblStylePr>
  </w:style>
  <w:style w:type="table" w:styleId="GridTable5Dark-Accent6">
    <w:name w:val="Grid Table 5 Dark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ECEC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1A1A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1A1A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1A1A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1A1A1" w:themeFill="accent6"/>
      </w:tcPr>
    </w:tblStylePr>
    <w:tblStylePr w:type="band1Vert">
      <w:tblPr/>
      <w:tcPr>
        <w:shd w:val="clear" w:color="auto" w:fill="D9D9D9" w:themeFill="accent6" w:themeFillTint="66"/>
      </w:tcPr>
    </w:tblStylePr>
    <w:tblStylePr w:type="band1Horz">
      <w:tblPr/>
      <w:tcPr>
        <w:shd w:val="clear" w:color="auto" w:fill="D9D9D9" w:themeFill="accent6" w:themeFillTint="66"/>
      </w:tcPr>
    </w:tblStylePr>
  </w:style>
  <w:style w:type="table" w:styleId="GridTable6Colorful">
    <w:name w:val="Grid Table 6 Colorful"/>
    <w:basedOn w:val="TableNormal"/>
    <w:uiPriority w:val="98"/>
    <w:semiHidden/>
    <w:rsid w:val="00573428"/>
    <w:rPr>
      <w:rFonts w:asciiTheme="minorHAnsi" w:eastAsia="Century Gothic" w:hAnsi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left w:w="57" w:type="dxa"/>
        <w:bottom w:w="57" w:type="dxa"/>
        <w:right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8"/>
    <w:semiHidden/>
    <w:rsid w:val="00573428"/>
    <w:rPr>
      <w:rFonts w:asciiTheme="minorHAnsi" w:eastAsia="Century Gothic" w:hAnsiTheme="minorHAnsi" w:cstheme="minorBidi"/>
      <w:color w:val="29B4C7" w:themeColor="accent1" w:themeShade="BF"/>
      <w:lang w:eastAsia="en-US"/>
    </w:rPr>
    <w:tblPr>
      <w:tblStyleRowBandSize w:val="1"/>
      <w:tblStyleColBandSize w:val="1"/>
      <w:tblBorders>
        <w:top w:val="single" w:sz="4" w:space="0" w:color="A1E2EB" w:themeColor="accent1" w:themeTint="99"/>
        <w:left w:val="single" w:sz="4" w:space="0" w:color="A1E2EB" w:themeColor="accent1" w:themeTint="99"/>
        <w:bottom w:val="single" w:sz="4" w:space="0" w:color="A1E2EB" w:themeColor="accent1" w:themeTint="99"/>
        <w:right w:val="single" w:sz="4" w:space="0" w:color="A1E2EB" w:themeColor="accent1" w:themeTint="99"/>
        <w:insideH w:val="single" w:sz="4" w:space="0" w:color="A1E2EB" w:themeColor="accent1" w:themeTint="99"/>
        <w:insideV w:val="single" w:sz="4" w:space="0" w:color="A1E2EB" w:themeColor="accent1" w:themeTint="99"/>
      </w:tblBorders>
      <w:tblCellMar>
        <w:top w:w="57" w:type="dxa"/>
        <w:left w:w="57" w:type="dxa"/>
        <w:bottom w:w="57" w:type="dxa"/>
        <w:right w:w="57" w:type="dxa"/>
      </w:tblCellMar>
    </w:tblPr>
    <w:tblStylePr w:type="firstRow">
      <w:rPr>
        <w:b/>
        <w:bCs/>
      </w:rPr>
      <w:tblPr/>
      <w:tcPr>
        <w:tcBorders>
          <w:bottom w:val="single" w:sz="12" w:space="0" w:color="A1E2EB" w:themeColor="accent1" w:themeTint="99"/>
        </w:tcBorders>
      </w:tcPr>
    </w:tblStylePr>
    <w:tblStylePr w:type="lastRow">
      <w:rPr>
        <w:b/>
        <w:bCs/>
      </w:rPr>
      <w:tblPr/>
      <w:tcPr>
        <w:tcBorders>
          <w:top w:val="double" w:sz="4" w:space="0" w:color="A1E2EB" w:themeColor="accent1" w:themeTint="99"/>
        </w:tcBorders>
      </w:tcPr>
    </w:tblStylePr>
    <w:tblStylePr w:type="firstCol">
      <w:rPr>
        <w:b/>
        <w:bCs/>
      </w:rPr>
    </w:tblStylePr>
    <w:tblStylePr w:type="lastCol">
      <w:rPr>
        <w:b/>
        <w:bCs/>
      </w:rPr>
    </w:tblStylePr>
    <w:tblStylePr w:type="band1Vert">
      <w:tblPr/>
      <w:tcPr>
        <w:shd w:val="clear" w:color="auto" w:fill="DFF5F8" w:themeFill="accent1" w:themeFillTint="33"/>
      </w:tcPr>
    </w:tblStylePr>
    <w:tblStylePr w:type="band1Horz">
      <w:tblPr/>
      <w:tcPr>
        <w:shd w:val="clear" w:color="auto" w:fill="DFF5F8" w:themeFill="accent1" w:themeFillTint="33"/>
      </w:tcPr>
    </w:tblStylePr>
  </w:style>
  <w:style w:type="table" w:styleId="GridTable6Colorful-Accent2">
    <w:name w:val="Grid Table 6 Colorful Accent 2"/>
    <w:basedOn w:val="TableNormal"/>
    <w:uiPriority w:val="98"/>
    <w:semiHidden/>
    <w:rsid w:val="00573428"/>
    <w:rPr>
      <w:rFonts w:asciiTheme="minorHAnsi" w:eastAsia="Century Gothic" w:hAnsiTheme="minorHAnsi" w:cstheme="minorBidi"/>
      <w:color w:val="959597" w:themeColor="accent2" w:themeShade="BF"/>
      <w:lang w:eastAsia="en-US"/>
    </w:rPr>
    <w:tblPr>
      <w:tblStyleRowBandSize w:val="1"/>
      <w:tblStyleColBandSize w:val="1"/>
      <w:tblBorders>
        <w:top w:val="single" w:sz="4" w:space="0" w:color="DEDEDF" w:themeColor="accent2" w:themeTint="99"/>
        <w:left w:val="single" w:sz="4" w:space="0" w:color="DEDEDF" w:themeColor="accent2" w:themeTint="99"/>
        <w:bottom w:val="single" w:sz="4" w:space="0" w:color="DEDEDF" w:themeColor="accent2" w:themeTint="99"/>
        <w:right w:val="single" w:sz="4" w:space="0" w:color="DEDEDF" w:themeColor="accent2" w:themeTint="99"/>
        <w:insideH w:val="single" w:sz="4" w:space="0" w:color="DEDEDF" w:themeColor="accent2" w:themeTint="99"/>
        <w:insideV w:val="single" w:sz="4" w:space="0" w:color="DEDEDF" w:themeColor="accent2" w:themeTint="99"/>
      </w:tblBorders>
      <w:tblCellMar>
        <w:top w:w="57" w:type="dxa"/>
        <w:left w:w="57" w:type="dxa"/>
        <w:bottom w:w="57" w:type="dxa"/>
        <w:right w:w="57" w:type="dxa"/>
      </w:tblCellMar>
    </w:tblPr>
    <w:tblStylePr w:type="firstRow">
      <w:rPr>
        <w:b/>
        <w:bCs/>
      </w:rPr>
      <w:tblPr/>
      <w:tcPr>
        <w:tcBorders>
          <w:bottom w:val="single" w:sz="12" w:space="0" w:color="DEDEDF" w:themeColor="accent2" w:themeTint="99"/>
        </w:tcBorders>
      </w:tcPr>
    </w:tblStylePr>
    <w:tblStylePr w:type="lastRow">
      <w:rPr>
        <w:b/>
        <w:bCs/>
      </w:rPr>
      <w:tblPr/>
      <w:tcPr>
        <w:tcBorders>
          <w:top w:val="double" w:sz="4" w:space="0" w:color="DEDEDF" w:themeColor="accent2" w:themeTint="99"/>
        </w:tcBorders>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GridTable6Colorful-Accent3">
    <w:name w:val="Grid Table 6 Colorful Accent 3"/>
    <w:basedOn w:val="TableNormal"/>
    <w:uiPriority w:val="98"/>
    <w:semiHidden/>
    <w:rsid w:val="00573428"/>
    <w:rPr>
      <w:rFonts w:asciiTheme="minorHAnsi" w:eastAsia="Century Gothic" w:hAnsiTheme="minorHAnsi" w:cstheme="minorBidi"/>
      <w:color w:val="29B4C7" w:themeColor="accent3" w:themeShade="BF"/>
      <w:lang w:eastAsia="en-US"/>
    </w:rPr>
    <w:tblPr>
      <w:tblStyleRowBandSize w:val="1"/>
      <w:tblStyleColBandSize w:val="1"/>
      <w:tblBorders>
        <w:top w:val="single" w:sz="4" w:space="0" w:color="A1E2EB" w:themeColor="accent3" w:themeTint="99"/>
        <w:left w:val="single" w:sz="4" w:space="0" w:color="A1E2EB" w:themeColor="accent3" w:themeTint="99"/>
        <w:bottom w:val="single" w:sz="4" w:space="0" w:color="A1E2EB" w:themeColor="accent3" w:themeTint="99"/>
        <w:right w:val="single" w:sz="4" w:space="0" w:color="A1E2EB" w:themeColor="accent3" w:themeTint="99"/>
        <w:insideH w:val="single" w:sz="4" w:space="0" w:color="A1E2EB" w:themeColor="accent3" w:themeTint="99"/>
        <w:insideV w:val="single" w:sz="4" w:space="0" w:color="A1E2EB" w:themeColor="accent3" w:themeTint="99"/>
      </w:tblBorders>
      <w:tblCellMar>
        <w:top w:w="57" w:type="dxa"/>
        <w:left w:w="57" w:type="dxa"/>
        <w:bottom w:w="57" w:type="dxa"/>
        <w:right w:w="57" w:type="dxa"/>
      </w:tblCellMar>
    </w:tblPr>
    <w:tblStylePr w:type="firstRow">
      <w:rPr>
        <w:b/>
        <w:bCs/>
      </w:rPr>
      <w:tblPr/>
      <w:tcPr>
        <w:tcBorders>
          <w:bottom w:val="single" w:sz="12" w:space="0" w:color="A1E2EB" w:themeColor="accent3" w:themeTint="99"/>
        </w:tcBorders>
      </w:tcPr>
    </w:tblStylePr>
    <w:tblStylePr w:type="lastRow">
      <w:rPr>
        <w:b/>
        <w:bCs/>
      </w:rPr>
      <w:tblPr/>
      <w:tcPr>
        <w:tcBorders>
          <w:top w:val="double" w:sz="4" w:space="0" w:color="A1E2EB" w:themeColor="accent3" w:themeTint="99"/>
        </w:tcBorders>
      </w:tcPr>
    </w:tblStylePr>
    <w:tblStylePr w:type="firstCol">
      <w:rPr>
        <w:b/>
        <w:bCs/>
      </w:rPr>
    </w:tblStylePr>
    <w:tblStylePr w:type="lastCol">
      <w:rPr>
        <w:b/>
        <w:bCs/>
      </w:rPr>
    </w:tblStylePr>
    <w:tblStylePr w:type="band1Vert">
      <w:tblPr/>
      <w:tcPr>
        <w:shd w:val="clear" w:color="auto" w:fill="DFF5F8" w:themeFill="accent3" w:themeFillTint="33"/>
      </w:tcPr>
    </w:tblStylePr>
    <w:tblStylePr w:type="band1Horz">
      <w:tblPr/>
      <w:tcPr>
        <w:shd w:val="clear" w:color="auto" w:fill="DFF5F8" w:themeFill="accent3" w:themeFillTint="33"/>
      </w:tcPr>
    </w:tblStylePr>
  </w:style>
  <w:style w:type="table" w:styleId="GridTable6Colorful-Accent4">
    <w:name w:val="Grid Table 6 Colorful Accent 4"/>
    <w:basedOn w:val="TableNormal"/>
    <w:uiPriority w:val="98"/>
    <w:semiHidden/>
    <w:rsid w:val="00573428"/>
    <w:rPr>
      <w:rFonts w:asciiTheme="minorHAnsi" w:eastAsia="Century Gothic" w:hAnsiTheme="minorHAnsi" w:cstheme="minorBidi"/>
      <w:color w:val="787878" w:themeColor="accent4" w:themeShade="BF"/>
      <w:lang w:eastAsia="en-US"/>
    </w:rPr>
    <w:tblPr>
      <w:tblStyleRowBandSize w:val="1"/>
      <w:tblStyleColBandSize w:val="1"/>
      <w:tblBorders>
        <w:top w:val="single" w:sz="4" w:space="0" w:color="C6C6C6" w:themeColor="accent4" w:themeTint="99"/>
        <w:left w:val="single" w:sz="4" w:space="0" w:color="C6C6C6" w:themeColor="accent4" w:themeTint="99"/>
        <w:bottom w:val="single" w:sz="4" w:space="0" w:color="C6C6C6" w:themeColor="accent4" w:themeTint="99"/>
        <w:right w:val="single" w:sz="4" w:space="0" w:color="C6C6C6" w:themeColor="accent4" w:themeTint="99"/>
        <w:insideH w:val="single" w:sz="4" w:space="0" w:color="C6C6C6" w:themeColor="accent4" w:themeTint="99"/>
        <w:insideV w:val="single" w:sz="4" w:space="0" w:color="C6C6C6" w:themeColor="accent4" w:themeTint="99"/>
      </w:tblBorders>
      <w:tblCellMar>
        <w:top w:w="57" w:type="dxa"/>
        <w:left w:w="57" w:type="dxa"/>
        <w:bottom w:w="57" w:type="dxa"/>
        <w:right w:w="57" w:type="dxa"/>
      </w:tblCellMar>
    </w:tblPr>
    <w:tblStylePr w:type="firstRow">
      <w:rPr>
        <w:b/>
        <w:bCs/>
      </w:rPr>
      <w:tblPr/>
      <w:tcPr>
        <w:tcBorders>
          <w:bottom w:val="single" w:sz="12" w:space="0" w:color="C6C6C6" w:themeColor="accent4" w:themeTint="99"/>
        </w:tcBorders>
      </w:tcPr>
    </w:tblStylePr>
    <w:tblStylePr w:type="lastRow">
      <w:rPr>
        <w:b/>
        <w:bCs/>
      </w:rPr>
      <w:tblPr/>
      <w:tcPr>
        <w:tcBorders>
          <w:top w:val="double" w:sz="4" w:space="0" w:color="C6C6C6" w:themeColor="accent4" w:themeTint="99"/>
        </w:tcBorders>
      </w:tcPr>
    </w:tblStylePr>
    <w:tblStylePr w:type="firstCol">
      <w:rPr>
        <w:b/>
        <w:bCs/>
      </w:rPr>
    </w:tblStylePr>
    <w:tblStylePr w:type="lastCol">
      <w:rPr>
        <w:b/>
        <w:bCs/>
      </w:rPr>
    </w:tblStylePr>
    <w:tblStylePr w:type="band1Vert">
      <w:tblPr/>
      <w:tcPr>
        <w:shd w:val="clear" w:color="auto" w:fill="ECECEC" w:themeFill="accent4" w:themeFillTint="33"/>
      </w:tcPr>
    </w:tblStylePr>
    <w:tblStylePr w:type="band1Horz">
      <w:tblPr/>
      <w:tcPr>
        <w:shd w:val="clear" w:color="auto" w:fill="ECECEC" w:themeFill="accent4" w:themeFillTint="33"/>
      </w:tcPr>
    </w:tblStylePr>
  </w:style>
  <w:style w:type="table" w:styleId="GridTable6Colorful-Accent5">
    <w:name w:val="Grid Table 6 Colorful Accent 5"/>
    <w:basedOn w:val="TableNormal"/>
    <w:uiPriority w:val="98"/>
    <w:semiHidden/>
    <w:rsid w:val="00573428"/>
    <w:rPr>
      <w:rFonts w:asciiTheme="minorHAnsi" w:eastAsia="Century Gothic" w:hAnsiTheme="minorHAnsi" w:cstheme="minorBidi"/>
      <w:color w:val="29B4C7" w:themeColor="accent5" w:themeShade="BF"/>
      <w:lang w:eastAsia="en-US"/>
    </w:rPr>
    <w:tblPr>
      <w:tblStyleRowBandSize w:val="1"/>
      <w:tblStyleColBandSize w:val="1"/>
      <w:tblBorders>
        <w:top w:val="single" w:sz="4" w:space="0" w:color="A1E2EB" w:themeColor="accent5" w:themeTint="99"/>
        <w:left w:val="single" w:sz="4" w:space="0" w:color="A1E2EB" w:themeColor="accent5" w:themeTint="99"/>
        <w:bottom w:val="single" w:sz="4" w:space="0" w:color="A1E2EB" w:themeColor="accent5" w:themeTint="99"/>
        <w:right w:val="single" w:sz="4" w:space="0" w:color="A1E2EB" w:themeColor="accent5" w:themeTint="99"/>
        <w:insideH w:val="single" w:sz="4" w:space="0" w:color="A1E2EB" w:themeColor="accent5" w:themeTint="99"/>
        <w:insideV w:val="single" w:sz="4" w:space="0" w:color="A1E2EB" w:themeColor="accent5" w:themeTint="99"/>
      </w:tblBorders>
      <w:tblCellMar>
        <w:top w:w="57" w:type="dxa"/>
        <w:left w:w="57" w:type="dxa"/>
        <w:bottom w:w="57" w:type="dxa"/>
        <w:right w:w="57" w:type="dxa"/>
      </w:tblCellMar>
    </w:tblPr>
    <w:tblStylePr w:type="firstRow">
      <w:rPr>
        <w:b/>
        <w:bCs/>
      </w:rPr>
      <w:tblPr/>
      <w:tcPr>
        <w:tcBorders>
          <w:bottom w:val="single" w:sz="12" w:space="0" w:color="A1E2EB" w:themeColor="accent5" w:themeTint="99"/>
        </w:tcBorders>
      </w:tcPr>
    </w:tblStylePr>
    <w:tblStylePr w:type="lastRow">
      <w:rPr>
        <w:b/>
        <w:bCs/>
      </w:rPr>
      <w:tblPr/>
      <w:tcPr>
        <w:tcBorders>
          <w:top w:val="double" w:sz="4" w:space="0" w:color="A1E2EB" w:themeColor="accent5" w:themeTint="99"/>
        </w:tcBorders>
      </w:tcPr>
    </w:tblStylePr>
    <w:tblStylePr w:type="firstCol">
      <w:rPr>
        <w:b/>
        <w:bCs/>
      </w:rPr>
    </w:tblStylePr>
    <w:tblStylePr w:type="lastCol">
      <w:rPr>
        <w:b/>
        <w:bCs/>
      </w:rPr>
    </w:tblStylePr>
    <w:tblStylePr w:type="band1Vert">
      <w:tblPr/>
      <w:tcPr>
        <w:shd w:val="clear" w:color="auto" w:fill="DFF5F8" w:themeFill="accent5" w:themeFillTint="33"/>
      </w:tcPr>
    </w:tblStylePr>
    <w:tblStylePr w:type="band1Horz">
      <w:tblPr/>
      <w:tcPr>
        <w:shd w:val="clear" w:color="auto" w:fill="DFF5F8" w:themeFill="accent5" w:themeFillTint="33"/>
      </w:tcPr>
    </w:tblStylePr>
  </w:style>
  <w:style w:type="table" w:styleId="GridTable6Colorful-Accent6">
    <w:name w:val="Grid Table 6 Colorful Accent 6"/>
    <w:basedOn w:val="TableNormal"/>
    <w:uiPriority w:val="98"/>
    <w:semiHidden/>
    <w:rsid w:val="00573428"/>
    <w:rPr>
      <w:rFonts w:asciiTheme="minorHAnsi" w:eastAsia="Century Gothic" w:hAnsiTheme="minorHAnsi" w:cstheme="minorBidi"/>
      <w:color w:val="787878" w:themeColor="accent6" w:themeShade="BF"/>
      <w:lang w:eastAsia="en-US"/>
    </w:rPr>
    <w:tblPr>
      <w:tblStyleRowBandSize w:val="1"/>
      <w:tblStyleColBandSize w:val="1"/>
      <w:tblBorders>
        <w:top w:val="single" w:sz="4" w:space="0" w:color="C6C6C6" w:themeColor="accent6" w:themeTint="99"/>
        <w:left w:val="single" w:sz="4" w:space="0" w:color="C6C6C6" w:themeColor="accent6" w:themeTint="99"/>
        <w:bottom w:val="single" w:sz="4" w:space="0" w:color="C6C6C6" w:themeColor="accent6" w:themeTint="99"/>
        <w:right w:val="single" w:sz="4" w:space="0" w:color="C6C6C6" w:themeColor="accent6" w:themeTint="99"/>
        <w:insideH w:val="single" w:sz="4" w:space="0" w:color="C6C6C6" w:themeColor="accent6" w:themeTint="99"/>
        <w:insideV w:val="single" w:sz="4" w:space="0" w:color="C6C6C6" w:themeColor="accent6" w:themeTint="99"/>
      </w:tblBorders>
      <w:tblCellMar>
        <w:top w:w="57" w:type="dxa"/>
        <w:left w:w="57" w:type="dxa"/>
        <w:bottom w:w="57" w:type="dxa"/>
        <w:right w:w="57" w:type="dxa"/>
      </w:tblCellMar>
    </w:tblPr>
    <w:tblStylePr w:type="firstRow">
      <w:rPr>
        <w:b/>
        <w:bCs/>
      </w:rPr>
      <w:tblPr/>
      <w:tcPr>
        <w:tcBorders>
          <w:bottom w:val="single" w:sz="12" w:space="0" w:color="C6C6C6" w:themeColor="accent6" w:themeTint="99"/>
        </w:tcBorders>
      </w:tcPr>
    </w:tblStylePr>
    <w:tblStylePr w:type="lastRow">
      <w:rPr>
        <w:b/>
        <w:bCs/>
      </w:rPr>
      <w:tblPr/>
      <w:tcPr>
        <w:tcBorders>
          <w:top w:val="double" w:sz="4" w:space="0" w:color="C6C6C6" w:themeColor="accent6" w:themeTint="99"/>
        </w:tcBorders>
      </w:tcPr>
    </w:tblStylePr>
    <w:tblStylePr w:type="firstCol">
      <w:rPr>
        <w:b/>
        <w:bCs/>
      </w:rPr>
    </w:tblStylePr>
    <w:tblStylePr w:type="lastCol">
      <w:rPr>
        <w:b/>
        <w:bCs/>
      </w:rPr>
    </w:tblStylePr>
    <w:tblStylePr w:type="band1Vert">
      <w:tblPr/>
      <w:tcPr>
        <w:shd w:val="clear" w:color="auto" w:fill="ECECEC" w:themeFill="accent6" w:themeFillTint="33"/>
      </w:tcPr>
    </w:tblStylePr>
    <w:tblStylePr w:type="band1Horz">
      <w:tblPr/>
      <w:tcPr>
        <w:shd w:val="clear" w:color="auto" w:fill="ECECEC" w:themeFill="accent6" w:themeFillTint="33"/>
      </w:tcPr>
    </w:tblStylePr>
  </w:style>
  <w:style w:type="table" w:styleId="GridTable7Colorful">
    <w:name w:val="Grid Table 7 Colorful"/>
    <w:basedOn w:val="TableNormal"/>
    <w:uiPriority w:val="98"/>
    <w:semiHidden/>
    <w:rsid w:val="00573428"/>
    <w:rPr>
      <w:rFonts w:asciiTheme="minorHAnsi" w:eastAsia="Century Gothic" w:hAnsi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8"/>
    <w:semiHidden/>
    <w:rsid w:val="00573428"/>
    <w:rPr>
      <w:rFonts w:asciiTheme="minorHAnsi" w:eastAsia="Century Gothic" w:hAnsiTheme="minorHAnsi" w:cstheme="minorBidi"/>
      <w:color w:val="29B4C7" w:themeColor="accent1" w:themeShade="BF"/>
      <w:lang w:eastAsia="en-US"/>
    </w:rPr>
    <w:tblPr>
      <w:tblStyleRowBandSize w:val="1"/>
      <w:tblStyleColBandSize w:val="1"/>
      <w:tblBorders>
        <w:top w:val="single" w:sz="4" w:space="0" w:color="A1E2EB" w:themeColor="accent1" w:themeTint="99"/>
        <w:left w:val="single" w:sz="4" w:space="0" w:color="A1E2EB" w:themeColor="accent1" w:themeTint="99"/>
        <w:bottom w:val="single" w:sz="4" w:space="0" w:color="A1E2EB" w:themeColor="accent1" w:themeTint="99"/>
        <w:right w:val="single" w:sz="4" w:space="0" w:color="A1E2EB" w:themeColor="accent1" w:themeTint="99"/>
        <w:insideH w:val="single" w:sz="4" w:space="0" w:color="A1E2EB" w:themeColor="accent1" w:themeTint="99"/>
        <w:insideV w:val="single" w:sz="4" w:space="0" w:color="A1E2EB" w:themeColor="accen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5F8" w:themeFill="accent1" w:themeFillTint="33"/>
      </w:tcPr>
    </w:tblStylePr>
    <w:tblStylePr w:type="band1Horz">
      <w:tblPr/>
      <w:tcPr>
        <w:shd w:val="clear" w:color="auto" w:fill="DFF5F8" w:themeFill="accent1" w:themeFillTint="33"/>
      </w:tcPr>
    </w:tblStylePr>
    <w:tblStylePr w:type="neCell">
      <w:tblPr/>
      <w:tcPr>
        <w:tcBorders>
          <w:bottom w:val="single" w:sz="4" w:space="0" w:color="A1E2EB" w:themeColor="accent1" w:themeTint="99"/>
        </w:tcBorders>
      </w:tcPr>
    </w:tblStylePr>
    <w:tblStylePr w:type="nwCell">
      <w:tblPr/>
      <w:tcPr>
        <w:tcBorders>
          <w:bottom w:val="single" w:sz="4" w:space="0" w:color="A1E2EB" w:themeColor="accent1" w:themeTint="99"/>
        </w:tcBorders>
      </w:tcPr>
    </w:tblStylePr>
    <w:tblStylePr w:type="seCell">
      <w:tblPr/>
      <w:tcPr>
        <w:tcBorders>
          <w:top w:val="single" w:sz="4" w:space="0" w:color="A1E2EB" w:themeColor="accent1" w:themeTint="99"/>
        </w:tcBorders>
      </w:tcPr>
    </w:tblStylePr>
    <w:tblStylePr w:type="swCell">
      <w:tblPr/>
      <w:tcPr>
        <w:tcBorders>
          <w:top w:val="single" w:sz="4" w:space="0" w:color="A1E2EB" w:themeColor="accent1" w:themeTint="99"/>
        </w:tcBorders>
      </w:tcPr>
    </w:tblStylePr>
  </w:style>
  <w:style w:type="table" w:styleId="GridTable7Colorful-Accent2">
    <w:name w:val="Grid Table 7 Colorful Accent 2"/>
    <w:basedOn w:val="TableNormal"/>
    <w:uiPriority w:val="98"/>
    <w:semiHidden/>
    <w:rsid w:val="00573428"/>
    <w:rPr>
      <w:rFonts w:asciiTheme="minorHAnsi" w:eastAsia="Century Gothic" w:hAnsiTheme="minorHAnsi" w:cstheme="minorBidi"/>
      <w:color w:val="959597" w:themeColor="accent2" w:themeShade="BF"/>
      <w:lang w:eastAsia="en-US"/>
    </w:rPr>
    <w:tblPr>
      <w:tblStyleRowBandSize w:val="1"/>
      <w:tblStyleColBandSize w:val="1"/>
      <w:tblBorders>
        <w:top w:val="single" w:sz="4" w:space="0" w:color="DEDEDF" w:themeColor="accent2" w:themeTint="99"/>
        <w:left w:val="single" w:sz="4" w:space="0" w:color="DEDEDF" w:themeColor="accent2" w:themeTint="99"/>
        <w:bottom w:val="single" w:sz="4" w:space="0" w:color="DEDEDF" w:themeColor="accent2" w:themeTint="99"/>
        <w:right w:val="single" w:sz="4" w:space="0" w:color="DEDEDF" w:themeColor="accent2" w:themeTint="99"/>
        <w:insideH w:val="single" w:sz="4" w:space="0" w:color="DEDEDF" w:themeColor="accent2" w:themeTint="99"/>
        <w:insideV w:val="single" w:sz="4" w:space="0" w:color="DEDEDF" w:themeColor="accent2"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4F4" w:themeFill="accent2" w:themeFillTint="33"/>
      </w:tcPr>
    </w:tblStylePr>
    <w:tblStylePr w:type="band1Horz">
      <w:tblPr/>
      <w:tcPr>
        <w:shd w:val="clear" w:color="auto" w:fill="F4F4F4" w:themeFill="accent2" w:themeFillTint="33"/>
      </w:tcPr>
    </w:tblStylePr>
    <w:tblStylePr w:type="neCell">
      <w:tblPr/>
      <w:tcPr>
        <w:tcBorders>
          <w:bottom w:val="single" w:sz="4" w:space="0" w:color="DEDEDF" w:themeColor="accent2" w:themeTint="99"/>
        </w:tcBorders>
      </w:tcPr>
    </w:tblStylePr>
    <w:tblStylePr w:type="nwCell">
      <w:tblPr/>
      <w:tcPr>
        <w:tcBorders>
          <w:bottom w:val="single" w:sz="4" w:space="0" w:color="DEDEDF" w:themeColor="accent2" w:themeTint="99"/>
        </w:tcBorders>
      </w:tcPr>
    </w:tblStylePr>
    <w:tblStylePr w:type="seCell">
      <w:tblPr/>
      <w:tcPr>
        <w:tcBorders>
          <w:top w:val="single" w:sz="4" w:space="0" w:color="DEDEDF" w:themeColor="accent2" w:themeTint="99"/>
        </w:tcBorders>
      </w:tcPr>
    </w:tblStylePr>
    <w:tblStylePr w:type="swCell">
      <w:tblPr/>
      <w:tcPr>
        <w:tcBorders>
          <w:top w:val="single" w:sz="4" w:space="0" w:color="DEDEDF" w:themeColor="accent2" w:themeTint="99"/>
        </w:tcBorders>
      </w:tcPr>
    </w:tblStylePr>
  </w:style>
  <w:style w:type="table" w:styleId="GridTable7Colorful-Accent3">
    <w:name w:val="Grid Table 7 Colorful Accent 3"/>
    <w:basedOn w:val="TableNormal"/>
    <w:uiPriority w:val="98"/>
    <w:semiHidden/>
    <w:rsid w:val="00573428"/>
    <w:rPr>
      <w:rFonts w:asciiTheme="minorHAnsi" w:eastAsia="Century Gothic" w:hAnsiTheme="minorHAnsi" w:cstheme="minorBidi"/>
      <w:color w:val="29B4C7" w:themeColor="accent3" w:themeShade="BF"/>
      <w:lang w:eastAsia="en-US"/>
    </w:rPr>
    <w:tblPr>
      <w:tblStyleRowBandSize w:val="1"/>
      <w:tblStyleColBandSize w:val="1"/>
      <w:tblBorders>
        <w:top w:val="single" w:sz="4" w:space="0" w:color="A1E2EB" w:themeColor="accent3" w:themeTint="99"/>
        <w:left w:val="single" w:sz="4" w:space="0" w:color="A1E2EB" w:themeColor="accent3" w:themeTint="99"/>
        <w:bottom w:val="single" w:sz="4" w:space="0" w:color="A1E2EB" w:themeColor="accent3" w:themeTint="99"/>
        <w:right w:val="single" w:sz="4" w:space="0" w:color="A1E2EB" w:themeColor="accent3" w:themeTint="99"/>
        <w:insideH w:val="single" w:sz="4" w:space="0" w:color="A1E2EB" w:themeColor="accent3" w:themeTint="99"/>
        <w:insideV w:val="single" w:sz="4" w:space="0" w:color="A1E2EB" w:themeColor="accent3"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5F8" w:themeFill="accent3" w:themeFillTint="33"/>
      </w:tcPr>
    </w:tblStylePr>
    <w:tblStylePr w:type="band1Horz">
      <w:tblPr/>
      <w:tcPr>
        <w:shd w:val="clear" w:color="auto" w:fill="DFF5F8" w:themeFill="accent3" w:themeFillTint="33"/>
      </w:tcPr>
    </w:tblStylePr>
    <w:tblStylePr w:type="neCell">
      <w:tblPr/>
      <w:tcPr>
        <w:tcBorders>
          <w:bottom w:val="single" w:sz="4" w:space="0" w:color="A1E2EB" w:themeColor="accent3" w:themeTint="99"/>
        </w:tcBorders>
      </w:tcPr>
    </w:tblStylePr>
    <w:tblStylePr w:type="nwCell">
      <w:tblPr/>
      <w:tcPr>
        <w:tcBorders>
          <w:bottom w:val="single" w:sz="4" w:space="0" w:color="A1E2EB" w:themeColor="accent3" w:themeTint="99"/>
        </w:tcBorders>
      </w:tcPr>
    </w:tblStylePr>
    <w:tblStylePr w:type="seCell">
      <w:tblPr/>
      <w:tcPr>
        <w:tcBorders>
          <w:top w:val="single" w:sz="4" w:space="0" w:color="A1E2EB" w:themeColor="accent3" w:themeTint="99"/>
        </w:tcBorders>
      </w:tcPr>
    </w:tblStylePr>
    <w:tblStylePr w:type="swCell">
      <w:tblPr/>
      <w:tcPr>
        <w:tcBorders>
          <w:top w:val="single" w:sz="4" w:space="0" w:color="A1E2EB" w:themeColor="accent3" w:themeTint="99"/>
        </w:tcBorders>
      </w:tcPr>
    </w:tblStylePr>
  </w:style>
  <w:style w:type="table" w:styleId="GridTable7Colorful-Accent4">
    <w:name w:val="Grid Table 7 Colorful Accent 4"/>
    <w:basedOn w:val="TableNormal"/>
    <w:uiPriority w:val="98"/>
    <w:semiHidden/>
    <w:rsid w:val="00573428"/>
    <w:rPr>
      <w:rFonts w:asciiTheme="minorHAnsi" w:eastAsia="Century Gothic" w:hAnsiTheme="minorHAnsi" w:cstheme="minorBidi"/>
      <w:color w:val="787878" w:themeColor="accent4" w:themeShade="BF"/>
      <w:lang w:eastAsia="en-US"/>
    </w:rPr>
    <w:tblPr>
      <w:tblStyleRowBandSize w:val="1"/>
      <w:tblStyleColBandSize w:val="1"/>
      <w:tblBorders>
        <w:top w:val="single" w:sz="4" w:space="0" w:color="C6C6C6" w:themeColor="accent4" w:themeTint="99"/>
        <w:left w:val="single" w:sz="4" w:space="0" w:color="C6C6C6" w:themeColor="accent4" w:themeTint="99"/>
        <w:bottom w:val="single" w:sz="4" w:space="0" w:color="C6C6C6" w:themeColor="accent4" w:themeTint="99"/>
        <w:right w:val="single" w:sz="4" w:space="0" w:color="C6C6C6" w:themeColor="accent4" w:themeTint="99"/>
        <w:insideH w:val="single" w:sz="4" w:space="0" w:color="C6C6C6" w:themeColor="accent4" w:themeTint="99"/>
        <w:insideV w:val="single" w:sz="4" w:space="0" w:color="C6C6C6" w:themeColor="accent4"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CEC" w:themeFill="accent4" w:themeFillTint="33"/>
      </w:tcPr>
    </w:tblStylePr>
    <w:tblStylePr w:type="band1Horz">
      <w:tblPr/>
      <w:tcPr>
        <w:shd w:val="clear" w:color="auto" w:fill="ECECEC" w:themeFill="accent4" w:themeFillTint="33"/>
      </w:tcPr>
    </w:tblStylePr>
    <w:tblStylePr w:type="neCell">
      <w:tblPr/>
      <w:tcPr>
        <w:tcBorders>
          <w:bottom w:val="single" w:sz="4" w:space="0" w:color="C6C6C6" w:themeColor="accent4" w:themeTint="99"/>
        </w:tcBorders>
      </w:tcPr>
    </w:tblStylePr>
    <w:tblStylePr w:type="nwCell">
      <w:tblPr/>
      <w:tcPr>
        <w:tcBorders>
          <w:bottom w:val="single" w:sz="4" w:space="0" w:color="C6C6C6" w:themeColor="accent4" w:themeTint="99"/>
        </w:tcBorders>
      </w:tcPr>
    </w:tblStylePr>
    <w:tblStylePr w:type="seCell">
      <w:tblPr/>
      <w:tcPr>
        <w:tcBorders>
          <w:top w:val="single" w:sz="4" w:space="0" w:color="C6C6C6" w:themeColor="accent4" w:themeTint="99"/>
        </w:tcBorders>
      </w:tcPr>
    </w:tblStylePr>
    <w:tblStylePr w:type="swCell">
      <w:tblPr/>
      <w:tcPr>
        <w:tcBorders>
          <w:top w:val="single" w:sz="4" w:space="0" w:color="C6C6C6" w:themeColor="accent4" w:themeTint="99"/>
        </w:tcBorders>
      </w:tcPr>
    </w:tblStylePr>
  </w:style>
  <w:style w:type="table" w:styleId="GridTable7Colorful-Accent5">
    <w:name w:val="Grid Table 7 Colorful Accent 5"/>
    <w:basedOn w:val="TableNormal"/>
    <w:uiPriority w:val="98"/>
    <w:semiHidden/>
    <w:rsid w:val="00573428"/>
    <w:rPr>
      <w:rFonts w:asciiTheme="minorHAnsi" w:eastAsia="Century Gothic" w:hAnsiTheme="minorHAnsi" w:cstheme="minorBidi"/>
      <w:color w:val="29B4C7" w:themeColor="accent5" w:themeShade="BF"/>
      <w:lang w:eastAsia="en-US"/>
    </w:rPr>
    <w:tblPr>
      <w:tblStyleRowBandSize w:val="1"/>
      <w:tblStyleColBandSize w:val="1"/>
      <w:tblBorders>
        <w:top w:val="single" w:sz="4" w:space="0" w:color="A1E2EB" w:themeColor="accent5" w:themeTint="99"/>
        <w:left w:val="single" w:sz="4" w:space="0" w:color="A1E2EB" w:themeColor="accent5" w:themeTint="99"/>
        <w:bottom w:val="single" w:sz="4" w:space="0" w:color="A1E2EB" w:themeColor="accent5" w:themeTint="99"/>
        <w:right w:val="single" w:sz="4" w:space="0" w:color="A1E2EB" w:themeColor="accent5" w:themeTint="99"/>
        <w:insideH w:val="single" w:sz="4" w:space="0" w:color="A1E2EB" w:themeColor="accent5" w:themeTint="99"/>
        <w:insideV w:val="single" w:sz="4" w:space="0" w:color="A1E2EB" w:themeColor="accent5"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5F8" w:themeFill="accent5" w:themeFillTint="33"/>
      </w:tcPr>
    </w:tblStylePr>
    <w:tblStylePr w:type="band1Horz">
      <w:tblPr/>
      <w:tcPr>
        <w:shd w:val="clear" w:color="auto" w:fill="DFF5F8" w:themeFill="accent5" w:themeFillTint="33"/>
      </w:tcPr>
    </w:tblStylePr>
    <w:tblStylePr w:type="neCell">
      <w:tblPr/>
      <w:tcPr>
        <w:tcBorders>
          <w:bottom w:val="single" w:sz="4" w:space="0" w:color="A1E2EB" w:themeColor="accent5" w:themeTint="99"/>
        </w:tcBorders>
      </w:tcPr>
    </w:tblStylePr>
    <w:tblStylePr w:type="nwCell">
      <w:tblPr/>
      <w:tcPr>
        <w:tcBorders>
          <w:bottom w:val="single" w:sz="4" w:space="0" w:color="A1E2EB" w:themeColor="accent5" w:themeTint="99"/>
        </w:tcBorders>
      </w:tcPr>
    </w:tblStylePr>
    <w:tblStylePr w:type="seCell">
      <w:tblPr/>
      <w:tcPr>
        <w:tcBorders>
          <w:top w:val="single" w:sz="4" w:space="0" w:color="A1E2EB" w:themeColor="accent5" w:themeTint="99"/>
        </w:tcBorders>
      </w:tcPr>
    </w:tblStylePr>
    <w:tblStylePr w:type="swCell">
      <w:tblPr/>
      <w:tcPr>
        <w:tcBorders>
          <w:top w:val="single" w:sz="4" w:space="0" w:color="A1E2EB" w:themeColor="accent5" w:themeTint="99"/>
        </w:tcBorders>
      </w:tcPr>
    </w:tblStylePr>
  </w:style>
  <w:style w:type="table" w:styleId="GridTable7Colorful-Accent6">
    <w:name w:val="Grid Table 7 Colorful Accent 6"/>
    <w:basedOn w:val="TableNormal"/>
    <w:uiPriority w:val="98"/>
    <w:semiHidden/>
    <w:rsid w:val="00573428"/>
    <w:rPr>
      <w:rFonts w:asciiTheme="minorHAnsi" w:eastAsia="Century Gothic" w:hAnsiTheme="minorHAnsi" w:cstheme="minorBidi"/>
      <w:color w:val="787878" w:themeColor="accent6" w:themeShade="BF"/>
      <w:lang w:eastAsia="en-US"/>
    </w:rPr>
    <w:tblPr>
      <w:tblStyleRowBandSize w:val="1"/>
      <w:tblStyleColBandSize w:val="1"/>
      <w:tblBorders>
        <w:top w:val="single" w:sz="4" w:space="0" w:color="C6C6C6" w:themeColor="accent6" w:themeTint="99"/>
        <w:left w:val="single" w:sz="4" w:space="0" w:color="C6C6C6" w:themeColor="accent6" w:themeTint="99"/>
        <w:bottom w:val="single" w:sz="4" w:space="0" w:color="C6C6C6" w:themeColor="accent6" w:themeTint="99"/>
        <w:right w:val="single" w:sz="4" w:space="0" w:color="C6C6C6" w:themeColor="accent6" w:themeTint="99"/>
        <w:insideH w:val="single" w:sz="4" w:space="0" w:color="C6C6C6" w:themeColor="accent6" w:themeTint="99"/>
        <w:insideV w:val="single" w:sz="4" w:space="0" w:color="C6C6C6" w:themeColor="accent6"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CEC" w:themeFill="accent6" w:themeFillTint="33"/>
      </w:tcPr>
    </w:tblStylePr>
    <w:tblStylePr w:type="band1Horz">
      <w:tblPr/>
      <w:tcPr>
        <w:shd w:val="clear" w:color="auto" w:fill="ECECEC" w:themeFill="accent6" w:themeFillTint="33"/>
      </w:tcPr>
    </w:tblStylePr>
    <w:tblStylePr w:type="neCell">
      <w:tblPr/>
      <w:tcPr>
        <w:tcBorders>
          <w:bottom w:val="single" w:sz="4" w:space="0" w:color="C6C6C6" w:themeColor="accent6" w:themeTint="99"/>
        </w:tcBorders>
      </w:tcPr>
    </w:tblStylePr>
    <w:tblStylePr w:type="nwCell">
      <w:tblPr/>
      <w:tcPr>
        <w:tcBorders>
          <w:bottom w:val="single" w:sz="4" w:space="0" w:color="C6C6C6" w:themeColor="accent6" w:themeTint="99"/>
        </w:tcBorders>
      </w:tcPr>
    </w:tblStylePr>
    <w:tblStylePr w:type="seCell">
      <w:tblPr/>
      <w:tcPr>
        <w:tcBorders>
          <w:top w:val="single" w:sz="4" w:space="0" w:color="C6C6C6" w:themeColor="accent6" w:themeTint="99"/>
        </w:tcBorders>
      </w:tcPr>
    </w:tblStylePr>
    <w:tblStylePr w:type="swCell">
      <w:tblPr/>
      <w:tcPr>
        <w:tcBorders>
          <w:top w:val="single" w:sz="4" w:space="0" w:color="C6C6C6" w:themeColor="accent6" w:themeTint="99"/>
        </w:tcBorders>
      </w:tcPr>
    </w:tblStylePr>
  </w:style>
  <w:style w:type="table" w:styleId="ListTable1Light">
    <w:name w:val="List Table 1 Light"/>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A1E2EB" w:themeColor="accent1" w:themeTint="99"/>
        </w:tcBorders>
      </w:tcPr>
    </w:tblStylePr>
    <w:tblStylePr w:type="lastRow">
      <w:rPr>
        <w:b/>
        <w:bCs/>
      </w:rPr>
      <w:tblPr/>
      <w:tcPr>
        <w:tcBorders>
          <w:top w:val="single" w:sz="4" w:space="0" w:color="A1E2EB" w:themeColor="accent1" w:themeTint="99"/>
        </w:tcBorders>
      </w:tcPr>
    </w:tblStylePr>
    <w:tblStylePr w:type="firstCol">
      <w:rPr>
        <w:b/>
        <w:bCs/>
      </w:rPr>
    </w:tblStylePr>
    <w:tblStylePr w:type="lastCol">
      <w:rPr>
        <w:b/>
        <w:bCs/>
      </w:rPr>
    </w:tblStylePr>
    <w:tblStylePr w:type="band1Vert">
      <w:tblPr/>
      <w:tcPr>
        <w:shd w:val="clear" w:color="auto" w:fill="DFF5F8" w:themeFill="accent1" w:themeFillTint="33"/>
      </w:tcPr>
    </w:tblStylePr>
    <w:tblStylePr w:type="band1Horz">
      <w:tblPr/>
      <w:tcPr>
        <w:shd w:val="clear" w:color="auto" w:fill="DFF5F8" w:themeFill="accent1" w:themeFillTint="33"/>
      </w:tcPr>
    </w:tblStylePr>
  </w:style>
  <w:style w:type="table" w:styleId="ListTable1Light-Accent2">
    <w:name w:val="List Table 1 Light Accent 2"/>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DEDEDF" w:themeColor="accent2" w:themeTint="99"/>
        </w:tcBorders>
      </w:tcPr>
    </w:tblStylePr>
    <w:tblStylePr w:type="lastRow">
      <w:rPr>
        <w:b/>
        <w:bCs/>
      </w:rPr>
      <w:tblPr/>
      <w:tcPr>
        <w:tcBorders>
          <w:top w:val="single" w:sz="4" w:space="0" w:color="DEDEDF" w:themeColor="accent2" w:themeTint="99"/>
        </w:tcBorders>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ListTable1Light-Accent3">
    <w:name w:val="List Table 1 Light Accent 3"/>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A1E2EB" w:themeColor="accent3" w:themeTint="99"/>
        </w:tcBorders>
      </w:tcPr>
    </w:tblStylePr>
    <w:tblStylePr w:type="lastRow">
      <w:rPr>
        <w:b/>
        <w:bCs/>
      </w:rPr>
      <w:tblPr/>
      <w:tcPr>
        <w:tcBorders>
          <w:top w:val="single" w:sz="4" w:space="0" w:color="A1E2EB" w:themeColor="accent3" w:themeTint="99"/>
        </w:tcBorders>
      </w:tcPr>
    </w:tblStylePr>
    <w:tblStylePr w:type="firstCol">
      <w:rPr>
        <w:b/>
        <w:bCs/>
      </w:rPr>
    </w:tblStylePr>
    <w:tblStylePr w:type="lastCol">
      <w:rPr>
        <w:b/>
        <w:bCs/>
      </w:rPr>
    </w:tblStylePr>
    <w:tblStylePr w:type="band1Vert">
      <w:tblPr/>
      <w:tcPr>
        <w:shd w:val="clear" w:color="auto" w:fill="DFF5F8" w:themeFill="accent3" w:themeFillTint="33"/>
      </w:tcPr>
    </w:tblStylePr>
    <w:tblStylePr w:type="band1Horz">
      <w:tblPr/>
      <w:tcPr>
        <w:shd w:val="clear" w:color="auto" w:fill="DFF5F8" w:themeFill="accent3" w:themeFillTint="33"/>
      </w:tcPr>
    </w:tblStylePr>
  </w:style>
  <w:style w:type="table" w:styleId="ListTable1Light-Accent4">
    <w:name w:val="List Table 1 Light Accent 4"/>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C6C6C6" w:themeColor="accent4" w:themeTint="99"/>
        </w:tcBorders>
      </w:tcPr>
    </w:tblStylePr>
    <w:tblStylePr w:type="lastRow">
      <w:rPr>
        <w:b/>
        <w:bCs/>
      </w:rPr>
      <w:tblPr/>
      <w:tcPr>
        <w:tcBorders>
          <w:top w:val="single" w:sz="4" w:space="0" w:color="C6C6C6" w:themeColor="accent4" w:themeTint="99"/>
        </w:tcBorders>
      </w:tcPr>
    </w:tblStylePr>
    <w:tblStylePr w:type="firstCol">
      <w:rPr>
        <w:b/>
        <w:bCs/>
      </w:rPr>
    </w:tblStylePr>
    <w:tblStylePr w:type="lastCol">
      <w:rPr>
        <w:b/>
        <w:bCs/>
      </w:rPr>
    </w:tblStylePr>
    <w:tblStylePr w:type="band1Vert">
      <w:tblPr/>
      <w:tcPr>
        <w:shd w:val="clear" w:color="auto" w:fill="ECECEC" w:themeFill="accent4" w:themeFillTint="33"/>
      </w:tcPr>
    </w:tblStylePr>
    <w:tblStylePr w:type="band1Horz">
      <w:tblPr/>
      <w:tcPr>
        <w:shd w:val="clear" w:color="auto" w:fill="ECECEC" w:themeFill="accent4" w:themeFillTint="33"/>
      </w:tcPr>
    </w:tblStylePr>
  </w:style>
  <w:style w:type="table" w:styleId="ListTable1Light-Accent5">
    <w:name w:val="List Table 1 Light Accent 5"/>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A1E2EB" w:themeColor="accent5" w:themeTint="99"/>
        </w:tcBorders>
      </w:tcPr>
    </w:tblStylePr>
    <w:tblStylePr w:type="lastRow">
      <w:rPr>
        <w:b/>
        <w:bCs/>
      </w:rPr>
      <w:tblPr/>
      <w:tcPr>
        <w:tcBorders>
          <w:top w:val="single" w:sz="4" w:space="0" w:color="A1E2EB" w:themeColor="accent5" w:themeTint="99"/>
        </w:tcBorders>
      </w:tcPr>
    </w:tblStylePr>
    <w:tblStylePr w:type="firstCol">
      <w:rPr>
        <w:b/>
        <w:bCs/>
      </w:rPr>
    </w:tblStylePr>
    <w:tblStylePr w:type="lastCol">
      <w:rPr>
        <w:b/>
        <w:bCs/>
      </w:rPr>
    </w:tblStylePr>
    <w:tblStylePr w:type="band1Vert">
      <w:tblPr/>
      <w:tcPr>
        <w:shd w:val="clear" w:color="auto" w:fill="DFF5F8" w:themeFill="accent5" w:themeFillTint="33"/>
      </w:tcPr>
    </w:tblStylePr>
    <w:tblStylePr w:type="band1Horz">
      <w:tblPr/>
      <w:tcPr>
        <w:shd w:val="clear" w:color="auto" w:fill="DFF5F8" w:themeFill="accent5" w:themeFillTint="33"/>
      </w:tcPr>
    </w:tblStylePr>
  </w:style>
  <w:style w:type="table" w:styleId="ListTable1Light-Accent6">
    <w:name w:val="List Table 1 Light Accent 6"/>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C6C6C6" w:themeColor="accent6" w:themeTint="99"/>
        </w:tcBorders>
      </w:tcPr>
    </w:tblStylePr>
    <w:tblStylePr w:type="lastRow">
      <w:rPr>
        <w:b/>
        <w:bCs/>
      </w:rPr>
      <w:tblPr/>
      <w:tcPr>
        <w:tcBorders>
          <w:top w:val="single" w:sz="4" w:space="0" w:color="C6C6C6" w:themeColor="accent6" w:themeTint="99"/>
        </w:tcBorders>
      </w:tcPr>
    </w:tblStylePr>
    <w:tblStylePr w:type="firstCol">
      <w:rPr>
        <w:b/>
        <w:bCs/>
      </w:rPr>
    </w:tblStylePr>
    <w:tblStylePr w:type="lastCol">
      <w:rPr>
        <w:b/>
        <w:bCs/>
      </w:rPr>
    </w:tblStylePr>
    <w:tblStylePr w:type="band1Vert">
      <w:tblPr/>
      <w:tcPr>
        <w:shd w:val="clear" w:color="auto" w:fill="ECECEC" w:themeFill="accent6" w:themeFillTint="33"/>
      </w:tcPr>
    </w:tblStylePr>
    <w:tblStylePr w:type="band1Horz">
      <w:tblPr/>
      <w:tcPr>
        <w:shd w:val="clear" w:color="auto" w:fill="ECECEC" w:themeFill="accent6" w:themeFillTint="33"/>
      </w:tcPr>
    </w:tblStylePr>
  </w:style>
  <w:style w:type="table" w:styleId="ListTable2">
    <w:name w:val="List Table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1" w:themeTint="99"/>
        <w:bottom w:val="single" w:sz="4" w:space="0" w:color="A1E2EB" w:themeColor="accent1" w:themeTint="99"/>
        <w:insideH w:val="single" w:sz="4" w:space="0" w:color="A1E2EB" w:themeColor="accent1"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5F8" w:themeFill="accent1" w:themeFillTint="33"/>
      </w:tcPr>
    </w:tblStylePr>
    <w:tblStylePr w:type="band1Horz">
      <w:tblPr/>
      <w:tcPr>
        <w:shd w:val="clear" w:color="auto" w:fill="DFF5F8" w:themeFill="accent1" w:themeFillTint="33"/>
      </w:tcPr>
    </w:tblStylePr>
  </w:style>
  <w:style w:type="table" w:styleId="ListTable2-Accent2">
    <w:name w:val="List Table 2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EDEDF" w:themeColor="accent2" w:themeTint="99"/>
        <w:bottom w:val="single" w:sz="4" w:space="0" w:color="DEDEDF" w:themeColor="accent2" w:themeTint="99"/>
        <w:insideH w:val="single" w:sz="4" w:space="0" w:color="DEDEDF" w:themeColor="accent2"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ListTable2-Accent3">
    <w:name w:val="List Table 2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3" w:themeTint="99"/>
        <w:bottom w:val="single" w:sz="4" w:space="0" w:color="A1E2EB" w:themeColor="accent3" w:themeTint="99"/>
        <w:insideH w:val="single" w:sz="4" w:space="0" w:color="A1E2EB" w:themeColor="accent3"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5F8" w:themeFill="accent3" w:themeFillTint="33"/>
      </w:tcPr>
    </w:tblStylePr>
    <w:tblStylePr w:type="band1Horz">
      <w:tblPr/>
      <w:tcPr>
        <w:shd w:val="clear" w:color="auto" w:fill="DFF5F8" w:themeFill="accent3" w:themeFillTint="33"/>
      </w:tcPr>
    </w:tblStylePr>
  </w:style>
  <w:style w:type="table" w:styleId="ListTable2-Accent4">
    <w:name w:val="List Table 2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4" w:themeTint="99"/>
        <w:bottom w:val="single" w:sz="4" w:space="0" w:color="C6C6C6" w:themeColor="accent4" w:themeTint="99"/>
        <w:insideH w:val="single" w:sz="4" w:space="0" w:color="C6C6C6" w:themeColor="accent4"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CEC" w:themeFill="accent4" w:themeFillTint="33"/>
      </w:tcPr>
    </w:tblStylePr>
    <w:tblStylePr w:type="band1Horz">
      <w:tblPr/>
      <w:tcPr>
        <w:shd w:val="clear" w:color="auto" w:fill="ECECEC" w:themeFill="accent4" w:themeFillTint="33"/>
      </w:tcPr>
    </w:tblStylePr>
  </w:style>
  <w:style w:type="table" w:styleId="ListTable2-Accent5">
    <w:name w:val="List Table 2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5" w:themeTint="99"/>
        <w:bottom w:val="single" w:sz="4" w:space="0" w:color="A1E2EB" w:themeColor="accent5" w:themeTint="99"/>
        <w:insideH w:val="single" w:sz="4" w:space="0" w:color="A1E2EB" w:themeColor="accent5"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5F8" w:themeFill="accent5" w:themeFillTint="33"/>
      </w:tcPr>
    </w:tblStylePr>
    <w:tblStylePr w:type="band1Horz">
      <w:tblPr/>
      <w:tcPr>
        <w:shd w:val="clear" w:color="auto" w:fill="DFF5F8" w:themeFill="accent5" w:themeFillTint="33"/>
      </w:tcPr>
    </w:tblStylePr>
  </w:style>
  <w:style w:type="table" w:styleId="ListTable2-Accent6">
    <w:name w:val="List Table 2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6" w:themeTint="99"/>
        <w:bottom w:val="single" w:sz="4" w:space="0" w:color="C6C6C6" w:themeColor="accent6" w:themeTint="99"/>
        <w:insideH w:val="single" w:sz="4" w:space="0" w:color="C6C6C6" w:themeColor="accent6"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CEC" w:themeFill="accent6" w:themeFillTint="33"/>
      </w:tcPr>
    </w:tblStylePr>
    <w:tblStylePr w:type="band1Horz">
      <w:tblPr/>
      <w:tcPr>
        <w:shd w:val="clear" w:color="auto" w:fill="ECECEC" w:themeFill="accent6" w:themeFillTint="33"/>
      </w:tcPr>
    </w:tblStylePr>
  </w:style>
  <w:style w:type="table" w:styleId="ListTable3">
    <w:name w:val="List Table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57" w:type="dxa"/>
        <w:left w:w="57" w:type="dxa"/>
        <w:bottom w:w="57" w:type="dxa"/>
        <w:right w:w="57"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2">
    <w:name w:val="List Table 3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9C9CA" w:themeColor="accent2"/>
        <w:left w:val="single" w:sz="4" w:space="0" w:color="C9C9CA" w:themeColor="accent2"/>
        <w:bottom w:val="single" w:sz="4" w:space="0" w:color="C9C9CA" w:themeColor="accent2"/>
        <w:right w:val="single" w:sz="4" w:space="0" w:color="C9C9CA" w:themeColor="accent2"/>
      </w:tblBorders>
      <w:tblCellMar>
        <w:top w:w="57" w:type="dxa"/>
        <w:left w:w="57" w:type="dxa"/>
        <w:bottom w:w="57" w:type="dxa"/>
        <w:right w:w="57" w:type="dxa"/>
      </w:tblCellMar>
    </w:tblPr>
    <w:tblStylePr w:type="firstRow">
      <w:rPr>
        <w:b/>
        <w:bCs/>
        <w:color w:val="FFFFFF" w:themeColor="background1"/>
      </w:rPr>
      <w:tblPr/>
      <w:tcPr>
        <w:shd w:val="clear" w:color="auto" w:fill="C9C9CA" w:themeFill="accent2"/>
      </w:tcPr>
    </w:tblStylePr>
    <w:tblStylePr w:type="lastRow">
      <w:rPr>
        <w:b/>
        <w:bCs/>
      </w:rPr>
      <w:tblPr/>
      <w:tcPr>
        <w:tcBorders>
          <w:top w:val="double" w:sz="4" w:space="0" w:color="C9C9C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9C9CA" w:themeColor="accent2"/>
          <w:right w:val="single" w:sz="4" w:space="0" w:color="C9C9CA" w:themeColor="accent2"/>
        </w:tcBorders>
      </w:tcPr>
    </w:tblStylePr>
    <w:tblStylePr w:type="band1Horz">
      <w:tblPr/>
      <w:tcPr>
        <w:tcBorders>
          <w:top w:val="single" w:sz="4" w:space="0" w:color="C9C9CA" w:themeColor="accent2"/>
          <w:bottom w:val="single" w:sz="4" w:space="0" w:color="C9C9C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9C9CA" w:themeColor="accent2"/>
          <w:left w:val="nil"/>
        </w:tcBorders>
      </w:tcPr>
    </w:tblStylePr>
    <w:tblStylePr w:type="swCell">
      <w:tblPr/>
      <w:tcPr>
        <w:tcBorders>
          <w:top w:val="double" w:sz="4" w:space="0" w:color="C9C9CA" w:themeColor="accent2"/>
          <w:right w:val="nil"/>
        </w:tcBorders>
      </w:tcPr>
    </w:tblStylePr>
  </w:style>
  <w:style w:type="table" w:styleId="ListTable3-Accent3">
    <w:name w:val="List Table 3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63D0DF" w:themeColor="accent3"/>
        <w:left w:val="single" w:sz="4" w:space="0" w:color="63D0DF" w:themeColor="accent3"/>
        <w:bottom w:val="single" w:sz="4" w:space="0" w:color="63D0DF" w:themeColor="accent3"/>
        <w:right w:val="single" w:sz="4" w:space="0" w:color="63D0DF" w:themeColor="accent3"/>
      </w:tblBorders>
      <w:tblCellMar>
        <w:top w:w="57" w:type="dxa"/>
        <w:left w:w="57" w:type="dxa"/>
        <w:bottom w:w="57" w:type="dxa"/>
        <w:right w:w="57" w:type="dxa"/>
      </w:tblCellMar>
    </w:tblPr>
    <w:tblStylePr w:type="firstRow">
      <w:rPr>
        <w:b/>
        <w:bCs/>
        <w:color w:val="FFFFFF" w:themeColor="background1"/>
      </w:rPr>
      <w:tblPr/>
      <w:tcPr>
        <w:shd w:val="clear" w:color="auto" w:fill="63D0DF" w:themeFill="accent3"/>
      </w:tcPr>
    </w:tblStylePr>
    <w:tblStylePr w:type="lastRow">
      <w:rPr>
        <w:b/>
        <w:bCs/>
      </w:rPr>
      <w:tblPr/>
      <w:tcPr>
        <w:tcBorders>
          <w:top w:val="double" w:sz="4" w:space="0" w:color="63D0D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D0DF" w:themeColor="accent3"/>
          <w:right w:val="single" w:sz="4" w:space="0" w:color="63D0DF" w:themeColor="accent3"/>
        </w:tcBorders>
      </w:tcPr>
    </w:tblStylePr>
    <w:tblStylePr w:type="band1Horz">
      <w:tblPr/>
      <w:tcPr>
        <w:tcBorders>
          <w:top w:val="single" w:sz="4" w:space="0" w:color="63D0DF" w:themeColor="accent3"/>
          <w:bottom w:val="single" w:sz="4" w:space="0" w:color="63D0D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D0DF" w:themeColor="accent3"/>
          <w:left w:val="nil"/>
        </w:tcBorders>
      </w:tcPr>
    </w:tblStylePr>
    <w:tblStylePr w:type="swCell">
      <w:tblPr/>
      <w:tcPr>
        <w:tcBorders>
          <w:top w:val="double" w:sz="4" w:space="0" w:color="63D0DF" w:themeColor="accent3"/>
          <w:right w:val="nil"/>
        </w:tcBorders>
      </w:tcPr>
    </w:tblStylePr>
  </w:style>
  <w:style w:type="table" w:styleId="ListTable3-Accent4">
    <w:name w:val="List Table 3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A1A1" w:themeColor="accent4"/>
        <w:left w:val="single" w:sz="4" w:space="0" w:color="A1A1A1" w:themeColor="accent4"/>
        <w:bottom w:val="single" w:sz="4" w:space="0" w:color="A1A1A1" w:themeColor="accent4"/>
        <w:right w:val="single" w:sz="4" w:space="0" w:color="A1A1A1" w:themeColor="accent4"/>
      </w:tblBorders>
      <w:tblCellMar>
        <w:top w:w="57" w:type="dxa"/>
        <w:left w:w="57" w:type="dxa"/>
        <w:bottom w:w="57" w:type="dxa"/>
        <w:right w:w="57" w:type="dxa"/>
      </w:tblCellMar>
    </w:tblPr>
    <w:tblStylePr w:type="firstRow">
      <w:rPr>
        <w:b/>
        <w:bCs/>
        <w:color w:val="FFFFFF" w:themeColor="background1"/>
      </w:rPr>
      <w:tblPr/>
      <w:tcPr>
        <w:shd w:val="clear" w:color="auto" w:fill="A1A1A1" w:themeFill="accent4"/>
      </w:tcPr>
    </w:tblStylePr>
    <w:tblStylePr w:type="lastRow">
      <w:rPr>
        <w:b/>
        <w:bCs/>
      </w:rPr>
      <w:tblPr/>
      <w:tcPr>
        <w:tcBorders>
          <w:top w:val="double" w:sz="4" w:space="0" w:color="A1A1A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A1A1" w:themeColor="accent4"/>
          <w:right w:val="single" w:sz="4" w:space="0" w:color="A1A1A1" w:themeColor="accent4"/>
        </w:tcBorders>
      </w:tcPr>
    </w:tblStylePr>
    <w:tblStylePr w:type="band1Horz">
      <w:tblPr/>
      <w:tcPr>
        <w:tcBorders>
          <w:top w:val="single" w:sz="4" w:space="0" w:color="A1A1A1" w:themeColor="accent4"/>
          <w:bottom w:val="single" w:sz="4" w:space="0" w:color="A1A1A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A1A1" w:themeColor="accent4"/>
          <w:left w:val="nil"/>
        </w:tcBorders>
      </w:tcPr>
    </w:tblStylePr>
    <w:tblStylePr w:type="swCell">
      <w:tblPr/>
      <w:tcPr>
        <w:tcBorders>
          <w:top w:val="double" w:sz="4" w:space="0" w:color="A1A1A1" w:themeColor="accent4"/>
          <w:right w:val="nil"/>
        </w:tcBorders>
      </w:tcPr>
    </w:tblStylePr>
  </w:style>
  <w:style w:type="table" w:styleId="ListTable3-Accent5">
    <w:name w:val="List Table 3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63D0DF" w:themeColor="accent5"/>
        <w:left w:val="single" w:sz="4" w:space="0" w:color="63D0DF" w:themeColor="accent5"/>
        <w:bottom w:val="single" w:sz="4" w:space="0" w:color="63D0DF" w:themeColor="accent5"/>
        <w:right w:val="single" w:sz="4" w:space="0" w:color="63D0DF" w:themeColor="accent5"/>
      </w:tblBorders>
      <w:tblCellMar>
        <w:top w:w="57" w:type="dxa"/>
        <w:left w:w="57" w:type="dxa"/>
        <w:bottom w:w="57" w:type="dxa"/>
        <w:right w:w="57" w:type="dxa"/>
      </w:tblCellMar>
    </w:tblPr>
    <w:tblStylePr w:type="firstRow">
      <w:rPr>
        <w:b/>
        <w:bCs/>
        <w:color w:val="FFFFFF" w:themeColor="background1"/>
      </w:rPr>
      <w:tblPr/>
      <w:tcPr>
        <w:shd w:val="clear" w:color="auto" w:fill="63D0DF" w:themeFill="accent5"/>
      </w:tcPr>
    </w:tblStylePr>
    <w:tblStylePr w:type="lastRow">
      <w:rPr>
        <w:b/>
        <w:bCs/>
      </w:rPr>
      <w:tblPr/>
      <w:tcPr>
        <w:tcBorders>
          <w:top w:val="double" w:sz="4" w:space="0" w:color="63D0D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D0DF" w:themeColor="accent5"/>
          <w:right w:val="single" w:sz="4" w:space="0" w:color="63D0DF" w:themeColor="accent5"/>
        </w:tcBorders>
      </w:tcPr>
    </w:tblStylePr>
    <w:tblStylePr w:type="band1Horz">
      <w:tblPr/>
      <w:tcPr>
        <w:tcBorders>
          <w:top w:val="single" w:sz="4" w:space="0" w:color="63D0DF" w:themeColor="accent5"/>
          <w:bottom w:val="single" w:sz="4" w:space="0" w:color="63D0D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D0DF" w:themeColor="accent5"/>
          <w:left w:val="nil"/>
        </w:tcBorders>
      </w:tcPr>
    </w:tblStylePr>
    <w:tblStylePr w:type="swCell">
      <w:tblPr/>
      <w:tcPr>
        <w:tcBorders>
          <w:top w:val="double" w:sz="4" w:space="0" w:color="63D0DF" w:themeColor="accent5"/>
          <w:right w:val="nil"/>
        </w:tcBorders>
      </w:tcPr>
    </w:tblStylePr>
  </w:style>
  <w:style w:type="table" w:styleId="ListTable3-Accent6">
    <w:name w:val="List Table 3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A1A1" w:themeColor="accent6"/>
        <w:left w:val="single" w:sz="4" w:space="0" w:color="A1A1A1" w:themeColor="accent6"/>
        <w:bottom w:val="single" w:sz="4" w:space="0" w:color="A1A1A1" w:themeColor="accent6"/>
        <w:right w:val="single" w:sz="4" w:space="0" w:color="A1A1A1" w:themeColor="accent6"/>
      </w:tblBorders>
      <w:tblCellMar>
        <w:top w:w="57" w:type="dxa"/>
        <w:left w:w="57" w:type="dxa"/>
        <w:bottom w:w="57" w:type="dxa"/>
        <w:right w:w="57" w:type="dxa"/>
      </w:tblCellMar>
    </w:tblPr>
    <w:tblStylePr w:type="firstRow">
      <w:rPr>
        <w:b/>
        <w:bCs/>
        <w:color w:val="FFFFFF" w:themeColor="background1"/>
      </w:rPr>
      <w:tblPr/>
      <w:tcPr>
        <w:shd w:val="clear" w:color="auto" w:fill="A1A1A1" w:themeFill="accent6"/>
      </w:tcPr>
    </w:tblStylePr>
    <w:tblStylePr w:type="lastRow">
      <w:rPr>
        <w:b/>
        <w:bCs/>
      </w:rPr>
      <w:tblPr/>
      <w:tcPr>
        <w:tcBorders>
          <w:top w:val="double" w:sz="4" w:space="0" w:color="A1A1A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A1A1" w:themeColor="accent6"/>
          <w:right w:val="single" w:sz="4" w:space="0" w:color="A1A1A1" w:themeColor="accent6"/>
        </w:tcBorders>
      </w:tcPr>
    </w:tblStylePr>
    <w:tblStylePr w:type="band1Horz">
      <w:tblPr/>
      <w:tcPr>
        <w:tcBorders>
          <w:top w:val="single" w:sz="4" w:space="0" w:color="A1A1A1" w:themeColor="accent6"/>
          <w:bottom w:val="single" w:sz="4" w:space="0" w:color="A1A1A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A1A1" w:themeColor="accent6"/>
          <w:left w:val="nil"/>
        </w:tcBorders>
      </w:tcPr>
    </w:tblStylePr>
    <w:tblStylePr w:type="swCell">
      <w:tblPr/>
      <w:tcPr>
        <w:tcBorders>
          <w:top w:val="double" w:sz="4" w:space="0" w:color="A1A1A1" w:themeColor="accent6"/>
          <w:right w:val="nil"/>
        </w:tcBorders>
      </w:tcPr>
    </w:tblStylePr>
  </w:style>
  <w:style w:type="table" w:styleId="ListTable4">
    <w:name w:val="List Table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1" w:themeTint="99"/>
        <w:left w:val="single" w:sz="4" w:space="0" w:color="A1E2EB" w:themeColor="accent1" w:themeTint="99"/>
        <w:bottom w:val="single" w:sz="4" w:space="0" w:color="A1E2EB" w:themeColor="accent1" w:themeTint="99"/>
        <w:right w:val="single" w:sz="4" w:space="0" w:color="A1E2EB" w:themeColor="accent1" w:themeTint="99"/>
        <w:insideH w:val="single" w:sz="4" w:space="0" w:color="A1E2EB" w:themeColor="accen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63D0DF" w:themeColor="accent1"/>
          <w:left w:val="single" w:sz="4" w:space="0" w:color="63D0DF" w:themeColor="accent1"/>
          <w:bottom w:val="single" w:sz="4" w:space="0" w:color="63D0DF" w:themeColor="accent1"/>
          <w:right w:val="single" w:sz="4" w:space="0" w:color="63D0DF" w:themeColor="accent1"/>
          <w:insideH w:val="nil"/>
        </w:tcBorders>
        <w:shd w:val="clear" w:color="auto" w:fill="63D0DF" w:themeFill="accent1"/>
      </w:tcPr>
    </w:tblStylePr>
    <w:tblStylePr w:type="lastRow">
      <w:rPr>
        <w:b/>
        <w:bCs/>
      </w:rPr>
      <w:tblPr/>
      <w:tcPr>
        <w:tcBorders>
          <w:top w:val="double" w:sz="4" w:space="0" w:color="A1E2EB" w:themeColor="accent1" w:themeTint="99"/>
        </w:tcBorders>
      </w:tcPr>
    </w:tblStylePr>
    <w:tblStylePr w:type="firstCol">
      <w:rPr>
        <w:b/>
        <w:bCs/>
      </w:rPr>
    </w:tblStylePr>
    <w:tblStylePr w:type="lastCol">
      <w:rPr>
        <w:b/>
        <w:bCs/>
      </w:rPr>
    </w:tblStylePr>
    <w:tblStylePr w:type="band1Vert">
      <w:tblPr/>
      <w:tcPr>
        <w:shd w:val="clear" w:color="auto" w:fill="DFF5F8" w:themeFill="accent1" w:themeFillTint="33"/>
      </w:tcPr>
    </w:tblStylePr>
    <w:tblStylePr w:type="band1Horz">
      <w:tblPr/>
      <w:tcPr>
        <w:shd w:val="clear" w:color="auto" w:fill="DFF5F8" w:themeFill="accent1" w:themeFillTint="33"/>
      </w:tcPr>
    </w:tblStylePr>
  </w:style>
  <w:style w:type="table" w:styleId="ListTable4-Accent2">
    <w:name w:val="List Table 4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EDEDF" w:themeColor="accent2" w:themeTint="99"/>
        <w:left w:val="single" w:sz="4" w:space="0" w:color="DEDEDF" w:themeColor="accent2" w:themeTint="99"/>
        <w:bottom w:val="single" w:sz="4" w:space="0" w:color="DEDEDF" w:themeColor="accent2" w:themeTint="99"/>
        <w:right w:val="single" w:sz="4" w:space="0" w:color="DEDEDF" w:themeColor="accent2" w:themeTint="99"/>
        <w:insideH w:val="single" w:sz="4" w:space="0" w:color="DEDEDF" w:themeColor="accent2"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C9C9CA" w:themeColor="accent2"/>
          <w:left w:val="single" w:sz="4" w:space="0" w:color="C9C9CA" w:themeColor="accent2"/>
          <w:bottom w:val="single" w:sz="4" w:space="0" w:color="C9C9CA" w:themeColor="accent2"/>
          <w:right w:val="single" w:sz="4" w:space="0" w:color="C9C9CA" w:themeColor="accent2"/>
          <w:insideH w:val="nil"/>
        </w:tcBorders>
        <w:shd w:val="clear" w:color="auto" w:fill="C9C9CA" w:themeFill="accent2"/>
      </w:tcPr>
    </w:tblStylePr>
    <w:tblStylePr w:type="lastRow">
      <w:rPr>
        <w:b/>
        <w:bCs/>
      </w:rPr>
      <w:tblPr/>
      <w:tcPr>
        <w:tcBorders>
          <w:top w:val="double" w:sz="4" w:space="0" w:color="DEDEDF" w:themeColor="accent2" w:themeTint="99"/>
        </w:tcBorders>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ListTable4-Accent3">
    <w:name w:val="List Table 4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3" w:themeTint="99"/>
        <w:left w:val="single" w:sz="4" w:space="0" w:color="A1E2EB" w:themeColor="accent3" w:themeTint="99"/>
        <w:bottom w:val="single" w:sz="4" w:space="0" w:color="A1E2EB" w:themeColor="accent3" w:themeTint="99"/>
        <w:right w:val="single" w:sz="4" w:space="0" w:color="A1E2EB" w:themeColor="accent3" w:themeTint="99"/>
        <w:insideH w:val="single" w:sz="4" w:space="0" w:color="A1E2EB" w:themeColor="accent3"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63D0DF" w:themeColor="accent3"/>
          <w:left w:val="single" w:sz="4" w:space="0" w:color="63D0DF" w:themeColor="accent3"/>
          <w:bottom w:val="single" w:sz="4" w:space="0" w:color="63D0DF" w:themeColor="accent3"/>
          <w:right w:val="single" w:sz="4" w:space="0" w:color="63D0DF" w:themeColor="accent3"/>
          <w:insideH w:val="nil"/>
        </w:tcBorders>
        <w:shd w:val="clear" w:color="auto" w:fill="63D0DF" w:themeFill="accent3"/>
      </w:tcPr>
    </w:tblStylePr>
    <w:tblStylePr w:type="lastRow">
      <w:rPr>
        <w:b/>
        <w:bCs/>
      </w:rPr>
      <w:tblPr/>
      <w:tcPr>
        <w:tcBorders>
          <w:top w:val="double" w:sz="4" w:space="0" w:color="A1E2EB" w:themeColor="accent3" w:themeTint="99"/>
        </w:tcBorders>
      </w:tcPr>
    </w:tblStylePr>
    <w:tblStylePr w:type="firstCol">
      <w:rPr>
        <w:b/>
        <w:bCs/>
      </w:rPr>
    </w:tblStylePr>
    <w:tblStylePr w:type="lastCol">
      <w:rPr>
        <w:b/>
        <w:bCs/>
      </w:rPr>
    </w:tblStylePr>
    <w:tblStylePr w:type="band1Vert">
      <w:tblPr/>
      <w:tcPr>
        <w:shd w:val="clear" w:color="auto" w:fill="DFF5F8" w:themeFill="accent3" w:themeFillTint="33"/>
      </w:tcPr>
    </w:tblStylePr>
    <w:tblStylePr w:type="band1Horz">
      <w:tblPr/>
      <w:tcPr>
        <w:shd w:val="clear" w:color="auto" w:fill="DFF5F8" w:themeFill="accent3" w:themeFillTint="33"/>
      </w:tcPr>
    </w:tblStylePr>
  </w:style>
  <w:style w:type="table" w:styleId="ListTable4-Accent4">
    <w:name w:val="List Table 4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4" w:themeTint="99"/>
        <w:left w:val="single" w:sz="4" w:space="0" w:color="C6C6C6" w:themeColor="accent4" w:themeTint="99"/>
        <w:bottom w:val="single" w:sz="4" w:space="0" w:color="C6C6C6" w:themeColor="accent4" w:themeTint="99"/>
        <w:right w:val="single" w:sz="4" w:space="0" w:color="C6C6C6" w:themeColor="accent4" w:themeTint="99"/>
        <w:insideH w:val="single" w:sz="4" w:space="0" w:color="C6C6C6" w:themeColor="accent4"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A1A1A1" w:themeColor="accent4"/>
          <w:left w:val="single" w:sz="4" w:space="0" w:color="A1A1A1" w:themeColor="accent4"/>
          <w:bottom w:val="single" w:sz="4" w:space="0" w:color="A1A1A1" w:themeColor="accent4"/>
          <w:right w:val="single" w:sz="4" w:space="0" w:color="A1A1A1" w:themeColor="accent4"/>
          <w:insideH w:val="nil"/>
        </w:tcBorders>
        <w:shd w:val="clear" w:color="auto" w:fill="A1A1A1" w:themeFill="accent4"/>
      </w:tcPr>
    </w:tblStylePr>
    <w:tblStylePr w:type="lastRow">
      <w:rPr>
        <w:b/>
        <w:bCs/>
      </w:rPr>
      <w:tblPr/>
      <w:tcPr>
        <w:tcBorders>
          <w:top w:val="double" w:sz="4" w:space="0" w:color="C6C6C6" w:themeColor="accent4" w:themeTint="99"/>
        </w:tcBorders>
      </w:tcPr>
    </w:tblStylePr>
    <w:tblStylePr w:type="firstCol">
      <w:rPr>
        <w:b/>
        <w:bCs/>
      </w:rPr>
    </w:tblStylePr>
    <w:tblStylePr w:type="lastCol">
      <w:rPr>
        <w:b/>
        <w:bCs/>
      </w:rPr>
    </w:tblStylePr>
    <w:tblStylePr w:type="band1Vert">
      <w:tblPr/>
      <w:tcPr>
        <w:shd w:val="clear" w:color="auto" w:fill="ECECEC" w:themeFill="accent4" w:themeFillTint="33"/>
      </w:tcPr>
    </w:tblStylePr>
    <w:tblStylePr w:type="band1Horz">
      <w:tblPr/>
      <w:tcPr>
        <w:shd w:val="clear" w:color="auto" w:fill="ECECEC" w:themeFill="accent4" w:themeFillTint="33"/>
      </w:tcPr>
    </w:tblStylePr>
  </w:style>
  <w:style w:type="table" w:styleId="ListTable4-Accent5">
    <w:name w:val="List Table 4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5" w:themeTint="99"/>
        <w:left w:val="single" w:sz="4" w:space="0" w:color="A1E2EB" w:themeColor="accent5" w:themeTint="99"/>
        <w:bottom w:val="single" w:sz="4" w:space="0" w:color="A1E2EB" w:themeColor="accent5" w:themeTint="99"/>
        <w:right w:val="single" w:sz="4" w:space="0" w:color="A1E2EB" w:themeColor="accent5" w:themeTint="99"/>
        <w:insideH w:val="single" w:sz="4" w:space="0" w:color="A1E2EB" w:themeColor="accent5"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63D0DF" w:themeColor="accent5"/>
          <w:left w:val="single" w:sz="4" w:space="0" w:color="63D0DF" w:themeColor="accent5"/>
          <w:bottom w:val="single" w:sz="4" w:space="0" w:color="63D0DF" w:themeColor="accent5"/>
          <w:right w:val="single" w:sz="4" w:space="0" w:color="63D0DF" w:themeColor="accent5"/>
          <w:insideH w:val="nil"/>
        </w:tcBorders>
        <w:shd w:val="clear" w:color="auto" w:fill="63D0DF" w:themeFill="accent5"/>
      </w:tcPr>
    </w:tblStylePr>
    <w:tblStylePr w:type="lastRow">
      <w:rPr>
        <w:b/>
        <w:bCs/>
      </w:rPr>
      <w:tblPr/>
      <w:tcPr>
        <w:tcBorders>
          <w:top w:val="double" w:sz="4" w:space="0" w:color="A1E2EB" w:themeColor="accent5" w:themeTint="99"/>
        </w:tcBorders>
      </w:tcPr>
    </w:tblStylePr>
    <w:tblStylePr w:type="firstCol">
      <w:rPr>
        <w:b/>
        <w:bCs/>
      </w:rPr>
    </w:tblStylePr>
    <w:tblStylePr w:type="lastCol">
      <w:rPr>
        <w:b/>
        <w:bCs/>
      </w:rPr>
    </w:tblStylePr>
    <w:tblStylePr w:type="band1Vert">
      <w:tblPr/>
      <w:tcPr>
        <w:shd w:val="clear" w:color="auto" w:fill="DFF5F8" w:themeFill="accent5" w:themeFillTint="33"/>
      </w:tcPr>
    </w:tblStylePr>
    <w:tblStylePr w:type="band1Horz">
      <w:tblPr/>
      <w:tcPr>
        <w:shd w:val="clear" w:color="auto" w:fill="DFF5F8" w:themeFill="accent5" w:themeFillTint="33"/>
      </w:tcPr>
    </w:tblStylePr>
  </w:style>
  <w:style w:type="table" w:styleId="ListTable4-Accent6">
    <w:name w:val="List Table 4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6" w:themeTint="99"/>
        <w:left w:val="single" w:sz="4" w:space="0" w:color="C6C6C6" w:themeColor="accent6" w:themeTint="99"/>
        <w:bottom w:val="single" w:sz="4" w:space="0" w:color="C6C6C6" w:themeColor="accent6" w:themeTint="99"/>
        <w:right w:val="single" w:sz="4" w:space="0" w:color="C6C6C6" w:themeColor="accent6" w:themeTint="99"/>
        <w:insideH w:val="single" w:sz="4" w:space="0" w:color="C6C6C6" w:themeColor="accent6"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A1A1A1" w:themeColor="accent6"/>
          <w:left w:val="single" w:sz="4" w:space="0" w:color="A1A1A1" w:themeColor="accent6"/>
          <w:bottom w:val="single" w:sz="4" w:space="0" w:color="A1A1A1" w:themeColor="accent6"/>
          <w:right w:val="single" w:sz="4" w:space="0" w:color="A1A1A1" w:themeColor="accent6"/>
          <w:insideH w:val="nil"/>
        </w:tcBorders>
        <w:shd w:val="clear" w:color="auto" w:fill="A1A1A1" w:themeFill="accent6"/>
      </w:tcPr>
    </w:tblStylePr>
    <w:tblStylePr w:type="lastRow">
      <w:rPr>
        <w:b/>
        <w:bCs/>
      </w:rPr>
      <w:tblPr/>
      <w:tcPr>
        <w:tcBorders>
          <w:top w:val="double" w:sz="4" w:space="0" w:color="C6C6C6" w:themeColor="accent6" w:themeTint="99"/>
        </w:tcBorders>
      </w:tcPr>
    </w:tblStylePr>
    <w:tblStylePr w:type="firstCol">
      <w:rPr>
        <w:b/>
        <w:bCs/>
      </w:rPr>
    </w:tblStylePr>
    <w:tblStylePr w:type="lastCol">
      <w:rPr>
        <w:b/>
        <w:bCs/>
      </w:rPr>
    </w:tblStylePr>
    <w:tblStylePr w:type="band1Vert">
      <w:tblPr/>
      <w:tcPr>
        <w:shd w:val="clear" w:color="auto" w:fill="ECECEC" w:themeFill="accent6" w:themeFillTint="33"/>
      </w:tcPr>
    </w:tblStylePr>
    <w:tblStylePr w:type="band1Horz">
      <w:tblPr/>
      <w:tcPr>
        <w:shd w:val="clear" w:color="auto" w:fill="ECECEC" w:themeFill="accent6" w:themeFillTint="33"/>
      </w:tcPr>
    </w:tblStylePr>
  </w:style>
  <w:style w:type="table" w:styleId="ListTable5Dark">
    <w:name w:val="List Table 5 Dark"/>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85" w:type="dxa"/>
        <w:left w:w="85" w:type="dxa"/>
        <w:bottom w:w="85" w:type="dxa"/>
        <w:right w:w="85"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63D0DF" w:themeColor="accent1"/>
        <w:left w:val="single" w:sz="24" w:space="0" w:color="63D0DF" w:themeColor="accent1"/>
        <w:bottom w:val="single" w:sz="24" w:space="0" w:color="63D0DF" w:themeColor="accent1"/>
        <w:right w:val="single" w:sz="24" w:space="0" w:color="63D0DF" w:themeColor="accent1"/>
      </w:tblBorders>
      <w:tblCellMar>
        <w:top w:w="85" w:type="dxa"/>
        <w:left w:w="85" w:type="dxa"/>
        <w:bottom w:w="85" w:type="dxa"/>
        <w:right w:w="85" w:type="dxa"/>
      </w:tblCellMar>
    </w:tblPr>
    <w:tcPr>
      <w:shd w:val="clear" w:color="auto" w:fill="63D0D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C9C9CA" w:themeColor="accent2"/>
        <w:left w:val="single" w:sz="24" w:space="0" w:color="C9C9CA" w:themeColor="accent2"/>
        <w:bottom w:val="single" w:sz="24" w:space="0" w:color="C9C9CA" w:themeColor="accent2"/>
        <w:right w:val="single" w:sz="24" w:space="0" w:color="C9C9CA" w:themeColor="accent2"/>
      </w:tblBorders>
      <w:tblCellMar>
        <w:top w:w="85" w:type="dxa"/>
        <w:left w:w="85" w:type="dxa"/>
        <w:bottom w:w="85" w:type="dxa"/>
        <w:right w:w="85" w:type="dxa"/>
      </w:tblCellMar>
    </w:tblPr>
    <w:tcPr>
      <w:shd w:val="clear" w:color="auto" w:fill="C9C9C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63D0DF" w:themeColor="accent3"/>
        <w:left w:val="single" w:sz="24" w:space="0" w:color="63D0DF" w:themeColor="accent3"/>
        <w:bottom w:val="single" w:sz="24" w:space="0" w:color="63D0DF" w:themeColor="accent3"/>
        <w:right w:val="single" w:sz="24" w:space="0" w:color="63D0DF" w:themeColor="accent3"/>
      </w:tblBorders>
      <w:tblCellMar>
        <w:top w:w="85" w:type="dxa"/>
        <w:left w:w="85" w:type="dxa"/>
        <w:bottom w:w="85" w:type="dxa"/>
        <w:right w:w="85" w:type="dxa"/>
      </w:tblCellMar>
    </w:tblPr>
    <w:tcPr>
      <w:shd w:val="clear" w:color="auto" w:fill="63D0D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A1A1A1" w:themeColor="accent4"/>
        <w:left w:val="single" w:sz="24" w:space="0" w:color="A1A1A1" w:themeColor="accent4"/>
        <w:bottom w:val="single" w:sz="24" w:space="0" w:color="A1A1A1" w:themeColor="accent4"/>
        <w:right w:val="single" w:sz="24" w:space="0" w:color="A1A1A1" w:themeColor="accent4"/>
      </w:tblBorders>
      <w:tblCellMar>
        <w:top w:w="85" w:type="dxa"/>
        <w:left w:w="85" w:type="dxa"/>
        <w:bottom w:w="85" w:type="dxa"/>
        <w:right w:w="85" w:type="dxa"/>
      </w:tblCellMar>
    </w:tblPr>
    <w:tcPr>
      <w:shd w:val="clear" w:color="auto" w:fill="A1A1A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63D0DF" w:themeColor="accent5"/>
        <w:left w:val="single" w:sz="24" w:space="0" w:color="63D0DF" w:themeColor="accent5"/>
        <w:bottom w:val="single" w:sz="24" w:space="0" w:color="63D0DF" w:themeColor="accent5"/>
        <w:right w:val="single" w:sz="24" w:space="0" w:color="63D0DF" w:themeColor="accent5"/>
      </w:tblBorders>
      <w:tblCellMar>
        <w:top w:w="85" w:type="dxa"/>
        <w:left w:w="85" w:type="dxa"/>
        <w:bottom w:w="85" w:type="dxa"/>
        <w:right w:w="85" w:type="dxa"/>
      </w:tblCellMar>
    </w:tblPr>
    <w:tcPr>
      <w:shd w:val="clear" w:color="auto" w:fill="63D0D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A1A1A1" w:themeColor="accent6"/>
        <w:left w:val="single" w:sz="24" w:space="0" w:color="A1A1A1" w:themeColor="accent6"/>
        <w:bottom w:val="single" w:sz="24" w:space="0" w:color="A1A1A1" w:themeColor="accent6"/>
        <w:right w:val="single" w:sz="24" w:space="0" w:color="A1A1A1" w:themeColor="accent6"/>
      </w:tblBorders>
      <w:tblCellMar>
        <w:top w:w="85" w:type="dxa"/>
        <w:left w:w="85" w:type="dxa"/>
        <w:bottom w:w="85" w:type="dxa"/>
        <w:right w:w="85" w:type="dxa"/>
      </w:tblCellMar>
    </w:tblPr>
    <w:tcPr>
      <w:shd w:val="clear" w:color="auto" w:fill="A1A1A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8"/>
    <w:semiHidden/>
    <w:rsid w:val="00573428"/>
    <w:rPr>
      <w:rFonts w:asciiTheme="minorHAnsi" w:eastAsia="Century Gothic" w:hAnsi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CellMar>
        <w:top w:w="57" w:type="dxa"/>
        <w:left w:w="57" w:type="dxa"/>
        <w:bottom w:w="57" w:type="dxa"/>
        <w:right w:w="57"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8"/>
    <w:semiHidden/>
    <w:rsid w:val="00573428"/>
    <w:rPr>
      <w:rFonts w:asciiTheme="minorHAnsi" w:eastAsia="Century Gothic" w:hAnsiTheme="minorHAnsi" w:cstheme="minorBidi"/>
      <w:color w:val="29B4C7" w:themeColor="accent1" w:themeShade="BF"/>
      <w:lang w:eastAsia="en-US"/>
    </w:rPr>
    <w:tblPr>
      <w:tblStyleRowBandSize w:val="1"/>
      <w:tblStyleColBandSize w:val="1"/>
      <w:tblBorders>
        <w:top w:val="single" w:sz="4" w:space="0" w:color="63D0DF" w:themeColor="accent1"/>
        <w:bottom w:val="single" w:sz="4" w:space="0" w:color="63D0DF" w:themeColor="accent1"/>
      </w:tblBorders>
      <w:tblCellMar>
        <w:top w:w="57" w:type="dxa"/>
        <w:left w:w="57" w:type="dxa"/>
        <w:bottom w:w="57" w:type="dxa"/>
        <w:right w:w="57" w:type="dxa"/>
      </w:tblCellMar>
    </w:tblPr>
    <w:tblStylePr w:type="firstRow">
      <w:rPr>
        <w:b/>
        <w:bCs/>
      </w:rPr>
      <w:tblPr/>
      <w:tcPr>
        <w:tcBorders>
          <w:bottom w:val="single" w:sz="4" w:space="0" w:color="63D0DF" w:themeColor="accent1"/>
        </w:tcBorders>
      </w:tcPr>
    </w:tblStylePr>
    <w:tblStylePr w:type="lastRow">
      <w:rPr>
        <w:b/>
        <w:bCs/>
      </w:rPr>
      <w:tblPr/>
      <w:tcPr>
        <w:tcBorders>
          <w:top w:val="double" w:sz="4" w:space="0" w:color="63D0DF" w:themeColor="accent1"/>
        </w:tcBorders>
      </w:tcPr>
    </w:tblStylePr>
    <w:tblStylePr w:type="firstCol">
      <w:rPr>
        <w:b/>
        <w:bCs/>
      </w:rPr>
    </w:tblStylePr>
    <w:tblStylePr w:type="lastCol">
      <w:rPr>
        <w:b/>
        <w:bCs/>
      </w:rPr>
    </w:tblStylePr>
    <w:tblStylePr w:type="band1Vert">
      <w:tblPr/>
      <w:tcPr>
        <w:shd w:val="clear" w:color="auto" w:fill="DFF5F8" w:themeFill="accent1" w:themeFillTint="33"/>
      </w:tcPr>
    </w:tblStylePr>
    <w:tblStylePr w:type="band1Horz">
      <w:tblPr/>
      <w:tcPr>
        <w:shd w:val="clear" w:color="auto" w:fill="DFF5F8" w:themeFill="accent1" w:themeFillTint="33"/>
      </w:tcPr>
    </w:tblStylePr>
  </w:style>
  <w:style w:type="table" w:styleId="ListTable6Colorful-Accent2">
    <w:name w:val="List Table 6 Colorful Accent 2"/>
    <w:basedOn w:val="TableNormal"/>
    <w:uiPriority w:val="98"/>
    <w:semiHidden/>
    <w:rsid w:val="00573428"/>
    <w:rPr>
      <w:rFonts w:asciiTheme="minorHAnsi" w:eastAsia="Century Gothic" w:hAnsiTheme="minorHAnsi" w:cstheme="minorBidi"/>
      <w:color w:val="959597" w:themeColor="accent2" w:themeShade="BF"/>
      <w:lang w:eastAsia="en-US"/>
    </w:rPr>
    <w:tblPr>
      <w:tblStyleRowBandSize w:val="1"/>
      <w:tblStyleColBandSize w:val="1"/>
      <w:tblBorders>
        <w:top w:val="single" w:sz="4" w:space="0" w:color="C9C9CA" w:themeColor="accent2"/>
        <w:bottom w:val="single" w:sz="4" w:space="0" w:color="C9C9CA" w:themeColor="accent2"/>
      </w:tblBorders>
      <w:tblCellMar>
        <w:top w:w="57" w:type="dxa"/>
        <w:left w:w="57" w:type="dxa"/>
        <w:bottom w:w="57" w:type="dxa"/>
        <w:right w:w="57" w:type="dxa"/>
      </w:tblCellMar>
    </w:tblPr>
    <w:tblStylePr w:type="firstRow">
      <w:rPr>
        <w:b/>
        <w:bCs/>
      </w:rPr>
      <w:tblPr/>
      <w:tcPr>
        <w:tcBorders>
          <w:bottom w:val="single" w:sz="4" w:space="0" w:color="C9C9CA" w:themeColor="accent2"/>
        </w:tcBorders>
      </w:tcPr>
    </w:tblStylePr>
    <w:tblStylePr w:type="lastRow">
      <w:rPr>
        <w:b/>
        <w:bCs/>
      </w:rPr>
      <w:tblPr/>
      <w:tcPr>
        <w:tcBorders>
          <w:top w:val="double" w:sz="4" w:space="0" w:color="C9C9CA" w:themeColor="accent2"/>
        </w:tcBorders>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ListTable6Colorful-Accent3">
    <w:name w:val="List Table 6 Colorful Accent 3"/>
    <w:basedOn w:val="TableNormal"/>
    <w:uiPriority w:val="98"/>
    <w:semiHidden/>
    <w:rsid w:val="00573428"/>
    <w:rPr>
      <w:rFonts w:asciiTheme="minorHAnsi" w:eastAsia="Century Gothic" w:hAnsiTheme="minorHAnsi" w:cstheme="minorBidi"/>
      <w:color w:val="29B4C7" w:themeColor="accent3" w:themeShade="BF"/>
      <w:lang w:eastAsia="en-US"/>
    </w:rPr>
    <w:tblPr>
      <w:tblStyleRowBandSize w:val="1"/>
      <w:tblStyleColBandSize w:val="1"/>
      <w:tblBorders>
        <w:top w:val="single" w:sz="4" w:space="0" w:color="63D0DF" w:themeColor="accent3"/>
        <w:bottom w:val="single" w:sz="4" w:space="0" w:color="63D0DF" w:themeColor="accent3"/>
      </w:tblBorders>
      <w:tblCellMar>
        <w:top w:w="57" w:type="dxa"/>
        <w:left w:w="57" w:type="dxa"/>
        <w:bottom w:w="57" w:type="dxa"/>
        <w:right w:w="57" w:type="dxa"/>
      </w:tblCellMar>
    </w:tblPr>
    <w:tblStylePr w:type="firstRow">
      <w:rPr>
        <w:b/>
        <w:bCs/>
      </w:rPr>
      <w:tblPr/>
      <w:tcPr>
        <w:tcBorders>
          <w:bottom w:val="single" w:sz="4" w:space="0" w:color="63D0DF" w:themeColor="accent3"/>
        </w:tcBorders>
      </w:tcPr>
    </w:tblStylePr>
    <w:tblStylePr w:type="lastRow">
      <w:rPr>
        <w:b/>
        <w:bCs/>
      </w:rPr>
      <w:tblPr/>
      <w:tcPr>
        <w:tcBorders>
          <w:top w:val="double" w:sz="4" w:space="0" w:color="63D0DF" w:themeColor="accent3"/>
        </w:tcBorders>
      </w:tcPr>
    </w:tblStylePr>
    <w:tblStylePr w:type="firstCol">
      <w:rPr>
        <w:b/>
        <w:bCs/>
      </w:rPr>
    </w:tblStylePr>
    <w:tblStylePr w:type="lastCol">
      <w:rPr>
        <w:b/>
        <w:bCs/>
      </w:rPr>
    </w:tblStylePr>
    <w:tblStylePr w:type="band1Vert">
      <w:tblPr/>
      <w:tcPr>
        <w:shd w:val="clear" w:color="auto" w:fill="DFF5F8" w:themeFill="accent3" w:themeFillTint="33"/>
      </w:tcPr>
    </w:tblStylePr>
    <w:tblStylePr w:type="band1Horz">
      <w:tblPr/>
      <w:tcPr>
        <w:shd w:val="clear" w:color="auto" w:fill="DFF5F8" w:themeFill="accent3" w:themeFillTint="33"/>
      </w:tcPr>
    </w:tblStylePr>
  </w:style>
  <w:style w:type="table" w:styleId="ListTable6Colorful-Accent4">
    <w:name w:val="List Table 6 Colorful Accent 4"/>
    <w:basedOn w:val="TableNormal"/>
    <w:uiPriority w:val="98"/>
    <w:semiHidden/>
    <w:rsid w:val="00573428"/>
    <w:rPr>
      <w:rFonts w:asciiTheme="minorHAnsi" w:eastAsia="Century Gothic" w:hAnsiTheme="minorHAnsi" w:cstheme="minorBidi"/>
      <w:color w:val="787878" w:themeColor="accent4" w:themeShade="BF"/>
      <w:lang w:eastAsia="en-US"/>
    </w:rPr>
    <w:tblPr>
      <w:tblStyleRowBandSize w:val="1"/>
      <w:tblStyleColBandSize w:val="1"/>
      <w:tblBorders>
        <w:top w:val="single" w:sz="4" w:space="0" w:color="A1A1A1" w:themeColor="accent4"/>
        <w:bottom w:val="single" w:sz="4" w:space="0" w:color="A1A1A1" w:themeColor="accent4"/>
      </w:tblBorders>
      <w:tblCellMar>
        <w:top w:w="57" w:type="dxa"/>
        <w:left w:w="57" w:type="dxa"/>
        <w:bottom w:w="57" w:type="dxa"/>
        <w:right w:w="57" w:type="dxa"/>
      </w:tblCellMar>
    </w:tblPr>
    <w:tblStylePr w:type="firstRow">
      <w:rPr>
        <w:b/>
        <w:bCs/>
      </w:rPr>
      <w:tblPr/>
      <w:tcPr>
        <w:tcBorders>
          <w:bottom w:val="single" w:sz="4" w:space="0" w:color="A1A1A1" w:themeColor="accent4"/>
        </w:tcBorders>
      </w:tcPr>
    </w:tblStylePr>
    <w:tblStylePr w:type="lastRow">
      <w:rPr>
        <w:b/>
        <w:bCs/>
      </w:rPr>
      <w:tblPr/>
      <w:tcPr>
        <w:tcBorders>
          <w:top w:val="double" w:sz="4" w:space="0" w:color="A1A1A1" w:themeColor="accent4"/>
        </w:tcBorders>
      </w:tcPr>
    </w:tblStylePr>
    <w:tblStylePr w:type="firstCol">
      <w:rPr>
        <w:b/>
        <w:bCs/>
      </w:rPr>
    </w:tblStylePr>
    <w:tblStylePr w:type="lastCol">
      <w:rPr>
        <w:b/>
        <w:bCs/>
      </w:rPr>
    </w:tblStylePr>
    <w:tblStylePr w:type="band1Vert">
      <w:tblPr/>
      <w:tcPr>
        <w:shd w:val="clear" w:color="auto" w:fill="ECECEC" w:themeFill="accent4" w:themeFillTint="33"/>
      </w:tcPr>
    </w:tblStylePr>
    <w:tblStylePr w:type="band1Horz">
      <w:tblPr/>
      <w:tcPr>
        <w:shd w:val="clear" w:color="auto" w:fill="ECECEC" w:themeFill="accent4" w:themeFillTint="33"/>
      </w:tcPr>
    </w:tblStylePr>
  </w:style>
  <w:style w:type="table" w:styleId="ListTable6Colorful-Accent5">
    <w:name w:val="List Table 6 Colorful Accent 5"/>
    <w:basedOn w:val="TableNormal"/>
    <w:uiPriority w:val="98"/>
    <w:semiHidden/>
    <w:rsid w:val="00573428"/>
    <w:rPr>
      <w:rFonts w:asciiTheme="minorHAnsi" w:eastAsia="Century Gothic" w:hAnsiTheme="minorHAnsi" w:cstheme="minorBidi"/>
      <w:color w:val="29B4C7" w:themeColor="accent5" w:themeShade="BF"/>
      <w:lang w:eastAsia="en-US"/>
    </w:rPr>
    <w:tblPr>
      <w:tblStyleRowBandSize w:val="1"/>
      <w:tblStyleColBandSize w:val="1"/>
      <w:tblBorders>
        <w:top w:val="single" w:sz="4" w:space="0" w:color="63D0DF" w:themeColor="accent5"/>
        <w:bottom w:val="single" w:sz="4" w:space="0" w:color="63D0DF" w:themeColor="accent5"/>
      </w:tblBorders>
      <w:tblCellMar>
        <w:top w:w="57" w:type="dxa"/>
        <w:left w:w="57" w:type="dxa"/>
        <w:bottom w:w="57" w:type="dxa"/>
        <w:right w:w="57" w:type="dxa"/>
      </w:tblCellMar>
    </w:tblPr>
    <w:tblStylePr w:type="firstRow">
      <w:rPr>
        <w:b/>
        <w:bCs/>
      </w:rPr>
      <w:tblPr/>
      <w:tcPr>
        <w:tcBorders>
          <w:bottom w:val="single" w:sz="4" w:space="0" w:color="63D0DF" w:themeColor="accent5"/>
        </w:tcBorders>
      </w:tcPr>
    </w:tblStylePr>
    <w:tblStylePr w:type="lastRow">
      <w:rPr>
        <w:b/>
        <w:bCs/>
      </w:rPr>
      <w:tblPr/>
      <w:tcPr>
        <w:tcBorders>
          <w:top w:val="double" w:sz="4" w:space="0" w:color="63D0DF" w:themeColor="accent5"/>
        </w:tcBorders>
      </w:tcPr>
    </w:tblStylePr>
    <w:tblStylePr w:type="firstCol">
      <w:rPr>
        <w:b/>
        <w:bCs/>
      </w:rPr>
    </w:tblStylePr>
    <w:tblStylePr w:type="lastCol">
      <w:rPr>
        <w:b/>
        <w:bCs/>
      </w:rPr>
    </w:tblStylePr>
    <w:tblStylePr w:type="band1Vert">
      <w:tblPr/>
      <w:tcPr>
        <w:shd w:val="clear" w:color="auto" w:fill="DFF5F8" w:themeFill="accent5" w:themeFillTint="33"/>
      </w:tcPr>
    </w:tblStylePr>
    <w:tblStylePr w:type="band1Horz">
      <w:tblPr/>
      <w:tcPr>
        <w:shd w:val="clear" w:color="auto" w:fill="DFF5F8" w:themeFill="accent5" w:themeFillTint="33"/>
      </w:tcPr>
    </w:tblStylePr>
  </w:style>
  <w:style w:type="table" w:styleId="ListTable6Colorful-Accent6">
    <w:name w:val="List Table 6 Colorful Accent 6"/>
    <w:basedOn w:val="TableNormal"/>
    <w:uiPriority w:val="98"/>
    <w:semiHidden/>
    <w:rsid w:val="00573428"/>
    <w:rPr>
      <w:rFonts w:asciiTheme="minorHAnsi" w:eastAsia="Century Gothic" w:hAnsiTheme="minorHAnsi" w:cstheme="minorBidi"/>
      <w:color w:val="787878" w:themeColor="accent6" w:themeShade="BF"/>
      <w:lang w:eastAsia="en-US"/>
    </w:rPr>
    <w:tblPr>
      <w:tblStyleRowBandSize w:val="1"/>
      <w:tblStyleColBandSize w:val="1"/>
      <w:tblBorders>
        <w:top w:val="single" w:sz="4" w:space="0" w:color="A1A1A1" w:themeColor="accent6"/>
        <w:bottom w:val="single" w:sz="4" w:space="0" w:color="A1A1A1" w:themeColor="accent6"/>
      </w:tblBorders>
      <w:tblCellMar>
        <w:top w:w="57" w:type="dxa"/>
        <w:left w:w="57" w:type="dxa"/>
        <w:bottom w:w="57" w:type="dxa"/>
        <w:right w:w="57" w:type="dxa"/>
      </w:tblCellMar>
    </w:tblPr>
    <w:tblStylePr w:type="firstRow">
      <w:rPr>
        <w:b/>
        <w:bCs/>
      </w:rPr>
      <w:tblPr/>
      <w:tcPr>
        <w:tcBorders>
          <w:bottom w:val="single" w:sz="4" w:space="0" w:color="A1A1A1" w:themeColor="accent6"/>
        </w:tcBorders>
      </w:tcPr>
    </w:tblStylePr>
    <w:tblStylePr w:type="lastRow">
      <w:rPr>
        <w:b/>
        <w:bCs/>
      </w:rPr>
      <w:tblPr/>
      <w:tcPr>
        <w:tcBorders>
          <w:top w:val="double" w:sz="4" w:space="0" w:color="A1A1A1" w:themeColor="accent6"/>
        </w:tcBorders>
      </w:tcPr>
    </w:tblStylePr>
    <w:tblStylePr w:type="firstCol">
      <w:rPr>
        <w:b/>
        <w:bCs/>
      </w:rPr>
    </w:tblStylePr>
    <w:tblStylePr w:type="lastCol">
      <w:rPr>
        <w:b/>
        <w:bCs/>
      </w:rPr>
    </w:tblStylePr>
    <w:tblStylePr w:type="band1Vert">
      <w:tblPr/>
      <w:tcPr>
        <w:shd w:val="clear" w:color="auto" w:fill="ECECEC" w:themeFill="accent6" w:themeFillTint="33"/>
      </w:tcPr>
    </w:tblStylePr>
    <w:tblStylePr w:type="band1Horz">
      <w:tblPr/>
      <w:tcPr>
        <w:shd w:val="clear" w:color="auto" w:fill="ECECEC" w:themeFill="accent6" w:themeFillTint="33"/>
      </w:tcPr>
    </w:tblStylePr>
  </w:style>
  <w:style w:type="table" w:styleId="ListTable7Colorful">
    <w:name w:val="List Table 7 Colorful"/>
    <w:basedOn w:val="TableNormal"/>
    <w:uiPriority w:val="98"/>
    <w:semiHidden/>
    <w:rsid w:val="00573428"/>
    <w:rPr>
      <w:rFonts w:asciiTheme="minorHAnsi" w:eastAsia="Century Gothic" w:hAnsiTheme="minorHAnsi" w:cstheme="minorBidi"/>
      <w:color w:val="000000" w:themeColor="text1"/>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8"/>
    <w:semiHidden/>
    <w:rsid w:val="00573428"/>
    <w:rPr>
      <w:rFonts w:asciiTheme="minorHAnsi" w:eastAsia="Century Gothic" w:hAnsiTheme="minorHAnsi" w:cstheme="minorBidi"/>
      <w:color w:val="29B4C7" w:themeColor="accent1"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63D0D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D0D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D0D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D0DF" w:themeColor="accent1"/>
        </w:tcBorders>
        <w:shd w:val="clear" w:color="auto" w:fill="FFFFFF" w:themeFill="background1"/>
      </w:tcPr>
    </w:tblStylePr>
    <w:tblStylePr w:type="band1Vert">
      <w:tblPr/>
      <w:tcPr>
        <w:shd w:val="clear" w:color="auto" w:fill="DFF5F8" w:themeFill="accent1" w:themeFillTint="33"/>
      </w:tcPr>
    </w:tblStylePr>
    <w:tblStylePr w:type="band1Horz">
      <w:tblPr/>
      <w:tcPr>
        <w:shd w:val="clear" w:color="auto" w:fill="DFF5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8"/>
    <w:semiHidden/>
    <w:rsid w:val="00573428"/>
    <w:rPr>
      <w:rFonts w:asciiTheme="minorHAnsi" w:eastAsia="Century Gothic" w:hAnsiTheme="minorHAnsi" w:cstheme="minorBidi"/>
      <w:color w:val="959597" w:themeColor="accent2"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C9C9C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9C9C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9C9C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9C9CA" w:themeColor="accent2"/>
        </w:tcBorders>
        <w:shd w:val="clear" w:color="auto" w:fill="FFFFFF" w:themeFill="background1"/>
      </w:tcPr>
    </w:tblStylePr>
    <w:tblStylePr w:type="band1Vert">
      <w:tblPr/>
      <w:tcPr>
        <w:shd w:val="clear" w:color="auto" w:fill="F4F4F4" w:themeFill="accent2" w:themeFillTint="33"/>
      </w:tcPr>
    </w:tblStylePr>
    <w:tblStylePr w:type="band1Horz">
      <w:tblPr/>
      <w:tcPr>
        <w:shd w:val="clear" w:color="auto" w:fill="F4F4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8"/>
    <w:semiHidden/>
    <w:rsid w:val="00573428"/>
    <w:rPr>
      <w:rFonts w:asciiTheme="minorHAnsi" w:eastAsia="Century Gothic" w:hAnsiTheme="minorHAnsi" w:cstheme="minorBidi"/>
      <w:color w:val="29B4C7" w:themeColor="accent3"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63D0D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D0D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D0D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D0DF" w:themeColor="accent3"/>
        </w:tcBorders>
        <w:shd w:val="clear" w:color="auto" w:fill="FFFFFF" w:themeFill="background1"/>
      </w:tcPr>
    </w:tblStylePr>
    <w:tblStylePr w:type="band1Vert">
      <w:tblPr/>
      <w:tcPr>
        <w:shd w:val="clear" w:color="auto" w:fill="DFF5F8" w:themeFill="accent3" w:themeFillTint="33"/>
      </w:tcPr>
    </w:tblStylePr>
    <w:tblStylePr w:type="band1Horz">
      <w:tblPr/>
      <w:tcPr>
        <w:shd w:val="clear" w:color="auto" w:fill="DFF5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8"/>
    <w:semiHidden/>
    <w:rsid w:val="00573428"/>
    <w:rPr>
      <w:rFonts w:asciiTheme="minorHAnsi" w:eastAsia="Century Gothic" w:hAnsiTheme="minorHAnsi" w:cstheme="minorBidi"/>
      <w:color w:val="787878" w:themeColor="accent4"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A1A1A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A1A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A1A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A1A1" w:themeColor="accent4"/>
        </w:tcBorders>
        <w:shd w:val="clear" w:color="auto" w:fill="FFFFFF" w:themeFill="background1"/>
      </w:tcPr>
    </w:tblStylePr>
    <w:tblStylePr w:type="band1Vert">
      <w:tblPr/>
      <w:tcPr>
        <w:shd w:val="clear" w:color="auto" w:fill="ECECEC" w:themeFill="accent4" w:themeFillTint="33"/>
      </w:tcPr>
    </w:tblStylePr>
    <w:tblStylePr w:type="band1Horz">
      <w:tblPr/>
      <w:tcPr>
        <w:shd w:val="clear" w:color="auto" w:fill="ECEC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8"/>
    <w:semiHidden/>
    <w:rsid w:val="00573428"/>
    <w:rPr>
      <w:rFonts w:asciiTheme="minorHAnsi" w:eastAsia="Century Gothic" w:hAnsiTheme="minorHAnsi" w:cstheme="minorBidi"/>
      <w:color w:val="29B4C7" w:themeColor="accent5"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63D0D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D0D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D0D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D0DF" w:themeColor="accent5"/>
        </w:tcBorders>
        <w:shd w:val="clear" w:color="auto" w:fill="FFFFFF" w:themeFill="background1"/>
      </w:tcPr>
    </w:tblStylePr>
    <w:tblStylePr w:type="band1Vert">
      <w:tblPr/>
      <w:tcPr>
        <w:shd w:val="clear" w:color="auto" w:fill="DFF5F8" w:themeFill="accent5" w:themeFillTint="33"/>
      </w:tcPr>
    </w:tblStylePr>
    <w:tblStylePr w:type="band1Horz">
      <w:tblPr/>
      <w:tcPr>
        <w:shd w:val="clear" w:color="auto" w:fill="DFF5F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CellMar>
        <w:top w:w="57" w:type="dxa"/>
        <w:left w:w="57" w:type="dxa"/>
        <w:bottom w:w="57" w:type="dxa"/>
        <w:right w:w="5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113"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Bullet2">
    <w:name w:val="List Bullet 2"/>
    <w:basedOn w:val="Normal"/>
    <w:uiPriority w:val="3"/>
    <w:rsid w:val="00596177"/>
    <w:pPr>
      <w:tabs>
        <w:tab w:val="num" w:pos="567"/>
      </w:tabs>
      <w:spacing w:after="120"/>
      <w:ind w:left="568" w:hanging="284"/>
    </w:pPr>
    <w:rPr>
      <w:rFonts w:eastAsia="Century Gothic" w:cstheme="minorBidi"/>
      <w:szCs w:val="20"/>
      <w:lang w:eastAsia="en-US"/>
    </w:rPr>
  </w:style>
  <w:style w:type="paragraph" w:styleId="ListBullet3">
    <w:name w:val="List Bullet 3"/>
    <w:basedOn w:val="Normal"/>
    <w:uiPriority w:val="3"/>
    <w:rsid w:val="00596177"/>
    <w:pPr>
      <w:tabs>
        <w:tab w:val="num" w:pos="851"/>
      </w:tabs>
      <w:spacing w:after="120"/>
      <w:ind w:left="852" w:hanging="284"/>
    </w:pPr>
    <w:rPr>
      <w:rFonts w:eastAsia="Century Gothic" w:cstheme="minorBidi"/>
      <w:szCs w:val="20"/>
      <w:lang w:eastAsia="en-US"/>
    </w:rPr>
  </w:style>
  <w:style w:type="paragraph" w:styleId="ListBullet4">
    <w:name w:val="List Bullet 4"/>
    <w:basedOn w:val="Normal"/>
    <w:uiPriority w:val="3"/>
    <w:semiHidden/>
    <w:unhideWhenUsed/>
    <w:rsid w:val="00B664EA"/>
    <w:pPr>
      <w:numPr>
        <w:ilvl w:val="3"/>
        <w:numId w:val="4"/>
      </w:numPr>
      <w:spacing w:after="100" w:line="240" w:lineRule="auto"/>
      <w:contextualSpacing/>
    </w:pPr>
    <w:rPr>
      <w:rFonts w:eastAsia="Century Gothic" w:cstheme="minorBidi"/>
      <w:szCs w:val="20"/>
      <w:lang w:eastAsia="en-US"/>
    </w:rPr>
  </w:style>
  <w:style w:type="paragraph" w:styleId="ListBullet5">
    <w:name w:val="List Bullet 5"/>
    <w:basedOn w:val="Normal"/>
    <w:uiPriority w:val="3"/>
    <w:semiHidden/>
    <w:unhideWhenUsed/>
    <w:rsid w:val="00B664EA"/>
    <w:pPr>
      <w:numPr>
        <w:ilvl w:val="4"/>
        <w:numId w:val="5"/>
      </w:numPr>
      <w:spacing w:after="100" w:line="240" w:lineRule="auto"/>
      <w:contextualSpacing/>
    </w:pPr>
    <w:rPr>
      <w:rFonts w:eastAsia="Century Gothic" w:cstheme="minorBidi"/>
      <w:szCs w:val="20"/>
      <w:lang w:eastAsia="en-US"/>
    </w:rPr>
  </w:style>
  <w:style w:type="character" w:customStyle="1" w:styleId="Heading1Char">
    <w:name w:val="Heading 1 Char"/>
    <w:basedOn w:val="DefaultParagraphFont"/>
    <w:link w:val="Heading1"/>
    <w:uiPriority w:val="1"/>
    <w:rsid w:val="003A5075"/>
    <w:rPr>
      <w:rFonts w:asciiTheme="minorHAnsi" w:eastAsiaTheme="majorEastAsia" w:hAnsiTheme="minorHAnsi" w:cs="Calibri"/>
      <w:bCs/>
      <w:iCs/>
      <w:caps/>
      <w:color w:val="1D336D" w:themeColor="background2"/>
      <w:sz w:val="32"/>
      <w:szCs w:val="28"/>
    </w:rPr>
  </w:style>
  <w:style w:type="paragraph" w:customStyle="1" w:styleId="TableText">
    <w:name w:val="Table Text"/>
    <w:basedOn w:val="Normal"/>
    <w:uiPriority w:val="9"/>
    <w:qFormat/>
    <w:rsid w:val="00C4534E"/>
    <w:pPr>
      <w:spacing w:before="40" w:after="40" w:line="240" w:lineRule="atLeast"/>
    </w:pPr>
    <w:rPr>
      <w:rFonts w:eastAsia="Century Gothic"/>
      <w:lang w:eastAsia="en-US"/>
    </w:rPr>
  </w:style>
  <w:style w:type="character" w:styleId="Hyperlink">
    <w:name w:val="Hyperlink"/>
    <w:basedOn w:val="DefaultParagraphFont"/>
    <w:uiPriority w:val="99"/>
    <w:unhideWhenUsed/>
    <w:rsid w:val="00950440"/>
    <w:rPr>
      <w:color w:val="1D336D" w:themeColor="background2"/>
      <w:u w:val="single"/>
    </w:rPr>
  </w:style>
  <w:style w:type="character" w:styleId="UnresolvedMention">
    <w:name w:val="Unresolved Mention"/>
    <w:basedOn w:val="DefaultParagraphFont"/>
    <w:uiPriority w:val="99"/>
    <w:semiHidden/>
    <w:unhideWhenUsed/>
    <w:rsid w:val="009442D8"/>
    <w:rPr>
      <w:color w:val="605E5C"/>
      <w:shd w:val="clear" w:color="auto" w:fill="E1DFDD"/>
    </w:rPr>
  </w:style>
  <w:style w:type="paragraph" w:styleId="TOC2">
    <w:name w:val="toc 2"/>
    <w:basedOn w:val="TOC1"/>
    <w:next w:val="Normal"/>
    <w:uiPriority w:val="39"/>
    <w:rsid w:val="00145656"/>
    <w:pPr>
      <w:spacing w:before="40"/>
      <w:ind w:left="170" w:firstLine="0"/>
    </w:pPr>
    <w:rPr>
      <w:b w:val="0"/>
      <w:caps w:val="0"/>
      <w:color w:val="000000" w:themeColor="text1"/>
    </w:rPr>
  </w:style>
  <w:style w:type="paragraph" w:styleId="TOC1">
    <w:name w:val="toc 1"/>
    <w:basedOn w:val="Normal"/>
    <w:next w:val="Normal"/>
    <w:uiPriority w:val="39"/>
    <w:rsid w:val="00145656"/>
    <w:pPr>
      <w:tabs>
        <w:tab w:val="left" w:pos="567"/>
        <w:tab w:val="right" w:leader="dot" w:pos="9638"/>
      </w:tabs>
      <w:spacing w:before="240" w:after="40" w:line="240" w:lineRule="auto"/>
      <w:ind w:left="567" w:hanging="567"/>
    </w:pPr>
    <w:rPr>
      <w:b/>
      <w:caps/>
      <w:color w:val="2294CD"/>
    </w:rPr>
  </w:style>
  <w:style w:type="paragraph" w:styleId="NoSpacing">
    <w:name w:val="No Spacing"/>
    <w:uiPriority w:val="50"/>
    <w:semiHidden/>
    <w:rsid w:val="00F87FD2"/>
    <w:rPr>
      <w:rFonts w:asciiTheme="minorHAnsi" w:hAnsiTheme="minorHAnsi" w:cs="Calibri"/>
      <w:sz w:val="18"/>
      <w:szCs w:val="24"/>
    </w:rPr>
  </w:style>
  <w:style w:type="numbering" w:customStyle="1" w:styleId="Headings">
    <w:name w:val="Headings"/>
    <w:uiPriority w:val="99"/>
    <w:rsid w:val="00D4310E"/>
    <w:pPr>
      <w:numPr>
        <w:numId w:val="6"/>
      </w:numPr>
    </w:pPr>
  </w:style>
  <w:style w:type="character" w:customStyle="1" w:styleId="Heading6Char">
    <w:name w:val="Heading 6 Char"/>
    <w:basedOn w:val="DefaultParagraphFont"/>
    <w:link w:val="Heading6"/>
    <w:uiPriority w:val="1"/>
    <w:semiHidden/>
    <w:rsid w:val="000E3939"/>
    <w:rPr>
      <w:rFonts w:asciiTheme="majorHAnsi" w:eastAsiaTheme="majorEastAsia" w:hAnsiTheme="majorHAnsi" w:cstheme="majorBidi"/>
      <w:color w:val="1D336D" w:themeColor="background2"/>
      <w:szCs w:val="24"/>
    </w:rPr>
  </w:style>
  <w:style w:type="character" w:customStyle="1" w:styleId="Heading7Char">
    <w:name w:val="Heading 7 Char"/>
    <w:basedOn w:val="DefaultParagraphFont"/>
    <w:link w:val="Heading7"/>
    <w:uiPriority w:val="1"/>
    <w:semiHidden/>
    <w:rsid w:val="000E3939"/>
    <w:rPr>
      <w:rFonts w:asciiTheme="majorHAnsi" w:eastAsiaTheme="majorEastAsia" w:hAnsiTheme="majorHAnsi" w:cstheme="majorBidi"/>
      <w:i/>
      <w:iCs/>
      <w:color w:val="585858" w:themeColor="text2"/>
      <w:szCs w:val="24"/>
    </w:rPr>
  </w:style>
  <w:style w:type="paragraph" w:styleId="TOC3">
    <w:name w:val="toc 3"/>
    <w:basedOn w:val="Normal"/>
    <w:next w:val="Normal"/>
    <w:uiPriority w:val="39"/>
    <w:rsid w:val="00DD016A"/>
    <w:pPr>
      <w:tabs>
        <w:tab w:val="left" w:pos="454"/>
        <w:tab w:val="right" w:leader="dot" w:pos="9638"/>
      </w:tabs>
      <w:spacing w:after="100" w:line="200" w:lineRule="atLeast"/>
      <w:ind w:left="340"/>
      <w:contextualSpacing/>
    </w:pPr>
    <w:rPr>
      <w:sz w:val="18"/>
    </w:rPr>
  </w:style>
  <w:style w:type="paragraph" w:customStyle="1" w:styleId="NormalBold">
    <w:name w:val="Normal Bold"/>
    <w:basedOn w:val="Normal"/>
    <w:link w:val="NormalBoldChar"/>
    <w:uiPriority w:val="50"/>
    <w:semiHidden/>
    <w:qFormat/>
    <w:rsid w:val="00542C98"/>
    <w:rPr>
      <w:b/>
    </w:rPr>
  </w:style>
  <w:style w:type="paragraph" w:customStyle="1" w:styleId="TableTextItalic">
    <w:name w:val="Table Text Italic"/>
    <w:basedOn w:val="TableText"/>
    <w:uiPriority w:val="9"/>
    <w:qFormat/>
    <w:rsid w:val="00A45B75"/>
    <w:rPr>
      <w:i/>
      <w:iCs/>
    </w:rPr>
  </w:style>
  <w:style w:type="character" w:customStyle="1" w:styleId="NormalBoldChar">
    <w:name w:val="Normal Bold Char"/>
    <w:basedOn w:val="DefaultParagraphFont"/>
    <w:link w:val="NormalBold"/>
    <w:uiPriority w:val="50"/>
    <w:semiHidden/>
    <w:rsid w:val="00310B3A"/>
    <w:rPr>
      <w:rFonts w:asciiTheme="minorHAnsi" w:eastAsiaTheme="majorEastAsia" w:hAnsiTheme="minorHAnsi" w:cs="Calibri"/>
      <w:b/>
      <w:color w:val="000000" w:themeColor="text1"/>
      <w:szCs w:val="24"/>
    </w:rPr>
  </w:style>
  <w:style w:type="character" w:customStyle="1" w:styleId="Heading4Char">
    <w:name w:val="Heading 4 Char"/>
    <w:basedOn w:val="DefaultParagraphFont"/>
    <w:link w:val="Heading4"/>
    <w:uiPriority w:val="1"/>
    <w:rsid w:val="00CE5C62"/>
    <w:rPr>
      <w:rFonts w:asciiTheme="minorHAnsi" w:eastAsia="Century Gothic" w:hAnsiTheme="minorHAnsi" w:cs="Calibri"/>
      <w:b/>
      <w:iCs/>
      <w:color w:val="000000"/>
      <w:szCs w:val="26"/>
    </w:rPr>
  </w:style>
  <w:style w:type="paragraph" w:styleId="TOC4">
    <w:name w:val="toc 4"/>
    <w:basedOn w:val="Normal"/>
    <w:next w:val="Normal"/>
    <w:uiPriority w:val="39"/>
    <w:semiHidden/>
    <w:rsid w:val="00FE707F"/>
    <w:pPr>
      <w:tabs>
        <w:tab w:val="right" w:leader="dot" w:pos="9638"/>
      </w:tabs>
      <w:spacing w:before="20" w:after="20"/>
      <w:ind w:left="1134" w:hanging="567"/>
      <w:contextualSpacing/>
    </w:pPr>
  </w:style>
  <w:style w:type="paragraph" w:styleId="Subtitle">
    <w:name w:val="Subtitle"/>
    <w:basedOn w:val="Normal"/>
    <w:next w:val="Normal"/>
    <w:link w:val="SubtitleChar"/>
    <w:uiPriority w:val="49"/>
    <w:semiHidden/>
    <w:rsid w:val="00AB6039"/>
    <w:pPr>
      <w:numPr>
        <w:ilvl w:val="1"/>
      </w:numPr>
      <w:spacing w:after="640" w:line="240" w:lineRule="auto"/>
    </w:pPr>
    <w:rPr>
      <w:rFonts w:eastAsiaTheme="minorEastAsia" w:cstheme="minorBidi"/>
      <w:b/>
      <w:color w:val="1D336D" w:themeColor="background2"/>
      <w:sz w:val="32"/>
      <w:szCs w:val="22"/>
    </w:rPr>
  </w:style>
  <w:style w:type="character" w:customStyle="1" w:styleId="SubtitleChar">
    <w:name w:val="Subtitle Char"/>
    <w:basedOn w:val="DefaultParagraphFont"/>
    <w:link w:val="Subtitle"/>
    <w:uiPriority w:val="49"/>
    <w:semiHidden/>
    <w:rsid w:val="00310B3A"/>
    <w:rPr>
      <w:rFonts w:asciiTheme="minorHAnsi" w:eastAsiaTheme="minorEastAsia" w:hAnsiTheme="minorHAnsi" w:cstheme="minorBidi"/>
      <w:b/>
      <w:color w:val="1D336D" w:themeColor="background2"/>
      <w:sz w:val="32"/>
      <w:szCs w:val="22"/>
    </w:rPr>
  </w:style>
  <w:style w:type="table" w:customStyle="1" w:styleId="DefaultTable">
    <w:name w:val="_Default Table"/>
    <w:basedOn w:val="TableNormal"/>
    <w:uiPriority w:val="99"/>
    <w:rsid w:val="00635C95"/>
    <w:rPr>
      <w:rFonts w:asciiTheme="minorHAnsi" w:hAnsiTheme="minorHAnsi"/>
      <w:color w:val="000000" w:themeColor="text1"/>
    </w:rPr>
    <w:tblPr>
      <w:tblStyleRowBandSize w:val="1"/>
      <w:tblStyleColBandSize w:val="1"/>
      <w:tblBorders>
        <w:top w:val="single" w:sz="4" w:space="0" w:color="1D336D" w:themeColor="background2"/>
        <w:left w:val="single" w:sz="4" w:space="0" w:color="1D336D" w:themeColor="background2"/>
        <w:bottom w:val="single" w:sz="4" w:space="0" w:color="1D336D" w:themeColor="background2"/>
        <w:right w:val="single" w:sz="4" w:space="0" w:color="1D336D" w:themeColor="background2"/>
        <w:insideH w:val="single" w:sz="4" w:space="0" w:color="1D336D" w:themeColor="background2"/>
        <w:insideV w:val="single" w:sz="4" w:space="0" w:color="1D336D" w:themeColor="background2"/>
      </w:tblBorders>
      <w:tblCellMar>
        <w:top w:w="113" w:type="dxa"/>
        <w:left w:w="113" w:type="dxa"/>
        <w:bottom w:w="113" w:type="dxa"/>
        <w:right w:w="113" w:type="dxa"/>
      </w:tblCellMar>
    </w:tblPr>
    <w:tcPr>
      <w:shd w:val="clear" w:color="auto" w:fill="auto"/>
    </w:tcPr>
    <w:tblStylePr w:type="firstRow">
      <w:rPr>
        <w:b w:val="0"/>
        <w:color w:val="1D336D" w:themeColor="background2"/>
      </w:rPr>
      <w:tblPr/>
      <w:tcPr>
        <w:tcBorders>
          <w:top w:val="single" w:sz="4" w:space="0" w:color="1D336D" w:themeColor="background2"/>
          <w:left w:val="single" w:sz="4" w:space="0" w:color="1D336D" w:themeColor="background2"/>
          <w:bottom w:val="single" w:sz="4" w:space="0" w:color="1D336D" w:themeColor="background2"/>
          <w:right w:val="single" w:sz="4" w:space="0" w:color="1D336D" w:themeColor="background2"/>
          <w:insideH w:val="single" w:sz="4" w:space="0" w:color="1D336D" w:themeColor="background2"/>
          <w:insideV w:val="single" w:sz="4" w:space="0" w:color="1D336D" w:themeColor="background2"/>
        </w:tcBorders>
        <w:shd w:val="clear" w:color="auto" w:fill="1D336D" w:themeFill="background2"/>
      </w:tcPr>
    </w:tblStylePr>
    <w:tblStylePr w:type="lastRow">
      <w:tblPr/>
      <w:tcPr>
        <w:tcBorders>
          <w:top w:val="single" w:sz="12" w:space="0" w:color="1D336D" w:themeColor="background2"/>
          <w:left w:val="nil"/>
          <w:bottom w:val="single" w:sz="12" w:space="0" w:color="1D336D" w:themeColor="background2"/>
          <w:right w:val="nil"/>
          <w:insideH w:val="nil"/>
          <w:insideV w:val="nil"/>
          <w:tl2br w:val="nil"/>
          <w:tr2bl w:val="nil"/>
        </w:tcBorders>
        <w:shd w:val="clear" w:color="auto" w:fill="FFFFFF" w:themeFill="background1"/>
      </w:tcPr>
    </w:tblStylePr>
    <w:tblStylePr w:type="firstCol">
      <w:rPr>
        <w:color w:val="FFFFFF" w:themeColor="background1"/>
      </w:rPr>
      <w:tblPr/>
      <w:tcPr>
        <w:shd w:val="clear" w:color="auto" w:fill="C4CFEF" w:themeFill="background2" w:themeFillTint="33"/>
      </w:tcPr>
    </w:tblStylePr>
    <w:tblStylePr w:type="lastCol">
      <w:rPr>
        <w:color w:val="FFFFFF" w:themeColor="background1"/>
      </w:rPr>
      <w:tblPr/>
      <w:tcPr>
        <w:tcBorders>
          <w:top w:val="nil"/>
          <w:left w:val="nil"/>
          <w:bottom w:val="nil"/>
          <w:right w:val="nil"/>
          <w:insideH w:val="nil"/>
          <w:insideV w:val="nil"/>
          <w:tl2br w:val="nil"/>
          <w:tr2bl w:val="nil"/>
        </w:tcBorders>
        <w:shd w:val="clear" w:color="auto" w:fill="1D336D" w:themeFill="background2"/>
      </w:tcPr>
    </w:tblStylePr>
    <w:tblStylePr w:type="band2Vert">
      <w:tblPr/>
      <w:tcPr>
        <w:shd w:val="clear" w:color="auto" w:fill="DEE4F6"/>
      </w:tcPr>
    </w:tblStylePr>
    <w:tblStylePr w:type="band2Horz">
      <w:tblPr/>
      <w:tcPr>
        <w:shd w:val="clear" w:color="auto" w:fill="DEE4F6"/>
      </w:tcPr>
    </w:tblStylePr>
  </w:style>
  <w:style w:type="paragraph" w:customStyle="1" w:styleId="CoverTitle">
    <w:name w:val="Cover Title"/>
    <w:uiPriority w:val="19"/>
    <w:semiHidden/>
    <w:qFormat/>
    <w:rsid w:val="0081223D"/>
    <w:pPr>
      <w:ind w:left="720" w:hanging="360"/>
    </w:pPr>
    <w:rPr>
      <w:rFonts w:asciiTheme="minorHAnsi" w:eastAsiaTheme="majorEastAsia" w:hAnsiTheme="minorHAnsi" w:cs="Calibri"/>
      <w:bCs/>
      <w:iCs/>
      <w:color w:val="1D336D" w:themeColor="background2"/>
      <w:sz w:val="72"/>
      <w:szCs w:val="28"/>
    </w:rPr>
  </w:style>
  <w:style w:type="table" w:customStyle="1" w:styleId="PlainGridBlack">
    <w:name w:val="_Plain Grid Black"/>
    <w:basedOn w:val="TableNormal"/>
    <w:uiPriority w:val="99"/>
    <w:rsid w:val="001F6DC1"/>
    <w:rPr>
      <w:rFonts w:asciiTheme="minorHAnsi" w:hAnsiTheme="minorHAnsi"/>
      <w:color w:val="63D0DF" w:themeColor="accen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styleId="ColorfulGrid">
    <w:name w:val="Colorful Grid"/>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DFF5F8" w:themeFill="accent1" w:themeFillTint="33"/>
    </w:tcPr>
    <w:tblStylePr w:type="firstRow">
      <w:rPr>
        <w:b/>
        <w:bCs/>
      </w:rPr>
      <w:tblPr/>
      <w:tcPr>
        <w:shd w:val="clear" w:color="auto" w:fill="C0ECF2" w:themeFill="accent1" w:themeFillTint="66"/>
      </w:tcPr>
    </w:tblStylePr>
    <w:tblStylePr w:type="lastRow">
      <w:rPr>
        <w:b/>
        <w:bCs/>
        <w:color w:val="000000" w:themeColor="text1"/>
      </w:rPr>
      <w:tblPr/>
      <w:tcPr>
        <w:shd w:val="clear" w:color="auto" w:fill="C0ECF2" w:themeFill="accent1" w:themeFillTint="66"/>
      </w:tcPr>
    </w:tblStylePr>
    <w:tblStylePr w:type="firstCol">
      <w:rPr>
        <w:color w:val="FFFFFF" w:themeColor="background1"/>
      </w:rPr>
      <w:tblPr/>
      <w:tcPr>
        <w:shd w:val="clear" w:color="auto" w:fill="29B4C7" w:themeFill="accent1" w:themeFillShade="BF"/>
      </w:tcPr>
    </w:tblStylePr>
    <w:tblStylePr w:type="lastCol">
      <w:rPr>
        <w:color w:val="FFFFFF" w:themeColor="background1"/>
      </w:rPr>
      <w:tblPr/>
      <w:tcPr>
        <w:shd w:val="clear" w:color="auto" w:fill="29B4C7" w:themeFill="accent1" w:themeFillShade="BF"/>
      </w:tcPr>
    </w:tblStylePr>
    <w:tblStylePr w:type="band1Vert">
      <w:tblPr/>
      <w:tcPr>
        <w:shd w:val="clear" w:color="auto" w:fill="B1E7EF" w:themeFill="accent1" w:themeFillTint="7F"/>
      </w:tcPr>
    </w:tblStylePr>
    <w:tblStylePr w:type="band1Horz">
      <w:tblPr/>
      <w:tcPr>
        <w:shd w:val="clear" w:color="auto" w:fill="B1E7EF" w:themeFill="accent1" w:themeFillTint="7F"/>
      </w:tcPr>
    </w:tblStylePr>
  </w:style>
  <w:style w:type="table" w:styleId="ColorfulGrid-Accent2">
    <w:name w:val="Colorful Grid Accent 2"/>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F4F4F4" w:themeFill="accent2" w:themeFillTint="33"/>
    </w:tcPr>
    <w:tblStylePr w:type="firstRow">
      <w:rPr>
        <w:b/>
        <w:bCs/>
      </w:rPr>
      <w:tblPr/>
      <w:tcPr>
        <w:shd w:val="clear" w:color="auto" w:fill="E9E9E9" w:themeFill="accent2" w:themeFillTint="66"/>
      </w:tcPr>
    </w:tblStylePr>
    <w:tblStylePr w:type="lastRow">
      <w:rPr>
        <w:b/>
        <w:bCs/>
        <w:color w:val="000000" w:themeColor="text1"/>
      </w:rPr>
      <w:tblPr/>
      <w:tcPr>
        <w:shd w:val="clear" w:color="auto" w:fill="E9E9E9" w:themeFill="accent2" w:themeFillTint="66"/>
      </w:tcPr>
    </w:tblStylePr>
    <w:tblStylePr w:type="firstCol">
      <w:rPr>
        <w:color w:val="FFFFFF" w:themeColor="background1"/>
      </w:rPr>
      <w:tblPr/>
      <w:tcPr>
        <w:shd w:val="clear" w:color="auto" w:fill="959597" w:themeFill="accent2" w:themeFillShade="BF"/>
      </w:tcPr>
    </w:tblStylePr>
    <w:tblStylePr w:type="lastCol">
      <w:rPr>
        <w:color w:val="FFFFFF" w:themeColor="background1"/>
      </w:rPr>
      <w:tblPr/>
      <w:tcPr>
        <w:shd w:val="clear" w:color="auto" w:fill="959597" w:themeFill="accent2" w:themeFillShade="BF"/>
      </w:tcPr>
    </w:tblStylePr>
    <w:tblStylePr w:type="band1Vert">
      <w:tblPr/>
      <w:tcPr>
        <w:shd w:val="clear" w:color="auto" w:fill="E4E4E4" w:themeFill="accent2" w:themeFillTint="7F"/>
      </w:tcPr>
    </w:tblStylePr>
    <w:tblStylePr w:type="band1Horz">
      <w:tblPr/>
      <w:tcPr>
        <w:shd w:val="clear" w:color="auto" w:fill="E4E4E4" w:themeFill="accent2" w:themeFillTint="7F"/>
      </w:tcPr>
    </w:tblStylePr>
  </w:style>
  <w:style w:type="table" w:styleId="ColorfulGrid-Accent3">
    <w:name w:val="Colorful Grid Accent 3"/>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DFF5F8" w:themeFill="accent3" w:themeFillTint="33"/>
    </w:tcPr>
    <w:tblStylePr w:type="firstRow">
      <w:rPr>
        <w:b/>
        <w:bCs/>
      </w:rPr>
      <w:tblPr/>
      <w:tcPr>
        <w:shd w:val="clear" w:color="auto" w:fill="C0ECF2" w:themeFill="accent3" w:themeFillTint="66"/>
      </w:tcPr>
    </w:tblStylePr>
    <w:tblStylePr w:type="lastRow">
      <w:rPr>
        <w:b/>
        <w:bCs/>
        <w:color w:val="000000" w:themeColor="text1"/>
      </w:rPr>
      <w:tblPr/>
      <w:tcPr>
        <w:shd w:val="clear" w:color="auto" w:fill="C0ECF2" w:themeFill="accent3" w:themeFillTint="66"/>
      </w:tcPr>
    </w:tblStylePr>
    <w:tblStylePr w:type="firstCol">
      <w:rPr>
        <w:color w:val="FFFFFF" w:themeColor="background1"/>
      </w:rPr>
      <w:tblPr/>
      <w:tcPr>
        <w:shd w:val="clear" w:color="auto" w:fill="29B4C7" w:themeFill="accent3" w:themeFillShade="BF"/>
      </w:tcPr>
    </w:tblStylePr>
    <w:tblStylePr w:type="lastCol">
      <w:rPr>
        <w:color w:val="FFFFFF" w:themeColor="background1"/>
      </w:rPr>
      <w:tblPr/>
      <w:tcPr>
        <w:shd w:val="clear" w:color="auto" w:fill="29B4C7" w:themeFill="accent3" w:themeFillShade="BF"/>
      </w:tcPr>
    </w:tblStylePr>
    <w:tblStylePr w:type="band1Vert">
      <w:tblPr/>
      <w:tcPr>
        <w:shd w:val="clear" w:color="auto" w:fill="B1E7EF" w:themeFill="accent3" w:themeFillTint="7F"/>
      </w:tcPr>
    </w:tblStylePr>
    <w:tblStylePr w:type="band1Horz">
      <w:tblPr/>
      <w:tcPr>
        <w:shd w:val="clear" w:color="auto" w:fill="B1E7EF" w:themeFill="accent3" w:themeFillTint="7F"/>
      </w:tcPr>
    </w:tblStylePr>
  </w:style>
  <w:style w:type="table" w:styleId="ColorfulGrid-Accent4">
    <w:name w:val="Colorful Grid Accent 4"/>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ECECEC" w:themeFill="accent4" w:themeFillTint="33"/>
    </w:tcPr>
    <w:tblStylePr w:type="firstRow">
      <w:rPr>
        <w:b/>
        <w:bCs/>
      </w:rPr>
      <w:tblPr/>
      <w:tcPr>
        <w:shd w:val="clear" w:color="auto" w:fill="D9D9D9" w:themeFill="accent4" w:themeFillTint="66"/>
      </w:tcPr>
    </w:tblStylePr>
    <w:tblStylePr w:type="lastRow">
      <w:rPr>
        <w:b/>
        <w:bCs/>
        <w:color w:val="000000" w:themeColor="text1"/>
      </w:rPr>
      <w:tblPr/>
      <w:tcPr>
        <w:shd w:val="clear" w:color="auto" w:fill="D9D9D9" w:themeFill="accent4" w:themeFillTint="66"/>
      </w:tcPr>
    </w:tblStylePr>
    <w:tblStylePr w:type="firstCol">
      <w:rPr>
        <w:color w:val="FFFFFF" w:themeColor="background1"/>
      </w:rPr>
      <w:tblPr/>
      <w:tcPr>
        <w:shd w:val="clear" w:color="auto" w:fill="787878" w:themeFill="accent4" w:themeFillShade="BF"/>
      </w:tcPr>
    </w:tblStylePr>
    <w:tblStylePr w:type="lastCol">
      <w:rPr>
        <w:color w:val="FFFFFF" w:themeColor="background1"/>
      </w:rPr>
      <w:tblPr/>
      <w:tcPr>
        <w:shd w:val="clear" w:color="auto" w:fill="787878" w:themeFill="accent4" w:themeFillShade="BF"/>
      </w:tcPr>
    </w:tblStylePr>
    <w:tblStylePr w:type="band1Vert">
      <w:tblPr/>
      <w:tcPr>
        <w:shd w:val="clear" w:color="auto" w:fill="D0D0D0" w:themeFill="accent4" w:themeFillTint="7F"/>
      </w:tcPr>
    </w:tblStylePr>
    <w:tblStylePr w:type="band1Horz">
      <w:tblPr/>
      <w:tcPr>
        <w:shd w:val="clear" w:color="auto" w:fill="D0D0D0" w:themeFill="accent4" w:themeFillTint="7F"/>
      </w:tcPr>
    </w:tblStylePr>
  </w:style>
  <w:style w:type="table" w:styleId="ColorfulGrid-Accent5">
    <w:name w:val="Colorful Grid Accent 5"/>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DFF5F8" w:themeFill="accent5" w:themeFillTint="33"/>
    </w:tcPr>
    <w:tblStylePr w:type="firstRow">
      <w:rPr>
        <w:b/>
        <w:bCs/>
      </w:rPr>
      <w:tblPr/>
      <w:tcPr>
        <w:shd w:val="clear" w:color="auto" w:fill="C0ECF2" w:themeFill="accent5" w:themeFillTint="66"/>
      </w:tcPr>
    </w:tblStylePr>
    <w:tblStylePr w:type="lastRow">
      <w:rPr>
        <w:b/>
        <w:bCs/>
        <w:color w:val="000000" w:themeColor="text1"/>
      </w:rPr>
      <w:tblPr/>
      <w:tcPr>
        <w:shd w:val="clear" w:color="auto" w:fill="C0ECF2" w:themeFill="accent5" w:themeFillTint="66"/>
      </w:tcPr>
    </w:tblStylePr>
    <w:tblStylePr w:type="firstCol">
      <w:rPr>
        <w:color w:val="FFFFFF" w:themeColor="background1"/>
      </w:rPr>
      <w:tblPr/>
      <w:tcPr>
        <w:shd w:val="clear" w:color="auto" w:fill="29B4C7" w:themeFill="accent5" w:themeFillShade="BF"/>
      </w:tcPr>
    </w:tblStylePr>
    <w:tblStylePr w:type="lastCol">
      <w:rPr>
        <w:color w:val="FFFFFF" w:themeColor="background1"/>
      </w:rPr>
      <w:tblPr/>
      <w:tcPr>
        <w:shd w:val="clear" w:color="auto" w:fill="29B4C7" w:themeFill="accent5" w:themeFillShade="BF"/>
      </w:tcPr>
    </w:tblStylePr>
    <w:tblStylePr w:type="band1Vert">
      <w:tblPr/>
      <w:tcPr>
        <w:shd w:val="clear" w:color="auto" w:fill="B1E7EF" w:themeFill="accent5" w:themeFillTint="7F"/>
      </w:tcPr>
    </w:tblStylePr>
    <w:tblStylePr w:type="band1Horz">
      <w:tblPr/>
      <w:tcPr>
        <w:shd w:val="clear" w:color="auto" w:fill="B1E7EF" w:themeFill="accent5" w:themeFillTint="7F"/>
      </w:tcPr>
    </w:tblStylePr>
  </w:style>
  <w:style w:type="table" w:styleId="ColorfulGrid-Accent6">
    <w:name w:val="Colorful Grid Accent 6"/>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ECECEC" w:themeFill="accent6" w:themeFillTint="33"/>
    </w:tcPr>
    <w:tblStylePr w:type="firstRow">
      <w:rPr>
        <w:b/>
        <w:bCs/>
      </w:rPr>
      <w:tblPr/>
      <w:tcPr>
        <w:shd w:val="clear" w:color="auto" w:fill="D9D9D9" w:themeFill="accent6" w:themeFillTint="66"/>
      </w:tcPr>
    </w:tblStylePr>
    <w:tblStylePr w:type="lastRow">
      <w:rPr>
        <w:b/>
        <w:bCs/>
        <w:color w:val="000000" w:themeColor="text1"/>
      </w:rPr>
      <w:tblPr/>
      <w:tcPr>
        <w:shd w:val="clear" w:color="auto" w:fill="D9D9D9" w:themeFill="accent6" w:themeFillTint="66"/>
      </w:tcPr>
    </w:tblStylePr>
    <w:tblStylePr w:type="firstCol">
      <w:rPr>
        <w:color w:val="FFFFFF" w:themeColor="background1"/>
      </w:rPr>
      <w:tblPr/>
      <w:tcPr>
        <w:shd w:val="clear" w:color="auto" w:fill="787878" w:themeFill="accent6" w:themeFillShade="BF"/>
      </w:tcPr>
    </w:tblStylePr>
    <w:tblStylePr w:type="lastCol">
      <w:rPr>
        <w:color w:val="FFFFFF" w:themeColor="background1"/>
      </w:rPr>
      <w:tblPr/>
      <w:tcPr>
        <w:shd w:val="clear" w:color="auto" w:fill="787878" w:themeFill="accent6" w:themeFillShade="BF"/>
      </w:tcPr>
    </w:tblStylePr>
    <w:tblStylePr w:type="band1Vert">
      <w:tblPr/>
      <w:tcPr>
        <w:shd w:val="clear" w:color="auto" w:fill="D0D0D0" w:themeFill="accent6" w:themeFillTint="7F"/>
      </w:tcPr>
    </w:tblStylePr>
    <w:tblStylePr w:type="band1Horz">
      <w:tblPr/>
      <w:tcPr>
        <w:shd w:val="clear" w:color="auto" w:fill="D0D0D0" w:themeFill="accent6" w:themeFillTint="7F"/>
      </w:tcPr>
    </w:tblStylePr>
  </w:style>
  <w:style w:type="table" w:styleId="ColorfulList">
    <w:name w:val="Colorful List"/>
    <w:basedOn w:val="TableNormal"/>
    <w:uiPriority w:val="98"/>
    <w:semiHidden/>
    <w:unhideWhenUsed/>
    <w:rsid w:val="001F6DC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0A0A2" w:themeFill="accent2" w:themeFillShade="CC"/>
      </w:tcPr>
    </w:tblStylePr>
    <w:tblStylePr w:type="lastRow">
      <w:rPr>
        <w:b/>
        <w:bCs/>
        <w:color w:val="A0A0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semiHidden/>
    <w:unhideWhenUsed/>
    <w:rsid w:val="001F6DC1"/>
    <w:rPr>
      <w:color w:val="000000" w:themeColor="text1"/>
    </w:rPr>
    <w:tblPr>
      <w:tblStyleRowBandSize w:val="1"/>
      <w:tblStyleColBandSize w:val="1"/>
    </w:tblPr>
    <w:tcPr>
      <w:shd w:val="clear" w:color="auto" w:fill="EFFAFB" w:themeFill="accent1" w:themeFillTint="19"/>
    </w:tcPr>
    <w:tblStylePr w:type="firstRow">
      <w:rPr>
        <w:b/>
        <w:bCs/>
        <w:color w:val="FFFFFF" w:themeColor="background1"/>
      </w:rPr>
      <w:tblPr/>
      <w:tcPr>
        <w:tcBorders>
          <w:bottom w:val="single" w:sz="12" w:space="0" w:color="FFFFFF" w:themeColor="background1"/>
        </w:tcBorders>
        <w:shd w:val="clear" w:color="auto" w:fill="A0A0A2" w:themeFill="accent2" w:themeFillShade="CC"/>
      </w:tcPr>
    </w:tblStylePr>
    <w:tblStylePr w:type="lastRow">
      <w:rPr>
        <w:b/>
        <w:bCs/>
        <w:color w:val="A0A0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3F7" w:themeFill="accent1" w:themeFillTint="3F"/>
      </w:tcPr>
    </w:tblStylePr>
    <w:tblStylePr w:type="band1Horz">
      <w:tblPr/>
      <w:tcPr>
        <w:shd w:val="clear" w:color="auto" w:fill="DFF5F8" w:themeFill="accent1" w:themeFillTint="33"/>
      </w:tcPr>
    </w:tblStylePr>
  </w:style>
  <w:style w:type="table" w:styleId="ColorfulList-Accent2">
    <w:name w:val="Colorful List Accent 2"/>
    <w:basedOn w:val="TableNormal"/>
    <w:uiPriority w:val="98"/>
    <w:semiHidden/>
    <w:unhideWhenUsed/>
    <w:rsid w:val="001F6DC1"/>
    <w:rPr>
      <w:color w:val="000000" w:themeColor="text1"/>
    </w:rPr>
    <w:tblPr>
      <w:tblStyleRowBandSize w:val="1"/>
      <w:tblStyleColBandSize w:val="1"/>
    </w:tblPr>
    <w:tcPr>
      <w:shd w:val="clear" w:color="auto" w:fill="F9F9F9" w:themeFill="accent2" w:themeFillTint="19"/>
    </w:tcPr>
    <w:tblStylePr w:type="firstRow">
      <w:rPr>
        <w:b/>
        <w:bCs/>
        <w:color w:val="FFFFFF" w:themeColor="background1"/>
      </w:rPr>
      <w:tblPr/>
      <w:tcPr>
        <w:tcBorders>
          <w:bottom w:val="single" w:sz="12" w:space="0" w:color="FFFFFF" w:themeColor="background1"/>
        </w:tcBorders>
        <w:shd w:val="clear" w:color="auto" w:fill="A0A0A2" w:themeFill="accent2" w:themeFillShade="CC"/>
      </w:tcPr>
    </w:tblStylePr>
    <w:tblStylePr w:type="lastRow">
      <w:rPr>
        <w:b/>
        <w:bCs/>
        <w:color w:val="A0A0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1F1" w:themeFill="accent2" w:themeFillTint="3F"/>
      </w:tcPr>
    </w:tblStylePr>
    <w:tblStylePr w:type="band1Horz">
      <w:tblPr/>
      <w:tcPr>
        <w:shd w:val="clear" w:color="auto" w:fill="F4F4F4" w:themeFill="accent2" w:themeFillTint="33"/>
      </w:tcPr>
    </w:tblStylePr>
  </w:style>
  <w:style w:type="table" w:styleId="ColorfulList-Accent3">
    <w:name w:val="Colorful List Accent 3"/>
    <w:basedOn w:val="TableNormal"/>
    <w:uiPriority w:val="98"/>
    <w:semiHidden/>
    <w:unhideWhenUsed/>
    <w:rsid w:val="001F6DC1"/>
    <w:rPr>
      <w:color w:val="000000" w:themeColor="text1"/>
    </w:rPr>
    <w:tblPr>
      <w:tblStyleRowBandSize w:val="1"/>
      <w:tblStyleColBandSize w:val="1"/>
    </w:tblPr>
    <w:tcPr>
      <w:shd w:val="clear" w:color="auto" w:fill="EFFAFB" w:themeFill="accent3" w:themeFillTint="19"/>
    </w:tcPr>
    <w:tblStylePr w:type="firstRow">
      <w:rPr>
        <w:b/>
        <w:bCs/>
        <w:color w:val="FFFFFF" w:themeColor="background1"/>
      </w:rPr>
      <w:tblPr/>
      <w:tcPr>
        <w:tcBorders>
          <w:bottom w:val="single" w:sz="12" w:space="0" w:color="FFFFFF" w:themeColor="background1"/>
        </w:tcBorders>
        <w:shd w:val="clear" w:color="auto" w:fill="808080" w:themeFill="accent4" w:themeFillShade="CC"/>
      </w:tcPr>
    </w:tblStylePr>
    <w:tblStylePr w:type="lastRow">
      <w:rPr>
        <w:b/>
        <w:bCs/>
        <w:color w:val="80808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3F7" w:themeFill="accent3" w:themeFillTint="3F"/>
      </w:tcPr>
    </w:tblStylePr>
    <w:tblStylePr w:type="band1Horz">
      <w:tblPr/>
      <w:tcPr>
        <w:shd w:val="clear" w:color="auto" w:fill="DFF5F8" w:themeFill="accent3" w:themeFillTint="33"/>
      </w:tcPr>
    </w:tblStylePr>
  </w:style>
  <w:style w:type="table" w:styleId="ColorfulList-Accent4">
    <w:name w:val="Colorful List Accent 4"/>
    <w:basedOn w:val="TableNormal"/>
    <w:uiPriority w:val="98"/>
    <w:semiHidden/>
    <w:unhideWhenUsed/>
    <w:rsid w:val="001F6DC1"/>
    <w:rPr>
      <w:color w:val="000000" w:themeColor="text1"/>
    </w:rPr>
    <w:tblPr>
      <w:tblStyleRowBandSize w:val="1"/>
      <w:tblStyleColBandSize w:val="1"/>
    </w:tblPr>
    <w:tcPr>
      <w:shd w:val="clear" w:color="auto" w:fill="F5F5F5" w:themeFill="accent4" w:themeFillTint="19"/>
    </w:tcPr>
    <w:tblStylePr w:type="firstRow">
      <w:rPr>
        <w:b/>
        <w:bCs/>
        <w:color w:val="FFFFFF" w:themeColor="background1"/>
      </w:rPr>
      <w:tblPr/>
      <w:tcPr>
        <w:tcBorders>
          <w:bottom w:val="single" w:sz="12" w:space="0" w:color="FFFFFF" w:themeColor="background1"/>
        </w:tcBorders>
        <w:shd w:val="clear" w:color="auto" w:fill="2DBFD4" w:themeFill="accent3" w:themeFillShade="CC"/>
      </w:tcPr>
    </w:tblStylePr>
    <w:tblStylePr w:type="lastRow">
      <w:rPr>
        <w:b/>
        <w:bCs/>
        <w:color w:val="2DBFD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7E7" w:themeFill="accent4" w:themeFillTint="3F"/>
      </w:tcPr>
    </w:tblStylePr>
    <w:tblStylePr w:type="band1Horz">
      <w:tblPr/>
      <w:tcPr>
        <w:shd w:val="clear" w:color="auto" w:fill="ECECEC" w:themeFill="accent4" w:themeFillTint="33"/>
      </w:tcPr>
    </w:tblStylePr>
  </w:style>
  <w:style w:type="table" w:styleId="ColorfulList-Accent5">
    <w:name w:val="Colorful List Accent 5"/>
    <w:basedOn w:val="TableNormal"/>
    <w:uiPriority w:val="98"/>
    <w:semiHidden/>
    <w:unhideWhenUsed/>
    <w:rsid w:val="001F6DC1"/>
    <w:rPr>
      <w:color w:val="000000" w:themeColor="text1"/>
    </w:rPr>
    <w:tblPr>
      <w:tblStyleRowBandSize w:val="1"/>
      <w:tblStyleColBandSize w:val="1"/>
    </w:tblPr>
    <w:tcPr>
      <w:shd w:val="clear" w:color="auto" w:fill="EFFAFB" w:themeFill="accent5" w:themeFillTint="19"/>
    </w:tcPr>
    <w:tblStylePr w:type="firstRow">
      <w:rPr>
        <w:b/>
        <w:bCs/>
        <w:color w:val="FFFFFF" w:themeColor="background1"/>
      </w:rPr>
      <w:tblPr/>
      <w:tcPr>
        <w:tcBorders>
          <w:bottom w:val="single" w:sz="12" w:space="0" w:color="FFFFFF" w:themeColor="background1"/>
        </w:tcBorders>
        <w:shd w:val="clear" w:color="auto" w:fill="808080" w:themeFill="accent6" w:themeFillShade="CC"/>
      </w:tcPr>
    </w:tblStylePr>
    <w:tblStylePr w:type="lastRow">
      <w:rPr>
        <w:b/>
        <w:bCs/>
        <w:color w:val="80808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3F7" w:themeFill="accent5" w:themeFillTint="3F"/>
      </w:tcPr>
    </w:tblStylePr>
    <w:tblStylePr w:type="band1Horz">
      <w:tblPr/>
      <w:tcPr>
        <w:shd w:val="clear" w:color="auto" w:fill="DFF5F8" w:themeFill="accent5" w:themeFillTint="33"/>
      </w:tcPr>
    </w:tblStylePr>
  </w:style>
  <w:style w:type="table" w:styleId="ColorfulList-Accent6">
    <w:name w:val="Colorful List Accent 6"/>
    <w:basedOn w:val="TableNormal"/>
    <w:uiPriority w:val="98"/>
    <w:semiHidden/>
    <w:unhideWhenUsed/>
    <w:rsid w:val="001F6DC1"/>
    <w:rPr>
      <w:color w:val="000000" w:themeColor="text1"/>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2DBFD4" w:themeFill="accent5" w:themeFillShade="CC"/>
      </w:tcPr>
    </w:tblStylePr>
    <w:tblStylePr w:type="lastRow">
      <w:rPr>
        <w:b/>
        <w:bCs/>
        <w:color w:val="2DBFD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7E7" w:themeFill="accent6" w:themeFillTint="3F"/>
      </w:tcPr>
    </w:tblStylePr>
    <w:tblStylePr w:type="band1Horz">
      <w:tblPr/>
      <w:tcPr>
        <w:shd w:val="clear" w:color="auto" w:fill="ECECEC" w:themeFill="accent6" w:themeFillTint="33"/>
      </w:tcPr>
    </w:tblStylePr>
  </w:style>
  <w:style w:type="table" w:styleId="ColorfulShading">
    <w:name w:val="Colorful Shading"/>
    <w:basedOn w:val="TableNormal"/>
    <w:uiPriority w:val="98"/>
    <w:semiHidden/>
    <w:unhideWhenUsed/>
    <w:rsid w:val="001F6DC1"/>
    <w:rPr>
      <w:color w:val="000000" w:themeColor="text1"/>
    </w:rPr>
    <w:tblPr>
      <w:tblStyleRowBandSize w:val="1"/>
      <w:tblStyleColBandSize w:val="1"/>
      <w:tblBorders>
        <w:top w:val="single" w:sz="24" w:space="0" w:color="C9C9C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9C9C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semiHidden/>
    <w:unhideWhenUsed/>
    <w:rsid w:val="001F6DC1"/>
    <w:rPr>
      <w:color w:val="000000" w:themeColor="text1"/>
    </w:rPr>
    <w:tblPr>
      <w:tblStyleRowBandSize w:val="1"/>
      <w:tblStyleColBandSize w:val="1"/>
      <w:tblBorders>
        <w:top w:val="single" w:sz="24" w:space="0" w:color="C9C9CA" w:themeColor="accent2"/>
        <w:left w:val="single" w:sz="4" w:space="0" w:color="63D0DF" w:themeColor="accent1"/>
        <w:bottom w:val="single" w:sz="4" w:space="0" w:color="63D0DF" w:themeColor="accent1"/>
        <w:right w:val="single" w:sz="4" w:space="0" w:color="63D0DF" w:themeColor="accent1"/>
        <w:insideH w:val="single" w:sz="4" w:space="0" w:color="FFFFFF" w:themeColor="background1"/>
        <w:insideV w:val="single" w:sz="4" w:space="0" w:color="FFFFFF" w:themeColor="background1"/>
      </w:tblBorders>
    </w:tblPr>
    <w:tcPr>
      <w:shd w:val="clear" w:color="auto" w:fill="EFFAFB" w:themeFill="accent1" w:themeFillTint="19"/>
    </w:tcPr>
    <w:tblStylePr w:type="firstRow">
      <w:rPr>
        <w:b/>
        <w:bCs/>
      </w:rPr>
      <w:tblPr/>
      <w:tcPr>
        <w:tcBorders>
          <w:top w:val="nil"/>
          <w:left w:val="nil"/>
          <w:bottom w:val="single" w:sz="24" w:space="0" w:color="C9C9C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90A0" w:themeFill="accent1" w:themeFillShade="99"/>
      </w:tcPr>
    </w:tblStylePr>
    <w:tblStylePr w:type="firstCol">
      <w:rPr>
        <w:color w:val="FFFFFF" w:themeColor="background1"/>
      </w:rPr>
      <w:tblPr/>
      <w:tcPr>
        <w:tcBorders>
          <w:top w:val="nil"/>
          <w:left w:val="nil"/>
          <w:bottom w:val="nil"/>
          <w:right w:val="nil"/>
          <w:insideH w:val="single" w:sz="4" w:space="0" w:color="2190A0" w:themeColor="accent1" w:themeShade="99"/>
          <w:insideV w:val="nil"/>
        </w:tcBorders>
        <w:shd w:val="clear" w:color="auto" w:fill="2190A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90A0" w:themeFill="accent1" w:themeFillShade="99"/>
      </w:tcPr>
    </w:tblStylePr>
    <w:tblStylePr w:type="band1Vert">
      <w:tblPr/>
      <w:tcPr>
        <w:shd w:val="clear" w:color="auto" w:fill="C0ECF2" w:themeFill="accent1" w:themeFillTint="66"/>
      </w:tcPr>
    </w:tblStylePr>
    <w:tblStylePr w:type="band1Horz">
      <w:tblPr/>
      <w:tcPr>
        <w:shd w:val="clear" w:color="auto" w:fill="B1E7E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semiHidden/>
    <w:unhideWhenUsed/>
    <w:rsid w:val="001F6DC1"/>
    <w:rPr>
      <w:color w:val="000000" w:themeColor="text1"/>
    </w:rPr>
    <w:tblPr>
      <w:tblStyleRowBandSize w:val="1"/>
      <w:tblStyleColBandSize w:val="1"/>
      <w:tblBorders>
        <w:top w:val="single" w:sz="24" w:space="0" w:color="C9C9CA" w:themeColor="accent2"/>
        <w:left w:val="single" w:sz="4" w:space="0" w:color="C9C9CA" w:themeColor="accent2"/>
        <w:bottom w:val="single" w:sz="4" w:space="0" w:color="C9C9CA" w:themeColor="accent2"/>
        <w:right w:val="single" w:sz="4" w:space="0" w:color="C9C9CA" w:themeColor="accent2"/>
        <w:insideH w:val="single" w:sz="4" w:space="0" w:color="FFFFFF" w:themeColor="background1"/>
        <w:insideV w:val="single" w:sz="4" w:space="0" w:color="FFFFFF" w:themeColor="background1"/>
      </w:tblBorders>
    </w:tblPr>
    <w:tcPr>
      <w:shd w:val="clear" w:color="auto" w:fill="F9F9F9" w:themeFill="accent2" w:themeFillTint="19"/>
    </w:tcPr>
    <w:tblStylePr w:type="firstRow">
      <w:rPr>
        <w:b/>
        <w:bCs/>
      </w:rPr>
      <w:tblPr/>
      <w:tcPr>
        <w:tcBorders>
          <w:top w:val="nil"/>
          <w:left w:val="nil"/>
          <w:bottom w:val="single" w:sz="24" w:space="0" w:color="C9C9C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7779" w:themeFill="accent2" w:themeFillShade="99"/>
      </w:tcPr>
    </w:tblStylePr>
    <w:tblStylePr w:type="firstCol">
      <w:rPr>
        <w:color w:val="FFFFFF" w:themeColor="background1"/>
      </w:rPr>
      <w:tblPr/>
      <w:tcPr>
        <w:tcBorders>
          <w:top w:val="nil"/>
          <w:left w:val="nil"/>
          <w:bottom w:val="nil"/>
          <w:right w:val="nil"/>
          <w:insideH w:val="single" w:sz="4" w:space="0" w:color="777779" w:themeColor="accent2" w:themeShade="99"/>
          <w:insideV w:val="nil"/>
        </w:tcBorders>
        <w:shd w:val="clear" w:color="auto" w:fill="777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7779" w:themeFill="accent2" w:themeFillShade="99"/>
      </w:tcPr>
    </w:tblStylePr>
    <w:tblStylePr w:type="band1Vert">
      <w:tblPr/>
      <w:tcPr>
        <w:shd w:val="clear" w:color="auto" w:fill="E9E9E9" w:themeFill="accent2" w:themeFillTint="66"/>
      </w:tcPr>
    </w:tblStylePr>
    <w:tblStylePr w:type="band1Horz">
      <w:tblPr/>
      <w:tcPr>
        <w:shd w:val="clear" w:color="auto" w:fill="E4E4E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semiHidden/>
    <w:unhideWhenUsed/>
    <w:rsid w:val="001F6DC1"/>
    <w:rPr>
      <w:color w:val="000000" w:themeColor="text1"/>
    </w:rPr>
    <w:tblPr>
      <w:tblStyleRowBandSize w:val="1"/>
      <w:tblStyleColBandSize w:val="1"/>
      <w:tblBorders>
        <w:top w:val="single" w:sz="24" w:space="0" w:color="A1A1A1" w:themeColor="accent4"/>
        <w:left w:val="single" w:sz="4" w:space="0" w:color="63D0DF" w:themeColor="accent3"/>
        <w:bottom w:val="single" w:sz="4" w:space="0" w:color="63D0DF" w:themeColor="accent3"/>
        <w:right w:val="single" w:sz="4" w:space="0" w:color="63D0DF" w:themeColor="accent3"/>
        <w:insideH w:val="single" w:sz="4" w:space="0" w:color="FFFFFF" w:themeColor="background1"/>
        <w:insideV w:val="single" w:sz="4" w:space="0" w:color="FFFFFF" w:themeColor="background1"/>
      </w:tblBorders>
    </w:tblPr>
    <w:tcPr>
      <w:shd w:val="clear" w:color="auto" w:fill="EFFAFB" w:themeFill="accent3" w:themeFillTint="19"/>
    </w:tcPr>
    <w:tblStylePr w:type="firstRow">
      <w:rPr>
        <w:b/>
        <w:bCs/>
      </w:rPr>
      <w:tblPr/>
      <w:tcPr>
        <w:tcBorders>
          <w:top w:val="nil"/>
          <w:left w:val="nil"/>
          <w:bottom w:val="single" w:sz="24" w:space="0" w:color="A1A1A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90A0" w:themeFill="accent3" w:themeFillShade="99"/>
      </w:tcPr>
    </w:tblStylePr>
    <w:tblStylePr w:type="firstCol">
      <w:rPr>
        <w:color w:val="FFFFFF" w:themeColor="background1"/>
      </w:rPr>
      <w:tblPr/>
      <w:tcPr>
        <w:tcBorders>
          <w:top w:val="nil"/>
          <w:left w:val="nil"/>
          <w:bottom w:val="nil"/>
          <w:right w:val="nil"/>
          <w:insideH w:val="single" w:sz="4" w:space="0" w:color="2190A0" w:themeColor="accent3" w:themeShade="99"/>
          <w:insideV w:val="nil"/>
        </w:tcBorders>
        <w:shd w:val="clear" w:color="auto" w:fill="2190A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190A0" w:themeFill="accent3" w:themeFillShade="99"/>
      </w:tcPr>
    </w:tblStylePr>
    <w:tblStylePr w:type="band1Vert">
      <w:tblPr/>
      <w:tcPr>
        <w:shd w:val="clear" w:color="auto" w:fill="C0ECF2" w:themeFill="accent3" w:themeFillTint="66"/>
      </w:tcPr>
    </w:tblStylePr>
    <w:tblStylePr w:type="band1Horz">
      <w:tblPr/>
      <w:tcPr>
        <w:shd w:val="clear" w:color="auto" w:fill="B1E7EF" w:themeFill="accent3" w:themeFillTint="7F"/>
      </w:tcPr>
    </w:tblStylePr>
  </w:style>
  <w:style w:type="table" w:styleId="ColorfulShading-Accent4">
    <w:name w:val="Colorful Shading Accent 4"/>
    <w:basedOn w:val="TableNormal"/>
    <w:uiPriority w:val="98"/>
    <w:semiHidden/>
    <w:unhideWhenUsed/>
    <w:rsid w:val="001F6DC1"/>
    <w:rPr>
      <w:color w:val="000000" w:themeColor="text1"/>
    </w:rPr>
    <w:tblPr>
      <w:tblStyleRowBandSize w:val="1"/>
      <w:tblStyleColBandSize w:val="1"/>
      <w:tblBorders>
        <w:top w:val="single" w:sz="24" w:space="0" w:color="63D0DF" w:themeColor="accent3"/>
        <w:left w:val="single" w:sz="4" w:space="0" w:color="A1A1A1" w:themeColor="accent4"/>
        <w:bottom w:val="single" w:sz="4" w:space="0" w:color="A1A1A1" w:themeColor="accent4"/>
        <w:right w:val="single" w:sz="4" w:space="0" w:color="A1A1A1" w:themeColor="accent4"/>
        <w:insideH w:val="single" w:sz="4" w:space="0" w:color="FFFFFF" w:themeColor="background1"/>
        <w:insideV w:val="single" w:sz="4" w:space="0" w:color="FFFFFF" w:themeColor="background1"/>
      </w:tblBorders>
    </w:tblPr>
    <w:tcPr>
      <w:shd w:val="clear" w:color="auto" w:fill="F5F5F5" w:themeFill="accent4" w:themeFillTint="19"/>
    </w:tcPr>
    <w:tblStylePr w:type="firstRow">
      <w:rPr>
        <w:b/>
        <w:bCs/>
      </w:rPr>
      <w:tblPr/>
      <w:tcPr>
        <w:tcBorders>
          <w:top w:val="nil"/>
          <w:left w:val="nil"/>
          <w:bottom w:val="single" w:sz="24" w:space="0" w:color="63D0D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6060" w:themeFill="accent4" w:themeFillShade="99"/>
      </w:tcPr>
    </w:tblStylePr>
    <w:tblStylePr w:type="firstCol">
      <w:rPr>
        <w:color w:val="FFFFFF" w:themeColor="background1"/>
      </w:rPr>
      <w:tblPr/>
      <w:tcPr>
        <w:tcBorders>
          <w:top w:val="nil"/>
          <w:left w:val="nil"/>
          <w:bottom w:val="nil"/>
          <w:right w:val="nil"/>
          <w:insideH w:val="single" w:sz="4" w:space="0" w:color="606060" w:themeColor="accent4" w:themeShade="99"/>
          <w:insideV w:val="nil"/>
        </w:tcBorders>
        <w:shd w:val="clear" w:color="auto" w:fill="60606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6060" w:themeFill="accent4" w:themeFillShade="99"/>
      </w:tcPr>
    </w:tblStylePr>
    <w:tblStylePr w:type="band1Vert">
      <w:tblPr/>
      <w:tcPr>
        <w:shd w:val="clear" w:color="auto" w:fill="D9D9D9" w:themeFill="accent4" w:themeFillTint="66"/>
      </w:tcPr>
    </w:tblStylePr>
    <w:tblStylePr w:type="band1Horz">
      <w:tblPr/>
      <w:tcPr>
        <w:shd w:val="clear" w:color="auto" w:fill="D0D0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semiHidden/>
    <w:unhideWhenUsed/>
    <w:rsid w:val="001F6DC1"/>
    <w:rPr>
      <w:color w:val="000000" w:themeColor="text1"/>
    </w:rPr>
    <w:tblPr>
      <w:tblStyleRowBandSize w:val="1"/>
      <w:tblStyleColBandSize w:val="1"/>
      <w:tblBorders>
        <w:top w:val="single" w:sz="24" w:space="0" w:color="A1A1A1" w:themeColor="accent6"/>
        <w:left w:val="single" w:sz="4" w:space="0" w:color="63D0DF" w:themeColor="accent5"/>
        <w:bottom w:val="single" w:sz="4" w:space="0" w:color="63D0DF" w:themeColor="accent5"/>
        <w:right w:val="single" w:sz="4" w:space="0" w:color="63D0DF" w:themeColor="accent5"/>
        <w:insideH w:val="single" w:sz="4" w:space="0" w:color="FFFFFF" w:themeColor="background1"/>
        <w:insideV w:val="single" w:sz="4" w:space="0" w:color="FFFFFF" w:themeColor="background1"/>
      </w:tblBorders>
    </w:tblPr>
    <w:tcPr>
      <w:shd w:val="clear" w:color="auto" w:fill="EFFAFB" w:themeFill="accent5" w:themeFillTint="19"/>
    </w:tcPr>
    <w:tblStylePr w:type="firstRow">
      <w:rPr>
        <w:b/>
        <w:bCs/>
      </w:rPr>
      <w:tblPr/>
      <w:tcPr>
        <w:tcBorders>
          <w:top w:val="nil"/>
          <w:left w:val="nil"/>
          <w:bottom w:val="single" w:sz="24" w:space="0" w:color="A1A1A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90A0" w:themeFill="accent5" w:themeFillShade="99"/>
      </w:tcPr>
    </w:tblStylePr>
    <w:tblStylePr w:type="firstCol">
      <w:rPr>
        <w:color w:val="FFFFFF" w:themeColor="background1"/>
      </w:rPr>
      <w:tblPr/>
      <w:tcPr>
        <w:tcBorders>
          <w:top w:val="nil"/>
          <w:left w:val="nil"/>
          <w:bottom w:val="nil"/>
          <w:right w:val="nil"/>
          <w:insideH w:val="single" w:sz="4" w:space="0" w:color="2190A0" w:themeColor="accent5" w:themeShade="99"/>
          <w:insideV w:val="nil"/>
        </w:tcBorders>
        <w:shd w:val="clear" w:color="auto" w:fill="2190A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190A0" w:themeFill="accent5" w:themeFillShade="99"/>
      </w:tcPr>
    </w:tblStylePr>
    <w:tblStylePr w:type="band1Vert">
      <w:tblPr/>
      <w:tcPr>
        <w:shd w:val="clear" w:color="auto" w:fill="C0ECF2" w:themeFill="accent5" w:themeFillTint="66"/>
      </w:tcPr>
    </w:tblStylePr>
    <w:tblStylePr w:type="band1Horz">
      <w:tblPr/>
      <w:tcPr>
        <w:shd w:val="clear" w:color="auto" w:fill="B1E7E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semiHidden/>
    <w:unhideWhenUsed/>
    <w:rsid w:val="001F6DC1"/>
    <w:rPr>
      <w:color w:val="000000" w:themeColor="text1"/>
    </w:rPr>
    <w:tblPr>
      <w:tblStyleRowBandSize w:val="1"/>
      <w:tblStyleColBandSize w:val="1"/>
      <w:tblBorders>
        <w:top w:val="single" w:sz="24" w:space="0" w:color="63D0DF" w:themeColor="accent5"/>
        <w:left w:val="single" w:sz="4" w:space="0" w:color="A1A1A1" w:themeColor="accent6"/>
        <w:bottom w:val="single" w:sz="4" w:space="0" w:color="A1A1A1" w:themeColor="accent6"/>
        <w:right w:val="single" w:sz="4" w:space="0" w:color="A1A1A1"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63D0D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6060" w:themeFill="accent6" w:themeFillShade="99"/>
      </w:tcPr>
    </w:tblStylePr>
    <w:tblStylePr w:type="firstCol">
      <w:rPr>
        <w:color w:val="FFFFFF" w:themeColor="background1"/>
      </w:rPr>
      <w:tblPr/>
      <w:tcPr>
        <w:tcBorders>
          <w:top w:val="nil"/>
          <w:left w:val="nil"/>
          <w:bottom w:val="nil"/>
          <w:right w:val="nil"/>
          <w:insideH w:val="single" w:sz="4" w:space="0" w:color="606060" w:themeColor="accent6" w:themeShade="99"/>
          <w:insideV w:val="nil"/>
        </w:tcBorders>
        <w:shd w:val="clear" w:color="auto" w:fill="60606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6060" w:themeFill="accent6" w:themeFillShade="99"/>
      </w:tcPr>
    </w:tblStylePr>
    <w:tblStylePr w:type="band1Vert">
      <w:tblPr/>
      <w:tcPr>
        <w:shd w:val="clear" w:color="auto" w:fill="D9D9D9" w:themeFill="accent6" w:themeFillTint="66"/>
      </w:tcPr>
    </w:tblStylePr>
    <w:tblStylePr w:type="band1Horz">
      <w:tblPr/>
      <w:tcPr>
        <w:shd w:val="clear" w:color="auto" w:fill="D0D0D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8"/>
    <w:semiHidden/>
    <w:unhideWhenUsed/>
    <w:rsid w:val="001F6DC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semiHidden/>
    <w:unhideWhenUsed/>
    <w:rsid w:val="001F6DC1"/>
    <w:rPr>
      <w:color w:val="FFFFFF" w:themeColor="background1"/>
    </w:rPr>
    <w:tblPr>
      <w:tblStyleRowBandSize w:val="1"/>
      <w:tblStyleColBandSize w:val="1"/>
    </w:tblPr>
    <w:tcPr>
      <w:shd w:val="clear" w:color="auto" w:fill="63D0D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88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B4C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B4C7" w:themeFill="accent1" w:themeFillShade="BF"/>
      </w:tcPr>
    </w:tblStylePr>
    <w:tblStylePr w:type="band1Vert">
      <w:tblPr/>
      <w:tcPr>
        <w:tcBorders>
          <w:top w:val="nil"/>
          <w:left w:val="nil"/>
          <w:bottom w:val="nil"/>
          <w:right w:val="nil"/>
          <w:insideH w:val="nil"/>
          <w:insideV w:val="nil"/>
        </w:tcBorders>
        <w:shd w:val="clear" w:color="auto" w:fill="29B4C7" w:themeFill="accent1" w:themeFillShade="BF"/>
      </w:tcPr>
    </w:tblStylePr>
    <w:tblStylePr w:type="band1Horz">
      <w:tblPr/>
      <w:tcPr>
        <w:tcBorders>
          <w:top w:val="nil"/>
          <w:left w:val="nil"/>
          <w:bottom w:val="nil"/>
          <w:right w:val="nil"/>
          <w:insideH w:val="nil"/>
          <w:insideV w:val="nil"/>
        </w:tcBorders>
        <w:shd w:val="clear" w:color="auto" w:fill="29B4C7" w:themeFill="accent1" w:themeFillShade="BF"/>
      </w:tcPr>
    </w:tblStylePr>
  </w:style>
  <w:style w:type="table" w:styleId="DarkList-Accent2">
    <w:name w:val="Dark List Accent 2"/>
    <w:basedOn w:val="TableNormal"/>
    <w:uiPriority w:val="98"/>
    <w:semiHidden/>
    <w:unhideWhenUsed/>
    <w:rsid w:val="001F6DC1"/>
    <w:rPr>
      <w:color w:val="FFFFFF" w:themeColor="background1"/>
    </w:rPr>
    <w:tblPr>
      <w:tblStyleRowBandSize w:val="1"/>
      <w:tblStyleColBandSize w:val="1"/>
    </w:tblPr>
    <w:tcPr>
      <w:shd w:val="clear" w:color="auto" w:fill="C9C9C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63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5959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59597" w:themeFill="accent2" w:themeFillShade="BF"/>
      </w:tcPr>
    </w:tblStylePr>
    <w:tblStylePr w:type="band1Vert">
      <w:tblPr/>
      <w:tcPr>
        <w:tcBorders>
          <w:top w:val="nil"/>
          <w:left w:val="nil"/>
          <w:bottom w:val="nil"/>
          <w:right w:val="nil"/>
          <w:insideH w:val="nil"/>
          <w:insideV w:val="nil"/>
        </w:tcBorders>
        <w:shd w:val="clear" w:color="auto" w:fill="959597" w:themeFill="accent2" w:themeFillShade="BF"/>
      </w:tcPr>
    </w:tblStylePr>
    <w:tblStylePr w:type="band1Horz">
      <w:tblPr/>
      <w:tcPr>
        <w:tcBorders>
          <w:top w:val="nil"/>
          <w:left w:val="nil"/>
          <w:bottom w:val="nil"/>
          <w:right w:val="nil"/>
          <w:insideH w:val="nil"/>
          <w:insideV w:val="nil"/>
        </w:tcBorders>
        <w:shd w:val="clear" w:color="auto" w:fill="959597" w:themeFill="accent2" w:themeFillShade="BF"/>
      </w:tcPr>
    </w:tblStylePr>
  </w:style>
  <w:style w:type="table" w:styleId="DarkList-Accent3">
    <w:name w:val="Dark List Accent 3"/>
    <w:basedOn w:val="TableNormal"/>
    <w:uiPriority w:val="98"/>
    <w:semiHidden/>
    <w:unhideWhenUsed/>
    <w:rsid w:val="001F6DC1"/>
    <w:rPr>
      <w:color w:val="FFFFFF" w:themeColor="background1"/>
    </w:rPr>
    <w:tblPr>
      <w:tblStyleRowBandSize w:val="1"/>
      <w:tblStyleColBandSize w:val="1"/>
    </w:tblPr>
    <w:tcPr>
      <w:shd w:val="clear" w:color="auto" w:fill="63D0D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88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9B4C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9B4C7" w:themeFill="accent3" w:themeFillShade="BF"/>
      </w:tcPr>
    </w:tblStylePr>
    <w:tblStylePr w:type="band1Vert">
      <w:tblPr/>
      <w:tcPr>
        <w:tcBorders>
          <w:top w:val="nil"/>
          <w:left w:val="nil"/>
          <w:bottom w:val="nil"/>
          <w:right w:val="nil"/>
          <w:insideH w:val="nil"/>
          <w:insideV w:val="nil"/>
        </w:tcBorders>
        <w:shd w:val="clear" w:color="auto" w:fill="29B4C7" w:themeFill="accent3" w:themeFillShade="BF"/>
      </w:tcPr>
    </w:tblStylePr>
    <w:tblStylePr w:type="band1Horz">
      <w:tblPr/>
      <w:tcPr>
        <w:tcBorders>
          <w:top w:val="nil"/>
          <w:left w:val="nil"/>
          <w:bottom w:val="nil"/>
          <w:right w:val="nil"/>
          <w:insideH w:val="nil"/>
          <w:insideV w:val="nil"/>
        </w:tcBorders>
        <w:shd w:val="clear" w:color="auto" w:fill="29B4C7" w:themeFill="accent3" w:themeFillShade="BF"/>
      </w:tcPr>
    </w:tblStylePr>
  </w:style>
  <w:style w:type="table" w:styleId="DarkList-Accent4">
    <w:name w:val="Dark List Accent 4"/>
    <w:basedOn w:val="TableNormal"/>
    <w:uiPriority w:val="98"/>
    <w:semiHidden/>
    <w:unhideWhenUsed/>
    <w:rsid w:val="001F6DC1"/>
    <w:rPr>
      <w:color w:val="FFFFFF" w:themeColor="background1"/>
    </w:rPr>
    <w:tblPr>
      <w:tblStyleRowBandSize w:val="1"/>
      <w:tblStyleColBandSize w:val="1"/>
    </w:tblPr>
    <w:tcPr>
      <w:shd w:val="clear" w:color="auto" w:fill="A1A1A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05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787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7878" w:themeFill="accent4" w:themeFillShade="BF"/>
      </w:tcPr>
    </w:tblStylePr>
    <w:tblStylePr w:type="band1Vert">
      <w:tblPr/>
      <w:tcPr>
        <w:tcBorders>
          <w:top w:val="nil"/>
          <w:left w:val="nil"/>
          <w:bottom w:val="nil"/>
          <w:right w:val="nil"/>
          <w:insideH w:val="nil"/>
          <w:insideV w:val="nil"/>
        </w:tcBorders>
        <w:shd w:val="clear" w:color="auto" w:fill="787878" w:themeFill="accent4" w:themeFillShade="BF"/>
      </w:tcPr>
    </w:tblStylePr>
    <w:tblStylePr w:type="band1Horz">
      <w:tblPr/>
      <w:tcPr>
        <w:tcBorders>
          <w:top w:val="nil"/>
          <w:left w:val="nil"/>
          <w:bottom w:val="nil"/>
          <w:right w:val="nil"/>
          <w:insideH w:val="nil"/>
          <w:insideV w:val="nil"/>
        </w:tcBorders>
        <w:shd w:val="clear" w:color="auto" w:fill="787878" w:themeFill="accent4" w:themeFillShade="BF"/>
      </w:tcPr>
    </w:tblStylePr>
  </w:style>
  <w:style w:type="table" w:styleId="DarkList-Accent5">
    <w:name w:val="Dark List Accent 5"/>
    <w:basedOn w:val="TableNormal"/>
    <w:uiPriority w:val="98"/>
    <w:semiHidden/>
    <w:unhideWhenUsed/>
    <w:rsid w:val="001F6DC1"/>
    <w:rPr>
      <w:color w:val="FFFFFF" w:themeColor="background1"/>
    </w:rPr>
    <w:tblPr>
      <w:tblStyleRowBandSize w:val="1"/>
      <w:tblStyleColBandSize w:val="1"/>
    </w:tblPr>
    <w:tcPr>
      <w:shd w:val="clear" w:color="auto" w:fill="63D0D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88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9B4C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9B4C7" w:themeFill="accent5" w:themeFillShade="BF"/>
      </w:tcPr>
    </w:tblStylePr>
    <w:tblStylePr w:type="band1Vert">
      <w:tblPr/>
      <w:tcPr>
        <w:tcBorders>
          <w:top w:val="nil"/>
          <w:left w:val="nil"/>
          <w:bottom w:val="nil"/>
          <w:right w:val="nil"/>
          <w:insideH w:val="nil"/>
          <w:insideV w:val="nil"/>
        </w:tcBorders>
        <w:shd w:val="clear" w:color="auto" w:fill="29B4C7" w:themeFill="accent5" w:themeFillShade="BF"/>
      </w:tcPr>
    </w:tblStylePr>
    <w:tblStylePr w:type="band1Horz">
      <w:tblPr/>
      <w:tcPr>
        <w:tcBorders>
          <w:top w:val="nil"/>
          <w:left w:val="nil"/>
          <w:bottom w:val="nil"/>
          <w:right w:val="nil"/>
          <w:insideH w:val="nil"/>
          <w:insideV w:val="nil"/>
        </w:tcBorders>
        <w:shd w:val="clear" w:color="auto" w:fill="29B4C7" w:themeFill="accent5" w:themeFillShade="BF"/>
      </w:tcPr>
    </w:tblStylePr>
  </w:style>
  <w:style w:type="table" w:styleId="DarkList-Accent6">
    <w:name w:val="Dark List Accent 6"/>
    <w:basedOn w:val="TableNormal"/>
    <w:uiPriority w:val="98"/>
    <w:semiHidden/>
    <w:unhideWhenUsed/>
    <w:rsid w:val="001F6DC1"/>
    <w:rPr>
      <w:color w:val="FFFFFF" w:themeColor="background1"/>
    </w:rPr>
    <w:tblPr>
      <w:tblStyleRowBandSize w:val="1"/>
      <w:tblStyleColBandSize w:val="1"/>
    </w:tblPr>
    <w:tcPr>
      <w:shd w:val="clear" w:color="auto" w:fill="A1A1A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05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787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7878" w:themeFill="accent6" w:themeFillShade="BF"/>
      </w:tcPr>
    </w:tblStylePr>
    <w:tblStylePr w:type="band1Vert">
      <w:tblPr/>
      <w:tcPr>
        <w:tcBorders>
          <w:top w:val="nil"/>
          <w:left w:val="nil"/>
          <w:bottom w:val="nil"/>
          <w:right w:val="nil"/>
          <w:insideH w:val="nil"/>
          <w:insideV w:val="nil"/>
        </w:tcBorders>
        <w:shd w:val="clear" w:color="auto" w:fill="787878" w:themeFill="accent6" w:themeFillShade="BF"/>
      </w:tcPr>
    </w:tblStylePr>
    <w:tblStylePr w:type="band1Horz">
      <w:tblPr/>
      <w:tcPr>
        <w:tcBorders>
          <w:top w:val="nil"/>
          <w:left w:val="nil"/>
          <w:bottom w:val="nil"/>
          <w:right w:val="nil"/>
          <w:insideH w:val="nil"/>
          <w:insideV w:val="nil"/>
        </w:tcBorders>
        <w:shd w:val="clear" w:color="auto" w:fill="787878" w:themeFill="accent6" w:themeFillShade="BF"/>
      </w:tcPr>
    </w:tblStylePr>
  </w:style>
  <w:style w:type="table" w:styleId="LightGrid">
    <w:name w:val="Light Grid"/>
    <w:basedOn w:val="TableNormal"/>
    <w:uiPriority w:val="98"/>
    <w:semiHidden/>
    <w:unhideWhenUsed/>
    <w:rsid w:val="001F6D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semiHidden/>
    <w:unhideWhenUsed/>
    <w:rsid w:val="001F6DC1"/>
    <w:tblPr>
      <w:tblStyleRowBandSize w:val="1"/>
      <w:tblStyleColBandSize w:val="1"/>
      <w:tblBorders>
        <w:top w:val="single" w:sz="8" w:space="0" w:color="63D0DF" w:themeColor="accent1"/>
        <w:left w:val="single" w:sz="8" w:space="0" w:color="63D0DF" w:themeColor="accent1"/>
        <w:bottom w:val="single" w:sz="8" w:space="0" w:color="63D0DF" w:themeColor="accent1"/>
        <w:right w:val="single" w:sz="8" w:space="0" w:color="63D0DF" w:themeColor="accent1"/>
        <w:insideH w:val="single" w:sz="8" w:space="0" w:color="63D0DF" w:themeColor="accent1"/>
        <w:insideV w:val="single" w:sz="8" w:space="0" w:color="63D0D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D0DF" w:themeColor="accent1"/>
          <w:left w:val="single" w:sz="8" w:space="0" w:color="63D0DF" w:themeColor="accent1"/>
          <w:bottom w:val="single" w:sz="18" w:space="0" w:color="63D0DF" w:themeColor="accent1"/>
          <w:right w:val="single" w:sz="8" w:space="0" w:color="63D0DF" w:themeColor="accent1"/>
          <w:insideH w:val="nil"/>
          <w:insideV w:val="single" w:sz="8" w:space="0" w:color="63D0D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D0DF" w:themeColor="accent1"/>
          <w:left w:val="single" w:sz="8" w:space="0" w:color="63D0DF" w:themeColor="accent1"/>
          <w:bottom w:val="single" w:sz="8" w:space="0" w:color="63D0DF" w:themeColor="accent1"/>
          <w:right w:val="single" w:sz="8" w:space="0" w:color="63D0DF" w:themeColor="accent1"/>
          <w:insideH w:val="nil"/>
          <w:insideV w:val="single" w:sz="8" w:space="0" w:color="63D0D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D0DF" w:themeColor="accent1"/>
          <w:left w:val="single" w:sz="8" w:space="0" w:color="63D0DF" w:themeColor="accent1"/>
          <w:bottom w:val="single" w:sz="8" w:space="0" w:color="63D0DF" w:themeColor="accent1"/>
          <w:right w:val="single" w:sz="8" w:space="0" w:color="63D0DF" w:themeColor="accent1"/>
        </w:tcBorders>
      </w:tcPr>
    </w:tblStylePr>
    <w:tblStylePr w:type="band1Vert">
      <w:tblPr/>
      <w:tcPr>
        <w:tcBorders>
          <w:top w:val="single" w:sz="8" w:space="0" w:color="63D0DF" w:themeColor="accent1"/>
          <w:left w:val="single" w:sz="8" w:space="0" w:color="63D0DF" w:themeColor="accent1"/>
          <w:bottom w:val="single" w:sz="8" w:space="0" w:color="63D0DF" w:themeColor="accent1"/>
          <w:right w:val="single" w:sz="8" w:space="0" w:color="63D0DF" w:themeColor="accent1"/>
        </w:tcBorders>
        <w:shd w:val="clear" w:color="auto" w:fill="D8F3F7" w:themeFill="accent1" w:themeFillTint="3F"/>
      </w:tcPr>
    </w:tblStylePr>
    <w:tblStylePr w:type="band1Horz">
      <w:tblPr/>
      <w:tcPr>
        <w:tcBorders>
          <w:top w:val="single" w:sz="8" w:space="0" w:color="63D0DF" w:themeColor="accent1"/>
          <w:left w:val="single" w:sz="8" w:space="0" w:color="63D0DF" w:themeColor="accent1"/>
          <w:bottom w:val="single" w:sz="8" w:space="0" w:color="63D0DF" w:themeColor="accent1"/>
          <w:right w:val="single" w:sz="8" w:space="0" w:color="63D0DF" w:themeColor="accent1"/>
          <w:insideV w:val="single" w:sz="8" w:space="0" w:color="63D0DF" w:themeColor="accent1"/>
        </w:tcBorders>
        <w:shd w:val="clear" w:color="auto" w:fill="D8F3F7" w:themeFill="accent1" w:themeFillTint="3F"/>
      </w:tcPr>
    </w:tblStylePr>
    <w:tblStylePr w:type="band2Horz">
      <w:tblPr/>
      <w:tcPr>
        <w:tcBorders>
          <w:top w:val="single" w:sz="8" w:space="0" w:color="63D0DF" w:themeColor="accent1"/>
          <w:left w:val="single" w:sz="8" w:space="0" w:color="63D0DF" w:themeColor="accent1"/>
          <w:bottom w:val="single" w:sz="8" w:space="0" w:color="63D0DF" w:themeColor="accent1"/>
          <w:right w:val="single" w:sz="8" w:space="0" w:color="63D0DF" w:themeColor="accent1"/>
          <w:insideV w:val="single" w:sz="8" w:space="0" w:color="63D0DF" w:themeColor="accent1"/>
        </w:tcBorders>
      </w:tcPr>
    </w:tblStylePr>
  </w:style>
  <w:style w:type="table" w:styleId="LightGrid-Accent2">
    <w:name w:val="Light Grid Accent 2"/>
    <w:basedOn w:val="TableNormal"/>
    <w:uiPriority w:val="98"/>
    <w:semiHidden/>
    <w:unhideWhenUsed/>
    <w:rsid w:val="001F6DC1"/>
    <w:tblPr>
      <w:tblStyleRowBandSize w:val="1"/>
      <w:tblStyleColBandSize w:val="1"/>
      <w:tblBorders>
        <w:top w:val="single" w:sz="8" w:space="0" w:color="C9C9CA" w:themeColor="accent2"/>
        <w:left w:val="single" w:sz="8" w:space="0" w:color="C9C9CA" w:themeColor="accent2"/>
        <w:bottom w:val="single" w:sz="8" w:space="0" w:color="C9C9CA" w:themeColor="accent2"/>
        <w:right w:val="single" w:sz="8" w:space="0" w:color="C9C9CA" w:themeColor="accent2"/>
        <w:insideH w:val="single" w:sz="8" w:space="0" w:color="C9C9CA" w:themeColor="accent2"/>
        <w:insideV w:val="single" w:sz="8" w:space="0" w:color="C9C9C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9C9CA" w:themeColor="accent2"/>
          <w:left w:val="single" w:sz="8" w:space="0" w:color="C9C9CA" w:themeColor="accent2"/>
          <w:bottom w:val="single" w:sz="18" w:space="0" w:color="C9C9CA" w:themeColor="accent2"/>
          <w:right w:val="single" w:sz="8" w:space="0" w:color="C9C9CA" w:themeColor="accent2"/>
          <w:insideH w:val="nil"/>
          <w:insideV w:val="single" w:sz="8" w:space="0" w:color="C9C9C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9C9CA" w:themeColor="accent2"/>
          <w:left w:val="single" w:sz="8" w:space="0" w:color="C9C9CA" w:themeColor="accent2"/>
          <w:bottom w:val="single" w:sz="8" w:space="0" w:color="C9C9CA" w:themeColor="accent2"/>
          <w:right w:val="single" w:sz="8" w:space="0" w:color="C9C9CA" w:themeColor="accent2"/>
          <w:insideH w:val="nil"/>
          <w:insideV w:val="single" w:sz="8" w:space="0" w:color="C9C9C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9C9CA" w:themeColor="accent2"/>
          <w:left w:val="single" w:sz="8" w:space="0" w:color="C9C9CA" w:themeColor="accent2"/>
          <w:bottom w:val="single" w:sz="8" w:space="0" w:color="C9C9CA" w:themeColor="accent2"/>
          <w:right w:val="single" w:sz="8" w:space="0" w:color="C9C9CA" w:themeColor="accent2"/>
        </w:tcBorders>
      </w:tcPr>
    </w:tblStylePr>
    <w:tblStylePr w:type="band1Vert">
      <w:tblPr/>
      <w:tcPr>
        <w:tcBorders>
          <w:top w:val="single" w:sz="8" w:space="0" w:color="C9C9CA" w:themeColor="accent2"/>
          <w:left w:val="single" w:sz="8" w:space="0" w:color="C9C9CA" w:themeColor="accent2"/>
          <w:bottom w:val="single" w:sz="8" w:space="0" w:color="C9C9CA" w:themeColor="accent2"/>
          <w:right w:val="single" w:sz="8" w:space="0" w:color="C9C9CA" w:themeColor="accent2"/>
        </w:tcBorders>
        <w:shd w:val="clear" w:color="auto" w:fill="F1F1F1" w:themeFill="accent2" w:themeFillTint="3F"/>
      </w:tcPr>
    </w:tblStylePr>
    <w:tblStylePr w:type="band1Horz">
      <w:tblPr/>
      <w:tcPr>
        <w:tcBorders>
          <w:top w:val="single" w:sz="8" w:space="0" w:color="C9C9CA" w:themeColor="accent2"/>
          <w:left w:val="single" w:sz="8" w:space="0" w:color="C9C9CA" w:themeColor="accent2"/>
          <w:bottom w:val="single" w:sz="8" w:space="0" w:color="C9C9CA" w:themeColor="accent2"/>
          <w:right w:val="single" w:sz="8" w:space="0" w:color="C9C9CA" w:themeColor="accent2"/>
          <w:insideV w:val="single" w:sz="8" w:space="0" w:color="C9C9CA" w:themeColor="accent2"/>
        </w:tcBorders>
        <w:shd w:val="clear" w:color="auto" w:fill="F1F1F1" w:themeFill="accent2" w:themeFillTint="3F"/>
      </w:tcPr>
    </w:tblStylePr>
    <w:tblStylePr w:type="band2Horz">
      <w:tblPr/>
      <w:tcPr>
        <w:tcBorders>
          <w:top w:val="single" w:sz="8" w:space="0" w:color="C9C9CA" w:themeColor="accent2"/>
          <w:left w:val="single" w:sz="8" w:space="0" w:color="C9C9CA" w:themeColor="accent2"/>
          <w:bottom w:val="single" w:sz="8" w:space="0" w:color="C9C9CA" w:themeColor="accent2"/>
          <w:right w:val="single" w:sz="8" w:space="0" w:color="C9C9CA" w:themeColor="accent2"/>
          <w:insideV w:val="single" w:sz="8" w:space="0" w:color="C9C9CA" w:themeColor="accent2"/>
        </w:tcBorders>
      </w:tcPr>
    </w:tblStylePr>
  </w:style>
  <w:style w:type="table" w:styleId="LightGrid-Accent3">
    <w:name w:val="Light Grid Accent 3"/>
    <w:basedOn w:val="TableNormal"/>
    <w:uiPriority w:val="98"/>
    <w:semiHidden/>
    <w:unhideWhenUsed/>
    <w:rsid w:val="001F6DC1"/>
    <w:tblPr>
      <w:tblStyleRowBandSize w:val="1"/>
      <w:tblStyleColBandSize w:val="1"/>
      <w:tblBorders>
        <w:top w:val="single" w:sz="8" w:space="0" w:color="63D0DF" w:themeColor="accent3"/>
        <w:left w:val="single" w:sz="8" w:space="0" w:color="63D0DF" w:themeColor="accent3"/>
        <w:bottom w:val="single" w:sz="8" w:space="0" w:color="63D0DF" w:themeColor="accent3"/>
        <w:right w:val="single" w:sz="8" w:space="0" w:color="63D0DF" w:themeColor="accent3"/>
        <w:insideH w:val="single" w:sz="8" w:space="0" w:color="63D0DF" w:themeColor="accent3"/>
        <w:insideV w:val="single" w:sz="8" w:space="0" w:color="63D0D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D0DF" w:themeColor="accent3"/>
          <w:left w:val="single" w:sz="8" w:space="0" w:color="63D0DF" w:themeColor="accent3"/>
          <w:bottom w:val="single" w:sz="18" w:space="0" w:color="63D0DF" w:themeColor="accent3"/>
          <w:right w:val="single" w:sz="8" w:space="0" w:color="63D0DF" w:themeColor="accent3"/>
          <w:insideH w:val="nil"/>
          <w:insideV w:val="single" w:sz="8" w:space="0" w:color="63D0D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D0DF" w:themeColor="accent3"/>
          <w:left w:val="single" w:sz="8" w:space="0" w:color="63D0DF" w:themeColor="accent3"/>
          <w:bottom w:val="single" w:sz="8" w:space="0" w:color="63D0DF" w:themeColor="accent3"/>
          <w:right w:val="single" w:sz="8" w:space="0" w:color="63D0DF" w:themeColor="accent3"/>
          <w:insideH w:val="nil"/>
          <w:insideV w:val="single" w:sz="8" w:space="0" w:color="63D0D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D0DF" w:themeColor="accent3"/>
          <w:left w:val="single" w:sz="8" w:space="0" w:color="63D0DF" w:themeColor="accent3"/>
          <w:bottom w:val="single" w:sz="8" w:space="0" w:color="63D0DF" w:themeColor="accent3"/>
          <w:right w:val="single" w:sz="8" w:space="0" w:color="63D0DF" w:themeColor="accent3"/>
        </w:tcBorders>
      </w:tcPr>
    </w:tblStylePr>
    <w:tblStylePr w:type="band1Vert">
      <w:tblPr/>
      <w:tcPr>
        <w:tcBorders>
          <w:top w:val="single" w:sz="8" w:space="0" w:color="63D0DF" w:themeColor="accent3"/>
          <w:left w:val="single" w:sz="8" w:space="0" w:color="63D0DF" w:themeColor="accent3"/>
          <w:bottom w:val="single" w:sz="8" w:space="0" w:color="63D0DF" w:themeColor="accent3"/>
          <w:right w:val="single" w:sz="8" w:space="0" w:color="63D0DF" w:themeColor="accent3"/>
        </w:tcBorders>
        <w:shd w:val="clear" w:color="auto" w:fill="D8F3F7" w:themeFill="accent3" w:themeFillTint="3F"/>
      </w:tcPr>
    </w:tblStylePr>
    <w:tblStylePr w:type="band1Horz">
      <w:tblPr/>
      <w:tcPr>
        <w:tcBorders>
          <w:top w:val="single" w:sz="8" w:space="0" w:color="63D0DF" w:themeColor="accent3"/>
          <w:left w:val="single" w:sz="8" w:space="0" w:color="63D0DF" w:themeColor="accent3"/>
          <w:bottom w:val="single" w:sz="8" w:space="0" w:color="63D0DF" w:themeColor="accent3"/>
          <w:right w:val="single" w:sz="8" w:space="0" w:color="63D0DF" w:themeColor="accent3"/>
          <w:insideV w:val="single" w:sz="8" w:space="0" w:color="63D0DF" w:themeColor="accent3"/>
        </w:tcBorders>
        <w:shd w:val="clear" w:color="auto" w:fill="D8F3F7" w:themeFill="accent3" w:themeFillTint="3F"/>
      </w:tcPr>
    </w:tblStylePr>
    <w:tblStylePr w:type="band2Horz">
      <w:tblPr/>
      <w:tcPr>
        <w:tcBorders>
          <w:top w:val="single" w:sz="8" w:space="0" w:color="63D0DF" w:themeColor="accent3"/>
          <w:left w:val="single" w:sz="8" w:space="0" w:color="63D0DF" w:themeColor="accent3"/>
          <w:bottom w:val="single" w:sz="8" w:space="0" w:color="63D0DF" w:themeColor="accent3"/>
          <w:right w:val="single" w:sz="8" w:space="0" w:color="63D0DF" w:themeColor="accent3"/>
          <w:insideV w:val="single" w:sz="8" w:space="0" w:color="63D0DF" w:themeColor="accent3"/>
        </w:tcBorders>
      </w:tcPr>
    </w:tblStylePr>
  </w:style>
  <w:style w:type="table" w:styleId="LightGrid-Accent4">
    <w:name w:val="Light Grid Accent 4"/>
    <w:basedOn w:val="TableNormal"/>
    <w:uiPriority w:val="98"/>
    <w:semiHidden/>
    <w:unhideWhenUsed/>
    <w:rsid w:val="001F6DC1"/>
    <w:tblPr>
      <w:tblStyleRowBandSize w:val="1"/>
      <w:tblStyleColBandSize w:val="1"/>
      <w:tblBorders>
        <w:top w:val="single" w:sz="8" w:space="0" w:color="A1A1A1" w:themeColor="accent4"/>
        <w:left w:val="single" w:sz="8" w:space="0" w:color="A1A1A1" w:themeColor="accent4"/>
        <w:bottom w:val="single" w:sz="8" w:space="0" w:color="A1A1A1" w:themeColor="accent4"/>
        <w:right w:val="single" w:sz="8" w:space="0" w:color="A1A1A1" w:themeColor="accent4"/>
        <w:insideH w:val="single" w:sz="8" w:space="0" w:color="A1A1A1" w:themeColor="accent4"/>
        <w:insideV w:val="single" w:sz="8" w:space="0" w:color="A1A1A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A1A1" w:themeColor="accent4"/>
          <w:left w:val="single" w:sz="8" w:space="0" w:color="A1A1A1" w:themeColor="accent4"/>
          <w:bottom w:val="single" w:sz="18" w:space="0" w:color="A1A1A1" w:themeColor="accent4"/>
          <w:right w:val="single" w:sz="8" w:space="0" w:color="A1A1A1" w:themeColor="accent4"/>
          <w:insideH w:val="nil"/>
          <w:insideV w:val="single" w:sz="8" w:space="0" w:color="A1A1A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A1A1" w:themeColor="accent4"/>
          <w:left w:val="single" w:sz="8" w:space="0" w:color="A1A1A1" w:themeColor="accent4"/>
          <w:bottom w:val="single" w:sz="8" w:space="0" w:color="A1A1A1" w:themeColor="accent4"/>
          <w:right w:val="single" w:sz="8" w:space="0" w:color="A1A1A1" w:themeColor="accent4"/>
          <w:insideH w:val="nil"/>
          <w:insideV w:val="single" w:sz="8" w:space="0" w:color="A1A1A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A1A1" w:themeColor="accent4"/>
          <w:left w:val="single" w:sz="8" w:space="0" w:color="A1A1A1" w:themeColor="accent4"/>
          <w:bottom w:val="single" w:sz="8" w:space="0" w:color="A1A1A1" w:themeColor="accent4"/>
          <w:right w:val="single" w:sz="8" w:space="0" w:color="A1A1A1" w:themeColor="accent4"/>
        </w:tcBorders>
      </w:tcPr>
    </w:tblStylePr>
    <w:tblStylePr w:type="band1Vert">
      <w:tblPr/>
      <w:tcPr>
        <w:tcBorders>
          <w:top w:val="single" w:sz="8" w:space="0" w:color="A1A1A1" w:themeColor="accent4"/>
          <w:left w:val="single" w:sz="8" w:space="0" w:color="A1A1A1" w:themeColor="accent4"/>
          <w:bottom w:val="single" w:sz="8" w:space="0" w:color="A1A1A1" w:themeColor="accent4"/>
          <w:right w:val="single" w:sz="8" w:space="0" w:color="A1A1A1" w:themeColor="accent4"/>
        </w:tcBorders>
        <w:shd w:val="clear" w:color="auto" w:fill="E7E7E7" w:themeFill="accent4" w:themeFillTint="3F"/>
      </w:tcPr>
    </w:tblStylePr>
    <w:tblStylePr w:type="band1Horz">
      <w:tblPr/>
      <w:tcPr>
        <w:tcBorders>
          <w:top w:val="single" w:sz="8" w:space="0" w:color="A1A1A1" w:themeColor="accent4"/>
          <w:left w:val="single" w:sz="8" w:space="0" w:color="A1A1A1" w:themeColor="accent4"/>
          <w:bottom w:val="single" w:sz="8" w:space="0" w:color="A1A1A1" w:themeColor="accent4"/>
          <w:right w:val="single" w:sz="8" w:space="0" w:color="A1A1A1" w:themeColor="accent4"/>
          <w:insideV w:val="single" w:sz="8" w:space="0" w:color="A1A1A1" w:themeColor="accent4"/>
        </w:tcBorders>
        <w:shd w:val="clear" w:color="auto" w:fill="E7E7E7" w:themeFill="accent4" w:themeFillTint="3F"/>
      </w:tcPr>
    </w:tblStylePr>
    <w:tblStylePr w:type="band2Horz">
      <w:tblPr/>
      <w:tcPr>
        <w:tcBorders>
          <w:top w:val="single" w:sz="8" w:space="0" w:color="A1A1A1" w:themeColor="accent4"/>
          <w:left w:val="single" w:sz="8" w:space="0" w:color="A1A1A1" w:themeColor="accent4"/>
          <w:bottom w:val="single" w:sz="8" w:space="0" w:color="A1A1A1" w:themeColor="accent4"/>
          <w:right w:val="single" w:sz="8" w:space="0" w:color="A1A1A1" w:themeColor="accent4"/>
          <w:insideV w:val="single" w:sz="8" w:space="0" w:color="A1A1A1" w:themeColor="accent4"/>
        </w:tcBorders>
      </w:tcPr>
    </w:tblStylePr>
  </w:style>
  <w:style w:type="table" w:styleId="LightGrid-Accent5">
    <w:name w:val="Light Grid Accent 5"/>
    <w:basedOn w:val="TableNormal"/>
    <w:uiPriority w:val="98"/>
    <w:semiHidden/>
    <w:unhideWhenUsed/>
    <w:rsid w:val="001F6DC1"/>
    <w:tblPr>
      <w:tblStyleRowBandSize w:val="1"/>
      <w:tblStyleColBandSize w:val="1"/>
      <w:tblBorders>
        <w:top w:val="single" w:sz="8" w:space="0" w:color="63D0DF" w:themeColor="accent5"/>
        <w:left w:val="single" w:sz="8" w:space="0" w:color="63D0DF" w:themeColor="accent5"/>
        <w:bottom w:val="single" w:sz="8" w:space="0" w:color="63D0DF" w:themeColor="accent5"/>
        <w:right w:val="single" w:sz="8" w:space="0" w:color="63D0DF" w:themeColor="accent5"/>
        <w:insideH w:val="single" w:sz="8" w:space="0" w:color="63D0DF" w:themeColor="accent5"/>
        <w:insideV w:val="single" w:sz="8" w:space="0" w:color="63D0D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D0DF" w:themeColor="accent5"/>
          <w:left w:val="single" w:sz="8" w:space="0" w:color="63D0DF" w:themeColor="accent5"/>
          <w:bottom w:val="single" w:sz="18" w:space="0" w:color="63D0DF" w:themeColor="accent5"/>
          <w:right w:val="single" w:sz="8" w:space="0" w:color="63D0DF" w:themeColor="accent5"/>
          <w:insideH w:val="nil"/>
          <w:insideV w:val="single" w:sz="8" w:space="0" w:color="63D0D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D0DF" w:themeColor="accent5"/>
          <w:left w:val="single" w:sz="8" w:space="0" w:color="63D0DF" w:themeColor="accent5"/>
          <w:bottom w:val="single" w:sz="8" w:space="0" w:color="63D0DF" w:themeColor="accent5"/>
          <w:right w:val="single" w:sz="8" w:space="0" w:color="63D0DF" w:themeColor="accent5"/>
          <w:insideH w:val="nil"/>
          <w:insideV w:val="single" w:sz="8" w:space="0" w:color="63D0D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D0DF" w:themeColor="accent5"/>
          <w:left w:val="single" w:sz="8" w:space="0" w:color="63D0DF" w:themeColor="accent5"/>
          <w:bottom w:val="single" w:sz="8" w:space="0" w:color="63D0DF" w:themeColor="accent5"/>
          <w:right w:val="single" w:sz="8" w:space="0" w:color="63D0DF" w:themeColor="accent5"/>
        </w:tcBorders>
      </w:tcPr>
    </w:tblStylePr>
    <w:tblStylePr w:type="band1Vert">
      <w:tblPr/>
      <w:tcPr>
        <w:tcBorders>
          <w:top w:val="single" w:sz="8" w:space="0" w:color="63D0DF" w:themeColor="accent5"/>
          <w:left w:val="single" w:sz="8" w:space="0" w:color="63D0DF" w:themeColor="accent5"/>
          <w:bottom w:val="single" w:sz="8" w:space="0" w:color="63D0DF" w:themeColor="accent5"/>
          <w:right w:val="single" w:sz="8" w:space="0" w:color="63D0DF" w:themeColor="accent5"/>
        </w:tcBorders>
        <w:shd w:val="clear" w:color="auto" w:fill="D8F3F7" w:themeFill="accent5" w:themeFillTint="3F"/>
      </w:tcPr>
    </w:tblStylePr>
    <w:tblStylePr w:type="band1Horz">
      <w:tblPr/>
      <w:tcPr>
        <w:tcBorders>
          <w:top w:val="single" w:sz="8" w:space="0" w:color="63D0DF" w:themeColor="accent5"/>
          <w:left w:val="single" w:sz="8" w:space="0" w:color="63D0DF" w:themeColor="accent5"/>
          <w:bottom w:val="single" w:sz="8" w:space="0" w:color="63D0DF" w:themeColor="accent5"/>
          <w:right w:val="single" w:sz="8" w:space="0" w:color="63D0DF" w:themeColor="accent5"/>
          <w:insideV w:val="single" w:sz="8" w:space="0" w:color="63D0DF" w:themeColor="accent5"/>
        </w:tcBorders>
        <w:shd w:val="clear" w:color="auto" w:fill="D8F3F7" w:themeFill="accent5" w:themeFillTint="3F"/>
      </w:tcPr>
    </w:tblStylePr>
    <w:tblStylePr w:type="band2Horz">
      <w:tblPr/>
      <w:tcPr>
        <w:tcBorders>
          <w:top w:val="single" w:sz="8" w:space="0" w:color="63D0DF" w:themeColor="accent5"/>
          <w:left w:val="single" w:sz="8" w:space="0" w:color="63D0DF" w:themeColor="accent5"/>
          <w:bottom w:val="single" w:sz="8" w:space="0" w:color="63D0DF" w:themeColor="accent5"/>
          <w:right w:val="single" w:sz="8" w:space="0" w:color="63D0DF" w:themeColor="accent5"/>
          <w:insideV w:val="single" w:sz="8" w:space="0" w:color="63D0DF" w:themeColor="accent5"/>
        </w:tcBorders>
      </w:tcPr>
    </w:tblStylePr>
  </w:style>
  <w:style w:type="table" w:styleId="LightGrid-Accent6">
    <w:name w:val="Light Grid Accent 6"/>
    <w:basedOn w:val="TableNormal"/>
    <w:uiPriority w:val="98"/>
    <w:semiHidden/>
    <w:unhideWhenUsed/>
    <w:rsid w:val="001F6DC1"/>
    <w:tblPr>
      <w:tblStyleRowBandSize w:val="1"/>
      <w:tblStyleColBandSize w:val="1"/>
      <w:tblBorders>
        <w:top w:val="single" w:sz="8" w:space="0" w:color="A1A1A1" w:themeColor="accent6"/>
        <w:left w:val="single" w:sz="8" w:space="0" w:color="A1A1A1" w:themeColor="accent6"/>
        <w:bottom w:val="single" w:sz="8" w:space="0" w:color="A1A1A1" w:themeColor="accent6"/>
        <w:right w:val="single" w:sz="8" w:space="0" w:color="A1A1A1" w:themeColor="accent6"/>
        <w:insideH w:val="single" w:sz="8" w:space="0" w:color="A1A1A1" w:themeColor="accent6"/>
        <w:insideV w:val="single" w:sz="8" w:space="0" w:color="A1A1A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A1A1" w:themeColor="accent6"/>
          <w:left w:val="single" w:sz="8" w:space="0" w:color="A1A1A1" w:themeColor="accent6"/>
          <w:bottom w:val="single" w:sz="18" w:space="0" w:color="A1A1A1" w:themeColor="accent6"/>
          <w:right w:val="single" w:sz="8" w:space="0" w:color="A1A1A1" w:themeColor="accent6"/>
          <w:insideH w:val="nil"/>
          <w:insideV w:val="single" w:sz="8" w:space="0" w:color="A1A1A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A1A1" w:themeColor="accent6"/>
          <w:left w:val="single" w:sz="8" w:space="0" w:color="A1A1A1" w:themeColor="accent6"/>
          <w:bottom w:val="single" w:sz="8" w:space="0" w:color="A1A1A1" w:themeColor="accent6"/>
          <w:right w:val="single" w:sz="8" w:space="0" w:color="A1A1A1" w:themeColor="accent6"/>
          <w:insideH w:val="nil"/>
          <w:insideV w:val="single" w:sz="8" w:space="0" w:color="A1A1A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A1A1" w:themeColor="accent6"/>
          <w:left w:val="single" w:sz="8" w:space="0" w:color="A1A1A1" w:themeColor="accent6"/>
          <w:bottom w:val="single" w:sz="8" w:space="0" w:color="A1A1A1" w:themeColor="accent6"/>
          <w:right w:val="single" w:sz="8" w:space="0" w:color="A1A1A1" w:themeColor="accent6"/>
        </w:tcBorders>
      </w:tcPr>
    </w:tblStylePr>
    <w:tblStylePr w:type="band1Vert">
      <w:tblPr/>
      <w:tcPr>
        <w:tcBorders>
          <w:top w:val="single" w:sz="8" w:space="0" w:color="A1A1A1" w:themeColor="accent6"/>
          <w:left w:val="single" w:sz="8" w:space="0" w:color="A1A1A1" w:themeColor="accent6"/>
          <w:bottom w:val="single" w:sz="8" w:space="0" w:color="A1A1A1" w:themeColor="accent6"/>
          <w:right w:val="single" w:sz="8" w:space="0" w:color="A1A1A1" w:themeColor="accent6"/>
        </w:tcBorders>
        <w:shd w:val="clear" w:color="auto" w:fill="E7E7E7" w:themeFill="accent6" w:themeFillTint="3F"/>
      </w:tcPr>
    </w:tblStylePr>
    <w:tblStylePr w:type="band1Horz">
      <w:tblPr/>
      <w:tcPr>
        <w:tcBorders>
          <w:top w:val="single" w:sz="8" w:space="0" w:color="A1A1A1" w:themeColor="accent6"/>
          <w:left w:val="single" w:sz="8" w:space="0" w:color="A1A1A1" w:themeColor="accent6"/>
          <w:bottom w:val="single" w:sz="8" w:space="0" w:color="A1A1A1" w:themeColor="accent6"/>
          <w:right w:val="single" w:sz="8" w:space="0" w:color="A1A1A1" w:themeColor="accent6"/>
          <w:insideV w:val="single" w:sz="8" w:space="0" w:color="A1A1A1" w:themeColor="accent6"/>
        </w:tcBorders>
        <w:shd w:val="clear" w:color="auto" w:fill="E7E7E7" w:themeFill="accent6" w:themeFillTint="3F"/>
      </w:tcPr>
    </w:tblStylePr>
    <w:tblStylePr w:type="band2Horz">
      <w:tblPr/>
      <w:tcPr>
        <w:tcBorders>
          <w:top w:val="single" w:sz="8" w:space="0" w:color="A1A1A1" w:themeColor="accent6"/>
          <w:left w:val="single" w:sz="8" w:space="0" w:color="A1A1A1" w:themeColor="accent6"/>
          <w:bottom w:val="single" w:sz="8" w:space="0" w:color="A1A1A1" w:themeColor="accent6"/>
          <w:right w:val="single" w:sz="8" w:space="0" w:color="A1A1A1" w:themeColor="accent6"/>
          <w:insideV w:val="single" w:sz="8" w:space="0" w:color="A1A1A1" w:themeColor="accent6"/>
        </w:tcBorders>
      </w:tcPr>
    </w:tblStylePr>
  </w:style>
  <w:style w:type="table" w:styleId="LightList">
    <w:name w:val="Light List"/>
    <w:basedOn w:val="TableNormal"/>
    <w:uiPriority w:val="98"/>
    <w:semiHidden/>
    <w:unhideWhenUsed/>
    <w:rsid w:val="001F6D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semiHidden/>
    <w:unhideWhenUsed/>
    <w:rsid w:val="001F6DC1"/>
    <w:tblPr>
      <w:tblStyleRowBandSize w:val="1"/>
      <w:tblStyleColBandSize w:val="1"/>
      <w:tblBorders>
        <w:top w:val="single" w:sz="8" w:space="0" w:color="63D0DF" w:themeColor="accent1"/>
        <w:left w:val="single" w:sz="8" w:space="0" w:color="63D0DF" w:themeColor="accent1"/>
        <w:bottom w:val="single" w:sz="8" w:space="0" w:color="63D0DF" w:themeColor="accent1"/>
        <w:right w:val="single" w:sz="8" w:space="0" w:color="63D0DF" w:themeColor="accent1"/>
      </w:tblBorders>
    </w:tblPr>
    <w:tblStylePr w:type="firstRow">
      <w:pPr>
        <w:spacing w:before="0" w:after="0" w:line="240" w:lineRule="auto"/>
      </w:pPr>
      <w:rPr>
        <w:b/>
        <w:bCs/>
        <w:color w:val="FFFFFF" w:themeColor="background1"/>
      </w:rPr>
      <w:tblPr/>
      <w:tcPr>
        <w:shd w:val="clear" w:color="auto" w:fill="63D0DF" w:themeFill="accent1"/>
      </w:tcPr>
    </w:tblStylePr>
    <w:tblStylePr w:type="lastRow">
      <w:pPr>
        <w:spacing w:before="0" w:after="0" w:line="240" w:lineRule="auto"/>
      </w:pPr>
      <w:rPr>
        <w:b/>
        <w:bCs/>
      </w:rPr>
      <w:tblPr/>
      <w:tcPr>
        <w:tcBorders>
          <w:top w:val="double" w:sz="6" w:space="0" w:color="63D0DF" w:themeColor="accent1"/>
          <w:left w:val="single" w:sz="8" w:space="0" w:color="63D0DF" w:themeColor="accent1"/>
          <w:bottom w:val="single" w:sz="8" w:space="0" w:color="63D0DF" w:themeColor="accent1"/>
          <w:right w:val="single" w:sz="8" w:space="0" w:color="63D0DF" w:themeColor="accent1"/>
        </w:tcBorders>
      </w:tcPr>
    </w:tblStylePr>
    <w:tblStylePr w:type="firstCol">
      <w:rPr>
        <w:b/>
        <w:bCs/>
      </w:rPr>
    </w:tblStylePr>
    <w:tblStylePr w:type="lastCol">
      <w:rPr>
        <w:b/>
        <w:bCs/>
      </w:rPr>
    </w:tblStylePr>
    <w:tblStylePr w:type="band1Vert">
      <w:tblPr/>
      <w:tcPr>
        <w:tcBorders>
          <w:top w:val="single" w:sz="8" w:space="0" w:color="63D0DF" w:themeColor="accent1"/>
          <w:left w:val="single" w:sz="8" w:space="0" w:color="63D0DF" w:themeColor="accent1"/>
          <w:bottom w:val="single" w:sz="8" w:space="0" w:color="63D0DF" w:themeColor="accent1"/>
          <w:right w:val="single" w:sz="8" w:space="0" w:color="63D0DF" w:themeColor="accent1"/>
        </w:tcBorders>
      </w:tcPr>
    </w:tblStylePr>
    <w:tblStylePr w:type="band1Horz">
      <w:tblPr/>
      <w:tcPr>
        <w:tcBorders>
          <w:top w:val="single" w:sz="8" w:space="0" w:color="63D0DF" w:themeColor="accent1"/>
          <w:left w:val="single" w:sz="8" w:space="0" w:color="63D0DF" w:themeColor="accent1"/>
          <w:bottom w:val="single" w:sz="8" w:space="0" w:color="63D0DF" w:themeColor="accent1"/>
          <w:right w:val="single" w:sz="8" w:space="0" w:color="63D0DF" w:themeColor="accent1"/>
        </w:tcBorders>
      </w:tcPr>
    </w:tblStylePr>
  </w:style>
  <w:style w:type="table" w:styleId="LightList-Accent2">
    <w:name w:val="Light List Accent 2"/>
    <w:basedOn w:val="TableNormal"/>
    <w:uiPriority w:val="98"/>
    <w:semiHidden/>
    <w:unhideWhenUsed/>
    <w:rsid w:val="001F6DC1"/>
    <w:tblPr>
      <w:tblStyleRowBandSize w:val="1"/>
      <w:tblStyleColBandSize w:val="1"/>
      <w:tblBorders>
        <w:top w:val="single" w:sz="8" w:space="0" w:color="C9C9CA" w:themeColor="accent2"/>
        <w:left w:val="single" w:sz="8" w:space="0" w:color="C9C9CA" w:themeColor="accent2"/>
        <w:bottom w:val="single" w:sz="8" w:space="0" w:color="C9C9CA" w:themeColor="accent2"/>
        <w:right w:val="single" w:sz="8" w:space="0" w:color="C9C9CA" w:themeColor="accent2"/>
      </w:tblBorders>
    </w:tblPr>
    <w:tblStylePr w:type="firstRow">
      <w:pPr>
        <w:spacing w:before="0" w:after="0" w:line="240" w:lineRule="auto"/>
      </w:pPr>
      <w:rPr>
        <w:b/>
        <w:bCs/>
        <w:color w:val="FFFFFF" w:themeColor="background1"/>
      </w:rPr>
      <w:tblPr/>
      <w:tcPr>
        <w:shd w:val="clear" w:color="auto" w:fill="C9C9CA" w:themeFill="accent2"/>
      </w:tcPr>
    </w:tblStylePr>
    <w:tblStylePr w:type="lastRow">
      <w:pPr>
        <w:spacing w:before="0" w:after="0" w:line="240" w:lineRule="auto"/>
      </w:pPr>
      <w:rPr>
        <w:b/>
        <w:bCs/>
      </w:rPr>
      <w:tblPr/>
      <w:tcPr>
        <w:tcBorders>
          <w:top w:val="double" w:sz="6" w:space="0" w:color="C9C9CA" w:themeColor="accent2"/>
          <w:left w:val="single" w:sz="8" w:space="0" w:color="C9C9CA" w:themeColor="accent2"/>
          <w:bottom w:val="single" w:sz="8" w:space="0" w:color="C9C9CA" w:themeColor="accent2"/>
          <w:right w:val="single" w:sz="8" w:space="0" w:color="C9C9CA" w:themeColor="accent2"/>
        </w:tcBorders>
      </w:tcPr>
    </w:tblStylePr>
    <w:tblStylePr w:type="firstCol">
      <w:rPr>
        <w:b/>
        <w:bCs/>
      </w:rPr>
    </w:tblStylePr>
    <w:tblStylePr w:type="lastCol">
      <w:rPr>
        <w:b/>
        <w:bCs/>
      </w:rPr>
    </w:tblStylePr>
    <w:tblStylePr w:type="band1Vert">
      <w:tblPr/>
      <w:tcPr>
        <w:tcBorders>
          <w:top w:val="single" w:sz="8" w:space="0" w:color="C9C9CA" w:themeColor="accent2"/>
          <w:left w:val="single" w:sz="8" w:space="0" w:color="C9C9CA" w:themeColor="accent2"/>
          <w:bottom w:val="single" w:sz="8" w:space="0" w:color="C9C9CA" w:themeColor="accent2"/>
          <w:right w:val="single" w:sz="8" w:space="0" w:color="C9C9CA" w:themeColor="accent2"/>
        </w:tcBorders>
      </w:tcPr>
    </w:tblStylePr>
    <w:tblStylePr w:type="band1Horz">
      <w:tblPr/>
      <w:tcPr>
        <w:tcBorders>
          <w:top w:val="single" w:sz="8" w:space="0" w:color="C9C9CA" w:themeColor="accent2"/>
          <w:left w:val="single" w:sz="8" w:space="0" w:color="C9C9CA" w:themeColor="accent2"/>
          <w:bottom w:val="single" w:sz="8" w:space="0" w:color="C9C9CA" w:themeColor="accent2"/>
          <w:right w:val="single" w:sz="8" w:space="0" w:color="C9C9CA" w:themeColor="accent2"/>
        </w:tcBorders>
      </w:tcPr>
    </w:tblStylePr>
  </w:style>
  <w:style w:type="table" w:styleId="LightList-Accent3">
    <w:name w:val="Light List Accent 3"/>
    <w:basedOn w:val="TableNormal"/>
    <w:uiPriority w:val="98"/>
    <w:semiHidden/>
    <w:unhideWhenUsed/>
    <w:rsid w:val="001F6DC1"/>
    <w:tblPr>
      <w:tblStyleRowBandSize w:val="1"/>
      <w:tblStyleColBandSize w:val="1"/>
      <w:tblBorders>
        <w:top w:val="single" w:sz="8" w:space="0" w:color="63D0DF" w:themeColor="accent3"/>
        <w:left w:val="single" w:sz="8" w:space="0" w:color="63D0DF" w:themeColor="accent3"/>
        <w:bottom w:val="single" w:sz="8" w:space="0" w:color="63D0DF" w:themeColor="accent3"/>
        <w:right w:val="single" w:sz="8" w:space="0" w:color="63D0DF" w:themeColor="accent3"/>
      </w:tblBorders>
    </w:tblPr>
    <w:tblStylePr w:type="firstRow">
      <w:pPr>
        <w:spacing w:before="0" w:after="0" w:line="240" w:lineRule="auto"/>
      </w:pPr>
      <w:rPr>
        <w:b/>
        <w:bCs/>
        <w:color w:val="FFFFFF" w:themeColor="background1"/>
      </w:rPr>
      <w:tblPr/>
      <w:tcPr>
        <w:shd w:val="clear" w:color="auto" w:fill="63D0DF" w:themeFill="accent3"/>
      </w:tcPr>
    </w:tblStylePr>
    <w:tblStylePr w:type="lastRow">
      <w:pPr>
        <w:spacing w:before="0" w:after="0" w:line="240" w:lineRule="auto"/>
      </w:pPr>
      <w:rPr>
        <w:b/>
        <w:bCs/>
      </w:rPr>
      <w:tblPr/>
      <w:tcPr>
        <w:tcBorders>
          <w:top w:val="double" w:sz="6" w:space="0" w:color="63D0DF" w:themeColor="accent3"/>
          <w:left w:val="single" w:sz="8" w:space="0" w:color="63D0DF" w:themeColor="accent3"/>
          <w:bottom w:val="single" w:sz="8" w:space="0" w:color="63D0DF" w:themeColor="accent3"/>
          <w:right w:val="single" w:sz="8" w:space="0" w:color="63D0DF" w:themeColor="accent3"/>
        </w:tcBorders>
      </w:tcPr>
    </w:tblStylePr>
    <w:tblStylePr w:type="firstCol">
      <w:rPr>
        <w:b/>
        <w:bCs/>
      </w:rPr>
    </w:tblStylePr>
    <w:tblStylePr w:type="lastCol">
      <w:rPr>
        <w:b/>
        <w:bCs/>
      </w:rPr>
    </w:tblStylePr>
    <w:tblStylePr w:type="band1Vert">
      <w:tblPr/>
      <w:tcPr>
        <w:tcBorders>
          <w:top w:val="single" w:sz="8" w:space="0" w:color="63D0DF" w:themeColor="accent3"/>
          <w:left w:val="single" w:sz="8" w:space="0" w:color="63D0DF" w:themeColor="accent3"/>
          <w:bottom w:val="single" w:sz="8" w:space="0" w:color="63D0DF" w:themeColor="accent3"/>
          <w:right w:val="single" w:sz="8" w:space="0" w:color="63D0DF" w:themeColor="accent3"/>
        </w:tcBorders>
      </w:tcPr>
    </w:tblStylePr>
    <w:tblStylePr w:type="band1Horz">
      <w:tblPr/>
      <w:tcPr>
        <w:tcBorders>
          <w:top w:val="single" w:sz="8" w:space="0" w:color="63D0DF" w:themeColor="accent3"/>
          <w:left w:val="single" w:sz="8" w:space="0" w:color="63D0DF" w:themeColor="accent3"/>
          <w:bottom w:val="single" w:sz="8" w:space="0" w:color="63D0DF" w:themeColor="accent3"/>
          <w:right w:val="single" w:sz="8" w:space="0" w:color="63D0DF" w:themeColor="accent3"/>
        </w:tcBorders>
      </w:tcPr>
    </w:tblStylePr>
  </w:style>
  <w:style w:type="table" w:styleId="LightList-Accent4">
    <w:name w:val="Light List Accent 4"/>
    <w:basedOn w:val="TableNormal"/>
    <w:uiPriority w:val="98"/>
    <w:semiHidden/>
    <w:unhideWhenUsed/>
    <w:rsid w:val="001F6DC1"/>
    <w:tblPr>
      <w:tblStyleRowBandSize w:val="1"/>
      <w:tblStyleColBandSize w:val="1"/>
      <w:tblBorders>
        <w:top w:val="single" w:sz="8" w:space="0" w:color="A1A1A1" w:themeColor="accent4"/>
        <w:left w:val="single" w:sz="8" w:space="0" w:color="A1A1A1" w:themeColor="accent4"/>
        <w:bottom w:val="single" w:sz="8" w:space="0" w:color="A1A1A1" w:themeColor="accent4"/>
        <w:right w:val="single" w:sz="8" w:space="0" w:color="A1A1A1" w:themeColor="accent4"/>
      </w:tblBorders>
    </w:tblPr>
    <w:tblStylePr w:type="firstRow">
      <w:pPr>
        <w:spacing w:before="0" w:after="0" w:line="240" w:lineRule="auto"/>
      </w:pPr>
      <w:rPr>
        <w:b/>
        <w:bCs/>
        <w:color w:val="FFFFFF" w:themeColor="background1"/>
      </w:rPr>
      <w:tblPr/>
      <w:tcPr>
        <w:shd w:val="clear" w:color="auto" w:fill="A1A1A1" w:themeFill="accent4"/>
      </w:tcPr>
    </w:tblStylePr>
    <w:tblStylePr w:type="lastRow">
      <w:pPr>
        <w:spacing w:before="0" w:after="0" w:line="240" w:lineRule="auto"/>
      </w:pPr>
      <w:rPr>
        <w:b/>
        <w:bCs/>
      </w:rPr>
      <w:tblPr/>
      <w:tcPr>
        <w:tcBorders>
          <w:top w:val="double" w:sz="6" w:space="0" w:color="A1A1A1" w:themeColor="accent4"/>
          <w:left w:val="single" w:sz="8" w:space="0" w:color="A1A1A1" w:themeColor="accent4"/>
          <w:bottom w:val="single" w:sz="8" w:space="0" w:color="A1A1A1" w:themeColor="accent4"/>
          <w:right w:val="single" w:sz="8" w:space="0" w:color="A1A1A1" w:themeColor="accent4"/>
        </w:tcBorders>
      </w:tcPr>
    </w:tblStylePr>
    <w:tblStylePr w:type="firstCol">
      <w:rPr>
        <w:b/>
        <w:bCs/>
      </w:rPr>
    </w:tblStylePr>
    <w:tblStylePr w:type="lastCol">
      <w:rPr>
        <w:b/>
        <w:bCs/>
      </w:rPr>
    </w:tblStylePr>
    <w:tblStylePr w:type="band1Vert">
      <w:tblPr/>
      <w:tcPr>
        <w:tcBorders>
          <w:top w:val="single" w:sz="8" w:space="0" w:color="A1A1A1" w:themeColor="accent4"/>
          <w:left w:val="single" w:sz="8" w:space="0" w:color="A1A1A1" w:themeColor="accent4"/>
          <w:bottom w:val="single" w:sz="8" w:space="0" w:color="A1A1A1" w:themeColor="accent4"/>
          <w:right w:val="single" w:sz="8" w:space="0" w:color="A1A1A1" w:themeColor="accent4"/>
        </w:tcBorders>
      </w:tcPr>
    </w:tblStylePr>
    <w:tblStylePr w:type="band1Horz">
      <w:tblPr/>
      <w:tcPr>
        <w:tcBorders>
          <w:top w:val="single" w:sz="8" w:space="0" w:color="A1A1A1" w:themeColor="accent4"/>
          <w:left w:val="single" w:sz="8" w:space="0" w:color="A1A1A1" w:themeColor="accent4"/>
          <w:bottom w:val="single" w:sz="8" w:space="0" w:color="A1A1A1" w:themeColor="accent4"/>
          <w:right w:val="single" w:sz="8" w:space="0" w:color="A1A1A1" w:themeColor="accent4"/>
        </w:tcBorders>
      </w:tcPr>
    </w:tblStylePr>
  </w:style>
  <w:style w:type="table" w:styleId="LightList-Accent5">
    <w:name w:val="Light List Accent 5"/>
    <w:basedOn w:val="TableNormal"/>
    <w:uiPriority w:val="98"/>
    <w:semiHidden/>
    <w:unhideWhenUsed/>
    <w:rsid w:val="001F6DC1"/>
    <w:tblPr>
      <w:tblStyleRowBandSize w:val="1"/>
      <w:tblStyleColBandSize w:val="1"/>
      <w:tblBorders>
        <w:top w:val="single" w:sz="8" w:space="0" w:color="63D0DF" w:themeColor="accent5"/>
        <w:left w:val="single" w:sz="8" w:space="0" w:color="63D0DF" w:themeColor="accent5"/>
        <w:bottom w:val="single" w:sz="8" w:space="0" w:color="63D0DF" w:themeColor="accent5"/>
        <w:right w:val="single" w:sz="8" w:space="0" w:color="63D0DF" w:themeColor="accent5"/>
      </w:tblBorders>
    </w:tblPr>
    <w:tblStylePr w:type="firstRow">
      <w:pPr>
        <w:spacing w:before="0" w:after="0" w:line="240" w:lineRule="auto"/>
      </w:pPr>
      <w:rPr>
        <w:b/>
        <w:bCs/>
        <w:color w:val="FFFFFF" w:themeColor="background1"/>
      </w:rPr>
      <w:tblPr/>
      <w:tcPr>
        <w:shd w:val="clear" w:color="auto" w:fill="63D0DF" w:themeFill="accent5"/>
      </w:tcPr>
    </w:tblStylePr>
    <w:tblStylePr w:type="lastRow">
      <w:pPr>
        <w:spacing w:before="0" w:after="0" w:line="240" w:lineRule="auto"/>
      </w:pPr>
      <w:rPr>
        <w:b/>
        <w:bCs/>
      </w:rPr>
      <w:tblPr/>
      <w:tcPr>
        <w:tcBorders>
          <w:top w:val="double" w:sz="6" w:space="0" w:color="63D0DF" w:themeColor="accent5"/>
          <w:left w:val="single" w:sz="8" w:space="0" w:color="63D0DF" w:themeColor="accent5"/>
          <w:bottom w:val="single" w:sz="8" w:space="0" w:color="63D0DF" w:themeColor="accent5"/>
          <w:right w:val="single" w:sz="8" w:space="0" w:color="63D0DF" w:themeColor="accent5"/>
        </w:tcBorders>
      </w:tcPr>
    </w:tblStylePr>
    <w:tblStylePr w:type="firstCol">
      <w:rPr>
        <w:b/>
        <w:bCs/>
      </w:rPr>
    </w:tblStylePr>
    <w:tblStylePr w:type="lastCol">
      <w:rPr>
        <w:b/>
        <w:bCs/>
      </w:rPr>
    </w:tblStylePr>
    <w:tblStylePr w:type="band1Vert">
      <w:tblPr/>
      <w:tcPr>
        <w:tcBorders>
          <w:top w:val="single" w:sz="8" w:space="0" w:color="63D0DF" w:themeColor="accent5"/>
          <w:left w:val="single" w:sz="8" w:space="0" w:color="63D0DF" w:themeColor="accent5"/>
          <w:bottom w:val="single" w:sz="8" w:space="0" w:color="63D0DF" w:themeColor="accent5"/>
          <w:right w:val="single" w:sz="8" w:space="0" w:color="63D0DF" w:themeColor="accent5"/>
        </w:tcBorders>
      </w:tcPr>
    </w:tblStylePr>
    <w:tblStylePr w:type="band1Horz">
      <w:tblPr/>
      <w:tcPr>
        <w:tcBorders>
          <w:top w:val="single" w:sz="8" w:space="0" w:color="63D0DF" w:themeColor="accent5"/>
          <w:left w:val="single" w:sz="8" w:space="0" w:color="63D0DF" w:themeColor="accent5"/>
          <w:bottom w:val="single" w:sz="8" w:space="0" w:color="63D0DF" w:themeColor="accent5"/>
          <w:right w:val="single" w:sz="8" w:space="0" w:color="63D0DF" w:themeColor="accent5"/>
        </w:tcBorders>
      </w:tcPr>
    </w:tblStylePr>
  </w:style>
  <w:style w:type="table" w:styleId="LightList-Accent6">
    <w:name w:val="Light List Accent 6"/>
    <w:basedOn w:val="TableNormal"/>
    <w:uiPriority w:val="98"/>
    <w:semiHidden/>
    <w:unhideWhenUsed/>
    <w:rsid w:val="001F6DC1"/>
    <w:tblPr>
      <w:tblStyleRowBandSize w:val="1"/>
      <w:tblStyleColBandSize w:val="1"/>
      <w:tblBorders>
        <w:top w:val="single" w:sz="8" w:space="0" w:color="A1A1A1" w:themeColor="accent6"/>
        <w:left w:val="single" w:sz="8" w:space="0" w:color="A1A1A1" w:themeColor="accent6"/>
        <w:bottom w:val="single" w:sz="8" w:space="0" w:color="A1A1A1" w:themeColor="accent6"/>
        <w:right w:val="single" w:sz="8" w:space="0" w:color="A1A1A1" w:themeColor="accent6"/>
      </w:tblBorders>
    </w:tblPr>
    <w:tblStylePr w:type="firstRow">
      <w:pPr>
        <w:spacing w:before="0" w:after="0" w:line="240" w:lineRule="auto"/>
      </w:pPr>
      <w:rPr>
        <w:b/>
        <w:bCs/>
        <w:color w:val="FFFFFF" w:themeColor="background1"/>
      </w:rPr>
      <w:tblPr/>
      <w:tcPr>
        <w:shd w:val="clear" w:color="auto" w:fill="A1A1A1" w:themeFill="accent6"/>
      </w:tcPr>
    </w:tblStylePr>
    <w:tblStylePr w:type="lastRow">
      <w:pPr>
        <w:spacing w:before="0" w:after="0" w:line="240" w:lineRule="auto"/>
      </w:pPr>
      <w:rPr>
        <w:b/>
        <w:bCs/>
      </w:rPr>
      <w:tblPr/>
      <w:tcPr>
        <w:tcBorders>
          <w:top w:val="double" w:sz="6" w:space="0" w:color="A1A1A1" w:themeColor="accent6"/>
          <w:left w:val="single" w:sz="8" w:space="0" w:color="A1A1A1" w:themeColor="accent6"/>
          <w:bottom w:val="single" w:sz="8" w:space="0" w:color="A1A1A1" w:themeColor="accent6"/>
          <w:right w:val="single" w:sz="8" w:space="0" w:color="A1A1A1" w:themeColor="accent6"/>
        </w:tcBorders>
      </w:tcPr>
    </w:tblStylePr>
    <w:tblStylePr w:type="firstCol">
      <w:rPr>
        <w:b/>
        <w:bCs/>
      </w:rPr>
    </w:tblStylePr>
    <w:tblStylePr w:type="lastCol">
      <w:rPr>
        <w:b/>
        <w:bCs/>
      </w:rPr>
    </w:tblStylePr>
    <w:tblStylePr w:type="band1Vert">
      <w:tblPr/>
      <w:tcPr>
        <w:tcBorders>
          <w:top w:val="single" w:sz="8" w:space="0" w:color="A1A1A1" w:themeColor="accent6"/>
          <w:left w:val="single" w:sz="8" w:space="0" w:color="A1A1A1" w:themeColor="accent6"/>
          <w:bottom w:val="single" w:sz="8" w:space="0" w:color="A1A1A1" w:themeColor="accent6"/>
          <w:right w:val="single" w:sz="8" w:space="0" w:color="A1A1A1" w:themeColor="accent6"/>
        </w:tcBorders>
      </w:tcPr>
    </w:tblStylePr>
    <w:tblStylePr w:type="band1Horz">
      <w:tblPr/>
      <w:tcPr>
        <w:tcBorders>
          <w:top w:val="single" w:sz="8" w:space="0" w:color="A1A1A1" w:themeColor="accent6"/>
          <w:left w:val="single" w:sz="8" w:space="0" w:color="A1A1A1" w:themeColor="accent6"/>
          <w:bottom w:val="single" w:sz="8" w:space="0" w:color="A1A1A1" w:themeColor="accent6"/>
          <w:right w:val="single" w:sz="8" w:space="0" w:color="A1A1A1" w:themeColor="accent6"/>
        </w:tcBorders>
      </w:tcPr>
    </w:tblStylePr>
  </w:style>
  <w:style w:type="table" w:styleId="LightShading">
    <w:name w:val="Light Shading"/>
    <w:basedOn w:val="TableNormal"/>
    <w:uiPriority w:val="98"/>
    <w:semiHidden/>
    <w:unhideWhenUsed/>
    <w:rsid w:val="001F6D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semiHidden/>
    <w:unhideWhenUsed/>
    <w:rsid w:val="001F6DC1"/>
    <w:rPr>
      <w:color w:val="29B4C7" w:themeColor="accent1" w:themeShade="BF"/>
    </w:rPr>
    <w:tblPr>
      <w:tblStyleRowBandSize w:val="1"/>
      <w:tblStyleColBandSize w:val="1"/>
      <w:tblBorders>
        <w:top w:val="single" w:sz="8" w:space="0" w:color="63D0DF" w:themeColor="accent1"/>
        <w:bottom w:val="single" w:sz="8" w:space="0" w:color="63D0DF" w:themeColor="accent1"/>
      </w:tblBorders>
    </w:tblPr>
    <w:tblStylePr w:type="firstRow">
      <w:pPr>
        <w:spacing w:before="0" w:after="0" w:line="240" w:lineRule="auto"/>
      </w:pPr>
      <w:rPr>
        <w:b/>
        <w:bCs/>
      </w:rPr>
      <w:tblPr/>
      <w:tcPr>
        <w:tcBorders>
          <w:top w:val="single" w:sz="8" w:space="0" w:color="63D0DF" w:themeColor="accent1"/>
          <w:left w:val="nil"/>
          <w:bottom w:val="single" w:sz="8" w:space="0" w:color="63D0DF" w:themeColor="accent1"/>
          <w:right w:val="nil"/>
          <w:insideH w:val="nil"/>
          <w:insideV w:val="nil"/>
        </w:tcBorders>
      </w:tcPr>
    </w:tblStylePr>
    <w:tblStylePr w:type="lastRow">
      <w:pPr>
        <w:spacing w:before="0" w:after="0" w:line="240" w:lineRule="auto"/>
      </w:pPr>
      <w:rPr>
        <w:b/>
        <w:bCs/>
      </w:rPr>
      <w:tblPr/>
      <w:tcPr>
        <w:tcBorders>
          <w:top w:val="single" w:sz="8" w:space="0" w:color="63D0DF" w:themeColor="accent1"/>
          <w:left w:val="nil"/>
          <w:bottom w:val="single" w:sz="8" w:space="0" w:color="63D0D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3F7" w:themeFill="accent1" w:themeFillTint="3F"/>
      </w:tcPr>
    </w:tblStylePr>
    <w:tblStylePr w:type="band1Horz">
      <w:tblPr/>
      <w:tcPr>
        <w:tcBorders>
          <w:left w:val="nil"/>
          <w:right w:val="nil"/>
          <w:insideH w:val="nil"/>
          <w:insideV w:val="nil"/>
        </w:tcBorders>
        <w:shd w:val="clear" w:color="auto" w:fill="D8F3F7" w:themeFill="accent1" w:themeFillTint="3F"/>
      </w:tcPr>
    </w:tblStylePr>
  </w:style>
  <w:style w:type="table" w:styleId="LightShading-Accent2">
    <w:name w:val="Light Shading Accent 2"/>
    <w:basedOn w:val="TableNormal"/>
    <w:uiPriority w:val="98"/>
    <w:semiHidden/>
    <w:unhideWhenUsed/>
    <w:rsid w:val="001F6DC1"/>
    <w:rPr>
      <w:color w:val="959597" w:themeColor="accent2" w:themeShade="BF"/>
    </w:rPr>
    <w:tblPr>
      <w:tblStyleRowBandSize w:val="1"/>
      <w:tblStyleColBandSize w:val="1"/>
      <w:tblBorders>
        <w:top w:val="single" w:sz="8" w:space="0" w:color="C9C9CA" w:themeColor="accent2"/>
        <w:bottom w:val="single" w:sz="8" w:space="0" w:color="C9C9CA" w:themeColor="accent2"/>
      </w:tblBorders>
    </w:tblPr>
    <w:tblStylePr w:type="firstRow">
      <w:pPr>
        <w:spacing w:before="0" w:after="0" w:line="240" w:lineRule="auto"/>
      </w:pPr>
      <w:rPr>
        <w:b/>
        <w:bCs/>
      </w:rPr>
      <w:tblPr/>
      <w:tcPr>
        <w:tcBorders>
          <w:top w:val="single" w:sz="8" w:space="0" w:color="C9C9CA" w:themeColor="accent2"/>
          <w:left w:val="nil"/>
          <w:bottom w:val="single" w:sz="8" w:space="0" w:color="C9C9CA" w:themeColor="accent2"/>
          <w:right w:val="nil"/>
          <w:insideH w:val="nil"/>
          <w:insideV w:val="nil"/>
        </w:tcBorders>
      </w:tcPr>
    </w:tblStylePr>
    <w:tblStylePr w:type="lastRow">
      <w:pPr>
        <w:spacing w:before="0" w:after="0" w:line="240" w:lineRule="auto"/>
      </w:pPr>
      <w:rPr>
        <w:b/>
        <w:bCs/>
      </w:rPr>
      <w:tblPr/>
      <w:tcPr>
        <w:tcBorders>
          <w:top w:val="single" w:sz="8" w:space="0" w:color="C9C9CA" w:themeColor="accent2"/>
          <w:left w:val="nil"/>
          <w:bottom w:val="single" w:sz="8" w:space="0" w:color="C9C9C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1F1" w:themeFill="accent2" w:themeFillTint="3F"/>
      </w:tcPr>
    </w:tblStylePr>
    <w:tblStylePr w:type="band1Horz">
      <w:tblPr/>
      <w:tcPr>
        <w:tcBorders>
          <w:left w:val="nil"/>
          <w:right w:val="nil"/>
          <w:insideH w:val="nil"/>
          <w:insideV w:val="nil"/>
        </w:tcBorders>
        <w:shd w:val="clear" w:color="auto" w:fill="F1F1F1" w:themeFill="accent2" w:themeFillTint="3F"/>
      </w:tcPr>
    </w:tblStylePr>
  </w:style>
  <w:style w:type="table" w:styleId="LightShading-Accent3">
    <w:name w:val="Light Shading Accent 3"/>
    <w:basedOn w:val="TableNormal"/>
    <w:uiPriority w:val="98"/>
    <w:semiHidden/>
    <w:unhideWhenUsed/>
    <w:rsid w:val="001F6DC1"/>
    <w:rPr>
      <w:color w:val="29B4C7" w:themeColor="accent3" w:themeShade="BF"/>
    </w:rPr>
    <w:tblPr>
      <w:tblStyleRowBandSize w:val="1"/>
      <w:tblStyleColBandSize w:val="1"/>
      <w:tblBorders>
        <w:top w:val="single" w:sz="8" w:space="0" w:color="63D0DF" w:themeColor="accent3"/>
        <w:bottom w:val="single" w:sz="8" w:space="0" w:color="63D0DF" w:themeColor="accent3"/>
      </w:tblBorders>
    </w:tblPr>
    <w:tblStylePr w:type="firstRow">
      <w:pPr>
        <w:spacing w:before="0" w:after="0" w:line="240" w:lineRule="auto"/>
      </w:pPr>
      <w:rPr>
        <w:b/>
        <w:bCs/>
      </w:rPr>
      <w:tblPr/>
      <w:tcPr>
        <w:tcBorders>
          <w:top w:val="single" w:sz="8" w:space="0" w:color="63D0DF" w:themeColor="accent3"/>
          <w:left w:val="nil"/>
          <w:bottom w:val="single" w:sz="8" w:space="0" w:color="63D0DF" w:themeColor="accent3"/>
          <w:right w:val="nil"/>
          <w:insideH w:val="nil"/>
          <w:insideV w:val="nil"/>
        </w:tcBorders>
      </w:tcPr>
    </w:tblStylePr>
    <w:tblStylePr w:type="lastRow">
      <w:pPr>
        <w:spacing w:before="0" w:after="0" w:line="240" w:lineRule="auto"/>
      </w:pPr>
      <w:rPr>
        <w:b/>
        <w:bCs/>
      </w:rPr>
      <w:tblPr/>
      <w:tcPr>
        <w:tcBorders>
          <w:top w:val="single" w:sz="8" w:space="0" w:color="63D0DF" w:themeColor="accent3"/>
          <w:left w:val="nil"/>
          <w:bottom w:val="single" w:sz="8" w:space="0" w:color="63D0D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3F7" w:themeFill="accent3" w:themeFillTint="3F"/>
      </w:tcPr>
    </w:tblStylePr>
    <w:tblStylePr w:type="band1Horz">
      <w:tblPr/>
      <w:tcPr>
        <w:tcBorders>
          <w:left w:val="nil"/>
          <w:right w:val="nil"/>
          <w:insideH w:val="nil"/>
          <w:insideV w:val="nil"/>
        </w:tcBorders>
        <w:shd w:val="clear" w:color="auto" w:fill="D8F3F7" w:themeFill="accent3" w:themeFillTint="3F"/>
      </w:tcPr>
    </w:tblStylePr>
  </w:style>
  <w:style w:type="table" w:styleId="LightShading-Accent4">
    <w:name w:val="Light Shading Accent 4"/>
    <w:basedOn w:val="TableNormal"/>
    <w:uiPriority w:val="98"/>
    <w:semiHidden/>
    <w:unhideWhenUsed/>
    <w:rsid w:val="001F6DC1"/>
    <w:rPr>
      <w:color w:val="787878" w:themeColor="accent4" w:themeShade="BF"/>
    </w:rPr>
    <w:tblPr>
      <w:tblStyleRowBandSize w:val="1"/>
      <w:tblStyleColBandSize w:val="1"/>
      <w:tblBorders>
        <w:top w:val="single" w:sz="8" w:space="0" w:color="A1A1A1" w:themeColor="accent4"/>
        <w:bottom w:val="single" w:sz="8" w:space="0" w:color="A1A1A1" w:themeColor="accent4"/>
      </w:tblBorders>
    </w:tblPr>
    <w:tblStylePr w:type="firstRow">
      <w:pPr>
        <w:spacing w:before="0" w:after="0" w:line="240" w:lineRule="auto"/>
      </w:pPr>
      <w:rPr>
        <w:b/>
        <w:bCs/>
      </w:rPr>
      <w:tblPr/>
      <w:tcPr>
        <w:tcBorders>
          <w:top w:val="single" w:sz="8" w:space="0" w:color="A1A1A1" w:themeColor="accent4"/>
          <w:left w:val="nil"/>
          <w:bottom w:val="single" w:sz="8" w:space="0" w:color="A1A1A1" w:themeColor="accent4"/>
          <w:right w:val="nil"/>
          <w:insideH w:val="nil"/>
          <w:insideV w:val="nil"/>
        </w:tcBorders>
      </w:tcPr>
    </w:tblStylePr>
    <w:tblStylePr w:type="lastRow">
      <w:pPr>
        <w:spacing w:before="0" w:after="0" w:line="240" w:lineRule="auto"/>
      </w:pPr>
      <w:rPr>
        <w:b/>
        <w:bCs/>
      </w:rPr>
      <w:tblPr/>
      <w:tcPr>
        <w:tcBorders>
          <w:top w:val="single" w:sz="8" w:space="0" w:color="A1A1A1" w:themeColor="accent4"/>
          <w:left w:val="nil"/>
          <w:bottom w:val="single" w:sz="8" w:space="0" w:color="A1A1A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7E7" w:themeFill="accent4" w:themeFillTint="3F"/>
      </w:tcPr>
    </w:tblStylePr>
    <w:tblStylePr w:type="band1Horz">
      <w:tblPr/>
      <w:tcPr>
        <w:tcBorders>
          <w:left w:val="nil"/>
          <w:right w:val="nil"/>
          <w:insideH w:val="nil"/>
          <w:insideV w:val="nil"/>
        </w:tcBorders>
        <w:shd w:val="clear" w:color="auto" w:fill="E7E7E7" w:themeFill="accent4" w:themeFillTint="3F"/>
      </w:tcPr>
    </w:tblStylePr>
  </w:style>
  <w:style w:type="table" w:styleId="LightShading-Accent5">
    <w:name w:val="Light Shading Accent 5"/>
    <w:basedOn w:val="TableNormal"/>
    <w:uiPriority w:val="98"/>
    <w:semiHidden/>
    <w:unhideWhenUsed/>
    <w:rsid w:val="001F6DC1"/>
    <w:rPr>
      <w:color w:val="29B4C7" w:themeColor="accent5" w:themeShade="BF"/>
    </w:rPr>
    <w:tblPr>
      <w:tblStyleRowBandSize w:val="1"/>
      <w:tblStyleColBandSize w:val="1"/>
      <w:tblBorders>
        <w:top w:val="single" w:sz="8" w:space="0" w:color="63D0DF" w:themeColor="accent5"/>
        <w:bottom w:val="single" w:sz="8" w:space="0" w:color="63D0DF" w:themeColor="accent5"/>
      </w:tblBorders>
    </w:tblPr>
    <w:tblStylePr w:type="firstRow">
      <w:pPr>
        <w:spacing w:before="0" w:after="0" w:line="240" w:lineRule="auto"/>
      </w:pPr>
      <w:rPr>
        <w:b/>
        <w:bCs/>
      </w:rPr>
      <w:tblPr/>
      <w:tcPr>
        <w:tcBorders>
          <w:top w:val="single" w:sz="8" w:space="0" w:color="63D0DF" w:themeColor="accent5"/>
          <w:left w:val="nil"/>
          <w:bottom w:val="single" w:sz="8" w:space="0" w:color="63D0DF" w:themeColor="accent5"/>
          <w:right w:val="nil"/>
          <w:insideH w:val="nil"/>
          <w:insideV w:val="nil"/>
        </w:tcBorders>
      </w:tcPr>
    </w:tblStylePr>
    <w:tblStylePr w:type="lastRow">
      <w:pPr>
        <w:spacing w:before="0" w:after="0" w:line="240" w:lineRule="auto"/>
      </w:pPr>
      <w:rPr>
        <w:b/>
        <w:bCs/>
      </w:rPr>
      <w:tblPr/>
      <w:tcPr>
        <w:tcBorders>
          <w:top w:val="single" w:sz="8" w:space="0" w:color="63D0DF" w:themeColor="accent5"/>
          <w:left w:val="nil"/>
          <w:bottom w:val="single" w:sz="8" w:space="0" w:color="63D0D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3F7" w:themeFill="accent5" w:themeFillTint="3F"/>
      </w:tcPr>
    </w:tblStylePr>
    <w:tblStylePr w:type="band1Horz">
      <w:tblPr/>
      <w:tcPr>
        <w:tcBorders>
          <w:left w:val="nil"/>
          <w:right w:val="nil"/>
          <w:insideH w:val="nil"/>
          <w:insideV w:val="nil"/>
        </w:tcBorders>
        <w:shd w:val="clear" w:color="auto" w:fill="D8F3F7" w:themeFill="accent5" w:themeFillTint="3F"/>
      </w:tcPr>
    </w:tblStylePr>
  </w:style>
  <w:style w:type="table" w:styleId="LightShading-Accent6">
    <w:name w:val="Light Shading Accent 6"/>
    <w:basedOn w:val="TableNormal"/>
    <w:uiPriority w:val="98"/>
    <w:semiHidden/>
    <w:unhideWhenUsed/>
    <w:rsid w:val="001F6DC1"/>
    <w:rPr>
      <w:color w:val="787878" w:themeColor="accent6" w:themeShade="BF"/>
    </w:rPr>
    <w:tblPr>
      <w:tblStyleRowBandSize w:val="1"/>
      <w:tblStyleColBandSize w:val="1"/>
      <w:tblBorders>
        <w:top w:val="single" w:sz="8" w:space="0" w:color="A1A1A1" w:themeColor="accent6"/>
        <w:bottom w:val="single" w:sz="8" w:space="0" w:color="A1A1A1" w:themeColor="accent6"/>
      </w:tblBorders>
    </w:tblPr>
    <w:tblStylePr w:type="firstRow">
      <w:pPr>
        <w:spacing w:before="0" w:after="0" w:line="240" w:lineRule="auto"/>
      </w:pPr>
      <w:rPr>
        <w:b/>
        <w:bCs/>
      </w:rPr>
      <w:tblPr/>
      <w:tcPr>
        <w:tcBorders>
          <w:top w:val="single" w:sz="8" w:space="0" w:color="A1A1A1" w:themeColor="accent6"/>
          <w:left w:val="nil"/>
          <w:bottom w:val="single" w:sz="8" w:space="0" w:color="A1A1A1" w:themeColor="accent6"/>
          <w:right w:val="nil"/>
          <w:insideH w:val="nil"/>
          <w:insideV w:val="nil"/>
        </w:tcBorders>
      </w:tcPr>
    </w:tblStylePr>
    <w:tblStylePr w:type="lastRow">
      <w:pPr>
        <w:spacing w:before="0" w:after="0" w:line="240" w:lineRule="auto"/>
      </w:pPr>
      <w:rPr>
        <w:b/>
        <w:bCs/>
      </w:rPr>
      <w:tblPr/>
      <w:tcPr>
        <w:tcBorders>
          <w:top w:val="single" w:sz="8" w:space="0" w:color="A1A1A1" w:themeColor="accent6"/>
          <w:left w:val="nil"/>
          <w:bottom w:val="single" w:sz="8" w:space="0" w:color="A1A1A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7E7" w:themeFill="accent6" w:themeFillTint="3F"/>
      </w:tcPr>
    </w:tblStylePr>
    <w:tblStylePr w:type="band1Horz">
      <w:tblPr/>
      <w:tcPr>
        <w:tcBorders>
          <w:left w:val="nil"/>
          <w:right w:val="nil"/>
          <w:insideH w:val="nil"/>
          <w:insideV w:val="nil"/>
        </w:tcBorders>
        <w:shd w:val="clear" w:color="auto" w:fill="E7E7E7" w:themeFill="accent6" w:themeFillTint="3F"/>
      </w:tcPr>
    </w:tblStylePr>
  </w:style>
  <w:style w:type="table" w:styleId="ListTable7Colorful-Accent6">
    <w:name w:val="List Table 7 Colorful Accent 6"/>
    <w:basedOn w:val="TableNormal"/>
    <w:uiPriority w:val="98"/>
    <w:semiHidden/>
    <w:rsid w:val="001F6DC1"/>
    <w:rPr>
      <w:color w:val="78787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A1A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A1A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A1A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A1A1" w:themeColor="accent6"/>
        </w:tcBorders>
        <w:shd w:val="clear" w:color="auto" w:fill="FFFFFF" w:themeFill="background1"/>
      </w:tcPr>
    </w:tblStylePr>
    <w:tblStylePr w:type="band1Vert">
      <w:tblPr/>
      <w:tcPr>
        <w:shd w:val="clear" w:color="auto" w:fill="ECECEC" w:themeFill="accent6" w:themeFillTint="33"/>
      </w:tcPr>
    </w:tblStylePr>
    <w:tblStylePr w:type="band1Horz">
      <w:tblPr/>
      <w:tcPr>
        <w:shd w:val="clear" w:color="auto" w:fill="ECECE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98"/>
    <w:semiHidden/>
    <w:unhideWhenUsed/>
    <w:rsid w:val="001F6DC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semiHidden/>
    <w:unhideWhenUsed/>
    <w:rsid w:val="001F6DC1"/>
    <w:tblPr>
      <w:tblStyleRowBandSize w:val="1"/>
      <w:tblStyleColBandSize w:val="1"/>
      <w:tblBorders>
        <w:top w:val="single" w:sz="8" w:space="0" w:color="8ADBE7" w:themeColor="accent1" w:themeTint="BF"/>
        <w:left w:val="single" w:sz="8" w:space="0" w:color="8ADBE7" w:themeColor="accent1" w:themeTint="BF"/>
        <w:bottom w:val="single" w:sz="8" w:space="0" w:color="8ADBE7" w:themeColor="accent1" w:themeTint="BF"/>
        <w:right w:val="single" w:sz="8" w:space="0" w:color="8ADBE7" w:themeColor="accent1" w:themeTint="BF"/>
        <w:insideH w:val="single" w:sz="8" w:space="0" w:color="8ADBE7" w:themeColor="accent1" w:themeTint="BF"/>
        <w:insideV w:val="single" w:sz="8" w:space="0" w:color="8ADBE7" w:themeColor="accent1" w:themeTint="BF"/>
      </w:tblBorders>
    </w:tblPr>
    <w:tcPr>
      <w:shd w:val="clear" w:color="auto" w:fill="D8F3F7" w:themeFill="accent1" w:themeFillTint="3F"/>
    </w:tcPr>
    <w:tblStylePr w:type="firstRow">
      <w:rPr>
        <w:b/>
        <w:bCs/>
      </w:rPr>
    </w:tblStylePr>
    <w:tblStylePr w:type="lastRow">
      <w:rPr>
        <w:b/>
        <w:bCs/>
      </w:rPr>
      <w:tblPr/>
      <w:tcPr>
        <w:tcBorders>
          <w:top w:val="single" w:sz="18" w:space="0" w:color="8ADBE7" w:themeColor="accent1" w:themeTint="BF"/>
        </w:tcBorders>
      </w:tcPr>
    </w:tblStylePr>
    <w:tblStylePr w:type="firstCol">
      <w:rPr>
        <w:b/>
        <w:bCs/>
      </w:rPr>
    </w:tblStylePr>
    <w:tblStylePr w:type="lastCol">
      <w:rPr>
        <w:b/>
        <w:bCs/>
      </w:rPr>
    </w:tblStylePr>
    <w:tblStylePr w:type="band1Vert">
      <w:tblPr/>
      <w:tcPr>
        <w:shd w:val="clear" w:color="auto" w:fill="B1E7EF" w:themeFill="accent1" w:themeFillTint="7F"/>
      </w:tcPr>
    </w:tblStylePr>
    <w:tblStylePr w:type="band1Horz">
      <w:tblPr/>
      <w:tcPr>
        <w:shd w:val="clear" w:color="auto" w:fill="B1E7EF" w:themeFill="accent1" w:themeFillTint="7F"/>
      </w:tcPr>
    </w:tblStylePr>
  </w:style>
  <w:style w:type="table" w:styleId="MediumGrid1-Accent2">
    <w:name w:val="Medium Grid 1 Accent 2"/>
    <w:basedOn w:val="TableNormal"/>
    <w:uiPriority w:val="98"/>
    <w:semiHidden/>
    <w:unhideWhenUsed/>
    <w:rsid w:val="001F6DC1"/>
    <w:tblPr>
      <w:tblStyleRowBandSize w:val="1"/>
      <w:tblStyleColBandSize w:val="1"/>
      <w:tblBorders>
        <w:top w:val="single" w:sz="8" w:space="0" w:color="D6D6D7" w:themeColor="accent2" w:themeTint="BF"/>
        <w:left w:val="single" w:sz="8" w:space="0" w:color="D6D6D7" w:themeColor="accent2" w:themeTint="BF"/>
        <w:bottom w:val="single" w:sz="8" w:space="0" w:color="D6D6D7" w:themeColor="accent2" w:themeTint="BF"/>
        <w:right w:val="single" w:sz="8" w:space="0" w:color="D6D6D7" w:themeColor="accent2" w:themeTint="BF"/>
        <w:insideH w:val="single" w:sz="8" w:space="0" w:color="D6D6D7" w:themeColor="accent2" w:themeTint="BF"/>
        <w:insideV w:val="single" w:sz="8" w:space="0" w:color="D6D6D7" w:themeColor="accent2" w:themeTint="BF"/>
      </w:tblBorders>
    </w:tblPr>
    <w:tcPr>
      <w:shd w:val="clear" w:color="auto" w:fill="F1F1F1" w:themeFill="accent2" w:themeFillTint="3F"/>
    </w:tcPr>
    <w:tblStylePr w:type="firstRow">
      <w:rPr>
        <w:b/>
        <w:bCs/>
      </w:rPr>
    </w:tblStylePr>
    <w:tblStylePr w:type="lastRow">
      <w:rPr>
        <w:b/>
        <w:bCs/>
      </w:rPr>
      <w:tblPr/>
      <w:tcPr>
        <w:tcBorders>
          <w:top w:val="single" w:sz="18" w:space="0" w:color="D6D6D7" w:themeColor="accent2" w:themeTint="BF"/>
        </w:tcBorders>
      </w:tcPr>
    </w:tblStylePr>
    <w:tblStylePr w:type="firstCol">
      <w:rPr>
        <w:b/>
        <w:bCs/>
      </w:rPr>
    </w:tblStylePr>
    <w:tblStylePr w:type="lastCol">
      <w:rPr>
        <w:b/>
        <w:bCs/>
      </w:rPr>
    </w:tblStylePr>
    <w:tblStylePr w:type="band1Vert">
      <w:tblPr/>
      <w:tcPr>
        <w:shd w:val="clear" w:color="auto" w:fill="E4E4E4" w:themeFill="accent2" w:themeFillTint="7F"/>
      </w:tcPr>
    </w:tblStylePr>
    <w:tblStylePr w:type="band1Horz">
      <w:tblPr/>
      <w:tcPr>
        <w:shd w:val="clear" w:color="auto" w:fill="E4E4E4" w:themeFill="accent2" w:themeFillTint="7F"/>
      </w:tcPr>
    </w:tblStylePr>
  </w:style>
  <w:style w:type="table" w:styleId="MediumGrid1-Accent3">
    <w:name w:val="Medium Grid 1 Accent 3"/>
    <w:basedOn w:val="TableNormal"/>
    <w:uiPriority w:val="98"/>
    <w:semiHidden/>
    <w:unhideWhenUsed/>
    <w:rsid w:val="001F6DC1"/>
    <w:tblPr>
      <w:tblStyleRowBandSize w:val="1"/>
      <w:tblStyleColBandSize w:val="1"/>
      <w:tblBorders>
        <w:top w:val="single" w:sz="8" w:space="0" w:color="8ADBE7" w:themeColor="accent3" w:themeTint="BF"/>
        <w:left w:val="single" w:sz="8" w:space="0" w:color="8ADBE7" w:themeColor="accent3" w:themeTint="BF"/>
        <w:bottom w:val="single" w:sz="8" w:space="0" w:color="8ADBE7" w:themeColor="accent3" w:themeTint="BF"/>
        <w:right w:val="single" w:sz="8" w:space="0" w:color="8ADBE7" w:themeColor="accent3" w:themeTint="BF"/>
        <w:insideH w:val="single" w:sz="8" w:space="0" w:color="8ADBE7" w:themeColor="accent3" w:themeTint="BF"/>
        <w:insideV w:val="single" w:sz="8" w:space="0" w:color="8ADBE7" w:themeColor="accent3" w:themeTint="BF"/>
      </w:tblBorders>
    </w:tblPr>
    <w:tcPr>
      <w:shd w:val="clear" w:color="auto" w:fill="D8F3F7" w:themeFill="accent3" w:themeFillTint="3F"/>
    </w:tcPr>
    <w:tblStylePr w:type="firstRow">
      <w:rPr>
        <w:b/>
        <w:bCs/>
      </w:rPr>
    </w:tblStylePr>
    <w:tblStylePr w:type="lastRow">
      <w:rPr>
        <w:b/>
        <w:bCs/>
      </w:rPr>
      <w:tblPr/>
      <w:tcPr>
        <w:tcBorders>
          <w:top w:val="single" w:sz="18" w:space="0" w:color="8ADBE7" w:themeColor="accent3" w:themeTint="BF"/>
        </w:tcBorders>
      </w:tcPr>
    </w:tblStylePr>
    <w:tblStylePr w:type="firstCol">
      <w:rPr>
        <w:b/>
        <w:bCs/>
      </w:rPr>
    </w:tblStylePr>
    <w:tblStylePr w:type="lastCol">
      <w:rPr>
        <w:b/>
        <w:bCs/>
      </w:rPr>
    </w:tblStylePr>
    <w:tblStylePr w:type="band1Vert">
      <w:tblPr/>
      <w:tcPr>
        <w:shd w:val="clear" w:color="auto" w:fill="B1E7EF" w:themeFill="accent3" w:themeFillTint="7F"/>
      </w:tcPr>
    </w:tblStylePr>
    <w:tblStylePr w:type="band1Horz">
      <w:tblPr/>
      <w:tcPr>
        <w:shd w:val="clear" w:color="auto" w:fill="B1E7EF" w:themeFill="accent3" w:themeFillTint="7F"/>
      </w:tcPr>
    </w:tblStylePr>
  </w:style>
  <w:style w:type="table" w:styleId="MediumGrid1-Accent4">
    <w:name w:val="Medium Grid 1 Accent 4"/>
    <w:basedOn w:val="TableNormal"/>
    <w:uiPriority w:val="98"/>
    <w:semiHidden/>
    <w:unhideWhenUsed/>
    <w:rsid w:val="001F6DC1"/>
    <w:tblPr>
      <w:tblStyleRowBandSize w:val="1"/>
      <w:tblStyleColBandSize w:val="1"/>
      <w:tblBorders>
        <w:top w:val="single" w:sz="8" w:space="0" w:color="B8B8B8" w:themeColor="accent4" w:themeTint="BF"/>
        <w:left w:val="single" w:sz="8" w:space="0" w:color="B8B8B8" w:themeColor="accent4" w:themeTint="BF"/>
        <w:bottom w:val="single" w:sz="8" w:space="0" w:color="B8B8B8" w:themeColor="accent4" w:themeTint="BF"/>
        <w:right w:val="single" w:sz="8" w:space="0" w:color="B8B8B8" w:themeColor="accent4" w:themeTint="BF"/>
        <w:insideH w:val="single" w:sz="8" w:space="0" w:color="B8B8B8" w:themeColor="accent4" w:themeTint="BF"/>
        <w:insideV w:val="single" w:sz="8" w:space="0" w:color="B8B8B8" w:themeColor="accent4" w:themeTint="BF"/>
      </w:tblBorders>
    </w:tblPr>
    <w:tcPr>
      <w:shd w:val="clear" w:color="auto" w:fill="E7E7E7" w:themeFill="accent4" w:themeFillTint="3F"/>
    </w:tcPr>
    <w:tblStylePr w:type="firstRow">
      <w:rPr>
        <w:b/>
        <w:bCs/>
      </w:rPr>
    </w:tblStylePr>
    <w:tblStylePr w:type="lastRow">
      <w:rPr>
        <w:b/>
        <w:bCs/>
      </w:rPr>
      <w:tblPr/>
      <w:tcPr>
        <w:tcBorders>
          <w:top w:val="single" w:sz="18" w:space="0" w:color="B8B8B8" w:themeColor="accent4" w:themeTint="BF"/>
        </w:tcBorders>
      </w:tcPr>
    </w:tblStylePr>
    <w:tblStylePr w:type="firstCol">
      <w:rPr>
        <w:b/>
        <w:bCs/>
      </w:rPr>
    </w:tblStylePr>
    <w:tblStylePr w:type="lastCol">
      <w:rPr>
        <w:b/>
        <w:bCs/>
      </w:rPr>
    </w:tblStylePr>
    <w:tblStylePr w:type="band1Vert">
      <w:tblPr/>
      <w:tcPr>
        <w:shd w:val="clear" w:color="auto" w:fill="D0D0D0" w:themeFill="accent4" w:themeFillTint="7F"/>
      </w:tcPr>
    </w:tblStylePr>
    <w:tblStylePr w:type="band1Horz">
      <w:tblPr/>
      <w:tcPr>
        <w:shd w:val="clear" w:color="auto" w:fill="D0D0D0" w:themeFill="accent4" w:themeFillTint="7F"/>
      </w:tcPr>
    </w:tblStylePr>
  </w:style>
  <w:style w:type="table" w:styleId="MediumGrid1-Accent5">
    <w:name w:val="Medium Grid 1 Accent 5"/>
    <w:basedOn w:val="TableNormal"/>
    <w:uiPriority w:val="98"/>
    <w:semiHidden/>
    <w:unhideWhenUsed/>
    <w:rsid w:val="001F6DC1"/>
    <w:tblPr>
      <w:tblStyleRowBandSize w:val="1"/>
      <w:tblStyleColBandSize w:val="1"/>
      <w:tblBorders>
        <w:top w:val="single" w:sz="8" w:space="0" w:color="8ADBE7" w:themeColor="accent5" w:themeTint="BF"/>
        <w:left w:val="single" w:sz="8" w:space="0" w:color="8ADBE7" w:themeColor="accent5" w:themeTint="BF"/>
        <w:bottom w:val="single" w:sz="8" w:space="0" w:color="8ADBE7" w:themeColor="accent5" w:themeTint="BF"/>
        <w:right w:val="single" w:sz="8" w:space="0" w:color="8ADBE7" w:themeColor="accent5" w:themeTint="BF"/>
        <w:insideH w:val="single" w:sz="8" w:space="0" w:color="8ADBE7" w:themeColor="accent5" w:themeTint="BF"/>
        <w:insideV w:val="single" w:sz="8" w:space="0" w:color="8ADBE7" w:themeColor="accent5" w:themeTint="BF"/>
      </w:tblBorders>
    </w:tblPr>
    <w:tcPr>
      <w:shd w:val="clear" w:color="auto" w:fill="D8F3F7" w:themeFill="accent5" w:themeFillTint="3F"/>
    </w:tcPr>
    <w:tblStylePr w:type="firstRow">
      <w:rPr>
        <w:b/>
        <w:bCs/>
      </w:rPr>
    </w:tblStylePr>
    <w:tblStylePr w:type="lastRow">
      <w:rPr>
        <w:b/>
        <w:bCs/>
      </w:rPr>
      <w:tblPr/>
      <w:tcPr>
        <w:tcBorders>
          <w:top w:val="single" w:sz="18" w:space="0" w:color="8ADBE7" w:themeColor="accent5" w:themeTint="BF"/>
        </w:tcBorders>
      </w:tcPr>
    </w:tblStylePr>
    <w:tblStylePr w:type="firstCol">
      <w:rPr>
        <w:b/>
        <w:bCs/>
      </w:rPr>
    </w:tblStylePr>
    <w:tblStylePr w:type="lastCol">
      <w:rPr>
        <w:b/>
        <w:bCs/>
      </w:rPr>
    </w:tblStylePr>
    <w:tblStylePr w:type="band1Vert">
      <w:tblPr/>
      <w:tcPr>
        <w:shd w:val="clear" w:color="auto" w:fill="B1E7EF" w:themeFill="accent5" w:themeFillTint="7F"/>
      </w:tcPr>
    </w:tblStylePr>
    <w:tblStylePr w:type="band1Horz">
      <w:tblPr/>
      <w:tcPr>
        <w:shd w:val="clear" w:color="auto" w:fill="B1E7EF" w:themeFill="accent5" w:themeFillTint="7F"/>
      </w:tcPr>
    </w:tblStylePr>
  </w:style>
  <w:style w:type="table" w:styleId="MediumGrid1-Accent6">
    <w:name w:val="Medium Grid 1 Accent 6"/>
    <w:basedOn w:val="TableNormal"/>
    <w:uiPriority w:val="98"/>
    <w:semiHidden/>
    <w:unhideWhenUsed/>
    <w:rsid w:val="001F6DC1"/>
    <w:tblPr>
      <w:tblStyleRowBandSize w:val="1"/>
      <w:tblStyleColBandSize w:val="1"/>
      <w:tblBorders>
        <w:top w:val="single" w:sz="8" w:space="0" w:color="B8B8B8" w:themeColor="accent6" w:themeTint="BF"/>
        <w:left w:val="single" w:sz="8" w:space="0" w:color="B8B8B8" w:themeColor="accent6" w:themeTint="BF"/>
        <w:bottom w:val="single" w:sz="8" w:space="0" w:color="B8B8B8" w:themeColor="accent6" w:themeTint="BF"/>
        <w:right w:val="single" w:sz="8" w:space="0" w:color="B8B8B8" w:themeColor="accent6" w:themeTint="BF"/>
        <w:insideH w:val="single" w:sz="8" w:space="0" w:color="B8B8B8" w:themeColor="accent6" w:themeTint="BF"/>
        <w:insideV w:val="single" w:sz="8" w:space="0" w:color="B8B8B8" w:themeColor="accent6" w:themeTint="BF"/>
      </w:tblBorders>
    </w:tblPr>
    <w:tcPr>
      <w:shd w:val="clear" w:color="auto" w:fill="E7E7E7" w:themeFill="accent6" w:themeFillTint="3F"/>
    </w:tcPr>
    <w:tblStylePr w:type="firstRow">
      <w:rPr>
        <w:b/>
        <w:bCs/>
      </w:rPr>
    </w:tblStylePr>
    <w:tblStylePr w:type="lastRow">
      <w:rPr>
        <w:b/>
        <w:bCs/>
      </w:rPr>
      <w:tblPr/>
      <w:tcPr>
        <w:tcBorders>
          <w:top w:val="single" w:sz="18" w:space="0" w:color="B8B8B8" w:themeColor="accent6" w:themeTint="BF"/>
        </w:tcBorders>
      </w:tcPr>
    </w:tblStylePr>
    <w:tblStylePr w:type="firstCol">
      <w:rPr>
        <w:b/>
        <w:bCs/>
      </w:rPr>
    </w:tblStylePr>
    <w:tblStylePr w:type="lastCol">
      <w:rPr>
        <w:b/>
        <w:bCs/>
      </w:rPr>
    </w:tblStylePr>
    <w:tblStylePr w:type="band1Vert">
      <w:tblPr/>
      <w:tcPr>
        <w:shd w:val="clear" w:color="auto" w:fill="D0D0D0" w:themeFill="accent6" w:themeFillTint="7F"/>
      </w:tcPr>
    </w:tblStylePr>
    <w:tblStylePr w:type="band1Horz">
      <w:tblPr/>
      <w:tcPr>
        <w:shd w:val="clear" w:color="auto" w:fill="D0D0D0" w:themeFill="accent6" w:themeFillTint="7F"/>
      </w:tcPr>
    </w:tblStylePr>
  </w:style>
  <w:style w:type="table" w:styleId="MediumGrid2">
    <w:name w:val="Medium Grid 2"/>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63D0DF" w:themeColor="accent1"/>
        <w:left w:val="single" w:sz="8" w:space="0" w:color="63D0DF" w:themeColor="accent1"/>
        <w:bottom w:val="single" w:sz="8" w:space="0" w:color="63D0DF" w:themeColor="accent1"/>
        <w:right w:val="single" w:sz="8" w:space="0" w:color="63D0DF" w:themeColor="accent1"/>
        <w:insideH w:val="single" w:sz="8" w:space="0" w:color="63D0DF" w:themeColor="accent1"/>
        <w:insideV w:val="single" w:sz="8" w:space="0" w:color="63D0DF" w:themeColor="accent1"/>
      </w:tblBorders>
    </w:tblPr>
    <w:tcPr>
      <w:shd w:val="clear" w:color="auto" w:fill="D8F3F7" w:themeFill="accent1" w:themeFillTint="3F"/>
    </w:tcPr>
    <w:tblStylePr w:type="firstRow">
      <w:rPr>
        <w:b/>
        <w:bCs/>
        <w:color w:val="000000" w:themeColor="text1"/>
      </w:rPr>
      <w:tblPr/>
      <w:tcPr>
        <w:shd w:val="clear" w:color="auto" w:fill="EF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5F8" w:themeFill="accent1" w:themeFillTint="33"/>
      </w:tcPr>
    </w:tblStylePr>
    <w:tblStylePr w:type="band1Vert">
      <w:tblPr/>
      <w:tcPr>
        <w:shd w:val="clear" w:color="auto" w:fill="B1E7EF" w:themeFill="accent1" w:themeFillTint="7F"/>
      </w:tcPr>
    </w:tblStylePr>
    <w:tblStylePr w:type="band1Horz">
      <w:tblPr/>
      <w:tcPr>
        <w:tcBorders>
          <w:insideH w:val="single" w:sz="6" w:space="0" w:color="63D0DF" w:themeColor="accent1"/>
          <w:insideV w:val="single" w:sz="6" w:space="0" w:color="63D0DF" w:themeColor="accent1"/>
        </w:tcBorders>
        <w:shd w:val="clear" w:color="auto" w:fill="B1E7E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C9C9CA" w:themeColor="accent2"/>
        <w:left w:val="single" w:sz="8" w:space="0" w:color="C9C9CA" w:themeColor="accent2"/>
        <w:bottom w:val="single" w:sz="8" w:space="0" w:color="C9C9CA" w:themeColor="accent2"/>
        <w:right w:val="single" w:sz="8" w:space="0" w:color="C9C9CA" w:themeColor="accent2"/>
        <w:insideH w:val="single" w:sz="8" w:space="0" w:color="C9C9CA" w:themeColor="accent2"/>
        <w:insideV w:val="single" w:sz="8" w:space="0" w:color="C9C9CA" w:themeColor="accent2"/>
      </w:tblBorders>
    </w:tblPr>
    <w:tcPr>
      <w:shd w:val="clear" w:color="auto" w:fill="F1F1F1" w:themeFill="accent2" w:themeFillTint="3F"/>
    </w:tcPr>
    <w:tblStylePr w:type="firstRow">
      <w:rPr>
        <w:b/>
        <w:bCs/>
        <w:color w:val="000000" w:themeColor="text1"/>
      </w:rPr>
      <w:tblPr/>
      <w:tcPr>
        <w:shd w:val="clear" w:color="auto" w:fill="F9F9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4F4" w:themeFill="accent2" w:themeFillTint="33"/>
      </w:tcPr>
    </w:tblStylePr>
    <w:tblStylePr w:type="band1Vert">
      <w:tblPr/>
      <w:tcPr>
        <w:shd w:val="clear" w:color="auto" w:fill="E4E4E4" w:themeFill="accent2" w:themeFillTint="7F"/>
      </w:tcPr>
    </w:tblStylePr>
    <w:tblStylePr w:type="band1Horz">
      <w:tblPr/>
      <w:tcPr>
        <w:tcBorders>
          <w:insideH w:val="single" w:sz="6" w:space="0" w:color="C9C9CA" w:themeColor="accent2"/>
          <w:insideV w:val="single" w:sz="6" w:space="0" w:color="C9C9CA" w:themeColor="accent2"/>
        </w:tcBorders>
        <w:shd w:val="clear" w:color="auto" w:fill="E4E4E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63D0DF" w:themeColor="accent3"/>
        <w:left w:val="single" w:sz="8" w:space="0" w:color="63D0DF" w:themeColor="accent3"/>
        <w:bottom w:val="single" w:sz="8" w:space="0" w:color="63D0DF" w:themeColor="accent3"/>
        <w:right w:val="single" w:sz="8" w:space="0" w:color="63D0DF" w:themeColor="accent3"/>
        <w:insideH w:val="single" w:sz="8" w:space="0" w:color="63D0DF" w:themeColor="accent3"/>
        <w:insideV w:val="single" w:sz="8" w:space="0" w:color="63D0DF" w:themeColor="accent3"/>
      </w:tblBorders>
    </w:tblPr>
    <w:tcPr>
      <w:shd w:val="clear" w:color="auto" w:fill="D8F3F7" w:themeFill="accent3" w:themeFillTint="3F"/>
    </w:tcPr>
    <w:tblStylePr w:type="firstRow">
      <w:rPr>
        <w:b/>
        <w:bCs/>
        <w:color w:val="000000" w:themeColor="text1"/>
      </w:rPr>
      <w:tblPr/>
      <w:tcPr>
        <w:shd w:val="clear" w:color="auto" w:fill="EFFA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5F8" w:themeFill="accent3" w:themeFillTint="33"/>
      </w:tcPr>
    </w:tblStylePr>
    <w:tblStylePr w:type="band1Vert">
      <w:tblPr/>
      <w:tcPr>
        <w:shd w:val="clear" w:color="auto" w:fill="B1E7EF" w:themeFill="accent3" w:themeFillTint="7F"/>
      </w:tcPr>
    </w:tblStylePr>
    <w:tblStylePr w:type="band1Horz">
      <w:tblPr/>
      <w:tcPr>
        <w:tcBorders>
          <w:insideH w:val="single" w:sz="6" w:space="0" w:color="63D0DF" w:themeColor="accent3"/>
          <w:insideV w:val="single" w:sz="6" w:space="0" w:color="63D0DF" w:themeColor="accent3"/>
        </w:tcBorders>
        <w:shd w:val="clear" w:color="auto" w:fill="B1E7E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A1A1A1" w:themeColor="accent4"/>
        <w:left w:val="single" w:sz="8" w:space="0" w:color="A1A1A1" w:themeColor="accent4"/>
        <w:bottom w:val="single" w:sz="8" w:space="0" w:color="A1A1A1" w:themeColor="accent4"/>
        <w:right w:val="single" w:sz="8" w:space="0" w:color="A1A1A1" w:themeColor="accent4"/>
        <w:insideH w:val="single" w:sz="8" w:space="0" w:color="A1A1A1" w:themeColor="accent4"/>
        <w:insideV w:val="single" w:sz="8" w:space="0" w:color="A1A1A1" w:themeColor="accent4"/>
      </w:tblBorders>
    </w:tblPr>
    <w:tcPr>
      <w:shd w:val="clear" w:color="auto" w:fill="E7E7E7" w:themeFill="accent4" w:themeFillTint="3F"/>
    </w:tcPr>
    <w:tblStylePr w:type="firstRow">
      <w:rPr>
        <w:b/>
        <w:bCs/>
        <w:color w:val="000000" w:themeColor="text1"/>
      </w:rPr>
      <w:tblPr/>
      <w:tcPr>
        <w:shd w:val="clear" w:color="auto" w:fill="F5F5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CEC" w:themeFill="accent4" w:themeFillTint="33"/>
      </w:tcPr>
    </w:tblStylePr>
    <w:tblStylePr w:type="band1Vert">
      <w:tblPr/>
      <w:tcPr>
        <w:shd w:val="clear" w:color="auto" w:fill="D0D0D0" w:themeFill="accent4" w:themeFillTint="7F"/>
      </w:tcPr>
    </w:tblStylePr>
    <w:tblStylePr w:type="band1Horz">
      <w:tblPr/>
      <w:tcPr>
        <w:tcBorders>
          <w:insideH w:val="single" w:sz="6" w:space="0" w:color="A1A1A1" w:themeColor="accent4"/>
          <w:insideV w:val="single" w:sz="6" w:space="0" w:color="A1A1A1" w:themeColor="accent4"/>
        </w:tcBorders>
        <w:shd w:val="clear" w:color="auto" w:fill="D0D0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63D0DF" w:themeColor="accent5"/>
        <w:left w:val="single" w:sz="8" w:space="0" w:color="63D0DF" w:themeColor="accent5"/>
        <w:bottom w:val="single" w:sz="8" w:space="0" w:color="63D0DF" w:themeColor="accent5"/>
        <w:right w:val="single" w:sz="8" w:space="0" w:color="63D0DF" w:themeColor="accent5"/>
        <w:insideH w:val="single" w:sz="8" w:space="0" w:color="63D0DF" w:themeColor="accent5"/>
        <w:insideV w:val="single" w:sz="8" w:space="0" w:color="63D0DF" w:themeColor="accent5"/>
      </w:tblBorders>
    </w:tblPr>
    <w:tcPr>
      <w:shd w:val="clear" w:color="auto" w:fill="D8F3F7" w:themeFill="accent5" w:themeFillTint="3F"/>
    </w:tcPr>
    <w:tblStylePr w:type="firstRow">
      <w:rPr>
        <w:b/>
        <w:bCs/>
        <w:color w:val="000000" w:themeColor="text1"/>
      </w:rPr>
      <w:tblPr/>
      <w:tcPr>
        <w:shd w:val="clear" w:color="auto" w:fill="EFFA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5F8" w:themeFill="accent5" w:themeFillTint="33"/>
      </w:tcPr>
    </w:tblStylePr>
    <w:tblStylePr w:type="band1Vert">
      <w:tblPr/>
      <w:tcPr>
        <w:shd w:val="clear" w:color="auto" w:fill="B1E7EF" w:themeFill="accent5" w:themeFillTint="7F"/>
      </w:tcPr>
    </w:tblStylePr>
    <w:tblStylePr w:type="band1Horz">
      <w:tblPr/>
      <w:tcPr>
        <w:tcBorders>
          <w:insideH w:val="single" w:sz="6" w:space="0" w:color="63D0DF" w:themeColor="accent5"/>
          <w:insideV w:val="single" w:sz="6" w:space="0" w:color="63D0DF" w:themeColor="accent5"/>
        </w:tcBorders>
        <w:shd w:val="clear" w:color="auto" w:fill="B1E7E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A1A1A1" w:themeColor="accent6"/>
        <w:left w:val="single" w:sz="8" w:space="0" w:color="A1A1A1" w:themeColor="accent6"/>
        <w:bottom w:val="single" w:sz="8" w:space="0" w:color="A1A1A1" w:themeColor="accent6"/>
        <w:right w:val="single" w:sz="8" w:space="0" w:color="A1A1A1" w:themeColor="accent6"/>
        <w:insideH w:val="single" w:sz="8" w:space="0" w:color="A1A1A1" w:themeColor="accent6"/>
        <w:insideV w:val="single" w:sz="8" w:space="0" w:color="A1A1A1" w:themeColor="accent6"/>
      </w:tblBorders>
    </w:tblPr>
    <w:tcPr>
      <w:shd w:val="clear" w:color="auto" w:fill="E7E7E7" w:themeFill="accent6" w:themeFillTint="3F"/>
    </w:tcPr>
    <w:tblStylePr w:type="firstRow">
      <w:rPr>
        <w:b/>
        <w:bCs/>
        <w:color w:val="000000" w:themeColor="text1"/>
      </w:rPr>
      <w:tblPr/>
      <w:tcPr>
        <w:shd w:val="clear" w:color="auto" w:fill="F5F5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CEC" w:themeFill="accent6" w:themeFillTint="33"/>
      </w:tcPr>
    </w:tblStylePr>
    <w:tblStylePr w:type="band1Vert">
      <w:tblPr/>
      <w:tcPr>
        <w:shd w:val="clear" w:color="auto" w:fill="D0D0D0" w:themeFill="accent6" w:themeFillTint="7F"/>
      </w:tcPr>
    </w:tblStylePr>
    <w:tblStylePr w:type="band1Horz">
      <w:tblPr/>
      <w:tcPr>
        <w:tcBorders>
          <w:insideH w:val="single" w:sz="6" w:space="0" w:color="A1A1A1" w:themeColor="accent6"/>
          <w:insideV w:val="single" w:sz="6" w:space="0" w:color="A1A1A1" w:themeColor="accent6"/>
        </w:tcBorders>
        <w:shd w:val="clear" w:color="auto" w:fill="D0D0D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3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D0D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D0D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D0D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D0D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E7E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E7EF" w:themeFill="accent1" w:themeFillTint="7F"/>
      </w:tcPr>
    </w:tblStylePr>
  </w:style>
  <w:style w:type="table" w:styleId="MediumGrid3-Accent2">
    <w:name w:val="Medium Grid 3 Accent 2"/>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1F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C9C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C9C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C9C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9C9C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4E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4E4" w:themeFill="accent2" w:themeFillTint="7F"/>
      </w:tcPr>
    </w:tblStylePr>
  </w:style>
  <w:style w:type="table" w:styleId="MediumGrid3-Accent3">
    <w:name w:val="Medium Grid 3 Accent 3"/>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3F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D0D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D0D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D0D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D0D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E7E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E7EF" w:themeFill="accent3" w:themeFillTint="7F"/>
      </w:tcPr>
    </w:tblStylePr>
  </w:style>
  <w:style w:type="table" w:styleId="MediumGrid3-Accent4">
    <w:name w:val="Medium Grid 3 Accent 4"/>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7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A1A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A1A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A1A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A1A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D0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D0D0" w:themeFill="accent4" w:themeFillTint="7F"/>
      </w:tcPr>
    </w:tblStylePr>
  </w:style>
  <w:style w:type="table" w:styleId="MediumGrid3-Accent5">
    <w:name w:val="Medium Grid 3 Accent 5"/>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3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D0D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D0D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D0D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D0D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E7E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E7EF" w:themeFill="accent5" w:themeFillTint="7F"/>
      </w:tcPr>
    </w:tblStylePr>
  </w:style>
  <w:style w:type="table" w:styleId="MediumGrid3-Accent6">
    <w:name w:val="Medium Grid 3 Accent 6"/>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7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A1A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A1A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A1A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A1A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D0D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D0D0" w:themeFill="accent6" w:themeFillTint="7F"/>
      </w:tcPr>
    </w:tblStylePr>
  </w:style>
  <w:style w:type="table" w:styleId="MediumList1">
    <w:name w:val="Medium List 1"/>
    <w:basedOn w:val="TableNormal"/>
    <w:uiPriority w:val="98"/>
    <w:semiHidden/>
    <w:unhideWhenUsed/>
    <w:rsid w:val="001F6DC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8585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semiHidden/>
    <w:unhideWhenUsed/>
    <w:rsid w:val="001F6DC1"/>
    <w:rPr>
      <w:color w:val="000000" w:themeColor="text1"/>
    </w:rPr>
    <w:tblPr>
      <w:tblStyleRowBandSize w:val="1"/>
      <w:tblStyleColBandSize w:val="1"/>
      <w:tblBorders>
        <w:top w:val="single" w:sz="8" w:space="0" w:color="63D0DF" w:themeColor="accent1"/>
        <w:bottom w:val="single" w:sz="8" w:space="0" w:color="63D0DF" w:themeColor="accent1"/>
      </w:tblBorders>
    </w:tblPr>
    <w:tblStylePr w:type="firstRow">
      <w:rPr>
        <w:rFonts w:asciiTheme="majorHAnsi" w:eastAsiaTheme="majorEastAsia" w:hAnsiTheme="majorHAnsi" w:cstheme="majorBidi"/>
      </w:rPr>
      <w:tblPr/>
      <w:tcPr>
        <w:tcBorders>
          <w:top w:val="nil"/>
          <w:bottom w:val="single" w:sz="8" w:space="0" w:color="63D0DF" w:themeColor="accent1"/>
        </w:tcBorders>
      </w:tcPr>
    </w:tblStylePr>
    <w:tblStylePr w:type="lastRow">
      <w:rPr>
        <w:b/>
        <w:bCs/>
        <w:color w:val="585858" w:themeColor="text2"/>
      </w:rPr>
      <w:tblPr/>
      <w:tcPr>
        <w:tcBorders>
          <w:top w:val="single" w:sz="8" w:space="0" w:color="63D0DF" w:themeColor="accent1"/>
          <w:bottom w:val="single" w:sz="8" w:space="0" w:color="63D0DF" w:themeColor="accent1"/>
        </w:tcBorders>
      </w:tcPr>
    </w:tblStylePr>
    <w:tblStylePr w:type="firstCol">
      <w:rPr>
        <w:b/>
        <w:bCs/>
      </w:rPr>
    </w:tblStylePr>
    <w:tblStylePr w:type="lastCol">
      <w:rPr>
        <w:b/>
        <w:bCs/>
      </w:rPr>
      <w:tblPr/>
      <w:tcPr>
        <w:tcBorders>
          <w:top w:val="single" w:sz="8" w:space="0" w:color="63D0DF" w:themeColor="accent1"/>
          <w:bottom w:val="single" w:sz="8" w:space="0" w:color="63D0DF" w:themeColor="accent1"/>
        </w:tcBorders>
      </w:tcPr>
    </w:tblStylePr>
    <w:tblStylePr w:type="band1Vert">
      <w:tblPr/>
      <w:tcPr>
        <w:shd w:val="clear" w:color="auto" w:fill="D8F3F7" w:themeFill="accent1" w:themeFillTint="3F"/>
      </w:tcPr>
    </w:tblStylePr>
    <w:tblStylePr w:type="band1Horz">
      <w:tblPr/>
      <w:tcPr>
        <w:shd w:val="clear" w:color="auto" w:fill="D8F3F7" w:themeFill="accent1" w:themeFillTint="3F"/>
      </w:tcPr>
    </w:tblStylePr>
  </w:style>
  <w:style w:type="table" w:styleId="MediumList1-Accent2">
    <w:name w:val="Medium List 1 Accent 2"/>
    <w:basedOn w:val="TableNormal"/>
    <w:uiPriority w:val="98"/>
    <w:semiHidden/>
    <w:unhideWhenUsed/>
    <w:rsid w:val="001F6DC1"/>
    <w:rPr>
      <w:color w:val="000000" w:themeColor="text1"/>
    </w:rPr>
    <w:tblPr>
      <w:tblStyleRowBandSize w:val="1"/>
      <w:tblStyleColBandSize w:val="1"/>
      <w:tblBorders>
        <w:top w:val="single" w:sz="8" w:space="0" w:color="C9C9CA" w:themeColor="accent2"/>
        <w:bottom w:val="single" w:sz="8" w:space="0" w:color="C9C9CA" w:themeColor="accent2"/>
      </w:tblBorders>
    </w:tblPr>
    <w:tblStylePr w:type="firstRow">
      <w:rPr>
        <w:rFonts w:asciiTheme="majorHAnsi" w:eastAsiaTheme="majorEastAsia" w:hAnsiTheme="majorHAnsi" w:cstheme="majorBidi"/>
      </w:rPr>
      <w:tblPr/>
      <w:tcPr>
        <w:tcBorders>
          <w:top w:val="nil"/>
          <w:bottom w:val="single" w:sz="8" w:space="0" w:color="C9C9CA" w:themeColor="accent2"/>
        </w:tcBorders>
      </w:tcPr>
    </w:tblStylePr>
    <w:tblStylePr w:type="lastRow">
      <w:rPr>
        <w:b/>
        <w:bCs/>
        <w:color w:val="585858" w:themeColor="text2"/>
      </w:rPr>
      <w:tblPr/>
      <w:tcPr>
        <w:tcBorders>
          <w:top w:val="single" w:sz="8" w:space="0" w:color="C9C9CA" w:themeColor="accent2"/>
          <w:bottom w:val="single" w:sz="8" w:space="0" w:color="C9C9CA" w:themeColor="accent2"/>
        </w:tcBorders>
      </w:tcPr>
    </w:tblStylePr>
    <w:tblStylePr w:type="firstCol">
      <w:rPr>
        <w:b/>
        <w:bCs/>
      </w:rPr>
    </w:tblStylePr>
    <w:tblStylePr w:type="lastCol">
      <w:rPr>
        <w:b/>
        <w:bCs/>
      </w:rPr>
      <w:tblPr/>
      <w:tcPr>
        <w:tcBorders>
          <w:top w:val="single" w:sz="8" w:space="0" w:color="C9C9CA" w:themeColor="accent2"/>
          <w:bottom w:val="single" w:sz="8" w:space="0" w:color="C9C9CA" w:themeColor="accent2"/>
        </w:tcBorders>
      </w:tcPr>
    </w:tblStylePr>
    <w:tblStylePr w:type="band1Vert">
      <w:tblPr/>
      <w:tcPr>
        <w:shd w:val="clear" w:color="auto" w:fill="F1F1F1" w:themeFill="accent2" w:themeFillTint="3F"/>
      </w:tcPr>
    </w:tblStylePr>
    <w:tblStylePr w:type="band1Horz">
      <w:tblPr/>
      <w:tcPr>
        <w:shd w:val="clear" w:color="auto" w:fill="F1F1F1" w:themeFill="accent2" w:themeFillTint="3F"/>
      </w:tcPr>
    </w:tblStylePr>
  </w:style>
  <w:style w:type="table" w:styleId="MediumList1-Accent3">
    <w:name w:val="Medium List 1 Accent 3"/>
    <w:basedOn w:val="TableNormal"/>
    <w:uiPriority w:val="98"/>
    <w:semiHidden/>
    <w:unhideWhenUsed/>
    <w:rsid w:val="001F6DC1"/>
    <w:rPr>
      <w:color w:val="000000" w:themeColor="text1"/>
    </w:rPr>
    <w:tblPr>
      <w:tblStyleRowBandSize w:val="1"/>
      <w:tblStyleColBandSize w:val="1"/>
      <w:tblBorders>
        <w:top w:val="single" w:sz="8" w:space="0" w:color="63D0DF" w:themeColor="accent3"/>
        <w:bottom w:val="single" w:sz="8" w:space="0" w:color="63D0DF" w:themeColor="accent3"/>
      </w:tblBorders>
    </w:tblPr>
    <w:tblStylePr w:type="firstRow">
      <w:rPr>
        <w:rFonts w:asciiTheme="majorHAnsi" w:eastAsiaTheme="majorEastAsia" w:hAnsiTheme="majorHAnsi" w:cstheme="majorBidi"/>
      </w:rPr>
      <w:tblPr/>
      <w:tcPr>
        <w:tcBorders>
          <w:top w:val="nil"/>
          <w:bottom w:val="single" w:sz="8" w:space="0" w:color="63D0DF" w:themeColor="accent3"/>
        </w:tcBorders>
      </w:tcPr>
    </w:tblStylePr>
    <w:tblStylePr w:type="lastRow">
      <w:rPr>
        <w:b/>
        <w:bCs/>
        <w:color w:val="585858" w:themeColor="text2"/>
      </w:rPr>
      <w:tblPr/>
      <w:tcPr>
        <w:tcBorders>
          <w:top w:val="single" w:sz="8" w:space="0" w:color="63D0DF" w:themeColor="accent3"/>
          <w:bottom w:val="single" w:sz="8" w:space="0" w:color="63D0DF" w:themeColor="accent3"/>
        </w:tcBorders>
      </w:tcPr>
    </w:tblStylePr>
    <w:tblStylePr w:type="firstCol">
      <w:rPr>
        <w:b/>
        <w:bCs/>
      </w:rPr>
    </w:tblStylePr>
    <w:tblStylePr w:type="lastCol">
      <w:rPr>
        <w:b/>
        <w:bCs/>
      </w:rPr>
      <w:tblPr/>
      <w:tcPr>
        <w:tcBorders>
          <w:top w:val="single" w:sz="8" w:space="0" w:color="63D0DF" w:themeColor="accent3"/>
          <w:bottom w:val="single" w:sz="8" w:space="0" w:color="63D0DF" w:themeColor="accent3"/>
        </w:tcBorders>
      </w:tcPr>
    </w:tblStylePr>
    <w:tblStylePr w:type="band1Vert">
      <w:tblPr/>
      <w:tcPr>
        <w:shd w:val="clear" w:color="auto" w:fill="D8F3F7" w:themeFill="accent3" w:themeFillTint="3F"/>
      </w:tcPr>
    </w:tblStylePr>
    <w:tblStylePr w:type="band1Horz">
      <w:tblPr/>
      <w:tcPr>
        <w:shd w:val="clear" w:color="auto" w:fill="D8F3F7" w:themeFill="accent3" w:themeFillTint="3F"/>
      </w:tcPr>
    </w:tblStylePr>
  </w:style>
  <w:style w:type="table" w:styleId="MediumList1-Accent4">
    <w:name w:val="Medium List 1 Accent 4"/>
    <w:basedOn w:val="TableNormal"/>
    <w:uiPriority w:val="98"/>
    <w:semiHidden/>
    <w:unhideWhenUsed/>
    <w:rsid w:val="001F6DC1"/>
    <w:rPr>
      <w:color w:val="000000" w:themeColor="text1"/>
    </w:rPr>
    <w:tblPr>
      <w:tblStyleRowBandSize w:val="1"/>
      <w:tblStyleColBandSize w:val="1"/>
      <w:tblBorders>
        <w:top w:val="single" w:sz="8" w:space="0" w:color="A1A1A1" w:themeColor="accent4"/>
        <w:bottom w:val="single" w:sz="8" w:space="0" w:color="A1A1A1" w:themeColor="accent4"/>
      </w:tblBorders>
    </w:tblPr>
    <w:tblStylePr w:type="firstRow">
      <w:rPr>
        <w:rFonts w:asciiTheme="majorHAnsi" w:eastAsiaTheme="majorEastAsia" w:hAnsiTheme="majorHAnsi" w:cstheme="majorBidi"/>
      </w:rPr>
      <w:tblPr/>
      <w:tcPr>
        <w:tcBorders>
          <w:top w:val="nil"/>
          <w:bottom w:val="single" w:sz="8" w:space="0" w:color="A1A1A1" w:themeColor="accent4"/>
        </w:tcBorders>
      </w:tcPr>
    </w:tblStylePr>
    <w:tblStylePr w:type="lastRow">
      <w:rPr>
        <w:b/>
        <w:bCs/>
        <w:color w:val="585858" w:themeColor="text2"/>
      </w:rPr>
      <w:tblPr/>
      <w:tcPr>
        <w:tcBorders>
          <w:top w:val="single" w:sz="8" w:space="0" w:color="A1A1A1" w:themeColor="accent4"/>
          <w:bottom w:val="single" w:sz="8" w:space="0" w:color="A1A1A1" w:themeColor="accent4"/>
        </w:tcBorders>
      </w:tcPr>
    </w:tblStylePr>
    <w:tblStylePr w:type="firstCol">
      <w:rPr>
        <w:b/>
        <w:bCs/>
      </w:rPr>
    </w:tblStylePr>
    <w:tblStylePr w:type="lastCol">
      <w:rPr>
        <w:b/>
        <w:bCs/>
      </w:rPr>
      <w:tblPr/>
      <w:tcPr>
        <w:tcBorders>
          <w:top w:val="single" w:sz="8" w:space="0" w:color="A1A1A1" w:themeColor="accent4"/>
          <w:bottom w:val="single" w:sz="8" w:space="0" w:color="A1A1A1" w:themeColor="accent4"/>
        </w:tcBorders>
      </w:tcPr>
    </w:tblStylePr>
    <w:tblStylePr w:type="band1Vert">
      <w:tblPr/>
      <w:tcPr>
        <w:shd w:val="clear" w:color="auto" w:fill="E7E7E7" w:themeFill="accent4" w:themeFillTint="3F"/>
      </w:tcPr>
    </w:tblStylePr>
    <w:tblStylePr w:type="band1Horz">
      <w:tblPr/>
      <w:tcPr>
        <w:shd w:val="clear" w:color="auto" w:fill="E7E7E7" w:themeFill="accent4" w:themeFillTint="3F"/>
      </w:tcPr>
    </w:tblStylePr>
  </w:style>
  <w:style w:type="table" w:styleId="MediumList1-Accent5">
    <w:name w:val="Medium List 1 Accent 5"/>
    <w:basedOn w:val="TableNormal"/>
    <w:uiPriority w:val="98"/>
    <w:semiHidden/>
    <w:unhideWhenUsed/>
    <w:rsid w:val="001F6DC1"/>
    <w:rPr>
      <w:color w:val="000000" w:themeColor="text1"/>
    </w:rPr>
    <w:tblPr>
      <w:tblStyleRowBandSize w:val="1"/>
      <w:tblStyleColBandSize w:val="1"/>
      <w:tblBorders>
        <w:top w:val="single" w:sz="8" w:space="0" w:color="63D0DF" w:themeColor="accent5"/>
        <w:bottom w:val="single" w:sz="8" w:space="0" w:color="63D0DF" w:themeColor="accent5"/>
      </w:tblBorders>
    </w:tblPr>
    <w:tblStylePr w:type="firstRow">
      <w:rPr>
        <w:rFonts w:asciiTheme="majorHAnsi" w:eastAsiaTheme="majorEastAsia" w:hAnsiTheme="majorHAnsi" w:cstheme="majorBidi"/>
      </w:rPr>
      <w:tblPr/>
      <w:tcPr>
        <w:tcBorders>
          <w:top w:val="nil"/>
          <w:bottom w:val="single" w:sz="8" w:space="0" w:color="63D0DF" w:themeColor="accent5"/>
        </w:tcBorders>
      </w:tcPr>
    </w:tblStylePr>
    <w:tblStylePr w:type="lastRow">
      <w:rPr>
        <w:b/>
        <w:bCs/>
        <w:color w:val="585858" w:themeColor="text2"/>
      </w:rPr>
      <w:tblPr/>
      <w:tcPr>
        <w:tcBorders>
          <w:top w:val="single" w:sz="8" w:space="0" w:color="63D0DF" w:themeColor="accent5"/>
          <w:bottom w:val="single" w:sz="8" w:space="0" w:color="63D0DF" w:themeColor="accent5"/>
        </w:tcBorders>
      </w:tcPr>
    </w:tblStylePr>
    <w:tblStylePr w:type="firstCol">
      <w:rPr>
        <w:b/>
        <w:bCs/>
      </w:rPr>
    </w:tblStylePr>
    <w:tblStylePr w:type="lastCol">
      <w:rPr>
        <w:b/>
        <w:bCs/>
      </w:rPr>
      <w:tblPr/>
      <w:tcPr>
        <w:tcBorders>
          <w:top w:val="single" w:sz="8" w:space="0" w:color="63D0DF" w:themeColor="accent5"/>
          <w:bottom w:val="single" w:sz="8" w:space="0" w:color="63D0DF" w:themeColor="accent5"/>
        </w:tcBorders>
      </w:tcPr>
    </w:tblStylePr>
    <w:tblStylePr w:type="band1Vert">
      <w:tblPr/>
      <w:tcPr>
        <w:shd w:val="clear" w:color="auto" w:fill="D8F3F7" w:themeFill="accent5" w:themeFillTint="3F"/>
      </w:tcPr>
    </w:tblStylePr>
    <w:tblStylePr w:type="band1Horz">
      <w:tblPr/>
      <w:tcPr>
        <w:shd w:val="clear" w:color="auto" w:fill="D8F3F7" w:themeFill="accent5" w:themeFillTint="3F"/>
      </w:tcPr>
    </w:tblStylePr>
  </w:style>
  <w:style w:type="table" w:styleId="MediumList1-Accent6">
    <w:name w:val="Medium List 1 Accent 6"/>
    <w:basedOn w:val="TableNormal"/>
    <w:uiPriority w:val="98"/>
    <w:semiHidden/>
    <w:unhideWhenUsed/>
    <w:rsid w:val="001F6DC1"/>
    <w:rPr>
      <w:color w:val="000000" w:themeColor="text1"/>
    </w:rPr>
    <w:tblPr>
      <w:tblStyleRowBandSize w:val="1"/>
      <w:tblStyleColBandSize w:val="1"/>
      <w:tblBorders>
        <w:top w:val="single" w:sz="8" w:space="0" w:color="A1A1A1" w:themeColor="accent6"/>
        <w:bottom w:val="single" w:sz="8" w:space="0" w:color="A1A1A1" w:themeColor="accent6"/>
      </w:tblBorders>
    </w:tblPr>
    <w:tblStylePr w:type="firstRow">
      <w:rPr>
        <w:rFonts w:asciiTheme="majorHAnsi" w:eastAsiaTheme="majorEastAsia" w:hAnsiTheme="majorHAnsi" w:cstheme="majorBidi"/>
      </w:rPr>
      <w:tblPr/>
      <w:tcPr>
        <w:tcBorders>
          <w:top w:val="nil"/>
          <w:bottom w:val="single" w:sz="8" w:space="0" w:color="A1A1A1" w:themeColor="accent6"/>
        </w:tcBorders>
      </w:tcPr>
    </w:tblStylePr>
    <w:tblStylePr w:type="lastRow">
      <w:rPr>
        <w:b/>
        <w:bCs/>
        <w:color w:val="585858" w:themeColor="text2"/>
      </w:rPr>
      <w:tblPr/>
      <w:tcPr>
        <w:tcBorders>
          <w:top w:val="single" w:sz="8" w:space="0" w:color="A1A1A1" w:themeColor="accent6"/>
          <w:bottom w:val="single" w:sz="8" w:space="0" w:color="A1A1A1" w:themeColor="accent6"/>
        </w:tcBorders>
      </w:tcPr>
    </w:tblStylePr>
    <w:tblStylePr w:type="firstCol">
      <w:rPr>
        <w:b/>
        <w:bCs/>
      </w:rPr>
    </w:tblStylePr>
    <w:tblStylePr w:type="lastCol">
      <w:rPr>
        <w:b/>
        <w:bCs/>
      </w:rPr>
      <w:tblPr/>
      <w:tcPr>
        <w:tcBorders>
          <w:top w:val="single" w:sz="8" w:space="0" w:color="A1A1A1" w:themeColor="accent6"/>
          <w:bottom w:val="single" w:sz="8" w:space="0" w:color="A1A1A1" w:themeColor="accent6"/>
        </w:tcBorders>
      </w:tcPr>
    </w:tblStylePr>
    <w:tblStylePr w:type="band1Vert">
      <w:tblPr/>
      <w:tcPr>
        <w:shd w:val="clear" w:color="auto" w:fill="E7E7E7" w:themeFill="accent6" w:themeFillTint="3F"/>
      </w:tcPr>
    </w:tblStylePr>
    <w:tblStylePr w:type="band1Horz">
      <w:tblPr/>
      <w:tcPr>
        <w:shd w:val="clear" w:color="auto" w:fill="E7E7E7" w:themeFill="accent6" w:themeFillTint="3F"/>
      </w:tcPr>
    </w:tblStylePr>
  </w:style>
  <w:style w:type="table" w:styleId="MediumList2">
    <w:name w:val="Medium List 2"/>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63D0DF" w:themeColor="accent1"/>
        <w:left w:val="single" w:sz="8" w:space="0" w:color="63D0DF" w:themeColor="accent1"/>
        <w:bottom w:val="single" w:sz="8" w:space="0" w:color="63D0DF" w:themeColor="accent1"/>
        <w:right w:val="single" w:sz="8" w:space="0" w:color="63D0DF" w:themeColor="accent1"/>
      </w:tblBorders>
    </w:tblPr>
    <w:tblStylePr w:type="firstRow">
      <w:rPr>
        <w:sz w:val="24"/>
        <w:szCs w:val="24"/>
      </w:rPr>
      <w:tblPr/>
      <w:tcPr>
        <w:tcBorders>
          <w:top w:val="nil"/>
          <w:left w:val="nil"/>
          <w:bottom w:val="single" w:sz="24" w:space="0" w:color="63D0D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D0DF" w:themeColor="accent1"/>
          <w:insideH w:val="nil"/>
          <w:insideV w:val="nil"/>
        </w:tcBorders>
        <w:shd w:val="clear" w:color="auto" w:fill="FFFFFF" w:themeFill="background1"/>
      </w:tcPr>
    </w:tblStylePr>
    <w:tblStylePr w:type="lastCol">
      <w:tblPr/>
      <w:tcPr>
        <w:tcBorders>
          <w:top w:val="nil"/>
          <w:left w:val="single" w:sz="8" w:space="0" w:color="63D0D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3F7" w:themeFill="accent1" w:themeFillTint="3F"/>
      </w:tcPr>
    </w:tblStylePr>
    <w:tblStylePr w:type="band1Horz">
      <w:tblPr/>
      <w:tcPr>
        <w:tcBorders>
          <w:top w:val="nil"/>
          <w:bottom w:val="nil"/>
          <w:insideH w:val="nil"/>
          <w:insideV w:val="nil"/>
        </w:tcBorders>
        <w:shd w:val="clear" w:color="auto" w:fill="D8F3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C9C9CA" w:themeColor="accent2"/>
        <w:left w:val="single" w:sz="8" w:space="0" w:color="C9C9CA" w:themeColor="accent2"/>
        <w:bottom w:val="single" w:sz="8" w:space="0" w:color="C9C9CA" w:themeColor="accent2"/>
        <w:right w:val="single" w:sz="8" w:space="0" w:color="C9C9CA" w:themeColor="accent2"/>
      </w:tblBorders>
    </w:tblPr>
    <w:tblStylePr w:type="firstRow">
      <w:rPr>
        <w:sz w:val="24"/>
        <w:szCs w:val="24"/>
      </w:rPr>
      <w:tblPr/>
      <w:tcPr>
        <w:tcBorders>
          <w:top w:val="nil"/>
          <w:left w:val="nil"/>
          <w:bottom w:val="single" w:sz="24" w:space="0" w:color="C9C9C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9C9CA" w:themeColor="accent2"/>
          <w:insideH w:val="nil"/>
          <w:insideV w:val="nil"/>
        </w:tcBorders>
        <w:shd w:val="clear" w:color="auto" w:fill="FFFFFF" w:themeFill="background1"/>
      </w:tcPr>
    </w:tblStylePr>
    <w:tblStylePr w:type="lastCol">
      <w:tblPr/>
      <w:tcPr>
        <w:tcBorders>
          <w:top w:val="nil"/>
          <w:left w:val="single" w:sz="8" w:space="0" w:color="C9C9C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1F1" w:themeFill="accent2" w:themeFillTint="3F"/>
      </w:tcPr>
    </w:tblStylePr>
    <w:tblStylePr w:type="band1Horz">
      <w:tblPr/>
      <w:tcPr>
        <w:tcBorders>
          <w:top w:val="nil"/>
          <w:bottom w:val="nil"/>
          <w:insideH w:val="nil"/>
          <w:insideV w:val="nil"/>
        </w:tcBorders>
        <w:shd w:val="clear" w:color="auto" w:fill="F1F1F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63D0DF" w:themeColor="accent3"/>
        <w:left w:val="single" w:sz="8" w:space="0" w:color="63D0DF" w:themeColor="accent3"/>
        <w:bottom w:val="single" w:sz="8" w:space="0" w:color="63D0DF" w:themeColor="accent3"/>
        <w:right w:val="single" w:sz="8" w:space="0" w:color="63D0DF" w:themeColor="accent3"/>
      </w:tblBorders>
    </w:tblPr>
    <w:tblStylePr w:type="firstRow">
      <w:rPr>
        <w:sz w:val="24"/>
        <w:szCs w:val="24"/>
      </w:rPr>
      <w:tblPr/>
      <w:tcPr>
        <w:tcBorders>
          <w:top w:val="nil"/>
          <w:left w:val="nil"/>
          <w:bottom w:val="single" w:sz="24" w:space="0" w:color="63D0D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D0DF" w:themeColor="accent3"/>
          <w:insideH w:val="nil"/>
          <w:insideV w:val="nil"/>
        </w:tcBorders>
        <w:shd w:val="clear" w:color="auto" w:fill="FFFFFF" w:themeFill="background1"/>
      </w:tcPr>
    </w:tblStylePr>
    <w:tblStylePr w:type="lastCol">
      <w:tblPr/>
      <w:tcPr>
        <w:tcBorders>
          <w:top w:val="nil"/>
          <w:left w:val="single" w:sz="8" w:space="0" w:color="63D0D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3F7" w:themeFill="accent3" w:themeFillTint="3F"/>
      </w:tcPr>
    </w:tblStylePr>
    <w:tblStylePr w:type="band1Horz">
      <w:tblPr/>
      <w:tcPr>
        <w:tcBorders>
          <w:top w:val="nil"/>
          <w:bottom w:val="nil"/>
          <w:insideH w:val="nil"/>
          <w:insideV w:val="nil"/>
        </w:tcBorders>
        <w:shd w:val="clear" w:color="auto" w:fill="D8F3F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A1A1A1" w:themeColor="accent4"/>
        <w:left w:val="single" w:sz="8" w:space="0" w:color="A1A1A1" w:themeColor="accent4"/>
        <w:bottom w:val="single" w:sz="8" w:space="0" w:color="A1A1A1" w:themeColor="accent4"/>
        <w:right w:val="single" w:sz="8" w:space="0" w:color="A1A1A1" w:themeColor="accent4"/>
      </w:tblBorders>
    </w:tblPr>
    <w:tblStylePr w:type="firstRow">
      <w:rPr>
        <w:sz w:val="24"/>
        <w:szCs w:val="24"/>
      </w:rPr>
      <w:tblPr/>
      <w:tcPr>
        <w:tcBorders>
          <w:top w:val="nil"/>
          <w:left w:val="nil"/>
          <w:bottom w:val="single" w:sz="24" w:space="0" w:color="A1A1A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A1A1" w:themeColor="accent4"/>
          <w:insideH w:val="nil"/>
          <w:insideV w:val="nil"/>
        </w:tcBorders>
        <w:shd w:val="clear" w:color="auto" w:fill="FFFFFF" w:themeFill="background1"/>
      </w:tcPr>
    </w:tblStylePr>
    <w:tblStylePr w:type="lastCol">
      <w:tblPr/>
      <w:tcPr>
        <w:tcBorders>
          <w:top w:val="nil"/>
          <w:left w:val="single" w:sz="8" w:space="0" w:color="A1A1A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7E7" w:themeFill="accent4" w:themeFillTint="3F"/>
      </w:tcPr>
    </w:tblStylePr>
    <w:tblStylePr w:type="band1Horz">
      <w:tblPr/>
      <w:tcPr>
        <w:tcBorders>
          <w:top w:val="nil"/>
          <w:bottom w:val="nil"/>
          <w:insideH w:val="nil"/>
          <w:insideV w:val="nil"/>
        </w:tcBorders>
        <w:shd w:val="clear" w:color="auto" w:fill="E7E7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63D0DF" w:themeColor="accent5"/>
        <w:left w:val="single" w:sz="8" w:space="0" w:color="63D0DF" w:themeColor="accent5"/>
        <w:bottom w:val="single" w:sz="8" w:space="0" w:color="63D0DF" w:themeColor="accent5"/>
        <w:right w:val="single" w:sz="8" w:space="0" w:color="63D0DF" w:themeColor="accent5"/>
      </w:tblBorders>
    </w:tblPr>
    <w:tblStylePr w:type="firstRow">
      <w:rPr>
        <w:sz w:val="24"/>
        <w:szCs w:val="24"/>
      </w:rPr>
      <w:tblPr/>
      <w:tcPr>
        <w:tcBorders>
          <w:top w:val="nil"/>
          <w:left w:val="nil"/>
          <w:bottom w:val="single" w:sz="24" w:space="0" w:color="63D0D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D0DF" w:themeColor="accent5"/>
          <w:insideH w:val="nil"/>
          <w:insideV w:val="nil"/>
        </w:tcBorders>
        <w:shd w:val="clear" w:color="auto" w:fill="FFFFFF" w:themeFill="background1"/>
      </w:tcPr>
    </w:tblStylePr>
    <w:tblStylePr w:type="lastCol">
      <w:tblPr/>
      <w:tcPr>
        <w:tcBorders>
          <w:top w:val="nil"/>
          <w:left w:val="single" w:sz="8" w:space="0" w:color="63D0D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3F7" w:themeFill="accent5" w:themeFillTint="3F"/>
      </w:tcPr>
    </w:tblStylePr>
    <w:tblStylePr w:type="band1Horz">
      <w:tblPr/>
      <w:tcPr>
        <w:tcBorders>
          <w:top w:val="nil"/>
          <w:bottom w:val="nil"/>
          <w:insideH w:val="nil"/>
          <w:insideV w:val="nil"/>
        </w:tcBorders>
        <w:shd w:val="clear" w:color="auto" w:fill="D8F3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A1A1A1" w:themeColor="accent6"/>
        <w:left w:val="single" w:sz="8" w:space="0" w:color="A1A1A1" w:themeColor="accent6"/>
        <w:bottom w:val="single" w:sz="8" w:space="0" w:color="A1A1A1" w:themeColor="accent6"/>
        <w:right w:val="single" w:sz="8" w:space="0" w:color="A1A1A1" w:themeColor="accent6"/>
      </w:tblBorders>
    </w:tblPr>
    <w:tblStylePr w:type="firstRow">
      <w:rPr>
        <w:sz w:val="24"/>
        <w:szCs w:val="24"/>
      </w:rPr>
      <w:tblPr/>
      <w:tcPr>
        <w:tcBorders>
          <w:top w:val="nil"/>
          <w:left w:val="nil"/>
          <w:bottom w:val="single" w:sz="24" w:space="0" w:color="A1A1A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A1A1" w:themeColor="accent6"/>
          <w:insideH w:val="nil"/>
          <w:insideV w:val="nil"/>
        </w:tcBorders>
        <w:shd w:val="clear" w:color="auto" w:fill="FFFFFF" w:themeFill="background1"/>
      </w:tcPr>
    </w:tblStylePr>
    <w:tblStylePr w:type="lastCol">
      <w:tblPr/>
      <w:tcPr>
        <w:tcBorders>
          <w:top w:val="nil"/>
          <w:left w:val="single" w:sz="8" w:space="0" w:color="A1A1A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7E7" w:themeFill="accent6" w:themeFillTint="3F"/>
      </w:tcPr>
    </w:tblStylePr>
    <w:tblStylePr w:type="band1Horz">
      <w:tblPr/>
      <w:tcPr>
        <w:tcBorders>
          <w:top w:val="nil"/>
          <w:bottom w:val="nil"/>
          <w:insideH w:val="nil"/>
          <w:insideV w:val="nil"/>
        </w:tcBorders>
        <w:shd w:val="clear" w:color="auto" w:fill="E7E7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unhideWhenUsed/>
    <w:rsid w:val="001F6DC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unhideWhenUsed/>
    <w:rsid w:val="001F6DC1"/>
    <w:tblPr>
      <w:tblStyleRowBandSize w:val="1"/>
      <w:tblStyleColBandSize w:val="1"/>
      <w:tblBorders>
        <w:top w:val="single" w:sz="8" w:space="0" w:color="8ADBE7" w:themeColor="accent1" w:themeTint="BF"/>
        <w:left w:val="single" w:sz="8" w:space="0" w:color="8ADBE7" w:themeColor="accent1" w:themeTint="BF"/>
        <w:bottom w:val="single" w:sz="8" w:space="0" w:color="8ADBE7" w:themeColor="accent1" w:themeTint="BF"/>
        <w:right w:val="single" w:sz="8" w:space="0" w:color="8ADBE7" w:themeColor="accent1" w:themeTint="BF"/>
        <w:insideH w:val="single" w:sz="8" w:space="0" w:color="8ADBE7" w:themeColor="accent1" w:themeTint="BF"/>
      </w:tblBorders>
    </w:tblPr>
    <w:tblStylePr w:type="firstRow">
      <w:pPr>
        <w:spacing w:before="0" w:after="0" w:line="240" w:lineRule="auto"/>
      </w:pPr>
      <w:rPr>
        <w:b/>
        <w:bCs/>
        <w:color w:val="FFFFFF" w:themeColor="background1"/>
      </w:rPr>
      <w:tblPr/>
      <w:tcPr>
        <w:tcBorders>
          <w:top w:val="single" w:sz="8" w:space="0" w:color="8ADBE7" w:themeColor="accent1" w:themeTint="BF"/>
          <w:left w:val="single" w:sz="8" w:space="0" w:color="8ADBE7" w:themeColor="accent1" w:themeTint="BF"/>
          <w:bottom w:val="single" w:sz="8" w:space="0" w:color="8ADBE7" w:themeColor="accent1" w:themeTint="BF"/>
          <w:right w:val="single" w:sz="8" w:space="0" w:color="8ADBE7" w:themeColor="accent1" w:themeTint="BF"/>
          <w:insideH w:val="nil"/>
          <w:insideV w:val="nil"/>
        </w:tcBorders>
        <w:shd w:val="clear" w:color="auto" w:fill="63D0DF" w:themeFill="accent1"/>
      </w:tcPr>
    </w:tblStylePr>
    <w:tblStylePr w:type="lastRow">
      <w:pPr>
        <w:spacing w:before="0" w:after="0" w:line="240" w:lineRule="auto"/>
      </w:pPr>
      <w:rPr>
        <w:b/>
        <w:bCs/>
      </w:rPr>
      <w:tblPr/>
      <w:tcPr>
        <w:tcBorders>
          <w:top w:val="double" w:sz="6" w:space="0" w:color="8ADBE7" w:themeColor="accent1" w:themeTint="BF"/>
          <w:left w:val="single" w:sz="8" w:space="0" w:color="8ADBE7" w:themeColor="accent1" w:themeTint="BF"/>
          <w:bottom w:val="single" w:sz="8" w:space="0" w:color="8ADBE7" w:themeColor="accent1" w:themeTint="BF"/>
          <w:right w:val="single" w:sz="8" w:space="0" w:color="8ADBE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F3F7" w:themeFill="accent1" w:themeFillTint="3F"/>
      </w:tcPr>
    </w:tblStylePr>
    <w:tblStylePr w:type="band1Horz">
      <w:tblPr/>
      <w:tcPr>
        <w:tcBorders>
          <w:insideH w:val="nil"/>
          <w:insideV w:val="nil"/>
        </w:tcBorders>
        <w:shd w:val="clear" w:color="auto" w:fill="D8F3F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unhideWhenUsed/>
    <w:rsid w:val="001F6DC1"/>
    <w:tblPr>
      <w:tblStyleRowBandSize w:val="1"/>
      <w:tblStyleColBandSize w:val="1"/>
      <w:tblBorders>
        <w:top w:val="single" w:sz="8" w:space="0" w:color="D6D6D7" w:themeColor="accent2" w:themeTint="BF"/>
        <w:left w:val="single" w:sz="8" w:space="0" w:color="D6D6D7" w:themeColor="accent2" w:themeTint="BF"/>
        <w:bottom w:val="single" w:sz="8" w:space="0" w:color="D6D6D7" w:themeColor="accent2" w:themeTint="BF"/>
        <w:right w:val="single" w:sz="8" w:space="0" w:color="D6D6D7" w:themeColor="accent2" w:themeTint="BF"/>
        <w:insideH w:val="single" w:sz="8" w:space="0" w:color="D6D6D7" w:themeColor="accent2" w:themeTint="BF"/>
      </w:tblBorders>
    </w:tblPr>
    <w:tblStylePr w:type="firstRow">
      <w:pPr>
        <w:spacing w:before="0" w:after="0" w:line="240" w:lineRule="auto"/>
      </w:pPr>
      <w:rPr>
        <w:b/>
        <w:bCs/>
        <w:color w:val="FFFFFF" w:themeColor="background1"/>
      </w:rPr>
      <w:tblPr/>
      <w:tcPr>
        <w:tcBorders>
          <w:top w:val="single" w:sz="8" w:space="0" w:color="D6D6D7" w:themeColor="accent2" w:themeTint="BF"/>
          <w:left w:val="single" w:sz="8" w:space="0" w:color="D6D6D7" w:themeColor="accent2" w:themeTint="BF"/>
          <w:bottom w:val="single" w:sz="8" w:space="0" w:color="D6D6D7" w:themeColor="accent2" w:themeTint="BF"/>
          <w:right w:val="single" w:sz="8" w:space="0" w:color="D6D6D7" w:themeColor="accent2" w:themeTint="BF"/>
          <w:insideH w:val="nil"/>
          <w:insideV w:val="nil"/>
        </w:tcBorders>
        <w:shd w:val="clear" w:color="auto" w:fill="C9C9CA" w:themeFill="accent2"/>
      </w:tcPr>
    </w:tblStylePr>
    <w:tblStylePr w:type="lastRow">
      <w:pPr>
        <w:spacing w:before="0" w:after="0" w:line="240" w:lineRule="auto"/>
      </w:pPr>
      <w:rPr>
        <w:b/>
        <w:bCs/>
      </w:rPr>
      <w:tblPr/>
      <w:tcPr>
        <w:tcBorders>
          <w:top w:val="double" w:sz="6" w:space="0" w:color="D6D6D7" w:themeColor="accent2" w:themeTint="BF"/>
          <w:left w:val="single" w:sz="8" w:space="0" w:color="D6D6D7" w:themeColor="accent2" w:themeTint="BF"/>
          <w:bottom w:val="single" w:sz="8" w:space="0" w:color="D6D6D7" w:themeColor="accent2" w:themeTint="BF"/>
          <w:right w:val="single" w:sz="8" w:space="0" w:color="D6D6D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F1F1" w:themeFill="accent2" w:themeFillTint="3F"/>
      </w:tcPr>
    </w:tblStylePr>
    <w:tblStylePr w:type="band1Horz">
      <w:tblPr/>
      <w:tcPr>
        <w:tcBorders>
          <w:insideH w:val="nil"/>
          <w:insideV w:val="nil"/>
        </w:tcBorders>
        <w:shd w:val="clear" w:color="auto" w:fill="F1F1F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unhideWhenUsed/>
    <w:rsid w:val="001F6DC1"/>
    <w:tblPr>
      <w:tblStyleRowBandSize w:val="1"/>
      <w:tblStyleColBandSize w:val="1"/>
      <w:tblBorders>
        <w:top w:val="single" w:sz="8" w:space="0" w:color="8ADBE7" w:themeColor="accent3" w:themeTint="BF"/>
        <w:left w:val="single" w:sz="8" w:space="0" w:color="8ADBE7" w:themeColor="accent3" w:themeTint="BF"/>
        <w:bottom w:val="single" w:sz="8" w:space="0" w:color="8ADBE7" w:themeColor="accent3" w:themeTint="BF"/>
        <w:right w:val="single" w:sz="8" w:space="0" w:color="8ADBE7" w:themeColor="accent3" w:themeTint="BF"/>
        <w:insideH w:val="single" w:sz="8" w:space="0" w:color="8ADBE7" w:themeColor="accent3" w:themeTint="BF"/>
      </w:tblBorders>
    </w:tblPr>
    <w:tblStylePr w:type="firstRow">
      <w:pPr>
        <w:spacing w:before="0" w:after="0" w:line="240" w:lineRule="auto"/>
      </w:pPr>
      <w:rPr>
        <w:b/>
        <w:bCs/>
        <w:color w:val="FFFFFF" w:themeColor="background1"/>
      </w:rPr>
      <w:tblPr/>
      <w:tcPr>
        <w:tcBorders>
          <w:top w:val="single" w:sz="8" w:space="0" w:color="8ADBE7" w:themeColor="accent3" w:themeTint="BF"/>
          <w:left w:val="single" w:sz="8" w:space="0" w:color="8ADBE7" w:themeColor="accent3" w:themeTint="BF"/>
          <w:bottom w:val="single" w:sz="8" w:space="0" w:color="8ADBE7" w:themeColor="accent3" w:themeTint="BF"/>
          <w:right w:val="single" w:sz="8" w:space="0" w:color="8ADBE7" w:themeColor="accent3" w:themeTint="BF"/>
          <w:insideH w:val="nil"/>
          <w:insideV w:val="nil"/>
        </w:tcBorders>
        <w:shd w:val="clear" w:color="auto" w:fill="63D0DF" w:themeFill="accent3"/>
      </w:tcPr>
    </w:tblStylePr>
    <w:tblStylePr w:type="lastRow">
      <w:pPr>
        <w:spacing w:before="0" w:after="0" w:line="240" w:lineRule="auto"/>
      </w:pPr>
      <w:rPr>
        <w:b/>
        <w:bCs/>
      </w:rPr>
      <w:tblPr/>
      <w:tcPr>
        <w:tcBorders>
          <w:top w:val="double" w:sz="6" w:space="0" w:color="8ADBE7" w:themeColor="accent3" w:themeTint="BF"/>
          <w:left w:val="single" w:sz="8" w:space="0" w:color="8ADBE7" w:themeColor="accent3" w:themeTint="BF"/>
          <w:bottom w:val="single" w:sz="8" w:space="0" w:color="8ADBE7" w:themeColor="accent3" w:themeTint="BF"/>
          <w:right w:val="single" w:sz="8" w:space="0" w:color="8ADBE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F3F7" w:themeFill="accent3" w:themeFillTint="3F"/>
      </w:tcPr>
    </w:tblStylePr>
    <w:tblStylePr w:type="band1Horz">
      <w:tblPr/>
      <w:tcPr>
        <w:tcBorders>
          <w:insideH w:val="nil"/>
          <w:insideV w:val="nil"/>
        </w:tcBorders>
        <w:shd w:val="clear" w:color="auto" w:fill="D8F3F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unhideWhenUsed/>
    <w:rsid w:val="001F6DC1"/>
    <w:tblPr>
      <w:tblStyleRowBandSize w:val="1"/>
      <w:tblStyleColBandSize w:val="1"/>
      <w:tblBorders>
        <w:top w:val="single" w:sz="8" w:space="0" w:color="B8B8B8" w:themeColor="accent4" w:themeTint="BF"/>
        <w:left w:val="single" w:sz="8" w:space="0" w:color="B8B8B8" w:themeColor="accent4" w:themeTint="BF"/>
        <w:bottom w:val="single" w:sz="8" w:space="0" w:color="B8B8B8" w:themeColor="accent4" w:themeTint="BF"/>
        <w:right w:val="single" w:sz="8" w:space="0" w:color="B8B8B8" w:themeColor="accent4" w:themeTint="BF"/>
        <w:insideH w:val="single" w:sz="8" w:space="0" w:color="B8B8B8" w:themeColor="accent4" w:themeTint="BF"/>
      </w:tblBorders>
    </w:tblPr>
    <w:tblStylePr w:type="firstRow">
      <w:pPr>
        <w:spacing w:before="0" w:after="0" w:line="240" w:lineRule="auto"/>
      </w:pPr>
      <w:rPr>
        <w:b/>
        <w:bCs/>
        <w:color w:val="FFFFFF" w:themeColor="background1"/>
      </w:rPr>
      <w:tblPr/>
      <w:tcPr>
        <w:tcBorders>
          <w:top w:val="single" w:sz="8" w:space="0" w:color="B8B8B8" w:themeColor="accent4" w:themeTint="BF"/>
          <w:left w:val="single" w:sz="8" w:space="0" w:color="B8B8B8" w:themeColor="accent4" w:themeTint="BF"/>
          <w:bottom w:val="single" w:sz="8" w:space="0" w:color="B8B8B8" w:themeColor="accent4" w:themeTint="BF"/>
          <w:right w:val="single" w:sz="8" w:space="0" w:color="B8B8B8" w:themeColor="accent4" w:themeTint="BF"/>
          <w:insideH w:val="nil"/>
          <w:insideV w:val="nil"/>
        </w:tcBorders>
        <w:shd w:val="clear" w:color="auto" w:fill="A1A1A1" w:themeFill="accent4"/>
      </w:tcPr>
    </w:tblStylePr>
    <w:tblStylePr w:type="lastRow">
      <w:pPr>
        <w:spacing w:before="0" w:after="0" w:line="240" w:lineRule="auto"/>
      </w:pPr>
      <w:rPr>
        <w:b/>
        <w:bCs/>
      </w:rPr>
      <w:tblPr/>
      <w:tcPr>
        <w:tcBorders>
          <w:top w:val="double" w:sz="6" w:space="0" w:color="B8B8B8" w:themeColor="accent4" w:themeTint="BF"/>
          <w:left w:val="single" w:sz="8" w:space="0" w:color="B8B8B8" w:themeColor="accent4" w:themeTint="BF"/>
          <w:bottom w:val="single" w:sz="8" w:space="0" w:color="B8B8B8" w:themeColor="accent4" w:themeTint="BF"/>
          <w:right w:val="single" w:sz="8" w:space="0" w:color="B8B8B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7E7" w:themeFill="accent4" w:themeFillTint="3F"/>
      </w:tcPr>
    </w:tblStylePr>
    <w:tblStylePr w:type="band1Horz">
      <w:tblPr/>
      <w:tcPr>
        <w:tcBorders>
          <w:insideH w:val="nil"/>
          <w:insideV w:val="nil"/>
        </w:tcBorders>
        <w:shd w:val="clear" w:color="auto" w:fill="E7E7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unhideWhenUsed/>
    <w:rsid w:val="001F6DC1"/>
    <w:tblPr>
      <w:tblStyleRowBandSize w:val="1"/>
      <w:tblStyleColBandSize w:val="1"/>
      <w:tblBorders>
        <w:top w:val="single" w:sz="8" w:space="0" w:color="8ADBE7" w:themeColor="accent5" w:themeTint="BF"/>
        <w:left w:val="single" w:sz="8" w:space="0" w:color="8ADBE7" w:themeColor="accent5" w:themeTint="BF"/>
        <w:bottom w:val="single" w:sz="8" w:space="0" w:color="8ADBE7" w:themeColor="accent5" w:themeTint="BF"/>
        <w:right w:val="single" w:sz="8" w:space="0" w:color="8ADBE7" w:themeColor="accent5" w:themeTint="BF"/>
        <w:insideH w:val="single" w:sz="8" w:space="0" w:color="8ADBE7" w:themeColor="accent5" w:themeTint="BF"/>
      </w:tblBorders>
    </w:tblPr>
    <w:tblStylePr w:type="firstRow">
      <w:pPr>
        <w:spacing w:before="0" w:after="0" w:line="240" w:lineRule="auto"/>
      </w:pPr>
      <w:rPr>
        <w:b/>
        <w:bCs/>
        <w:color w:val="FFFFFF" w:themeColor="background1"/>
      </w:rPr>
      <w:tblPr/>
      <w:tcPr>
        <w:tcBorders>
          <w:top w:val="single" w:sz="8" w:space="0" w:color="8ADBE7" w:themeColor="accent5" w:themeTint="BF"/>
          <w:left w:val="single" w:sz="8" w:space="0" w:color="8ADBE7" w:themeColor="accent5" w:themeTint="BF"/>
          <w:bottom w:val="single" w:sz="8" w:space="0" w:color="8ADBE7" w:themeColor="accent5" w:themeTint="BF"/>
          <w:right w:val="single" w:sz="8" w:space="0" w:color="8ADBE7" w:themeColor="accent5" w:themeTint="BF"/>
          <w:insideH w:val="nil"/>
          <w:insideV w:val="nil"/>
        </w:tcBorders>
        <w:shd w:val="clear" w:color="auto" w:fill="63D0DF" w:themeFill="accent5"/>
      </w:tcPr>
    </w:tblStylePr>
    <w:tblStylePr w:type="lastRow">
      <w:pPr>
        <w:spacing w:before="0" w:after="0" w:line="240" w:lineRule="auto"/>
      </w:pPr>
      <w:rPr>
        <w:b/>
        <w:bCs/>
      </w:rPr>
      <w:tblPr/>
      <w:tcPr>
        <w:tcBorders>
          <w:top w:val="double" w:sz="6" w:space="0" w:color="8ADBE7" w:themeColor="accent5" w:themeTint="BF"/>
          <w:left w:val="single" w:sz="8" w:space="0" w:color="8ADBE7" w:themeColor="accent5" w:themeTint="BF"/>
          <w:bottom w:val="single" w:sz="8" w:space="0" w:color="8ADBE7" w:themeColor="accent5" w:themeTint="BF"/>
          <w:right w:val="single" w:sz="8" w:space="0" w:color="8ADBE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F3F7" w:themeFill="accent5" w:themeFillTint="3F"/>
      </w:tcPr>
    </w:tblStylePr>
    <w:tblStylePr w:type="band1Horz">
      <w:tblPr/>
      <w:tcPr>
        <w:tcBorders>
          <w:insideH w:val="nil"/>
          <w:insideV w:val="nil"/>
        </w:tcBorders>
        <w:shd w:val="clear" w:color="auto" w:fill="D8F3F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unhideWhenUsed/>
    <w:rsid w:val="001F6DC1"/>
    <w:tblPr>
      <w:tblStyleRowBandSize w:val="1"/>
      <w:tblStyleColBandSize w:val="1"/>
      <w:tblBorders>
        <w:top w:val="single" w:sz="8" w:space="0" w:color="B8B8B8" w:themeColor="accent6" w:themeTint="BF"/>
        <w:left w:val="single" w:sz="8" w:space="0" w:color="B8B8B8" w:themeColor="accent6" w:themeTint="BF"/>
        <w:bottom w:val="single" w:sz="8" w:space="0" w:color="B8B8B8" w:themeColor="accent6" w:themeTint="BF"/>
        <w:right w:val="single" w:sz="8" w:space="0" w:color="B8B8B8" w:themeColor="accent6" w:themeTint="BF"/>
        <w:insideH w:val="single" w:sz="8" w:space="0" w:color="B8B8B8" w:themeColor="accent6" w:themeTint="BF"/>
      </w:tblBorders>
    </w:tblPr>
    <w:tblStylePr w:type="firstRow">
      <w:pPr>
        <w:spacing w:before="0" w:after="0" w:line="240" w:lineRule="auto"/>
      </w:pPr>
      <w:rPr>
        <w:b/>
        <w:bCs/>
        <w:color w:val="FFFFFF" w:themeColor="background1"/>
      </w:rPr>
      <w:tblPr/>
      <w:tcPr>
        <w:tcBorders>
          <w:top w:val="single" w:sz="8" w:space="0" w:color="B8B8B8" w:themeColor="accent6" w:themeTint="BF"/>
          <w:left w:val="single" w:sz="8" w:space="0" w:color="B8B8B8" w:themeColor="accent6" w:themeTint="BF"/>
          <w:bottom w:val="single" w:sz="8" w:space="0" w:color="B8B8B8" w:themeColor="accent6" w:themeTint="BF"/>
          <w:right w:val="single" w:sz="8" w:space="0" w:color="B8B8B8" w:themeColor="accent6" w:themeTint="BF"/>
          <w:insideH w:val="nil"/>
          <w:insideV w:val="nil"/>
        </w:tcBorders>
        <w:shd w:val="clear" w:color="auto" w:fill="A1A1A1" w:themeFill="accent6"/>
      </w:tcPr>
    </w:tblStylePr>
    <w:tblStylePr w:type="lastRow">
      <w:pPr>
        <w:spacing w:before="0" w:after="0" w:line="240" w:lineRule="auto"/>
      </w:pPr>
      <w:rPr>
        <w:b/>
        <w:bCs/>
      </w:rPr>
      <w:tblPr/>
      <w:tcPr>
        <w:tcBorders>
          <w:top w:val="double" w:sz="6" w:space="0" w:color="B8B8B8" w:themeColor="accent6" w:themeTint="BF"/>
          <w:left w:val="single" w:sz="8" w:space="0" w:color="B8B8B8" w:themeColor="accent6" w:themeTint="BF"/>
          <w:bottom w:val="single" w:sz="8" w:space="0" w:color="B8B8B8" w:themeColor="accent6" w:themeTint="BF"/>
          <w:right w:val="single" w:sz="8" w:space="0" w:color="B8B8B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7E7E7" w:themeFill="accent6" w:themeFillTint="3F"/>
      </w:tcPr>
    </w:tblStylePr>
    <w:tblStylePr w:type="band1Horz">
      <w:tblPr/>
      <w:tcPr>
        <w:tcBorders>
          <w:insideH w:val="nil"/>
          <w:insideV w:val="nil"/>
        </w:tcBorders>
        <w:shd w:val="clear" w:color="auto" w:fill="E7E7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D0D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D0DF" w:themeFill="accent1"/>
      </w:tcPr>
    </w:tblStylePr>
    <w:tblStylePr w:type="lastCol">
      <w:rPr>
        <w:b/>
        <w:bCs/>
        <w:color w:val="FFFFFF" w:themeColor="background1"/>
      </w:rPr>
      <w:tblPr/>
      <w:tcPr>
        <w:tcBorders>
          <w:left w:val="nil"/>
          <w:right w:val="nil"/>
          <w:insideH w:val="nil"/>
          <w:insideV w:val="nil"/>
        </w:tcBorders>
        <w:shd w:val="clear" w:color="auto" w:fill="63D0D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C9C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9C9CA" w:themeFill="accent2"/>
      </w:tcPr>
    </w:tblStylePr>
    <w:tblStylePr w:type="lastCol">
      <w:rPr>
        <w:b/>
        <w:bCs/>
        <w:color w:val="FFFFFF" w:themeColor="background1"/>
      </w:rPr>
      <w:tblPr/>
      <w:tcPr>
        <w:tcBorders>
          <w:left w:val="nil"/>
          <w:right w:val="nil"/>
          <w:insideH w:val="nil"/>
          <w:insideV w:val="nil"/>
        </w:tcBorders>
        <w:shd w:val="clear" w:color="auto" w:fill="C9C9C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D0D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D0DF" w:themeFill="accent3"/>
      </w:tcPr>
    </w:tblStylePr>
    <w:tblStylePr w:type="lastCol">
      <w:rPr>
        <w:b/>
        <w:bCs/>
        <w:color w:val="FFFFFF" w:themeColor="background1"/>
      </w:rPr>
      <w:tblPr/>
      <w:tcPr>
        <w:tcBorders>
          <w:left w:val="nil"/>
          <w:right w:val="nil"/>
          <w:insideH w:val="nil"/>
          <w:insideV w:val="nil"/>
        </w:tcBorders>
        <w:shd w:val="clear" w:color="auto" w:fill="63D0D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A1A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1A1A1" w:themeFill="accent4"/>
      </w:tcPr>
    </w:tblStylePr>
    <w:tblStylePr w:type="lastCol">
      <w:rPr>
        <w:b/>
        <w:bCs/>
        <w:color w:val="FFFFFF" w:themeColor="background1"/>
      </w:rPr>
      <w:tblPr/>
      <w:tcPr>
        <w:tcBorders>
          <w:left w:val="nil"/>
          <w:right w:val="nil"/>
          <w:insideH w:val="nil"/>
          <w:insideV w:val="nil"/>
        </w:tcBorders>
        <w:shd w:val="clear" w:color="auto" w:fill="A1A1A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D0D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D0DF" w:themeFill="accent5"/>
      </w:tcPr>
    </w:tblStylePr>
    <w:tblStylePr w:type="lastCol">
      <w:rPr>
        <w:b/>
        <w:bCs/>
        <w:color w:val="FFFFFF" w:themeColor="background1"/>
      </w:rPr>
      <w:tblPr/>
      <w:tcPr>
        <w:tcBorders>
          <w:left w:val="nil"/>
          <w:right w:val="nil"/>
          <w:insideH w:val="nil"/>
          <w:insideV w:val="nil"/>
        </w:tcBorders>
        <w:shd w:val="clear" w:color="auto" w:fill="63D0D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A1A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1A1A1" w:themeFill="accent6"/>
      </w:tcPr>
    </w:tblStylePr>
    <w:tblStylePr w:type="lastCol">
      <w:rPr>
        <w:b/>
        <w:bCs/>
        <w:color w:val="FFFFFF" w:themeColor="background1"/>
      </w:rPr>
      <w:tblPr/>
      <w:tcPr>
        <w:tcBorders>
          <w:left w:val="nil"/>
          <w:right w:val="nil"/>
          <w:insideH w:val="nil"/>
          <w:insideV w:val="nil"/>
        </w:tcBorders>
        <w:shd w:val="clear" w:color="auto" w:fill="A1A1A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able3Deffects1">
    <w:name w:val="Table 3D effects 1"/>
    <w:basedOn w:val="TableNormal"/>
    <w:uiPriority w:val="98"/>
    <w:semiHidden/>
    <w:unhideWhenUsed/>
    <w:rsid w:val="001F6DC1"/>
    <w:pPr>
      <w:spacing w:after="227"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semiHidden/>
    <w:unhideWhenUsed/>
    <w:rsid w:val="001F6DC1"/>
    <w:pPr>
      <w:spacing w:after="227" w:line="22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semiHidden/>
    <w:unhideWhenUsed/>
    <w:rsid w:val="001F6DC1"/>
    <w:pPr>
      <w:spacing w:after="227" w:line="22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semiHidden/>
    <w:unhideWhenUsed/>
    <w:rsid w:val="001F6DC1"/>
    <w:pPr>
      <w:spacing w:after="227" w:line="22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semiHidden/>
    <w:unhideWhenUsed/>
    <w:rsid w:val="001F6DC1"/>
    <w:pPr>
      <w:spacing w:after="227" w:line="22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semiHidden/>
    <w:unhideWhenUsed/>
    <w:rsid w:val="001F6DC1"/>
    <w:pPr>
      <w:spacing w:after="227" w:line="22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semiHidden/>
    <w:unhideWhenUsed/>
    <w:rsid w:val="001F6DC1"/>
    <w:pPr>
      <w:spacing w:after="227" w:line="22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semiHidden/>
    <w:unhideWhenUsed/>
    <w:rsid w:val="001F6DC1"/>
    <w:pPr>
      <w:spacing w:after="227" w:line="22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semiHidden/>
    <w:unhideWhenUsed/>
    <w:rsid w:val="001F6DC1"/>
    <w:pPr>
      <w:spacing w:after="227" w:line="22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semiHidden/>
    <w:unhideWhenUsed/>
    <w:rsid w:val="001F6DC1"/>
    <w:pPr>
      <w:spacing w:after="227" w:line="22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semiHidden/>
    <w:unhideWhenUsed/>
    <w:rsid w:val="001F6DC1"/>
    <w:pPr>
      <w:spacing w:after="227" w:line="22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semiHidden/>
    <w:unhideWhenUsed/>
    <w:rsid w:val="001F6DC1"/>
    <w:pPr>
      <w:spacing w:after="227" w:line="22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semiHidden/>
    <w:unhideWhenUsed/>
    <w:rsid w:val="001F6DC1"/>
    <w:pPr>
      <w:spacing w:after="227" w:line="22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semiHidden/>
    <w:unhideWhenUsed/>
    <w:rsid w:val="001F6DC1"/>
    <w:pPr>
      <w:spacing w:after="227" w:line="22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unhideWhenUsed/>
    <w:rsid w:val="001F6DC1"/>
    <w:pPr>
      <w:spacing w:after="227"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unhideWhenUsed/>
    <w:rsid w:val="001F6DC1"/>
    <w:pPr>
      <w:spacing w:after="227" w:line="22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semiHidden/>
    <w:unhideWhenUsed/>
    <w:rsid w:val="001F6DC1"/>
    <w:pPr>
      <w:spacing w:after="227" w:line="22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8"/>
    <w:semiHidden/>
    <w:unhideWhenUsed/>
    <w:rsid w:val="001F6DC1"/>
    <w:pPr>
      <w:spacing w:after="227"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semiHidden/>
    <w:unhideWhenUsed/>
    <w:rsid w:val="001F6DC1"/>
    <w:pPr>
      <w:spacing w:after="227" w:line="22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semiHidden/>
    <w:unhideWhenUsed/>
    <w:rsid w:val="001F6DC1"/>
    <w:pPr>
      <w:spacing w:after="227" w:line="22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semiHidden/>
    <w:unhideWhenUsed/>
    <w:rsid w:val="001F6DC1"/>
    <w:pPr>
      <w:spacing w:after="227" w:line="22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semiHidden/>
    <w:unhideWhenUsed/>
    <w:rsid w:val="001F6DC1"/>
    <w:pPr>
      <w:spacing w:after="227" w:line="22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semiHidden/>
    <w:unhideWhenUsed/>
    <w:rsid w:val="001F6DC1"/>
    <w:pPr>
      <w:spacing w:after="227" w:line="22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semiHidden/>
    <w:unhideWhenUsed/>
    <w:rsid w:val="001F6DC1"/>
    <w:pPr>
      <w:spacing w:after="227" w:line="22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semiHidden/>
    <w:unhideWhenUsed/>
    <w:rsid w:val="001F6DC1"/>
    <w:pPr>
      <w:spacing w:after="227" w:line="22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8"/>
    <w:semiHidden/>
    <w:rsid w:val="001F6D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8"/>
    <w:semiHidden/>
    <w:unhideWhenUsed/>
    <w:rsid w:val="001F6DC1"/>
    <w:pPr>
      <w:spacing w:after="227" w:line="22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semiHidden/>
    <w:unhideWhenUsed/>
    <w:rsid w:val="001F6DC1"/>
    <w:pPr>
      <w:spacing w:after="227" w:line="22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semiHidden/>
    <w:unhideWhenUsed/>
    <w:rsid w:val="001F6DC1"/>
    <w:pPr>
      <w:spacing w:after="227" w:line="2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semiHidden/>
    <w:unhideWhenUsed/>
    <w:rsid w:val="001F6DC1"/>
    <w:pPr>
      <w:spacing w:after="227" w:line="22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semiHidden/>
    <w:unhideWhenUsed/>
    <w:rsid w:val="001F6DC1"/>
    <w:pPr>
      <w:spacing w:after="227" w:line="22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semiHidden/>
    <w:unhideWhenUsed/>
    <w:rsid w:val="001F6DC1"/>
    <w:pPr>
      <w:spacing w:after="227" w:line="22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semiHidden/>
    <w:unhideWhenUsed/>
    <w:rsid w:val="001F6DC1"/>
    <w:pPr>
      <w:spacing w:after="227" w:line="22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semiHidden/>
    <w:unhideWhenUsed/>
    <w:rsid w:val="001F6DC1"/>
    <w:pPr>
      <w:spacing w:after="227" w:line="22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8"/>
    <w:semiHidden/>
    <w:unhideWhenUsed/>
    <w:rsid w:val="001F6DC1"/>
    <w:pPr>
      <w:spacing w:after="227"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semiHidden/>
    <w:unhideWhenUsed/>
    <w:rsid w:val="001F6DC1"/>
    <w:pPr>
      <w:spacing w:after="227" w:line="22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semiHidden/>
    <w:unhideWhenUsed/>
    <w:rsid w:val="001F6DC1"/>
    <w:pPr>
      <w:spacing w:after="227"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semiHidden/>
    <w:unhideWhenUsed/>
    <w:rsid w:val="001F6DC1"/>
    <w:pPr>
      <w:spacing w:after="227" w:line="22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semiHidden/>
    <w:unhideWhenUsed/>
    <w:rsid w:val="001F6DC1"/>
    <w:pPr>
      <w:spacing w:after="227" w:line="22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semiHidden/>
    <w:unhideWhenUsed/>
    <w:rsid w:val="001F6DC1"/>
    <w:pPr>
      <w:spacing w:after="227" w:line="22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semiHidden/>
    <w:unhideWhenUsed/>
    <w:rsid w:val="001F6DC1"/>
    <w:pPr>
      <w:spacing w:after="227"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semiHidden/>
    <w:unhideWhenUsed/>
    <w:rsid w:val="001F6DC1"/>
    <w:pPr>
      <w:spacing w:after="227" w:line="22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semiHidden/>
    <w:unhideWhenUsed/>
    <w:rsid w:val="001F6DC1"/>
    <w:pPr>
      <w:spacing w:after="227" w:line="22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semiHidden/>
    <w:unhideWhenUsed/>
    <w:rsid w:val="001F6DC1"/>
    <w:pPr>
      <w:spacing w:after="227" w:line="22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Title"/>
    <w:next w:val="Normal"/>
    <w:uiPriority w:val="39"/>
    <w:qFormat/>
    <w:rsid w:val="00145656"/>
    <w:pPr>
      <w:framePr w:w="0" w:wrap="auto" w:vAnchor="margin" w:yAlign="inline"/>
      <w:spacing w:before="0" w:after="720" w:line="240" w:lineRule="auto"/>
      <w:outlineLvl w:val="9"/>
    </w:pPr>
    <w:rPr>
      <w:b w:val="0"/>
      <w:caps/>
      <w:color w:val="1D336D" w:themeColor="background2"/>
    </w:rPr>
  </w:style>
  <w:style w:type="character" w:customStyle="1" w:styleId="Heading8Char">
    <w:name w:val="Heading 8 Char"/>
    <w:basedOn w:val="DefaultParagraphFont"/>
    <w:link w:val="Heading8"/>
    <w:uiPriority w:val="1"/>
    <w:semiHidden/>
    <w:rsid w:val="000E3939"/>
    <w:rPr>
      <w:rFonts w:asciiTheme="majorHAnsi" w:eastAsiaTheme="majorEastAsia" w:hAnsiTheme="majorHAnsi" w:cstheme="majorBidi"/>
      <w:i/>
      <w:color w:val="1D336D" w:themeColor="background2"/>
      <w:szCs w:val="21"/>
    </w:rPr>
  </w:style>
  <w:style w:type="character" w:customStyle="1" w:styleId="Heading9Char">
    <w:name w:val="Heading 9 Char"/>
    <w:basedOn w:val="DefaultParagraphFont"/>
    <w:link w:val="Heading9"/>
    <w:uiPriority w:val="1"/>
    <w:semiHidden/>
    <w:rsid w:val="000E3939"/>
    <w:rPr>
      <w:rFonts w:asciiTheme="majorHAnsi" w:eastAsiaTheme="majorEastAsia" w:hAnsiTheme="majorHAnsi" w:cstheme="majorBidi"/>
      <w:i/>
      <w:iCs/>
      <w:color w:val="000000"/>
      <w:szCs w:val="21"/>
    </w:rPr>
  </w:style>
  <w:style w:type="paragraph" w:customStyle="1" w:styleId="HeaderText">
    <w:name w:val="Header Text"/>
    <w:basedOn w:val="Normal"/>
    <w:uiPriority w:val="12"/>
    <w:semiHidden/>
    <w:rsid w:val="00692E69"/>
    <w:pPr>
      <w:spacing w:line="204" w:lineRule="auto"/>
    </w:pPr>
    <w:rPr>
      <w:rFonts w:asciiTheme="majorHAnsi" w:hAnsiTheme="majorHAnsi"/>
      <w:b/>
      <w:color w:val="585858" w:themeColor="text2"/>
      <w:sz w:val="40"/>
    </w:rPr>
  </w:style>
  <w:style w:type="paragraph" w:customStyle="1" w:styleId="IntroCopy">
    <w:name w:val="Intro Copy"/>
    <w:basedOn w:val="Normal"/>
    <w:uiPriority w:val="2"/>
    <w:qFormat/>
    <w:rsid w:val="006E5C00"/>
    <w:pPr>
      <w:spacing w:before="240" w:after="240" w:line="340" w:lineRule="atLeast"/>
    </w:pPr>
    <w:rPr>
      <w:i/>
      <w:color w:val="2294CD"/>
      <w:sz w:val="24"/>
    </w:rPr>
  </w:style>
  <w:style w:type="paragraph" w:customStyle="1" w:styleId="SourceNotes">
    <w:name w:val="Source Notes"/>
    <w:basedOn w:val="Normal"/>
    <w:uiPriority w:val="12"/>
    <w:qFormat/>
    <w:rsid w:val="002637CE"/>
    <w:pPr>
      <w:spacing w:before="40" w:line="240" w:lineRule="atLeast"/>
    </w:pPr>
    <w:rPr>
      <w:color w:val="507CB9"/>
      <w:sz w:val="18"/>
    </w:rPr>
  </w:style>
  <w:style w:type="paragraph" w:styleId="FootnoteText">
    <w:name w:val="footnote text"/>
    <w:basedOn w:val="Normal"/>
    <w:link w:val="FootnoteTextChar"/>
    <w:uiPriority w:val="99"/>
    <w:qFormat/>
    <w:rsid w:val="00847E29"/>
    <w:pPr>
      <w:spacing w:after="20" w:line="160" w:lineRule="atLeast"/>
    </w:pPr>
    <w:rPr>
      <w:sz w:val="14"/>
      <w:szCs w:val="20"/>
    </w:rPr>
  </w:style>
  <w:style w:type="table" w:customStyle="1" w:styleId="TableGrid20">
    <w:name w:val="Table Grid2"/>
    <w:basedOn w:val="TableNormal"/>
    <w:next w:val="TableGrid"/>
    <w:uiPriority w:val="39"/>
    <w:rsid w:val="0012294A"/>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lain">
    <w:name w:val="_Table Plain"/>
    <w:basedOn w:val="TableNormal"/>
    <w:uiPriority w:val="99"/>
    <w:rsid w:val="00AF488E"/>
    <w:rPr>
      <w:rFonts w:asciiTheme="minorHAnsi" w:hAnsiTheme="minorHAnsi"/>
    </w:rPr>
    <w:tblPr>
      <w:tblStyleRowBandSize w:val="1"/>
      <w:tblBorders>
        <w:top w:val="single" w:sz="4" w:space="0" w:color="2294CD"/>
        <w:bottom w:val="single" w:sz="4" w:space="0" w:color="2294CD"/>
        <w:insideH w:val="single" w:sz="4" w:space="0" w:color="2294CD"/>
      </w:tblBorders>
      <w:tblCellMar>
        <w:top w:w="85" w:type="dxa"/>
        <w:left w:w="85" w:type="dxa"/>
        <w:bottom w:w="85" w:type="dxa"/>
        <w:right w:w="85" w:type="dxa"/>
      </w:tblCellMar>
    </w:tblPr>
    <w:tblStylePr w:type="firstRow">
      <w:rPr>
        <w:rFonts w:asciiTheme="majorHAnsi" w:hAnsiTheme="majorHAnsi"/>
        <w:b w:val="0"/>
        <w:color w:val="1D336D" w:themeColor="background2"/>
      </w:rPr>
      <w:tblPr/>
      <w:tcPr>
        <w:tcBorders>
          <w:top w:val="nil"/>
          <w:bottom w:val="single" w:sz="12" w:space="0" w:color="2294CD"/>
        </w:tcBorders>
      </w:tcPr>
    </w:tblStylePr>
    <w:tblStylePr w:type="firstCol">
      <w:tblPr/>
      <w:tcPr>
        <w:shd w:val="clear" w:color="auto" w:fill="F2F2F2" w:themeFill="background1" w:themeFillShade="F2"/>
      </w:tcPr>
    </w:tblStylePr>
    <w:tblStylePr w:type="lastCol">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umberedHeading1">
    <w:name w:val="Numbered Heading 1"/>
    <w:basedOn w:val="Heading1"/>
    <w:next w:val="Normal"/>
    <w:link w:val="NumberedHeading1Char"/>
    <w:uiPriority w:val="1"/>
    <w:rsid w:val="008A735F"/>
    <w:pPr>
      <w:ind w:left="1440" w:hanging="360"/>
    </w:pPr>
  </w:style>
  <w:style w:type="paragraph" w:customStyle="1" w:styleId="NumberedHeading2">
    <w:name w:val="Numbered Heading 2"/>
    <w:basedOn w:val="Heading2"/>
    <w:link w:val="NumberedHeading2Char"/>
    <w:uiPriority w:val="1"/>
    <w:rsid w:val="008A735F"/>
    <w:pPr>
      <w:numPr>
        <w:ilvl w:val="0"/>
      </w:numPr>
      <w:ind w:left="2160" w:hanging="360"/>
    </w:pPr>
  </w:style>
  <w:style w:type="character" w:customStyle="1" w:styleId="NumberedHeading1Char">
    <w:name w:val="Numbered Heading 1 Char"/>
    <w:basedOn w:val="Heading1Char"/>
    <w:link w:val="NumberedHeading1"/>
    <w:uiPriority w:val="1"/>
    <w:rsid w:val="008D395E"/>
    <w:rPr>
      <w:rFonts w:asciiTheme="minorHAnsi" w:eastAsiaTheme="majorEastAsia" w:hAnsiTheme="minorHAnsi" w:cs="Calibri"/>
      <w:bCs/>
      <w:iCs/>
      <w:caps/>
      <w:color w:val="1D336D" w:themeColor="background2"/>
      <w:sz w:val="32"/>
      <w:szCs w:val="28"/>
    </w:rPr>
  </w:style>
  <w:style w:type="paragraph" w:customStyle="1" w:styleId="NumberedHeading3">
    <w:name w:val="Numbered Heading 3"/>
    <w:basedOn w:val="Heading3"/>
    <w:next w:val="NormalIndented3"/>
    <w:link w:val="NumberedHeading3Char"/>
    <w:uiPriority w:val="1"/>
    <w:rsid w:val="008A735F"/>
    <w:pPr>
      <w:numPr>
        <w:ilvl w:val="0"/>
      </w:numPr>
      <w:ind w:left="2880" w:hanging="360"/>
    </w:pPr>
  </w:style>
  <w:style w:type="numbering" w:customStyle="1" w:styleId="MasterHeadings">
    <w:name w:val="_MasterHeadings"/>
    <w:uiPriority w:val="99"/>
    <w:rsid w:val="008A735F"/>
    <w:pPr>
      <w:numPr>
        <w:numId w:val="7"/>
      </w:numPr>
    </w:pPr>
  </w:style>
  <w:style w:type="character" w:customStyle="1" w:styleId="Heading3Char">
    <w:name w:val="Heading 3 Char"/>
    <w:basedOn w:val="Heading1Char"/>
    <w:link w:val="Heading3"/>
    <w:uiPriority w:val="1"/>
    <w:rsid w:val="003A5075"/>
    <w:rPr>
      <w:rFonts w:asciiTheme="minorHAnsi" w:eastAsiaTheme="majorEastAsia" w:hAnsiTheme="minorHAnsi" w:cs="Calibri"/>
      <w:b/>
      <w:bCs w:val="0"/>
      <w:iCs/>
      <w:caps w:val="0"/>
      <w:color w:val="507CB9"/>
      <w:sz w:val="24"/>
      <w:szCs w:val="26"/>
    </w:rPr>
  </w:style>
  <w:style w:type="character" w:customStyle="1" w:styleId="NumberedHeading3Char">
    <w:name w:val="Numbered Heading 3 Char"/>
    <w:basedOn w:val="Heading3Char"/>
    <w:link w:val="NumberedHeading3"/>
    <w:uiPriority w:val="1"/>
    <w:rsid w:val="00CE5852"/>
    <w:rPr>
      <w:rFonts w:asciiTheme="minorHAnsi" w:eastAsiaTheme="majorEastAsia" w:hAnsiTheme="minorHAnsi" w:cs="Calibri"/>
      <w:b/>
      <w:bCs w:val="0"/>
      <w:iCs/>
      <w:caps w:val="0"/>
      <w:color w:val="507CB9"/>
      <w:sz w:val="24"/>
      <w:szCs w:val="26"/>
    </w:rPr>
  </w:style>
  <w:style w:type="character" w:customStyle="1" w:styleId="Heading2Char">
    <w:name w:val="Heading 2 Char"/>
    <w:basedOn w:val="Heading1Char"/>
    <w:link w:val="Heading2"/>
    <w:uiPriority w:val="1"/>
    <w:rsid w:val="003A5075"/>
    <w:rPr>
      <w:rFonts w:asciiTheme="minorHAnsi" w:eastAsiaTheme="majorEastAsia" w:hAnsiTheme="minorHAnsi" w:cs="Calibri"/>
      <w:b/>
      <w:bCs/>
      <w:iCs/>
      <w:caps/>
      <w:color w:val="C9C9CA" w:themeColor="accent2"/>
      <w:sz w:val="28"/>
      <w:szCs w:val="26"/>
    </w:rPr>
  </w:style>
  <w:style w:type="character" w:customStyle="1" w:styleId="NumberedHeading2Char">
    <w:name w:val="Numbered Heading 2 Char"/>
    <w:basedOn w:val="Heading2Char"/>
    <w:link w:val="NumberedHeading2"/>
    <w:uiPriority w:val="1"/>
    <w:rsid w:val="009761FA"/>
    <w:rPr>
      <w:rFonts w:asciiTheme="minorHAnsi" w:eastAsiaTheme="majorEastAsia" w:hAnsiTheme="minorHAnsi" w:cs="Calibri"/>
      <w:b/>
      <w:bCs/>
      <w:iCs/>
      <w:caps/>
      <w:color w:val="C9C9CA" w:themeColor="accent2"/>
      <w:sz w:val="28"/>
      <w:szCs w:val="26"/>
    </w:rPr>
  </w:style>
  <w:style w:type="table" w:customStyle="1" w:styleId="TableGrid30">
    <w:name w:val="Table Grid3"/>
    <w:basedOn w:val="TableNormal"/>
    <w:next w:val="TableGrid"/>
    <w:uiPriority w:val="39"/>
    <w:rsid w:val="0012294A"/>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ed1">
    <w:name w:val="Normal Indented 1"/>
    <w:basedOn w:val="Normal"/>
    <w:uiPriority w:val="2"/>
    <w:rsid w:val="00DD18C7"/>
    <w:pPr>
      <w:ind w:left="284"/>
    </w:pPr>
  </w:style>
  <w:style w:type="paragraph" w:customStyle="1" w:styleId="NormalIndented2">
    <w:name w:val="Normal Indented 2"/>
    <w:basedOn w:val="NormalIndented1"/>
    <w:uiPriority w:val="2"/>
    <w:rsid w:val="00301A3A"/>
    <w:pPr>
      <w:ind w:left="567"/>
    </w:pPr>
  </w:style>
  <w:style w:type="paragraph" w:customStyle="1" w:styleId="NormalIndented3">
    <w:name w:val="Normal Indented 3"/>
    <w:basedOn w:val="Normal"/>
    <w:uiPriority w:val="2"/>
    <w:rsid w:val="00301A3A"/>
    <w:pPr>
      <w:ind w:left="851"/>
    </w:pPr>
  </w:style>
  <w:style w:type="paragraph" w:customStyle="1" w:styleId="Date-FooterLink">
    <w:name w:val="Date - Footer Link"/>
    <w:basedOn w:val="Normal"/>
    <w:semiHidden/>
    <w:qFormat/>
    <w:rsid w:val="00217E6A"/>
    <w:rPr>
      <w:rFonts w:asciiTheme="majorHAnsi" w:hAnsiTheme="majorHAnsi"/>
      <w:b/>
      <w:color w:val="585858" w:themeColor="text2"/>
      <w:sz w:val="24"/>
    </w:rPr>
  </w:style>
  <w:style w:type="paragraph" w:customStyle="1" w:styleId="TableHeadingBlue">
    <w:name w:val="Table Heading Blue"/>
    <w:basedOn w:val="TableHeading"/>
    <w:next w:val="TableText"/>
    <w:link w:val="TableHeadingBlueChar"/>
    <w:uiPriority w:val="9"/>
    <w:qFormat/>
    <w:rsid w:val="003423F2"/>
    <w:rPr>
      <w:color w:val="1D336D" w:themeColor="background2"/>
    </w:rPr>
  </w:style>
  <w:style w:type="character" w:customStyle="1" w:styleId="TableHeadingChar">
    <w:name w:val="Table Heading Char"/>
    <w:basedOn w:val="DefaultParagraphFont"/>
    <w:link w:val="TableHeading"/>
    <w:uiPriority w:val="9"/>
    <w:rsid w:val="00885AF8"/>
    <w:rPr>
      <w:rFonts w:asciiTheme="minorHAnsi" w:eastAsia="Century Gothic" w:hAnsiTheme="minorHAnsi" w:cs="Calibri"/>
      <w:b/>
      <w:bCs/>
      <w:color w:val="FFFFFF"/>
      <w:szCs w:val="24"/>
      <w:lang w:eastAsia="en-US"/>
    </w:rPr>
  </w:style>
  <w:style w:type="character" w:customStyle="1" w:styleId="TableHeadingBlueChar">
    <w:name w:val="Table Heading Blue Char"/>
    <w:basedOn w:val="TableHeadingChar"/>
    <w:link w:val="TableHeadingBlue"/>
    <w:uiPriority w:val="9"/>
    <w:rsid w:val="003423F2"/>
    <w:rPr>
      <w:rFonts w:asciiTheme="minorHAnsi" w:eastAsia="Century Gothic" w:hAnsiTheme="minorHAnsi" w:cs="Calibri"/>
      <w:b/>
      <w:bCs/>
      <w:color w:val="1D336D" w:themeColor="background2"/>
      <w:szCs w:val="24"/>
      <w:lang w:eastAsia="en-US"/>
    </w:rPr>
  </w:style>
  <w:style w:type="paragraph" w:customStyle="1" w:styleId="Heading1NOTOC">
    <w:name w:val="Heading 1 NO TOC"/>
    <w:basedOn w:val="Heading1"/>
    <w:uiPriority w:val="1"/>
    <w:qFormat/>
    <w:rsid w:val="0004770B"/>
    <w:pPr>
      <w:outlineLvl w:val="9"/>
    </w:pPr>
  </w:style>
  <w:style w:type="paragraph" w:customStyle="1" w:styleId="IntroCopySolid">
    <w:name w:val="Intro Copy Solid"/>
    <w:basedOn w:val="IntroCopy"/>
    <w:uiPriority w:val="2"/>
    <w:qFormat/>
    <w:rsid w:val="006E5C00"/>
    <w:pPr>
      <w:pBdr>
        <w:top w:val="single" w:sz="8" w:space="8" w:color="2294CD"/>
        <w:left w:val="single" w:sz="8" w:space="8" w:color="2294CD"/>
        <w:bottom w:val="single" w:sz="8" w:space="8" w:color="2294CD"/>
        <w:right w:val="single" w:sz="8" w:space="8" w:color="2294CD"/>
      </w:pBdr>
      <w:shd w:val="clear" w:color="auto" w:fill="2294CD"/>
      <w:spacing w:line="276" w:lineRule="auto"/>
      <w:ind w:left="159" w:right="159"/>
      <w:contextualSpacing/>
    </w:pPr>
    <w:rPr>
      <w:color w:val="FFFFFF" w:themeColor="background1"/>
    </w:rPr>
  </w:style>
  <w:style w:type="table" w:customStyle="1" w:styleId="TableGrid10">
    <w:name w:val="Table Grid1"/>
    <w:basedOn w:val="TableNormal"/>
    <w:next w:val="TableGrid"/>
    <w:uiPriority w:val="59"/>
    <w:semiHidden/>
    <w:rsid w:val="000819E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pterHeading">
    <w:name w:val="Chapter Heading"/>
    <w:next w:val="Normal"/>
    <w:link w:val="ChapterHeadingChar"/>
    <w:qFormat/>
    <w:rsid w:val="007C1932"/>
    <w:pPr>
      <w:pageBreakBefore/>
      <w:pBdr>
        <w:top w:val="single" w:sz="2" w:space="6" w:color="1D336D" w:themeColor="background2"/>
        <w:left w:val="single" w:sz="2" w:space="6" w:color="1D336D" w:themeColor="background2"/>
        <w:bottom w:val="single" w:sz="2" w:space="6" w:color="1D336D" w:themeColor="background2"/>
        <w:right w:val="single" w:sz="2" w:space="6" w:color="1D336D" w:themeColor="background2"/>
      </w:pBdr>
      <w:shd w:val="clear" w:color="auto" w:fill="1D336D" w:themeFill="background2"/>
      <w:spacing w:after="240"/>
    </w:pPr>
    <w:rPr>
      <w:rFonts w:asciiTheme="minorHAnsi" w:eastAsiaTheme="majorEastAsia" w:hAnsiTheme="minorHAnsi" w:cs="Calibri"/>
      <w:bCs/>
      <w:iCs/>
      <w:caps/>
      <w:color w:val="FFFFFF" w:themeColor="background1"/>
      <w:sz w:val="44"/>
      <w:szCs w:val="28"/>
    </w:rPr>
  </w:style>
  <w:style w:type="paragraph" w:styleId="TOC5">
    <w:name w:val="toc 5"/>
    <w:basedOn w:val="Normal"/>
    <w:next w:val="Normal"/>
    <w:uiPriority w:val="39"/>
    <w:semiHidden/>
    <w:rsid w:val="00FE707F"/>
    <w:pPr>
      <w:tabs>
        <w:tab w:val="left" w:pos="1134"/>
        <w:tab w:val="right" w:leader="dot" w:pos="9628"/>
      </w:tabs>
      <w:spacing w:after="100"/>
      <w:ind w:left="1701" w:hanging="567"/>
      <w:contextualSpacing/>
    </w:pPr>
    <w:rPr>
      <w:i/>
    </w:rPr>
  </w:style>
  <w:style w:type="paragraph" w:styleId="TOC6">
    <w:name w:val="toc 6"/>
    <w:basedOn w:val="Normal"/>
    <w:next w:val="Normal"/>
    <w:autoRedefine/>
    <w:uiPriority w:val="39"/>
    <w:semiHidden/>
    <w:rsid w:val="00FE707F"/>
    <w:pPr>
      <w:tabs>
        <w:tab w:val="left" w:pos="1760"/>
        <w:tab w:val="right" w:leader="dot" w:pos="9628"/>
      </w:tabs>
      <w:spacing w:after="100"/>
      <w:ind w:left="1000"/>
    </w:pPr>
    <w:rPr>
      <w:noProof/>
    </w:rPr>
  </w:style>
  <w:style w:type="paragraph" w:styleId="Caption">
    <w:name w:val="caption"/>
    <w:basedOn w:val="Normal"/>
    <w:next w:val="Normal"/>
    <w:uiPriority w:val="8"/>
    <w:rsid w:val="004B1446"/>
    <w:pPr>
      <w:spacing w:before="240" w:after="120" w:line="240" w:lineRule="auto"/>
    </w:pPr>
    <w:rPr>
      <w:b/>
      <w:iCs/>
      <w:color w:val="507CB9"/>
      <w:sz w:val="22"/>
      <w:szCs w:val="18"/>
    </w:rPr>
  </w:style>
  <w:style w:type="character" w:customStyle="1" w:styleId="FootnoteTextChar">
    <w:name w:val="Footnote Text Char"/>
    <w:basedOn w:val="DefaultParagraphFont"/>
    <w:link w:val="FootnoteText"/>
    <w:uiPriority w:val="99"/>
    <w:rsid w:val="00847E29"/>
    <w:rPr>
      <w:rFonts w:asciiTheme="minorHAnsi" w:eastAsiaTheme="majorEastAsia" w:hAnsiTheme="minorHAnsi" w:cs="Calibri"/>
      <w:color w:val="000000" w:themeColor="text1"/>
      <w:sz w:val="14"/>
    </w:rPr>
  </w:style>
  <w:style w:type="character" w:styleId="FootnoteReference">
    <w:name w:val="footnote reference"/>
    <w:aliases w:val="Normal + Font:9 Point,Superscript 3 Point Times"/>
    <w:basedOn w:val="DefaultParagraphFont"/>
    <w:uiPriority w:val="99"/>
    <w:semiHidden/>
    <w:rsid w:val="003337B3"/>
    <w:rPr>
      <w:vertAlign w:val="superscript"/>
    </w:rPr>
  </w:style>
  <w:style w:type="paragraph" w:customStyle="1" w:styleId="CVBody">
    <w:name w:val="CV Body"/>
    <w:basedOn w:val="Normal"/>
    <w:uiPriority w:val="13"/>
    <w:qFormat/>
    <w:rsid w:val="00D4310E"/>
    <w:pPr>
      <w:spacing w:after="60" w:line="200" w:lineRule="atLeast"/>
    </w:pPr>
    <w:rPr>
      <w:rFonts w:eastAsia="Arial" w:cs="Times New Roman"/>
      <w:color w:val="auto"/>
      <w:sz w:val="18"/>
      <w:szCs w:val="22"/>
      <w:lang w:eastAsia="en-US"/>
    </w:rPr>
  </w:style>
  <w:style w:type="paragraph" w:customStyle="1" w:styleId="CoverSubtitle">
    <w:name w:val="Cover Subtitle"/>
    <w:basedOn w:val="CoverTitle"/>
    <w:uiPriority w:val="19"/>
    <w:semiHidden/>
    <w:qFormat/>
    <w:rsid w:val="0081223D"/>
    <w:pPr>
      <w:spacing w:before="240"/>
    </w:pPr>
    <w:rPr>
      <w:b/>
      <w:caps/>
      <w:sz w:val="48"/>
    </w:rPr>
  </w:style>
  <w:style w:type="character" w:customStyle="1" w:styleId="ListNumberChar">
    <w:name w:val="List Number Char"/>
    <w:basedOn w:val="DefaultParagraphFont"/>
    <w:link w:val="ListNumber"/>
    <w:uiPriority w:val="3"/>
    <w:rsid w:val="00596177"/>
    <w:rPr>
      <w:rFonts w:asciiTheme="minorHAnsi" w:eastAsia="Century Gothic" w:hAnsiTheme="minorHAnsi" w:cstheme="minorBidi"/>
      <w:color w:val="000000" w:themeColor="text1"/>
      <w:lang w:eastAsia="en-US"/>
    </w:rPr>
  </w:style>
  <w:style w:type="paragraph" w:customStyle="1" w:styleId="CVLabel">
    <w:name w:val="CV Label"/>
    <w:basedOn w:val="Normal"/>
    <w:uiPriority w:val="13"/>
    <w:qFormat/>
    <w:rsid w:val="00AF488E"/>
    <w:pPr>
      <w:spacing w:after="0" w:line="240" w:lineRule="exact"/>
      <w:ind w:left="-6" w:right="-45"/>
    </w:pPr>
    <w:rPr>
      <w:rFonts w:eastAsia="Arial" w:cs="Times New Roman"/>
      <w:b/>
      <w:bCs/>
      <w:color w:val="2294CD"/>
      <w:sz w:val="19"/>
      <w:szCs w:val="20"/>
      <w:lang w:eastAsia="en-US"/>
    </w:rPr>
  </w:style>
  <w:style w:type="paragraph" w:customStyle="1" w:styleId="CVHeading">
    <w:name w:val="CV Heading"/>
    <w:basedOn w:val="Normal"/>
    <w:uiPriority w:val="13"/>
    <w:qFormat/>
    <w:rsid w:val="0052426B"/>
    <w:pPr>
      <w:spacing w:after="60" w:line="200" w:lineRule="atLeast"/>
    </w:pPr>
    <w:rPr>
      <w:rFonts w:eastAsia="Arial" w:cs="Times New Roman"/>
      <w:b/>
      <w:color w:val="1D336D" w:themeColor="background2"/>
      <w:sz w:val="28"/>
      <w:szCs w:val="22"/>
      <w:lang w:eastAsia="en-US"/>
    </w:rPr>
  </w:style>
  <w:style w:type="paragraph" w:customStyle="1" w:styleId="TableBullets">
    <w:name w:val="Table Bullets"/>
    <w:basedOn w:val="TableText"/>
    <w:uiPriority w:val="10"/>
    <w:qFormat/>
    <w:rsid w:val="009E7E5E"/>
    <w:pPr>
      <w:numPr>
        <w:numId w:val="9"/>
      </w:numPr>
      <w:spacing w:before="0" w:after="80"/>
      <w:ind w:left="284" w:hanging="284"/>
    </w:pPr>
  </w:style>
  <w:style w:type="paragraph" w:customStyle="1" w:styleId="Heading2NOTOC">
    <w:name w:val="Heading 2 NO TOC"/>
    <w:basedOn w:val="Heading2"/>
    <w:uiPriority w:val="1"/>
    <w:qFormat/>
    <w:rsid w:val="004A4416"/>
    <w:pPr>
      <w:outlineLvl w:val="9"/>
    </w:pPr>
  </w:style>
  <w:style w:type="paragraph" w:styleId="TableofFigures">
    <w:name w:val="table of figures"/>
    <w:basedOn w:val="Normal"/>
    <w:next w:val="Normal"/>
    <w:uiPriority w:val="99"/>
    <w:unhideWhenUsed/>
    <w:rsid w:val="00C126D8"/>
    <w:pPr>
      <w:spacing w:after="0"/>
    </w:pPr>
  </w:style>
  <w:style w:type="paragraph" w:styleId="ListParagraph">
    <w:name w:val="List Paragraph"/>
    <w:aliases w:val="List Paragraph1,List Paragraph11,L,Recommendation,CV text,Colorful List - Accent 11,COOP,Primary Bullet List,Paragraph,P3Numbered List,CRP Numbered List,List Paragraph (numbered (a)),F5 List Paragraph,Dot pt,List Paragraph111,DWA List 1"/>
    <w:basedOn w:val="Normal"/>
    <w:link w:val="ListParagraphChar"/>
    <w:uiPriority w:val="34"/>
    <w:qFormat/>
    <w:rsid w:val="00EE1892"/>
    <w:pPr>
      <w:ind w:left="720"/>
      <w:contextualSpacing/>
    </w:pPr>
  </w:style>
  <w:style w:type="paragraph" w:customStyle="1" w:styleId="CoverDetail">
    <w:name w:val="Cover Detail"/>
    <w:basedOn w:val="CoverSubtitle"/>
    <w:uiPriority w:val="19"/>
    <w:semiHidden/>
    <w:qFormat/>
    <w:rsid w:val="0081223D"/>
    <w:pPr>
      <w:contextualSpacing/>
    </w:pPr>
    <w:rPr>
      <w:color w:val="B1B2B6"/>
      <w:sz w:val="24"/>
    </w:rPr>
  </w:style>
  <w:style w:type="paragraph" w:customStyle="1" w:styleId="CoverInsideDetail">
    <w:name w:val="Cover Inside Detail"/>
    <w:basedOn w:val="CoverDetail"/>
    <w:uiPriority w:val="19"/>
    <w:semiHidden/>
    <w:qFormat/>
    <w:rsid w:val="002C5C7C"/>
    <w:pPr>
      <w:spacing w:before="360"/>
    </w:pPr>
    <w:rPr>
      <w:color w:val="FFFFFF" w:themeColor="background1"/>
      <w:sz w:val="28"/>
    </w:rPr>
  </w:style>
  <w:style w:type="paragraph" w:customStyle="1" w:styleId="CoverDetailWhite">
    <w:name w:val="Cover Detail White"/>
    <w:basedOn w:val="CoverDetail"/>
    <w:uiPriority w:val="19"/>
    <w:semiHidden/>
    <w:qFormat/>
    <w:rsid w:val="00145656"/>
    <w:pPr>
      <w:spacing w:before="120" w:line="280" w:lineRule="atLeast"/>
    </w:pPr>
    <w:rPr>
      <w:b w:val="0"/>
      <w:caps w:val="0"/>
      <w:color w:val="FFFFFF" w:themeColor="background1"/>
    </w:rPr>
  </w:style>
  <w:style w:type="paragraph" w:customStyle="1" w:styleId="CVMainHeading">
    <w:name w:val="CV Main Heading"/>
    <w:basedOn w:val="CVHeading"/>
    <w:uiPriority w:val="13"/>
    <w:qFormat/>
    <w:rsid w:val="00D70725"/>
    <w:rPr>
      <w:sz w:val="20"/>
    </w:rPr>
  </w:style>
  <w:style w:type="paragraph" w:customStyle="1" w:styleId="TableBullet">
    <w:name w:val="Table Bullet"/>
    <w:basedOn w:val="TableText"/>
    <w:uiPriority w:val="10"/>
    <w:qFormat/>
    <w:rsid w:val="00802A4E"/>
    <w:pPr>
      <w:spacing w:before="0" w:after="0"/>
      <w:ind w:left="170" w:hanging="170"/>
    </w:pPr>
    <w:rPr>
      <w:sz w:val="18"/>
    </w:rPr>
  </w:style>
  <w:style w:type="paragraph" w:customStyle="1" w:styleId="InfoBoxDarkText">
    <w:name w:val="Info Box Dark Text"/>
    <w:basedOn w:val="IntroCopy"/>
    <w:uiPriority w:val="2"/>
    <w:qFormat/>
    <w:rsid w:val="00985D63"/>
    <w:pPr>
      <w:spacing w:before="60" w:after="60" w:line="276" w:lineRule="auto"/>
      <w:ind w:left="113" w:right="113"/>
    </w:pPr>
    <w:rPr>
      <w:i w:val="0"/>
      <w:color w:val="1D336D" w:themeColor="background2"/>
      <w:sz w:val="20"/>
    </w:rPr>
  </w:style>
  <w:style w:type="paragraph" w:customStyle="1" w:styleId="InfoBoxLightText">
    <w:name w:val="Info Box Light Text"/>
    <w:basedOn w:val="InfoBoxDarkText"/>
    <w:uiPriority w:val="2"/>
    <w:qFormat/>
    <w:rsid w:val="009473BB"/>
    <w:rPr>
      <w:color w:val="FFFFFF" w:themeColor="background1"/>
    </w:rPr>
  </w:style>
  <w:style w:type="paragraph" w:customStyle="1" w:styleId="NumberedHeadingChapter">
    <w:name w:val="Numbered Heading Chapter"/>
    <w:basedOn w:val="NumberedHeading1"/>
    <w:link w:val="NumberedHeadingChapterChar"/>
    <w:uiPriority w:val="2"/>
    <w:qFormat/>
    <w:rsid w:val="00726D77"/>
    <w:pPr>
      <w:pBdr>
        <w:top w:val="single" w:sz="2" w:space="6" w:color="2294CD"/>
        <w:left w:val="single" w:sz="2" w:space="6" w:color="2294CD"/>
        <w:bottom w:val="single" w:sz="2" w:space="6" w:color="2294CD"/>
        <w:right w:val="single" w:sz="2" w:space="6" w:color="2294CD"/>
      </w:pBdr>
      <w:shd w:val="clear" w:color="auto" w:fill="2294CD"/>
      <w:spacing w:before="160" w:after="240"/>
    </w:pPr>
    <w:rPr>
      <w:b/>
      <w:color w:val="FFFFFF" w:themeColor="background1"/>
      <w:sz w:val="44"/>
    </w:rPr>
  </w:style>
  <w:style w:type="paragraph" w:customStyle="1" w:styleId="SourceNotesV2">
    <w:name w:val="Source Notes V2"/>
    <w:basedOn w:val="SourceNotes"/>
    <w:uiPriority w:val="2"/>
    <w:qFormat/>
    <w:rsid w:val="009473BB"/>
    <w:pPr>
      <w:spacing w:after="0" w:line="200" w:lineRule="atLeast"/>
      <w:jc w:val="right"/>
    </w:pPr>
    <w:rPr>
      <w:color w:val="A1D5EF"/>
      <w:sz w:val="16"/>
    </w:rPr>
  </w:style>
  <w:style w:type="character" w:customStyle="1" w:styleId="NumberedHeadingChapterChar">
    <w:name w:val="Numbered Heading Chapter Char"/>
    <w:basedOn w:val="NumberedHeading1Char"/>
    <w:link w:val="NumberedHeadingChapter"/>
    <w:uiPriority w:val="2"/>
    <w:rsid w:val="00726D77"/>
    <w:rPr>
      <w:rFonts w:asciiTheme="minorHAnsi" w:eastAsiaTheme="majorEastAsia" w:hAnsiTheme="minorHAnsi" w:cs="Calibri"/>
      <w:b/>
      <w:bCs/>
      <w:iCs/>
      <w:caps/>
      <w:color w:val="FFFFFF" w:themeColor="background1"/>
      <w:sz w:val="44"/>
      <w:szCs w:val="28"/>
      <w:shd w:val="clear" w:color="auto" w:fill="2294CD"/>
    </w:rPr>
  </w:style>
  <w:style w:type="paragraph" w:customStyle="1" w:styleId="Heading3NOTOC">
    <w:name w:val="Heading 3 NO TOC"/>
    <w:basedOn w:val="Heading3"/>
    <w:uiPriority w:val="2"/>
    <w:qFormat/>
    <w:rsid w:val="003A5075"/>
    <w:pPr>
      <w:outlineLvl w:val="9"/>
    </w:pPr>
  </w:style>
  <w:style w:type="paragraph" w:customStyle="1" w:styleId="CVHeadingSmall">
    <w:name w:val="CV Heading Small"/>
    <w:basedOn w:val="CVHeading"/>
    <w:uiPriority w:val="2"/>
    <w:qFormat/>
    <w:rsid w:val="0052426B"/>
    <w:rPr>
      <w:sz w:val="20"/>
    </w:rPr>
  </w:style>
  <w:style w:type="paragraph" w:customStyle="1" w:styleId="Default">
    <w:name w:val="Default"/>
    <w:rsid w:val="00780F05"/>
    <w:pPr>
      <w:autoSpaceDE w:val="0"/>
      <w:autoSpaceDN w:val="0"/>
      <w:adjustRightInd w:val="0"/>
    </w:pPr>
    <w:rPr>
      <w:rFonts w:ascii="Calibri" w:hAnsi="Calibri" w:cs="Calibri"/>
      <w:color w:val="000000"/>
      <w:sz w:val="24"/>
      <w:szCs w:val="24"/>
    </w:rPr>
  </w:style>
  <w:style w:type="paragraph" w:customStyle="1" w:styleId="Style1">
    <w:name w:val="Style1"/>
    <w:basedOn w:val="ChapterHeading"/>
    <w:link w:val="Style1Char"/>
    <w:uiPriority w:val="2"/>
    <w:qFormat/>
    <w:rsid w:val="007E2F28"/>
  </w:style>
  <w:style w:type="character" w:customStyle="1" w:styleId="ChapterHeadingChar">
    <w:name w:val="Chapter Heading Char"/>
    <w:basedOn w:val="DefaultParagraphFont"/>
    <w:link w:val="ChapterHeading"/>
    <w:rsid w:val="007C1932"/>
    <w:rPr>
      <w:rFonts w:asciiTheme="minorHAnsi" w:eastAsiaTheme="majorEastAsia" w:hAnsiTheme="minorHAnsi" w:cs="Calibri"/>
      <w:bCs/>
      <w:iCs/>
      <w:caps/>
      <w:color w:val="FFFFFF" w:themeColor="background1"/>
      <w:sz w:val="44"/>
      <w:szCs w:val="28"/>
      <w:shd w:val="clear" w:color="auto" w:fill="1D336D" w:themeFill="background2"/>
    </w:rPr>
  </w:style>
  <w:style w:type="character" w:customStyle="1" w:styleId="Style1Char">
    <w:name w:val="Style1 Char"/>
    <w:basedOn w:val="ChapterHeadingChar"/>
    <w:link w:val="Style1"/>
    <w:uiPriority w:val="2"/>
    <w:rsid w:val="007E2F28"/>
    <w:rPr>
      <w:rFonts w:asciiTheme="minorHAnsi" w:eastAsiaTheme="majorEastAsia" w:hAnsiTheme="minorHAnsi" w:cs="Calibri"/>
      <w:bCs/>
      <w:iCs/>
      <w:caps/>
      <w:color w:val="FFFFFF" w:themeColor="background1"/>
      <w:sz w:val="44"/>
      <w:szCs w:val="28"/>
      <w:shd w:val="clear" w:color="auto" w:fill="2294CD"/>
    </w:rPr>
  </w:style>
  <w:style w:type="character" w:customStyle="1" w:styleId="ListParagraphChar">
    <w:name w:val="List Paragraph Char"/>
    <w:aliases w:val="List Paragraph1 Char,List Paragraph11 Char,L Char,Recommendation Char,CV text Char,Colorful List - Accent 11 Char,COOP Char,Primary Bullet List Char,Paragraph Char,P3Numbered List Char,CRP Numbered List Char,F5 List Paragraph Char"/>
    <w:link w:val="ListParagraph"/>
    <w:uiPriority w:val="34"/>
    <w:qFormat/>
    <w:locked/>
    <w:rsid w:val="00420443"/>
    <w:rPr>
      <w:rFonts w:asciiTheme="minorHAnsi" w:eastAsiaTheme="majorEastAsia" w:hAnsiTheme="minorHAnsi" w:cs="Calibri"/>
      <w:color w:val="000000" w:themeColor="text1"/>
      <w:szCs w:val="24"/>
    </w:rPr>
  </w:style>
  <w:style w:type="table" w:customStyle="1" w:styleId="TableGrid40">
    <w:name w:val="Table Grid4"/>
    <w:basedOn w:val="TableNormal"/>
    <w:next w:val="TableGrid"/>
    <w:uiPriority w:val="39"/>
    <w:rsid w:val="00435F38"/>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231080"/>
    <w:rPr>
      <w:sz w:val="16"/>
      <w:szCs w:val="16"/>
    </w:rPr>
  </w:style>
  <w:style w:type="paragraph" w:styleId="CommentText">
    <w:name w:val="annotation text"/>
    <w:basedOn w:val="Normal"/>
    <w:link w:val="CommentTextChar"/>
    <w:uiPriority w:val="99"/>
    <w:rsid w:val="00231080"/>
    <w:pPr>
      <w:spacing w:line="240" w:lineRule="auto"/>
    </w:pPr>
    <w:rPr>
      <w:szCs w:val="20"/>
    </w:rPr>
  </w:style>
  <w:style w:type="character" w:customStyle="1" w:styleId="CommentTextChar">
    <w:name w:val="Comment Text Char"/>
    <w:basedOn w:val="DefaultParagraphFont"/>
    <w:link w:val="CommentText"/>
    <w:uiPriority w:val="99"/>
    <w:rsid w:val="00231080"/>
    <w:rPr>
      <w:rFonts w:asciiTheme="minorHAnsi" w:eastAsiaTheme="majorEastAsia" w:hAnsiTheme="minorHAnsi" w:cs="Calibri"/>
      <w:color w:val="000000" w:themeColor="text1"/>
    </w:rPr>
  </w:style>
  <w:style w:type="paragraph" w:styleId="CommentSubject">
    <w:name w:val="annotation subject"/>
    <w:basedOn w:val="CommentText"/>
    <w:next w:val="CommentText"/>
    <w:link w:val="CommentSubjectChar"/>
    <w:uiPriority w:val="29"/>
    <w:semiHidden/>
    <w:rsid w:val="00231080"/>
    <w:rPr>
      <w:b/>
      <w:bCs/>
    </w:rPr>
  </w:style>
  <w:style w:type="character" w:customStyle="1" w:styleId="CommentSubjectChar">
    <w:name w:val="Comment Subject Char"/>
    <w:basedOn w:val="CommentTextChar"/>
    <w:link w:val="CommentSubject"/>
    <w:uiPriority w:val="29"/>
    <w:semiHidden/>
    <w:rsid w:val="00231080"/>
    <w:rPr>
      <w:rFonts w:asciiTheme="minorHAnsi" w:eastAsiaTheme="majorEastAsia" w:hAnsiTheme="minorHAnsi" w:cs="Calibri"/>
      <w:b/>
      <w:bCs/>
      <w:color w:val="000000" w:themeColor="text1"/>
    </w:rPr>
  </w:style>
  <w:style w:type="character" w:styleId="Mention">
    <w:name w:val="Mention"/>
    <w:basedOn w:val="DefaultParagraphFont"/>
    <w:uiPriority w:val="99"/>
    <w:unhideWhenUsed/>
    <w:rsid w:val="00231080"/>
    <w:rPr>
      <w:color w:val="2B579A"/>
      <w:shd w:val="clear" w:color="auto" w:fill="E1DFDD"/>
    </w:rPr>
  </w:style>
  <w:style w:type="paragraph" w:styleId="EndnoteText">
    <w:name w:val="endnote text"/>
    <w:basedOn w:val="Normal"/>
    <w:link w:val="EndnoteTextChar"/>
    <w:uiPriority w:val="50"/>
    <w:semiHidden/>
    <w:rsid w:val="006D52D6"/>
    <w:pPr>
      <w:spacing w:after="0" w:line="240" w:lineRule="auto"/>
    </w:pPr>
    <w:rPr>
      <w:szCs w:val="20"/>
    </w:rPr>
  </w:style>
  <w:style w:type="character" w:customStyle="1" w:styleId="EndnoteTextChar">
    <w:name w:val="Endnote Text Char"/>
    <w:basedOn w:val="DefaultParagraphFont"/>
    <w:link w:val="EndnoteText"/>
    <w:uiPriority w:val="50"/>
    <w:semiHidden/>
    <w:rsid w:val="006D52D6"/>
    <w:rPr>
      <w:rFonts w:asciiTheme="minorHAnsi" w:eastAsiaTheme="majorEastAsia" w:hAnsiTheme="minorHAnsi" w:cs="Calibri"/>
      <w:color w:val="000000" w:themeColor="text1"/>
    </w:rPr>
  </w:style>
  <w:style w:type="character" w:styleId="EndnoteReference">
    <w:name w:val="endnote reference"/>
    <w:basedOn w:val="DefaultParagraphFont"/>
    <w:uiPriority w:val="50"/>
    <w:semiHidden/>
    <w:rsid w:val="006D52D6"/>
    <w:rPr>
      <w:vertAlign w:val="superscript"/>
    </w:rPr>
  </w:style>
  <w:style w:type="paragraph" w:styleId="Revision">
    <w:name w:val="Revision"/>
    <w:hidden/>
    <w:uiPriority w:val="99"/>
    <w:semiHidden/>
    <w:rsid w:val="00D5525A"/>
    <w:rPr>
      <w:rFonts w:asciiTheme="minorHAnsi" w:eastAsiaTheme="majorEastAsia" w:hAnsiTheme="minorHAnsi" w:cs="Calibri"/>
      <w:color w:val="000000" w:themeColor="text1"/>
      <w:szCs w:val="24"/>
    </w:rPr>
  </w:style>
  <w:style w:type="paragraph" w:styleId="NormalWeb">
    <w:name w:val="Normal (Web)"/>
    <w:basedOn w:val="Normal"/>
    <w:uiPriority w:val="99"/>
    <w:semiHidden/>
    <w:rsid w:val="00753C0D"/>
    <w:rPr>
      <w:rFonts w:ascii="Times New Roman" w:hAnsi="Times New Roman" w:cs="Times New Roman"/>
      <w:sz w:val="24"/>
    </w:rPr>
  </w:style>
  <w:style w:type="paragraph" w:customStyle="1" w:styleId="IODbullets">
    <w:name w:val="IOD bullets"/>
    <w:basedOn w:val="ListParagraph"/>
    <w:link w:val="IODbulletsChar"/>
    <w:uiPriority w:val="6"/>
    <w:qFormat/>
    <w:rsid w:val="00B708E8"/>
    <w:pPr>
      <w:numPr>
        <w:numId w:val="27"/>
      </w:numPr>
      <w:spacing w:after="120" w:line="240" w:lineRule="auto"/>
      <w:jc w:val="both"/>
    </w:pPr>
    <w:rPr>
      <w:rFonts w:ascii="Calibri" w:eastAsia="Calibri" w:hAnsi="Calibri" w:cs="Arial"/>
      <w:sz w:val="22"/>
      <w:szCs w:val="22"/>
      <w:lang w:val="en-GB" w:eastAsia="en-GB"/>
    </w:rPr>
  </w:style>
  <w:style w:type="character" w:customStyle="1" w:styleId="IODbulletsChar">
    <w:name w:val="IOD bullets Char"/>
    <w:basedOn w:val="ListParagraphChar"/>
    <w:link w:val="IODbullets"/>
    <w:uiPriority w:val="6"/>
    <w:rsid w:val="00B708E8"/>
    <w:rPr>
      <w:rFonts w:ascii="Calibri" w:eastAsia="Calibri" w:hAnsi="Calibri" w:cs="Arial"/>
      <w:color w:val="000000" w:themeColor="text1"/>
      <w:sz w:val="22"/>
      <w:szCs w:val="22"/>
      <w:lang w:val="en-GB" w:eastAsia="en-GB"/>
    </w:rPr>
  </w:style>
  <w:style w:type="paragraph" w:styleId="BodyText">
    <w:name w:val="Body Text"/>
    <w:link w:val="BodyTextChar"/>
    <w:qFormat/>
    <w:rsid w:val="00391932"/>
    <w:pPr>
      <w:spacing w:before="140" w:after="140" w:line="264" w:lineRule="auto"/>
    </w:pPr>
    <w:rPr>
      <w:rFonts w:ascii="Arial" w:eastAsia="Arial" w:hAnsi="Arial"/>
      <w:noProof/>
      <w:lang w:eastAsia="en-US"/>
    </w:rPr>
  </w:style>
  <w:style w:type="character" w:customStyle="1" w:styleId="BodyTextChar">
    <w:name w:val="Body Text Char"/>
    <w:basedOn w:val="DefaultParagraphFont"/>
    <w:link w:val="BodyText"/>
    <w:rsid w:val="00391932"/>
    <w:rPr>
      <w:rFonts w:ascii="Arial" w:eastAsia="Arial" w:hAnsi="Arial"/>
      <w:noProof/>
      <w:lang w:eastAsia="en-US"/>
    </w:rPr>
  </w:style>
  <w:style w:type="character" w:styleId="Strong">
    <w:name w:val="Strong"/>
    <w:basedOn w:val="DefaultParagraphFont"/>
    <w:uiPriority w:val="22"/>
    <w:qFormat/>
    <w:rsid w:val="008B7CE4"/>
    <w:rPr>
      <w:b/>
      <w:bCs/>
    </w:rPr>
  </w:style>
  <w:style w:type="paragraph" w:customStyle="1" w:styleId="Figureandtableheading">
    <w:name w:val="Figure and table heading"/>
    <w:basedOn w:val="Caption"/>
    <w:link w:val="FigureandtableheadingChar"/>
    <w:uiPriority w:val="2"/>
    <w:qFormat/>
    <w:rsid w:val="008B7CE4"/>
    <w:rPr>
      <w:szCs w:val="22"/>
      <w:lang w:val="en-GB"/>
    </w:rPr>
  </w:style>
  <w:style w:type="character" w:customStyle="1" w:styleId="FigureandtableheadingChar">
    <w:name w:val="Figure and table heading Char"/>
    <w:basedOn w:val="DefaultParagraphFont"/>
    <w:link w:val="Figureandtableheading"/>
    <w:uiPriority w:val="2"/>
    <w:rsid w:val="008B7CE4"/>
    <w:rPr>
      <w:rFonts w:asciiTheme="minorHAnsi" w:eastAsiaTheme="majorEastAsia" w:hAnsiTheme="minorHAnsi" w:cs="Calibri"/>
      <w:b/>
      <w:iCs/>
      <w:color w:val="507CB9"/>
      <w:sz w:val="22"/>
      <w:szCs w:val="22"/>
      <w:lang w:val="en-GB"/>
    </w:rPr>
  </w:style>
  <w:style w:type="paragraph" w:customStyle="1" w:styleId="Heading-notforTOC">
    <w:name w:val="Heading - not for TOC"/>
    <w:basedOn w:val="Normal"/>
    <w:link w:val="Heading-notforTOCChar"/>
    <w:uiPriority w:val="2"/>
    <w:qFormat/>
    <w:rsid w:val="008B7CE4"/>
    <w:rPr>
      <w:b/>
      <w:color w:val="507CB9"/>
      <w:sz w:val="24"/>
      <w:lang w:val="en-GB"/>
    </w:rPr>
  </w:style>
  <w:style w:type="character" w:customStyle="1" w:styleId="Heading-notforTOCChar">
    <w:name w:val="Heading - not for TOC Char"/>
    <w:basedOn w:val="DefaultParagraphFont"/>
    <w:link w:val="Heading-notforTOC"/>
    <w:uiPriority w:val="2"/>
    <w:rsid w:val="008B7CE4"/>
    <w:rPr>
      <w:rFonts w:asciiTheme="minorHAnsi" w:eastAsiaTheme="majorEastAsia" w:hAnsiTheme="minorHAnsi" w:cs="Calibri"/>
      <w:b/>
      <w:color w:val="507CB9"/>
      <w:sz w:val="24"/>
      <w:szCs w:val="24"/>
      <w:lang w:val="en-GB"/>
    </w:rPr>
  </w:style>
  <w:style w:type="paragraph" w:customStyle="1" w:styleId="Bullet1">
    <w:name w:val="Bullet 1"/>
    <w:basedOn w:val="ListParagraph"/>
    <w:qFormat/>
    <w:rsid w:val="00221AFA"/>
    <w:pPr>
      <w:spacing w:after="0" w:line="240" w:lineRule="auto"/>
      <w:ind w:left="0"/>
    </w:pPr>
    <w:rPr>
      <w:rFonts w:eastAsia="Times New Roman" w:cs="Times New Roman"/>
      <w:color w:val="auto"/>
      <w:sz w:val="24"/>
      <w:lang w:eastAsia="en-US"/>
    </w:rPr>
  </w:style>
  <w:style w:type="character" w:customStyle="1" w:styleId="normaltextrun">
    <w:name w:val="normaltextrun"/>
    <w:basedOn w:val="DefaultParagraphFont"/>
    <w:rsid w:val="00221AFA"/>
  </w:style>
  <w:style w:type="paragraph" w:customStyle="1" w:styleId="paragraph">
    <w:name w:val="paragraph"/>
    <w:basedOn w:val="Normal"/>
    <w:rsid w:val="00221AFA"/>
    <w:pPr>
      <w:spacing w:before="100" w:beforeAutospacing="1" w:after="100" w:afterAutospacing="1" w:line="240" w:lineRule="auto"/>
    </w:pPr>
    <w:rPr>
      <w:rFonts w:ascii="Times New Roman" w:eastAsia="Times New Roman" w:hAnsi="Times New Roman" w:cs="Times New Roman"/>
      <w:color w:val="auto"/>
      <w:sz w:val="24"/>
    </w:rPr>
  </w:style>
  <w:style w:type="paragraph" w:customStyle="1" w:styleId="pf0">
    <w:name w:val="pf0"/>
    <w:basedOn w:val="Normal"/>
    <w:rsid w:val="003708E8"/>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cf01">
    <w:name w:val="cf01"/>
    <w:basedOn w:val="DefaultParagraphFont"/>
    <w:rsid w:val="003708E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0041">
      <w:bodyDiv w:val="1"/>
      <w:marLeft w:val="0"/>
      <w:marRight w:val="0"/>
      <w:marTop w:val="0"/>
      <w:marBottom w:val="0"/>
      <w:divBdr>
        <w:top w:val="none" w:sz="0" w:space="0" w:color="auto"/>
        <w:left w:val="none" w:sz="0" w:space="0" w:color="auto"/>
        <w:bottom w:val="none" w:sz="0" w:space="0" w:color="auto"/>
        <w:right w:val="none" w:sz="0" w:space="0" w:color="auto"/>
      </w:divBdr>
    </w:div>
    <w:div w:id="221213401">
      <w:bodyDiv w:val="1"/>
      <w:marLeft w:val="0"/>
      <w:marRight w:val="0"/>
      <w:marTop w:val="0"/>
      <w:marBottom w:val="0"/>
      <w:divBdr>
        <w:top w:val="none" w:sz="0" w:space="0" w:color="auto"/>
        <w:left w:val="none" w:sz="0" w:space="0" w:color="auto"/>
        <w:bottom w:val="none" w:sz="0" w:space="0" w:color="auto"/>
        <w:right w:val="none" w:sz="0" w:space="0" w:color="auto"/>
      </w:divBdr>
    </w:div>
    <w:div w:id="263853247">
      <w:bodyDiv w:val="1"/>
      <w:marLeft w:val="0"/>
      <w:marRight w:val="0"/>
      <w:marTop w:val="0"/>
      <w:marBottom w:val="0"/>
      <w:divBdr>
        <w:top w:val="none" w:sz="0" w:space="0" w:color="auto"/>
        <w:left w:val="none" w:sz="0" w:space="0" w:color="auto"/>
        <w:bottom w:val="none" w:sz="0" w:space="0" w:color="auto"/>
        <w:right w:val="none" w:sz="0" w:space="0" w:color="auto"/>
      </w:divBdr>
    </w:div>
    <w:div w:id="400640449">
      <w:bodyDiv w:val="1"/>
      <w:marLeft w:val="0"/>
      <w:marRight w:val="0"/>
      <w:marTop w:val="0"/>
      <w:marBottom w:val="0"/>
      <w:divBdr>
        <w:top w:val="none" w:sz="0" w:space="0" w:color="auto"/>
        <w:left w:val="none" w:sz="0" w:space="0" w:color="auto"/>
        <w:bottom w:val="none" w:sz="0" w:space="0" w:color="auto"/>
        <w:right w:val="none" w:sz="0" w:space="0" w:color="auto"/>
      </w:divBdr>
    </w:div>
    <w:div w:id="416634855">
      <w:bodyDiv w:val="1"/>
      <w:marLeft w:val="0"/>
      <w:marRight w:val="0"/>
      <w:marTop w:val="0"/>
      <w:marBottom w:val="0"/>
      <w:divBdr>
        <w:top w:val="none" w:sz="0" w:space="0" w:color="auto"/>
        <w:left w:val="none" w:sz="0" w:space="0" w:color="auto"/>
        <w:bottom w:val="none" w:sz="0" w:space="0" w:color="auto"/>
        <w:right w:val="none" w:sz="0" w:space="0" w:color="auto"/>
      </w:divBdr>
    </w:div>
    <w:div w:id="440540535">
      <w:bodyDiv w:val="1"/>
      <w:marLeft w:val="0"/>
      <w:marRight w:val="0"/>
      <w:marTop w:val="0"/>
      <w:marBottom w:val="0"/>
      <w:divBdr>
        <w:top w:val="none" w:sz="0" w:space="0" w:color="auto"/>
        <w:left w:val="none" w:sz="0" w:space="0" w:color="auto"/>
        <w:bottom w:val="none" w:sz="0" w:space="0" w:color="auto"/>
        <w:right w:val="none" w:sz="0" w:space="0" w:color="auto"/>
      </w:divBdr>
    </w:div>
    <w:div w:id="541984837">
      <w:bodyDiv w:val="1"/>
      <w:marLeft w:val="0"/>
      <w:marRight w:val="0"/>
      <w:marTop w:val="0"/>
      <w:marBottom w:val="0"/>
      <w:divBdr>
        <w:top w:val="none" w:sz="0" w:space="0" w:color="auto"/>
        <w:left w:val="none" w:sz="0" w:space="0" w:color="auto"/>
        <w:bottom w:val="none" w:sz="0" w:space="0" w:color="auto"/>
        <w:right w:val="none" w:sz="0" w:space="0" w:color="auto"/>
      </w:divBdr>
    </w:div>
    <w:div w:id="557739855">
      <w:bodyDiv w:val="1"/>
      <w:marLeft w:val="0"/>
      <w:marRight w:val="0"/>
      <w:marTop w:val="0"/>
      <w:marBottom w:val="0"/>
      <w:divBdr>
        <w:top w:val="none" w:sz="0" w:space="0" w:color="auto"/>
        <w:left w:val="none" w:sz="0" w:space="0" w:color="auto"/>
        <w:bottom w:val="none" w:sz="0" w:space="0" w:color="auto"/>
        <w:right w:val="none" w:sz="0" w:space="0" w:color="auto"/>
      </w:divBdr>
    </w:div>
    <w:div w:id="592517867">
      <w:bodyDiv w:val="1"/>
      <w:marLeft w:val="0"/>
      <w:marRight w:val="0"/>
      <w:marTop w:val="0"/>
      <w:marBottom w:val="0"/>
      <w:divBdr>
        <w:top w:val="none" w:sz="0" w:space="0" w:color="auto"/>
        <w:left w:val="none" w:sz="0" w:space="0" w:color="auto"/>
        <w:bottom w:val="none" w:sz="0" w:space="0" w:color="auto"/>
        <w:right w:val="none" w:sz="0" w:space="0" w:color="auto"/>
      </w:divBdr>
    </w:div>
    <w:div w:id="655229159">
      <w:bodyDiv w:val="1"/>
      <w:marLeft w:val="0"/>
      <w:marRight w:val="0"/>
      <w:marTop w:val="0"/>
      <w:marBottom w:val="0"/>
      <w:divBdr>
        <w:top w:val="none" w:sz="0" w:space="0" w:color="auto"/>
        <w:left w:val="none" w:sz="0" w:space="0" w:color="auto"/>
        <w:bottom w:val="none" w:sz="0" w:space="0" w:color="auto"/>
        <w:right w:val="none" w:sz="0" w:space="0" w:color="auto"/>
      </w:divBdr>
    </w:div>
    <w:div w:id="803742266">
      <w:bodyDiv w:val="1"/>
      <w:marLeft w:val="0"/>
      <w:marRight w:val="0"/>
      <w:marTop w:val="0"/>
      <w:marBottom w:val="0"/>
      <w:divBdr>
        <w:top w:val="none" w:sz="0" w:space="0" w:color="auto"/>
        <w:left w:val="none" w:sz="0" w:space="0" w:color="auto"/>
        <w:bottom w:val="none" w:sz="0" w:space="0" w:color="auto"/>
        <w:right w:val="none" w:sz="0" w:space="0" w:color="auto"/>
      </w:divBdr>
    </w:div>
    <w:div w:id="815342775">
      <w:bodyDiv w:val="1"/>
      <w:marLeft w:val="0"/>
      <w:marRight w:val="0"/>
      <w:marTop w:val="0"/>
      <w:marBottom w:val="0"/>
      <w:divBdr>
        <w:top w:val="none" w:sz="0" w:space="0" w:color="auto"/>
        <w:left w:val="none" w:sz="0" w:space="0" w:color="auto"/>
        <w:bottom w:val="none" w:sz="0" w:space="0" w:color="auto"/>
        <w:right w:val="none" w:sz="0" w:space="0" w:color="auto"/>
      </w:divBdr>
    </w:div>
    <w:div w:id="825244276">
      <w:bodyDiv w:val="1"/>
      <w:marLeft w:val="0"/>
      <w:marRight w:val="0"/>
      <w:marTop w:val="0"/>
      <w:marBottom w:val="0"/>
      <w:divBdr>
        <w:top w:val="none" w:sz="0" w:space="0" w:color="auto"/>
        <w:left w:val="none" w:sz="0" w:space="0" w:color="auto"/>
        <w:bottom w:val="none" w:sz="0" w:space="0" w:color="auto"/>
        <w:right w:val="none" w:sz="0" w:space="0" w:color="auto"/>
      </w:divBdr>
    </w:div>
    <w:div w:id="891111267">
      <w:bodyDiv w:val="1"/>
      <w:marLeft w:val="0"/>
      <w:marRight w:val="0"/>
      <w:marTop w:val="0"/>
      <w:marBottom w:val="0"/>
      <w:divBdr>
        <w:top w:val="none" w:sz="0" w:space="0" w:color="auto"/>
        <w:left w:val="none" w:sz="0" w:space="0" w:color="auto"/>
        <w:bottom w:val="none" w:sz="0" w:space="0" w:color="auto"/>
        <w:right w:val="none" w:sz="0" w:space="0" w:color="auto"/>
      </w:divBdr>
    </w:div>
    <w:div w:id="1040786795">
      <w:bodyDiv w:val="1"/>
      <w:marLeft w:val="0"/>
      <w:marRight w:val="0"/>
      <w:marTop w:val="0"/>
      <w:marBottom w:val="0"/>
      <w:divBdr>
        <w:top w:val="none" w:sz="0" w:space="0" w:color="auto"/>
        <w:left w:val="none" w:sz="0" w:space="0" w:color="auto"/>
        <w:bottom w:val="none" w:sz="0" w:space="0" w:color="auto"/>
        <w:right w:val="none" w:sz="0" w:space="0" w:color="auto"/>
      </w:divBdr>
    </w:div>
    <w:div w:id="1095250394">
      <w:bodyDiv w:val="1"/>
      <w:marLeft w:val="0"/>
      <w:marRight w:val="0"/>
      <w:marTop w:val="0"/>
      <w:marBottom w:val="0"/>
      <w:divBdr>
        <w:top w:val="none" w:sz="0" w:space="0" w:color="auto"/>
        <w:left w:val="none" w:sz="0" w:space="0" w:color="auto"/>
        <w:bottom w:val="none" w:sz="0" w:space="0" w:color="auto"/>
        <w:right w:val="none" w:sz="0" w:space="0" w:color="auto"/>
      </w:divBdr>
    </w:div>
    <w:div w:id="1114640792">
      <w:bodyDiv w:val="1"/>
      <w:marLeft w:val="0"/>
      <w:marRight w:val="0"/>
      <w:marTop w:val="0"/>
      <w:marBottom w:val="0"/>
      <w:divBdr>
        <w:top w:val="none" w:sz="0" w:space="0" w:color="auto"/>
        <w:left w:val="none" w:sz="0" w:space="0" w:color="auto"/>
        <w:bottom w:val="none" w:sz="0" w:space="0" w:color="auto"/>
        <w:right w:val="none" w:sz="0" w:space="0" w:color="auto"/>
      </w:divBdr>
    </w:div>
    <w:div w:id="1119959930">
      <w:bodyDiv w:val="1"/>
      <w:marLeft w:val="0"/>
      <w:marRight w:val="0"/>
      <w:marTop w:val="0"/>
      <w:marBottom w:val="0"/>
      <w:divBdr>
        <w:top w:val="none" w:sz="0" w:space="0" w:color="auto"/>
        <w:left w:val="none" w:sz="0" w:space="0" w:color="auto"/>
        <w:bottom w:val="none" w:sz="0" w:space="0" w:color="auto"/>
        <w:right w:val="none" w:sz="0" w:space="0" w:color="auto"/>
      </w:divBdr>
    </w:div>
    <w:div w:id="115502900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29">
          <w:marLeft w:val="0"/>
          <w:marRight w:val="0"/>
          <w:marTop w:val="0"/>
          <w:marBottom w:val="0"/>
          <w:divBdr>
            <w:top w:val="none" w:sz="0" w:space="0" w:color="auto"/>
            <w:left w:val="none" w:sz="0" w:space="0" w:color="auto"/>
            <w:bottom w:val="none" w:sz="0" w:space="0" w:color="auto"/>
            <w:right w:val="none" w:sz="0" w:space="0" w:color="auto"/>
          </w:divBdr>
        </w:div>
      </w:divsChild>
    </w:div>
    <w:div w:id="1178734100">
      <w:bodyDiv w:val="1"/>
      <w:marLeft w:val="0"/>
      <w:marRight w:val="0"/>
      <w:marTop w:val="0"/>
      <w:marBottom w:val="0"/>
      <w:divBdr>
        <w:top w:val="none" w:sz="0" w:space="0" w:color="auto"/>
        <w:left w:val="none" w:sz="0" w:space="0" w:color="auto"/>
        <w:bottom w:val="none" w:sz="0" w:space="0" w:color="auto"/>
        <w:right w:val="none" w:sz="0" w:space="0" w:color="auto"/>
      </w:divBdr>
      <w:divsChild>
        <w:div w:id="1084841472">
          <w:marLeft w:val="0"/>
          <w:marRight w:val="0"/>
          <w:marTop w:val="0"/>
          <w:marBottom w:val="0"/>
          <w:divBdr>
            <w:top w:val="none" w:sz="0" w:space="0" w:color="auto"/>
            <w:left w:val="none" w:sz="0" w:space="0" w:color="auto"/>
            <w:bottom w:val="none" w:sz="0" w:space="0" w:color="auto"/>
            <w:right w:val="none" w:sz="0" w:space="0" w:color="auto"/>
          </w:divBdr>
        </w:div>
      </w:divsChild>
    </w:div>
    <w:div w:id="1224103095">
      <w:bodyDiv w:val="1"/>
      <w:marLeft w:val="0"/>
      <w:marRight w:val="0"/>
      <w:marTop w:val="0"/>
      <w:marBottom w:val="0"/>
      <w:divBdr>
        <w:top w:val="none" w:sz="0" w:space="0" w:color="auto"/>
        <w:left w:val="none" w:sz="0" w:space="0" w:color="auto"/>
        <w:bottom w:val="none" w:sz="0" w:space="0" w:color="auto"/>
        <w:right w:val="none" w:sz="0" w:space="0" w:color="auto"/>
      </w:divBdr>
    </w:div>
    <w:div w:id="1309245094">
      <w:bodyDiv w:val="1"/>
      <w:marLeft w:val="0"/>
      <w:marRight w:val="0"/>
      <w:marTop w:val="0"/>
      <w:marBottom w:val="0"/>
      <w:divBdr>
        <w:top w:val="none" w:sz="0" w:space="0" w:color="auto"/>
        <w:left w:val="none" w:sz="0" w:space="0" w:color="auto"/>
        <w:bottom w:val="none" w:sz="0" w:space="0" w:color="auto"/>
        <w:right w:val="none" w:sz="0" w:space="0" w:color="auto"/>
      </w:divBdr>
    </w:div>
    <w:div w:id="1319580959">
      <w:bodyDiv w:val="1"/>
      <w:marLeft w:val="0"/>
      <w:marRight w:val="0"/>
      <w:marTop w:val="0"/>
      <w:marBottom w:val="0"/>
      <w:divBdr>
        <w:top w:val="none" w:sz="0" w:space="0" w:color="auto"/>
        <w:left w:val="none" w:sz="0" w:space="0" w:color="auto"/>
        <w:bottom w:val="none" w:sz="0" w:space="0" w:color="auto"/>
        <w:right w:val="none" w:sz="0" w:space="0" w:color="auto"/>
      </w:divBdr>
    </w:div>
    <w:div w:id="1330983075">
      <w:bodyDiv w:val="1"/>
      <w:marLeft w:val="0"/>
      <w:marRight w:val="0"/>
      <w:marTop w:val="0"/>
      <w:marBottom w:val="0"/>
      <w:divBdr>
        <w:top w:val="none" w:sz="0" w:space="0" w:color="auto"/>
        <w:left w:val="none" w:sz="0" w:space="0" w:color="auto"/>
        <w:bottom w:val="none" w:sz="0" w:space="0" w:color="auto"/>
        <w:right w:val="none" w:sz="0" w:space="0" w:color="auto"/>
      </w:divBdr>
    </w:div>
    <w:div w:id="1423525495">
      <w:bodyDiv w:val="1"/>
      <w:marLeft w:val="0"/>
      <w:marRight w:val="0"/>
      <w:marTop w:val="0"/>
      <w:marBottom w:val="0"/>
      <w:divBdr>
        <w:top w:val="none" w:sz="0" w:space="0" w:color="auto"/>
        <w:left w:val="none" w:sz="0" w:space="0" w:color="auto"/>
        <w:bottom w:val="none" w:sz="0" w:space="0" w:color="auto"/>
        <w:right w:val="none" w:sz="0" w:space="0" w:color="auto"/>
      </w:divBdr>
    </w:div>
    <w:div w:id="1467383618">
      <w:bodyDiv w:val="1"/>
      <w:marLeft w:val="0"/>
      <w:marRight w:val="0"/>
      <w:marTop w:val="0"/>
      <w:marBottom w:val="0"/>
      <w:divBdr>
        <w:top w:val="none" w:sz="0" w:space="0" w:color="auto"/>
        <w:left w:val="none" w:sz="0" w:space="0" w:color="auto"/>
        <w:bottom w:val="none" w:sz="0" w:space="0" w:color="auto"/>
        <w:right w:val="none" w:sz="0" w:space="0" w:color="auto"/>
      </w:divBdr>
    </w:div>
    <w:div w:id="1505852276">
      <w:bodyDiv w:val="1"/>
      <w:marLeft w:val="0"/>
      <w:marRight w:val="0"/>
      <w:marTop w:val="0"/>
      <w:marBottom w:val="0"/>
      <w:divBdr>
        <w:top w:val="none" w:sz="0" w:space="0" w:color="auto"/>
        <w:left w:val="none" w:sz="0" w:space="0" w:color="auto"/>
        <w:bottom w:val="none" w:sz="0" w:space="0" w:color="auto"/>
        <w:right w:val="none" w:sz="0" w:space="0" w:color="auto"/>
      </w:divBdr>
    </w:div>
    <w:div w:id="1548298437">
      <w:bodyDiv w:val="1"/>
      <w:marLeft w:val="0"/>
      <w:marRight w:val="0"/>
      <w:marTop w:val="0"/>
      <w:marBottom w:val="0"/>
      <w:divBdr>
        <w:top w:val="none" w:sz="0" w:space="0" w:color="auto"/>
        <w:left w:val="none" w:sz="0" w:space="0" w:color="auto"/>
        <w:bottom w:val="none" w:sz="0" w:space="0" w:color="auto"/>
        <w:right w:val="none" w:sz="0" w:space="0" w:color="auto"/>
      </w:divBdr>
      <w:divsChild>
        <w:div w:id="313604414">
          <w:marLeft w:val="0"/>
          <w:marRight w:val="0"/>
          <w:marTop w:val="0"/>
          <w:marBottom w:val="0"/>
          <w:divBdr>
            <w:top w:val="none" w:sz="0" w:space="0" w:color="auto"/>
            <w:left w:val="none" w:sz="0" w:space="0" w:color="auto"/>
            <w:bottom w:val="none" w:sz="0" w:space="0" w:color="auto"/>
            <w:right w:val="none" w:sz="0" w:space="0" w:color="auto"/>
          </w:divBdr>
        </w:div>
        <w:div w:id="478957739">
          <w:marLeft w:val="0"/>
          <w:marRight w:val="0"/>
          <w:marTop w:val="0"/>
          <w:marBottom w:val="0"/>
          <w:divBdr>
            <w:top w:val="none" w:sz="0" w:space="0" w:color="auto"/>
            <w:left w:val="none" w:sz="0" w:space="0" w:color="auto"/>
            <w:bottom w:val="none" w:sz="0" w:space="0" w:color="auto"/>
            <w:right w:val="none" w:sz="0" w:space="0" w:color="auto"/>
          </w:divBdr>
        </w:div>
      </w:divsChild>
    </w:div>
    <w:div w:id="1602029474">
      <w:bodyDiv w:val="1"/>
      <w:marLeft w:val="0"/>
      <w:marRight w:val="0"/>
      <w:marTop w:val="0"/>
      <w:marBottom w:val="0"/>
      <w:divBdr>
        <w:top w:val="none" w:sz="0" w:space="0" w:color="auto"/>
        <w:left w:val="none" w:sz="0" w:space="0" w:color="auto"/>
        <w:bottom w:val="none" w:sz="0" w:space="0" w:color="auto"/>
        <w:right w:val="none" w:sz="0" w:space="0" w:color="auto"/>
      </w:divBdr>
    </w:div>
    <w:div w:id="1617441533">
      <w:bodyDiv w:val="1"/>
      <w:marLeft w:val="0"/>
      <w:marRight w:val="0"/>
      <w:marTop w:val="0"/>
      <w:marBottom w:val="0"/>
      <w:divBdr>
        <w:top w:val="none" w:sz="0" w:space="0" w:color="auto"/>
        <w:left w:val="none" w:sz="0" w:space="0" w:color="auto"/>
        <w:bottom w:val="none" w:sz="0" w:space="0" w:color="auto"/>
        <w:right w:val="none" w:sz="0" w:space="0" w:color="auto"/>
      </w:divBdr>
    </w:div>
    <w:div w:id="1645425604">
      <w:bodyDiv w:val="1"/>
      <w:marLeft w:val="0"/>
      <w:marRight w:val="0"/>
      <w:marTop w:val="0"/>
      <w:marBottom w:val="0"/>
      <w:divBdr>
        <w:top w:val="none" w:sz="0" w:space="0" w:color="auto"/>
        <w:left w:val="none" w:sz="0" w:space="0" w:color="auto"/>
        <w:bottom w:val="none" w:sz="0" w:space="0" w:color="auto"/>
        <w:right w:val="none" w:sz="0" w:space="0" w:color="auto"/>
      </w:divBdr>
    </w:div>
    <w:div w:id="1660769361">
      <w:bodyDiv w:val="1"/>
      <w:marLeft w:val="0"/>
      <w:marRight w:val="0"/>
      <w:marTop w:val="0"/>
      <w:marBottom w:val="0"/>
      <w:divBdr>
        <w:top w:val="none" w:sz="0" w:space="0" w:color="auto"/>
        <w:left w:val="none" w:sz="0" w:space="0" w:color="auto"/>
        <w:bottom w:val="none" w:sz="0" w:space="0" w:color="auto"/>
        <w:right w:val="none" w:sz="0" w:space="0" w:color="auto"/>
      </w:divBdr>
    </w:div>
    <w:div w:id="1754468599">
      <w:bodyDiv w:val="1"/>
      <w:marLeft w:val="0"/>
      <w:marRight w:val="0"/>
      <w:marTop w:val="0"/>
      <w:marBottom w:val="0"/>
      <w:divBdr>
        <w:top w:val="none" w:sz="0" w:space="0" w:color="auto"/>
        <w:left w:val="none" w:sz="0" w:space="0" w:color="auto"/>
        <w:bottom w:val="none" w:sz="0" w:space="0" w:color="auto"/>
        <w:right w:val="none" w:sz="0" w:space="0" w:color="auto"/>
      </w:divBdr>
      <w:divsChild>
        <w:div w:id="563175041">
          <w:marLeft w:val="0"/>
          <w:marRight w:val="0"/>
          <w:marTop w:val="0"/>
          <w:marBottom w:val="0"/>
          <w:divBdr>
            <w:top w:val="none" w:sz="0" w:space="0" w:color="auto"/>
            <w:left w:val="none" w:sz="0" w:space="0" w:color="auto"/>
            <w:bottom w:val="none" w:sz="0" w:space="0" w:color="auto"/>
            <w:right w:val="none" w:sz="0" w:space="0" w:color="auto"/>
          </w:divBdr>
        </w:div>
        <w:div w:id="800458108">
          <w:marLeft w:val="0"/>
          <w:marRight w:val="0"/>
          <w:marTop w:val="0"/>
          <w:marBottom w:val="0"/>
          <w:divBdr>
            <w:top w:val="none" w:sz="0" w:space="0" w:color="auto"/>
            <w:left w:val="none" w:sz="0" w:space="0" w:color="auto"/>
            <w:bottom w:val="none" w:sz="0" w:space="0" w:color="auto"/>
            <w:right w:val="none" w:sz="0" w:space="0" w:color="auto"/>
          </w:divBdr>
        </w:div>
      </w:divsChild>
    </w:div>
    <w:div w:id="1946419472">
      <w:bodyDiv w:val="1"/>
      <w:marLeft w:val="0"/>
      <w:marRight w:val="0"/>
      <w:marTop w:val="0"/>
      <w:marBottom w:val="0"/>
      <w:divBdr>
        <w:top w:val="none" w:sz="0" w:space="0" w:color="auto"/>
        <w:left w:val="none" w:sz="0" w:space="0" w:color="auto"/>
        <w:bottom w:val="none" w:sz="0" w:space="0" w:color="auto"/>
        <w:right w:val="none" w:sz="0" w:space="0" w:color="auto"/>
      </w:divBdr>
    </w:div>
    <w:div w:id="1971982427">
      <w:bodyDiv w:val="1"/>
      <w:marLeft w:val="0"/>
      <w:marRight w:val="0"/>
      <w:marTop w:val="0"/>
      <w:marBottom w:val="0"/>
      <w:divBdr>
        <w:top w:val="none" w:sz="0" w:space="0" w:color="auto"/>
        <w:left w:val="none" w:sz="0" w:space="0" w:color="auto"/>
        <w:bottom w:val="none" w:sz="0" w:space="0" w:color="auto"/>
        <w:right w:val="none" w:sz="0" w:space="0" w:color="auto"/>
      </w:divBdr>
    </w:div>
    <w:div w:id="2039548202">
      <w:bodyDiv w:val="1"/>
      <w:marLeft w:val="0"/>
      <w:marRight w:val="0"/>
      <w:marTop w:val="0"/>
      <w:marBottom w:val="0"/>
      <w:divBdr>
        <w:top w:val="none" w:sz="0" w:space="0" w:color="auto"/>
        <w:left w:val="none" w:sz="0" w:space="0" w:color="auto"/>
        <w:bottom w:val="none" w:sz="0" w:space="0" w:color="auto"/>
        <w:right w:val="none" w:sz="0" w:space="0" w:color="auto"/>
      </w:divBdr>
    </w:div>
    <w:div w:id="2096241670">
      <w:bodyDiv w:val="1"/>
      <w:marLeft w:val="0"/>
      <w:marRight w:val="0"/>
      <w:marTop w:val="0"/>
      <w:marBottom w:val="0"/>
      <w:divBdr>
        <w:top w:val="none" w:sz="0" w:space="0" w:color="auto"/>
        <w:left w:val="none" w:sz="0" w:space="0" w:color="auto"/>
        <w:bottom w:val="none" w:sz="0" w:space="0" w:color="auto"/>
        <w:right w:val="none" w:sz="0" w:space="0" w:color="auto"/>
      </w:divBdr>
    </w:div>
    <w:div w:id="212307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openverse.org/image/f2c9910d-3386-4155-a803-6f1e4f8bd44c?q=Refugee+camp+bangladesh&amp;p=31" TargetMode="External"/><Relationship Id="rId17" Type="http://schemas.openxmlformats.org/officeDocument/2006/relationships/header" Target="header3.xml"/><Relationship Id="rId25" Type="http://schemas.openxmlformats.org/officeDocument/2006/relationships/hyperlink" Target="https://reporting.unhcr.org/flexible-funding-2024"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verse.org/image/f2c9910d-3386-4155-a803-6f1e4f8bd44c?q=Refugee+camp+bangladesh&amp;p=31" TargetMode="External"/><Relationship Id="rId24" Type="http://schemas.openxmlformats.org/officeDocument/2006/relationships/hyperlink" Target="https://www.dfat.gov.au/publications/international-relations/australia-world-2025-snapsho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cgdev.org/publication/improving-performance-multilateral-humanitarian-system-new-modelsdonorsh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interagencystandingcommittee.org/grand-bargain" TargetMode="External"/><Relationship Id="rId2" Type="http://schemas.openxmlformats.org/officeDocument/2006/relationships/hyperlink" Target="https://www.oecd.org/en/publications/development-co-operation-profiles_04b376d7-en/australia_b4d74d53-en.html" TargetMode="External"/><Relationship Id="rId1" Type="http://schemas.openxmlformats.org/officeDocument/2006/relationships/hyperlink" Target="https://www.oecd.org/en/topics/development-co-operation.html" TargetMode="External"/><Relationship Id="rId5" Type="http://schemas.openxmlformats.org/officeDocument/2006/relationships/hyperlink" Target="https://www.dfat.gov.au/international-relations/international-organisations/un/multilateral-placements-program" TargetMode="External"/><Relationship Id="rId4" Type="http://schemas.openxmlformats.org/officeDocument/2006/relationships/hyperlink" Target="https://www.dfat.gov.au/development/performance-assess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annah.lavey\Alinea%20International\Australia%20-%20Consulting%20-%20General\Templates\Alinea%20International%20Templates%202021%20-%202022\Alinea%20Report%20Template%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45786DF8204C33BBB4366A21E2BC28"/>
        <w:category>
          <w:name w:val="General"/>
          <w:gallery w:val="placeholder"/>
        </w:category>
        <w:types>
          <w:type w:val="bbPlcHdr"/>
        </w:types>
        <w:behaviors>
          <w:behavior w:val="content"/>
        </w:behaviors>
        <w:guid w:val="{6CEC4AB9-2EEF-4AC0-8A49-4077AFDCF632}"/>
      </w:docPartPr>
      <w:docPartBody>
        <w:p w:rsidR="00E222DB" w:rsidRDefault="009B5985">
          <w:pPr>
            <w:pStyle w:val="5645786DF8204C33BBB4366A21E2BC28"/>
          </w:pPr>
          <w:r w:rsidRPr="003725EF">
            <w:rPr>
              <w:rStyle w:val="PlaceholderText"/>
            </w:rPr>
            <w:t>Click or tap here to enter text.</w:t>
          </w:r>
        </w:p>
      </w:docPartBody>
    </w:docPart>
    <w:docPart>
      <w:docPartPr>
        <w:name w:val="F76741F478774FBBBC6B2056FDB74863"/>
        <w:category>
          <w:name w:val="General"/>
          <w:gallery w:val="placeholder"/>
        </w:category>
        <w:types>
          <w:type w:val="bbPlcHdr"/>
        </w:types>
        <w:behaviors>
          <w:behavior w:val="content"/>
        </w:behaviors>
        <w:guid w:val="{9B740DEF-397A-45A3-B831-7C295524045F}"/>
      </w:docPartPr>
      <w:docPartBody>
        <w:p w:rsidR="003434DA" w:rsidRDefault="009B5985">
          <w:pPr>
            <w:pStyle w:val="F76741F478774FBBBC6B2056FDB74863"/>
          </w:pPr>
          <w:r w:rsidRPr="00415976">
            <w:rPr>
              <w:rStyle w:val="PlaceholderText"/>
              <w:highlight w:val="yellow"/>
            </w:rPr>
            <w:t>XXXXXXX</w:t>
          </w:r>
          <w:r w:rsidRPr="00415976">
            <w:rPr>
              <w:rStyle w:val="PlaceholderText"/>
            </w:rPr>
            <w:t>.</w:t>
          </w:r>
        </w:p>
      </w:docPartBody>
    </w:docPart>
    <w:docPart>
      <w:docPartPr>
        <w:name w:val="5A49AA98412747809A63047A9E769932"/>
        <w:category>
          <w:name w:val="General"/>
          <w:gallery w:val="placeholder"/>
        </w:category>
        <w:types>
          <w:type w:val="bbPlcHdr"/>
        </w:types>
        <w:behaviors>
          <w:behavior w:val="content"/>
        </w:behaviors>
        <w:guid w:val="{A5212942-A180-4388-A1CA-09B66D3DFEBE}"/>
      </w:docPartPr>
      <w:docPartBody>
        <w:p w:rsidR="003434DA" w:rsidRDefault="009B5985">
          <w:pPr>
            <w:pStyle w:val="5A49AA98412747809A63047A9E769932"/>
          </w:pPr>
          <w:r w:rsidRPr="00415976">
            <w:rPr>
              <w:rStyle w:val="PlaceholderText"/>
              <w:highlight w:val="yellow"/>
            </w:rPr>
            <w:t>XXXXXXX</w:t>
          </w:r>
          <w:r w:rsidRPr="00415976">
            <w:rPr>
              <w:rStyle w:val="PlaceholderText"/>
            </w:rPr>
            <w:t>.</w:t>
          </w:r>
        </w:p>
      </w:docPartBody>
    </w:docPart>
    <w:docPart>
      <w:docPartPr>
        <w:name w:val="2309E497E40B4AC681FE9374E15F238E"/>
        <w:category>
          <w:name w:val="General"/>
          <w:gallery w:val="placeholder"/>
        </w:category>
        <w:types>
          <w:type w:val="bbPlcHdr"/>
        </w:types>
        <w:behaviors>
          <w:behavior w:val="content"/>
        </w:behaviors>
        <w:guid w:val="{770C4CA2-C3D8-41A1-8810-6D27F7B5A723}"/>
      </w:docPartPr>
      <w:docPartBody>
        <w:p w:rsidR="006D5F2D" w:rsidRDefault="006D5F2D" w:rsidP="006D5F2D">
          <w:pPr>
            <w:pStyle w:val="2309E497E40B4AC681FE9374E15F238E"/>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pid C1 SCd Regular">
    <w:altName w:val="Arial"/>
    <w:charset w:val="00"/>
    <w:family w:val="swiss"/>
    <w:pitch w:val="variable"/>
    <w:sig w:usb0="A00000E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59"/>
    <w:rsid w:val="00035DA3"/>
    <w:rsid w:val="0004565D"/>
    <w:rsid w:val="00065D39"/>
    <w:rsid w:val="0008523E"/>
    <w:rsid w:val="00094922"/>
    <w:rsid w:val="000A1878"/>
    <w:rsid w:val="000B0398"/>
    <w:rsid w:val="000C720F"/>
    <w:rsid w:val="000F67CA"/>
    <w:rsid w:val="00106894"/>
    <w:rsid w:val="00113FD2"/>
    <w:rsid w:val="0016364D"/>
    <w:rsid w:val="00183C53"/>
    <w:rsid w:val="001C58D2"/>
    <w:rsid w:val="001C5A6C"/>
    <w:rsid w:val="001C6843"/>
    <w:rsid w:val="001C71F6"/>
    <w:rsid w:val="001E2067"/>
    <w:rsid w:val="0020446F"/>
    <w:rsid w:val="00207CC9"/>
    <w:rsid w:val="0022227D"/>
    <w:rsid w:val="0022512E"/>
    <w:rsid w:val="00250349"/>
    <w:rsid w:val="0027140B"/>
    <w:rsid w:val="002E7B37"/>
    <w:rsid w:val="002F6CF9"/>
    <w:rsid w:val="00315212"/>
    <w:rsid w:val="003336A7"/>
    <w:rsid w:val="003371CD"/>
    <w:rsid w:val="003434DA"/>
    <w:rsid w:val="003527EA"/>
    <w:rsid w:val="00352E0C"/>
    <w:rsid w:val="00355168"/>
    <w:rsid w:val="00355535"/>
    <w:rsid w:val="003576AC"/>
    <w:rsid w:val="0036457B"/>
    <w:rsid w:val="00364F52"/>
    <w:rsid w:val="003715F3"/>
    <w:rsid w:val="00374A50"/>
    <w:rsid w:val="003A35B5"/>
    <w:rsid w:val="003A435F"/>
    <w:rsid w:val="00404D02"/>
    <w:rsid w:val="00410898"/>
    <w:rsid w:val="00411B37"/>
    <w:rsid w:val="00420597"/>
    <w:rsid w:val="0042753D"/>
    <w:rsid w:val="00441CCE"/>
    <w:rsid w:val="00446587"/>
    <w:rsid w:val="004677CE"/>
    <w:rsid w:val="00470CB2"/>
    <w:rsid w:val="00473451"/>
    <w:rsid w:val="004965C5"/>
    <w:rsid w:val="004C4DE5"/>
    <w:rsid w:val="0050729F"/>
    <w:rsid w:val="00511F31"/>
    <w:rsid w:val="00593C68"/>
    <w:rsid w:val="005B7740"/>
    <w:rsid w:val="005D34C8"/>
    <w:rsid w:val="005D3C31"/>
    <w:rsid w:val="005E4999"/>
    <w:rsid w:val="00601D4A"/>
    <w:rsid w:val="0062014F"/>
    <w:rsid w:val="0063217B"/>
    <w:rsid w:val="00663413"/>
    <w:rsid w:val="00680A03"/>
    <w:rsid w:val="00687171"/>
    <w:rsid w:val="00692857"/>
    <w:rsid w:val="006935A1"/>
    <w:rsid w:val="006A76FD"/>
    <w:rsid w:val="006C1E88"/>
    <w:rsid w:val="006D5B3E"/>
    <w:rsid w:val="006D5F2D"/>
    <w:rsid w:val="006D7254"/>
    <w:rsid w:val="006E4071"/>
    <w:rsid w:val="00717F7B"/>
    <w:rsid w:val="00721C2D"/>
    <w:rsid w:val="007320D3"/>
    <w:rsid w:val="00746207"/>
    <w:rsid w:val="00771547"/>
    <w:rsid w:val="007931F0"/>
    <w:rsid w:val="00797EB9"/>
    <w:rsid w:val="007E1A74"/>
    <w:rsid w:val="008120DE"/>
    <w:rsid w:val="0082235F"/>
    <w:rsid w:val="00823959"/>
    <w:rsid w:val="00823DAD"/>
    <w:rsid w:val="00831189"/>
    <w:rsid w:val="0084273C"/>
    <w:rsid w:val="00846549"/>
    <w:rsid w:val="00855192"/>
    <w:rsid w:val="00880179"/>
    <w:rsid w:val="008A20A5"/>
    <w:rsid w:val="008C0110"/>
    <w:rsid w:val="008E5416"/>
    <w:rsid w:val="00900E25"/>
    <w:rsid w:val="00926BFF"/>
    <w:rsid w:val="00934C67"/>
    <w:rsid w:val="00934EAC"/>
    <w:rsid w:val="00936A1D"/>
    <w:rsid w:val="00945722"/>
    <w:rsid w:val="009515F9"/>
    <w:rsid w:val="00957DEE"/>
    <w:rsid w:val="009759A9"/>
    <w:rsid w:val="009818AF"/>
    <w:rsid w:val="009821B1"/>
    <w:rsid w:val="00986BA0"/>
    <w:rsid w:val="009A136E"/>
    <w:rsid w:val="009A5257"/>
    <w:rsid w:val="009B3AF5"/>
    <w:rsid w:val="009B40B6"/>
    <w:rsid w:val="009B5985"/>
    <w:rsid w:val="009D0DF9"/>
    <w:rsid w:val="009D4180"/>
    <w:rsid w:val="009F24B7"/>
    <w:rsid w:val="00A00BD7"/>
    <w:rsid w:val="00A0489D"/>
    <w:rsid w:val="00A406CD"/>
    <w:rsid w:val="00A41D89"/>
    <w:rsid w:val="00A4435C"/>
    <w:rsid w:val="00A512F5"/>
    <w:rsid w:val="00A64888"/>
    <w:rsid w:val="00A90D3D"/>
    <w:rsid w:val="00A93DA2"/>
    <w:rsid w:val="00A94F6E"/>
    <w:rsid w:val="00AB0904"/>
    <w:rsid w:val="00AC075D"/>
    <w:rsid w:val="00AC44D4"/>
    <w:rsid w:val="00AC55ED"/>
    <w:rsid w:val="00AD2DEE"/>
    <w:rsid w:val="00AD4417"/>
    <w:rsid w:val="00AD76A8"/>
    <w:rsid w:val="00B01D4E"/>
    <w:rsid w:val="00B4186A"/>
    <w:rsid w:val="00B44557"/>
    <w:rsid w:val="00B546D1"/>
    <w:rsid w:val="00BA7A5D"/>
    <w:rsid w:val="00BB689D"/>
    <w:rsid w:val="00BC4AD6"/>
    <w:rsid w:val="00BD5AA1"/>
    <w:rsid w:val="00BE1365"/>
    <w:rsid w:val="00BE55E2"/>
    <w:rsid w:val="00BF6B2D"/>
    <w:rsid w:val="00C1457D"/>
    <w:rsid w:val="00C272E2"/>
    <w:rsid w:val="00C30425"/>
    <w:rsid w:val="00C31195"/>
    <w:rsid w:val="00C72822"/>
    <w:rsid w:val="00C76200"/>
    <w:rsid w:val="00C84FAE"/>
    <w:rsid w:val="00C96253"/>
    <w:rsid w:val="00CA68D4"/>
    <w:rsid w:val="00D04C64"/>
    <w:rsid w:val="00D04DC1"/>
    <w:rsid w:val="00D16C2B"/>
    <w:rsid w:val="00D221E9"/>
    <w:rsid w:val="00D2298E"/>
    <w:rsid w:val="00D344F9"/>
    <w:rsid w:val="00D34D49"/>
    <w:rsid w:val="00D34EFE"/>
    <w:rsid w:val="00D50884"/>
    <w:rsid w:val="00D67459"/>
    <w:rsid w:val="00D95F9D"/>
    <w:rsid w:val="00DB5AE4"/>
    <w:rsid w:val="00DD4C57"/>
    <w:rsid w:val="00DE6669"/>
    <w:rsid w:val="00DF3E25"/>
    <w:rsid w:val="00E17E33"/>
    <w:rsid w:val="00E222DB"/>
    <w:rsid w:val="00E25DB3"/>
    <w:rsid w:val="00E42178"/>
    <w:rsid w:val="00E43647"/>
    <w:rsid w:val="00E57947"/>
    <w:rsid w:val="00E76534"/>
    <w:rsid w:val="00E82798"/>
    <w:rsid w:val="00E92B05"/>
    <w:rsid w:val="00EA1DFC"/>
    <w:rsid w:val="00EF4901"/>
    <w:rsid w:val="00EF5669"/>
    <w:rsid w:val="00F016CE"/>
    <w:rsid w:val="00F20D84"/>
    <w:rsid w:val="00F67B53"/>
    <w:rsid w:val="00F72613"/>
    <w:rsid w:val="00F74F46"/>
    <w:rsid w:val="00F95DF1"/>
    <w:rsid w:val="00F963B8"/>
    <w:rsid w:val="00FA4A63"/>
    <w:rsid w:val="00FB38FD"/>
    <w:rsid w:val="00FC6A4B"/>
    <w:rsid w:val="00FD10C5"/>
    <w:rsid w:val="00FD3BBF"/>
    <w:rsid w:val="00FE251A"/>
    <w:rsid w:val="00FE4979"/>
    <w:rsid w:val="00FF6F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FD5F91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729F"/>
    <w:rPr>
      <w:vanish w:val="0"/>
      <w:color w:val="FF0000"/>
    </w:rPr>
  </w:style>
  <w:style w:type="paragraph" w:customStyle="1" w:styleId="5645786DF8204C33BBB4366A21E2BC28">
    <w:name w:val="5645786DF8204C33BBB4366A21E2BC28"/>
  </w:style>
  <w:style w:type="paragraph" w:customStyle="1" w:styleId="F76741F478774FBBBC6B2056FDB74863">
    <w:name w:val="F76741F478774FBBBC6B2056FDB74863"/>
    <w:rPr>
      <w:lang w:val="en-GB" w:eastAsia="en-GB"/>
    </w:rPr>
  </w:style>
  <w:style w:type="paragraph" w:customStyle="1" w:styleId="5A49AA98412747809A63047A9E769932">
    <w:name w:val="5A49AA98412747809A63047A9E769932"/>
    <w:rPr>
      <w:lang w:val="en-GB" w:eastAsia="en-GB"/>
    </w:rPr>
  </w:style>
  <w:style w:type="paragraph" w:customStyle="1" w:styleId="2309E497E40B4AC681FE9374E15F238E">
    <w:name w:val="2309E497E40B4AC681FE9374E15F238E"/>
    <w:rsid w:val="006D5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51">
      <a:dk1>
        <a:srgbClr val="000000"/>
      </a:dk1>
      <a:lt1>
        <a:srgbClr val="FFFFFF"/>
      </a:lt1>
      <a:dk2>
        <a:srgbClr val="585858"/>
      </a:dk2>
      <a:lt2>
        <a:srgbClr val="1D336D"/>
      </a:lt2>
      <a:accent1>
        <a:srgbClr val="63D0DF"/>
      </a:accent1>
      <a:accent2>
        <a:srgbClr val="C9C9CA"/>
      </a:accent2>
      <a:accent3>
        <a:srgbClr val="63D0DF"/>
      </a:accent3>
      <a:accent4>
        <a:srgbClr val="A1A1A1"/>
      </a:accent4>
      <a:accent5>
        <a:srgbClr val="63D0DF"/>
      </a:accent5>
      <a:accent6>
        <a:srgbClr val="A1A1A1"/>
      </a:accent6>
      <a:hlink>
        <a:srgbClr val="000000"/>
      </a:hlink>
      <a:folHlink>
        <a:srgbClr val="FFFFFF"/>
      </a:folHlink>
    </a:clrScheme>
    <a:fontScheme name="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507d3c-afdc-4376-87d4-252e73e29222">
      <Terms xmlns="http://schemas.microsoft.com/office/infopath/2007/PartnerControls"/>
    </lcf76f155ced4ddcb4097134ff3c332f>
    <TaxCatchAll xmlns="3252e823-adb2-484b-a1ee-01b745ebd0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257BD84320CA4CB9578237927131EA" ma:contentTypeVersion="11" ma:contentTypeDescription="Create a new document." ma:contentTypeScope="" ma:versionID="a8326707479fffe9080d11decbc653c8">
  <xsd:schema xmlns:xsd="http://www.w3.org/2001/XMLSchema" xmlns:xs="http://www.w3.org/2001/XMLSchema" xmlns:p="http://schemas.microsoft.com/office/2006/metadata/properties" xmlns:ns2="88507d3c-afdc-4376-87d4-252e73e29222" xmlns:ns3="3252e823-adb2-484b-a1ee-01b745ebd0a9" targetNamespace="http://schemas.microsoft.com/office/2006/metadata/properties" ma:root="true" ma:fieldsID="c9a15f25231cdd17e7fbaf8402206c13" ns2:_="" ns3:_="">
    <xsd:import namespace="88507d3c-afdc-4376-87d4-252e73e29222"/>
    <xsd:import namespace="3252e823-adb2-484b-a1ee-01b745ebd0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07d3c-afdc-4376-87d4-252e73e29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2d92b5-746e-49a8-aa32-1dfdc1be39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52e823-adb2-484b-a1ee-01b745ebd0a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3dfc9e1-f990-47ae-8aac-7a50fef7e50e}" ma:internalName="TaxCatchAll" ma:showField="CatchAllData" ma:web="3252e823-adb2-484b-a1ee-01b745ebd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C25D3-CF97-4309-855D-EE60A5384A91}">
  <ds:schemaRefs>
    <ds:schemaRef ds:uri="http://schemas.openxmlformats.org/officeDocument/2006/bibliography"/>
  </ds:schemaRefs>
</ds:datastoreItem>
</file>

<file path=customXml/itemProps2.xml><?xml version="1.0" encoding="utf-8"?>
<ds:datastoreItem xmlns:ds="http://schemas.openxmlformats.org/officeDocument/2006/customXml" ds:itemID="{0753363A-9A92-48B5-B592-DA8786A460CA}">
  <ds:schemaRefs>
    <ds:schemaRef ds:uri="http://schemas.microsoft.com/office/2006/metadata/properties"/>
    <ds:schemaRef ds:uri="http://schemas.microsoft.com/office/infopath/2007/PartnerControls"/>
    <ds:schemaRef ds:uri="88507d3c-afdc-4376-87d4-252e73e29222"/>
    <ds:schemaRef ds:uri="3252e823-adb2-484b-a1ee-01b745ebd0a9"/>
  </ds:schemaRefs>
</ds:datastoreItem>
</file>

<file path=customXml/itemProps3.xml><?xml version="1.0" encoding="utf-8"?>
<ds:datastoreItem xmlns:ds="http://schemas.openxmlformats.org/officeDocument/2006/customXml" ds:itemID="{C349F714-95A0-41D9-90EC-A9CBF3B26E3B}">
  <ds:schemaRefs>
    <ds:schemaRef ds:uri="http://schemas.microsoft.com/sharepoint/v3/contenttype/forms"/>
  </ds:schemaRefs>
</ds:datastoreItem>
</file>

<file path=customXml/itemProps4.xml><?xml version="1.0" encoding="utf-8"?>
<ds:datastoreItem xmlns:ds="http://schemas.openxmlformats.org/officeDocument/2006/customXml" ds:itemID="{C30FA4D5-1593-413A-901B-B3AF85A7B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07d3c-afdc-4376-87d4-252e73e29222"/>
    <ds:schemaRef ds:uri="3252e823-adb2-484b-a1ee-01b745ebd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Alinea Report Template 2021</Template>
  <TotalTime>13</TotalTime>
  <Pages>55</Pages>
  <Words>20222</Words>
  <Characters>117263</Characters>
  <Application>Microsoft Office Word</Application>
  <DocSecurity>0</DocSecurity>
  <Lines>2255</Lines>
  <Paragraphs>1108</Paragraphs>
  <ScaleCrop>false</ScaleCrop>
  <HeadingPairs>
    <vt:vector size="2" baseType="variant">
      <vt:variant>
        <vt:lpstr>Title</vt:lpstr>
      </vt:variant>
      <vt:variant>
        <vt:i4>1</vt:i4>
      </vt:variant>
    </vt:vector>
  </HeadingPairs>
  <TitlesOfParts>
    <vt:vector size="1" baseType="lpstr">
      <vt:lpstr>Humanitarian Strategic Partnership Frameworks - final evaluation</vt:lpstr>
    </vt:vector>
  </TitlesOfParts>
  <Company/>
  <LinksUpToDate>false</LinksUpToDate>
  <CharactersWithSpaces>136377</CharactersWithSpaces>
  <SharedDoc>false</SharedDoc>
  <HLinks>
    <vt:vector size="72" baseType="variant">
      <vt:variant>
        <vt:i4>4456464</vt:i4>
      </vt:variant>
      <vt:variant>
        <vt:i4>18</vt:i4>
      </vt:variant>
      <vt:variant>
        <vt:i4>0</vt:i4>
      </vt:variant>
      <vt:variant>
        <vt:i4>5</vt:i4>
      </vt:variant>
      <vt:variant>
        <vt:lpwstr>https://reporting.unhcr.org/flexible-funding-2024</vt:lpwstr>
      </vt:variant>
      <vt:variant>
        <vt:lpwstr/>
      </vt:variant>
      <vt:variant>
        <vt:i4>2556018</vt:i4>
      </vt:variant>
      <vt:variant>
        <vt:i4>15</vt:i4>
      </vt:variant>
      <vt:variant>
        <vt:i4>0</vt:i4>
      </vt:variant>
      <vt:variant>
        <vt:i4>5</vt:i4>
      </vt:variant>
      <vt:variant>
        <vt:lpwstr>https://www.dfat.gov.au/publications/international-relations/australia-world-2025-snapshot</vt:lpwstr>
      </vt:variant>
      <vt:variant>
        <vt:lpwstr/>
      </vt:variant>
      <vt:variant>
        <vt:i4>5832719</vt:i4>
      </vt:variant>
      <vt:variant>
        <vt:i4>12</vt:i4>
      </vt:variant>
      <vt:variant>
        <vt:i4>0</vt:i4>
      </vt:variant>
      <vt:variant>
        <vt:i4>5</vt:i4>
      </vt:variant>
      <vt:variant>
        <vt:lpwstr>https://www.cgdev.org/publication/improving-performance-multilateral-humanitarian-system-new-modelsdonorship</vt:lpwstr>
      </vt:variant>
      <vt:variant>
        <vt:lpwstr/>
      </vt:variant>
      <vt:variant>
        <vt:i4>2818101</vt:i4>
      </vt:variant>
      <vt:variant>
        <vt:i4>12</vt:i4>
      </vt:variant>
      <vt:variant>
        <vt:i4>0</vt:i4>
      </vt:variant>
      <vt:variant>
        <vt:i4>5</vt:i4>
      </vt:variant>
      <vt:variant>
        <vt:lpwstr>https://www.dfat.gov.au/international-relations/international-organisations/un/multilateral-placements-program</vt:lpwstr>
      </vt:variant>
      <vt:variant>
        <vt:lpwstr/>
      </vt:variant>
      <vt:variant>
        <vt:i4>7077929</vt:i4>
      </vt:variant>
      <vt:variant>
        <vt:i4>9</vt:i4>
      </vt:variant>
      <vt:variant>
        <vt:i4>0</vt:i4>
      </vt:variant>
      <vt:variant>
        <vt:i4>5</vt:i4>
      </vt:variant>
      <vt:variant>
        <vt:lpwstr>https://www.dfat.gov.au/development/performance-assessment</vt:lpwstr>
      </vt:variant>
      <vt:variant>
        <vt:lpwstr/>
      </vt:variant>
      <vt:variant>
        <vt:i4>6684789</vt:i4>
      </vt:variant>
      <vt:variant>
        <vt:i4>6</vt:i4>
      </vt:variant>
      <vt:variant>
        <vt:i4>0</vt:i4>
      </vt:variant>
      <vt:variant>
        <vt:i4>5</vt:i4>
      </vt:variant>
      <vt:variant>
        <vt:lpwstr>https://interagencystandingcommittee.org/grand-bargain</vt:lpwstr>
      </vt:variant>
      <vt:variant>
        <vt:lpwstr/>
      </vt:variant>
      <vt:variant>
        <vt:i4>1638428</vt:i4>
      </vt:variant>
      <vt:variant>
        <vt:i4>3</vt:i4>
      </vt:variant>
      <vt:variant>
        <vt:i4>0</vt:i4>
      </vt:variant>
      <vt:variant>
        <vt:i4>5</vt:i4>
      </vt:variant>
      <vt:variant>
        <vt:lpwstr>https://www.oecd.org/en/publications/development-co-operation-profiles_04b376d7-en/australia_b4d74d53-en.html</vt:lpwstr>
      </vt:variant>
      <vt:variant>
        <vt:lpwstr/>
      </vt:variant>
      <vt:variant>
        <vt:i4>94</vt:i4>
      </vt:variant>
      <vt:variant>
        <vt:i4>0</vt:i4>
      </vt:variant>
      <vt:variant>
        <vt:i4>0</vt:i4>
      </vt:variant>
      <vt:variant>
        <vt:i4>5</vt:i4>
      </vt:variant>
      <vt:variant>
        <vt:lpwstr>https://www.oecd.org/en/topics/development-co-operation.html</vt:lpwstr>
      </vt:variant>
      <vt:variant>
        <vt:lpwstr/>
      </vt:variant>
      <vt:variant>
        <vt:i4>3801183</vt:i4>
      </vt:variant>
      <vt:variant>
        <vt:i4>6</vt:i4>
      </vt:variant>
      <vt:variant>
        <vt:i4>0</vt:i4>
      </vt:variant>
      <vt:variant>
        <vt:i4>5</vt:i4>
      </vt:variant>
      <vt:variant>
        <vt:lpwstr>mailto:Joel.Thorpe@alineainternational.com</vt:lpwstr>
      </vt:variant>
      <vt:variant>
        <vt:lpwstr/>
      </vt:variant>
      <vt:variant>
        <vt:i4>3801183</vt:i4>
      </vt:variant>
      <vt:variant>
        <vt:i4>3</vt:i4>
      </vt:variant>
      <vt:variant>
        <vt:i4>0</vt:i4>
      </vt:variant>
      <vt:variant>
        <vt:i4>5</vt:i4>
      </vt:variant>
      <vt:variant>
        <vt:lpwstr>mailto:Joel.Thorpe@alineainternational.com</vt:lpwstr>
      </vt:variant>
      <vt:variant>
        <vt:lpwstr/>
      </vt:variant>
      <vt:variant>
        <vt:i4>3801183</vt:i4>
      </vt:variant>
      <vt:variant>
        <vt:i4>0</vt:i4>
      </vt:variant>
      <vt:variant>
        <vt:i4>0</vt:i4>
      </vt:variant>
      <vt:variant>
        <vt:i4>5</vt:i4>
      </vt:variant>
      <vt:variant>
        <vt:lpwstr>mailto:Joel.Thorpe@alineainternational.com</vt:lpwstr>
      </vt:variant>
      <vt:variant>
        <vt:lpwstr/>
      </vt:variant>
      <vt:variant>
        <vt:i4>7602231</vt:i4>
      </vt:variant>
      <vt:variant>
        <vt:i4>0</vt:i4>
      </vt:variant>
      <vt:variant>
        <vt:i4>0</vt:i4>
      </vt:variant>
      <vt:variant>
        <vt:i4>5</vt:i4>
      </vt:variant>
      <vt:variant>
        <vt:lpwstr>https://openverse.org/image/f2c9910d-3386-4155-a803-6f1e4f8bd44c?q=Refugee+camp+bangladesh&amp;p=31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Humanitarian Strategic Partnership Frameworks - final evaluation report</dc:title>
  <dc:subject/>
  <dc:creator>Alinea</dc:creator>
  <cp:keywords>[SEC=OFFICIAL]</cp:keywords>
  <dc:description/>
  <cp:lastPrinted>2025-07-26T21:26:00Z</cp:lastPrinted>
  <dcterms:created xsi:type="dcterms:W3CDTF">2025-08-21T03:38:00Z</dcterms:created>
  <dcterms:modified xsi:type="dcterms:W3CDTF">2025-10-24T04:51:00Z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Title">
    <vt:lpwstr>HeaderTitle</vt:lpwstr>
  </property>
  <property fmtid="{D5CDD505-2E9C-101B-9397-08002B2CF9AE}" pid="3" name="FirstRun">
    <vt:lpwstr>True</vt:lpwstr>
  </property>
  <property fmtid="{D5CDD505-2E9C-101B-9397-08002B2CF9AE}" pid="4" name="cdpStatus">
    <vt:lpwstr>DRAFT</vt:lpwstr>
  </property>
  <property fmtid="{D5CDD505-2E9C-101B-9397-08002B2CF9AE}" pid="5" name="cdpDateDivider">
    <vt:lpwstr>|</vt:lpwstr>
  </property>
  <property fmtid="{D5CDD505-2E9C-101B-9397-08002B2CF9AE}" pid="6" name="ContentTypeId">
    <vt:lpwstr>0x010100B1257BD84320CA4CB9578237927131EA</vt:lpwstr>
  </property>
  <property fmtid="{D5CDD505-2E9C-101B-9397-08002B2CF9AE}" pid="7" name="Document Type">
    <vt:lpwstr/>
  </property>
  <property fmtid="{D5CDD505-2E9C-101B-9397-08002B2CF9AE}" pid="8" name="Document Type (Projects)">
    <vt:lpwstr/>
  </property>
  <property fmtid="{D5CDD505-2E9C-101B-9397-08002B2CF9AE}" pid="9" name="Order">
    <vt:r8>10300</vt:r8>
  </property>
  <property fmtid="{D5CDD505-2E9C-101B-9397-08002B2CF9AE}" pid="10" name="MediaServiceImageTags">
    <vt:lpwstr/>
  </property>
  <property fmtid="{D5CDD505-2E9C-101B-9397-08002B2CF9AE}" pid="11" name="PM_Namespace">
    <vt:lpwstr>gov.au</vt:lpwstr>
  </property>
  <property fmtid="{D5CDD505-2E9C-101B-9397-08002B2CF9AE}" pid="12" name="PM_Caveats_Count">
    <vt:lpwstr>0</vt:lpwstr>
  </property>
  <property fmtid="{D5CDD505-2E9C-101B-9397-08002B2CF9AE}" pid="13" name="PM_Version">
    <vt:lpwstr>2018.4</vt:lpwstr>
  </property>
  <property fmtid="{D5CDD505-2E9C-101B-9397-08002B2CF9AE}" pid="14" name="PM_Note">
    <vt:lpwstr/>
  </property>
  <property fmtid="{D5CDD505-2E9C-101B-9397-08002B2CF9AE}" pid="15" name="PM_Qualifier">
    <vt:lpwstr/>
  </property>
  <property fmtid="{D5CDD505-2E9C-101B-9397-08002B2CF9AE}" pid="16" name="PM_SecurityClassification">
    <vt:lpwstr>OFFICIAL</vt:lpwstr>
  </property>
  <property fmtid="{D5CDD505-2E9C-101B-9397-08002B2CF9AE}" pid="17" name="PM_ProtectiveMarkingValue_Header">
    <vt:lpwstr>OFFICIAL</vt:lpwstr>
  </property>
  <property fmtid="{D5CDD505-2E9C-101B-9397-08002B2CF9AE}" pid="18" name="PM_OriginationTimeStamp">
    <vt:lpwstr>2025-06-26T07:55:41Z</vt:lpwstr>
  </property>
  <property fmtid="{D5CDD505-2E9C-101B-9397-08002B2CF9AE}" pid="19" name="PM_Markers">
    <vt:lpwstr/>
  </property>
  <property fmtid="{D5CDD505-2E9C-101B-9397-08002B2CF9AE}" pid="20" name="PM_InsertionValue">
    <vt:lpwstr>OFFICIAL</vt:lpwstr>
  </property>
  <property fmtid="{D5CDD505-2E9C-101B-9397-08002B2CF9AE}" pid="21" name="PM_DisplayValueSecClassificationWithQualifier">
    <vt:lpwstr>OFFICIAL</vt:lpwstr>
  </property>
  <property fmtid="{D5CDD505-2E9C-101B-9397-08002B2CF9AE}" pid="22" name="PM_Originating_FileId">
    <vt:lpwstr>787F2E2DA478423288ECBE0ACD3FDE9F</vt:lpwstr>
  </property>
  <property fmtid="{D5CDD505-2E9C-101B-9397-08002B2CF9AE}" pid="23" name="PM_ProtectiveMarkingValue_Footer">
    <vt:lpwstr>OFFICIAL</vt:lpwstr>
  </property>
  <property fmtid="{D5CDD505-2E9C-101B-9397-08002B2CF9AE}" pid="24" name="PM_Display">
    <vt:lpwstr>OFFICIAL</vt:lpwstr>
  </property>
  <property fmtid="{D5CDD505-2E9C-101B-9397-08002B2CF9AE}" pid="25" name="PM_OriginatorDomainName_SHA256">
    <vt:lpwstr>6F3591835F3B2A8A025B00B5BA6418010DA3A17C9C26EA9C049FFD28039489A2</vt:lpwstr>
  </property>
  <property fmtid="{D5CDD505-2E9C-101B-9397-08002B2CF9AE}" pid="26" name="PMUuid">
    <vt:lpwstr>v=2022.2;d=gov.au;g=46DD6D7C-8107-577B-BC6E-F348953B2E44</vt:lpwstr>
  </property>
  <property fmtid="{D5CDD505-2E9C-101B-9397-08002B2CF9AE}" pid="27" name="PM_Hash_Version">
    <vt:lpwstr>2022.1</vt:lpwstr>
  </property>
  <property fmtid="{D5CDD505-2E9C-101B-9397-08002B2CF9AE}" pid="28" name="PM_SecurityClassification_Prev">
    <vt:lpwstr>OFFICIAL</vt:lpwstr>
  </property>
  <property fmtid="{D5CDD505-2E9C-101B-9397-08002B2CF9AE}" pid="29" name="PM_Qualifier_Prev">
    <vt:lpwstr/>
  </property>
  <property fmtid="{D5CDD505-2E9C-101B-9397-08002B2CF9AE}" pid="30" name="PM_Originator_Hash_SHA1">
    <vt:lpwstr>B4B3F0D3EECD5BC00DE5B743F5411FEA7D643B3A</vt:lpwstr>
  </property>
  <property fmtid="{D5CDD505-2E9C-101B-9397-08002B2CF9AE}" pid="31" name="PM_ProtectiveMarkingImage_Header">
    <vt:lpwstr>C:\Program Files\Common Files\janusNET Shared\janusSEAL\Images\DocumentSlashBlue.png</vt:lpwstr>
  </property>
  <property fmtid="{D5CDD505-2E9C-101B-9397-08002B2CF9AE}" pid="32" name="PM_ProtectiveMarkingImage_Footer">
    <vt:lpwstr>C:\Program Files\Common Files\janusNET Shared\janusSEAL\Images\DocumentSlashBlue.png</vt:lpwstr>
  </property>
  <property fmtid="{D5CDD505-2E9C-101B-9397-08002B2CF9AE}" pid="33" name="PM_OriginatorUserAccountName_SHA256">
    <vt:lpwstr>3F61AE932AE9DB72B3E0B66CCC106C1AEFEF4BD3B3163842430697D162D5C3EA</vt:lpwstr>
  </property>
  <property fmtid="{D5CDD505-2E9C-101B-9397-08002B2CF9AE}" pid="34" name="PM_Hash_Salt_Prev">
    <vt:lpwstr>42FB8E7C1122BBFA145C72AE292FD5C9</vt:lpwstr>
  </property>
  <property fmtid="{D5CDD505-2E9C-101B-9397-08002B2CF9AE}" pid="35" name="PMHMAC">
    <vt:lpwstr>v=2022.1;a=SHA256;h=CECB12C815D0A76BFF16E425212B23587C2FCA1E5E032C36D74AF849FC6A4B0C</vt:lpwstr>
  </property>
  <property fmtid="{D5CDD505-2E9C-101B-9397-08002B2CF9AE}" pid="36" name="PM_Hash_Salt">
    <vt:lpwstr>C969D72CACDB719B1ED38B63436C49A1</vt:lpwstr>
  </property>
  <property fmtid="{D5CDD505-2E9C-101B-9397-08002B2CF9AE}" pid="37" name="PM_Hash_SHA1">
    <vt:lpwstr>A5DBA9CFFA3DA793EE5CAC328B5E7D117E0A757B</vt:lpwstr>
  </property>
</Properties>
</file>