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4D201" w14:textId="77777777" w:rsidR="00C24DD9" w:rsidRPr="006C6559" w:rsidRDefault="00C24DD9" w:rsidP="00A669C1">
      <w:pPr>
        <w:pStyle w:val="NormalWeb"/>
        <w:tabs>
          <w:tab w:val="left" w:pos="1134"/>
        </w:tabs>
        <w:ind w:right="-45"/>
        <w:jc w:val="center"/>
        <w:rPr>
          <w:rStyle w:val="Strong"/>
          <w:rFonts w:asciiTheme="minorHAnsi" w:hAnsiTheme="minorHAnsi" w:cstheme="minorHAnsi"/>
          <w:sz w:val="25"/>
          <w:szCs w:val="25"/>
        </w:rPr>
      </w:pPr>
    </w:p>
    <w:p w14:paraId="1772B510" w14:textId="17F6E522" w:rsidR="00D038F6" w:rsidRPr="006C6559" w:rsidRDefault="000B03C1" w:rsidP="00B619D4">
      <w:pPr>
        <w:pStyle w:val="NormalWeb"/>
        <w:tabs>
          <w:tab w:val="left" w:pos="1134"/>
        </w:tabs>
        <w:ind w:right="-45"/>
        <w:jc w:val="center"/>
        <w:rPr>
          <w:rFonts w:asciiTheme="minorHAnsi" w:hAnsiTheme="minorHAnsi" w:cstheme="minorHAnsi"/>
          <w:b/>
          <w:bCs/>
          <w:sz w:val="25"/>
          <w:szCs w:val="25"/>
        </w:rPr>
      </w:pPr>
      <w:r w:rsidRPr="006C6559">
        <w:rPr>
          <w:rStyle w:val="Strong"/>
          <w:rFonts w:asciiTheme="minorHAnsi" w:hAnsiTheme="minorHAnsi" w:cstheme="minorHAnsi"/>
          <w:sz w:val="25"/>
          <w:szCs w:val="25"/>
        </w:rPr>
        <w:t xml:space="preserve">Human Rights Council </w:t>
      </w:r>
      <w:r w:rsidR="007234B9" w:rsidRPr="006C6559">
        <w:rPr>
          <w:rStyle w:val="Strong"/>
          <w:rFonts w:asciiTheme="minorHAnsi" w:hAnsiTheme="minorHAnsi" w:cstheme="minorHAnsi"/>
          <w:sz w:val="25"/>
          <w:szCs w:val="25"/>
        </w:rPr>
        <w:t>–</w:t>
      </w:r>
      <w:r w:rsidRPr="006C6559">
        <w:rPr>
          <w:rStyle w:val="Strong"/>
          <w:rFonts w:asciiTheme="minorHAnsi" w:hAnsiTheme="minorHAnsi" w:cstheme="minorHAnsi"/>
          <w:sz w:val="25"/>
          <w:szCs w:val="25"/>
        </w:rPr>
        <w:t xml:space="preserve"> </w:t>
      </w:r>
      <w:r w:rsidR="00FC7EB3">
        <w:rPr>
          <w:rStyle w:val="Strong"/>
          <w:rFonts w:asciiTheme="minorHAnsi" w:hAnsiTheme="minorHAnsi" w:cstheme="minorHAnsi"/>
          <w:sz w:val="25"/>
          <w:szCs w:val="25"/>
        </w:rPr>
        <w:t>45</w:t>
      </w:r>
      <w:r w:rsidR="00023DAC" w:rsidRPr="006C6559">
        <w:rPr>
          <w:rStyle w:val="Strong"/>
          <w:rFonts w:asciiTheme="minorHAnsi" w:hAnsiTheme="minorHAnsi" w:cstheme="minorHAnsi"/>
          <w:sz w:val="25"/>
          <w:szCs w:val="25"/>
        </w:rPr>
        <w:t>th</w:t>
      </w:r>
      <w:r w:rsidR="00316E82" w:rsidRPr="006C6559">
        <w:rPr>
          <w:rStyle w:val="Strong"/>
          <w:rFonts w:asciiTheme="minorHAnsi" w:hAnsiTheme="minorHAnsi" w:cstheme="minorHAnsi"/>
          <w:sz w:val="25"/>
          <w:szCs w:val="25"/>
        </w:rPr>
        <w:t xml:space="preserve"> session</w:t>
      </w:r>
      <w:r w:rsidR="00D038F6" w:rsidRPr="006C6559">
        <w:rPr>
          <w:rFonts w:asciiTheme="minorHAnsi" w:hAnsiTheme="minorHAnsi" w:cstheme="minorHAnsi"/>
          <w:b/>
        </w:rPr>
        <w:br/>
      </w:r>
      <w:r w:rsidR="00D038F6" w:rsidRPr="006C6559">
        <w:rPr>
          <w:rFonts w:asciiTheme="minorHAnsi" w:hAnsiTheme="minorHAnsi" w:cstheme="minorHAnsi"/>
          <w:b/>
        </w:rPr>
        <w:br/>
      </w:r>
      <w:r w:rsidR="00FC7EB3">
        <w:rPr>
          <w:rFonts w:asciiTheme="minorHAnsi" w:hAnsiTheme="minorHAnsi" w:cstheme="minorHAnsi"/>
          <w:b/>
        </w:rPr>
        <w:t>General Comment</w:t>
      </w:r>
    </w:p>
    <w:p w14:paraId="2698D6B2" w14:textId="3AF860A4" w:rsidR="00D038F6" w:rsidRPr="006C6559" w:rsidRDefault="00D038F6" w:rsidP="00D038F6">
      <w:pPr>
        <w:jc w:val="center"/>
        <w:rPr>
          <w:rFonts w:asciiTheme="minorHAnsi" w:hAnsiTheme="minorHAnsi" w:cstheme="minorHAnsi"/>
          <w:b/>
        </w:rPr>
      </w:pPr>
      <w:r w:rsidRPr="006C6559">
        <w:rPr>
          <w:rFonts w:asciiTheme="minorHAnsi" w:hAnsiTheme="minorHAnsi" w:cstheme="minorHAnsi"/>
          <w:b/>
        </w:rPr>
        <w:t xml:space="preserve"> Resolution on </w:t>
      </w:r>
      <w:r w:rsidR="00FC7EB3" w:rsidRPr="00FC7EB3">
        <w:rPr>
          <w:rFonts w:ascii="Calibri" w:hAnsi="Calibri"/>
          <w:b/>
        </w:rPr>
        <w:t xml:space="preserve">National Human Rights Institutions  </w:t>
      </w:r>
    </w:p>
    <w:p w14:paraId="05BA05F9" w14:textId="4C83D24F" w:rsidR="006C6559" w:rsidRPr="006C6559" w:rsidRDefault="006C6559" w:rsidP="00D038F6">
      <w:pPr>
        <w:jc w:val="center"/>
        <w:rPr>
          <w:rFonts w:asciiTheme="minorHAnsi" w:hAnsiTheme="minorHAnsi" w:cstheme="minorHAnsi"/>
          <w:b/>
        </w:rPr>
      </w:pPr>
    </w:p>
    <w:p w14:paraId="78280B05" w14:textId="100F33A6" w:rsidR="006C6559" w:rsidRDefault="006C6559" w:rsidP="00D038F6">
      <w:pPr>
        <w:jc w:val="center"/>
        <w:rPr>
          <w:rFonts w:asciiTheme="minorHAnsi" w:hAnsiTheme="minorHAnsi" w:cstheme="minorHAnsi"/>
          <w:b/>
        </w:rPr>
      </w:pPr>
      <w:r w:rsidRPr="006C6559">
        <w:rPr>
          <w:rFonts w:asciiTheme="minorHAnsi" w:hAnsiTheme="minorHAnsi" w:cstheme="minorHAnsi"/>
          <w:b/>
        </w:rPr>
        <w:t>Australia Statement</w:t>
      </w:r>
    </w:p>
    <w:p w14:paraId="323D251F" w14:textId="6EC5EA7B" w:rsidR="006C6559" w:rsidRDefault="006C6559" w:rsidP="00D038F6">
      <w:pPr>
        <w:jc w:val="center"/>
        <w:rPr>
          <w:rFonts w:asciiTheme="minorHAnsi" w:hAnsiTheme="minorHAnsi" w:cstheme="minorHAnsi"/>
          <w:b/>
        </w:rPr>
      </w:pPr>
    </w:p>
    <w:p w14:paraId="39C150D1" w14:textId="41905EBA" w:rsidR="006C6559" w:rsidRPr="006C6559" w:rsidRDefault="00B86F20" w:rsidP="00D038F6">
      <w:pPr>
        <w:jc w:val="center"/>
        <w:rPr>
          <w:rFonts w:asciiTheme="minorHAnsi" w:hAnsiTheme="minorHAnsi" w:cstheme="minorHAnsi"/>
          <w:b/>
        </w:rPr>
      </w:pPr>
      <w:r>
        <w:rPr>
          <w:rFonts w:asciiTheme="minorHAnsi" w:hAnsiTheme="minorHAnsi" w:cstheme="minorHAnsi"/>
          <w:b/>
        </w:rPr>
        <w:t>6</w:t>
      </w:r>
      <w:r w:rsidR="00FC7EB3">
        <w:rPr>
          <w:rFonts w:asciiTheme="minorHAnsi" w:hAnsiTheme="minorHAnsi" w:cstheme="minorHAnsi"/>
          <w:b/>
        </w:rPr>
        <w:t xml:space="preserve"> October</w:t>
      </w:r>
      <w:r w:rsidR="006C6559">
        <w:rPr>
          <w:rFonts w:asciiTheme="minorHAnsi" w:hAnsiTheme="minorHAnsi" w:cstheme="minorHAnsi"/>
          <w:b/>
        </w:rPr>
        <w:t xml:space="preserve"> 2020</w:t>
      </w:r>
    </w:p>
    <w:p w14:paraId="507120C3" w14:textId="77777777" w:rsidR="00D038F6" w:rsidRPr="006C6559" w:rsidRDefault="00D038F6" w:rsidP="00D038F6">
      <w:pPr>
        <w:rPr>
          <w:rFonts w:asciiTheme="minorHAnsi" w:hAnsiTheme="minorHAnsi" w:cstheme="minorHAnsi"/>
        </w:rPr>
      </w:pPr>
      <w:r w:rsidRPr="006C6559">
        <w:rPr>
          <w:rFonts w:asciiTheme="minorHAnsi" w:hAnsiTheme="minorHAnsi" w:cstheme="minorHAnsi"/>
        </w:rPr>
        <w:t xml:space="preserve"> </w:t>
      </w:r>
    </w:p>
    <w:p w14:paraId="75C100B8" w14:textId="77777777" w:rsidR="00FC7EB3" w:rsidRPr="00FC7EB3" w:rsidRDefault="00FC7EB3" w:rsidP="00FC7EB3">
      <w:pPr>
        <w:rPr>
          <w:rFonts w:ascii="Calibri" w:hAnsi="Calibri"/>
        </w:rPr>
      </w:pPr>
      <w:r w:rsidRPr="00FC7EB3">
        <w:rPr>
          <w:rFonts w:ascii="Calibri" w:hAnsi="Calibri"/>
        </w:rPr>
        <w:t xml:space="preserve">Australia is proud to present draft resolution L.20, on National Human Rights Institutions.  </w:t>
      </w:r>
    </w:p>
    <w:p w14:paraId="08459BF7" w14:textId="77777777" w:rsidR="00FC7EB3" w:rsidRPr="00FC7EB3" w:rsidRDefault="00FC7EB3" w:rsidP="00FC7EB3">
      <w:pPr>
        <w:rPr>
          <w:rFonts w:ascii="Calibri" w:hAnsi="Calibri"/>
        </w:rPr>
      </w:pPr>
    </w:p>
    <w:p w14:paraId="717D15CA" w14:textId="77777777" w:rsidR="00FC7EB3" w:rsidRPr="00FC7EB3" w:rsidRDefault="00FC7EB3" w:rsidP="00FC7EB3">
      <w:pPr>
        <w:rPr>
          <w:rFonts w:ascii="Calibri" w:hAnsi="Calibri"/>
        </w:rPr>
      </w:pPr>
      <w:r w:rsidRPr="00FC7EB3">
        <w:rPr>
          <w:rFonts w:ascii="Calibri" w:hAnsi="Calibri"/>
        </w:rPr>
        <w:t xml:space="preserve">The resolution reflects the integral role National Human Rights Institutions play in the international human rights system. The unique ability of NHRIs to take international debates and make them relevant in the local context is essential to realising human rights for all.  </w:t>
      </w:r>
    </w:p>
    <w:p w14:paraId="66B9D606" w14:textId="77777777" w:rsidR="00FC7EB3" w:rsidRPr="00FC7EB3" w:rsidRDefault="00FC7EB3" w:rsidP="00FC7EB3">
      <w:pPr>
        <w:rPr>
          <w:rFonts w:ascii="Calibri" w:hAnsi="Calibri"/>
        </w:rPr>
      </w:pPr>
    </w:p>
    <w:p w14:paraId="025496E6" w14:textId="77777777" w:rsidR="00FC7EB3" w:rsidRPr="00FC7EB3" w:rsidRDefault="00FC7EB3" w:rsidP="00FC7EB3">
      <w:pPr>
        <w:rPr>
          <w:rFonts w:ascii="Calibri" w:hAnsi="Calibri"/>
        </w:rPr>
      </w:pPr>
      <w:r w:rsidRPr="00FC7EB3">
        <w:rPr>
          <w:rFonts w:ascii="Calibri" w:hAnsi="Calibri"/>
        </w:rPr>
        <w:t xml:space="preserve">By connecting States’ international human rights obligations with the lived experience of individual rights holders, they make a daily contribution to highlighting inequity and marginalisation.  </w:t>
      </w:r>
    </w:p>
    <w:p w14:paraId="022DAC8E" w14:textId="77777777" w:rsidR="00FC7EB3" w:rsidRPr="00FC7EB3" w:rsidRDefault="00FC7EB3" w:rsidP="00FC7EB3">
      <w:pPr>
        <w:rPr>
          <w:rFonts w:ascii="Calibri" w:hAnsi="Calibri"/>
        </w:rPr>
      </w:pPr>
    </w:p>
    <w:p w14:paraId="2D418381" w14:textId="77777777" w:rsidR="00FC7EB3" w:rsidRPr="00FC7EB3" w:rsidRDefault="00FC7EB3" w:rsidP="00FC7EB3">
      <w:pPr>
        <w:rPr>
          <w:rFonts w:ascii="Calibri" w:hAnsi="Calibri"/>
        </w:rPr>
      </w:pPr>
      <w:r w:rsidRPr="00FC7EB3">
        <w:rPr>
          <w:rFonts w:ascii="Calibri" w:hAnsi="Calibri"/>
        </w:rPr>
        <w:t xml:space="preserve">This text reiterates the fundamental contribution NHRIs make, both domestically and internationally, in support of the implementation of human rights obligations.  </w:t>
      </w:r>
    </w:p>
    <w:p w14:paraId="455EB404" w14:textId="77777777" w:rsidR="00FC7EB3" w:rsidRPr="00FC7EB3" w:rsidRDefault="00FC7EB3" w:rsidP="00FC7EB3">
      <w:pPr>
        <w:rPr>
          <w:rFonts w:ascii="Calibri" w:hAnsi="Calibri"/>
        </w:rPr>
      </w:pPr>
    </w:p>
    <w:p w14:paraId="5D2CCC93" w14:textId="77777777" w:rsidR="00FC7EB3" w:rsidRPr="00FC7EB3" w:rsidRDefault="00FC7EB3" w:rsidP="00FC7EB3">
      <w:pPr>
        <w:rPr>
          <w:rFonts w:ascii="Calibri" w:hAnsi="Calibri"/>
        </w:rPr>
      </w:pPr>
      <w:r w:rsidRPr="00FC7EB3">
        <w:rPr>
          <w:rFonts w:ascii="Calibri" w:hAnsi="Calibri"/>
        </w:rPr>
        <w:t>This year, COVID-19 has had an unprecedented impact on the world, including on individual human rights.</w:t>
      </w:r>
    </w:p>
    <w:p w14:paraId="1AB11C6A" w14:textId="77777777" w:rsidR="00FC7EB3" w:rsidRPr="00FC7EB3" w:rsidRDefault="00FC7EB3" w:rsidP="00FC7EB3">
      <w:pPr>
        <w:rPr>
          <w:rFonts w:ascii="Calibri" w:hAnsi="Calibri"/>
        </w:rPr>
      </w:pPr>
    </w:p>
    <w:p w14:paraId="179BCF66" w14:textId="77777777" w:rsidR="00FC7EB3" w:rsidRPr="00FC7EB3" w:rsidRDefault="00FC7EB3" w:rsidP="00FC7EB3">
      <w:pPr>
        <w:rPr>
          <w:rFonts w:ascii="Calibri" w:hAnsi="Calibri"/>
        </w:rPr>
      </w:pPr>
      <w:r w:rsidRPr="00FC7EB3">
        <w:rPr>
          <w:rFonts w:ascii="Calibri" w:hAnsi="Calibri"/>
        </w:rPr>
        <w:t>Draft resolution L.20 includes updates to the text from HRC39 to recognise the engagement of NHRIs in national responses to COVID-19.</w:t>
      </w:r>
    </w:p>
    <w:p w14:paraId="4F703B12" w14:textId="77777777" w:rsidR="00FC7EB3" w:rsidRPr="00FC7EB3" w:rsidRDefault="00FC7EB3" w:rsidP="00FC7EB3">
      <w:pPr>
        <w:rPr>
          <w:rFonts w:ascii="Calibri" w:hAnsi="Calibri"/>
        </w:rPr>
      </w:pPr>
    </w:p>
    <w:p w14:paraId="1F96F22A" w14:textId="77777777" w:rsidR="00FC7EB3" w:rsidRPr="00FC7EB3" w:rsidRDefault="00FC7EB3" w:rsidP="00FC7EB3">
      <w:pPr>
        <w:rPr>
          <w:rFonts w:ascii="Calibri" w:hAnsi="Calibri"/>
        </w:rPr>
      </w:pPr>
      <w:r w:rsidRPr="00FC7EB3">
        <w:rPr>
          <w:rFonts w:ascii="Calibri" w:hAnsi="Calibri"/>
        </w:rPr>
        <w:t>NHRIs have played an important role in highlighting the human rights implications of the COVID-19 pandemic. For example, offering guidance to States in ensuring a human rights-compliant response to the pandemic, examining and monitoring the situation and raising public awareness, including through the provision of accurate and timely information.</w:t>
      </w:r>
    </w:p>
    <w:p w14:paraId="7CD4F9D0" w14:textId="77777777" w:rsidR="00FC7EB3" w:rsidRPr="00FC7EB3" w:rsidRDefault="00FC7EB3" w:rsidP="00FC7EB3">
      <w:pPr>
        <w:rPr>
          <w:rFonts w:ascii="Calibri" w:hAnsi="Calibri"/>
        </w:rPr>
      </w:pPr>
    </w:p>
    <w:p w14:paraId="1180A87C" w14:textId="77777777" w:rsidR="00FC7EB3" w:rsidRPr="00FC7EB3" w:rsidRDefault="00FC7EB3" w:rsidP="00FC7EB3">
      <w:pPr>
        <w:rPr>
          <w:rFonts w:ascii="Calibri" w:hAnsi="Calibri"/>
        </w:rPr>
      </w:pPr>
      <w:r w:rsidRPr="00FC7EB3">
        <w:rPr>
          <w:rFonts w:ascii="Calibri" w:hAnsi="Calibri"/>
        </w:rPr>
        <w:t>The Global Alliance of National Human Rights Institutions (GANHRI) and its regional networks, along with the Office of the High Commissioner for Human Rights and the United Nations Development Program, have provided support to NHRIs to fulfil their mandates during this time.</w:t>
      </w:r>
    </w:p>
    <w:p w14:paraId="0FCC63B5" w14:textId="77777777" w:rsidR="00FC7EB3" w:rsidRPr="00FC7EB3" w:rsidRDefault="00FC7EB3" w:rsidP="00FC7EB3">
      <w:pPr>
        <w:rPr>
          <w:rFonts w:ascii="Calibri" w:hAnsi="Calibri"/>
        </w:rPr>
      </w:pPr>
    </w:p>
    <w:p w14:paraId="2F19D53F" w14:textId="77777777" w:rsidR="00FC7EB3" w:rsidRPr="00FC7EB3" w:rsidRDefault="00FC7EB3" w:rsidP="00FC7EB3">
      <w:pPr>
        <w:rPr>
          <w:rFonts w:ascii="Calibri" w:hAnsi="Calibri"/>
        </w:rPr>
      </w:pPr>
      <w:r w:rsidRPr="00FC7EB3">
        <w:rPr>
          <w:rFonts w:ascii="Calibri" w:hAnsi="Calibri"/>
        </w:rPr>
        <w:t>The resolution again requests the Secretary-General to submit to the Human Rights Council, at its 51</w:t>
      </w:r>
      <w:r w:rsidRPr="00FC7EB3">
        <w:rPr>
          <w:rFonts w:ascii="Calibri" w:hAnsi="Calibri"/>
          <w:vertAlign w:val="superscript"/>
        </w:rPr>
        <w:t>st</w:t>
      </w:r>
      <w:r w:rsidRPr="00FC7EB3">
        <w:rPr>
          <w:rFonts w:ascii="Calibri" w:hAnsi="Calibri"/>
        </w:rPr>
        <w:t xml:space="preserve"> session, a report on the implementation of the resolution, that includes best practice examples among NHRIs and a report on the activities of the Global Alliance of </w:t>
      </w:r>
      <w:r w:rsidRPr="00FC7EB3">
        <w:rPr>
          <w:rFonts w:ascii="Calibri" w:hAnsi="Calibri"/>
        </w:rPr>
        <w:lastRenderedPageBreak/>
        <w:t>National Human Rights Institutions in accrediting NHRIs in compliance with the Paris Principles.</w:t>
      </w:r>
    </w:p>
    <w:p w14:paraId="0D169819" w14:textId="77777777" w:rsidR="00FC7EB3" w:rsidRPr="00FC7EB3" w:rsidRDefault="00FC7EB3" w:rsidP="00FC7EB3">
      <w:pPr>
        <w:rPr>
          <w:rFonts w:ascii="Calibri" w:hAnsi="Calibri"/>
        </w:rPr>
      </w:pPr>
    </w:p>
    <w:p w14:paraId="36D5B220" w14:textId="77777777" w:rsidR="00FC7EB3" w:rsidRPr="00FC7EB3" w:rsidRDefault="00FC7EB3" w:rsidP="00FC7EB3">
      <w:pPr>
        <w:rPr>
          <w:rFonts w:ascii="Calibri" w:hAnsi="Calibri"/>
        </w:rPr>
      </w:pPr>
      <w:r w:rsidRPr="00FC7EB3">
        <w:rPr>
          <w:rFonts w:ascii="Calibri" w:hAnsi="Calibri"/>
        </w:rPr>
        <w:t>Australia thanks all delegations, GANHRI, and civil society, for their constructive contributions. We have tabled a balanced resolution with updates focused on COVID-19, taking into account as many concerns and suggestions as possible.</w:t>
      </w:r>
    </w:p>
    <w:p w14:paraId="3F1F548F" w14:textId="77777777" w:rsidR="00FC7EB3" w:rsidRPr="00FC7EB3" w:rsidRDefault="00FC7EB3" w:rsidP="00FC7EB3">
      <w:pPr>
        <w:rPr>
          <w:rFonts w:ascii="Calibri" w:hAnsi="Calibri"/>
        </w:rPr>
      </w:pPr>
    </w:p>
    <w:p w14:paraId="2FFBD11C" w14:textId="77777777" w:rsidR="00FC7EB3" w:rsidRPr="00FC7EB3" w:rsidRDefault="00FC7EB3" w:rsidP="00FC7EB3">
      <w:pPr>
        <w:rPr>
          <w:rFonts w:ascii="Calibri" w:hAnsi="Calibri"/>
        </w:rPr>
      </w:pPr>
      <w:r w:rsidRPr="00FC7EB3">
        <w:rPr>
          <w:rFonts w:ascii="Calibri" w:hAnsi="Calibri"/>
        </w:rPr>
        <w:t>Madam President,</w:t>
      </w:r>
    </w:p>
    <w:p w14:paraId="6A91ECDF" w14:textId="77777777" w:rsidR="00FC7EB3" w:rsidRPr="00FC7EB3" w:rsidRDefault="00FC7EB3" w:rsidP="00FC7EB3">
      <w:pPr>
        <w:rPr>
          <w:rFonts w:ascii="Calibri" w:hAnsi="Calibri"/>
        </w:rPr>
      </w:pPr>
    </w:p>
    <w:p w14:paraId="7B390EB6" w14:textId="77777777" w:rsidR="00FC7EB3" w:rsidRPr="00FC7EB3" w:rsidRDefault="00FC7EB3" w:rsidP="00FC7EB3">
      <w:pPr>
        <w:rPr>
          <w:rFonts w:ascii="Calibri" w:hAnsi="Calibri"/>
        </w:rPr>
      </w:pPr>
      <w:r w:rsidRPr="00FC7EB3">
        <w:rPr>
          <w:rFonts w:ascii="Calibri" w:hAnsi="Calibri"/>
        </w:rPr>
        <w:t>We commend the text of draft resolution L.20 to the Council and encourage all members to support its adoption by consensus.</w:t>
      </w:r>
    </w:p>
    <w:p w14:paraId="5C519905" w14:textId="28F26630" w:rsidR="00FB28CF" w:rsidRPr="006C6559" w:rsidRDefault="00B619D4" w:rsidP="00FB28CF">
      <w:pPr>
        <w:rPr>
          <w:rFonts w:asciiTheme="minorHAnsi" w:hAnsiTheme="minorHAnsi" w:cstheme="minorHAnsi"/>
          <w:b/>
          <w:i/>
        </w:rPr>
      </w:pPr>
      <w:bookmarkStart w:id="0" w:name="_GoBack"/>
      <w:bookmarkEnd w:id="0"/>
      <w:r w:rsidRPr="006C6559">
        <w:rPr>
          <w:rFonts w:asciiTheme="minorHAnsi" w:hAnsiTheme="minorHAnsi" w:cstheme="minorHAnsi"/>
        </w:rPr>
        <w:br/>
      </w:r>
      <w:r w:rsidR="00FC7EB3">
        <w:rPr>
          <w:rFonts w:asciiTheme="minorHAnsi" w:hAnsiTheme="minorHAnsi" w:cstheme="minorHAnsi"/>
          <w:b/>
          <w:i/>
        </w:rPr>
        <w:t xml:space="preserve">341 </w:t>
      </w:r>
      <w:r w:rsidR="006C6559" w:rsidRPr="006C6559">
        <w:rPr>
          <w:rFonts w:asciiTheme="minorHAnsi" w:hAnsiTheme="minorHAnsi" w:cstheme="minorHAnsi"/>
          <w:b/>
          <w:i/>
        </w:rPr>
        <w:t xml:space="preserve">words. </w:t>
      </w:r>
      <w:r w:rsidRPr="006C6559">
        <w:rPr>
          <w:rFonts w:asciiTheme="minorHAnsi" w:hAnsiTheme="minorHAnsi" w:cstheme="minorHAnsi"/>
          <w:b/>
          <w:i/>
        </w:rPr>
        <w:t xml:space="preserve"> </w:t>
      </w:r>
    </w:p>
    <w:p w14:paraId="41684A87" w14:textId="77777777" w:rsidR="00FB28CF" w:rsidRPr="006C6559" w:rsidRDefault="00FB28CF" w:rsidP="00FB28CF">
      <w:pPr>
        <w:jc w:val="center"/>
        <w:rPr>
          <w:rFonts w:asciiTheme="minorHAnsi" w:hAnsiTheme="minorHAnsi" w:cstheme="minorHAnsi"/>
          <w:b/>
        </w:rPr>
      </w:pPr>
    </w:p>
    <w:p w14:paraId="7EF2EF33" w14:textId="591BEB1B" w:rsidR="00B753D5" w:rsidRPr="006C6559" w:rsidRDefault="00FB28CF" w:rsidP="00B619D4">
      <w:pPr>
        <w:pStyle w:val="NormalWeb"/>
        <w:tabs>
          <w:tab w:val="left" w:pos="1134"/>
        </w:tabs>
        <w:ind w:right="-45"/>
        <w:rPr>
          <w:rStyle w:val="Strong"/>
          <w:rFonts w:asciiTheme="minorHAnsi" w:hAnsiTheme="minorHAnsi" w:cstheme="minorHAnsi"/>
          <w:i/>
          <w:sz w:val="25"/>
          <w:szCs w:val="25"/>
        </w:rPr>
      </w:pPr>
      <w:r w:rsidRPr="006C6559">
        <w:rPr>
          <w:rFonts w:asciiTheme="minorHAnsi" w:hAnsiTheme="minorHAnsi" w:cstheme="minorHAnsi"/>
        </w:rPr>
        <w:t xml:space="preserve"> </w:t>
      </w:r>
      <w:r w:rsidRPr="006C6559">
        <w:rPr>
          <w:rFonts w:asciiTheme="minorHAnsi" w:hAnsiTheme="minorHAnsi" w:cstheme="minorHAnsi"/>
        </w:rPr>
        <w:br/>
      </w:r>
    </w:p>
    <w:p w14:paraId="5A5950DE" w14:textId="77777777" w:rsidR="00B753D5" w:rsidRPr="006C6559" w:rsidRDefault="00B753D5">
      <w:pPr>
        <w:pStyle w:val="NormalWeb"/>
        <w:tabs>
          <w:tab w:val="left" w:pos="1134"/>
        </w:tabs>
        <w:ind w:right="-45"/>
        <w:rPr>
          <w:rFonts w:asciiTheme="minorHAnsi" w:hAnsiTheme="minorHAnsi" w:cstheme="minorHAnsi"/>
          <w:bCs/>
          <w:i/>
          <w:sz w:val="25"/>
          <w:szCs w:val="25"/>
        </w:rPr>
      </w:pPr>
    </w:p>
    <w:sectPr w:rsidR="00B753D5" w:rsidRPr="006C6559" w:rsidSect="001B74E4">
      <w:headerReference w:type="default" r:id="rId9"/>
      <w:footerReference w:type="default" r:id="rId10"/>
      <w:headerReference w:type="first" r:id="rId11"/>
      <w:footerReference w:type="first" r:id="rId12"/>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D5D13" w14:textId="77777777" w:rsidR="007D54CF" w:rsidRDefault="007D54CF">
      <w:r>
        <w:separator/>
      </w:r>
    </w:p>
  </w:endnote>
  <w:endnote w:type="continuationSeparator" w:id="0">
    <w:p w14:paraId="6FC355F1" w14:textId="77777777" w:rsidR="007D54CF" w:rsidRDefault="007D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25A48" w14:textId="77777777"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02750" w14:textId="77777777"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14:anchorId="18998036" wp14:editId="53D85834">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E3ECD"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2DBCB2C3" wp14:editId="3B229D96">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4468E"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51137EDD"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Saconnex,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CB2C3"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kWBQIAAPADAAAOAAAAZHJzL2Uyb0RvYy54bWysU9tu2zAMfR+wfxD0vthJkzYN4hRdigwD&#10;ugvQ7gNkWbaFyaJGKbGzrx8lp2m2vQ3TgyCK1CHPIbW+GzrDDgq9Blvw6STnTFkJlbZNwb89794t&#10;OfNB2EoYsKrgR+X53ebtm3XvVmoGLZhKISMQ61e9K3gbgltlmZet6oSfgFOWnDVgJwKZ2GQVip7Q&#10;O5PN8vw66wErhyCV93T7MDr5JuHXtZLhS117FZgpONUW0o5pL+OebdZi1aBwrZanMsQ/VNEJbSnp&#10;GepBBMH2qP+C6rRE8FCHiYQug7rWUiUOxGaa/8HmqRVOJS4kjndnmfz/g5WfD1+R6Yp6d8OZFR31&#10;6FkNgb2HgV1FeXrnVxT15CguDHRNoYmqd48gv3tmYdsK26h7ROhbJSoqbxpfZhdPRxwfQcr+E1SU&#10;RuwDJKChxi5qR2owQqc2Hc+tiaVIurxeLpZ5Ti5Jvvnt4orOMYVYvbx26MMHBR2Lh4IjtT6hi8Oj&#10;D2PoS0hM5sHoaqeNSQY25dYgOwgak11aJ/TfwoyNwRbisxEx3iSakdnIMQzlQM7IvYTqSIQRxrGj&#10;b0KHFvAnZz2NXMH9j71AxZn5aEm02+l8Hmc0GfPFzYwMvPSUlx5hJUEVPHA2HrdhnOu9Q920lGls&#10;k4V7ErrWSYPXqk5101glFU9fIM7tpZ2iXj/q5hcAAAD//wMAUEsDBBQABgAIAAAAIQAH8IX63gAA&#10;AAoBAAAPAAAAZHJzL2Rvd25yZXYueG1sTI9BT4NAEIXvJv6HzZh4Me1SRSrI0qiJptfW/oABpkBk&#10;Zwm7LfTfO3rR28y8lzffyzez7dWZRt85NrBaRqCIK1d33Bg4fL4vnkD5gFxj75gMXMjDpri+yjGr&#10;3cQ7Ou9DoySEfYYG2hCGTGtftWTRL91ALNrRjRaDrGOj6xEnCbe9vo+iRFvsWD60ONBbS9XX/mQN&#10;HLfT3WM6lR/hsN7FySt269JdjLm9mV+eQQWaw58ZfvAFHQphKt2Ja696A4s0ki5BhodVDEoc6e+l&#10;NBAnCegi1/8rFN8AAAD//wMAUEsBAi0AFAAGAAgAAAAhALaDOJL+AAAA4QEAABMAAAAAAAAAAAAA&#10;AAAAAAAAAFtDb250ZW50X1R5cGVzXS54bWxQSwECLQAUAAYACAAAACEAOP0h/9YAAACUAQAACwAA&#10;AAAAAAAAAAAAAAAvAQAAX3JlbHMvLnJlbHNQSwECLQAUAAYACAAAACEAfu6ZFgUCAADwAwAADgAA&#10;AAAAAAAAAAAAAAAuAgAAZHJzL2Uyb0RvYy54bWxQSwECLQAUAAYACAAAACEAB/CF+t4AAAAKAQAA&#10;DwAAAAAAAAAAAAAAAABfBAAAZHJzL2Rvd25yZXYueG1sUEsFBgAAAAAEAAQA8wAAAGoFAAAAAA==&#10;" o:allowincell="f" stroked="f">
              <v:textbox>
                <w:txbxContent>
                  <w:p w14:paraId="3A04468E"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51137EDD"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Saconnex,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4834E" w14:textId="77777777" w:rsidR="007D54CF" w:rsidRDefault="007D54CF">
      <w:r>
        <w:separator/>
      </w:r>
    </w:p>
  </w:footnote>
  <w:footnote w:type="continuationSeparator" w:id="0">
    <w:p w14:paraId="06851917" w14:textId="77777777" w:rsidR="007D54CF" w:rsidRDefault="007D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60C24" w14:textId="33D8EAF1"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B86F20">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FA70A" w14:textId="77777777"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14:anchorId="1524F0F9" wp14:editId="453D3D26">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3F245653"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14:anchorId="595FB996" wp14:editId="485FA714">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1E9E4"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activeWritingStyle w:appName="MSWord" w:lang="fr-FR" w:vendorID="64" w:dllVersion="6" w:nlCheck="1" w:checkStyle="0"/>
  <w:activeWritingStyle w:appName="MSWord" w:lang="en-AU"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830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D0"/>
    <w:rsid w:val="00003F30"/>
    <w:rsid w:val="000101B2"/>
    <w:rsid w:val="0002259F"/>
    <w:rsid w:val="00023DAC"/>
    <w:rsid w:val="0003255E"/>
    <w:rsid w:val="00032CBD"/>
    <w:rsid w:val="00043390"/>
    <w:rsid w:val="0004690E"/>
    <w:rsid w:val="000535B2"/>
    <w:rsid w:val="00063926"/>
    <w:rsid w:val="0006767D"/>
    <w:rsid w:val="000B03C1"/>
    <w:rsid w:val="000C365C"/>
    <w:rsid w:val="000E7AD0"/>
    <w:rsid w:val="00143A3D"/>
    <w:rsid w:val="00153BF8"/>
    <w:rsid w:val="00154D0F"/>
    <w:rsid w:val="00161F62"/>
    <w:rsid w:val="001678FF"/>
    <w:rsid w:val="001B74E4"/>
    <w:rsid w:val="001C78F9"/>
    <w:rsid w:val="001E15DC"/>
    <w:rsid w:val="001E4C81"/>
    <w:rsid w:val="00250866"/>
    <w:rsid w:val="00292584"/>
    <w:rsid w:val="002951BE"/>
    <w:rsid w:val="002A4718"/>
    <w:rsid w:val="002B0208"/>
    <w:rsid w:val="002C1AA4"/>
    <w:rsid w:val="00301F51"/>
    <w:rsid w:val="00316E82"/>
    <w:rsid w:val="003313B8"/>
    <w:rsid w:val="00343E42"/>
    <w:rsid w:val="00344A74"/>
    <w:rsid w:val="0039595E"/>
    <w:rsid w:val="003C03F8"/>
    <w:rsid w:val="00410496"/>
    <w:rsid w:val="004213DA"/>
    <w:rsid w:val="00432789"/>
    <w:rsid w:val="004479D5"/>
    <w:rsid w:val="00451A21"/>
    <w:rsid w:val="004537B5"/>
    <w:rsid w:val="004803D4"/>
    <w:rsid w:val="00484B9E"/>
    <w:rsid w:val="004B50C2"/>
    <w:rsid w:val="004B6613"/>
    <w:rsid w:val="004D22D3"/>
    <w:rsid w:val="004E182B"/>
    <w:rsid w:val="004E3664"/>
    <w:rsid w:val="004F0103"/>
    <w:rsid w:val="004F121D"/>
    <w:rsid w:val="004F5E9E"/>
    <w:rsid w:val="00536998"/>
    <w:rsid w:val="005542C8"/>
    <w:rsid w:val="005544A2"/>
    <w:rsid w:val="00570406"/>
    <w:rsid w:val="00576D58"/>
    <w:rsid w:val="00585837"/>
    <w:rsid w:val="005A20B4"/>
    <w:rsid w:val="005A2E69"/>
    <w:rsid w:val="005C3D38"/>
    <w:rsid w:val="005F5E36"/>
    <w:rsid w:val="0060368F"/>
    <w:rsid w:val="00612033"/>
    <w:rsid w:val="00614E2E"/>
    <w:rsid w:val="00632B78"/>
    <w:rsid w:val="0063492B"/>
    <w:rsid w:val="00683643"/>
    <w:rsid w:val="006C6559"/>
    <w:rsid w:val="006E2982"/>
    <w:rsid w:val="00710C49"/>
    <w:rsid w:val="007202AA"/>
    <w:rsid w:val="007234B9"/>
    <w:rsid w:val="00747624"/>
    <w:rsid w:val="00770197"/>
    <w:rsid w:val="00770E37"/>
    <w:rsid w:val="00785653"/>
    <w:rsid w:val="007902DA"/>
    <w:rsid w:val="007956D4"/>
    <w:rsid w:val="007A1889"/>
    <w:rsid w:val="007B6EA1"/>
    <w:rsid w:val="007D4989"/>
    <w:rsid w:val="007D54CF"/>
    <w:rsid w:val="007D6FDD"/>
    <w:rsid w:val="007E449C"/>
    <w:rsid w:val="007F5ADA"/>
    <w:rsid w:val="0082005D"/>
    <w:rsid w:val="00823C84"/>
    <w:rsid w:val="00824BFB"/>
    <w:rsid w:val="008563DB"/>
    <w:rsid w:val="00867168"/>
    <w:rsid w:val="0087096A"/>
    <w:rsid w:val="00870B00"/>
    <w:rsid w:val="008F06C7"/>
    <w:rsid w:val="009050B1"/>
    <w:rsid w:val="00911D03"/>
    <w:rsid w:val="00913F38"/>
    <w:rsid w:val="00952ED4"/>
    <w:rsid w:val="00983E53"/>
    <w:rsid w:val="009F47CE"/>
    <w:rsid w:val="00A14383"/>
    <w:rsid w:val="00A22D11"/>
    <w:rsid w:val="00A264E6"/>
    <w:rsid w:val="00A31AD0"/>
    <w:rsid w:val="00A3515E"/>
    <w:rsid w:val="00A41F18"/>
    <w:rsid w:val="00A51EA5"/>
    <w:rsid w:val="00A63BFB"/>
    <w:rsid w:val="00A669C1"/>
    <w:rsid w:val="00A97EE1"/>
    <w:rsid w:val="00AF49A7"/>
    <w:rsid w:val="00B00D69"/>
    <w:rsid w:val="00B619D4"/>
    <w:rsid w:val="00B62778"/>
    <w:rsid w:val="00B753D5"/>
    <w:rsid w:val="00B83623"/>
    <w:rsid w:val="00B86F20"/>
    <w:rsid w:val="00BB0CBD"/>
    <w:rsid w:val="00BC6FDB"/>
    <w:rsid w:val="00BD295A"/>
    <w:rsid w:val="00BE11F8"/>
    <w:rsid w:val="00C02E46"/>
    <w:rsid w:val="00C07310"/>
    <w:rsid w:val="00C17DEB"/>
    <w:rsid w:val="00C24710"/>
    <w:rsid w:val="00C24DD9"/>
    <w:rsid w:val="00C372E6"/>
    <w:rsid w:val="00C536F4"/>
    <w:rsid w:val="00C5592D"/>
    <w:rsid w:val="00C55ACD"/>
    <w:rsid w:val="00C625C4"/>
    <w:rsid w:val="00C62BED"/>
    <w:rsid w:val="00C63A5F"/>
    <w:rsid w:val="00C77D3F"/>
    <w:rsid w:val="00C946F3"/>
    <w:rsid w:val="00CF2767"/>
    <w:rsid w:val="00D00AC6"/>
    <w:rsid w:val="00D038F6"/>
    <w:rsid w:val="00D03DA8"/>
    <w:rsid w:val="00D07261"/>
    <w:rsid w:val="00D17D55"/>
    <w:rsid w:val="00D26088"/>
    <w:rsid w:val="00D64185"/>
    <w:rsid w:val="00D8666E"/>
    <w:rsid w:val="00D97D56"/>
    <w:rsid w:val="00DB64C8"/>
    <w:rsid w:val="00DD6243"/>
    <w:rsid w:val="00DE6B85"/>
    <w:rsid w:val="00DF0392"/>
    <w:rsid w:val="00E02227"/>
    <w:rsid w:val="00E502AC"/>
    <w:rsid w:val="00E9390A"/>
    <w:rsid w:val="00EA25C0"/>
    <w:rsid w:val="00EC7B79"/>
    <w:rsid w:val="00ED3A71"/>
    <w:rsid w:val="00EE5439"/>
    <w:rsid w:val="00EF33BC"/>
    <w:rsid w:val="00F005C1"/>
    <w:rsid w:val="00F435D0"/>
    <w:rsid w:val="00F46D07"/>
    <w:rsid w:val="00F52CA4"/>
    <w:rsid w:val="00F72EBC"/>
    <w:rsid w:val="00F7561A"/>
    <w:rsid w:val="00F86C7E"/>
    <w:rsid w:val="00F91644"/>
    <w:rsid w:val="00F93327"/>
    <w:rsid w:val="00F9345F"/>
    <w:rsid w:val="00F93683"/>
    <w:rsid w:val="00F95572"/>
    <w:rsid w:val="00FA250A"/>
    <w:rsid w:val="00FA75E1"/>
    <w:rsid w:val="00FB28CF"/>
    <w:rsid w:val="00FC2B90"/>
    <w:rsid w:val="00FC4A4A"/>
    <w:rsid w:val="00FC7EB3"/>
    <w:rsid w:val="00FD1B7C"/>
    <w:rsid w:val="00FD24C2"/>
    <w:rsid w:val="00FE1840"/>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53475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12256">
      <w:bodyDiv w:val="1"/>
      <w:marLeft w:val="0"/>
      <w:marRight w:val="0"/>
      <w:marTop w:val="0"/>
      <w:marBottom w:val="0"/>
      <w:divBdr>
        <w:top w:val="none" w:sz="0" w:space="0" w:color="auto"/>
        <w:left w:val="none" w:sz="0" w:space="0" w:color="auto"/>
        <w:bottom w:val="none" w:sz="0" w:space="0" w:color="auto"/>
        <w:right w:val="none" w:sz="0" w:space="0" w:color="auto"/>
      </w:divBdr>
    </w:div>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62BF8-0980-4B9E-B2A5-D773E5C36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2150</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2020-10-14T23:34:00Z</dcterms:created>
  <dcterms:modified xsi:type="dcterms:W3CDTF">2020-10-14T23:34:00Z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a2fd6ddd-332a-4d77-ba9a-7eba4f3a2d51</vt:lpwstr>
  </property>
  <property fmtid="{D5CDD505-2E9C-101B-9397-08002B2CF9AE}" pid="3" name="SEC">
    <vt:lpwstr>OFFICIAL</vt:lpwstr>
  </property>
</Properties>
</file>