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13" w:rsidRDefault="0054341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543413" w:rsidRDefault="008E329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Human Rights Council – 45</w:t>
      </w:r>
      <w:r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543413" w:rsidRDefault="0054341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543413" w:rsidRDefault="008E329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Enhanced Interactive Dialogue on the High Commissioner’s Oral Update on COVID-19</w:t>
      </w:r>
    </w:p>
    <w:p w:rsidR="00543413" w:rsidRDefault="0054341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543413" w:rsidRDefault="008E329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14 September 2020</w:t>
      </w:r>
    </w:p>
    <w:p w:rsidR="00543413" w:rsidRDefault="0054341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543413" w:rsidRDefault="008E329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Australian Statement</w:t>
      </w:r>
      <w:bookmarkStart w:id="0" w:name="_GoBack"/>
      <w:bookmarkEnd w:id="0"/>
    </w:p>
    <w:p w:rsidR="00543413" w:rsidRDefault="00543413">
      <w:pPr>
        <w:spacing w:before="240"/>
        <w:rPr>
          <w:rStyle w:val="Strong"/>
          <w:rFonts w:ascii="Calibri Light" w:hAnsi="Calibri Light"/>
          <w:sz w:val="25"/>
          <w:szCs w:val="25"/>
        </w:rPr>
      </w:pPr>
    </w:p>
    <w:p w:rsidR="00543413" w:rsidRDefault="008E3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Australia thanks the High C</w:t>
      </w:r>
      <w:r w:rsidR="00655CED">
        <w:rPr>
          <w:rFonts w:asciiTheme="minorHAnsi" w:hAnsiTheme="minorHAnsi" w:cstheme="minorHAnsi"/>
        </w:rPr>
        <w:t>ommissioner for her oral update</w:t>
      </w:r>
      <w:r>
        <w:rPr>
          <w:rFonts w:asciiTheme="minorHAnsi" w:hAnsiTheme="minorHAnsi" w:cstheme="minorHAnsi"/>
        </w:rPr>
        <w:t xml:space="preserve"> and ongoing leadership in </w:t>
      </w:r>
      <w:r w:rsidR="00655CED">
        <w:rPr>
          <w:rFonts w:asciiTheme="minorHAnsi" w:hAnsiTheme="minorHAnsi" w:cstheme="minorHAnsi"/>
        </w:rPr>
        <w:t xml:space="preserve">highlighting the human rights implications </w:t>
      </w:r>
      <w:r>
        <w:rPr>
          <w:rFonts w:asciiTheme="minorHAnsi" w:hAnsiTheme="minorHAnsi" w:cstheme="minorHAnsi"/>
        </w:rPr>
        <w:t>of COVID-19.</w:t>
      </w:r>
    </w:p>
    <w:p w:rsidR="00543413" w:rsidRDefault="00543413">
      <w:pPr>
        <w:rPr>
          <w:rFonts w:asciiTheme="minorHAnsi" w:hAnsiTheme="minorHAnsi" w:cstheme="minorHAnsi"/>
        </w:rPr>
      </w:pPr>
    </w:p>
    <w:p w:rsidR="00543413" w:rsidRDefault="008E3299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particularly concerned about the disproportionate and discriminatory impacts of COVID-19 on people in vulnerable situations, including indigenous peoples; women and girls; and people with disabilities. </w:t>
      </w:r>
    </w:p>
    <w:p w:rsidR="00543413" w:rsidRDefault="008E3299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Australia welcomes the focus on the disproportionate impacts of COVID-19 in the High Commissioner’s report on the rights of indigenous peoples. The Australian Government has worked </w:t>
      </w:r>
      <w:r w:rsidR="001647B9">
        <w:rPr>
          <w:rFonts w:asciiTheme="minorHAnsi" w:hAnsiTheme="minorHAnsi" w:cstheme="minorHAnsi"/>
          <w:color w:val="000000" w:themeColor="text1"/>
        </w:rPr>
        <w:t>in partnership</w:t>
      </w:r>
      <w:r>
        <w:rPr>
          <w:rFonts w:asciiTheme="minorHAnsi" w:hAnsiTheme="minorHAnsi" w:cstheme="minorHAnsi"/>
          <w:color w:val="000000" w:themeColor="text1"/>
        </w:rPr>
        <w:t xml:space="preserve"> with Indigenous Australians to protect </w:t>
      </w:r>
      <w:r w:rsidR="001647B9">
        <w:rPr>
          <w:rFonts w:asciiTheme="minorHAnsi" w:hAnsiTheme="minorHAnsi" w:cstheme="minorHAnsi"/>
          <w:color w:val="000000" w:themeColor="text1"/>
        </w:rPr>
        <w:t>Indigenous communities</w:t>
      </w:r>
      <w:r>
        <w:rPr>
          <w:rFonts w:asciiTheme="minorHAnsi" w:hAnsiTheme="minorHAnsi" w:cstheme="minorHAnsi"/>
          <w:color w:val="000000" w:themeColor="text1"/>
        </w:rPr>
        <w:t xml:space="preserve">. We urge all States to work with indigenous communities to address the impacts of COVID-19. </w:t>
      </w:r>
    </w:p>
    <w:p w:rsidR="00543413" w:rsidRDefault="00543413">
      <w:pPr>
        <w:rPr>
          <w:rFonts w:asciiTheme="minorHAnsi" w:hAnsiTheme="minorHAnsi" w:cstheme="minorHAnsi"/>
          <w:color w:val="000000" w:themeColor="text1"/>
        </w:rPr>
      </w:pPr>
    </w:p>
    <w:p w:rsidR="006E6BAE" w:rsidRDefault="006E6BAE" w:rsidP="00623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Women and girls’ human rights have </w:t>
      </w:r>
      <w:r w:rsidR="00655CED">
        <w:rPr>
          <w:rFonts w:asciiTheme="minorHAnsi" w:hAnsiTheme="minorHAnsi" w:cstheme="minorHAnsi"/>
          <w:color w:val="000000" w:themeColor="text1"/>
        </w:rPr>
        <w:t xml:space="preserve">also </w:t>
      </w:r>
      <w:r>
        <w:rPr>
          <w:rFonts w:asciiTheme="minorHAnsi" w:hAnsiTheme="minorHAnsi" w:cstheme="minorHAnsi"/>
          <w:color w:val="000000" w:themeColor="text1"/>
        </w:rPr>
        <w:t xml:space="preserve">been disproportionately affected. </w:t>
      </w:r>
      <w:r w:rsidR="006236A7">
        <w:rPr>
          <w:rFonts w:asciiTheme="minorHAnsi" w:hAnsiTheme="minorHAnsi" w:cstheme="minorHAnsi"/>
          <w:color w:val="000000" w:themeColor="text1"/>
        </w:rPr>
        <w:t xml:space="preserve">COVID-19 has escalated gender-based violence and reduced access to essential services including life saving </w:t>
      </w:r>
      <w:r>
        <w:rPr>
          <w:rFonts w:asciiTheme="minorHAnsi" w:hAnsiTheme="minorHAnsi" w:cstheme="minorHAnsi"/>
          <w:color w:val="000000" w:themeColor="text1"/>
        </w:rPr>
        <w:t xml:space="preserve">sexual and reproductive health </w:t>
      </w:r>
      <w:r w:rsidR="006236A7">
        <w:rPr>
          <w:rFonts w:asciiTheme="minorHAnsi" w:hAnsiTheme="minorHAnsi" w:cstheme="minorHAnsi"/>
          <w:color w:val="000000" w:themeColor="text1"/>
        </w:rPr>
        <w:t xml:space="preserve">services. </w:t>
      </w:r>
      <w:r>
        <w:rPr>
          <w:rFonts w:asciiTheme="minorHAnsi" w:hAnsiTheme="minorHAnsi" w:cstheme="minorHAnsi"/>
          <w:color w:val="000000" w:themeColor="text1"/>
        </w:rPr>
        <w:t xml:space="preserve">Systemic change is needed. </w:t>
      </w:r>
      <w:r w:rsidR="006236A7">
        <w:rPr>
          <w:rFonts w:asciiTheme="minorHAnsi" w:hAnsiTheme="minorHAnsi" w:cstheme="minorHAnsi"/>
          <w:color w:val="000000" w:themeColor="text1"/>
        </w:rPr>
        <w:t xml:space="preserve">We need everyone’s full capabilities – men and women – to chart our economic and social recovery. </w:t>
      </w:r>
    </w:p>
    <w:p w:rsidR="00543413" w:rsidRDefault="00543413">
      <w:pPr>
        <w:rPr>
          <w:rFonts w:asciiTheme="minorHAnsi" w:hAnsiTheme="minorHAnsi" w:cstheme="minorHAnsi"/>
        </w:rPr>
      </w:pPr>
    </w:p>
    <w:p w:rsidR="00543413" w:rsidRDefault="008E3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People with disabilities may experience barriers that make it difficult to keep themselves safe from COVID-19, including difficulty accessing public health information and a lack of adequate or accessible water, hygiene and sanitation facilities. Australia urges all States </w:t>
      </w:r>
      <w:r w:rsidR="00F441D7">
        <w:rPr>
          <w:rFonts w:asciiTheme="minorHAnsi" w:hAnsiTheme="minorHAnsi" w:cstheme="minorHAnsi"/>
        </w:rPr>
        <w:t xml:space="preserve">to </w:t>
      </w:r>
      <w:r w:rsidR="00655CED">
        <w:rPr>
          <w:rFonts w:asciiTheme="minorHAnsi" w:hAnsiTheme="minorHAnsi" w:cstheme="minorHAnsi"/>
        </w:rPr>
        <w:t xml:space="preserve">support </w:t>
      </w:r>
      <w:r>
        <w:rPr>
          <w:rFonts w:asciiTheme="minorHAnsi" w:hAnsiTheme="minorHAnsi" w:cstheme="minorHAnsi"/>
        </w:rPr>
        <w:t>disability-inclusive response</w:t>
      </w:r>
      <w:r w:rsidR="00F441D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and recovery efforts.  </w:t>
      </w:r>
    </w:p>
    <w:p w:rsidR="00543413" w:rsidRDefault="00543413">
      <w:pPr>
        <w:pStyle w:val="NormalWeb"/>
        <w:tabs>
          <w:tab w:val="left" w:pos="1134"/>
        </w:tabs>
        <w:ind w:right="-45"/>
        <w:rPr>
          <w:rFonts w:asciiTheme="minorHAnsi" w:hAnsiTheme="minorHAnsi"/>
          <w:sz w:val="25"/>
          <w:szCs w:val="25"/>
        </w:rPr>
      </w:pPr>
    </w:p>
    <w:p w:rsidR="00543413" w:rsidRDefault="00543413">
      <w:pPr>
        <w:pStyle w:val="NormalWeb"/>
        <w:tabs>
          <w:tab w:val="left" w:pos="1134"/>
        </w:tabs>
        <w:ind w:right="-45"/>
        <w:rPr>
          <w:rFonts w:ascii="Calibri Light" w:hAnsi="Calibri Light"/>
          <w:sz w:val="25"/>
          <w:szCs w:val="25"/>
        </w:rPr>
      </w:pPr>
    </w:p>
    <w:p w:rsidR="00543413" w:rsidRDefault="006E6BAE">
      <w:pPr>
        <w:pStyle w:val="NormalWeb"/>
        <w:tabs>
          <w:tab w:val="left" w:pos="1134"/>
        </w:tabs>
        <w:ind w:right="-45"/>
        <w:rPr>
          <w:rFonts w:ascii="Calibri Light" w:hAnsi="Calibri Light"/>
          <w:sz w:val="25"/>
          <w:szCs w:val="25"/>
        </w:rPr>
      </w:pPr>
      <w:r>
        <w:rPr>
          <w:rFonts w:ascii="Calibri Light" w:hAnsi="Calibri Light"/>
          <w:b/>
          <w:i/>
          <w:color w:val="0070C0"/>
          <w:sz w:val="25"/>
          <w:szCs w:val="25"/>
        </w:rPr>
        <w:t xml:space="preserve"> </w:t>
      </w:r>
      <w:r w:rsidR="00655CED">
        <w:rPr>
          <w:rFonts w:ascii="Calibri Light" w:hAnsi="Calibri Light"/>
          <w:b/>
          <w:color w:val="000000" w:themeColor="text1"/>
          <w:sz w:val="25"/>
          <w:szCs w:val="25"/>
        </w:rPr>
        <w:t>190</w:t>
      </w:r>
      <w:r w:rsidR="00F441D7" w:rsidRPr="00F441D7">
        <w:rPr>
          <w:rFonts w:ascii="Calibri Light" w:hAnsi="Calibri Light"/>
          <w:b/>
          <w:color w:val="000000" w:themeColor="text1"/>
          <w:sz w:val="25"/>
          <w:szCs w:val="25"/>
        </w:rPr>
        <w:t xml:space="preserve"> </w:t>
      </w:r>
      <w:r w:rsidR="008E3299">
        <w:rPr>
          <w:rStyle w:val="Strong"/>
          <w:rFonts w:ascii="Calibri Light" w:hAnsi="Calibri Light"/>
          <w:sz w:val="25"/>
          <w:szCs w:val="25"/>
        </w:rPr>
        <w:t>Words</w:t>
      </w:r>
    </w:p>
    <w:sectPr w:rsidR="00543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EF" w:rsidRDefault="008E3299">
      <w:r>
        <w:separator/>
      </w:r>
    </w:p>
  </w:endnote>
  <w:endnote w:type="continuationSeparator" w:id="0">
    <w:p w:rsidR="00971CEF" w:rsidRDefault="008E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E5" w:rsidRDefault="00595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13" w:rsidRDefault="008E329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13" w:rsidRDefault="008E3299">
    <w:pPr>
      <w:pStyle w:val="Footer"/>
      <w:tabs>
        <w:tab w:val="clear" w:pos="4320"/>
        <w:tab w:val="clear" w:pos="8640"/>
        <w:tab w:val="left" w:pos="1215"/>
      </w:tabs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24963" behindDoc="0" locked="0" layoutInCell="1" allowOverlap="1">
              <wp:simplePos x="0" y="0"/>
              <wp:positionH relativeFrom="column">
                <wp:posOffset>-504830</wp:posOffset>
              </wp:positionH>
              <wp:positionV relativeFrom="paragraph">
                <wp:posOffset>43820</wp:posOffset>
              </wp:positionV>
              <wp:extent cx="914400" cy="914400"/>
              <wp:effectExtent l="0" t="19050" r="28575" b="19050"/>
              <wp:wrapNone/>
              <wp:docPr id="10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91960" cy="635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0099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shape id="_x0000_s10" style="position:absolute;left:0;margin-left:-40pt;mso-position-horizontal:absolute;mso-position-horizontal-relative:text;margin-top:3pt;mso-position-vertical:absolute;mso-position-vertical-relative:text;width:534.7pt;height:0.0pt;flip:y;v-text-anchor:middle;z-index:251624963" coordsize="6791325,0" path="m,l6791325,e" strokecolor="#009900" o:allowoverlap="1" strokeweight="2.25pt" filled="f"/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24962" behindDoc="0" locked="0" layoutInCell="0" allowOverlap="1">
              <wp:simplePos x="0" y="0"/>
              <wp:positionH relativeFrom="margin">
                <wp:posOffset>-571505</wp:posOffset>
              </wp:positionH>
              <wp:positionV relativeFrom="paragraph">
                <wp:posOffset>-199394</wp:posOffset>
              </wp:positionV>
              <wp:extent cx="6858000" cy="49530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635" cy="495934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cap="flat">
                        <a:noFill/>
                      </a:ln>
                    </wps:spPr>
                    <wps:txbx>
                      <w:txbxContent>
                        <w:p w:rsidR="00543413" w:rsidRDefault="008E3299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Eras Medium ITC" w:hAnsi="Eras Medium ITC"/>
                              <w:b/>
                              <w:sz w:val="21"/>
                              <w:szCs w:val="21"/>
                            </w:rPr>
                            <w:t xml:space="preserve">           Australian Mission to the United Nations</w:t>
                          </w:r>
                          <w:r>
                            <w:rPr>
                              <w:rFonts w:ascii="Eras Medium ITC" w:hAnsi="Eras Medium ITC"/>
                              <w:b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Eras Medium ITC" w:hAnsi="Eras Medium ITC"/>
                              <w:sz w:val="18"/>
                              <w:szCs w:val="18"/>
                            </w:rPr>
                            <w:t xml:space="preserve">E-mail   UN.Geneva@dfat.gov.au </w:t>
                          </w:r>
                        </w:p>
                        <w:p w:rsidR="00543413" w:rsidRDefault="008E3299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Eras Medium ITC" w:hAnsi="Eras Medium ITC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Fonts w:ascii="Eras Medium ITC" w:hAnsi="Eras Medium ITC"/>
                              <w:sz w:val="18"/>
                              <w:szCs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shape id="_x0000_s11" style="position:absolute;left:0;margin-left:-45pt;mso-position-horizontal:absolute;mso-position-horizontal-relative:margin;margin-top:-16pt;mso-position-vertical:absolute;mso-position-vertical-relative:text;width:540.0pt;height:39.0pt;z-index:251624962" coordsize="6858000,495299" path="m,l6858000,,6858000,495299,,495299xe" stroked="f" fillcolor="#ffffff" filled="t">
              <v:textbox style="" inset="7pt,4pt,7pt,4pt">
                <w:txbxContent>
                  <w:p>
                    <w:pPr>
                      <w:pStyle w:val="PO9"/>
                      <w:spacing w:after="160"/>
                      <w:tabs>
                        <w:tab w:val="right" w:pos="9639"/>
                      </w:tabs>
                      <w:rPr>
                        <w:b w:val="1"/>
                        <w:sz w:val="21"/>
                        <w:szCs w:val="21"/>
                        <w:rFonts w:ascii="Eras Medium ITC" w:hAnsi="Eras Medium ITC"/>
                      </w:rPr>
                    </w:pPr>
                    <w:r>
                      <w:rPr>
                        <w:b w:val="1"/>
                        <w:sz w:val="21"/>
                        <w:szCs w:val="21"/>
                        <w:rFonts w:ascii="Eras Medium ITC" w:hAnsi="Eras Medium ITC"/>
                      </w:rPr>
                      <w:t xml:space="preserve">           Australian Mission to the United Nations</w:t>
                    </w:r>
                    <w:r>
                      <w:rPr>
                        <w:b w:val="1"/>
                        <w:sz w:val="21"/>
                        <w:szCs w:val="21"/>
                        <w:rFonts w:ascii="Eras Medium ITC" w:hAnsi="Eras Medium ITC"/>
                      </w:rPr>
                      <w:tab/>
                    </w:r>
                    <w:r>
                      <w:rPr>
                        <w:sz w:val="18"/>
                        <w:szCs w:val="18"/>
                        <w:rFonts w:ascii="Eras Medium ITC" w:hAnsi="Eras Medium ITC"/>
                      </w:rPr>
                      <w:t xml:space="preserve">E-mail   UN.Geneva@dfat.gov.au </w:t>
                    </w:r>
                  </w:p>
                  <w:p>
                    <w:pPr>
                      <w:pStyle w:val="PO9"/>
                      <w:jc w:val="center"/>
                      <w:spacing w:after="160"/>
                      <w:rPr>
                        <w:sz w:val="18"/>
                        <w:szCs w:val="18"/>
                        <w:rFonts w:ascii="Eras Medium ITC" w:hAnsi="Eras Medium ITC"/>
                        <w:lang w:val="fr-FR"/>
                      </w:rPr>
                    </w:pPr>
                    <w:r>
                      <w:rPr>
                        <w:sz w:val="18"/>
                        <w:szCs w:val="18"/>
                        <w:rFonts w:ascii="Eras Medium ITC" w:hAnsi="Eras Medium ITC"/>
                      </w:rPr>
                      <w:t xml:space="preserve">       </w:t>
                    </w:r>
                    <w:r>
                      <w:rPr>
                        <w:sz w:val="18"/>
                        <w:szCs w:val="18"/>
                        <w:rFonts w:ascii="Eras Medium ITC" w:hAnsi="Eras Medium ITC"/>
                        <w:lang w:val="fr-FR"/>
                      </w:rPr>
                      <w:t xml:space="preserve">Chemin des Fins 2, Petit Saconnex, 1211 Geneva 19   Ph +41 22 799 9100  Fax +41 22 799 9175 www.geneva.mission.gov.au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EF" w:rsidRDefault="008E3299">
      <w:r>
        <w:separator/>
      </w:r>
    </w:p>
  </w:footnote>
  <w:footnote w:type="continuationSeparator" w:id="0">
    <w:p w:rsidR="00971CEF" w:rsidRDefault="008E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E5" w:rsidRDefault="00595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13" w:rsidRDefault="008E3299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13" w:rsidRDefault="008E3299">
    <w:pPr>
      <w:pStyle w:val="Header"/>
      <w:ind w:left="142"/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column">
                <wp:posOffset>3581404</wp:posOffset>
              </wp:positionH>
              <wp:positionV relativeFrom="paragraph">
                <wp:posOffset>-50169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25090" cy="1234440"/>
                        <a:chOff x="0" y="0"/>
                        <a:chExt cx="2625090" cy="1234440"/>
                      </a:xfrm>
                    </wpg:grpSpPr>
                    <pic:pic xmlns:pic="http://schemas.openxmlformats.org/drawingml/2006/picture">
                      <pic:nvPicPr>
                        <pic:cNvPr id="1" name="Picture 1" descr="/private/var/mobile/Containers/Data/Application/3DA0434C-0FF0-4F15-BEAA-EF5A0C3FA790/tmp/Polaris/engine/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8920E"/>
                            </a:clrFrom>
                            <a:clrTo>
                              <a:srgbClr val="E8920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2565" cy="1234440"/>
                        </a:xfrm>
                        <a:prstGeom prst="rect">
                          <a:avLst/>
                        </a:prstGeom>
                        <a:ln cap="flat"/>
                      </pic:spPr>
                    </pic:pic>
                    <pic:pic xmlns:pic="http://schemas.openxmlformats.org/drawingml/2006/picture">
                      <pic:nvPicPr>
                        <pic:cNvPr id="2" name="Picture 2" descr="/private/var/mobile/Containers/Data/Application/3DA0434C-0FF0-4F15-BEAA-EF5A0C3FA790/tmp/Polaris/engine/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D8171C"/>
                            </a:clrFrom>
                            <a:clrTo>
                              <a:srgbClr val="D8171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8509" cy="833755"/>
                        </a:xfrm>
                        <a:prstGeom prst="rect">
                          <a:avLst/>
                        </a:prstGeom>
                        <a:ln cap="flat"/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>
          <w:pict>
            <v:group id="_x0000_s4" style="position:absolute;left:0;margin-left:282pt;mso-position-horizontal:absolute;mso-position-horizontal-relative:text;margin-top:-4pt;mso-position-vertical:absolute;mso-position-vertical-relative:text;width:206.6pt;height:97.1pt;z-index:251624961" coordorigin="7079,466" coordsize="4133,1943">
              <w10:wrap type="tight" side="both"/>
              <v:shape id="_x0000_s5" style="position:absolute;left:8894;top:466;width:2318;height:1943;z-index:251624960" coordsize="1471930,1233805" path="m,l1471930,,1471930,1233805,,1233805xe" stroked="f" fillcolor="#fcfcfc">
                <v:fill r:id="rId3" recolor="t" rotate="t" type="frame"/>
                <v:imagedata/>
              </v:shape>
              <v:shape id="_x0000_s6" style="position:absolute;left:7079;top:976;width:3225;height:1312;z-index:251624961" coordsize="2047875,833120" path="m,l2047875,,2047875,833120,,833120xe" stroked="f" fillcolor="#fcfcfc">
                <v:fill r:id="rId4" recolor="t" rotate="t" type="frame"/>
                <v:imagedata/>
              </v:shape>
            </v:group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24960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-95254</wp:posOffset>
              </wp:positionV>
              <wp:extent cx="6840855" cy="1198880"/>
              <wp:effectExtent l="0" t="0" r="0" b="1270"/>
              <wp:wrapNone/>
              <wp:docPr id="7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1490" cy="1199515"/>
                      </a:xfrm>
                      <a:prstGeom prst="rect">
                        <a:avLst/>
                      </a:prstGeom>
                      <a:solidFill>
                        <a:prstClr val="yellow"/>
                      </a:solidFill>
                      <a:ln cap="flat">
                        <a:noFill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shape id="_x0000_s7" style="position:absolute;left:0;margin-left:0pt;mso-position-horizontal:center;mso-position-horizontal-relative:page;margin-top:-8pt;mso-position-vertical:absolute;mso-position-vertical-relative:text;width:538.6pt;height:94.4pt;z-index:251624960" coordsize="6840855,1198880" path="m,l6840855,,6840855,1198880,,1198880xe" stroked="f" fillcolor="#ffff00" filled="t"/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1F0020D3"/>
    <w:lvl w:ilvl="0" w:tplc="3FC26E64">
      <w:start w:val="1"/>
      <w:numFmt w:val="bullet"/>
      <w:lvlText w:val="×"/>
      <w:lvlJc w:val="left"/>
      <w:pPr>
        <w:ind w:left="720" w:hanging="360"/>
      </w:pPr>
      <w:rPr>
        <w:rFonts w:ascii="Symbol" w:hAnsi="Symbol" w:hint="default"/>
      </w:rPr>
    </w:lvl>
    <w:lvl w:ilvl="1" w:tplc="5C8E3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A0AA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218CB0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626B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6752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100C10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6B60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C35F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13"/>
    <w:rsid w:val="000646F8"/>
    <w:rsid w:val="000821AE"/>
    <w:rsid w:val="000F68E6"/>
    <w:rsid w:val="001259B3"/>
    <w:rsid w:val="001647B9"/>
    <w:rsid w:val="001850F2"/>
    <w:rsid w:val="002653C6"/>
    <w:rsid w:val="00543413"/>
    <w:rsid w:val="00595BE5"/>
    <w:rsid w:val="006236A7"/>
    <w:rsid w:val="00655CED"/>
    <w:rsid w:val="006E6BAE"/>
    <w:rsid w:val="00745082"/>
    <w:rsid w:val="008E3299"/>
    <w:rsid w:val="00971CEF"/>
    <w:rsid w:val="00D8621C"/>
    <w:rsid w:val="00F441D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7"/>
    <w:qFormat/>
    <w:p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qFormat/>
    <w:pPr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8"/>
    <w:qFormat/>
    <w:rPr>
      <w:i/>
    </w:rPr>
  </w:style>
  <w:style w:type="character" w:styleId="Strong">
    <w:name w:val="Strong"/>
    <w:basedOn w:val="DefaultParagraphFont"/>
    <w:uiPriority w:val="20"/>
    <w:qFormat/>
    <w:rPr>
      <w:b/>
    </w:rPr>
  </w:style>
  <w:style w:type="character" w:customStyle="1" w:styleId="Heading2Char">
    <w:name w:val="Heading 2 Char"/>
    <w:basedOn w:val="DefaultParagraphFont"/>
    <w:link w:val="Heading2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customStyle="1" w:styleId="CommentSubjectChar">
    <w:name w:val="Comment Subject Char"/>
    <w:basedOn w:val="CommentTextChar"/>
    <w:link w:val="CommentSubject"/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DEB0-5282-48B1-B8C5-FCF8BE6F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1355</Characters>
  <Application>Microsoft Office Word</Application>
  <DocSecurity>0</DocSecurity>
  <Lines>11</Lines>
  <Paragraphs>3</Paragraphs>
  <MMClips>0</MMClip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Statement in the Enhanced Interactive Dialogue on the High Commissioner’s Oral Update on COVID-19</dc:title>
  <dc:creator/>
  <cp:lastModifiedBy/>
  <cp:revision>1</cp:revision>
  <dcterms:created xsi:type="dcterms:W3CDTF">2020-09-15T05:25:00Z</dcterms:created>
  <dcterms:modified xsi:type="dcterms:W3CDTF">2020-09-15T05:25:00Z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e426553e-9f28-41ce-9dfb-f5c3eee874e2</vt:lpwstr>
  </property>
  <property fmtid="{D5CDD505-2E9C-101B-9397-08002B2CF9AE}" pid="3" name="SEC">
    <vt:lpwstr>OFFICIAL</vt:lpwstr>
  </property>
</Properties>
</file>