
<file path=[Content_Types].xml><?xml version="1.0" encoding="utf-8"?>
<Types xmlns="http://schemas.openxmlformats.org/package/2006/content-types">
  <Default Extension="jpeg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customXml/itemProps1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Relationship Id="rId4" Type="http://schemas.openxmlformats.org/officeDocument/2006/relationships/custom-properties" Target="docProps/custom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58"/>
        <w:jc w:val="center"/>
        <w:ind w:right="-45" w:firstLine="0"/>
        <w:tabs>
          <w:tab w:val="left" w:pos="1134"/>
        </w:tabs>
        <w:rPr>
          <w:rStyle w:val="PO20"/>
          <w:sz w:val="25"/>
          <w:szCs w:val="25"/>
          <w:rFonts w:ascii="Calibri Light" w:hAnsi="Calibri Light"/>
        </w:rPr>
      </w:pPr>
    </w:p>
    <w:p>
      <w:pPr>
        <w:pStyle w:val="PO158"/>
        <w:jc w:val="center"/>
        <w:ind w:right="-45" w:firstLine="0"/>
        <w:tabs>
          <w:tab w:val="left" w:pos="1134"/>
        </w:tabs>
        <w:rPr>
          <w:rStyle w:val="PO20"/>
          <w:sz w:val="25"/>
          <w:szCs w:val="25"/>
          <w:rFonts w:ascii="Calibri Light" w:hAnsi="Calibri Light"/>
        </w:rPr>
      </w:pPr>
      <w:r>
        <w:rPr>
          <w:rStyle w:val="PO20"/>
          <w:sz w:val="25"/>
          <w:szCs w:val="25"/>
          <w:rFonts w:ascii="Calibri Light" w:hAnsi="Calibri Light"/>
        </w:rPr>
        <w:t xml:space="preserve">Human Rights Council – 45</w:t>
      </w:r>
      <w:r>
        <w:rPr>
          <w:rStyle w:val="PO20"/>
          <w:vertAlign w:val="superscript"/>
          <w:sz w:val="25"/>
          <w:szCs w:val="25"/>
          <w:rFonts w:ascii="Calibri Light" w:hAnsi="Calibri Light"/>
        </w:rPr>
        <w:t>th</w:t>
      </w:r>
      <w:r>
        <w:rPr>
          <w:rStyle w:val="PO20"/>
          <w:sz w:val="25"/>
          <w:szCs w:val="25"/>
          <w:rFonts w:ascii="Calibri Light" w:hAnsi="Calibri Light"/>
        </w:rPr>
        <w:t xml:space="preserve"> session</w:t>
      </w:r>
    </w:p>
    <w:p>
      <w:pPr>
        <w:pStyle w:val="PO158"/>
        <w:jc w:val="center"/>
        <w:ind w:right="-45" w:firstLine="0"/>
        <w:tabs>
          <w:tab w:val="left" w:pos="1134"/>
        </w:tabs>
        <w:rPr>
          <w:rStyle w:val="PO20"/>
          <w:sz w:val="25"/>
          <w:szCs w:val="25"/>
          <w:rFonts w:ascii="Calibri Light" w:hAnsi="Calibri Light"/>
        </w:rPr>
      </w:pPr>
    </w:p>
    <w:p>
      <w:pPr>
        <w:pStyle w:val="PO158"/>
        <w:jc w:val="center"/>
        <w:ind w:right="-45" w:firstLine="0"/>
        <w:tabs>
          <w:tab w:val="left" w:pos="1134"/>
        </w:tabs>
        <w:rPr>
          <w:rStyle w:val="PO20"/>
          <w:sz w:val="25"/>
          <w:szCs w:val="25"/>
          <w:rFonts w:ascii="Calibri Light" w:hAnsi="Calibri Light"/>
        </w:rPr>
      </w:pPr>
      <w:r>
        <w:rPr>
          <w:rStyle w:val="PO20"/>
          <w:sz w:val="25"/>
          <w:szCs w:val="25"/>
          <w:rFonts w:ascii="Calibri Light" w:hAnsi="Calibri Light"/>
        </w:rPr>
        <w:t xml:space="preserve">Interactive Dialogue on the High Commissioner for Human Rights’ Country Report on </w:t>
      </w:r>
      <w:r>
        <w:rPr>
          <w:rStyle w:val="PO20"/>
          <w:sz w:val="25"/>
          <w:szCs w:val="25"/>
          <w:rFonts w:ascii="Calibri Light" w:hAnsi="Calibri Light"/>
        </w:rPr>
        <w:t>Georgia</w:t>
      </w:r>
    </w:p>
    <w:p>
      <w:pPr>
        <w:pStyle w:val="PO158"/>
        <w:jc w:val="center"/>
        <w:ind w:right="-45" w:firstLine="0"/>
        <w:tabs>
          <w:tab w:val="left" w:pos="1134"/>
        </w:tabs>
        <w:rPr>
          <w:rStyle w:val="PO20"/>
          <w:sz w:val="25"/>
          <w:szCs w:val="25"/>
          <w:rFonts w:ascii="Calibri Light" w:hAnsi="Calibri Light"/>
        </w:rPr>
      </w:pPr>
    </w:p>
    <w:p>
      <w:pPr>
        <w:pStyle w:val="PO158"/>
        <w:jc w:val="center"/>
        <w:ind w:right="-45" w:firstLine="0"/>
        <w:tabs>
          <w:tab w:val="left" w:pos="1134"/>
        </w:tabs>
        <w:rPr>
          <w:rStyle w:val="PO20"/>
          <w:sz w:val="25"/>
          <w:szCs w:val="25"/>
          <w:rFonts w:ascii="Calibri Light" w:hAnsi="Calibri Light"/>
        </w:rPr>
      </w:pPr>
      <w:r>
        <w:rPr>
          <w:rStyle w:val="PO20"/>
          <w:sz w:val="25"/>
          <w:szCs w:val="25"/>
          <w:rFonts w:ascii="Calibri Light" w:hAnsi="Calibri Light"/>
        </w:rPr>
        <w:t xml:space="preserve">5 October 2020</w:t>
      </w:r>
    </w:p>
    <w:p>
      <w:pPr>
        <w:pStyle w:val="PO158"/>
        <w:jc w:val="center"/>
        <w:ind w:right="-45" w:firstLine="0"/>
        <w:tabs>
          <w:tab w:val="left" w:pos="1134"/>
        </w:tabs>
        <w:rPr>
          <w:rStyle w:val="PO20"/>
          <w:sz w:val="25"/>
          <w:szCs w:val="25"/>
          <w:rFonts w:ascii="Calibri Light" w:hAnsi="Calibri Light"/>
        </w:rPr>
      </w:pPr>
    </w:p>
    <w:p>
      <w:pPr>
        <w:pStyle w:val="PO158"/>
        <w:jc w:val="center"/>
        <w:ind w:right="-45" w:firstLine="0"/>
        <w:tabs>
          <w:tab w:val="left" w:pos="1134"/>
        </w:tabs>
        <w:rPr>
          <w:rStyle w:val="PO20"/>
          <w:sz w:val="25"/>
          <w:szCs w:val="25"/>
          <w:rFonts w:ascii="Calibri Light" w:hAnsi="Calibri Light"/>
        </w:rPr>
      </w:pPr>
      <w:r>
        <w:rPr>
          <w:rStyle w:val="PO20"/>
          <w:sz w:val="25"/>
          <w:szCs w:val="25"/>
          <w:rFonts w:ascii="Calibri Light" w:hAnsi="Calibri Light"/>
        </w:rPr>
        <w:t xml:space="preserve">Australian Statement</w:t>
      </w:r>
    </w:p>
    <w:p>
      <w:pPr>
        <w:pStyle w:val="PO158"/>
        <w:jc w:val="center"/>
        <w:ind w:right="-45" w:firstLine="0"/>
        <w:tabs>
          <w:tab w:val="left" w:pos="1134"/>
        </w:tabs>
        <w:rPr>
          <w:rStyle w:val="PO20"/>
          <w:sz w:val="25"/>
          <w:szCs w:val="25"/>
          <w:rFonts w:ascii="Calibri Light" w:hAnsi="Calibri Light"/>
        </w:rPr>
      </w:pP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="Calibri Light" w:hAnsi="Calibri Light"/>
        </w:rPr>
      </w:pP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Theme="minorHAnsi" w:hAnsiTheme="minorHAnsi"/>
        </w:rPr>
      </w:pPr>
      <w:r>
        <w:rPr>
          <w:sz w:val="25"/>
          <w:szCs w:val="25"/>
          <w:rFonts w:asciiTheme="minorHAnsi" w:hAnsiTheme="minorHAnsi"/>
        </w:rPr>
        <w:t xml:space="preserve">Australia thanks the </w:t>
      </w:r>
      <w:r>
        <w:rPr>
          <w:sz w:val="25"/>
          <w:szCs w:val="25"/>
          <w:rFonts w:asciiTheme="minorHAnsi" w:hAnsiTheme="minorHAnsi"/>
        </w:rPr>
        <w:t>OHCHR</w:t>
      </w:r>
      <w:r>
        <w:rPr>
          <w:sz w:val="25"/>
          <w:szCs w:val="25"/>
          <w:rFonts w:asciiTheme="minorHAnsi" w:hAnsiTheme="minorHAnsi"/>
        </w:rPr>
        <w:t xml:space="preserve"> for the reports provided today, and its critical role providing </w:t>
      </w:r>
      <w:r>
        <w:rPr>
          <w:sz w:val="25"/>
          <w:szCs w:val="25"/>
          <w:rFonts w:asciiTheme="minorHAnsi" w:hAnsiTheme="minorHAnsi"/>
        </w:rPr>
        <w:t xml:space="preserve">technical assistance around the globe. Australia‘s comments relate to the report on </w:t>
      </w:r>
      <w:r>
        <w:rPr>
          <w:sz w:val="25"/>
          <w:szCs w:val="25"/>
          <w:rFonts w:asciiTheme="minorHAnsi" w:hAnsiTheme="minorHAnsi"/>
        </w:rPr>
        <w:t xml:space="preserve">Georgia and we thank Georgia for its cooperation with the Office.</w:t>
      </w: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Theme="minorHAnsi" w:hAnsiTheme="minorHAnsi"/>
        </w:rPr>
      </w:pP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Theme="minorHAnsi" w:hAnsiTheme="minorHAnsi"/>
        </w:rPr>
      </w:pPr>
      <w:r>
        <w:rPr>
          <w:sz w:val="25"/>
          <w:szCs w:val="25"/>
          <w:rFonts w:asciiTheme="minorHAnsi" w:hAnsiTheme="minorHAnsi"/>
        </w:rPr>
        <w:t xml:space="preserve">We commend Georgia’s protection of human rights during COVID-19, and its success </w:t>
      </w:r>
      <w:r>
        <w:rPr>
          <w:sz w:val="25"/>
          <w:szCs w:val="25"/>
          <w:rFonts w:asciiTheme="minorHAnsi" w:hAnsiTheme="minorHAnsi"/>
        </w:rPr>
        <w:t xml:space="preserve">in </w:t>
      </w:r>
      <w:r>
        <w:rPr>
          <w:sz w:val="25"/>
          <w:szCs w:val="25"/>
          <w:rFonts w:asciiTheme="minorHAnsi" w:hAnsiTheme="minorHAnsi"/>
        </w:rPr>
        <w:t xml:space="preserve">recording one of the lowest per capita rates of infection in Europe. We applaud Prime </w:t>
      </w:r>
      <w:r>
        <w:rPr>
          <w:sz w:val="25"/>
          <w:szCs w:val="25"/>
          <w:rFonts w:asciiTheme="minorHAnsi" w:hAnsiTheme="minorHAnsi"/>
        </w:rPr>
        <w:t xml:space="preserve">Minister Gakharia’s commitment to ensuring the upcoming elections will be held in a </w:t>
      </w:r>
      <w:r>
        <w:rPr>
          <w:sz w:val="25"/>
          <w:szCs w:val="25"/>
          <w:rFonts w:asciiTheme="minorHAnsi" w:hAnsiTheme="minorHAnsi"/>
        </w:rPr>
        <w:t xml:space="preserve">democratic and transparent environment. </w:t>
      </w: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Theme="minorHAnsi" w:hAnsiTheme="minorHAnsi"/>
        </w:rPr>
      </w:pP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Theme="minorHAnsi" w:hAnsiTheme="minorHAnsi"/>
        </w:rPr>
      </w:pPr>
      <w:r>
        <w:rPr>
          <w:sz w:val="25"/>
          <w:szCs w:val="25"/>
          <w:rFonts w:asciiTheme="minorHAnsi" w:hAnsiTheme="minorHAnsi"/>
        </w:rPr>
        <w:t xml:space="preserve">Australia strongly supports Georgia’s sovereignty and territorial integrity.  We remain </w:t>
      </w:r>
      <w:r>
        <w:rPr>
          <w:sz w:val="25"/>
          <w:szCs w:val="25"/>
          <w:rFonts w:asciiTheme="minorHAnsi" w:hAnsiTheme="minorHAnsi"/>
        </w:rPr>
        <w:t xml:space="preserve">concerned by the human rights situation in Abkhazia and South Ossetia, including </w:t>
      </w:r>
      <w:r>
        <w:rPr>
          <w:sz w:val="25"/>
          <w:szCs w:val="25"/>
          <w:rFonts w:asciiTheme="minorHAnsi" w:hAnsiTheme="minorHAnsi"/>
        </w:rPr>
        <w:t xml:space="preserve">restrictions on freedom of movement, and the lack of access by human rights </w:t>
      </w:r>
      <w:r>
        <w:rPr>
          <w:sz w:val="25"/>
          <w:szCs w:val="25"/>
          <w:rFonts w:asciiTheme="minorHAnsi" w:hAnsiTheme="minorHAnsi"/>
        </w:rPr>
        <w:t xml:space="preserve">investigators to these Georgian regions.  We call on the Russian Federation to use its </w:t>
      </w:r>
      <w:r>
        <w:rPr>
          <w:sz w:val="25"/>
          <w:szCs w:val="25"/>
          <w:rFonts w:asciiTheme="minorHAnsi" w:hAnsiTheme="minorHAnsi"/>
        </w:rPr>
        <w:t xml:space="preserve">influence to facilitate unimpeded access to the occupied territories by OHCHR and the </w:t>
      </w:r>
      <w:r>
        <w:rPr>
          <w:sz w:val="25"/>
          <w:szCs w:val="25"/>
          <w:rFonts w:asciiTheme="minorHAnsi" w:hAnsiTheme="minorHAnsi"/>
        </w:rPr>
        <w:t xml:space="preserve">international community, to investigate the human rights situation.</w:t>
      </w: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Theme="minorHAnsi" w:hAnsiTheme="minorHAnsi"/>
        </w:rPr>
      </w:pP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Theme="minorHAnsi" w:hAnsiTheme="minorHAnsi"/>
        </w:rPr>
      </w:pPr>
      <w:r>
        <w:rPr>
          <w:sz w:val="25"/>
          <w:szCs w:val="25"/>
          <w:rFonts w:asciiTheme="minorHAnsi" w:hAnsiTheme="minorHAnsi"/>
        </w:rPr>
        <w:t xml:space="preserve">In line with Australia’s opposition to the death penalty in all circumstances for all people, </w:t>
      </w:r>
      <w:r>
        <w:rPr>
          <w:sz w:val="25"/>
          <w:szCs w:val="25"/>
          <w:rFonts w:asciiTheme="minorHAnsi" w:hAnsiTheme="minorHAnsi"/>
        </w:rPr>
        <w:t xml:space="preserve">we condemn the introduction of the death penalty in Abkhazia.  </w:t>
      </w: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Theme="minorHAnsi" w:hAnsiTheme="minorHAnsi"/>
        </w:rPr>
      </w:pP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Theme="minorHAnsi" w:hAnsiTheme="minorHAnsi"/>
        </w:rPr>
      </w:pPr>
      <w:r>
        <w:rPr>
          <w:sz w:val="25"/>
          <w:szCs w:val="25"/>
          <w:rFonts w:asciiTheme="minorHAnsi" w:hAnsiTheme="minorHAnsi"/>
        </w:rPr>
        <w:t xml:space="preserve">We are also concerned at reported violence against marginalised groups including </w:t>
      </w:r>
      <w:r>
        <w:rPr>
          <w:sz w:val="25"/>
          <w:szCs w:val="25"/>
          <w:rFonts w:asciiTheme="minorHAnsi" w:hAnsiTheme="minorHAnsi"/>
        </w:rPr>
        <w:t xml:space="preserve">women and girls, persons with disabilities and the LGBTI persons.  </w:t>
      </w: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Theme="minorHAnsi" w:hAnsiTheme="minorHAnsi"/>
        </w:rPr>
      </w:pP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Theme="minorHAnsi" w:hAnsiTheme="minorHAnsi"/>
        </w:rPr>
      </w:pPr>
      <w:r>
        <w:rPr>
          <w:sz w:val="25"/>
          <w:szCs w:val="25"/>
          <w:rFonts w:asciiTheme="minorHAnsi" w:hAnsiTheme="minorHAnsi"/>
        </w:rPr>
        <w:t xml:space="preserve">Australia encourages Georgia to continue in its efforts to protect human rights and </w:t>
      </w:r>
      <w:r>
        <w:rPr>
          <w:sz w:val="25"/>
          <w:szCs w:val="25"/>
          <w:rFonts w:asciiTheme="minorHAnsi" w:hAnsiTheme="minorHAnsi"/>
        </w:rPr>
        <w:t xml:space="preserve">promote a secure and tolerant society.</w:t>
      </w: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="Calibri Light" w:hAnsi="Calibri Light"/>
        </w:rPr>
      </w:pPr>
    </w:p>
    <w:p>
      <w:pPr>
        <w:pStyle w:val="PO158"/>
        <w:ind w:right="-45" w:firstLine="0"/>
        <w:tabs>
          <w:tab w:val="left" w:pos="1134"/>
        </w:tabs>
        <w:rPr>
          <w:sz w:val="25"/>
          <w:szCs w:val="25"/>
          <w:rFonts w:ascii="Calibri Light" w:hAnsi="Calibri Light"/>
        </w:rPr>
      </w:pPr>
      <w:r>
        <w:rPr>
          <w:i w:val="1"/>
          <w:b w:val="1"/>
          <w:sz w:val="25"/>
          <w:szCs w:val="25"/>
          <w:rFonts w:ascii="Calibri Light" w:hAnsi="Calibri Light"/>
        </w:rPr>
        <w:t>201</w:t>
      </w:r>
      <w:r>
        <w:rPr>
          <w:rStyle w:val="PO20"/>
          <w:sz w:val="25"/>
          <w:szCs w:val="25"/>
          <w:rFonts w:ascii="Calibri Light" w:hAnsi="Calibri Light"/>
        </w:rPr>
        <w:t xml:space="preserve"> Words</w:t>
      </w:r>
    </w:p>
    <w:sectPr>
      <w:titlePg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552" w:left="1440" w:bottom="1440" w:right="1440" w:header="544" w:footer="44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"/>
    <w:family w:val="swiss"/>
    <w:pitch w:val="variable"/>
    <w:sig w:usb0="00000003" w:usb1="00000000" w:usb2="00000000" w:usb3="00000000" w:csb0="00000001" w:csb1="00000000"/>
  </w:font>
</w:fonts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5"/>
      <w:rPr>
        <w:sz w:val="16"/>
        <w:szCs w:val="16"/>
        <w:rFonts w:ascii="Arial" w:hAnsi="Arial"/>
      </w:rPr>
    </w:pPr>
    <w:r>
      <w:rPr>
        <w:sz w:val="16"/>
        <w:szCs w:val="16"/>
        <w:rFonts w:ascii="Arial" w:hAnsi="Arial"/>
      </w:rPr>
      <w:tab/>
    </w:r>
    <w:r>
      <w:rPr>
        <w:sz w:val="16"/>
        <w:szCs w:val="16"/>
        <w:rFonts w:ascii="Arial" w:hAnsi="Arial"/>
      </w:rPr>
      <w:tab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5"/>
      <w:tabs>
        <w:tab w:val="left" w:pos="1215"/>
        <w:tab w:val="clear" w:pos="4320"/>
        <w:tab w:val="clear" w:pos="8640"/>
      </w:tabs>
      <w:rPr/>
    </w:pPr>
    <w:r>
      <w:rPr>
        <w:sz w:val="20"/>
      </w:rPr>
      <mc:AlternateContent>
        <mc:Choice Requires="wps">
          <w:drawing>
            <wp:anchor distT="0" distB="0" distL="114300" distR="114300" simplePos="0" relativeHeight="251624963" behindDoc="0" locked="0" layoutInCell="1" allowOverlap="1">
              <wp:simplePos x="0" y="0"/>
              <wp:positionH relativeFrom="column">
                <wp:posOffset>-504830</wp:posOffset>
              </wp:positionH>
              <wp:positionV relativeFrom="paragraph">
                <wp:posOffset>43820</wp:posOffset>
              </wp:positionV>
              <wp:extent cx="914400" cy="914400"/>
              <wp:effectExtent l="0" t="19050" r="28575" b="19050"/>
              <wp:wrapNone/>
              <wp:docPr id="10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793230" cy="1905"/>
                      </a:xfrm>
                      <a:prstGeom prst="line"/>
                      <a:ln w="28575" cap="flat" cmpd="sng">
                        <a:solidFill>
                          <a:srgbClr val="009900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shape id="_x0000_s10" style="position:absolute;left:0;margin-left:-40pt;mso-position-horizontal:absolute;mso-position-horizontal-relative:text;margin-top:3pt;mso-position-vertical:absolute;mso-position-vertical-relative:text;width:534.8pt;height:0.1pt;flip:y;v-text-anchor:middle;z-index:251624963" coordsize="6792595,1270" path="m,l6792595,1270e" strokecolor="#009900" o:allowoverlap="1" strokeweight="2.25pt" filled="f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24962" behindDoc="0" locked="0" layoutInCell="0" allowOverlap="1">
              <wp:simplePos x="0" y="0"/>
              <wp:positionH relativeFrom="margin">
                <wp:posOffset>-571505</wp:posOffset>
              </wp:positionH>
              <wp:positionV relativeFrom="paragraph">
                <wp:posOffset>-199394</wp:posOffset>
              </wp:positionV>
              <wp:extent cx="6858000" cy="49530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9905" cy="497204"/>
                      </a:xfrm>
                      <a:prstGeom prst="rect"/>
                      <a:solidFill>
                        <a:prstClr val="white"/>
                      </a:solidFill>
                      <a:ln cap="flat">
                        <a:noFill/>
                      </a:ln>
                    </wps:spPr>
                    <wps:txbx style="" inset="7pt,4pt,7pt,4pt">
                      <w:txbxContent>
                        <w:p>
                          <w:pPr>
                            <w:pStyle w:val="PO9"/>
                            <w:spacing w:after="160"/>
                            <w:tabs>
                              <w:tab w:val="right" w:pos="9639"/>
                            </w:tabs>
                            <w:rPr>
                              <w:b w:val="1"/>
                              <w:sz w:val="21"/>
                              <w:szCs w:val="21"/>
                              <w:rFonts w:ascii="Eras Medium ITC" w:hAnsi="Eras Medium ITC"/>
                            </w:rPr>
                          </w:pPr>
                          <w:r>
                            <w:rPr>
                              <w:b w:val="1"/>
                              <w:sz w:val="21"/>
                              <w:szCs w:val="21"/>
                              <w:rFonts w:ascii="Eras Medium ITC" w:hAnsi="Eras Medium ITC"/>
                            </w:rPr>
                            <w:t xml:space="preserve">           Australian Mission to the United Nations</w:t>
                          </w:r>
                          <w:r>
                            <w:rPr>
                              <w:b w:val="1"/>
                              <w:sz w:val="21"/>
                              <w:szCs w:val="21"/>
                              <w:rFonts w:ascii="Eras Medium ITC" w:hAnsi="Eras Medium ITC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:rFonts w:ascii="Eras Medium ITC" w:hAnsi="Eras Medium ITC"/>
                            </w:rPr>
                            <w:t xml:space="preserve">E-mail   UN.Geneva@dfat.gov.au </w:t>
                          </w:r>
                        </w:p>
                        <w:p>
                          <w:pPr>
                            <w:pStyle w:val="PO9"/>
                            <w:jc w:val="center"/>
                            <w:spacing w:after="160"/>
                            <w:rPr>
                              <w:sz w:val="18"/>
                              <w:szCs w:val="18"/>
                              <w:rFonts w:ascii="Eras Medium ITC" w:hAnsi="Eras Medium ITC"/>
                              <w:lang w:val="fr-FR"/>
                            </w:rPr>
                          </w:pPr>
                          <w:r>
                            <w:rPr>
                              <w:sz w:val="18"/>
                              <w:szCs w:val="18"/>
                              <w:rFonts w:ascii="Eras Medium ITC" w:hAnsi="Eras Medium ITC"/>
                            </w:rPr>
                            <w:t xml:space="preserve">       </w:t>
                          </w:r>
                          <w:r>
                            <w:rPr>
                              <w:sz w:val="18"/>
                              <w:szCs w:val="18"/>
                              <w:rFonts w:ascii="Eras Medium ITC" w:hAnsi="Eras Medium ITC"/>
                              <w:lang w:val="fr-FR"/>
                            </w:rPr>
                            <w:t xml:space="preserve"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shape id="_x0000_s11" style="position:absolute;left:0;margin-left:-45pt;mso-position-horizontal:absolute;mso-position-horizontal-relative:margin;margin-top:-16pt;mso-position-vertical:absolute;mso-position-vertical-relative:text;width:540.1pt;height:39.1pt;z-index:251624962" coordsize="6859270,496569" path="m,l6859270,,6859270,496569,,496569xe" stroked="f" fillcolor="#ffffff" filled="t">
              <v:textbox style="" inset="7pt,4pt,7pt,4pt">
                <w:txbxContent>
                  <w:p>
                    <w:pPr>
                      <w:pStyle w:val="PO9"/>
                      <w:spacing w:after="160"/>
                      <w:tabs>
                        <w:tab w:val="right" w:pos="9639"/>
                      </w:tabs>
                      <w:rPr>
                        <w:b w:val="1"/>
                        <w:sz w:val="21"/>
                        <w:szCs w:val="21"/>
                        <w:rFonts w:ascii="Eras Medium ITC" w:hAnsi="Eras Medium ITC"/>
                      </w:rPr>
                    </w:pPr>
                    <w:r>
                      <w:rPr>
                        <w:b w:val="1"/>
                        <w:sz w:val="21"/>
                        <w:szCs w:val="21"/>
                        <w:rFonts w:ascii="Eras Medium ITC" w:hAnsi="Eras Medium ITC"/>
                      </w:rPr>
                      <w:t xml:space="preserve">           Australian Mission to the United Nations</w:t>
                    </w:r>
                    <w:r>
                      <w:rPr>
                        <w:b w:val="1"/>
                        <w:sz w:val="21"/>
                        <w:szCs w:val="21"/>
                        <w:rFonts w:ascii="Eras Medium ITC" w:hAnsi="Eras Medium ITC"/>
                      </w:rPr>
                      <w:tab/>
                    </w:r>
                    <w:r>
                      <w:rPr>
                        <w:sz w:val="18"/>
                        <w:szCs w:val="18"/>
                        <w:rFonts w:ascii="Eras Medium ITC" w:hAnsi="Eras Medium ITC"/>
                      </w:rPr>
                      <w:t xml:space="preserve">E-mail   UN.Geneva@dfat.gov.au </w:t>
                    </w:r>
                  </w:p>
                  <w:p>
                    <w:pPr>
                      <w:pStyle w:val="PO9"/>
                      <w:jc w:val="center"/>
                      <w:spacing w:after="160"/>
                      <w:rPr>
                        <w:sz w:val="18"/>
                        <w:szCs w:val="18"/>
                        <w:rFonts w:ascii="Eras Medium ITC" w:hAnsi="Eras Medium ITC"/>
                        <w:lang w:val="fr-FR"/>
                      </w:rPr>
                    </w:pPr>
                    <w:r>
                      <w:rPr>
                        <w:sz w:val="18"/>
                        <w:szCs w:val="18"/>
                        <w:rFonts w:ascii="Eras Medium ITC" w:hAnsi="Eras Medium ITC"/>
                      </w:rPr>
                      <w:t xml:space="preserve">       </w:t>
                    </w:r>
                    <w:r>
                      <w:rPr>
                        <w:sz w:val="18"/>
                        <w:szCs w:val="18"/>
                        <w:rFonts w:ascii="Eras Medium ITC" w:hAnsi="Eras Medium ITC"/>
                        <w:lang w:val="fr-FR"/>
                      </w:rPr>
                      <w:t xml:space="preserve">Chemin des Fins 2, Petit Saconnex, 1211 Geneva 19   Ph +41 22 799 9100  Fax +41 22 799 9175 www.geneva.mission.gov.au</w:t>
                    </w:r>
                  </w:p>
                </w:txbxContent>
              </v:textbox>
            </v:shape>
          </w:pict>
        </mc:Fallback>
      </mc:AlternateContent>
    </w:r>
    <w:r>
      <w:rPr/>
      <w:tab/>
    </w: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rPr/>
    </w:pPr>
    <w:r>
      <w:rPr/>
      <w:tab/>
    </w:r>
    <w:r>
      <w:rPr>
        <w:rStyle w:val="PO157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PO157"/>
      </w:rPr>
      <w:t>2</w:t>
    </w:r>
    <w:r>
      <w:rPr>
        <w:rStyle w:val="PO157"/>
      </w:rPr>
      <w:fldChar w:fldCharType="end"/>
    </w:r>
    <w:r>
      <w:rPr>
        <w:rStyle w:val="PO157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ind w:left="142" w:firstLine="0"/>
      <w:rPr/>
    </w:pPr>
    <w:r>
      <w:rPr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column">
                <wp:posOffset>3581404</wp:posOffset>
              </wp:positionH>
              <wp:positionV relativeFrom="paragraph">
                <wp:posOffset>-50169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5090" cy="1234440"/>
                        <a:chOff x="0" y="0"/>
                        <a:chExt cx="2625090" cy="1234440"/>
                      </a:xfrm>
                      <a:prstGeom prst="rect"/>
                      <a:ln cap="flat"/>
                    </wpg:grpSpPr>
                    <pic:pic xmlns:pic="http://schemas.openxmlformats.org/drawingml/2006/picture">
                      <pic:nvPicPr>
                        <pic:cNvPr id="1" name="Picture 1" descr="/private/var/mobile/Containers/Data/Application/0BAA0F54-EA0A-408E-9A58-51B6A45F42ED/tmp/Polaris/engine/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B87652"/>
                            </a:clrFrom>
                            <a:clrTo>
                              <a:srgbClr val="B87652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2565" cy="1234440"/>
                        </a:xfrm>
                        <a:prstGeom prst="rect"/>
                        <a:ln cap="flat"/>
                      </pic:spPr>
                    </pic:pic>
                    <pic:pic xmlns:pic="http://schemas.openxmlformats.org/drawingml/2006/picture">
                      <pic:nvPicPr>
                        <pic:cNvPr id="2" name="Picture 2" descr="/private/var/mobile/Containers/Data/Application/0BAA0F54-EA0A-408E-9A58-51B6A45F42ED/tmp/Polaris/engine/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28874C"/>
                            </a:clrFrom>
                            <a:clrTo>
                              <a:srgbClr val="28874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8509" cy="833755"/>
                        </a:xfrm>
                        <a:prstGeom prst="rect"/>
                        <a:ln cap="flat"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4" style="position:absolute;left:0;margin-left:282pt;mso-position-horizontal:absolute;mso-position-horizontal-relative:text;margin-top:-4pt;mso-position-vertical:absolute;mso-position-vertical-relative:text;width:206.6pt;height:97.1pt;z-index:251624961" coordorigin="7079,466" coordsize="4133,1943">
              <w10:wrap type="tight" side="both"/>
              <v:shape id="_x0000_s5" style="position:absolute;left:8894;top:466;width:2318;height:1943;z-index:251624960" coordsize="1471930,1233805" path="m,l1471930,,1471930,1233805,,1233805xe" stroked="f" fillcolor="#fcfcfc">
                <v:fill r:id="rId3" recolor="t" rotate="t" type="frame"/>
                <v:imagedata/>
              </v:shape>
              <v:shape id="_x0000_s6" style="position:absolute;left:7079;top:976;width:3225;height:1312;z-index:251624961" coordsize="2047875,833120" path="m,l2047875,,2047875,833120,,833120xe" stroked="f" fillcolor="#fcfcfc">
                <v:fill r:id="rId4" recolor="t" rotate="t" type="frame"/>
                <v:imagedata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24960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-95254</wp:posOffset>
              </wp:positionV>
              <wp:extent cx="6840855" cy="1198880"/>
              <wp:effectExtent l="0" t="0" r="0" b="1270"/>
              <wp:wrapNone/>
              <wp:docPr id="7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2760" cy="1200785"/>
                      </a:xfrm>
                      <a:prstGeom prst="rect"/>
                      <a:solidFill>
                        <a:prstClr val="yellow"/>
                      </a:solidFill>
                      <a:ln cap="flat">
                        <a:noFill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shape id="_x0000_s7" style="position:absolute;left:0;margin-left:0pt;mso-position-horizontal:center;mso-position-horizontal-relative:page;margin-top:-8pt;mso-position-vertical:absolute;mso-position-vertical-relative:text;width:538.7pt;height:94.5pt;z-index:251624960" coordsize="6842125,1200150" path="m,l6842125,,6842125,1200150,,1200150xe" stroked="f" fillcolor="#ffff00" filled="t"/>
          </w:pict>
        </mc:Fallback>
      </mc:AlternateContent>
    </w:r>
    <w:r>
      <w:rPr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42E8946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×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Times New Roman" w:hAnsi="Times New Roman" w:cs="Times New Roman"/>
        <w:lang w:bidi="ar-SA" w:eastAsia="en-AU" w:val="en-AU"/>
      </w:rPr>
    </w:rPrDefault>
  </w:docDefaults>
  <w:style w:default="1" w:styleId="PO1" w:type="paragraph">
    <w:name w:val="Normal"/>
    <w:qFormat/>
    <w:uiPriority w:val="1"/>
    <w:rPr>
      <w:sz w:val="24"/>
      <w:szCs w:val="24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7" w:type="paragraph">
    <w:name w:val="heading 1"/>
    <w:basedOn w:val="PO1"/>
    <w:next w:val="PO1"/>
    <w:link w:val="PO166"/>
    <w:qFormat/>
    <w:uiPriority w:val="7"/>
    <w:pPr>
      <w:spacing w:before="240"/>
      <w:rPr/>
      <w:outlineLvl w:val="0"/>
    </w:pPr>
    <w:rPr>
      <w:color w:val="366091" w:themeColor="accent1" w:themeShade="BF"/>
      <w:sz w:val="32"/>
      <w:szCs w:val="32"/>
      <w:rFonts w:asciiTheme="majorHAnsi" w:eastAsiaTheme="majorEastAsia" w:hAnsiTheme="majorHAnsi" w:cstheme="majorBidi"/>
    </w:rPr>
  </w:style>
  <w:style w:styleId="PO8" w:type="paragraph">
    <w:name w:val="heading 2"/>
    <w:basedOn w:val="PO1"/>
    <w:next w:val="PO1"/>
    <w:link w:val="PO151"/>
    <w:qFormat/>
    <w:uiPriority w:val="8"/>
    <w:pPr>
      <w:rPr/>
      <w:outlineLvl w:val="1"/>
    </w:pPr>
    <w:rPr>
      <w:sz w:val="72"/>
      <w:szCs w:val="72"/>
      <w:rFonts w:ascii="Copperplate Gothic Bold" w:hAnsi="Copperplate Gothic Bold"/>
      <w:lang w:eastAsia="en-US"/>
    </w:rPr>
  </w:style>
  <w:style w:styleId="PO9" w:type="paragraph">
    <w:name w:val="heading 3"/>
    <w:basedOn w:val="PO1"/>
    <w:next w:val="PO1"/>
    <w:link w:val="PO152"/>
    <w:qFormat/>
    <w:uiPriority w:val="9"/>
    <w:pPr>
      <w:rPr/>
      <w:outlineLvl w:val="2"/>
    </w:pPr>
    <w:rPr>
      <w:sz w:val="40"/>
      <w:szCs w:val="40"/>
      <w:rFonts w:ascii="Imprint MT Shadow" w:hAnsi="Imprint MT Shadow"/>
      <w:lang w:eastAsia="en-US"/>
    </w:rPr>
  </w:style>
  <w:style w:styleId="PO18" w:type="character">
    <w:name w:val="Emphasis"/>
    <w:basedOn w:val="PO2"/>
    <w:qFormat/>
    <w:uiPriority w:val="18"/>
    <w:rPr>
      <w:i w:val="1"/>
    </w:rPr>
  </w:style>
  <w:style w:styleId="PO20" w:type="character">
    <w:name w:val="Strong"/>
    <w:basedOn w:val="PO2"/>
    <w:qFormat/>
    <w:uiPriority w:val="20"/>
    <w:rPr>
      <w:b w:val="1"/>
    </w:rPr>
  </w:style>
  <w:style w:customStyle="1" w:styleId="PO151" w:type="character">
    <w:name w:val="Heading 2 Char"/>
    <w:basedOn w:val="PO2"/>
    <w:link w:val="PO8"/>
    <w:uiPriority w:val="151"/>
    <w:rPr>
      <w:sz w:val="72"/>
      <w:szCs w:val="72"/>
      <w:rFonts w:ascii="Copperplate Gothic Bold" w:hAnsi="Copperplate Gothic Bold"/>
      <w:lang w:eastAsia="en-US"/>
    </w:rPr>
  </w:style>
  <w:style w:customStyle="1" w:styleId="PO152" w:type="character">
    <w:name w:val="Heading 3 Char"/>
    <w:basedOn w:val="PO2"/>
    <w:link w:val="PO9"/>
    <w:uiPriority w:val="152"/>
    <w:rPr>
      <w:sz w:val="40"/>
      <w:szCs w:val="40"/>
      <w:rFonts w:ascii="Imprint MT Shadow" w:hAnsi="Imprint MT Shadow"/>
      <w:lang w:eastAsia="en-US"/>
    </w:rPr>
  </w:style>
  <w:style w:styleId="PO153" w:type="paragraph">
    <w:name w:val="header"/>
    <w:basedOn w:val="PO1"/>
    <w:link w:val="PO154"/>
    <w:uiPriority w:val="153"/>
    <w:pPr>
      <w:tabs>
        <w:tab w:val="center" w:pos="4320"/>
        <w:tab w:val="right" w:pos="8640"/>
      </w:tabs>
      <w:rPr/>
    </w:pPr>
    <w:rPr>
      <w:lang w:eastAsia="en-US"/>
    </w:rPr>
  </w:style>
  <w:style w:customStyle="1" w:styleId="PO154" w:type="character">
    <w:name w:val="Header Char"/>
    <w:basedOn w:val="PO2"/>
    <w:link w:val="PO153"/>
    <w:uiPriority w:val="154"/>
    <w:rPr>
      <w:sz w:val="24"/>
      <w:szCs w:val="24"/>
      <w:lang w:eastAsia="en-US"/>
    </w:rPr>
  </w:style>
  <w:style w:styleId="PO155" w:type="paragraph">
    <w:name w:val="footer"/>
    <w:basedOn w:val="PO1"/>
    <w:link w:val="PO156"/>
    <w:uiPriority w:val="155"/>
    <w:pPr>
      <w:tabs>
        <w:tab w:val="center" w:pos="4320"/>
        <w:tab w:val="right" w:pos="8640"/>
      </w:tabs>
      <w:rPr/>
    </w:pPr>
    <w:rPr>
      <w:lang w:eastAsia="en-US"/>
    </w:rPr>
  </w:style>
  <w:style w:customStyle="1" w:styleId="PO156" w:type="character">
    <w:name w:val="Footer Char"/>
    <w:basedOn w:val="PO2"/>
    <w:link w:val="PO155"/>
    <w:uiPriority w:val="156"/>
    <w:rPr>
      <w:sz w:val="24"/>
      <w:szCs w:val="24"/>
      <w:lang w:eastAsia="en-US"/>
    </w:rPr>
  </w:style>
  <w:style w:styleId="PO157" w:type="character">
    <w:name w:val="page number"/>
    <w:basedOn w:val="PO2"/>
    <w:uiPriority w:val="157"/>
  </w:style>
  <w:style w:styleId="PO158" w:type="paragraph">
    <w:name w:val="Normal (Web)"/>
    <w:basedOn w:val="PO1"/>
    <w:uiPriority w:val="158"/>
    <w:unhideWhenUsed/>
  </w:style>
  <w:style w:styleId="PO159" w:type="character">
    <w:name w:val="annotation reference"/>
    <w:basedOn w:val="PO2"/>
    <w:uiPriority w:val="159"/>
    <w:rPr>
      <w:sz w:val="16"/>
      <w:szCs w:val="16"/>
    </w:rPr>
  </w:style>
  <w:style w:styleId="PO160" w:type="paragraph">
    <w:name w:val="annotation text"/>
    <w:basedOn w:val="PO1"/>
    <w:link w:val="PO161"/>
    <w:uiPriority w:val="160"/>
    <w:rPr>
      <w:sz w:val="20"/>
      <w:szCs w:val="20"/>
    </w:rPr>
  </w:style>
  <w:style w:customStyle="1" w:styleId="PO161" w:type="character">
    <w:name w:val="Comment Text Char"/>
    <w:basedOn w:val="PO2"/>
    <w:link w:val="PO160"/>
    <w:uiPriority w:val="161"/>
  </w:style>
  <w:style w:styleId="PO162" w:type="paragraph">
    <w:name w:val="annotation subject"/>
    <w:basedOn w:val="PO160"/>
    <w:next w:val="PO160"/>
    <w:link w:val="PO163"/>
    <w:uiPriority w:val="162"/>
    <w:rPr>
      <w:b w:val="1"/>
    </w:rPr>
  </w:style>
  <w:style w:customStyle="1" w:styleId="PO163" w:type="character">
    <w:name w:val="Comment Subject Char"/>
    <w:basedOn w:val="PO161"/>
    <w:link w:val="PO162"/>
    <w:uiPriority w:val="163"/>
    <w:rPr>
      <w:b w:val="1"/>
    </w:rPr>
  </w:style>
  <w:style w:styleId="PO164" w:type="paragraph">
    <w:name w:val="Balloon Text"/>
    <w:basedOn w:val="PO1"/>
    <w:link w:val="PO165"/>
    <w:uiPriority w:val="164"/>
    <w:rPr>
      <w:sz w:val="16"/>
      <w:szCs w:val="16"/>
      <w:rFonts w:ascii="Tahoma" w:hAnsi="Tahoma" w:cs="Tahoma"/>
    </w:rPr>
  </w:style>
  <w:style w:customStyle="1" w:styleId="PO165" w:type="character">
    <w:name w:val="Balloon Text Char"/>
    <w:basedOn w:val="PO2"/>
    <w:link w:val="PO164"/>
    <w:uiPriority w:val="165"/>
    <w:rPr>
      <w:sz w:val="16"/>
      <w:szCs w:val="16"/>
      <w:rFonts w:ascii="Tahoma" w:hAnsi="Tahoma" w:cs="Tahoma"/>
    </w:rPr>
  </w:style>
  <w:style w:customStyle="1" w:styleId="PO166" w:type="character">
    <w:name w:val="Heading 1 Char"/>
    <w:basedOn w:val="PO2"/>
    <w:link w:val="PO7"/>
    <w:uiPriority w:val="166"/>
    <w:rPr>
      <w:color w:val="366091" w:themeColor="accent1" w:themeShade="BF"/>
      <w:sz w:val="32"/>
      <w:szCs w:val="32"/>
      <w:rFonts w:asciiTheme="majorHAnsi" w:eastAsiaTheme="majorEastAsia" w:hAnsiTheme="majorHAnsi" w:cstheme="majorBidi"/>
    </w:rPr>
  </w:style>
  <w:style w:styleId="PO167" w:type="character">
    <w:name w:val="Hyperlink"/>
    <w:basedOn w:val="PO2"/>
    <w:uiPriority w:val="167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customXml" Target="../customXml/item1.xml"></Relationship><Relationship Id="rId6" Type="http://schemas.openxmlformats.org/officeDocument/2006/relationships/header" Target="header2.xml"></Relationship><Relationship Id="rId7" Type="http://schemas.openxmlformats.org/officeDocument/2006/relationships/footer" Target="footer8.xml"></Relationship><Relationship Id="rId8" Type="http://schemas.openxmlformats.org/officeDocument/2006/relationships/header" Target="header3.xml"></Relationship><Relationship Id="rId9" Type="http://schemas.openxmlformats.org/officeDocument/2006/relationships/footer" Target="footer9.xml"></Relationship><Relationship Id="rId10" Type="http://schemas.openxmlformats.org/officeDocument/2006/relationships/numbering" Target="numbering.xml"></Relationship><Relationship Id="rId11" Type="http://schemas.openxmlformats.org/officeDocument/2006/relationships/theme" Target="theme/theme1.xml"></Relationship></Relationships>
</file>

<file path=word/_rels/header3.xml.rels><?xml version="1.0" encoding="UTF-8"?>
<Relationships xmlns="http://schemas.openxmlformats.org/package/2006/relationships"><Relationship Id="rId1" Type="http://schemas.openxmlformats.org/officeDocument/2006/relationships/image" Target="media/image1.jpeg"></Relationship><Relationship Id="rId2" Type="http://schemas.openxmlformats.org/officeDocument/2006/relationships/image" Target="media/image2.png"></Relationship><Relationship Id="rId3" Type="http://schemas.openxmlformats.org/officeDocument/2006/relationships/image" Target="media/image1.jpeg"></Relationship><Relationship Id="rId4" Type="http://schemas.openxmlformats.org/officeDocument/2006/relationships/image" Target="media/image2.png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4AEA-9784-4436-A8CD-5B52A603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Department of Foreign Affairs and Trade</Company>
  <DocSecurity>0</DocSecurity>
  <HyperlinksChanged>false</HyperlinksChanged>
  <Lines>10</Lines>
  <LinksUpToDate>false</LinksUpToDate>
  <Pages>1</Pages>
  <Paragraphs>3</Paragraphs>
  <Words>226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Hill, Emily</dc:creator>
  <cp:lastModifiedBy>Docs@Work</cp:lastModifiedBy>
  <dcterms:modified xsi:type="dcterms:W3CDTF">2020-10-02T08:33:00Z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15e9c493-4686-4d64-bc45-f64d2b2e0257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6" name="SEC">
    <vt:lpwstr>OFFICIAL</vt:lpwstr>
  </property>
  <property fmtid="{D5CDD505-2E9C-101B-9397-08002B2CF9AE}" pid="7" name="DLM">
    <vt:lpwstr>No DLM</vt:lpwstr>
  </property>
</Properties>
</file>