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38872" w14:textId="32757387" w:rsidR="00383ED9" w:rsidRDefault="00E912A9" w:rsidP="00D660C4">
      <w:pPr>
        <w:rPr>
          <w:rFonts w:cstheme="minorHAnsi"/>
          <w:b/>
          <w:bCs/>
          <w:color w:val="2F5496" w:themeColor="accent1" w:themeShade="BF"/>
          <w:sz w:val="32"/>
          <w:szCs w:val="32"/>
        </w:rPr>
      </w:pPr>
      <w:r w:rsidRPr="000A31EE">
        <w:rPr>
          <w:rFonts w:cstheme="minorHAnsi"/>
          <w:b/>
          <w:bCs/>
          <w:color w:val="2F5496" w:themeColor="accent1" w:themeShade="BF"/>
          <w:sz w:val="32"/>
          <w:szCs w:val="32"/>
        </w:rPr>
        <w:t>Management Response to the Evaluation of the Health Security Initiative’s Applied Research Program</w:t>
      </w:r>
    </w:p>
    <w:p w14:paraId="720ECF61" w14:textId="77777777" w:rsidR="000A31EE" w:rsidRPr="000A31EE" w:rsidRDefault="000A31EE" w:rsidP="00D660C4">
      <w:pPr>
        <w:rPr>
          <w:rFonts w:cstheme="minorHAnsi"/>
          <w:b/>
          <w:bCs/>
          <w:color w:val="2F5496" w:themeColor="accent1" w:themeShade="BF"/>
          <w:sz w:val="32"/>
          <w:szCs w:val="32"/>
        </w:rPr>
      </w:pPr>
    </w:p>
    <w:p w14:paraId="34C49E87" w14:textId="77777777" w:rsidR="004713FC" w:rsidRPr="00D37E23" w:rsidRDefault="004713FC" w:rsidP="000A31EE">
      <w:pPr>
        <w:jc w:val="center"/>
        <w:rPr>
          <w:rFonts w:cstheme="minorHAnsi"/>
          <w:b/>
          <w:bCs/>
          <w:color w:val="44546A"/>
          <w:sz w:val="28"/>
          <w:szCs w:val="28"/>
        </w:rPr>
      </w:pPr>
      <w:r w:rsidRPr="00D37E23">
        <w:rPr>
          <w:rFonts w:cstheme="minorHAnsi"/>
          <w:b/>
          <w:bCs/>
          <w:color w:val="44546A"/>
          <w:sz w:val="28"/>
          <w:szCs w:val="28"/>
        </w:rPr>
        <w:t>Evaluation Overview</w:t>
      </w:r>
    </w:p>
    <w:p w14:paraId="7602726A" w14:textId="77777777" w:rsidR="004713FC" w:rsidRPr="00D37E23" w:rsidRDefault="004713FC" w:rsidP="004713FC">
      <w:pPr>
        <w:rPr>
          <w:rFonts w:cstheme="minorHAnsi"/>
        </w:rPr>
      </w:pPr>
      <w:r w:rsidRPr="00D37E23">
        <w:rPr>
          <w:rFonts w:cstheme="minorHAnsi"/>
        </w:rPr>
        <w:t>The Australian Government’s Health Security Initiative (HSI) Applied Research Program was a five-year investment (2017-2023) administered by the Department of Foreign Affairs and Trade (DFAT), aimed at promoting applied health research to strengthen health security systems across the Indo-Pacific. The AUD31 million program supported 16 research projects through two funding streams: the Stronger Systems for Health Security (SSHS) Program and co-funding with the Australian Centre for International Agriculture Research (ACIAR) under the Research for One Health for Systems Strengthening (ROHSS) program.</w:t>
      </w:r>
    </w:p>
    <w:p w14:paraId="56EC3063" w14:textId="06FD823E" w:rsidR="004713FC" w:rsidRPr="00D37E23" w:rsidRDefault="6AC92E34" w:rsidP="5459D7DB">
      <w:r>
        <w:t>In 2024, DFAT commissioned an independent evaluation to assess the program’s progress, achievements, and alignment with its end-of-program outcomes (EOPOs). The evaluation covered seven areas of inquiry: effectiveness, efficiency, relevance, sustainability, gender equality</w:t>
      </w:r>
      <w:r w:rsidR="691F76A7">
        <w:t>,</w:t>
      </w:r>
      <w:r>
        <w:t xml:space="preserve"> disability</w:t>
      </w:r>
      <w:r w:rsidR="4F6DD820">
        <w:t xml:space="preserve"> and social</w:t>
      </w:r>
      <w:r>
        <w:t xml:space="preserve"> inclusion (GEDSI), monitoring and evaluation (M&amp;E), and policy impact. The evaluation employed qualitative methods, including document review, key informant interviews, and country case studies in Fiji and Indonesia.</w:t>
      </w:r>
    </w:p>
    <w:p w14:paraId="58BBA9FF" w14:textId="733F3609" w:rsidR="00D37E23" w:rsidRDefault="004713FC" w:rsidP="00D37E23">
      <w:pPr>
        <w:rPr>
          <w:rFonts w:cstheme="minorHAnsi"/>
        </w:rPr>
      </w:pPr>
      <w:r w:rsidRPr="00D37E23">
        <w:rPr>
          <w:rFonts w:cstheme="minorHAnsi"/>
        </w:rPr>
        <w:t>The evaluation identified areas of significant achievement but also noted opportunities for improvement, particularly in strengthening M&amp;E systems and the integration of GEDSI principles across projects.</w:t>
      </w:r>
      <w:r w:rsidR="00C94910">
        <w:rPr>
          <w:rFonts w:cstheme="minorHAnsi"/>
        </w:rPr>
        <w:t xml:space="preserve"> </w:t>
      </w:r>
      <w:r w:rsidR="004E7014">
        <w:rPr>
          <w:rFonts w:cstheme="minorHAnsi"/>
        </w:rPr>
        <w:t xml:space="preserve">DFAT accepts all recommendations. </w:t>
      </w:r>
    </w:p>
    <w:p w14:paraId="608C1D7F" w14:textId="1446A65D" w:rsidR="00C94910" w:rsidRDefault="004E7014" w:rsidP="5459D7DB">
      <w:r>
        <w:t>A</w:t>
      </w:r>
      <w:r w:rsidR="357101A9">
        <w:t>lthough</w:t>
      </w:r>
      <w:r>
        <w:t xml:space="preserve"> the </w:t>
      </w:r>
      <w:r w:rsidR="4EF7D6EB">
        <w:t xml:space="preserve">HSI </w:t>
      </w:r>
      <w:r w:rsidR="00057F72">
        <w:t xml:space="preserve">has </w:t>
      </w:r>
      <w:r w:rsidR="39882BBE">
        <w:t>now concluded</w:t>
      </w:r>
      <w:r>
        <w:t>, recommendations from this evaluation are being addressed in current programming</w:t>
      </w:r>
      <w:r w:rsidR="00675772">
        <w:t xml:space="preserve"> where relevant</w:t>
      </w:r>
      <w:r>
        <w:t xml:space="preserve">. </w:t>
      </w:r>
      <w:r w:rsidR="00861DB8">
        <w:t xml:space="preserve">Although not research-focused, </w:t>
      </w:r>
      <w:r w:rsidR="00C94910">
        <w:t>Partnerships for a Healthy Region (PHR)</w:t>
      </w:r>
      <w:r w:rsidR="00A1693F">
        <w:t>,</w:t>
      </w:r>
      <w:r w:rsidR="00C94910">
        <w:t xml:space="preserve"> the Australian Government’s $620 million </w:t>
      </w:r>
      <w:r>
        <w:t xml:space="preserve">regional </w:t>
      </w:r>
      <w:r w:rsidR="00C94910">
        <w:t>health initiative</w:t>
      </w:r>
      <w:r w:rsidR="00A1693F">
        <w:t>,</w:t>
      </w:r>
      <w:r w:rsidR="00C94910">
        <w:t xml:space="preserve"> has incorporated </w:t>
      </w:r>
      <w:proofErr w:type="gramStart"/>
      <w:r w:rsidR="00C94910">
        <w:t>a number of</w:t>
      </w:r>
      <w:proofErr w:type="gramEnd"/>
      <w:r w:rsidR="00C94910">
        <w:t xml:space="preserve"> the </w:t>
      </w:r>
      <w:r w:rsidR="1C882A77">
        <w:t>recommendations made</w:t>
      </w:r>
      <w:r w:rsidR="1F48958F">
        <w:t xml:space="preserve"> by</w:t>
      </w:r>
      <w:r w:rsidR="00C94910">
        <w:t xml:space="preserve"> the evaluation. </w:t>
      </w:r>
      <w:r w:rsidR="00CB25C6">
        <w:t>Under PHR</w:t>
      </w:r>
      <w:r w:rsidR="4DA29912">
        <w:t>,</w:t>
      </w:r>
      <w:r w:rsidR="0925D4E8">
        <w:t xml:space="preserve"> </w:t>
      </w:r>
      <w:r w:rsidR="68FE4454">
        <w:t>DFAT has partnered again with the University of Sydney (V-RESIST and WISH-FIJI; now WISH PACIFIC); Menzies School of Health Research (STRONG TL; now RESPOND); Burnet Institute (STRIVE PNG)</w:t>
      </w:r>
      <w:r w:rsidR="00432046">
        <w:t xml:space="preserve">, </w:t>
      </w:r>
      <w:proofErr w:type="spellStart"/>
      <w:r w:rsidR="00432046">
        <w:t>ADDEpt</w:t>
      </w:r>
      <w:proofErr w:type="spellEnd"/>
      <w:r w:rsidR="00432046">
        <w:t xml:space="preserve"> (now FEiA)</w:t>
      </w:r>
      <w:r w:rsidR="00124D14">
        <w:t>,</w:t>
      </w:r>
      <w:r w:rsidR="00CB25C6">
        <w:t xml:space="preserve"> and ACIAR</w:t>
      </w:r>
      <w:r w:rsidRPr="734EF158">
        <w:rPr>
          <w:rStyle w:val="FootnoteReference"/>
        </w:rPr>
        <w:footnoteReference w:id="2"/>
      </w:r>
      <w:r w:rsidR="7F39139B">
        <w:t>.</w:t>
      </w:r>
    </w:p>
    <w:p w14:paraId="4A05F128" w14:textId="3F95A848" w:rsidR="00D37E23" w:rsidRDefault="00D37E23" w:rsidP="5A6EAA38">
      <w:pPr>
        <w:pStyle w:val="Heading1"/>
        <w:rPr>
          <w:rFonts w:cstheme="minorBidi"/>
        </w:rPr>
      </w:pPr>
    </w:p>
    <w:p w14:paraId="1F36C9F1" w14:textId="04DA694A" w:rsidR="003D60F5" w:rsidRPr="00D37E23" w:rsidRDefault="00503AD4" w:rsidP="000A31EE">
      <w:pPr>
        <w:pStyle w:val="Heading1"/>
      </w:pPr>
      <w:r w:rsidRPr="00D37E23">
        <w:t>Key findings</w:t>
      </w:r>
    </w:p>
    <w:p w14:paraId="2A0B009D" w14:textId="77777777" w:rsidR="00D37E23" w:rsidRPr="00D37E23" w:rsidRDefault="00D37E23" w:rsidP="00D37E23">
      <w:pPr>
        <w:pStyle w:val="NormalWeb"/>
        <w:rPr>
          <w:rFonts w:asciiTheme="minorHAnsi" w:hAnsiTheme="minorHAnsi" w:cstheme="minorHAnsi"/>
          <w:sz w:val="22"/>
          <w:szCs w:val="22"/>
        </w:rPr>
      </w:pPr>
      <w:r w:rsidRPr="00D37E23">
        <w:rPr>
          <w:rFonts w:asciiTheme="minorHAnsi" w:hAnsiTheme="minorHAnsi" w:cstheme="minorHAnsi"/>
          <w:sz w:val="22"/>
          <w:szCs w:val="22"/>
        </w:rPr>
        <w:lastRenderedPageBreak/>
        <w:t>The evaluation found that the HSI Applied Research Program contributed significantly to regional health security but highlighted several key areas where program design and management could be improved:</w:t>
      </w:r>
    </w:p>
    <w:p w14:paraId="03235663" w14:textId="77777777" w:rsidR="00D37E23" w:rsidRPr="00D37E23" w:rsidRDefault="00D37E23" w:rsidP="00D37E23">
      <w:pPr>
        <w:pStyle w:val="Heading5"/>
        <w:spacing w:line="240" w:lineRule="auto"/>
        <w:contextualSpacing/>
        <w:rPr>
          <w:rFonts w:asciiTheme="minorHAnsi" w:hAnsiTheme="minorHAnsi" w:cstheme="minorHAnsi"/>
        </w:rPr>
      </w:pPr>
      <w:r w:rsidRPr="00D37E23">
        <w:rPr>
          <w:rStyle w:val="Strong"/>
          <w:rFonts w:asciiTheme="minorHAnsi" w:hAnsiTheme="minorHAnsi" w:cstheme="minorHAnsi"/>
          <w:b w:val="0"/>
          <w:bCs w:val="0"/>
        </w:rPr>
        <w:t>Effectiveness</w:t>
      </w:r>
    </w:p>
    <w:p w14:paraId="7DB5D526" w14:textId="4AAB26DA" w:rsidR="00D37E23" w:rsidRPr="00D37E23" w:rsidRDefault="00D37E23" w:rsidP="00D37E23">
      <w:r w:rsidRPr="00D37E23">
        <w:t xml:space="preserve">The evaluation found that many projects under the SSHS and ROHSS streams contributed to improved health security in the region, particularly using the </w:t>
      </w:r>
      <w:r w:rsidRPr="00D37E23">
        <w:rPr>
          <w:rStyle w:val="Strong"/>
          <w:rFonts w:cstheme="minorHAnsi"/>
          <w:b w:val="0"/>
          <w:bCs w:val="0"/>
        </w:rPr>
        <w:t>One Health</w:t>
      </w:r>
      <w:r w:rsidRPr="00D37E23">
        <w:t xml:space="preserve"> approach, which effectively engaged multiple sectors in addressing health threats. However, the evaluation noted that not all projects were equally successful in achieving their intended outcomes, especially in areas where clear </w:t>
      </w:r>
      <w:r w:rsidRPr="00D37E23">
        <w:rPr>
          <w:rStyle w:val="Strong"/>
          <w:rFonts w:cstheme="minorHAnsi"/>
          <w:b w:val="0"/>
          <w:bCs w:val="0"/>
        </w:rPr>
        <w:t>Monitoring and Evaluation (M&amp;E)</w:t>
      </w:r>
      <w:r w:rsidRPr="00D37E23">
        <w:rPr>
          <w:b/>
          <w:bCs/>
        </w:rPr>
        <w:t xml:space="preserve"> </w:t>
      </w:r>
      <w:r w:rsidRPr="00D37E23">
        <w:t>systems were lacking.</w:t>
      </w:r>
    </w:p>
    <w:p w14:paraId="43BF140F" w14:textId="77777777" w:rsidR="00D37E23" w:rsidRPr="00D37E23" w:rsidRDefault="00D37E23" w:rsidP="00D37E23">
      <w:pPr>
        <w:pStyle w:val="Heading5"/>
        <w:spacing w:line="240" w:lineRule="auto"/>
        <w:contextualSpacing/>
        <w:rPr>
          <w:rFonts w:asciiTheme="minorHAnsi" w:hAnsiTheme="minorHAnsi" w:cstheme="minorHAnsi"/>
        </w:rPr>
      </w:pPr>
      <w:r w:rsidRPr="00D37E23">
        <w:rPr>
          <w:rStyle w:val="Strong"/>
          <w:rFonts w:asciiTheme="minorHAnsi" w:hAnsiTheme="minorHAnsi" w:cstheme="minorHAnsi"/>
          <w:b w:val="0"/>
          <w:bCs w:val="0"/>
        </w:rPr>
        <w:t>Efficiency</w:t>
      </w:r>
    </w:p>
    <w:p w14:paraId="14715A98" w14:textId="77777777" w:rsidR="00D37E23" w:rsidRPr="00D37E23" w:rsidRDefault="00D37E23" w:rsidP="00D37E23">
      <w:r w:rsidRPr="00D37E23">
        <w:t>The evaluation found that DFAT’s flexible management approach, particularly during the COVID-19 pandemic, allowed projects to pivot effectively and continue making progress. However, the efficiency of project delivery was hindered in some cases by gaps in M&amp;E reporting and inconsistencies in collaboration between projects.</w:t>
      </w:r>
    </w:p>
    <w:p w14:paraId="5BAD3636" w14:textId="77777777" w:rsidR="00D37E23" w:rsidRPr="00D37E23" w:rsidRDefault="00D37E23" w:rsidP="00D37E23">
      <w:pPr>
        <w:pStyle w:val="Heading5"/>
        <w:spacing w:line="240" w:lineRule="auto"/>
        <w:contextualSpacing/>
        <w:rPr>
          <w:rFonts w:asciiTheme="minorHAnsi" w:hAnsiTheme="minorHAnsi" w:cstheme="minorHAnsi"/>
        </w:rPr>
      </w:pPr>
      <w:r w:rsidRPr="00D37E23">
        <w:rPr>
          <w:rStyle w:val="Strong"/>
          <w:rFonts w:asciiTheme="minorHAnsi" w:hAnsiTheme="minorHAnsi" w:cstheme="minorHAnsi"/>
          <w:b w:val="0"/>
          <w:bCs w:val="0"/>
        </w:rPr>
        <w:t>GEDSI Integration</w:t>
      </w:r>
    </w:p>
    <w:p w14:paraId="1F0589EA" w14:textId="1FB93020" w:rsidR="00D37E23" w:rsidRPr="00D37E23" w:rsidRDefault="10385EFE" w:rsidP="00D37E23">
      <w:proofErr w:type="gramStart"/>
      <w:r>
        <w:t>W</w:t>
      </w:r>
      <w:r w:rsidR="3A50B4ED">
        <w:t>ith the exception of</w:t>
      </w:r>
      <w:proofErr w:type="gramEnd"/>
      <w:r>
        <w:t xml:space="preserve"> </w:t>
      </w:r>
      <w:r w:rsidR="00136258">
        <w:t xml:space="preserve">some </w:t>
      </w:r>
      <w:r>
        <w:t xml:space="preserve">projects, such as </w:t>
      </w:r>
      <w:r w:rsidRPr="24A718C4">
        <w:rPr>
          <w:rStyle w:val="Strong"/>
          <w:b w:val="0"/>
          <w:bCs w:val="0"/>
        </w:rPr>
        <w:t>WISH-Fiji</w:t>
      </w:r>
      <w:r w:rsidR="6689D16A" w:rsidRPr="24A718C4">
        <w:rPr>
          <w:rStyle w:val="Strong"/>
          <w:b w:val="0"/>
          <w:bCs w:val="0"/>
        </w:rPr>
        <w:t xml:space="preserve"> </w:t>
      </w:r>
      <w:r w:rsidR="00057F72">
        <w:rPr>
          <w:rStyle w:val="Strong"/>
          <w:b w:val="0"/>
          <w:bCs w:val="0"/>
        </w:rPr>
        <w:t>which</w:t>
      </w:r>
      <w:r w:rsidR="00057F72" w:rsidRPr="24A718C4">
        <w:rPr>
          <w:rStyle w:val="Strong"/>
          <w:b w:val="0"/>
          <w:bCs w:val="0"/>
        </w:rPr>
        <w:t xml:space="preserve"> </w:t>
      </w:r>
      <w:r>
        <w:t>demonstrated strong gender</w:t>
      </w:r>
      <w:r w:rsidR="00C07211">
        <w:t xml:space="preserve"> </w:t>
      </w:r>
      <w:r>
        <w:t>outcomes</w:t>
      </w:r>
      <w:r w:rsidR="548185FD">
        <w:t xml:space="preserve"> and STRIVE-PNG </w:t>
      </w:r>
      <w:r w:rsidR="00057F72">
        <w:t xml:space="preserve">which </w:t>
      </w:r>
      <w:r w:rsidR="548185FD">
        <w:t xml:space="preserve">made </w:t>
      </w:r>
      <w:r w:rsidR="7F649F3A">
        <w:t>good progress on</w:t>
      </w:r>
      <w:r w:rsidR="548185FD">
        <w:t xml:space="preserve"> integrat</w:t>
      </w:r>
      <w:r w:rsidR="5535CA38">
        <w:t xml:space="preserve">ing </w:t>
      </w:r>
      <w:r w:rsidR="548185FD">
        <w:t>disability into their program</w:t>
      </w:r>
      <w:r>
        <w:t xml:space="preserve">, the evaluation found that the integration of gender equality, disability and social inclusion (GEDSI) across the program was </w:t>
      </w:r>
      <w:r w:rsidR="504F41E2">
        <w:t>inconsistent</w:t>
      </w:r>
      <w:r>
        <w:t>. Many projects did not fully incorporate GEDSI considerations during the design phase</w:t>
      </w:r>
      <w:r w:rsidR="328F340A">
        <w:t xml:space="preserve"> of individual projects</w:t>
      </w:r>
      <w:r>
        <w:t>, limiting their impact in these areas.</w:t>
      </w:r>
    </w:p>
    <w:p w14:paraId="328896BF" w14:textId="77777777" w:rsidR="00D37E23" w:rsidRPr="00D37E23" w:rsidRDefault="00D37E23" w:rsidP="00D37E23">
      <w:pPr>
        <w:pStyle w:val="Heading5"/>
        <w:spacing w:line="240" w:lineRule="auto"/>
        <w:contextualSpacing/>
        <w:rPr>
          <w:rFonts w:asciiTheme="minorHAnsi" w:hAnsiTheme="minorHAnsi" w:cstheme="minorHAnsi"/>
        </w:rPr>
      </w:pPr>
      <w:r w:rsidRPr="00D37E23">
        <w:rPr>
          <w:rStyle w:val="Strong"/>
          <w:rFonts w:asciiTheme="minorHAnsi" w:hAnsiTheme="minorHAnsi" w:cstheme="minorHAnsi"/>
          <w:b w:val="0"/>
          <w:bCs w:val="0"/>
        </w:rPr>
        <w:t>Sustainability</w:t>
      </w:r>
    </w:p>
    <w:p w14:paraId="3D0BF4D4" w14:textId="6D071355" w:rsidR="00D37E23" w:rsidRPr="00D37E23" w:rsidRDefault="5CCD2EAE" w:rsidP="00D37E23">
      <w:r>
        <w:t xml:space="preserve">The evaluation highlighted that while many investments contributed to long-term health system strengthening, not all projects had explicit sustainability plans in place. The evaluation recommended that future investments should incorporate sustainability strategies to ensure that health security gains are </w:t>
      </w:r>
      <w:r w:rsidR="3DC53877">
        <w:t>institutionali</w:t>
      </w:r>
      <w:r w:rsidR="65E0D040">
        <w:t>s</w:t>
      </w:r>
      <w:r w:rsidR="3DC53877">
        <w:t>ed</w:t>
      </w:r>
      <w:r>
        <w:t xml:space="preserve"> and continue beyond the life of the projects.</w:t>
      </w:r>
    </w:p>
    <w:p w14:paraId="0EBC41E2" w14:textId="77777777" w:rsidR="00D37E23" w:rsidRPr="00D37E23" w:rsidRDefault="00D37E23" w:rsidP="00D37E23">
      <w:pPr>
        <w:pStyle w:val="Heading5"/>
        <w:spacing w:line="240" w:lineRule="auto"/>
        <w:contextualSpacing/>
        <w:rPr>
          <w:rFonts w:asciiTheme="minorHAnsi" w:hAnsiTheme="minorHAnsi" w:cstheme="minorHAnsi"/>
        </w:rPr>
      </w:pPr>
      <w:r w:rsidRPr="00D37E23">
        <w:rPr>
          <w:rStyle w:val="Strong"/>
          <w:rFonts w:asciiTheme="minorHAnsi" w:hAnsiTheme="minorHAnsi" w:cstheme="minorHAnsi"/>
          <w:b w:val="0"/>
          <w:bCs w:val="0"/>
        </w:rPr>
        <w:t>Relevance</w:t>
      </w:r>
    </w:p>
    <w:p w14:paraId="67383EE9" w14:textId="1EA3DF53" w:rsidR="00D37E23" w:rsidRPr="00D37E23" w:rsidRDefault="5CCD2EAE" w:rsidP="00D37E23">
      <w:r>
        <w:t xml:space="preserve">The program was well aligned with </w:t>
      </w:r>
      <w:r w:rsidR="04EFAD8D">
        <w:t xml:space="preserve">broad </w:t>
      </w:r>
      <w:r>
        <w:t>national health security priorities in partner countries and Australia's foreign policy goals, particularly in its response to the COVID-19 pandemic. However, some smaller research projects were less relevant to immediate national health security needs, focusing more on academic research than practical applications.</w:t>
      </w:r>
    </w:p>
    <w:p w14:paraId="73D2593E" w14:textId="77777777" w:rsidR="00D37E23" w:rsidRPr="00D37E23" w:rsidRDefault="00D37E23" w:rsidP="00D37E23">
      <w:pPr>
        <w:pStyle w:val="Heading4"/>
        <w:spacing w:line="240" w:lineRule="auto"/>
        <w:contextualSpacing/>
        <w:rPr>
          <w:rFonts w:asciiTheme="minorHAnsi" w:hAnsiTheme="minorHAnsi" w:cstheme="minorHAnsi"/>
        </w:rPr>
      </w:pPr>
      <w:r w:rsidRPr="00D37E23">
        <w:rPr>
          <w:rStyle w:val="Strong"/>
          <w:rFonts w:asciiTheme="minorHAnsi" w:hAnsiTheme="minorHAnsi" w:cstheme="minorHAnsi"/>
          <w:b w:val="0"/>
          <w:bCs w:val="0"/>
        </w:rPr>
        <w:t>Evaluation Limitations</w:t>
      </w:r>
    </w:p>
    <w:p w14:paraId="67B68F3D" w14:textId="62E83E8B" w:rsidR="00D37E23" w:rsidRDefault="00D37E23" w:rsidP="00D37E23">
      <w:r w:rsidRPr="00D37E23">
        <w:t xml:space="preserve">The evaluation encountered </w:t>
      </w:r>
      <w:r>
        <w:t>l</w:t>
      </w:r>
      <w:r w:rsidRPr="00D37E23">
        <w:t>imitations, including reliance on project reporting that was not always comprehensive, the absence of key informants for interviews, and inconsistent use of M&amp;E frameworks across projects. This made it difficult to assess cumulative impact across all projects.</w:t>
      </w:r>
    </w:p>
    <w:p w14:paraId="26835A76" w14:textId="77777777" w:rsidR="00D37E23" w:rsidRDefault="00D37E23" w:rsidP="00D37E23">
      <w:pPr>
        <w:pStyle w:val="NormalWeb"/>
        <w:contextualSpacing/>
        <w:rPr>
          <w:rFonts w:asciiTheme="minorHAnsi" w:hAnsiTheme="minorHAnsi" w:cstheme="minorHAnsi"/>
          <w:sz w:val="22"/>
          <w:szCs w:val="22"/>
        </w:rPr>
      </w:pPr>
    </w:p>
    <w:p w14:paraId="02FA2F69" w14:textId="0E0E83C8" w:rsidR="00D37E23" w:rsidRPr="00D37E23" w:rsidRDefault="00D37E23" w:rsidP="24A718C4">
      <w:pPr>
        <w:pStyle w:val="Heading1"/>
        <w:rPr>
          <w:rStyle w:val="Strong"/>
          <w:b/>
          <w:bCs/>
        </w:rPr>
      </w:pPr>
      <w:r w:rsidRPr="24A718C4">
        <w:rPr>
          <w:rStyle w:val="Strong"/>
          <w:b/>
          <w:bCs/>
        </w:rPr>
        <w:t>Management Response to the Evaluation Recommendations</w:t>
      </w:r>
    </w:p>
    <w:tbl>
      <w:tblPr>
        <w:tblW w:w="10207" w:type="dxa"/>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1"/>
        <w:gridCol w:w="2504"/>
        <w:gridCol w:w="4622"/>
      </w:tblGrid>
      <w:tr w:rsidR="000A31EE" w:rsidRPr="00D37E23" w14:paraId="7C2D2DD9" w14:textId="77777777" w:rsidTr="24A718C4">
        <w:trPr>
          <w:trHeight w:val="300"/>
          <w:tblHeader/>
          <w:tblCellSpacing w:w="15" w:type="dxa"/>
        </w:trPr>
        <w:tc>
          <w:tcPr>
            <w:tcW w:w="3060" w:type="dxa"/>
            <w:shd w:val="clear" w:color="auto" w:fill="F7CAAC" w:themeFill="accent2" w:themeFillTint="66"/>
            <w:vAlign w:val="center"/>
            <w:hideMark/>
          </w:tcPr>
          <w:p w14:paraId="352A3D05" w14:textId="77777777" w:rsidR="000A31EE" w:rsidRPr="00D37E23" w:rsidRDefault="000A31EE" w:rsidP="00D37E23">
            <w:r w:rsidRPr="00D37E23">
              <w:rPr>
                <w:rStyle w:val="Strong"/>
                <w:rFonts w:cstheme="minorHAnsi"/>
              </w:rPr>
              <w:t>Recommendation</w:t>
            </w:r>
          </w:p>
        </w:tc>
        <w:tc>
          <w:tcPr>
            <w:tcW w:w="2505" w:type="dxa"/>
            <w:shd w:val="clear" w:color="auto" w:fill="F7CAAC" w:themeFill="accent2" w:themeFillTint="66"/>
            <w:vAlign w:val="center"/>
          </w:tcPr>
          <w:p w14:paraId="3AD34AB0" w14:textId="050D30AD" w:rsidR="31472B08" w:rsidRDefault="31472B08" w:rsidP="24A718C4">
            <w:pPr>
              <w:rPr>
                <w:rStyle w:val="Strong"/>
              </w:rPr>
            </w:pPr>
            <w:r w:rsidRPr="24A718C4">
              <w:rPr>
                <w:rStyle w:val="Strong"/>
              </w:rPr>
              <w:t>Response</w:t>
            </w:r>
          </w:p>
        </w:tc>
        <w:tc>
          <w:tcPr>
            <w:tcW w:w="4642" w:type="dxa"/>
            <w:shd w:val="clear" w:color="auto" w:fill="F7CAAC" w:themeFill="accent2" w:themeFillTint="66"/>
            <w:vAlign w:val="center"/>
            <w:hideMark/>
          </w:tcPr>
          <w:p w14:paraId="3FE7B7AC" w14:textId="7DFF90E7" w:rsidR="000A31EE" w:rsidRPr="00D37E23" w:rsidRDefault="31472B08" w:rsidP="000A31EE">
            <w:pPr>
              <w:jc w:val="center"/>
            </w:pPr>
            <w:r w:rsidRPr="24A718C4">
              <w:rPr>
                <w:rStyle w:val="Strong"/>
              </w:rPr>
              <w:t>Explanation</w:t>
            </w:r>
            <w:r w:rsidR="000A31EE" w:rsidRPr="24A718C4">
              <w:rPr>
                <w:rStyle w:val="Strong"/>
              </w:rPr>
              <w:t xml:space="preserve"> and Next Steps</w:t>
            </w:r>
          </w:p>
        </w:tc>
      </w:tr>
      <w:tr w:rsidR="000A31EE" w:rsidRPr="00D37E23" w14:paraId="07EBE1BA" w14:textId="77777777" w:rsidTr="003B4230">
        <w:trPr>
          <w:trHeight w:val="300"/>
          <w:tblCellSpacing w:w="15" w:type="dxa"/>
        </w:trPr>
        <w:tc>
          <w:tcPr>
            <w:tcW w:w="3060" w:type="dxa"/>
            <w:tcBorders>
              <w:top w:val="single" w:sz="4" w:space="0" w:color="auto"/>
              <w:left w:val="single" w:sz="4" w:space="0" w:color="auto"/>
              <w:bottom w:val="single" w:sz="4" w:space="0" w:color="auto"/>
              <w:right w:val="single" w:sz="4" w:space="0" w:color="auto"/>
            </w:tcBorders>
            <w:vAlign w:val="center"/>
            <w:hideMark/>
          </w:tcPr>
          <w:p w14:paraId="6C44CB86" w14:textId="77777777" w:rsidR="000A31EE" w:rsidRPr="00D37E23" w:rsidRDefault="000A31EE" w:rsidP="00D37E23">
            <w:r w:rsidRPr="00D37E23">
              <w:rPr>
                <w:rStyle w:val="Strong"/>
                <w:rFonts w:cstheme="minorHAnsi"/>
              </w:rPr>
              <w:t>Recommendation 1</w:t>
            </w:r>
            <w:r w:rsidRPr="00D37E23">
              <w:t xml:space="preserve">: Australia’s future investment in applied health research and One Health should include explicit focus on </w:t>
            </w:r>
            <w:r w:rsidRPr="00D37E23">
              <w:lastRenderedPageBreak/>
              <w:t>strengthening institutional research capacity and local leadership in national contexts for sustained systems strengthening and health security.</w:t>
            </w:r>
          </w:p>
        </w:tc>
        <w:tc>
          <w:tcPr>
            <w:tcW w:w="2505" w:type="dxa"/>
            <w:tcBorders>
              <w:top w:val="single" w:sz="4" w:space="0" w:color="auto"/>
              <w:left w:val="single" w:sz="4" w:space="0" w:color="auto"/>
              <w:bottom w:val="single" w:sz="4" w:space="0" w:color="auto"/>
              <w:right w:val="single" w:sz="4" w:space="0" w:color="auto"/>
            </w:tcBorders>
            <w:vAlign w:val="center"/>
          </w:tcPr>
          <w:p w14:paraId="2C1C1EEF" w14:textId="18EF7C88" w:rsidR="3A1B614E" w:rsidRDefault="3A1B614E" w:rsidP="24A718C4">
            <w:pPr>
              <w:jc w:val="center"/>
              <w:rPr>
                <w:rStyle w:val="Strong"/>
              </w:rPr>
            </w:pPr>
            <w:r w:rsidRPr="24A718C4">
              <w:rPr>
                <w:rStyle w:val="Strong"/>
              </w:rPr>
              <w:lastRenderedPageBreak/>
              <w:t>ACCEPT</w:t>
            </w:r>
          </w:p>
        </w:tc>
        <w:tc>
          <w:tcPr>
            <w:tcW w:w="4642" w:type="dxa"/>
            <w:tcBorders>
              <w:top w:val="single" w:sz="4" w:space="0" w:color="auto"/>
              <w:left w:val="single" w:sz="4" w:space="0" w:color="auto"/>
              <w:bottom w:val="single" w:sz="4" w:space="0" w:color="auto"/>
              <w:right w:val="single" w:sz="4" w:space="0" w:color="auto"/>
            </w:tcBorders>
            <w:vAlign w:val="center"/>
            <w:hideMark/>
          </w:tcPr>
          <w:p w14:paraId="1FFE25E5" w14:textId="2A679D25" w:rsidR="000A31EE" w:rsidRDefault="000A31EE" w:rsidP="00D37E23">
            <w:r>
              <w:t xml:space="preserve">The evaluation highlighted </w:t>
            </w:r>
            <w:proofErr w:type="gramStart"/>
            <w:r>
              <w:t>that investments</w:t>
            </w:r>
            <w:proofErr w:type="gramEnd"/>
            <w:r>
              <w:t xml:space="preserve"> contributed to capacity building, particularly in surveillance systems, laboratory upgrades, and training for local researchers. However, </w:t>
            </w:r>
            <w:r>
              <w:lastRenderedPageBreak/>
              <w:t xml:space="preserve">sustainability of these outcomes remains uncertain without further institutional support and leadership development. </w:t>
            </w:r>
          </w:p>
          <w:p w14:paraId="7957D83E" w14:textId="1B55081E" w:rsidR="000A31EE" w:rsidRPr="00D37E23" w:rsidRDefault="0401AB36" w:rsidP="00D37E23">
            <w:r>
              <w:t xml:space="preserve">Partners </w:t>
            </w:r>
            <w:r w:rsidR="00413C9B">
              <w:t>with continued funding</w:t>
            </w:r>
            <w:r w:rsidR="003E0901">
              <w:t xml:space="preserve"> </w:t>
            </w:r>
            <w:r>
              <w:t xml:space="preserve">under </w:t>
            </w:r>
            <w:r w:rsidR="000A31EE">
              <w:t xml:space="preserve">PHR </w:t>
            </w:r>
            <w:r w:rsidR="5E65FCC3">
              <w:t>have integrated this recommendation into th</w:t>
            </w:r>
            <w:r w:rsidR="00595434">
              <w:t>ei</w:t>
            </w:r>
            <w:r w:rsidR="5E65FCC3">
              <w:t xml:space="preserve">r respective designs to </w:t>
            </w:r>
            <w:r w:rsidR="000A31EE">
              <w:t>build institutional capacity through tailored training programs, mentorship opportunities, and partnerships with local and regional institutions to strengthen leadership and long-term systems capacity.</w:t>
            </w:r>
            <w:r w:rsidR="3F35A836">
              <w:t xml:space="preserve"> DFAT requires all PHR partners to provide MEL plans and reports to ensure these objectives are </w:t>
            </w:r>
            <w:r w:rsidR="1D1F618C">
              <w:t>monitored</w:t>
            </w:r>
            <w:r w:rsidR="3F35A836">
              <w:t>, measured and reported.</w:t>
            </w:r>
          </w:p>
          <w:p w14:paraId="7FC9178F" w14:textId="6CF76EB1" w:rsidR="000A31EE" w:rsidRPr="00D37E23" w:rsidRDefault="000A31EE" w:rsidP="00D37E23"/>
        </w:tc>
      </w:tr>
      <w:tr w:rsidR="000A31EE" w:rsidRPr="00D37E23" w14:paraId="74C0AD1E" w14:textId="77777777" w:rsidTr="24A718C4">
        <w:trPr>
          <w:trHeight w:val="300"/>
          <w:tblCellSpacing w:w="15" w:type="dxa"/>
        </w:trPr>
        <w:tc>
          <w:tcPr>
            <w:tcW w:w="3060" w:type="dxa"/>
            <w:vAlign w:val="center"/>
            <w:hideMark/>
          </w:tcPr>
          <w:p w14:paraId="7F3F5836" w14:textId="77777777" w:rsidR="000A31EE" w:rsidRPr="00D37E23" w:rsidRDefault="000A31EE" w:rsidP="00D37E23">
            <w:r w:rsidRPr="00D37E23">
              <w:rPr>
                <w:rStyle w:val="Strong"/>
                <w:rFonts w:cstheme="minorHAnsi"/>
              </w:rPr>
              <w:lastRenderedPageBreak/>
              <w:t>Recommendation 2</w:t>
            </w:r>
            <w:r w:rsidRPr="00D37E23">
              <w:t>: Australia’s future investments in applied health research and One Health should increase focus on strengthening the research-to-policy interface and policy outcomes.</w:t>
            </w:r>
          </w:p>
        </w:tc>
        <w:tc>
          <w:tcPr>
            <w:tcW w:w="2505" w:type="dxa"/>
            <w:vAlign w:val="center"/>
          </w:tcPr>
          <w:p w14:paraId="3F602FFF" w14:textId="1F83A580" w:rsidR="333796DE" w:rsidRDefault="333796DE" w:rsidP="24A718C4">
            <w:pPr>
              <w:jc w:val="center"/>
              <w:rPr>
                <w:rStyle w:val="Strong"/>
              </w:rPr>
            </w:pPr>
            <w:r w:rsidRPr="24A718C4">
              <w:rPr>
                <w:rStyle w:val="Strong"/>
              </w:rPr>
              <w:t>ACCEPT</w:t>
            </w:r>
          </w:p>
        </w:tc>
        <w:tc>
          <w:tcPr>
            <w:tcW w:w="4642" w:type="dxa"/>
            <w:vAlign w:val="center"/>
            <w:hideMark/>
          </w:tcPr>
          <w:p w14:paraId="394AFEFD" w14:textId="1C30A6CC" w:rsidR="000A31EE" w:rsidRPr="00D37E23" w:rsidRDefault="000A31EE" w:rsidP="00D37E23">
            <w:r>
              <w:t>The evaluation found tha</w:t>
            </w:r>
            <w:r w:rsidR="014BF4AA">
              <w:t>t</w:t>
            </w:r>
            <w:r>
              <w:t xml:space="preserve"> while some projects effectively engaged policymakers, others lacked clear pathways to translate research into actionable policy. A structured focus on policy engagement is needed to enhance research utilisation. </w:t>
            </w:r>
            <w:r w:rsidR="572B783B">
              <w:t>Where research is include</w:t>
            </w:r>
            <w:r w:rsidR="3AB5774C">
              <w:t>d</w:t>
            </w:r>
            <w:r w:rsidR="572B783B">
              <w:t xml:space="preserve"> within programming, </w:t>
            </w:r>
            <w:r>
              <w:t xml:space="preserve">PHR partners are </w:t>
            </w:r>
            <w:r w:rsidR="0AD34B85">
              <w:t xml:space="preserve">asked to </w:t>
            </w:r>
            <w:r>
              <w:t xml:space="preserve">develop mechanisms to </w:t>
            </w:r>
            <w:r w:rsidR="73A691EE">
              <w:t xml:space="preserve">ensure research is action orientated, including to </w:t>
            </w:r>
            <w:r>
              <w:t>strengthen the research-to-policy interface, including structured engagement with policymakers, co-creation of policy briefs, and targeted dissemination of research findings.</w:t>
            </w:r>
          </w:p>
          <w:p w14:paraId="3D01B263" w14:textId="1BDB3645" w:rsidR="000A31EE" w:rsidRPr="00D37E23" w:rsidRDefault="6A34208D" w:rsidP="00D37E23">
            <w:r>
              <w:t>Although PHR does not include a prominent research focus, all PHR partners are dealing with the generation and application of public health evidence for action and policy application. Therefore, DFAT is working with PHR partners to develop mechanisms to ensure activities are action-oriented to strengthen the evidence-to-policy interface, including structured engagement.</w:t>
            </w:r>
          </w:p>
          <w:p w14:paraId="3A5831CF" w14:textId="60869BCF" w:rsidR="000A31EE" w:rsidRPr="00D37E23" w:rsidRDefault="2222593F" w:rsidP="00D37E23">
            <w:r>
              <w:t xml:space="preserve">For example, the </w:t>
            </w:r>
            <w:proofErr w:type="spellStart"/>
            <w:r>
              <w:t>ADDEPt</w:t>
            </w:r>
            <w:proofErr w:type="spellEnd"/>
            <w:r>
              <w:t xml:space="preserve"> program (now FEiA) recently </w:t>
            </w:r>
            <w:r w:rsidR="5E19B6C4">
              <w:t xml:space="preserve">held </w:t>
            </w:r>
            <w:r w:rsidR="39F355A1">
              <w:t xml:space="preserve">the first data-to-policy workshop </w:t>
            </w:r>
            <w:r w:rsidR="3CBFE209">
              <w:t>together with Vital Strategies</w:t>
            </w:r>
            <w:r w:rsidR="6D3831A1">
              <w:t xml:space="preserve">, concluding in all participants </w:t>
            </w:r>
            <w:r w:rsidR="043B290B">
              <w:t xml:space="preserve">developing a policy brief </w:t>
            </w:r>
            <w:r w:rsidR="7EF039A0">
              <w:t>reflecting a public health intervention they investigated earlier in their training.</w:t>
            </w:r>
            <w:r w:rsidR="0611D8FB">
              <w:t xml:space="preserve"> </w:t>
            </w:r>
            <w:r w:rsidR="2E8BE8B4">
              <w:t xml:space="preserve"> </w:t>
            </w:r>
            <w:r w:rsidR="000A31EE">
              <w:t xml:space="preserve">Through connection with </w:t>
            </w:r>
            <w:r w:rsidR="000A31EE">
              <w:lastRenderedPageBreak/>
              <w:t>respective embass</w:t>
            </w:r>
            <w:r w:rsidR="334AD58E">
              <w:t>ie</w:t>
            </w:r>
            <w:r w:rsidR="000A31EE">
              <w:t xml:space="preserve">s where partners are positioned to deliver outcomes, connection and communication with policy makers is enabled. </w:t>
            </w:r>
          </w:p>
        </w:tc>
      </w:tr>
      <w:tr w:rsidR="000A31EE" w:rsidRPr="00D37E23" w14:paraId="46BD2381" w14:textId="77777777" w:rsidTr="24A718C4">
        <w:trPr>
          <w:trHeight w:val="300"/>
          <w:tblCellSpacing w:w="15" w:type="dxa"/>
        </w:trPr>
        <w:tc>
          <w:tcPr>
            <w:tcW w:w="3060" w:type="dxa"/>
            <w:vAlign w:val="center"/>
            <w:hideMark/>
          </w:tcPr>
          <w:p w14:paraId="1EBE41A0" w14:textId="77777777" w:rsidR="000A31EE" w:rsidRPr="00D37E23" w:rsidRDefault="000A31EE" w:rsidP="00D37E23">
            <w:r w:rsidRPr="00D37E23">
              <w:rPr>
                <w:rStyle w:val="Strong"/>
                <w:rFonts w:cstheme="minorHAnsi"/>
              </w:rPr>
              <w:lastRenderedPageBreak/>
              <w:t>Recommendation 3</w:t>
            </w:r>
            <w:r w:rsidRPr="00D37E23">
              <w:t>: Australia’s future investments in applied health research and One Health should continue to strengthen end-user engagement in research design, implementation, and sense-making of findings towards practical uptake and use.</w:t>
            </w:r>
          </w:p>
        </w:tc>
        <w:tc>
          <w:tcPr>
            <w:tcW w:w="2505" w:type="dxa"/>
            <w:vAlign w:val="center"/>
          </w:tcPr>
          <w:p w14:paraId="4662E80B" w14:textId="051726C0" w:rsidR="7D26826C" w:rsidRDefault="7D26826C" w:rsidP="24A718C4">
            <w:pPr>
              <w:jc w:val="center"/>
              <w:rPr>
                <w:rStyle w:val="Strong"/>
              </w:rPr>
            </w:pPr>
            <w:r w:rsidRPr="24A718C4">
              <w:rPr>
                <w:rStyle w:val="Strong"/>
              </w:rPr>
              <w:t>ACCEPT</w:t>
            </w:r>
          </w:p>
        </w:tc>
        <w:tc>
          <w:tcPr>
            <w:tcW w:w="4642" w:type="dxa"/>
            <w:vAlign w:val="center"/>
            <w:hideMark/>
          </w:tcPr>
          <w:p w14:paraId="459DFFE3" w14:textId="190FE987" w:rsidR="000A31EE" w:rsidRDefault="000A31EE" w:rsidP="00D37E23">
            <w:r>
              <w:t>Projects such as STRIVE-PNG</w:t>
            </w:r>
            <w:r w:rsidR="008A24D1">
              <w:t xml:space="preserve">, </w:t>
            </w:r>
            <w:r>
              <w:t xml:space="preserve">WISH-Fiji </w:t>
            </w:r>
            <w:r w:rsidR="00E54E9E">
              <w:t xml:space="preserve">and </w:t>
            </w:r>
            <w:proofErr w:type="spellStart"/>
            <w:r w:rsidR="00E54E9E">
              <w:t>ADDEPt</w:t>
            </w:r>
            <w:proofErr w:type="spellEnd"/>
            <w:r w:rsidR="00E54E9E">
              <w:t xml:space="preserve"> </w:t>
            </w:r>
            <w:r>
              <w:t xml:space="preserve">effectively engaged end-users, leading to practical uptake of research findings. However, end-user engagement was inconsistent across projects, particularly in the design phase. </w:t>
            </w:r>
          </w:p>
          <w:p w14:paraId="0AFFB12C" w14:textId="50ECA04C" w:rsidR="000A31EE" w:rsidRPr="00D37E23" w:rsidRDefault="000A31EE" w:rsidP="00D37E23">
            <w:r>
              <w:t>PHR will continue providing funding to STRIVE-PNG</w:t>
            </w:r>
            <w:r w:rsidR="00841CE4">
              <w:t>,</w:t>
            </w:r>
            <w:r>
              <w:t xml:space="preserve"> WISH-Fiji (now known as WISH-PACIFIC)</w:t>
            </w:r>
            <w:r w:rsidR="00841CE4">
              <w:t xml:space="preserve"> and </w:t>
            </w:r>
            <w:proofErr w:type="spellStart"/>
            <w:r w:rsidR="00841CE4">
              <w:t>ADDEPt</w:t>
            </w:r>
            <w:proofErr w:type="spellEnd"/>
            <w:r w:rsidR="00841CE4">
              <w:t xml:space="preserve"> (now FEiA)</w:t>
            </w:r>
            <w:r>
              <w:t xml:space="preserve"> to enhance the involvement of end-users, including policymakers and community representatives, at key stages of the research cycle to ensure relevance and uptake of findings.</w:t>
            </w:r>
          </w:p>
        </w:tc>
      </w:tr>
      <w:tr w:rsidR="000A31EE" w:rsidRPr="00D37E23" w14:paraId="0DE31F04" w14:textId="77777777" w:rsidTr="24A718C4">
        <w:trPr>
          <w:trHeight w:val="300"/>
          <w:tblCellSpacing w:w="15" w:type="dxa"/>
        </w:trPr>
        <w:tc>
          <w:tcPr>
            <w:tcW w:w="3060" w:type="dxa"/>
            <w:vAlign w:val="center"/>
            <w:hideMark/>
          </w:tcPr>
          <w:p w14:paraId="6107F3AD" w14:textId="77777777" w:rsidR="000A31EE" w:rsidRPr="00D37E23" w:rsidRDefault="000A31EE" w:rsidP="00D37E23">
            <w:r w:rsidRPr="00D37E23">
              <w:rPr>
                <w:rStyle w:val="Strong"/>
                <w:rFonts w:cstheme="minorHAnsi"/>
              </w:rPr>
              <w:t>Recommendation 4</w:t>
            </w:r>
            <w:r w:rsidRPr="00D37E23">
              <w:t>: Australia’s future investments in applied health research and One Health should strengthen country and regional level collaboration between research teams and communicate research findings to end-users through regional perspectives for practical uptake and use by national leaders.</w:t>
            </w:r>
          </w:p>
        </w:tc>
        <w:tc>
          <w:tcPr>
            <w:tcW w:w="2505" w:type="dxa"/>
            <w:vAlign w:val="center"/>
          </w:tcPr>
          <w:p w14:paraId="022F3DBB" w14:textId="5F80EB38" w:rsidR="7CB6F8A7" w:rsidRDefault="7CB6F8A7" w:rsidP="24A718C4">
            <w:pPr>
              <w:jc w:val="center"/>
              <w:rPr>
                <w:rStyle w:val="Strong"/>
              </w:rPr>
            </w:pPr>
            <w:r w:rsidRPr="24A718C4">
              <w:rPr>
                <w:rStyle w:val="Strong"/>
              </w:rPr>
              <w:t>ACCEPT</w:t>
            </w:r>
          </w:p>
        </w:tc>
        <w:tc>
          <w:tcPr>
            <w:tcW w:w="4642" w:type="dxa"/>
            <w:vAlign w:val="center"/>
            <w:hideMark/>
          </w:tcPr>
          <w:p w14:paraId="5322B504" w14:textId="09027BAE" w:rsidR="000A31EE" w:rsidRDefault="000A31EE" w:rsidP="00D37E23">
            <w:r>
              <w:t>The evaluation emphasised the importance of regional collaboration and knowledge sharing, citing examples where cross-country partnerships strengthened health systems and policy outc</w:t>
            </w:r>
            <w:r w:rsidR="46BAE253">
              <w:t>o</w:t>
            </w:r>
            <w:r>
              <w:t>mes. However, collaboration was limited in some projects, particularly during the</w:t>
            </w:r>
            <w:r w:rsidR="109D4C4C">
              <w:t xml:space="preserve"> acute phase of the COVID-19</w:t>
            </w:r>
            <w:r>
              <w:t xml:space="preserve"> pandemic. </w:t>
            </w:r>
          </w:p>
          <w:p w14:paraId="1A1A90FD" w14:textId="30B63380" w:rsidR="000A31EE" w:rsidRPr="00D37E23" w:rsidRDefault="000A31EE" w:rsidP="00D37E23">
            <w:r>
              <w:t>DFAT will support the establishment of regional collaboration, including annual knowledge-sharing workshops and online forums, to enhance cross-partner engagement and dissemination of findings.</w:t>
            </w:r>
            <w:r w:rsidR="5F5D964B">
              <w:t xml:space="preserve">  I</w:t>
            </w:r>
            <w:r w:rsidR="60F0F1CC">
              <w:t>n</w:t>
            </w:r>
            <w:r w:rsidR="5F5D964B">
              <w:t xml:space="preserve"> addition, </w:t>
            </w:r>
            <w:r w:rsidR="60F0F1CC">
              <w:t>s</w:t>
            </w:r>
            <w:r w:rsidR="5F5D964B">
              <w:t xml:space="preserve">ome of the projects to receive further funding from DFAT such as the </w:t>
            </w:r>
            <w:proofErr w:type="spellStart"/>
            <w:r w:rsidR="5F5D964B">
              <w:t>ADEPPt</w:t>
            </w:r>
            <w:proofErr w:type="spellEnd"/>
            <w:r w:rsidR="5F5D964B">
              <w:t xml:space="preserve"> program have included </w:t>
            </w:r>
            <w:r w:rsidR="54D597FA">
              <w:t xml:space="preserve">initiatives such as </w:t>
            </w:r>
            <w:r w:rsidR="31D65E52">
              <w:t xml:space="preserve">regional </w:t>
            </w:r>
            <w:r w:rsidR="79EADF1B">
              <w:t xml:space="preserve">communities of practice, cross-country knowledge exchange and </w:t>
            </w:r>
            <w:r w:rsidR="26850E9F">
              <w:t>regional alumni networks</w:t>
            </w:r>
            <w:r w:rsidR="470AE3AC">
              <w:t xml:space="preserve"> </w:t>
            </w:r>
            <w:r w:rsidR="5F5D964B">
              <w:t>in their design.</w:t>
            </w:r>
          </w:p>
        </w:tc>
      </w:tr>
      <w:tr w:rsidR="000A31EE" w:rsidRPr="00D37E23" w14:paraId="6048D388" w14:textId="77777777" w:rsidTr="24A718C4">
        <w:trPr>
          <w:trHeight w:val="300"/>
          <w:tblCellSpacing w:w="15" w:type="dxa"/>
        </w:trPr>
        <w:tc>
          <w:tcPr>
            <w:tcW w:w="3060" w:type="dxa"/>
            <w:vAlign w:val="center"/>
            <w:hideMark/>
          </w:tcPr>
          <w:p w14:paraId="5D29922D" w14:textId="77777777" w:rsidR="000A31EE" w:rsidRPr="00D37E23" w:rsidRDefault="000A31EE" w:rsidP="00D37E23">
            <w:r w:rsidRPr="00D37E23">
              <w:rPr>
                <w:rStyle w:val="Strong"/>
                <w:rFonts w:cstheme="minorHAnsi"/>
              </w:rPr>
              <w:t>Recommendation 5</w:t>
            </w:r>
            <w:r w:rsidRPr="00D37E23">
              <w:t xml:space="preserve">: Australia’s future investments in applied health research and One Health should require application of best practice international development approaches as a foundation to research, to strengthen development effectiveness and achieve a </w:t>
            </w:r>
            <w:r w:rsidRPr="00D37E23">
              <w:lastRenderedPageBreak/>
              <w:t>broad set of development outcomes.</w:t>
            </w:r>
          </w:p>
        </w:tc>
        <w:tc>
          <w:tcPr>
            <w:tcW w:w="2505" w:type="dxa"/>
            <w:vAlign w:val="center"/>
          </w:tcPr>
          <w:p w14:paraId="74F2DE7B" w14:textId="17BC5E3E" w:rsidR="6B098382" w:rsidRDefault="6B098382" w:rsidP="24A718C4">
            <w:pPr>
              <w:jc w:val="center"/>
              <w:rPr>
                <w:rStyle w:val="Strong"/>
              </w:rPr>
            </w:pPr>
            <w:r w:rsidRPr="24A718C4">
              <w:rPr>
                <w:rStyle w:val="Strong"/>
              </w:rPr>
              <w:lastRenderedPageBreak/>
              <w:t>PARTIALLY ACCEPT</w:t>
            </w:r>
          </w:p>
        </w:tc>
        <w:tc>
          <w:tcPr>
            <w:tcW w:w="4642" w:type="dxa"/>
            <w:vAlign w:val="center"/>
            <w:hideMark/>
          </w:tcPr>
          <w:p w14:paraId="4C8A6155" w14:textId="5B6358FB" w:rsidR="000A31EE" w:rsidRPr="00D37E23" w:rsidRDefault="000A31EE" w:rsidP="00D37E23">
            <w:r>
              <w:t xml:space="preserve">Successful projects applied principles of partnership, capacity building, and co-design, contributing to effective and sustainable outcomes. However, these practices were inconsistently applied across all investments. DFAT </w:t>
            </w:r>
            <w:r w:rsidR="0092786B">
              <w:t xml:space="preserve">future health research programs </w:t>
            </w:r>
            <w:r>
              <w:t xml:space="preserve">will </w:t>
            </w:r>
            <w:r w:rsidR="57C674B6">
              <w:t>endeavour to</w:t>
            </w:r>
            <w:r w:rsidDel="0092786B">
              <w:t xml:space="preserve"> </w:t>
            </w:r>
            <w:r>
              <w:t>adopt best practices, such as participatory design, capacity-building strategies, and inclusive approaches, embedded as requirements in project guidelines.</w:t>
            </w:r>
            <w:r w:rsidR="687B0075">
              <w:t xml:space="preserve"> For example, </w:t>
            </w:r>
            <w:r w:rsidR="687B0075">
              <w:lastRenderedPageBreak/>
              <w:t>we have co-funded two Centres for Research Excellence on One Health with NHMRC</w:t>
            </w:r>
            <w:r w:rsidR="437B5E38">
              <w:t>.</w:t>
            </w:r>
          </w:p>
        </w:tc>
      </w:tr>
      <w:tr w:rsidR="000A31EE" w:rsidRPr="00D37E23" w14:paraId="3C9F7245" w14:textId="77777777" w:rsidTr="24A718C4">
        <w:trPr>
          <w:trHeight w:val="300"/>
          <w:tblCellSpacing w:w="15" w:type="dxa"/>
        </w:trPr>
        <w:tc>
          <w:tcPr>
            <w:tcW w:w="3060" w:type="dxa"/>
            <w:vAlign w:val="center"/>
            <w:hideMark/>
          </w:tcPr>
          <w:p w14:paraId="64E7FB1F" w14:textId="77777777" w:rsidR="000A31EE" w:rsidRPr="00D37E23" w:rsidRDefault="000A31EE" w:rsidP="00D37E23">
            <w:r w:rsidRPr="00D37E23">
              <w:rPr>
                <w:rStyle w:val="Strong"/>
                <w:rFonts w:cstheme="minorHAnsi"/>
              </w:rPr>
              <w:lastRenderedPageBreak/>
              <w:t>Recommendation 6</w:t>
            </w:r>
            <w:r w:rsidRPr="00D37E23">
              <w:t>: Australia’s future investments in applied health research and One Health should strengthen program-level MEL to ensure that individual projects within a program align their EOPOs with the investment-level EOPOs.</w:t>
            </w:r>
          </w:p>
        </w:tc>
        <w:tc>
          <w:tcPr>
            <w:tcW w:w="2505" w:type="dxa"/>
            <w:vAlign w:val="center"/>
          </w:tcPr>
          <w:p w14:paraId="6950D4C8" w14:textId="0ACA1DB0" w:rsidR="31A941A5" w:rsidRDefault="31A941A5" w:rsidP="24A718C4">
            <w:pPr>
              <w:jc w:val="center"/>
              <w:rPr>
                <w:rStyle w:val="Strong"/>
              </w:rPr>
            </w:pPr>
            <w:r w:rsidRPr="24A718C4">
              <w:rPr>
                <w:rStyle w:val="Strong"/>
              </w:rPr>
              <w:t>ACCEPT</w:t>
            </w:r>
          </w:p>
        </w:tc>
        <w:tc>
          <w:tcPr>
            <w:tcW w:w="4642" w:type="dxa"/>
            <w:vAlign w:val="center"/>
            <w:hideMark/>
          </w:tcPr>
          <w:p w14:paraId="2C5AE227" w14:textId="4D9956B9" w:rsidR="000A31EE" w:rsidRPr="00D37E23" w:rsidRDefault="000A31EE" w:rsidP="00D37E23">
            <w:r>
              <w:t xml:space="preserve">The evaluation identified weaknesses in MEL frameworks, with many projects failing to align their monitoring systems with program-level EOPOs, resulting in inconsistent reporting of outcomes and impacts. DFAT will implement a revised MEL framework </w:t>
            </w:r>
            <w:r w:rsidR="00377CE0">
              <w:t xml:space="preserve">for PHR </w:t>
            </w:r>
            <w:r>
              <w:t>with clear alignment between project and program-level outcomes, providing training to project teams to ensure robust and standardized reporting.</w:t>
            </w:r>
            <w:r w:rsidR="1E88E223">
              <w:t xml:space="preserve"> </w:t>
            </w:r>
            <w:r w:rsidR="31272BD4">
              <w:t>Partners funded under PHR were required to explicitly align their designs with the initiative's end of program and intermediate outcomes. DFAT also developed a set of common indicators to measure progress against the PHR outcomes, and partners are integrating these into their MEL plans and reporting against them six-monthly.</w:t>
            </w:r>
          </w:p>
        </w:tc>
      </w:tr>
      <w:tr w:rsidR="000A31EE" w:rsidRPr="00D37E23" w14:paraId="25D17888" w14:textId="77777777" w:rsidTr="24A718C4">
        <w:trPr>
          <w:trHeight w:val="300"/>
          <w:tblCellSpacing w:w="15" w:type="dxa"/>
        </w:trPr>
        <w:tc>
          <w:tcPr>
            <w:tcW w:w="3060" w:type="dxa"/>
            <w:vAlign w:val="center"/>
            <w:hideMark/>
          </w:tcPr>
          <w:p w14:paraId="4BEF83AD" w14:textId="77777777" w:rsidR="000A31EE" w:rsidRPr="00D37E23" w:rsidRDefault="000A31EE" w:rsidP="00D37E23">
            <w:r w:rsidRPr="24A718C4">
              <w:rPr>
                <w:rStyle w:val="Strong"/>
              </w:rPr>
              <w:t>Recommendation 7</w:t>
            </w:r>
            <w:r>
              <w:t>: Australia’s future investments in applied health research and One Health should strengthen GEDSI through practical and sustained guidance to investment teams to ensure tangible contributions are made.</w:t>
            </w:r>
          </w:p>
        </w:tc>
        <w:tc>
          <w:tcPr>
            <w:tcW w:w="2505" w:type="dxa"/>
            <w:vAlign w:val="center"/>
          </w:tcPr>
          <w:p w14:paraId="2314A973" w14:textId="6D4947FE" w:rsidR="643997A0" w:rsidRDefault="643997A0" w:rsidP="24A718C4">
            <w:pPr>
              <w:jc w:val="center"/>
              <w:rPr>
                <w:rStyle w:val="Strong"/>
              </w:rPr>
            </w:pPr>
            <w:r w:rsidRPr="24A718C4">
              <w:rPr>
                <w:rStyle w:val="Strong"/>
              </w:rPr>
              <w:t>PARTIALLY ACCEPT</w:t>
            </w:r>
          </w:p>
        </w:tc>
        <w:tc>
          <w:tcPr>
            <w:tcW w:w="4642" w:type="dxa"/>
            <w:vAlign w:val="center"/>
            <w:hideMark/>
          </w:tcPr>
          <w:p w14:paraId="11AF6347" w14:textId="332E8997" w:rsidR="000A31EE" w:rsidRPr="00D37E23" w:rsidRDefault="000A31EE" w:rsidP="00D37E23">
            <w:r>
              <w:t>The evaluation found that GEDSI integration was inconsistent, with only a few projects</w:t>
            </w:r>
            <w:r w:rsidR="24AC5A6F">
              <w:t xml:space="preserve"> able to </w:t>
            </w:r>
            <w:r w:rsidR="628F0126">
              <w:t xml:space="preserve">provide evidence of progress, </w:t>
            </w:r>
            <w:r w:rsidR="24AC5A6F">
              <w:t>including</w:t>
            </w:r>
            <w:r>
              <w:t xml:space="preserve"> WISH-Fiji demonstrating tangible gender</w:t>
            </w:r>
            <w:r w:rsidR="00C07211">
              <w:t xml:space="preserve"> </w:t>
            </w:r>
            <w:r>
              <w:t>outcomes</w:t>
            </w:r>
            <w:r w:rsidR="6EB47D41">
              <w:t xml:space="preserve"> </w:t>
            </w:r>
            <w:r w:rsidR="00C07211">
              <w:t xml:space="preserve">and </w:t>
            </w:r>
            <w:r w:rsidR="2F620A85">
              <w:t>S</w:t>
            </w:r>
            <w:r w:rsidR="2F620A85" w:rsidRPr="24A718C4">
              <w:rPr>
                <w:rFonts w:ascii="Calibri" w:eastAsia="Calibri" w:hAnsi="Calibri" w:cs="Calibri"/>
                <w:color w:val="000000" w:themeColor="text1"/>
              </w:rPr>
              <w:t xml:space="preserve">TRIVE-PNG </w:t>
            </w:r>
            <w:r w:rsidR="737E2EF1" w:rsidRPr="24A718C4">
              <w:rPr>
                <w:rFonts w:ascii="Calibri" w:eastAsia="Calibri" w:hAnsi="Calibri" w:cs="Calibri"/>
                <w:color w:val="000000" w:themeColor="text1"/>
              </w:rPr>
              <w:t>working with local organisations to integrate disability considerations</w:t>
            </w:r>
            <w:r w:rsidR="00C07211" w:rsidRPr="24A718C4">
              <w:rPr>
                <w:rFonts w:ascii="Calibri" w:eastAsia="Calibri" w:hAnsi="Calibri" w:cs="Calibri"/>
                <w:color w:val="000000" w:themeColor="text1"/>
              </w:rPr>
              <w:t>.</w:t>
            </w:r>
            <w:r>
              <w:t xml:space="preserve"> DFAT </w:t>
            </w:r>
            <w:r w:rsidR="00C94910">
              <w:t>has</w:t>
            </w:r>
            <w:r>
              <w:t xml:space="preserve"> </w:t>
            </w:r>
            <w:r w:rsidR="77624FD9">
              <w:t xml:space="preserve">already </w:t>
            </w:r>
            <w:r w:rsidR="6F026730">
              <w:t xml:space="preserve">taken </w:t>
            </w:r>
            <w:r w:rsidR="77624FD9">
              <w:t>action</w:t>
            </w:r>
            <w:r w:rsidR="71FCEAF6">
              <w:t xml:space="preserve"> to lift performance on GEDSI in PHR. This includes</w:t>
            </w:r>
            <w:r w:rsidR="77624FD9">
              <w:t xml:space="preserve"> </w:t>
            </w:r>
            <w:r>
              <w:t>mandat</w:t>
            </w:r>
            <w:r w:rsidR="779C847F">
              <w:t>ing</w:t>
            </w:r>
            <w:r>
              <w:t xml:space="preserve"> gender and disability analyses</w:t>
            </w:r>
            <w:r w:rsidR="00C07211">
              <w:t>,</w:t>
            </w:r>
            <w:r w:rsidR="2034128A">
              <w:t xml:space="preserve"> strategies </w:t>
            </w:r>
            <w:r w:rsidR="00C07211">
              <w:t xml:space="preserve">and action plans </w:t>
            </w:r>
            <w:r w:rsidR="2FCDD2B1">
              <w:t>for</w:t>
            </w:r>
            <w:r w:rsidR="13D19F15">
              <w:t xml:space="preserve"> </w:t>
            </w:r>
            <w:r w:rsidR="00C07211">
              <w:t xml:space="preserve">the </w:t>
            </w:r>
            <w:r w:rsidR="3ACE1E55">
              <w:t xml:space="preserve">majority of </w:t>
            </w:r>
            <w:r w:rsidR="2FCDD2B1">
              <w:t>PHR projects</w:t>
            </w:r>
            <w:r w:rsidR="3A878391">
              <w:t xml:space="preserve"> and requiring</w:t>
            </w:r>
            <w:r w:rsidR="4E9EA87F">
              <w:t xml:space="preserve"> </w:t>
            </w:r>
            <w:r w:rsidR="3A878391">
              <w:t>budget allocation fo</w:t>
            </w:r>
            <w:r w:rsidR="154D5093">
              <w:t>r planned activities on gender equality and</w:t>
            </w:r>
            <w:r w:rsidR="3A878391">
              <w:t xml:space="preserve"> disability </w:t>
            </w:r>
            <w:r w:rsidR="3DA0D688">
              <w:t>equity and rights</w:t>
            </w:r>
            <w:r w:rsidR="3B6BFE3E">
              <w:t>.</w:t>
            </w:r>
            <w:r w:rsidR="2A3FC0A4">
              <w:t xml:space="preserve"> All PHR projects over $3million AUD will be required to integrate a gender equality outcome in line with the mandate in place across DFAT development investments</w:t>
            </w:r>
            <w:r w:rsidR="2DD8EE63">
              <w:t>. They are also strongly</w:t>
            </w:r>
            <w:r w:rsidR="18A7DD77">
              <w:t xml:space="preserve"> encouraged to integrate disability inclusion into program logics</w:t>
            </w:r>
            <w:r w:rsidR="3FF5B4E1">
              <w:t>.</w:t>
            </w:r>
            <w:r w:rsidR="1FEEDD88">
              <w:t xml:space="preserve"> </w:t>
            </w:r>
            <w:r w:rsidR="3A3D6991">
              <w:t>DFAT will review all MEL plans and frameworks which will include a</w:t>
            </w:r>
            <w:r w:rsidR="05B4CC6B">
              <w:t>ttention to</w:t>
            </w:r>
            <w:r w:rsidR="3A3D6991">
              <w:t xml:space="preserve"> GEDSI </w:t>
            </w:r>
            <w:r w:rsidR="241E9100">
              <w:t>elements</w:t>
            </w:r>
            <w:r w:rsidR="3A3D6991">
              <w:t xml:space="preserve"> </w:t>
            </w:r>
            <w:r>
              <w:t xml:space="preserve">Projects </w:t>
            </w:r>
            <w:r w:rsidR="00C94910">
              <w:t xml:space="preserve">and partners </w:t>
            </w:r>
            <w:r>
              <w:t>will be required to report GEDSI-related outcomes</w:t>
            </w:r>
            <w:r w:rsidR="3497C861">
              <w:t xml:space="preserve"> and encouraged to submit case studies</w:t>
            </w:r>
            <w:r>
              <w:t>.</w:t>
            </w:r>
            <w:r w:rsidR="6C0251BA">
              <w:t xml:space="preserve"> DFAT will </w:t>
            </w:r>
            <w:r w:rsidR="11162390">
              <w:t xml:space="preserve">also </w:t>
            </w:r>
            <w:r w:rsidR="6C0251BA">
              <w:t xml:space="preserve">continue to provide resources and support to partners, </w:t>
            </w:r>
            <w:r w:rsidR="6C0251BA">
              <w:lastRenderedPageBreak/>
              <w:t>including through the PHR GEDSI Community of Practice that was established in 2024.</w:t>
            </w:r>
          </w:p>
        </w:tc>
      </w:tr>
      <w:tr w:rsidR="000A31EE" w:rsidRPr="00D37E23" w14:paraId="0F0E5061" w14:textId="77777777" w:rsidTr="24A718C4">
        <w:trPr>
          <w:trHeight w:val="300"/>
          <w:tblCellSpacing w:w="15" w:type="dxa"/>
        </w:trPr>
        <w:tc>
          <w:tcPr>
            <w:tcW w:w="3060" w:type="dxa"/>
            <w:vAlign w:val="center"/>
            <w:hideMark/>
          </w:tcPr>
          <w:p w14:paraId="7009CCCD" w14:textId="77777777" w:rsidR="000A31EE" w:rsidRPr="00D37E23" w:rsidRDefault="000A31EE" w:rsidP="00D37E23">
            <w:r w:rsidRPr="00D37E23">
              <w:rPr>
                <w:rStyle w:val="Strong"/>
                <w:rFonts w:cstheme="minorHAnsi"/>
              </w:rPr>
              <w:lastRenderedPageBreak/>
              <w:t>Recommendation 8</w:t>
            </w:r>
            <w:r w:rsidRPr="00D37E23">
              <w:t>: Australia’s future investments in applied health research and One Health should maintain and strengthen a ‘systems’ perspective and transdisciplinary approach, including multi-stakeholder/sector engagement to contribute to regional health security.</w:t>
            </w:r>
          </w:p>
        </w:tc>
        <w:tc>
          <w:tcPr>
            <w:tcW w:w="2505" w:type="dxa"/>
            <w:vAlign w:val="center"/>
          </w:tcPr>
          <w:p w14:paraId="198E9999" w14:textId="59111FF2" w:rsidR="144AA285" w:rsidRDefault="144AA285" w:rsidP="24A718C4">
            <w:pPr>
              <w:jc w:val="center"/>
              <w:rPr>
                <w:rStyle w:val="Strong"/>
              </w:rPr>
            </w:pPr>
            <w:r w:rsidRPr="24A718C4">
              <w:rPr>
                <w:rStyle w:val="Strong"/>
              </w:rPr>
              <w:t>PARTIALLY ACCEPT</w:t>
            </w:r>
          </w:p>
        </w:tc>
        <w:tc>
          <w:tcPr>
            <w:tcW w:w="4642" w:type="dxa"/>
            <w:vAlign w:val="center"/>
            <w:hideMark/>
          </w:tcPr>
          <w:p w14:paraId="5B3E128E" w14:textId="5365E713" w:rsidR="00C94910" w:rsidRDefault="000A31EE" w:rsidP="00D37E23">
            <w:r>
              <w:t xml:space="preserve">The evaluation highlighted the success of the systems-based transdisciplinary approaches in projects such as STRIVE-PNG and WISH-Fiji, which engaged multiple sectors and stakeholders. However, this approach was not consistently applied across all projects. </w:t>
            </w:r>
          </w:p>
          <w:p w14:paraId="28B1A265" w14:textId="2E663852" w:rsidR="000A31EE" w:rsidRPr="00D37E23" w:rsidRDefault="00C94910" w:rsidP="00D37E23">
            <w:r>
              <w:t xml:space="preserve">Where applicable, PHR partners are encouraged </w:t>
            </w:r>
            <w:r w:rsidR="000A31EE" w:rsidRPr="00D37E23">
              <w:t>to adopt a systems-based approach, ensuring collaboration across sectors such as health, agriculture, and environment to address complex health security challenges.</w:t>
            </w:r>
            <w:r>
              <w:t xml:space="preserve"> PHR has incorporated cross-cutting priorities including One Health that partners are expected to address within their design proposals. </w:t>
            </w:r>
            <w:r w:rsidR="308A6212">
              <w:t xml:space="preserve">This is evident through the funding provided to ACIAR and WISH-Pacific in particular whose main objective is improving and </w:t>
            </w:r>
            <w:r w:rsidR="2CC002A5">
              <w:t>strengthening</w:t>
            </w:r>
            <w:r w:rsidR="308A6212">
              <w:t xml:space="preserve"> One/planetary health in the face of climate change.</w:t>
            </w:r>
          </w:p>
        </w:tc>
      </w:tr>
      <w:tr w:rsidR="000A31EE" w:rsidRPr="00D37E23" w14:paraId="17BF472D" w14:textId="77777777" w:rsidTr="24A718C4">
        <w:trPr>
          <w:trHeight w:val="300"/>
          <w:tblCellSpacing w:w="15" w:type="dxa"/>
        </w:trPr>
        <w:tc>
          <w:tcPr>
            <w:tcW w:w="3060" w:type="dxa"/>
            <w:vAlign w:val="center"/>
            <w:hideMark/>
          </w:tcPr>
          <w:p w14:paraId="332E4C1E" w14:textId="77777777" w:rsidR="000A31EE" w:rsidRPr="00D37E23" w:rsidRDefault="000A31EE" w:rsidP="00D37E23">
            <w:r w:rsidRPr="00D37E23">
              <w:rPr>
                <w:rStyle w:val="Strong"/>
                <w:rFonts w:cstheme="minorHAnsi"/>
              </w:rPr>
              <w:t>Recommendation 9</w:t>
            </w:r>
            <w:r w:rsidRPr="00D37E23">
              <w:t>: Australia’s future investments in applied health research and One Health should consider multi-stage, longer-term research funding to create foundations for partnership and research impact/development outcomes.</w:t>
            </w:r>
          </w:p>
        </w:tc>
        <w:tc>
          <w:tcPr>
            <w:tcW w:w="2505" w:type="dxa"/>
            <w:vAlign w:val="center"/>
          </w:tcPr>
          <w:p w14:paraId="6A58805A" w14:textId="0E1F6F6E" w:rsidR="6A8F4908" w:rsidRDefault="6A8F4908" w:rsidP="24A718C4">
            <w:pPr>
              <w:jc w:val="center"/>
              <w:rPr>
                <w:rStyle w:val="Strong"/>
              </w:rPr>
            </w:pPr>
            <w:r w:rsidRPr="24A718C4">
              <w:rPr>
                <w:rStyle w:val="Strong"/>
              </w:rPr>
              <w:t>PARTIALLY ACCEPT</w:t>
            </w:r>
          </w:p>
        </w:tc>
        <w:tc>
          <w:tcPr>
            <w:tcW w:w="4642" w:type="dxa"/>
            <w:vAlign w:val="center"/>
            <w:hideMark/>
          </w:tcPr>
          <w:p w14:paraId="241ADF32" w14:textId="0D299013" w:rsidR="00C94910" w:rsidRDefault="000A31EE" w:rsidP="00D37E23">
            <w:r>
              <w:t xml:space="preserve">Short project timelines limited the ability of some investments to achieve sustained outcomes. The evaluation recommended multi-stage funding to support deeper partnerships and longer-term impact. </w:t>
            </w:r>
          </w:p>
          <w:p w14:paraId="3676318E" w14:textId="61DBC131" w:rsidR="000A31EE" w:rsidRPr="00D37E23" w:rsidRDefault="00D82DAC" w:rsidP="00D37E23">
            <w:r>
              <w:t xml:space="preserve">While not </w:t>
            </w:r>
            <w:r w:rsidR="00E91260">
              <w:t xml:space="preserve">primarily research focused, </w:t>
            </w:r>
            <w:r w:rsidR="00C94910">
              <w:t xml:space="preserve">PHR has </w:t>
            </w:r>
            <w:r w:rsidR="00C75C13">
              <w:t>continued</w:t>
            </w:r>
            <w:r w:rsidR="00C94910">
              <w:t xml:space="preserve"> funding partners such as STRIVE-PNG, WISH-</w:t>
            </w:r>
            <w:r w:rsidR="73A880F7">
              <w:t>PACIFIC</w:t>
            </w:r>
            <w:r w:rsidR="00C94910">
              <w:t xml:space="preserve"> and ACIAR</w:t>
            </w:r>
            <w:r w:rsidR="00830875">
              <w:t xml:space="preserve">, </w:t>
            </w:r>
            <w:r w:rsidR="000A31EE">
              <w:t>enabl</w:t>
            </w:r>
            <w:r w:rsidR="00830875">
              <w:t>ing</w:t>
            </w:r>
            <w:r w:rsidR="000A31EE">
              <w:t xml:space="preserve"> sustained partnerships and sufficient time to achieve meaningful and lasting impact</w:t>
            </w:r>
            <w:r w:rsidR="001C186D">
              <w:t xml:space="preserve"> from research activities</w:t>
            </w:r>
            <w:r w:rsidR="000A31EE">
              <w:t>.</w:t>
            </w:r>
            <w:r w:rsidR="7E5106FD">
              <w:t xml:space="preserve"> In addit</w:t>
            </w:r>
            <w:r w:rsidR="13D76FE6">
              <w:t xml:space="preserve">ion, </w:t>
            </w:r>
            <w:r w:rsidR="605671E4">
              <w:t xml:space="preserve">several partners including </w:t>
            </w:r>
            <w:r w:rsidR="77B670C1">
              <w:t xml:space="preserve">the University of Newcastle </w:t>
            </w:r>
            <w:r w:rsidR="605671E4">
              <w:t>have secured additional funding from Posts</w:t>
            </w:r>
            <w:r w:rsidR="1F7E9818">
              <w:t xml:space="preserve"> in relevant countries, </w:t>
            </w:r>
            <w:r w:rsidR="6A4473C2">
              <w:t xml:space="preserve">deepening relationships and ensuring </w:t>
            </w:r>
            <w:r w:rsidR="26604815">
              <w:t>further sustainability.</w:t>
            </w:r>
            <w:r w:rsidR="2B67E6AD">
              <w:t xml:space="preserve"> </w:t>
            </w:r>
          </w:p>
        </w:tc>
      </w:tr>
    </w:tbl>
    <w:p w14:paraId="3EA788BD" w14:textId="77777777" w:rsidR="00D37E23" w:rsidRPr="00D37E23" w:rsidRDefault="00D37E23" w:rsidP="44DB974E">
      <w:pPr>
        <w:pStyle w:val="NormalWeb"/>
        <w:contextualSpacing/>
        <w:rPr>
          <w:rFonts w:asciiTheme="minorHAnsi" w:hAnsiTheme="minorHAnsi" w:cstheme="minorBidi"/>
          <w:sz w:val="22"/>
          <w:szCs w:val="22"/>
        </w:rPr>
      </w:pPr>
    </w:p>
    <w:p w14:paraId="58EB5F67" w14:textId="0A3D53E0" w:rsidR="44DB974E" w:rsidRDefault="44DB974E" w:rsidP="44DB974E">
      <w:pPr>
        <w:pStyle w:val="NormalWeb"/>
        <w:contextualSpacing/>
        <w:rPr>
          <w:rFonts w:asciiTheme="minorHAnsi" w:hAnsiTheme="minorHAnsi" w:cstheme="minorBidi"/>
          <w:sz w:val="22"/>
          <w:szCs w:val="22"/>
        </w:rPr>
      </w:pPr>
    </w:p>
    <w:sectPr w:rsidR="44DB974E" w:rsidSect="00D37E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2C8A8" w14:textId="77777777" w:rsidR="00E14E6C" w:rsidRDefault="00E14E6C" w:rsidP="00F1253F">
      <w:pPr>
        <w:spacing w:after="0" w:line="240" w:lineRule="auto"/>
      </w:pPr>
      <w:r>
        <w:separator/>
      </w:r>
    </w:p>
  </w:endnote>
  <w:endnote w:type="continuationSeparator" w:id="0">
    <w:p w14:paraId="43FD305B" w14:textId="77777777" w:rsidR="00E14E6C" w:rsidRDefault="00E14E6C" w:rsidP="00F1253F">
      <w:pPr>
        <w:spacing w:after="0" w:line="240" w:lineRule="auto"/>
      </w:pPr>
      <w:r>
        <w:continuationSeparator/>
      </w:r>
    </w:p>
  </w:endnote>
  <w:endnote w:type="continuationNotice" w:id="1">
    <w:p w14:paraId="00C1819C" w14:textId="77777777" w:rsidR="00E14E6C" w:rsidRDefault="00E14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33DD" w14:textId="77777777" w:rsidR="00E14E6C" w:rsidRDefault="00E14E6C" w:rsidP="00F1253F">
      <w:pPr>
        <w:spacing w:after="0" w:line="240" w:lineRule="auto"/>
      </w:pPr>
      <w:r>
        <w:separator/>
      </w:r>
    </w:p>
  </w:footnote>
  <w:footnote w:type="continuationSeparator" w:id="0">
    <w:p w14:paraId="3A8A92A9" w14:textId="77777777" w:rsidR="00E14E6C" w:rsidRDefault="00E14E6C" w:rsidP="00F1253F">
      <w:pPr>
        <w:spacing w:after="0" w:line="240" w:lineRule="auto"/>
      </w:pPr>
      <w:r>
        <w:continuationSeparator/>
      </w:r>
    </w:p>
  </w:footnote>
  <w:footnote w:type="continuationNotice" w:id="1">
    <w:p w14:paraId="569D3A6E" w14:textId="77777777" w:rsidR="00E14E6C" w:rsidRDefault="00E14E6C">
      <w:pPr>
        <w:spacing w:after="0" w:line="240" w:lineRule="auto"/>
      </w:pPr>
    </w:p>
  </w:footnote>
  <w:footnote w:id="2">
    <w:p w14:paraId="3227B667" w14:textId="1FE0FE48" w:rsidR="000040BB" w:rsidRDefault="734EF158" w:rsidP="000040BB">
      <w:pPr>
        <w:spacing w:after="120" w:line="276" w:lineRule="auto"/>
        <w:rPr>
          <w:rFonts w:ascii="Calibri" w:eastAsia="Calibri" w:hAnsi="Calibri" w:cs="Calibri"/>
        </w:rPr>
      </w:pPr>
      <w:r w:rsidRPr="734EF158">
        <w:rPr>
          <w:rStyle w:val="FootnoteReference"/>
        </w:rPr>
        <w:footnoteRef/>
      </w:r>
      <w:r>
        <w:t xml:space="preserve"> </w:t>
      </w:r>
      <w:r w:rsidR="000040BB" w:rsidRPr="003B4230">
        <w:rPr>
          <w:rFonts w:ascii="Calibri" w:eastAsia="Calibri" w:hAnsi="Calibri" w:cs="Calibri"/>
          <w:sz w:val="18"/>
          <w:szCs w:val="18"/>
        </w:rPr>
        <w:t>Accelerating the Development of Evidence-based Policy and Practice in Papua New Guinea (</w:t>
      </w:r>
      <w:proofErr w:type="spellStart"/>
      <w:r w:rsidR="000040BB" w:rsidRPr="003B4230">
        <w:rPr>
          <w:rFonts w:ascii="Calibri" w:eastAsia="Calibri" w:hAnsi="Calibri" w:cs="Calibri"/>
          <w:sz w:val="18"/>
          <w:szCs w:val="18"/>
        </w:rPr>
        <w:t>ADEPPt</w:t>
      </w:r>
      <w:proofErr w:type="spellEnd"/>
      <w:r w:rsidR="000040BB" w:rsidRPr="003B4230">
        <w:rPr>
          <w:rFonts w:ascii="Calibri" w:eastAsia="Calibri" w:hAnsi="Calibri" w:cs="Calibri"/>
          <w:sz w:val="18"/>
          <w:szCs w:val="18"/>
        </w:rPr>
        <w:t xml:space="preserve">-PNG); </w:t>
      </w:r>
      <w:r w:rsidR="000040BB" w:rsidRPr="003B4230">
        <w:rPr>
          <w:sz w:val="18"/>
          <w:szCs w:val="18"/>
        </w:rPr>
        <w:t xml:space="preserve">Field Epidemiology in Action 2 (FEiA); </w:t>
      </w:r>
      <w:r w:rsidR="000040BB" w:rsidRPr="003B4230">
        <w:rPr>
          <w:rFonts w:ascii="Calibri" w:eastAsia="Calibri" w:hAnsi="Calibri" w:cs="Calibri"/>
          <w:sz w:val="18"/>
          <w:szCs w:val="18"/>
        </w:rPr>
        <w:t>Stronger Surveillance and Systems Support for Rapid Identification and Containment of Resurgent or Resistant Vector Borne Pathogens in Papua New Guinea (STRIVE-PNG); Surveillance Training, Research Opportunities and National Guidelines for communicable disease control in Timor-Leste (STRONG TL); Regional Engagement in Surveillance and response to Priority diseases, providing Opportunities for National health system strengthening and Development (RESPOND); Combating the emergence and spread of antimicrobial resistant infectious diseases in Vietnam (</w:t>
      </w:r>
      <w:r w:rsidR="000040BB" w:rsidRPr="003B4230">
        <w:rPr>
          <w:sz w:val="18"/>
          <w:szCs w:val="18"/>
        </w:rPr>
        <w:t>V-RESIST-Vietnam); Securing health in Fiji through strengthened health systems and integrated water management to tackle typhoid, dengue, and leptospirosis (WISH-Fiji)</w:t>
      </w:r>
    </w:p>
    <w:p w14:paraId="04286477" w14:textId="388D5E44" w:rsidR="734EF158" w:rsidRDefault="734EF158" w:rsidP="003B4230">
      <w:pPr>
        <w:pStyle w:val="FootnoteText"/>
      </w:pPr>
    </w:p>
    <w:p w14:paraId="4E289910" w14:textId="71390B9E" w:rsidR="734EF158" w:rsidRDefault="734EF158" w:rsidP="734EF158">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237"/>
    <w:multiLevelType w:val="hybridMultilevel"/>
    <w:tmpl w:val="53D0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75638"/>
    <w:multiLevelType w:val="hybridMultilevel"/>
    <w:tmpl w:val="BA26B518"/>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0AD5FA0"/>
    <w:multiLevelType w:val="hybridMultilevel"/>
    <w:tmpl w:val="AC6C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92E28"/>
    <w:multiLevelType w:val="hybridMultilevel"/>
    <w:tmpl w:val="AA60B0DA"/>
    <w:lvl w:ilvl="0" w:tplc="22BC0F6A">
      <w:numFmt w:val="bullet"/>
      <w:lvlText w:val=""/>
      <w:lvlJc w:val="left"/>
      <w:pPr>
        <w:ind w:left="410" w:hanging="360"/>
      </w:pPr>
      <w:rPr>
        <w:rFonts w:ascii="Symbol" w:eastAsiaTheme="minorHAnsi" w:hAnsi="Symbol" w:cs="Open Sans Light" w:hint="default"/>
      </w:rPr>
    </w:lvl>
    <w:lvl w:ilvl="1" w:tplc="38090003" w:tentative="1">
      <w:start w:val="1"/>
      <w:numFmt w:val="bullet"/>
      <w:lvlText w:val="o"/>
      <w:lvlJc w:val="left"/>
      <w:pPr>
        <w:ind w:left="1130" w:hanging="360"/>
      </w:pPr>
      <w:rPr>
        <w:rFonts w:ascii="Courier New" w:hAnsi="Courier New" w:cs="Courier New" w:hint="default"/>
      </w:rPr>
    </w:lvl>
    <w:lvl w:ilvl="2" w:tplc="38090005" w:tentative="1">
      <w:start w:val="1"/>
      <w:numFmt w:val="bullet"/>
      <w:lvlText w:val=""/>
      <w:lvlJc w:val="left"/>
      <w:pPr>
        <w:ind w:left="1850" w:hanging="360"/>
      </w:pPr>
      <w:rPr>
        <w:rFonts w:ascii="Wingdings" w:hAnsi="Wingdings" w:hint="default"/>
      </w:rPr>
    </w:lvl>
    <w:lvl w:ilvl="3" w:tplc="38090001" w:tentative="1">
      <w:start w:val="1"/>
      <w:numFmt w:val="bullet"/>
      <w:lvlText w:val=""/>
      <w:lvlJc w:val="left"/>
      <w:pPr>
        <w:ind w:left="2570" w:hanging="360"/>
      </w:pPr>
      <w:rPr>
        <w:rFonts w:ascii="Symbol" w:hAnsi="Symbol" w:hint="default"/>
      </w:rPr>
    </w:lvl>
    <w:lvl w:ilvl="4" w:tplc="38090003" w:tentative="1">
      <w:start w:val="1"/>
      <w:numFmt w:val="bullet"/>
      <w:lvlText w:val="o"/>
      <w:lvlJc w:val="left"/>
      <w:pPr>
        <w:ind w:left="3290" w:hanging="360"/>
      </w:pPr>
      <w:rPr>
        <w:rFonts w:ascii="Courier New" w:hAnsi="Courier New" w:cs="Courier New" w:hint="default"/>
      </w:rPr>
    </w:lvl>
    <w:lvl w:ilvl="5" w:tplc="38090005" w:tentative="1">
      <w:start w:val="1"/>
      <w:numFmt w:val="bullet"/>
      <w:lvlText w:val=""/>
      <w:lvlJc w:val="left"/>
      <w:pPr>
        <w:ind w:left="4010" w:hanging="360"/>
      </w:pPr>
      <w:rPr>
        <w:rFonts w:ascii="Wingdings" w:hAnsi="Wingdings" w:hint="default"/>
      </w:rPr>
    </w:lvl>
    <w:lvl w:ilvl="6" w:tplc="38090001" w:tentative="1">
      <w:start w:val="1"/>
      <w:numFmt w:val="bullet"/>
      <w:lvlText w:val=""/>
      <w:lvlJc w:val="left"/>
      <w:pPr>
        <w:ind w:left="4730" w:hanging="360"/>
      </w:pPr>
      <w:rPr>
        <w:rFonts w:ascii="Symbol" w:hAnsi="Symbol" w:hint="default"/>
      </w:rPr>
    </w:lvl>
    <w:lvl w:ilvl="7" w:tplc="38090003" w:tentative="1">
      <w:start w:val="1"/>
      <w:numFmt w:val="bullet"/>
      <w:lvlText w:val="o"/>
      <w:lvlJc w:val="left"/>
      <w:pPr>
        <w:ind w:left="5450" w:hanging="360"/>
      </w:pPr>
      <w:rPr>
        <w:rFonts w:ascii="Courier New" w:hAnsi="Courier New" w:cs="Courier New" w:hint="default"/>
      </w:rPr>
    </w:lvl>
    <w:lvl w:ilvl="8" w:tplc="38090005" w:tentative="1">
      <w:start w:val="1"/>
      <w:numFmt w:val="bullet"/>
      <w:lvlText w:val=""/>
      <w:lvlJc w:val="left"/>
      <w:pPr>
        <w:ind w:left="6170" w:hanging="360"/>
      </w:pPr>
      <w:rPr>
        <w:rFonts w:ascii="Wingdings" w:hAnsi="Wingdings" w:hint="default"/>
      </w:rPr>
    </w:lvl>
  </w:abstractNum>
  <w:abstractNum w:abstractNumId="4" w15:restartNumberingAfterBreak="0">
    <w:nsid w:val="1949E717"/>
    <w:multiLevelType w:val="hybridMultilevel"/>
    <w:tmpl w:val="90021864"/>
    <w:lvl w:ilvl="0" w:tplc="0E0C3902">
      <w:start w:val="1"/>
      <w:numFmt w:val="bullet"/>
      <w:lvlText w:val="·"/>
      <w:lvlJc w:val="left"/>
      <w:pPr>
        <w:ind w:left="720" w:hanging="360"/>
      </w:pPr>
      <w:rPr>
        <w:rFonts w:ascii="Symbol" w:hAnsi="Symbol" w:hint="default"/>
      </w:rPr>
    </w:lvl>
    <w:lvl w:ilvl="1" w:tplc="89C2527C">
      <w:start w:val="1"/>
      <w:numFmt w:val="bullet"/>
      <w:lvlText w:val="o"/>
      <w:lvlJc w:val="left"/>
      <w:pPr>
        <w:ind w:left="1440" w:hanging="360"/>
      </w:pPr>
      <w:rPr>
        <w:rFonts w:ascii="Courier New" w:hAnsi="Courier New" w:hint="default"/>
      </w:rPr>
    </w:lvl>
    <w:lvl w:ilvl="2" w:tplc="F8DCB67C">
      <w:start w:val="1"/>
      <w:numFmt w:val="bullet"/>
      <w:lvlText w:val=""/>
      <w:lvlJc w:val="left"/>
      <w:pPr>
        <w:ind w:left="2160" w:hanging="360"/>
      </w:pPr>
      <w:rPr>
        <w:rFonts w:ascii="Wingdings" w:hAnsi="Wingdings" w:hint="default"/>
      </w:rPr>
    </w:lvl>
    <w:lvl w:ilvl="3" w:tplc="6BECC6C2">
      <w:start w:val="1"/>
      <w:numFmt w:val="bullet"/>
      <w:lvlText w:val=""/>
      <w:lvlJc w:val="left"/>
      <w:pPr>
        <w:ind w:left="2880" w:hanging="360"/>
      </w:pPr>
      <w:rPr>
        <w:rFonts w:ascii="Symbol" w:hAnsi="Symbol" w:hint="default"/>
      </w:rPr>
    </w:lvl>
    <w:lvl w:ilvl="4" w:tplc="997CC956">
      <w:start w:val="1"/>
      <w:numFmt w:val="bullet"/>
      <w:lvlText w:val="o"/>
      <w:lvlJc w:val="left"/>
      <w:pPr>
        <w:ind w:left="3600" w:hanging="360"/>
      </w:pPr>
      <w:rPr>
        <w:rFonts w:ascii="Courier New" w:hAnsi="Courier New" w:hint="default"/>
      </w:rPr>
    </w:lvl>
    <w:lvl w:ilvl="5" w:tplc="631210CE">
      <w:start w:val="1"/>
      <w:numFmt w:val="bullet"/>
      <w:lvlText w:val=""/>
      <w:lvlJc w:val="left"/>
      <w:pPr>
        <w:ind w:left="4320" w:hanging="360"/>
      </w:pPr>
      <w:rPr>
        <w:rFonts w:ascii="Wingdings" w:hAnsi="Wingdings" w:hint="default"/>
      </w:rPr>
    </w:lvl>
    <w:lvl w:ilvl="6" w:tplc="05A01950">
      <w:start w:val="1"/>
      <w:numFmt w:val="bullet"/>
      <w:lvlText w:val=""/>
      <w:lvlJc w:val="left"/>
      <w:pPr>
        <w:ind w:left="5040" w:hanging="360"/>
      </w:pPr>
      <w:rPr>
        <w:rFonts w:ascii="Symbol" w:hAnsi="Symbol" w:hint="default"/>
      </w:rPr>
    </w:lvl>
    <w:lvl w:ilvl="7" w:tplc="82348300">
      <w:start w:val="1"/>
      <w:numFmt w:val="bullet"/>
      <w:lvlText w:val="o"/>
      <w:lvlJc w:val="left"/>
      <w:pPr>
        <w:ind w:left="5760" w:hanging="360"/>
      </w:pPr>
      <w:rPr>
        <w:rFonts w:ascii="Courier New" w:hAnsi="Courier New" w:hint="default"/>
      </w:rPr>
    </w:lvl>
    <w:lvl w:ilvl="8" w:tplc="0002C4C0">
      <w:start w:val="1"/>
      <w:numFmt w:val="bullet"/>
      <w:lvlText w:val=""/>
      <w:lvlJc w:val="left"/>
      <w:pPr>
        <w:ind w:left="6480" w:hanging="360"/>
      </w:pPr>
      <w:rPr>
        <w:rFonts w:ascii="Wingdings" w:hAnsi="Wingdings" w:hint="default"/>
      </w:rPr>
    </w:lvl>
  </w:abstractNum>
  <w:abstractNum w:abstractNumId="5" w15:restartNumberingAfterBreak="0">
    <w:nsid w:val="22391955"/>
    <w:multiLevelType w:val="hybridMultilevel"/>
    <w:tmpl w:val="FD30D7B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30B0618"/>
    <w:multiLevelType w:val="hybridMultilevel"/>
    <w:tmpl w:val="C432584E"/>
    <w:lvl w:ilvl="0" w:tplc="0C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D6D563"/>
    <w:multiLevelType w:val="hybridMultilevel"/>
    <w:tmpl w:val="E5D2550E"/>
    <w:lvl w:ilvl="0" w:tplc="8AA2EAC4">
      <w:start w:val="1"/>
      <w:numFmt w:val="bullet"/>
      <w:lvlText w:val="·"/>
      <w:lvlJc w:val="left"/>
      <w:pPr>
        <w:ind w:left="720" w:hanging="360"/>
      </w:pPr>
      <w:rPr>
        <w:rFonts w:ascii="Symbol" w:hAnsi="Symbol" w:hint="default"/>
      </w:rPr>
    </w:lvl>
    <w:lvl w:ilvl="1" w:tplc="0EF2DBCC">
      <w:start w:val="1"/>
      <w:numFmt w:val="bullet"/>
      <w:lvlText w:val="o"/>
      <w:lvlJc w:val="left"/>
      <w:pPr>
        <w:ind w:left="1440" w:hanging="360"/>
      </w:pPr>
      <w:rPr>
        <w:rFonts w:ascii="Courier New" w:hAnsi="Courier New" w:hint="default"/>
      </w:rPr>
    </w:lvl>
    <w:lvl w:ilvl="2" w:tplc="B8563FDA">
      <w:start w:val="1"/>
      <w:numFmt w:val="bullet"/>
      <w:lvlText w:val=""/>
      <w:lvlJc w:val="left"/>
      <w:pPr>
        <w:ind w:left="2160" w:hanging="360"/>
      </w:pPr>
      <w:rPr>
        <w:rFonts w:ascii="Wingdings" w:hAnsi="Wingdings" w:hint="default"/>
      </w:rPr>
    </w:lvl>
    <w:lvl w:ilvl="3" w:tplc="F60004B4">
      <w:start w:val="1"/>
      <w:numFmt w:val="bullet"/>
      <w:lvlText w:val=""/>
      <w:lvlJc w:val="left"/>
      <w:pPr>
        <w:ind w:left="2880" w:hanging="360"/>
      </w:pPr>
      <w:rPr>
        <w:rFonts w:ascii="Symbol" w:hAnsi="Symbol" w:hint="default"/>
      </w:rPr>
    </w:lvl>
    <w:lvl w:ilvl="4" w:tplc="C3E839FA">
      <w:start w:val="1"/>
      <w:numFmt w:val="bullet"/>
      <w:lvlText w:val="o"/>
      <w:lvlJc w:val="left"/>
      <w:pPr>
        <w:ind w:left="3600" w:hanging="360"/>
      </w:pPr>
      <w:rPr>
        <w:rFonts w:ascii="Courier New" w:hAnsi="Courier New" w:hint="default"/>
      </w:rPr>
    </w:lvl>
    <w:lvl w:ilvl="5" w:tplc="A38A6622">
      <w:start w:val="1"/>
      <w:numFmt w:val="bullet"/>
      <w:lvlText w:val=""/>
      <w:lvlJc w:val="left"/>
      <w:pPr>
        <w:ind w:left="4320" w:hanging="360"/>
      </w:pPr>
      <w:rPr>
        <w:rFonts w:ascii="Wingdings" w:hAnsi="Wingdings" w:hint="default"/>
      </w:rPr>
    </w:lvl>
    <w:lvl w:ilvl="6" w:tplc="7C8A3EC8">
      <w:start w:val="1"/>
      <w:numFmt w:val="bullet"/>
      <w:lvlText w:val=""/>
      <w:lvlJc w:val="left"/>
      <w:pPr>
        <w:ind w:left="5040" w:hanging="360"/>
      </w:pPr>
      <w:rPr>
        <w:rFonts w:ascii="Symbol" w:hAnsi="Symbol" w:hint="default"/>
      </w:rPr>
    </w:lvl>
    <w:lvl w:ilvl="7" w:tplc="05EEE1E2">
      <w:start w:val="1"/>
      <w:numFmt w:val="bullet"/>
      <w:lvlText w:val="o"/>
      <w:lvlJc w:val="left"/>
      <w:pPr>
        <w:ind w:left="5760" w:hanging="360"/>
      </w:pPr>
      <w:rPr>
        <w:rFonts w:ascii="Courier New" w:hAnsi="Courier New" w:hint="default"/>
      </w:rPr>
    </w:lvl>
    <w:lvl w:ilvl="8" w:tplc="227C3896">
      <w:start w:val="1"/>
      <w:numFmt w:val="bullet"/>
      <w:lvlText w:val=""/>
      <w:lvlJc w:val="left"/>
      <w:pPr>
        <w:ind w:left="6480" w:hanging="360"/>
      </w:pPr>
      <w:rPr>
        <w:rFonts w:ascii="Wingdings" w:hAnsi="Wingdings" w:hint="default"/>
      </w:rPr>
    </w:lvl>
  </w:abstractNum>
  <w:abstractNum w:abstractNumId="8" w15:restartNumberingAfterBreak="0">
    <w:nsid w:val="2A7326BE"/>
    <w:multiLevelType w:val="hybridMultilevel"/>
    <w:tmpl w:val="6A6E732C"/>
    <w:lvl w:ilvl="0" w:tplc="72F46B5E">
      <w:start w:val="1"/>
      <w:numFmt w:val="bullet"/>
      <w:pStyle w:val="bullet"/>
      <w:lvlText w:val=""/>
      <w:lvlJc w:val="left"/>
      <w:pPr>
        <w:ind w:left="717" w:hanging="360"/>
      </w:pPr>
      <w:rPr>
        <w:rFonts w:ascii="Symbol" w:hAnsi="Symbol" w:hint="default"/>
        <w:color w:val="DA291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56432"/>
    <w:multiLevelType w:val="hybridMultilevel"/>
    <w:tmpl w:val="19CCE8D6"/>
    <w:lvl w:ilvl="0" w:tplc="0C090003">
      <w:start w:val="1"/>
      <w:numFmt w:val="bullet"/>
      <w:lvlText w:val="o"/>
      <w:lvlJc w:val="left"/>
      <w:pPr>
        <w:ind w:left="1080" w:hanging="360"/>
      </w:pPr>
      <w:rPr>
        <w:rFonts w:ascii="Courier New" w:hAnsi="Courier New" w:cs="Courier New" w:hint="default"/>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3F8FBC36"/>
    <w:multiLevelType w:val="hybridMultilevel"/>
    <w:tmpl w:val="67909BBE"/>
    <w:lvl w:ilvl="0" w:tplc="2E46A848">
      <w:start w:val="1"/>
      <w:numFmt w:val="decimal"/>
      <w:lvlText w:val="%1."/>
      <w:lvlJc w:val="left"/>
      <w:pPr>
        <w:ind w:left="720" w:hanging="360"/>
      </w:pPr>
    </w:lvl>
    <w:lvl w:ilvl="1" w:tplc="730C2102">
      <w:start w:val="1"/>
      <w:numFmt w:val="lowerLetter"/>
      <w:lvlText w:val="%2."/>
      <w:lvlJc w:val="left"/>
      <w:pPr>
        <w:ind w:left="1440" w:hanging="360"/>
      </w:pPr>
    </w:lvl>
    <w:lvl w:ilvl="2" w:tplc="9408A25C">
      <w:start w:val="1"/>
      <w:numFmt w:val="lowerRoman"/>
      <w:lvlText w:val="%3."/>
      <w:lvlJc w:val="right"/>
      <w:pPr>
        <w:ind w:left="2160" w:hanging="180"/>
      </w:pPr>
    </w:lvl>
    <w:lvl w:ilvl="3" w:tplc="505C2D5C">
      <w:start w:val="1"/>
      <w:numFmt w:val="decimal"/>
      <w:lvlText w:val="%4."/>
      <w:lvlJc w:val="left"/>
      <w:pPr>
        <w:ind w:left="2880" w:hanging="360"/>
      </w:pPr>
    </w:lvl>
    <w:lvl w:ilvl="4" w:tplc="84C642AE">
      <w:start w:val="1"/>
      <w:numFmt w:val="lowerLetter"/>
      <w:lvlText w:val="%5."/>
      <w:lvlJc w:val="left"/>
      <w:pPr>
        <w:ind w:left="3600" w:hanging="360"/>
      </w:pPr>
    </w:lvl>
    <w:lvl w:ilvl="5" w:tplc="73BC87E2">
      <w:start w:val="1"/>
      <w:numFmt w:val="lowerRoman"/>
      <w:lvlText w:val="%6."/>
      <w:lvlJc w:val="right"/>
      <w:pPr>
        <w:ind w:left="4320" w:hanging="180"/>
      </w:pPr>
    </w:lvl>
    <w:lvl w:ilvl="6" w:tplc="6D548F46">
      <w:start w:val="1"/>
      <w:numFmt w:val="decimal"/>
      <w:lvlText w:val="%7."/>
      <w:lvlJc w:val="left"/>
      <w:pPr>
        <w:ind w:left="5040" w:hanging="360"/>
      </w:pPr>
    </w:lvl>
    <w:lvl w:ilvl="7" w:tplc="DDF6A7F2">
      <w:start w:val="1"/>
      <w:numFmt w:val="lowerLetter"/>
      <w:lvlText w:val="%8."/>
      <w:lvlJc w:val="left"/>
      <w:pPr>
        <w:ind w:left="5760" w:hanging="360"/>
      </w:pPr>
    </w:lvl>
    <w:lvl w:ilvl="8" w:tplc="5CE077CA">
      <w:start w:val="1"/>
      <w:numFmt w:val="lowerRoman"/>
      <w:lvlText w:val="%9."/>
      <w:lvlJc w:val="right"/>
      <w:pPr>
        <w:ind w:left="6480" w:hanging="180"/>
      </w:pPr>
    </w:lvl>
  </w:abstractNum>
  <w:abstractNum w:abstractNumId="11" w15:restartNumberingAfterBreak="0">
    <w:nsid w:val="48D6EB2D"/>
    <w:multiLevelType w:val="hybridMultilevel"/>
    <w:tmpl w:val="B4AEF088"/>
    <w:lvl w:ilvl="0" w:tplc="50AC67C4">
      <w:start w:val="10"/>
      <w:numFmt w:val="decimal"/>
      <w:lvlText w:val="%1."/>
      <w:lvlJc w:val="left"/>
      <w:pPr>
        <w:ind w:left="720" w:hanging="360"/>
      </w:pPr>
    </w:lvl>
    <w:lvl w:ilvl="1" w:tplc="279A92C4">
      <w:start w:val="1"/>
      <w:numFmt w:val="lowerLetter"/>
      <w:lvlText w:val="%2."/>
      <w:lvlJc w:val="left"/>
      <w:pPr>
        <w:ind w:left="1440" w:hanging="360"/>
      </w:pPr>
    </w:lvl>
    <w:lvl w:ilvl="2" w:tplc="1732473E">
      <w:start w:val="1"/>
      <w:numFmt w:val="lowerRoman"/>
      <w:lvlText w:val="%3."/>
      <w:lvlJc w:val="right"/>
      <w:pPr>
        <w:ind w:left="2160" w:hanging="180"/>
      </w:pPr>
    </w:lvl>
    <w:lvl w:ilvl="3" w:tplc="66D2E254">
      <w:start w:val="1"/>
      <w:numFmt w:val="decimal"/>
      <w:lvlText w:val="%4."/>
      <w:lvlJc w:val="left"/>
      <w:pPr>
        <w:ind w:left="2880" w:hanging="360"/>
      </w:pPr>
    </w:lvl>
    <w:lvl w:ilvl="4" w:tplc="5572612C">
      <w:start w:val="1"/>
      <w:numFmt w:val="lowerLetter"/>
      <w:lvlText w:val="%5."/>
      <w:lvlJc w:val="left"/>
      <w:pPr>
        <w:ind w:left="3600" w:hanging="360"/>
      </w:pPr>
    </w:lvl>
    <w:lvl w:ilvl="5" w:tplc="5E44DC10">
      <w:start w:val="1"/>
      <w:numFmt w:val="lowerRoman"/>
      <w:lvlText w:val="%6."/>
      <w:lvlJc w:val="right"/>
      <w:pPr>
        <w:ind w:left="4320" w:hanging="180"/>
      </w:pPr>
    </w:lvl>
    <w:lvl w:ilvl="6" w:tplc="EA50A29E">
      <w:start w:val="1"/>
      <w:numFmt w:val="decimal"/>
      <w:lvlText w:val="%7."/>
      <w:lvlJc w:val="left"/>
      <w:pPr>
        <w:ind w:left="5040" w:hanging="360"/>
      </w:pPr>
    </w:lvl>
    <w:lvl w:ilvl="7" w:tplc="13028FD0">
      <w:start w:val="1"/>
      <w:numFmt w:val="lowerLetter"/>
      <w:lvlText w:val="%8."/>
      <w:lvlJc w:val="left"/>
      <w:pPr>
        <w:ind w:left="5760" w:hanging="360"/>
      </w:pPr>
    </w:lvl>
    <w:lvl w:ilvl="8" w:tplc="B3C28DAC">
      <w:start w:val="1"/>
      <w:numFmt w:val="lowerRoman"/>
      <w:lvlText w:val="%9."/>
      <w:lvlJc w:val="right"/>
      <w:pPr>
        <w:ind w:left="6480" w:hanging="180"/>
      </w:pPr>
    </w:lvl>
  </w:abstractNum>
  <w:abstractNum w:abstractNumId="12" w15:restartNumberingAfterBreak="0">
    <w:nsid w:val="50D21B30"/>
    <w:multiLevelType w:val="hybridMultilevel"/>
    <w:tmpl w:val="D6A649C0"/>
    <w:lvl w:ilvl="0" w:tplc="B510CF22">
      <w:start w:val="1"/>
      <w:numFmt w:val="bullet"/>
      <w:lvlText w:val="·"/>
      <w:lvlJc w:val="left"/>
      <w:pPr>
        <w:ind w:left="720" w:hanging="360"/>
      </w:pPr>
      <w:rPr>
        <w:rFonts w:ascii="Symbol" w:hAnsi="Symbol" w:hint="default"/>
      </w:rPr>
    </w:lvl>
    <w:lvl w:ilvl="1" w:tplc="DECA74D8">
      <w:start w:val="1"/>
      <w:numFmt w:val="bullet"/>
      <w:lvlText w:val="o"/>
      <w:lvlJc w:val="left"/>
      <w:pPr>
        <w:ind w:left="1440" w:hanging="360"/>
      </w:pPr>
      <w:rPr>
        <w:rFonts w:ascii="Courier New" w:hAnsi="Courier New" w:hint="default"/>
      </w:rPr>
    </w:lvl>
    <w:lvl w:ilvl="2" w:tplc="06F09CDE">
      <w:start w:val="1"/>
      <w:numFmt w:val="bullet"/>
      <w:lvlText w:val=""/>
      <w:lvlJc w:val="left"/>
      <w:pPr>
        <w:ind w:left="2160" w:hanging="360"/>
      </w:pPr>
      <w:rPr>
        <w:rFonts w:ascii="Wingdings" w:hAnsi="Wingdings" w:hint="default"/>
      </w:rPr>
    </w:lvl>
    <w:lvl w:ilvl="3" w:tplc="812A9400">
      <w:start w:val="1"/>
      <w:numFmt w:val="bullet"/>
      <w:lvlText w:val=""/>
      <w:lvlJc w:val="left"/>
      <w:pPr>
        <w:ind w:left="2880" w:hanging="360"/>
      </w:pPr>
      <w:rPr>
        <w:rFonts w:ascii="Symbol" w:hAnsi="Symbol" w:hint="default"/>
      </w:rPr>
    </w:lvl>
    <w:lvl w:ilvl="4" w:tplc="30C097EE">
      <w:start w:val="1"/>
      <w:numFmt w:val="bullet"/>
      <w:lvlText w:val="o"/>
      <w:lvlJc w:val="left"/>
      <w:pPr>
        <w:ind w:left="3600" w:hanging="360"/>
      </w:pPr>
      <w:rPr>
        <w:rFonts w:ascii="Courier New" w:hAnsi="Courier New" w:hint="default"/>
      </w:rPr>
    </w:lvl>
    <w:lvl w:ilvl="5" w:tplc="1E10CB48">
      <w:start w:val="1"/>
      <w:numFmt w:val="bullet"/>
      <w:lvlText w:val=""/>
      <w:lvlJc w:val="left"/>
      <w:pPr>
        <w:ind w:left="4320" w:hanging="360"/>
      </w:pPr>
      <w:rPr>
        <w:rFonts w:ascii="Wingdings" w:hAnsi="Wingdings" w:hint="default"/>
      </w:rPr>
    </w:lvl>
    <w:lvl w:ilvl="6" w:tplc="27DA4AA8">
      <w:start w:val="1"/>
      <w:numFmt w:val="bullet"/>
      <w:lvlText w:val=""/>
      <w:lvlJc w:val="left"/>
      <w:pPr>
        <w:ind w:left="5040" w:hanging="360"/>
      </w:pPr>
      <w:rPr>
        <w:rFonts w:ascii="Symbol" w:hAnsi="Symbol" w:hint="default"/>
      </w:rPr>
    </w:lvl>
    <w:lvl w:ilvl="7" w:tplc="9858E894">
      <w:start w:val="1"/>
      <w:numFmt w:val="bullet"/>
      <w:lvlText w:val="o"/>
      <w:lvlJc w:val="left"/>
      <w:pPr>
        <w:ind w:left="5760" w:hanging="360"/>
      </w:pPr>
      <w:rPr>
        <w:rFonts w:ascii="Courier New" w:hAnsi="Courier New" w:hint="default"/>
      </w:rPr>
    </w:lvl>
    <w:lvl w:ilvl="8" w:tplc="276CD4B0">
      <w:start w:val="1"/>
      <w:numFmt w:val="bullet"/>
      <w:lvlText w:val=""/>
      <w:lvlJc w:val="left"/>
      <w:pPr>
        <w:ind w:left="6480" w:hanging="360"/>
      </w:pPr>
      <w:rPr>
        <w:rFonts w:ascii="Wingdings" w:hAnsi="Wingdings" w:hint="default"/>
      </w:rPr>
    </w:lvl>
  </w:abstractNum>
  <w:abstractNum w:abstractNumId="13" w15:restartNumberingAfterBreak="0">
    <w:nsid w:val="5EA529B0"/>
    <w:multiLevelType w:val="hybridMultilevel"/>
    <w:tmpl w:val="B9AA1FD4"/>
    <w:lvl w:ilvl="0" w:tplc="681C7B7E">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9C579F"/>
    <w:multiLevelType w:val="hybridMultilevel"/>
    <w:tmpl w:val="73588FDA"/>
    <w:lvl w:ilvl="0" w:tplc="074429EC">
      <w:start w:val="1"/>
      <w:numFmt w:val="bullet"/>
      <w:lvlText w:val="·"/>
      <w:lvlJc w:val="left"/>
      <w:pPr>
        <w:ind w:left="720" w:hanging="360"/>
      </w:pPr>
      <w:rPr>
        <w:rFonts w:ascii="Symbol" w:hAnsi="Symbol" w:hint="default"/>
      </w:rPr>
    </w:lvl>
    <w:lvl w:ilvl="1" w:tplc="924E2754">
      <w:start w:val="1"/>
      <w:numFmt w:val="bullet"/>
      <w:lvlText w:val="o"/>
      <w:lvlJc w:val="left"/>
      <w:pPr>
        <w:ind w:left="1440" w:hanging="360"/>
      </w:pPr>
      <w:rPr>
        <w:rFonts w:ascii="Courier New" w:hAnsi="Courier New" w:hint="default"/>
      </w:rPr>
    </w:lvl>
    <w:lvl w:ilvl="2" w:tplc="31CA7F0A">
      <w:start w:val="1"/>
      <w:numFmt w:val="bullet"/>
      <w:lvlText w:val=""/>
      <w:lvlJc w:val="left"/>
      <w:pPr>
        <w:ind w:left="2160" w:hanging="360"/>
      </w:pPr>
      <w:rPr>
        <w:rFonts w:ascii="Wingdings" w:hAnsi="Wingdings" w:hint="default"/>
      </w:rPr>
    </w:lvl>
    <w:lvl w:ilvl="3" w:tplc="FF0CFBD0">
      <w:start w:val="1"/>
      <w:numFmt w:val="bullet"/>
      <w:lvlText w:val=""/>
      <w:lvlJc w:val="left"/>
      <w:pPr>
        <w:ind w:left="2880" w:hanging="360"/>
      </w:pPr>
      <w:rPr>
        <w:rFonts w:ascii="Symbol" w:hAnsi="Symbol" w:hint="default"/>
      </w:rPr>
    </w:lvl>
    <w:lvl w:ilvl="4" w:tplc="DE7832BA">
      <w:start w:val="1"/>
      <w:numFmt w:val="bullet"/>
      <w:lvlText w:val="o"/>
      <w:lvlJc w:val="left"/>
      <w:pPr>
        <w:ind w:left="3600" w:hanging="360"/>
      </w:pPr>
      <w:rPr>
        <w:rFonts w:ascii="Courier New" w:hAnsi="Courier New" w:hint="default"/>
      </w:rPr>
    </w:lvl>
    <w:lvl w:ilvl="5" w:tplc="6FD832E8">
      <w:start w:val="1"/>
      <w:numFmt w:val="bullet"/>
      <w:lvlText w:val=""/>
      <w:lvlJc w:val="left"/>
      <w:pPr>
        <w:ind w:left="4320" w:hanging="360"/>
      </w:pPr>
      <w:rPr>
        <w:rFonts w:ascii="Wingdings" w:hAnsi="Wingdings" w:hint="default"/>
      </w:rPr>
    </w:lvl>
    <w:lvl w:ilvl="6" w:tplc="58A051A2">
      <w:start w:val="1"/>
      <w:numFmt w:val="bullet"/>
      <w:lvlText w:val=""/>
      <w:lvlJc w:val="left"/>
      <w:pPr>
        <w:ind w:left="5040" w:hanging="360"/>
      </w:pPr>
      <w:rPr>
        <w:rFonts w:ascii="Symbol" w:hAnsi="Symbol" w:hint="default"/>
      </w:rPr>
    </w:lvl>
    <w:lvl w:ilvl="7" w:tplc="32E27D44">
      <w:start w:val="1"/>
      <w:numFmt w:val="bullet"/>
      <w:lvlText w:val="o"/>
      <w:lvlJc w:val="left"/>
      <w:pPr>
        <w:ind w:left="5760" w:hanging="360"/>
      </w:pPr>
      <w:rPr>
        <w:rFonts w:ascii="Courier New" w:hAnsi="Courier New" w:hint="default"/>
      </w:rPr>
    </w:lvl>
    <w:lvl w:ilvl="8" w:tplc="0B7CE9AE">
      <w:start w:val="1"/>
      <w:numFmt w:val="bullet"/>
      <w:lvlText w:val=""/>
      <w:lvlJc w:val="left"/>
      <w:pPr>
        <w:ind w:left="6480" w:hanging="360"/>
      </w:pPr>
      <w:rPr>
        <w:rFonts w:ascii="Wingdings" w:hAnsi="Wingdings" w:hint="default"/>
      </w:rPr>
    </w:lvl>
  </w:abstractNum>
  <w:abstractNum w:abstractNumId="15" w15:restartNumberingAfterBreak="0">
    <w:nsid w:val="61BE57EE"/>
    <w:multiLevelType w:val="hybridMultilevel"/>
    <w:tmpl w:val="38384514"/>
    <w:lvl w:ilvl="0" w:tplc="81C04622">
      <w:start w:val="1"/>
      <w:numFmt w:val="bullet"/>
      <w:lvlText w:val="·"/>
      <w:lvlJc w:val="left"/>
      <w:pPr>
        <w:ind w:left="720" w:hanging="360"/>
      </w:pPr>
      <w:rPr>
        <w:rFonts w:ascii="Symbol" w:hAnsi="Symbol" w:hint="default"/>
      </w:rPr>
    </w:lvl>
    <w:lvl w:ilvl="1" w:tplc="E1F880A6">
      <w:start w:val="1"/>
      <w:numFmt w:val="bullet"/>
      <w:lvlText w:val="o"/>
      <w:lvlJc w:val="left"/>
      <w:pPr>
        <w:ind w:left="1440" w:hanging="360"/>
      </w:pPr>
      <w:rPr>
        <w:rFonts w:ascii="Courier New" w:hAnsi="Courier New" w:hint="default"/>
      </w:rPr>
    </w:lvl>
    <w:lvl w:ilvl="2" w:tplc="BE600238">
      <w:start w:val="1"/>
      <w:numFmt w:val="bullet"/>
      <w:lvlText w:val=""/>
      <w:lvlJc w:val="left"/>
      <w:pPr>
        <w:ind w:left="2160" w:hanging="360"/>
      </w:pPr>
      <w:rPr>
        <w:rFonts w:ascii="Wingdings" w:hAnsi="Wingdings" w:hint="default"/>
      </w:rPr>
    </w:lvl>
    <w:lvl w:ilvl="3" w:tplc="62E42886">
      <w:start w:val="1"/>
      <w:numFmt w:val="bullet"/>
      <w:lvlText w:val=""/>
      <w:lvlJc w:val="left"/>
      <w:pPr>
        <w:ind w:left="2880" w:hanging="360"/>
      </w:pPr>
      <w:rPr>
        <w:rFonts w:ascii="Symbol" w:hAnsi="Symbol" w:hint="default"/>
      </w:rPr>
    </w:lvl>
    <w:lvl w:ilvl="4" w:tplc="1D56C4A0">
      <w:start w:val="1"/>
      <w:numFmt w:val="bullet"/>
      <w:lvlText w:val="o"/>
      <w:lvlJc w:val="left"/>
      <w:pPr>
        <w:ind w:left="3600" w:hanging="360"/>
      </w:pPr>
      <w:rPr>
        <w:rFonts w:ascii="Courier New" w:hAnsi="Courier New" w:hint="default"/>
      </w:rPr>
    </w:lvl>
    <w:lvl w:ilvl="5" w:tplc="D5D28868">
      <w:start w:val="1"/>
      <w:numFmt w:val="bullet"/>
      <w:lvlText w:val=""/>
      <w:lvlJc w:val="left"/>
      <w:pPr>
        <w:ind w:left="4320" w:hanging="360"/>
      </w:pPr>
      <w:rPr>
        <w:rFonts w:ascii="Wingdings" w:hAnsi="Wingdings" w:hint="default"/>
      </w:rPr>
    </w:lvl>
    <w:lvl w:ilvl="6" w:tplc="7F28AE18">
      <w:start w:val="1"/>
      <w:numFmt w:val="bullet"/>
      <w:lvlText w:val=""/>
      <w:lvlJc w:val="left"/>
      <w:pPr>
        <w:ind w:left="5040" w:hanging="360"/>
      </w:pPr>
      <w:rPr>
        <w:rFonts w:ascii="Symbol" w:hAnsi="Symbol" w:hint="default"/>
      </w:rPr>
    </w:lvl>
    <w:lvl w:ilvl="7" w:tplc="3AC02F2E">
      <w:start w:val="1"/>
      <w:numFmt w:val="bullet"/>
      <w:lvlText w:val="o"/>
      <w:lvlJc w:val="left"/>
      <w:pPr>
        <w:ind w:left="5760" w:hanging="360"/>
      </w:pPr>
      <w:rPr>
        <w:rFonts w:ascii="Courier New" w:hAnsi="Courier New" w:hint="default"/>
      </w:rPr>
    </w:lvl>
    <w:lvl w:ilvl="8" w:tplc="7FB2564C">
      <w:start w:val="1"/>
      <w:numFmt w:val="bullet"/>
      <w:lvlText w:val=""/>
      <w:lvlJc w:val="left"/>
      <w:pPr>
        <w:ind w:left="6480" w:hanging="360"/>
      </w:pPr>
      <w:rPr>
        <w:rFonts w:ascii="Wingdings" w:hAnsi="Wingdings" w:hint="default"/>
      </w:rPr>
    </w:lvl>
  </w:abstractNum>
  <w:abstractNum w:abstractNumId="16" w15:restartNumberingAfterBreak="0">
    <w:nsid w:val="62E7011F"/>
    <w:multiLevelType w:val="multilevel"/>
    <w:tmpl w:val="62E7011F"/>
    <w:lvl w:ilvl="0">
      <w:start w:val="1"/>
      <w:numFmt w:val="bullet"/>
      <w:lvlText w:val=""/>
      <w:lvlJc w:val="left"/>
      <w:pPr>
        <w:ind w:left="720" w:hanging="360"/>
      </w:pPr>
      <w:rPr>
        <w:rFonts w:ascii="Symbol" w:hAnsi="Symbol" w:hint="default"/>
        <w:color w:val="4472C4"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A059DA"/>
    <w:multiLevelType w:val="hybridMultilevel"/>
    <w:tmpl w:val="98FEDF74"/>
    <w:lvl w:ilvl="0" w:tplc="27A2D6E4">
      <w:start w:val="1"/>
      <w:numFmt w:val="bullet"/>
      <w:lvlText w:val="•"/>
      <w:lvlJc w:val="left"/>
      <w:pPr>
        <w:tabs>
          <w:tab w:val="num" w:pos="720"/>
        </w:tabs>
        <w:ind w:left="720" w:hanging="360"/>
      </w:pPr>
      <w:rPr>
        <w:rFonts w:ascii="Arial" w:hAnsi="Arial" w:hint="default"/>
      </w:rPr>
    </w:lvl>
    <w:lvl w:ilvl="1" w:tplc="659CA720" w:tentative="1">
      <w:start w:val="1"/>
      <w:numFmt w:val="bullet"/>
      <w:lvlText w:val="•"/>
      <w:lvlJc w:val="left"/>
      <w:pPr>
        <w:tabs>
          <w:tab w:val="num" w:pos="1440"/>
        </w:tabs>
        <w:ind w:left="1440" w:hanging="360"/>
      </w:pPr>
      <w:rPr>
        <w:rFonts w:ascii="Arial" w:hAnsi="Arial" w:hint="default"/>
      </w:rPr>
    </w:lvl>
    <w:lvl w:ilvl="2" w:tplc="FA7E63E6" w:tentative="1">
      <w:start w:val="1"/>
      <w:numFmt w:val="bullet"/>
      <w:lvlText w:val="•"/>
      <w:lvlJc w:val="left"/>
      <w:pPr>
        <w:tabs>
          <w:tab w:val="num" w:pos="2160"/>
        </w:tabs>
        <w:ind w:left="2160" w:hanging="360"/>
      </w:pPr>
      <w:rPr>
        <w:rFonts w:ascii="Arial" w:hAnsi="Arial" w:hint="default"/>
      </w:rPr>
    </w:lvl>
    <w:lvl w:ilvl="3" w:tplc="C610C692" w:tentative="1">
      <w:start w:val="1"/>
      <w:numFmt w:val="bullet"/>
      <w:lvlText w:val="•"/>
      <w:lvlJc w:val="left"/>
      <w:pPr>
        <w:tabs>
          <w:tab w:val="num" w:pos="2880"/>
        </w:tabs>
        <w:ind w:left="2880" w:hanging="360"/>
      </w:pPr>
      <w:rPr>
        <w:rFonts w:ascii="Arial" w:hAnsi="Arial" w:hint="default"/>
      </w:rPr>
    </w:lvl>
    <w:lvl w:ilvl="4" w:tplc="83220DCE" w:tentative="1">
      <w:start w:val="1"/>
      <w:numFmt w:val="bullet"/>
      <w:lvlText w:val="•"/>
      <w:lvlJc w:val="left"/>
      <w:pPr>
        <w:tabs>
          <w:tab w:val="num" w:pos="3600"/>
        </w:tabs>
        <w:ind w:left="3600" w:hanging="360"/>
      </w:pPr>
      <w:rPr>
        <w:rFonts w:ascii="Arial" w:hAnsi="Arial" w:hint="default"/>
      </w:rPr>
    </w:lvl>
    <w:lvl w:ilvl="5" w:tplc="D3F8475A" w:tentative="1">
      <w:start w:val="1"/>
      <w:numFmt w:val="bullet"/>
      <w:lvlText w:val="•"/>
      <w:lvlJc w:val="left"/>
      <w:pPr>
        <w:tabs>
          <w:tab w:val="num" w:pos="4320"/>
        </w:tabs>
        <w:ind w:left="4320" w:hanging="360"/>
      </w:pPr>
      <w:rPr>
        <w:rFonts w:ascii="Arial" w:hAnsi="Arial" w:hint="default"/>
      </w:rPr>
    </w:lvl>
    <w:lvl w:ilvl="6" w:tplc="C6C4CDEE" w:tentative="1">
      <w:start w:val="1"/>
      <w:numFmt w:val="bullet"/>
      <w:lvlText w:val="•"/>
      <w:lvlJc w:val="left"/>
      <w:pPr>
        <w:tabs>
          <w:tab w:val="num" w:pos="5040"/>
        </w:tabs>
        <w:ind w:left="5040" w:hanging="360"/>
      </w:pPr>
      <w:rPr>
        <w:rFonts w:ascii="Arial" w:hAnsi="Arial" w:hint="default"/>
      </w:rPr>
    </w:lvl>
    <w:lvl w:ilvl="7" w:tplc="B0D8FCC8" w:tentative="1">
      <w:start w:val="1"/>
      <w:numFmt w:val="bullet"/>
      <w:lvlText w:val="•"/>
      <w:lvlJc w:val="left"/>
      <w:pPr>
        <w:tabs>
          <w:tab w:val="num" w:pos="5760"/>
        </w:tabs>
        <w:ind w:left="5760" w:hanging="360"/>
      </w:pPr>
      <w:rPr>
        <w:rFonts w:ascii="Arial" w:hAnsi="Arial" w:hint="default"/>
      </w:rPr>
    </w:lvl>
    <w:lvl w:ilvl="8" w:tplc="47D40D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9B0093"/>
    <w:multiLevelType w:val="hybridMultilevel"/>
    <w:tmpl w:val="7D4095C4"/>
    <w:lvl w:ilvl="0" w:tplc="E36C5DBE">
      <w:start w:val="1"/>
      <w:numFmt w:val="bullet"/>
      <w:lvlText w:val=""/>
      <w:lvlJc w:val="left"/>
      <w:pPr>
        <w:tabs>
          <w:tab w:val="num" w:pos="720"/>
        </w:tabs>
        <w:ind w:left="720" w:hanging="360"/>
      </w:pPr>
      <w:rPr>
        <w:rFonts w:ascii="Symbol" w:hAnsi="Symbol" w:hint="default"/>
      </w:rPr>
    </w:lvl>
    <w:lvl w:ilvl="1" w:tplc="AE1E2578" w:tentative="1">
      <w:start w:val="1"/>
      <w:numFmt w:val="bullet"/>
      <w:lvlText w:val=""/>
      <w:lvlJc w:val="left"/>
      <w:pPr>
        <w:tabs>
          <w:tab w:val="num" w:pos="1440"/>
        </w:tabs>
        <w:ind w:left="1440" w:hanging="360"/>
      </w:pPr>
      <w:rPr>
        <w:rFonts w:ascii="Symbol" w:hAnsi="Symbol" w:hint="default"/>
      </w:rPr>
    </w:lvl>
    <w:lvl w:ilvl="2" w:tplc="B192A1D6" w:tentative="1">
      <w:start w:val="1"/>
      <w:numFmt w:val="bullet"/>
      <w:lvlText w:val=""/>
      <w:lvlJc w:val="left"/>
      <w:pPr>
        <w:tabs>
          <w:tab w:val="num" w:pos="2160"/>
        </w:tabs>
        <w:ind w:left="2160" w:hanging="360"/>
      </w:pPr>
      <w:rPr>
        <w:rFonts w:ascii="Symbol" w:hAnsi="Symbol" w:hint="default"/>
      </w:rPr>
    </w:lvl>
    <w:lvl w:ilvl="3" w:tplc="0C2E992E" w:tentative="1">
      <w:start w:val="1"/>
      <w:numFmt w:val="bullet"/>
      <w:lvlText w:val=""/>
      <w:lvlJc w:val="left"/>
      <w:pPr>
        <w:tabs>
          <w:tab w:val="num" w:pos="2880"/>
        </w:tabs>
        <w:ind w:left="2880" w:hanging="360"/>
      </w:pPr>
      <w:rPr>
        <w:rFonts w:ascii="Symbol" w:hAnsi="Symbol" w:hint="default"/>
      </w:rPr>
    </w:lvl>
    <w:lvl w:ilvl="4" w:tplc="24EA90D2" w:tentative="1">
      <w:start w:val="1"/>
      <w:numFmt w:val="bullet"/>
      <w:lvlText w:val=""/>
      <w:lvlJc w:val="left"/>
      <w:pPr>
        <w:tabs>
          <w:tab w:val="num" w:pos="3600"/>
        </w:tabs>
        <w:ind w:left="3600" w:hanging="360"/>
      </w:pPr>
      <w:rPr>
        <w:rFonts w:ascii="Symbol" w:hAnsi="Symbol" w:hint="default"/>
      </w:rPr>
    </w:lvl>
    <w:lvl w:ilvl="5" w:tplc="481838F4" w:tentative="1">
      <w:start w:val="1"/>
      <w:numFmt w:val="bullet"/>
      <w:lvlText w:val=""/>
      <w:lvlJc w:val="left"/>
      <w:pPr>
        <w:tabs>
          <w:tab w:val="num" w:pos="4320"/>
        </w:tabs>
        <w:ind w:left="4320" w:hanging="360"/>
      </w:pPr>
      <w:rPr>
        <w:rFonts w:ascii="Symbol" w:hAnsi="Symbol" w:hint="default"/>
      </w:rPr>
    </w:lvl>
    <w:lvl w:ilvl="6" w:tplc="3878A536" w:tentative="1">
      <w:start w:val="1"/>
      <w:numFmt w:val="bullet"/>
      <w:lvlText w:val=""/>
      <w:lvlJc w:val="left"/>
      <w:pPr>
        <w:tabs>
          <w:tab w:val="num" w:pos="5040"/>
        </w:tabs>
        <w:ind w:left="5040" w:hanging="360"/>
      </w:pPr>
      <w:rPr>
        <w:rFonts w:ascii="Symbol" w:hAnsi="Symbol" w:hint="default"/>
      </w:rPr>
    </w:lvl>
    <w:lvl w:ilvl="7" w:tplc="A1C6AFE2" w:tentative="1">
      <w:start w:val="1"/>
      <w:numFmt w:val="bullet"/>
      <w:lvlText w:val=""/>
      <w:lvlJc w:val="left"/>
      <w:pPr>
        <w:tabs>
          <w:tab w:val="num" w:pos="5760"/>
        </w:tabs>
        <w:ind w:left="5760" w:hanging="360"/>
      </w:pPr>
      <w:rPr>
        <w:rFonts w:ascii="Symbol" w:hAnsi="Symbol" w:hint="default"/>
      </w:rPr>
    </w:lvl>
    <w:lvl w:ilvl="8" w:tplc="25BC11F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3F2D77"/>
    <w:multiLevelType w:val="hybridMultilevel"/>
    <w:tmpl w:val="D9F87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057D2"/>
    <w:multiLevelType w:val="hybridMultilevel"/>
    <w:tmpl w:val="E1343B3A"/>
    <w:lvl w:ilvl="0" w:tplc="1009001B">
      <w:start w:val="1"/>
      <w:numFmt w:val="lowerRoman"/>
      <w:lvlText w:val="%1."/>
      <w:lvlJc w:val="righ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484F8E"/>
    <w:multiLevelType w:val="hybridMultilevel"/>
    <w:tmpl w:val="8BD28B28"/>
    <w:lvl w:ilvl="0" w:tplc="E5C0B062">
      <w:start w:val="1"/>
      <w:numFmt w:val="bullet"/>
      <w:lvlText w:val=""/>
      <w:lvlJc w:val="left"/>
      <w:pPr>
        <w:tabs>
          <w:tab w:val="num" w:pos="720"/>
        </w:tabs>
        <w:ind w:left="720" w:hanging="360"/>
      </w:pPr>
      <w:rPr>
        <w:rFonts w:ascii="Symbol" w:hAnsi="Symbol" w:hint="default"/>
      </w:rPr>
    </w:lvl>
    <w:lvl w:ilvl="1" w:tplc="2D7696B0" w:tentative="1">
      <w:start w:val="1"/>
      <w:numFmt w:val="bullet"/>
      <w:lvlText w:val=""/>
      <w:lvlJc w:val="left"/>
      <w:pPr>
        <w:tabs>
          <w:tab w:val="num" w:pos="1440"/>
        </w:tabs>
        <w:ind w:left="1440" w:hanging="360"/>
      </w:pPr>
      <w:rPr>
        <w:rFonts w:ascii="Symbol" w:hAnsi="Symbol" w:hint="default"/>
      </w:rPr>
    </w:lvl>
    <w:lvl w:ilvl="2" w:tplc="61A6809A" w:tentative="1">
      <w:start w:val="1"/>
      <w:numFmt w:val="bullet"/>
      <w:lvlText w:val=""/>
      <w:lvlJc w:val="left"/>
      <w:pPr>
        <w:tabs>
          <w:tab w:val="num" w:pos="2160"/>
        </w:tabs>
        <w:ind w:left="2160" w:hanging="360"/>
      </w:pPr>
      <w:rPr>
        <w:rFonts w:ascii="Symbol" w:hAnsi="Symbol" w:hint="default"/>
      </w:rPr>
    </w:lvl>
    <w:lvl w:ilvl="3" w:tplc="08167A26" w:tentative="1">
      <w:start w:val="1"/>
      <w:numFmt w:val="bullet"/>
      <w:lvlText w:val=""/>
      <w:lvlJc w:val="left"/>
      <w:pPr>
        <w:tabs>
          <w:tab w:val="num" w:pos="2880"/>
        </w:tabs>
        <w:ind w:left="2880" w:hanging="360"/>
      </w:pPr>
      <w:rPr>
        <w:rFonts w:ascii="Symbol" w:hAnsi="Symbol" w:hint="default"/>
      </w:rPr>
    </w:lvl>
    <w:lvl w:ilvl="4" w:tplc="900A6F96" w:tentative="1">
      <w:start w:val="1"/>
      <w:numFmt w:val="bullet"/>
      <w:lvlText w:val=""/>
      <w:lvlJc w:val="left"/>
      <w:pPr>
        <w:tabs>
          <w:tab w:val="num" w:pos="3600"/>
        </w:tabs>
        <w:ind w:left="3600" w:hanging="360"/>
      </w:pPr>
      <w:rPr>
        <w:rFonts w:ascii="Symbol" w:hAnsi="Symbol" w:hint="default"/>
      </w:rPr>
    </w:lvl>
    <w:lvl w:ilvl="5" w:tplc="475AC6E8" w:tentative="1">
      <w:start w:val="1"/>
      <w:numFmt w:val="bullet"/>
      <w:lvlText w:val=""/>
      <w:lvlJc w:val="left"/>
      <w:pPr>
        <w:tabs>
          <w:tab w:val="num" w:pos="4320"/>
        </w:tabs>
        <w:ind w:left="4320" w:hanging="360"/>
      </w:pPr>
      <w:rPr>
        <w:rFonts w:ascii="Symbol" w:hAnsi="Symbol" w:hint="default"/>
      </w:rPr>
    </w:lvl>
    <w:lvl w:ilvl="6" w:tplc="2E42E73A" w:tentative="1">
      <w:start w:val="1"/>
      <w:numFmt w:val="bullet"/>
      <w:lvlText w:val=""/>
      <w:lvlJc w:val="left"/>
      <w:pPr>
        <w:tabs>
          <w:tab w:val="num" w:pos="5040"/>
        </w:tabs>
        <w:ind w:left="5040" w:hanging="360"/>
      </w:pPr>
      <w:rPr>
        <w:rFonts w:ascii="Symbol" w:hAnsi="Symbol" w:hint="default"/>
      </w:rPr>
    </w:lvl>
    <w:lvl w:ilvl="7" w:tplc="21F4EF62" w:tentative="1">
      <w:start w:val="1"/>
      <w:numFmt w:val="bullet"/>
      <w:lvlText w:val=""/>
      <w:lvlJc w:val="left"/>
      <w:pPr>
        <w:tabs>
          <w:tab w:val="num" w:pos="5760"/>
        </w:tabs>
        <w:ind w:left="5760" w:hanging="360"/>
      </w:pPr>
      <w:rPr>
        <w:rFonts w:ascii="Symbol" w:hAnsi="Symbol" w:hint="default"/>
      </w:rPr>
    </w:lvl>
    <w:lvl w:ilvl="8" w:tplc="404625A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AFD1A13"/>
    <w:multiLevelType w:val="hybridMultilevel"/>
    <w:tmpl w:val="E29AC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D8533D"/>
    <w:multiLevelType w:val="hybridMultilevel"/>
    <w:tmpl w:val="C468500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8257184">
    <w:abstractNumId w:val="4"/>
  </w:num>
  <w:num w:numId="2" w16cid:durableId="1737321089">
    <w:abstractNumId w:val="14"/>
  </w:num>
  <w:num w:numId="3" w16cid:durableId="75329922">
    <w:abstractNumId w:val="12"/>
  </w:num>
  <w:num w:numId="4" w16cid:durableId="1705908825">
    <w:abstractNumId w:val="15"/>
  </w:num>
  <w:num w:numId="5" w16cid:durableId="687223158">
    <w:abstractNumId w:val="7"/>
  </w:num>
  <w:num w:numId="6" w16cid:durableId="770317885">
    <w:abstractNumId w:val="11"/>
  </w:num>
  <w:num w:numId="7" w16cid:durableId="1357653735">
    <w:abstractNumId w:val="10"/>
  </w:num>
  <w:num w:numId="8" w16cid:durableId="497380055">
    <w:abstractNumId w:val="23"/>
  </w:num>
  <w:num w:numId="9" w16cid:durableId="326441017">
    <w:abstractNumId w:val="5"/>
  </w:num>
  <w:num w:numId="10" w16cid:durableId="113913212">
    <w:abstractNumId w:val="13"/>
  </w:num>
  <w:num w:numId="11" w16cid:durableId="1833136082">
    <w:abstractNumId w:val="3"/>
  </w:num>
  <w:num w:numId="12" w16cid:durableId="1263414298">
    <w:abstractNumId w:val="16"/>
  </w:num>
  <w:num w:numId="13" w16cid:durableId="663167124">
    <w:abstractNumId w:val="18"/>
  </w:num>
  <w:num w:numId="14" w16cid:durableId="1876305118">
    <w:abstractNumId w:val="21"/>
  </w:num>
  <w:num w:numId="15" w16cid:durableId="111437180">
    <w:abstractNumId w:val="19"/>
  </w:num>
  <w:num w:numId="16" w16cid:durableId="106975629">
    <w:abstractNumId w:val="17"/>
  </w:num>
  <w:num w:numId="17" w16cid:durableId="2142460462">
    <w:abstractNumId w:val="8"/>
  </w:num>
  <w:num w:numId="18" w16cid:durableId="289552363">
    <w:abstractNumId w:val="2"/>
  </w:num>
  <w:num w:numId="19" w16cid:durableId="327638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571187">
    <w:abstractNumId w:val="0"/>
  </w:num>
  <w:num w:numId="21" w16cid:durableId="1727877751">
    <w:abstractNumId w:val="20"/>
  </w:num>
  <w:num w:numId="22" w16cid:durableId="595793126">
    <w:abstractNumId w:val="6"/>
  </w:num>
  <w:num w:numId="23" w16cid:durableId="1003627308">
    <w:abstractNumId w:val="9"/>
  </w:num>
  <w:num w:numId="24" w16cid:durableId="1341469590">
    <w:abstractNumId w:val="1"/>
  </w:num>
  <w:num w:numId="25" w16cid:durableId="20577763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F5"/>
    <w:rsid w:val="000029C0"/>
    <w:rsid w:val="000040BB"/>
    <w:rsid w:val="00013BAD"/>
    <w:rsid w:val="00013D43"/>
    <w:rsid w:val="000140A2"/>
    <w:rsid w:val="00014A36"/>
    <w:rsid w:val="000170B1"/>
    <w:rsid w:val="0001720E"/>
    <w:rsid w:val="00020481"/>
    <w:rsid w:val="00024933"/>
    <w:rsid w:val="000261A2"/>
    <w:rsid w:val="00030F16"/>
    <w:rsid w:val="0003193D"/>
    <w:rsid w:val="000321E5"/>
    <w:rsid w:val="00035693"/>
    <w:rsid w:val="00042930"/>
    <w:rsid w:val="000447A7"/>
    <w:rsid w:val="00044910"/>
    <w:rsid w:val="0005031D"/>
    <w:rsid w:val="0005210B"/>
    <w:rsid w:val="000574CD"/>
    <w:rsid w:val="00057F72"/>
    <w:rsid w:val="000617C1"/>
    <w:rsid w:val="00062664"/>
    <w:rsid w:val="00070EED"/>
    <w:rsid w:val="0007255A"/>
    <w:rsid w:val="000760EC"/>
    <w:rsid w:val="0007690E"/>
    <w:rsid w:val="000777C4"/>
    <w:rsid w:val="00082479"/>
    <w:rsid w:val="00084D34"/>
    <w:rsid w:val="00085658"/>
    <w:rsid w:val="00090A67"/>
    <w:rsid w:val="000913B2"/>
    <w:rsid w:val="00091B96"/>
    <w:rsid w:val="000A31EE"/>
    <w:rsid w:val="000B6BA1"/>
    <w:rsid w:val="000B7A2D"/>
    <w:rsid w:val="000C1DAF"/>
    <w:rsid w:val="000C4DEF"/>
    <w:rsid w:val="000C72FC"/>
    <w:rsid w:val="000D6556"/>
    <w:rsid w:val="000D6A43"/>
    <w:rsid w:val="000E02EB"/>
    <w:rsid w:val="000E28F5"/>
    <w:rsid w:val="000E4F5E"/>
    <w:rsid w:val="000E5CBC"/>
    <w:rsid w:val="000F287A"/>
    <w:rsid w:val="000F367C"/>
    <w:rsid w:val="00100EF2"/>
    <w:rsid w:val="00104F32"/>
    <w:rsid w:val="00105000"/>
    <w:rsid w:val="001072E3"/>
    <w:rsid w:val="001123B9"/>
    <w:rsid w:val="0011257A"/>
    <w:rsid w:val="0011367C"/>
    <w:rsid w:val="00115E12"/>
    <w:rsid w:val="001221E3"/>
    <w:rsid w:val="00123FA9"/>
    <w:rsid w:val="00124D14"/>
    <w:rsid w:val="0012637B"/>
    <w:rsid w:val="00136258"/>
    <w:rsid w:val="00147C78"/>
    <w:rsid w:val="001527B4"/>
    <w:rsid w:val="001531B9"/>
    <w:rsid w:val="001543EE"/>
    <w:rsid w:val="0016246D"/>
    <w:rsid w:val="00172973"/>
    <w:rsid w:val="00176CC8"/>
    <w:rsid w:val="00180B63"/>
    <w:rsid w:val="00192082"/>
    <w:rsid w:val="00194302"/>
    <w:rsid w:val="001A109A"/>
    <w:rsid w:val="001A797E"/>
    <w:rsid w:val="001B1FC4"/>
    <w:rsid w:val="001C186D"/>
    <w:rsid w:val="001C1B82"/>
    <w:rsid w:val="001C2C4E"/>
    <w:rsid w:val="001C3DEC"/>
    <w:rsid w:val="001D2D40"/>
    <w:rsid w:val="001D3A3D"/>
    <w:rsid w:val="001D4C42"/>
    <w:rsid w:val="001E0206"/>
    <w:rsid w:val="001E1D5F"/>
    <w:rsid w:val="001E719D"/>
    <w:rsid w:val="001F1F7E"/>
    <w:rsid w:val="00203403"/>
    <w:rsid w:val="002201D9"/>
    <w:rsid w:val="00223A5B"/>
    <w:rsid w:val="00225182"/>
    <w:rsid w:val="002252A8"/>
    <w:rsid w:val="00227B52"/>
    <w:rsid w:val="00230165"/>
    <w:rsid w:val="00232052"/>
    <w:rsid w:val="00232D7D"/>
    <w:rsid w:val="0023502A"/>
    <w:rsid w:val="00243179"/>
    <w:rsid w:val="0025350D"/>
    <w:rsid w:val="00256CD2"/>
    <w:rsid w:val="00264528"/>
    <w:rsid w:val="00272B02"/>
    <w:rsid w:val="00277506"/>
    <w:rsid w:val="0028029E"/>
    <w:rsid w:val="002840E4"/>
    <w:rsid w:val="00290935"/>
    <w:rsid w:val="00290F39"/>
    <w:rsid w:val="002A1B01"/>
    <w:rsid w:val="002B6CF1"/>
    <w:rsid w:val="002B79E3"/>
    <w:rsid w:val="002C593C"/>
    <w:rsid w:val="002D444A"/>
    <w:rsid w:val="002D6F65"/>
    <w:rsid w:val="002E643D"/>
    <w:rsid w:val="002F0B7F"/>
    <w:rsid w:val="002F0C22"/>
    <w:rsid w:val="002F264C"/>
    <w:rsid w:val="002F64C8"/>
    <w:rsid w:val="0031030C"/>
    <w:rsid w:val="00311049"/>
    <w:rsid w:val="00315A57"/>
    <w:rsid w:val="00320F41"/>
    <w:rsid w:val="003228A2"/>
    <w:rsid w:val="0032384B"/>
    <w:rsid w:val="003249B3"/>
    <w:rsid w:val="00327A00"/>
    <w:rsid w:val="003311AB"/>
    <w:rsid w:val="00332F5D"/>
    <w:rsid w:val="00337B81"/>
    <w:rsid w:val="00337F3C"/>
    <w:rsid w:val="00345A32"/>
    <w:rsid w:val="00347DD8"/>
    <w:rsid w:val="00356E2D"/>
    <w:rsid w:val="00361488"/>
    <w:rsid w:val="0036151A"/>
    <w:rsid w:val="0036303D"/>
    <w:rsid w:val="00365BAF"/>
    <w:rsid w:val="00371B4A"/>
    <w:rsid w:val="0037294E"/>
    <w:rsid w:val="00373495"/>
    <w:rsid w:val="00373DFD"/>
    <w:rsid w:val="00374BEE"/>
    <w:rsid w:val="00377CE0"/>
    <w:rsid w:val="00380891"/>
    <w:rsid w:val="00382781"/>
    <w:rsid w:val="00383ED9"/>
    <w:rsid w:val="003A01CD"/>
    <w:rsid w:val="003A08CE"/>
    <w:rsid w:val="003A2F04"/>
    <w:rsid w:val="003A321F"/>
    <w:rsid w:val="003A6D8E"/>
    <w:rsid w:val="003B2A47"/>
    <w:rsid w:val="003B4230"/>
    <w:rsid w:val="003B4C75"/>
    <w:rsid w:val="003C4E62"/>
    <w:rsid w:val="003C6F56"/>
    <w:rsid w:val="003C762D"/>
    <w:rsid w:val="003C7F48"/>
    <w:rsid w:val="003D5F1B"/>
    <w:rsid w:val="003D60F5"/>
    <w:rsid w:val="003E0110"/>
    <w:rsid w:val="003E0901"/>
    <w:rsid w:val="003E7764"/>
    <w:rsid w:val="003F2884"/>
    <w:rsid w:val="003F5411"/>
    <w:rsid w:val="00404B75"/>
    <w:rsid w:val="0041017F"/>
    <w:rsid w:val="0041236A"/>
    <w:rsid w:val="00413C9B"/>
    <w:rsid w:val="004241D8"/>
    <w:rsid w:val="00430701"/>
    <w:rsid w:val="00432046"/>
    <w:rsid w:val="00437C8F"/>
    <w:rsid w:val="00440C8E"/>
    <w:rsid w:val="00441EAC"/>
    <w:rsid w:val="0044366F"/>
    <w:rsid w:val="004442D9"/>
    <w:rsid w:val="004457D1"/>
    <w:rsid w:val="00452CBD"/>
    <w:rsid w:val="004555CE"/>
    <w:rsid w:val="004579F8"/>
    <w:rsid w:val="00471191"/>
    <w:rsid w:val="004713FC"/>
    <w:rsid w:val="00483BFF"/>
    <w:rsid w:val="00485594"/>
    <w:rsid w:val="004A0346"/>
    <w:rsid w:val="004A1B71"/>
    <w:rsid w:val="004A3C41"/>
    <w:rsid w:val="004A4BE2"/>
    <w:rsid w:val="004B59ED"/>
    <w:rsid w:val="004B70AF"/>
    <w:rsid w:val="004C221B"/>
    <w:rsid w:val="004C2C06"/>
    <w:rsid w:val="004C6E6D"/>
    <w:rsid w:val="004D44C0"/>
    <w:rsid w:val="004D51B8"/>
    <w:rsid w:val="004E5039"/>
    <w:rsid w:val="004E7014"/>
    <w:rsid w:val="004E740B"/>
    <w:rsid w:val="004F0124"/>
    <w:rsid w:val="004F39A1"/>
    <w:rsid w:val="004F4E80"/>
    <w:rsid w:val="00503AD4"/>
    <w:rsid w:val="00503FA8"/>
    <w:rsid w:val="005110E2"/>
    <w:rsid w:val="00520D1A"/>
    <w:rsid w:val="00520F22"/>
    <w:rsid w:val="00522635"/>
    <w:rsid w:val="00524657"/>
    <w:rsid w:val="0052578C"/>
    <w:rsid w:val="00526851"/>
    <w:rsid w:val="00526C8B"/>
    <w:rsid w:val="005335B8"/>
    <w:rsid w:val="00533C50"/>
    <w:rsid w:val="005377A6"/>
    <w:rsid w:val="00545735"/>
    <w:rsid w:val="00561391"/>
    <w:rsid w:val="00562136"/>
    <w:rsid w:val="005764CE"/>
    <w:rsid w:val="005826E0"/>
    <w:rsid w:val="00595434"/>
    <w:rsid w:val="005A5F49"/>
    <w:rsid w:val="005A75A9"/>
    <w:rsid w:val="005B4071"/>
    <w:rsid w:val="005C4DD0"/>
    <w:rsid w:val="005D0638"/>
    <w:rsid w:val="005D0C06"/>
    <w:rsid w:val="005E0DF4"/>
    <w:rsid w:val="005E2E83"/>
    <w:rsid w:val="005F6C93"/>
    <w:rsid w:val="00605366"/>
    <w:rsid w:val="006158A6"/>
    <w:rsid w:val="00620323"/>
    <w:rsid w:val="006361C9"/>
    <w:rsid w:val="00636BC5"/>
    <w:rsid w:val="00640C1B"/>
    <w:rsid w:val="0065537D"/>
    <w:rsid w:val="006553FF"/>
    <w:rsid w:val="0065726E"/>
    <w:rsid w:val="00665C75"/>
    <w:rsid w:val="006735FF"/>
    <w:rsid w:val="00673BF9"/>
    <w:rsid w:val="00675772"/>
    <w:rsid w:val="006772D9"/>
    <w:rsid w:val="00677ED3"/>
    <w:rsid w:val="006845B4"/>
    <w:rsid w:val="00686291"/>
    <w:rsid w:val="00686B4A"/>
    <w:rsid w:val="006920B0"/>
    <w:rsid w:val="006A0252"/>
    <w:rsid w:val="006A481D"/>
    <w:rsid w:val="006B2F03"/>
    <w:rsid w:val="006B6687"/>
    <w:rsid w:val="006B6EB1"/>
    <w:rsid w:val="006C3CF2"/>
    <w:rsid w:val="006D1571"/>
    <w:rsid w:val="006E3A6E"/>
    <w:rsid w:val="006E627D"/>
    <w:rsid w:val="006F1407"/>
    <w:rsid w:val="006F4136"/>
    <w:rsid w:val="006F70F0"/>
    <w:rsid w:val="007101CD"/>
    <w:rsid w:val="00711389"/>
    <w:rsid w:val="00723425"/>
    <w:rsid w:val="00725E74"/>
    <w:rsid w:val="00726AD9"/>
    <w:rsid w:val="00726BCD"/>
    <w:rsid w:val="00730D48"/>
    <w:rsid w:val="00735960"/>
    <w:rsid w:val="00741463"/>
    <w:rsid w:val="007461E7"/>
    <w:rsid w:val="00747BED"/>
    <w:rsid w:val="007501B7"/>
    <w:rsid w:val="00763252"/>
    <w:rsid w:val="007706C7"/>
    <w:rsid w:val="007767C1"/>
    <w:rsid w:val="00781433"/>
    <w:rsid w:val="007828AC"/>
    <w:rsid w:val="007860D4"/>
    <w:rsid w:val="00786162"/>
    <w:rsid w:val="00793825"/>
    <w:rsid w:val="007B2A6E"/>
    <w:rsid w:val="007B3B41"/>
    <w:rsid w:val="007C3D2C"/>
    <w:rsid w:val="007C484B"/>
    <w:rsid w:val="007C6117"/>
    <w:rsid w:val="007D31AA"/>
    <w:rsid w:val="007E195C"/>
    <w:rsid w:val="007E4B69"/>
    <w:rsid w:val="007E4D98"/>
    <w:rsid w:val="007E6FAB"/>
    <w:rsid w:val="007F41A1"/>
    <w:rsid w:val="00802134"/>
    <w:rsid w:val="00807F68"/>
    <w:rsid w:val="00810759"/>
    <w:rsid w:val="008152E5"/>
    <w:rsid w:val="00815F04"/>
    <w:rsid w:val="00821E52"/>
    <w:rsid w:val="0082712B"/>
    <w:rsid w:val="00830875"/>
    <w:rsid w:val="00834131"/>
    <w:rsid w:val="00836065"/>
    <w:rsid w:val="00837843"/>
    <w:rsid w:val="00841CE4"/>
    <w:rsid w:val="00843763"/>
    <w:rsid w:val="008459EA"/>
    <w:rsid w:val="008503F9"/>
    <w:rsid w:val="008525C0"/>
    <w:rsid w:val="00861DB8"/>
    <w:rsid w:val="00880B4C"/>
    <w:rsid w:val="00887306"/>
    <w:rsid w:val="0088BA40"/>
    <w:rsid w:val="008A164B"/>
    <w:rsid w:val="008A24D1"/>
    <w:rsid w:val="008B10AD"/>
    <w:rsid w:val="008B30DE"/>
    <w:rsid w:val="008B7427"/>
    <w:rsid w:val="008C17C5"/>
    <w:rsid w:val="008C669E"/>
    <w:rsid w:val="008D3E60"/>
    <w:rsid w:val="008D468F"/>
    <w:rsid w:val="008E15C8"/>
    <w:rsid w:val="008F0623"/>
    <w:rsid w:val="008F44F1"/>
    <w:rsid w:val="008F6FA4"/>
    <w:rsid w:val="0092685C"/>
    <w:rsid w:val="0092786B"/>
    <w:rsid w:val="00927E2F"/>
    <w:rsid w:val="00930AC8"/>
    <w:rsid w:val="00932A2A"/>
    <w:rsid w:val="00933F35"/>
    <w:rsid w:val="00934DBE"/>
    <w:rsid w:val="0093736F"/>
    <w:rsid w:val="00944029"/>
    <w:rsid w:val="00957B2D"/>
    <w:rsid w:val="0096FC4D"/>
    <w:rsid w:val="00973C6A"/>
    <w:rsid w:val="0098013F"/>
    <w:rsid w:val="00983D2B"/>
    <w:rsid w:val="00984246"/>
    <w:rsid w:val="00994DEA"/>
    <w:rsid w:val="009B32C9"/>
    <w:rsid w:val="009B49C8"/>
    <w:rsid w:val="009C46F8"/>
    <w:rsid w:val="009C4F85"/>
    <w:rsid w:val="009D4A74"/>
    <w:rsid w:val="009D6ECA"/>
    <w:rsid w:val="009D749F"/>
    <w:rsid w:val="009E0F25"/>
    <w:rsid w:val="009E35C8"/>
    <w:rsid w:val="009E75A4"/>
    <w:rsid w:val="009EAEB8"/>
    <w:rsid w:val="009F18CC"/>
    <w:rsid w:val="009F1C70"/>
    <w:rsid w:val="009F52B1"/>
    <w:rsid w:val="009F6059"/>
    <w:rsid w:val="00A02512"/>
    <w:rsid w:val="00A03248"/>
    <w:rsid w:val="00A03DB6"/>
    <w:rsid w:val="00A105F4"/>
    <w:rsid w:val="00A1693F"/>
    <w:rsid w:val="00A27354"/>
    <w:rsid w:val="00A30D05"/>
    <w:rsid w:val="00A441EC"/>
    <w:rsid w:val="00A45126"/>
    <w:rsid w:val="00A53795"/>
    <w:rsid w:val="00A61AB4"/>
    <w:rsid w:val="00A623BF"/>
    <w:rsid w:val="00A66ACD"/>
    <w:rsid w:val="00A73DAA"/>
    <w:rsid w:val="00A75543"/>
    <w:rsid w:val="00A76D49"/>
    <w:rsid w:val="00A80CA3"/>
    <w:rsid w:val="00A84171"/>
    <w:rsid w:val="00A90402"/>
    <w:rsid w:val="00A915A1"/>
    <w:rsid w:val="00A94EFA"/>
    <w:rsid w:val="00A96273"/>
    <w:rsid w:val="00A96931"/>
    <w:rsid w:val="00AB334E"/>
    <w:rsid w:val="00AC03F3"/>
    <w:rsid w:val="00AC6728"/>
    <w:rsid w:val="00AD35CD"/>
    <w:rsid w:val="00AD3B14"/>
    <w:rsid w:val="00AD3BBB"/>
    <w:rsid w:val="00AE1193"/>
    <w:rsid w:val="00AE6BB7"/>
    <w:rsid w:val="00AF514A"/>
    <w:rsid w:val="00AF5B29"/>
    <w:rsid w:val="00AF6942"/>
    <w:rsid w:val="00AF7AC4"/>
    <w:rsid w:val="00B103F2"/>
    <w:rsid w:val="00B15583"/>
    <w:rsid w:val="00B1680A"/>
    <w:rsid w:val="00B23660"/>
    <w:rsid w:val="00B27EBE"/>
    <w:rsid w:val="00B331B1"/>
    <w:rsid w:val="00B34E15"/>
    <w:rsid w:val="00B34F81"/>
    <w:rsid w:val="00B368F7"/>
    <w:rsid w:val="00B410C7"/>
    <w:rsid w:val="00B466B4"/>
    <w:rsid w:val="00B51F0E"/>
    <w:rsid w:val="00B53713"/>
    <w:rsid w:val="00B56CF9"/>
    <w:rsid w:val="00B5708A"/>
    <w:rsid w:val="00B579D3"/>
    <w:rsid w:val="00B606B4"/>
    <w:rsid w:val="00B65644"/>
    <w:rsid w:val="00B676D6"/>
    <w:rsid w:val="00B7075E"/>
    <w:rsid w:val="00B74A94"/>
    <w:rsid w:val="00B7572F"/>
    <w:rsid w:val="00B76A9A"/>
    <w:rsid w:val="00B905E9"/>
    <w:rsid w:val="00BA349F"/>
    <w:rsid w:val="00BA48BA"/>
    <w:rsid w:val="00BC1FDC"/>
    <w:rsid w:val="00BC245A"/>
    <w:rsid w:val="00BD12A6"/>
    <w:rsid w:val="00BD172B"/>
    <w:rsid w:val="00BD3B8C"/>
    <w:rsid w:val="00BD6674"/>
    <w:rsid w:val="00BD745A"/>
    <w:rsid w:val="00BE0669"/>
    <w:rsid w:val="00BE1D3B"/>
    <w:rsid w:val="00BE434A"/>
    <w:rsid w:val="00BF531D"/>
    <w:rsid w:val="00BF7BBB"/>
    <w:rsid w:val="00BF7C53"/>
    <w:rsid w:val="00C01B6B"/>
    <w:rsid w:val="00C0452D"/>
    <w:rsid w:val="00C04A8A"/>
    <w:rsid w:val="00C07211"/>
    <w:rsid w:val="00C11E4A"/>
    <w:rsid w:val="00C12096"/>
    <w:rsid w:val="00C1355B"/>
    <w:rsid w:val="00C1396D"/>
    <w:rsid w:val="00C2262E"/>
    <w:rsid w:val="00C240C2"/>
    <w:rsid w:val="00C24BA4"/>
    <w:rsid w:val="00C2515B"/>
    <w:rsid w:val="00C36AD8"/>
    <w:rsid w:val="00C43BFF"/>
    <w:rsid w:val="00C46615"/>
    <w:rsid w:val="00C630F8"/>
    <w:rsid w:val="00C6681F"/>
    <w:rsid w:val="00C66BDC"/>
    <w:rsid w:val="00C7510B"/>
    <w:rsid w:val="00C75C13"/>
    <w:rsid w:val="00C77334"/>
    <w:rsid w:val="00C80980"/>
    <w:rsid w:val="00C8102A"/>
    <w:rsid w:val="00C81BE6"/>
    <w:rsid w:val="00C82CF6"/>
    <w:rsid w:val="00C847FD"/>
    <w:rsid w:val="00C86AB1"/>
    <w:rsid w:val="00C9011E"/>
    <w:rsid w:val="00C912D6"/>
    <w:rsid w:val="00C94910"/>
    <w:rsid w:val="00C95403"/>
    <w:rsid w:val="00CA734D"/>
    <w:rsid w:val="00CB08D7"/>
    <w:rsid w:val="00CB2410"/>
    <w:rsid w:val="00CB25C6"/>
    <w:rsid w:val="00CB75F8"/>
    <w:rsid w:val="00CC2410"/>
    <w:rsid w:val="00CC6D7F"/>
    <w:rsid w:val="00CD0089"/>
    <w:rsid w:val="00CD23FD"/>
    <w:rsid w:val="00CE0AC1"/>
    <w:rsid w:val="00CF1F9F"/>
    <w:rsid w:val="00CF30BB"/>
    <w:rsid w:val="00CF33BB"/>
    <w:rsid w:val="00CF3A66"/>
    <w:rsid w:val="00CF45D2"/>
    <w:rsid w:val="00D024F0"/>
    <w:rsid w:val="00D065A2"/>
    <w:rsid w:val="00D13403"/>
    <w:rsid w:val="00D21900"/>
    <w:rsid w:val="00D22D5F"/>
    <w:rsid w:val="00D240E6"/>
    <w:rsid w:val="00D26223"/>
    <w:rsid w:val="00D34C22"/>
    <w:rsid w:val="00D35E8D"/>
    <w:rsid w:val="00D37E23"/>
    <w:rsid w:val="00D403D6"/>
    <w:rsid w:val="00D40CA4"/>
    <w:rsid w:val="00D420C3"/>
    <w:rsid w:val="00D442B7"/>
    <w:rsid w:val="00D47030"/>
    <w:rsid w:val="00D47A03"/>
    <w:rsid w:val="00D47DAA"/>
    <w:rsid w:val="00D53D2C"/>
    <w:rsid w:val="00D5488C"/>
    <w:rsid w:val="00D56E97"/>
    <w:rsid w:val="00D622FD"/>
    <w:rsid w:val="00D660C4"/>
    <w:rsid w:val="00D745CF"/>
    <w:rsid w:val="00D75E5D"/>
    <w:rsid w:val="00D77369"/>
    <w:rsid w:val="00D82DAC"/>
    <w:rsid w:val="00D86963"/>
    <w:rsid w:val="00D870CF"/>
    <w:rsid w:val="00D90C10"/>
    <w:rsid w:val="00DA3D71"/>
    <w:rsid w:val="00DA482D"/>
    <w:rsid w:val="00DA71D5"/>
    <w:rsid w:val="00DB10FC"/>
    <w:rsid w:val="00DB4778"/>
    <w:rsid w:val="00DB50C7"/>
    <w:rsid w:val="00DB6D65"/>
    <w:rsid w:val="00DC1237"/>
    <w:rsid w:val="00DC4E94"/>
    <w:rsid w:val="00DC705B"/>
    <w:rsid w:val="00DD291C"/>
    <w:rsid w:val="00DD3ACE"/>
    <w:rsid w:val="00DD5DD6"/>
    <w:rsid w:val="00DE69CF"/>
    <w:rsid w:val="00DE6EC2"/>
    <w:rsid w:val="00DE7C8F"/>
    <w:rsid w:val="00DF0504"/>
    <w:rsid w:val="00DF726D"/>
    <w:rsid w:val="00E00D88"/>
    <w:rsid w:val="00E049FC"/>
    <w:rsid w:val="00E14E6C"/>
    <w:rsid w:val="00E212C3"/>
    <w:rsid w:val="00E21EF1"/>
    <w:rsid w:val="00E25FA7"/>
    <w:rsid w:val="00E30A2F"/>
    <w:rsid w:val="00E31539"/>
    <w:rsid w:val="00E367B6"/>
    <w:rsid w:val="00E4284F"/>
    <w:rsid w:val="00E42CA3"/>
    <w:rsid w:val="00E43E35"/>
    <w:rsid w:val="00E53227"/>
    <w:rsid w:val="00E54E9E"/>
    <w:rsid w:val="00E54FFF"/>
    <w:rsid w:val="00E55D60"/>
    <w:rsid w:val="00E6089D"/>
    <w:rsid w:val="00E76F74"/>
    <w:rsid w:val="00E773FF"/>
    <w:rsid w:val="00E85A22"/>
    <w:rsid w:val="00E85D47"/>
    <w:rsid w:val="00E86C4E"/>
    <w:rsid w:val="00E8706E"/>
    <w:rsid w:val="00E91260"/>
    <w:rsid w:val="00E912A9"/>
    <w:rsid w:val="00E938B8"/>
    <w:rsid w:val="00E95DF3"/>
    <w:rsid w:val="00EB59B3"/>
    <w:rsid w:val="00EB5A2E"/>
    <w:rsid w:val="00EB76C7"/>
    <w:rsid w:val="00EC12FC"/>
    <w:rsid w:val="00EE0353"/>
    <w:rsid w:val="00EE0AB3"/>
    <w:rsid w:val="00EE500B"/>
    <w:rsid w:val="00EF3609"/>
    <w:rsid w:val="00EF75F2"/>
    <w:rsid w:val="00F034C9"/>
    <w:rsid w:val="00F05C2A"/>
    <w:rsid w:val="00F1253F"/>
    <w:rsid w:val="00F132F9"/>
    <w:rsid w:val="00F14FA4"/>
    <w:rsid w:val="00F153A4"/>
    <w:rsid w:val="00F20D5E"/>
    <w:rsid w:val="00F369B8"/>
    <w:rsid w:val="00F40943"/>
    <w:rsid w:val="00F40BB8"/>
    <w:rsid w:val="00F47B53"/>
    <w:rsid w:val="00F52514"/>
    <w:rsid w:val="00F54581"/>
    <w:rsid w:val="00F54AAE"/>
    <w:rsid w:val="00F56183"/>
    <w:rsid w:val="00F6045A"/>
    <w:rsid w:val="00F60A07"/>
    <w:rsid w:val="00F61373"/>
    <w:rsid w:val="00F75C75"/>
    <w:rsid w:val="00F77C00"/>
    <w:rsid w:val="00F826AA"/>
    <w:rsid w:val="00F84C35"/>
    <w:rsid w:val="00F86597"/>
    <w:rsid w:val="00FB0029"/>
    <w:rsid w:val="00FC2159"/>
    <w:rsid w:val="00FC5080"/>
    <w:rsid w:val="00FC5760"/>
    <w:rsid w:val="00FD070C"/>
    <w:rsid w:val="00FD6D01"/>
    <w:rsid w:val="00FD7AA4"/>
    <w:rsid w:val="00FE0630"/>
    <w:rsid w:val="00FF129E"/>
    <w:rsid w:val="00FF5A8F"/>
    <w:rsid w:val="00FF72D0"/>
    <w:rsid w:val="014BF4AA"/>
    <w:rsid w:val="01543FB0"/>
    <w:rsid w:val="015D337C"/>
    <w:rsid w:val="01C6A74D"/>
    <w:rsid w:val="01F891AD"/>
    <w:rsid w:val="02335A19"/>
    <w:rsid w:val="02BF2011"/>
    <w:rsid w:val="030C092F"/>
    <w:rsid w:val="03361142"/>
    <w:rsid w:val="0353FE43"/>
    <w:rsid w:val="0401AB36"/>
    <w:rsid w:val="043B290B"/>
    <w:rsid w:val="04C40EC9"/>
    <w:rsid w:val="04D66D7F"/>
    <w:rsid w:val="04EFAD8D"/>
    <w:rsid w:val="05B4CC6B"/>
    <w:rsid w:val="05C48189"/>
    <w:rsid w:val="05F103C1"/>
    <w:rsid w:val="0611D8FB"/>
    <w:rsid w:val="066E0A85"/>
    <w:rsid w:val="072726E4"/>
    <w:rsid w:val="074C9237"/>
    <w:rsid w:val="082FF892"/>
    <w:rsid w:val="090AF3FA"/>
    <w:rsid w:val="0925D4E8"/>
    <w:rsid w:val="095ED26B"/>
    <w:rsid w:val="09DF4318"/>
    <w:rsid w:val="0A8DD8B3"/>
    <w:rsid w:val="0AD34B85"/>
    <w:rsid w:val="0AEB1D6B"/>
    <w:rsid w:val="0B09918A"/>
    <w:rsid w:val="0BEF2F5C"/>
    <w:rsid w:val="0D4CF6CD"/>
    <w:rsid w:val="0E53FF0A"/>
    <w:rsid w:val="0E58C03B"/>
    <w:rsid w:val="0E825E9A"/>
    <w:rsid w:val="0E9B3E06"/>
    <w:rsid w:val="0E9B41AF"/>
    <w:rsid w:val="0EB368A7"/>
    <w:rsid w:val="0F178036"/>
    <w:rsid w:val="10385EFE"/>
    <w:rsid w:val="104657FF"/>
    <w:rsid w:val="107786D0"/>
    <w:rsid w:val="1085DA6C"/>
    <w:rsid w:val="109D4C4C"/>
    <w:rsid w:val="11162390"/>
    <w:rsid w:val="11A8BA08"/>
    <w:rsid w:val="12070E62"/>
    <w:rsid w:val="12329DB3"/>
    <w:rsid w:val="13A2A6DF"/>
    <w:rsid w:val="13D19F15"/>
    <w:rsid w:val="13D76FE6"/>
    <w:rsid w:val="13DBBBB7"/>
    <w:rsid w:val="13E6796D"/>
    <w:rsid w:val="144AA285"/>
    <w:rsid w:val="1469A010"/>
    <w:rsid w:val="1543FBE3"/>
    <w:rsid w:val="154D5093"/>
    <w:rsid w:val="155D2E9A"/>
    <w:rsid w:val="15A0B83D"/>
    <w:rsid w:val="164CBDF9"/>
    <w:rsid w:val="17CE3900"/>
    <w:rsid w:val="18A7DD77"/>
    <w:rsid w:val="18BA092F"/>
    <w:rsid w:val="1944D1FA"/>
    <w:rsid w:val="19987D01"/>
    <w:rsid w:val="1A9857AC"/>
    <w:rsid w:val="1AB13292"/>
    <w:rsid w:val="1B95C6BA"/>
    <w:rsid w:val="1BF25722"/>
    <w:rsid w:val="1C623CF9"/>
    <w:rsid w:val="1C882A77"/>
    <w:rsid w:val="1D1F618C"/>
    <w:rsid w:val="1DF2BDDA"/>
    <w:rsid w:val="1E022310"/>
    <w:rsid w:val="1E361AE1"/>
    <w:rsid w:val="1E66D7BA"/>
    <w:rsid w:val="1E88E223"/>
    <w:rsid w:val="1E8A5E36"/>
    <w:rsid w:val="1EAFE102"/>
    <w:rsid w:val="1F48958F"/>
    <w:rsid w:val="1F58E294"/>
    <w:rsid w:val="1F7E9818"/>
    <w:rsid w:val="1FEEDD88"/>
    <w:rsid w:val="2034128A"/>
    <w:rsid w:val="21A83214"/>
    <w:rsid w:val="21AAD043"/>
    <w:rsid w:val="2208744E"/>
    <w:rsid w:val="2222593F"/>
    <w:rsid w:val="2238EA28"/>
    <w:rsid w:val="226F9AA5"/>
    <w:rsid w:val="232A59B3"/>
    <w:rsid w:val="2416C44E"/>
    <w:rsid w:val="241E9100"/>
    <w:rsid w:val="2428C27A"/>
    <w:rsid w:val="249DB743"/>
    <w:rsid w:val="24A718C4"/>
    <w:rsid w:val="24AC5A6F"/>
    <w:rsid w:val="254A99BE"/>
    <w:rsid w:val="25CF2B1D"/>
    <w:rsid w:val="26604815"/>
    <w:rsid w:val="267F3EE6"/>
    <w:rsid w:val="26850E9F"/>
    <w:rsid w:val="2685A52F"/>
    <w:rsid w:val="270EAE90"/>
    <w:rsid w:val="27C32415"/>
    <w:rsid w:val="282FF9D6"/>
    <w:rsid w:val="284CC933"/>
    <w:rsid w:val="28D4CCE5"/>
    <w:rsid w:val="295591D3"/>
    <w:rsid w:val="2967D5CB"/>
    <w:rsid w:val="29A54E92"/>
    <w:rsid w:val="2A3FC0A4"/>
    <w:rsid w:val="2B67E6AD"/>
    <w:rsid w:val="2B8AA73C"/>
    <w:rsid w:val="2C1183F2"/>
    <w:rsid w:val="2C1F4AA5"/>
    <w:rsid w:val="2C23C214"/>
    <w:rsid w:val="2C43FE8F"/>
    <w:rsid w:val="2C9491C6"/>
    <w:rsid w:val="2CC002A5"/>
    <w:rsid w:val="2CFFF463"/>
    <w:rsid w:val="2D54319D"/>
    <w:rsid w:val="2DD8EE63"/>
    <w:rsid w:val="2DFF91B9"/>
    <w:rsid w:val="2E00042E"/>
    <w:rsid w:val="2E8BE8B4"/>
    <w:rsid w:val="2EFD92C4"/>
    <w:rsid w:val="2F1F8A4D"/>
    <w:rsid w:val="2F5B1E9D"/>
    <w:rsid w:val="2F620A85"/>
    <w:rsid w:val="2F83FE0B"/>
    <w:rsid w:val="2FC48FA4"/>
    <w:rsid w:val="2FCDD2B1"/>
    <w:rsid w:val="2FDF16EE"/>
    <w:rsid w:val="308A6212"/>
    <w:rsid w:val="31272BD4"/>
    <w:rsid w:val="31472B08"/>
    <w:rsid w:val="31A941A5"/>
    <w:rsid w:val="31D65E52"/>
    <w:rsid w:val="328F340A"/>
    <w:rsid w:val="32F426CE"/>
    <w:rsid w:val="333796DE"/>
    <w:rsid w:val="334AD58E"/>
    <w:rsid w:val="348A9C20"/>
    <w:rsid w:val="3497C861"/>
    <w:rsid w:val="349FBE5A"/>
    <w:rsid w:val="34B06004"/>
    <w:rsid w:val="34F2AFF3"/>
    <w:rsid w:val="35703E85"/>
    <w:rsid w:val="357101A9"/>
    <w:rsid w:val="35BBF56D"/>
    <w:rsid w:val="371CA1B3"/>
    <w:rsid w:val="372E56AB"/>
    <w:rsid w:val="379D1BAA"/>
    <w:rsid w:val="37EE5B2B"/>
    <w:rsid w:val="39727246"/>
    <w:rsid w:val="39882BBE"/>
    <w:rsid w:val="39900A0C"/>
    <w:rsid w:val="39F355A1"/>
    <w:rsid w:val="3A1B614E"/>
    <w:rsid w:val="3A3D6991"/>
    <w:rsid w:val="3A3D9DF4"/>
    <w:rsid w:val="3A50B4ED"/>
    <w:rsid w:val="3A7F6984"/>
    <w:rsid w:val="3A878391"/>
    <w:rsid w:val="3AB5774C"/>
    <w:rsid w:val="3ACE1E55"/>
    <w:rsid w:val="3AE87C77"/>
    <w:rsid w:val="3B5EC6AD"/>
    <w:rsid w:val="3B6BFE3E"/>
    <w:rsid w:val="3BBB1406"/>
    <w:rsid w:val="3C0194D0"/>
    <w:rsid w:val="3CBFE209"/>
    <w:rsid w:val="3D6B9473"/>
    <w:rsid w:val="3DA0D688"/>
    <w:rsid w:val="3DC53877"/>
    <w:rsid w:val="3F35A836"/>
    <w:rsid w:val="3F4B7E13"/>
    <w:rsid w:val="3FF5B4E1"/>
    <w:rsid w:val="40A03978"/>
    <w:rsid w:val="41270C46"/>
    <w:rsid w:val="4147A5A0"/>
    <w:rsid w:val="415DE593"/>
    <w:rsid w:val="416E40AA"/>
    <w:rsid w:val="42535CA7"/>
    <w:rsid w:val="42D3B80D"/>
    <w:rsid w:val="435CEB3A"/>
    <w:rsid w:val="437B5E38"/>
    <w:rsid w:val="43A55B42"/>
    <w:rsid w:val="43AF7CFE"/>
    <w:rsid w:val="43EF92A5"/>
    <w:rsid w:val="4498E129"/>
    <w:rsid w:val="44B68FB4"/>
    <w:rsid w:val="44DB974E"/>
    <w:rsid w:val="454DFF08"/>
    <w:rsid w:val="46112715"/>
    <w:rsid w:val="463896D1"/>
    <w:rsid w:val="46BAE253"/>
    <w:rsid w:val="46C3AA70"/>
    <w:rsid w:val="470AE3AC"/>
    <w:rsid w:val="4746E351"/>
    <w:rsid w:val="47D9EB5C"/>
    <w:rsid w:val="48833AB4"/>
    <w:rsid w:val="494D0BC4"/>
    <w:rsid w:val="4A1DA3D3"/>
    <w:rsid w:val="4ABBF1AF"/>
    <w:rsid w:val="4ADF1518"/>
    <w:rsid w:val="4B1F6D9F"/>
    <w:rsid w:val="4B29B1B7"/>
    <w:rsid w:val="4CA8DFA0"/>
    <w:rsid w:val="4DA29912"/>
    <w:rsid w:val="4DB0ECE3"/>
    <w:rsid w:val="4E9EA87F"/>
    <w:rsid w:val="4EAA98E4"/>
    <w:rsid w:val="4EF7D6EB"/>
    <w:rsid w:val="4F0C10D3"/>
    <w:rsid w:val="4F5EA373"/>
    <w:rsid w:val="4F6DD820"/>
    <w:rsid w:val="500B0D74"/>
    <w:rsid w:val="503841B7"/>
    <w:rsid w:val="5046FB1F"/>
    <w:rsid w:val="504F41E2"/>
    <w:rsid w:val="518FF152"/>
    <w:rsid w:val="51955048"/>
    <w:rsid w:val="5216D7E3"/>
    <w:rsid w:val="52740297"/>
    <w:rsid w:val="5312F3A4"/>
    <w:rsid w:val="5429DB7E"/>
    <w:rsid w:val="5459D7DB"/>
    <w:rsid w:val="548185FD"/>
    <w:rsid w:val="548BDC08"/>
    <w:rsid w:val="54D597FA"/>
    <w:rsid w:val="54E57F08"/>
    <w:rsid w:val="5535CA38"/>
    <w:rsid w:val="55931D36"/>
    <w:rsid w:val="55A0D2F9"/>
    <w:rsid w:val="56132832"/>
    <w:rsid w:val="5613B8B1"/>
    <w:rsid w:val="56B33032"/>
    <w:rsid w:val="572B783B"/>
    <w:rsid w:val="577AC2C9"/>
    <w:rsid w:val="57B8BEE9"/>
    <w:rsid w:val="57C674B6"/>
    <w:rsid w:val="58D3543F"/>
    <w:rsid w:val="59C44325"/>
    <w:rsid w:val="5A6EAA38"/>
    <w:rsid w:val="5BD15396"/>
    <w:rsid w:val="5C002BDC"/>
    <w:rsid w:val="5CCD2EAE"/>
    <w:rsid w:val="5E19B6C4"/>
    <w:rsid w:val="5E65FCC3"/>
    <w:rsid w:val="5EB20D33"/>
    <w:rsid w:val="5EF139A0"/>
    <w:rsid w:val="5F5D964B"/>
    <w:rsid w:val="5FCF282F"/>
    <w:rsid w:val="605671E4"/>
    <w:rsid w:val="60611242"/>
    <w:rsid w:val="60B8B1F8"/>
    <w:rsid w:val="60EBE88E"/>
    <w:rsid w:val="60F0F1CC"/>
    <w:rsid w:val="615B0280"/>
    <w:rsid w:val="622E103A"/>
    <w:rsid w:val="628F0126"/>
    <w:rsid w:val="62A8F300"/>
    <w:rsid w:val="641AB105"/>
    <w:rsid w:val="643997A0"/>
    <w:rsid w:val="64861885"/>
    <w:rsid w:val="64B65145"/>
    <w:rsid w:val="655019DF"/>
    <w:rsid w:val="65E0D040"/>
    <w:rsid w:val="65FA138E"/>
    <w:rsid w:val="664D6DAD"/>
    <w:rsid w:val="6689D16A"/>
    <w:rsid w:val="66AEE258"/>
    <w:rsid w:val="66D93C12"/>
    <w:rsid w:val="672E7F43"/>
    <w:rsid w:val="67811E29"/>
    <w:rsid w:val="679E3C01"/>
    <w:rsid w:val="67BDD9B3"/>
    <w:rsid w:val="6824B030"/>
    <w:rsid w:val="6848EA86"/>
    <w:rsid w:val="687B0075"/>
    <w:rsid w:val="68FE4454"/>
    <w:rsid w:val="691F76A7"/>
    <w:rsid w:val="695F6C08"/>
    <w:rsid w:val="6A1F311C"/>
    <w:rsid w:val="6A34208D"/>
    <w:rsid w:val="6A4473C2"/>
    <w:rsid w:val="6A482D4A"/>
    <w:rsid w:val="6A614AD3"/>
    <w:rsid w:val="6A8F4908"/>
    <w:rsid w:val="6AADC458"/>
    <w:rsid w:val="6AC92E34"/>
    <w:rsid w:val="6ADA7774"/>
    <w:rsid w:val="6AE27037"/>
    <w:rsid w:val="6B098382"/>
    <w:rsid w:val="6C0251BA"/>
    <w:rsid w:val="6CBDB25B"/>
    <w:rsid w:val="6D081E29"/>
    <w:rsid w:val="6D0D5B5E"/>
    <w:rsid w:val="6D3831A1"/>
    <w:rsid w:val="6D3A44F2"/>
    <w:rsid w:val="6E37CCFE"/>
    <w:rsid w:val="6E76CB3B"/>
    <w:rsid w:val="6EB47D41"/>
    <w:rsid w:val="6F026730"/>
    <w:rsid w:val="6F3FA246"/>
    <w:rsid w:val="700F3666"/>
    <w:rsid w:val="7069D32D"/>
    <w:rsid w:val="711FAC7F"/>
    <w:rsid w:val="71A36E4E"/>
    <w:rsid w:val="71FCEAF6"/>
    <w:rsid w:val="7226DE26"/>
    <w:rsid w:val="728819AB"/>
    <w:rsid w:val="734EF158"/>
    <w:rsid w:val="735D377A"/>
    <w:rsid w:val="737E2EF1"/>
    <w:rsid w:val="73A691EE"/>
    <w:rsid w:val="73A880F7"/>
    <w:rsid w:val="73E8287E"/>
    <w:rsid w:val="74012A6F"/>
    <w:rsid w:val="74F269B6"/>
    <w:rsid w:val="76001DB8"/>
    <w:rsid w:val="76081002"/>
    <w:rsid w:val="769C3CE6"/>
    <w:rsid w:val="775F6F2D"/>
    <w:rsid w:val="77624FD9"/>
    <w:rsid w:val="7788A273"/>
    <w:rsid w:val="779C847F"/>
    <w:rsid w:val="77B670C1"/>
    <w:rsid w:val="77B7794F"/>
    <w:rsid w:val="78623AC2"/>
    <w:rsid w:val="7890D20F"/>
    <w:rsid w:val="78AE494A"/>
    <w:rsid w:val="79EADF1B"/>
    <w:rsid w:val="7A0BB643"/>
    <w:rsid w:val="7A4494ED"/>
    <w:rsid w:val="7A523A32"/>
    <w:rsid w:val="7A82666A"/>
    <w:rsid w:val="7B63B3FE"/>
    <w:rsid w:val="7B76DEB9"/>
    <w:rsid w:val="7B8B2D37"/>
    <w:rsid w:val="7BD64F45"/>
    <w:rsid w:val="7BE292C9"/>
    <w:rsid w:val="7C7B2FC6"/>
    <w:rsid w:val="7CB6F8A7"/>
    <w:rsid w:val="7CBE6599"/>
    <w:rsid w:val="7D26826C"/>
    <w:rsid w:val="7D68F866"/>
    <w:rsid w:val="7D6BE730"/>
    <w:rsid w:val="7D829D5A"/>
    <w:rsid w:val="7E1CDA6F"/>
    <w:rsid w:val="7E312538"/>
    <w:rsid w:val="7E5106FD"/>
    <w:rsid w:val="7E89DEC0"/>
    <w:rsid w:val="7EF039A0"/>
    <w:rsid w:val="7F2243C3"/>
    <w:rsid w:val="7F39139B"/>
    <w:rsid w:val="7F649F3A"/>
    <w:rsid w:val="7F845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428D"/>
  <w15:docId w15:val="{28A9E89E-8D5F-44B4-92CB-9312AF1F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F5"/>
    <w:rPr>
      <w:lang w:val="en-AU"/>
    </w:rPr>
  </w:style>
  <w:style w:type="paragraph" w:styleId="Heading1">
    <w:name w:val="heading 1"/>
    <w:basedOn w:val="Heading2"/>
    <w:next w:val="Normal"/>
    <w:link w:val="Heading1Char"/>
    <w:uiPriority w:val="9"/>
    <w:qFormat/>
    <w:rsid w:val="001C1B82"/>
    <w:pPr>
      <w:suppressAutoHyphens/>
      <w:spacing w:line="260" w:lineRule="atLeast"/>
      <w:jc w:val="center"/>
      <w:outlineLvl w:val="0"/>
    </w:pPr>
    <w:rPr>
      <w:rFonts w:asciiTheme="minorHAnsi" w:hAnsiTheme="minorHAnsi" w:cstheme="minorHAnsi"/>
      <w:caps w:val="0"/>
      <w:color w:val="44546A"/>
      <w:sz w:val="28"/>
      <w:szCs w:val="28"/>
      <w:lang w:val="en-GB"/>
    </w:rPr>
  </w:style>
  <w:style w:type="paragraph" w:styleId="Heading2">
    <w:name w:val="heading 2"/>
    <w:basedOn w:val="Normal"/>
    <w:next w:val="Normal"/>
    <w:link w:val="Heading2Char"/>
    <w:uiPriority w:val="9"/>
    <w:unhideWhenUsed/>
    <w:qFormat/>
    <w:rsid w:val="001C1B82"/>
    <w:pPr>
      <w:outlineLvl w:val="1"/>
    </w:pPr>
    <w:rPr>
      <w:rFonts w:asciiTheme="majorHAnsi" w:hAnsiTheme="majorHAnsi" w:cstheme="majorHAnsi"/>
      <w:b/>
      <w:bCs/>
      <w:caps/>
    </w:rPr>
  </w:style>
  <w:style w:type="paragraph" w:styleId="Heading3">
    <w:name w:val="heading 3"/>
    <w:basedOn w:val="Normal"/>
    <w:next w:val="Normal"/>
    <w:link w:val="Heading3Char"/>
    <w:uiPriority w:val="9"/>
    <w:unhideWhenUsed/>
    <w:qFormat/>
    <w:rsid w:val="001C1B82"/>
    <w:pPr>
      <w:tabs>
        <w:tab w:val="left" w:pos="3660"/>
      </w:tabs>
      <w:ind w:right="-1210"/>
      <w:jc w:val="center"/>
      <w:outlineLvl w:val="2"/>
    </w:pPr>
    <w:rPr>
      <w:rFonts w:cstheme="minorHAnsi"/>
      <w:b/>
      <w:bCs/>
      <w:sz w:val="24"/>
      <w:szCs w:val="24"/>
    </w:rPr>
  </w:style>
  <w:style w:type="paragraph" w:styleId="Heading4">
    <w:name w:val="heading 4"/>
    <w:basedOn w:val="Normal"/>
    <w:next w:val="Normal"/>
    <w:link w:val="Heading4Char"/>
    <w:uiPriority w:val="9"/>
    <w:semiHidden/>
    <w:unhideWhenUsed/>
    <w:qFormat/>
    <w:rsid w:val="004713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37E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B82"/>
    <w:rPr>
      <w:rFonts w:cstheme="minorHAnsi"/>
      <w:b/>
      <w:bCs/>
      <w:color w:val="44546A"/>
      <w:sz w:val="28"/>
      <w:szCs w:val="28"/>
      <w:lang w:val="en-GB"/>
    </w:rPr>
  </w:style>
  <w:style w:type="character" w:customStyle="1" w:styleId="Heading2Char">
    <w:name w:val="Heading 2 Char"/>
    <w:basedOn w:val="DefaultParagraphFont"/>
    <w:link w:val="Heading2"/>
    <w:uiPriority w:val="9"/>
    <w:rsid w:val="001C1B82"/>
    <w:rPr>
      <w:rFonts w:asciiTheme="majorHAnsi" w:hAnsiTheme="majorHAnsi" w:cstheme="majorHAnsi"/>
      <w:b/>
      <w:bCs/>
      <w:caps/>
      <w:lang w:val="en-AU"/>
    </w:rPr>
  </w:style>
  <w:style w:type="table" w:styleId="TableGrid">
    <w:name w:val="Table Grid"/>
    <w:basedOn w:val="TableNormal"/>
    <w:uiPriority w:val="39"/>
    <w:rsid w:val="003D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60F5"/>
    <w:pPr>
      <w:spacing w:after="0" w:line="240" w:lineRule="auto"/>
    </w:pPr>
    <w:rPr>
      <w:lang w:val="en-AU"/>
    </w:rPr>
  </w:style>
  <w:style w:type="paragraph" w:styleId="Header">
    <w:name w:val="header"/>
    <w:basedOn w:val="Normal"/>
    <w:link w:val="HeaderChar"/>
    <w:uiPriority w:val="99"/>
    <w:unhideWhenUsed/>
    <w:rsid w:val="00F12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3F"/>
    <w:rPr>
      <w:lang w:val="en-AU"/>
    </w:rPr>
  </w:style>
  <w:style w:type="paragraph" w:styleId="Footer">
    <w:name w:val="footer"/>
    <w:basedOn w:val="Normal"/>
    <w:link w:val="FooterChar"/>
    <w:uiPriority w:val="99"/>
    <w:unhideWhenUsed/>
    <w:rsid w:val="00F12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3F"/>
    <w:rPr>
      <w:lang w:val="en-AU"/>
    </w:rPr>
  </w:style>
  <w:style w:type="paragraph" w:styleId="Revision">
    <w:name w:val="Revision"/>
    <w:hidden/>
    <w:uiPriority w:val="99"/>
    <w:semiHidden/>
    <w:rsid w:val="00B606B4"/>
    <w:pPr>
      <w:spacing w:after="0" w:line="240" w:lineRule="auto"/>
    </w:pPr>
    <w:rPr>
      <w:lang w:val="en-AU"/>
    </w:rPr>
  </w:style>
  <w:style w:type="character" w:styleId="FootnoteReference">
    <w:name w:val="footnote reference"/>
    <w:basedOn w:val="DefaultParagraphFont"/>
    <w:semiHidden/>
    <w:rsid w:val="005826E0"/>
    <w:rPr>
      <w:vertAlign w:val="superscript"/>
    </w:rPr>
  </w:style>
  <w:style w:type="paragraph" w:styleId="FootnoteText">
    <w:name w:val="footnote text"/>
    <w:basedOn w:val="Normal"/>
    <w:link w:val="FootnoteTextChar"/>
    <w:semiHidden/>
    <w:rsid w:val="005826E0"/>
    <w:pPr>
      <w:spacing w:before="40" w:after="12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826E0"/>
    <w:rPr>
      <w:rFonts w:ascii="Times New Roman" w:eastAsia="Times New Roman" w:hAnsi="Times New Roman" w:cs="Times New Roman"/>
      <w:sz w:val="20"/>
      <w:szCs w:val="20"/>
      <w:lang w:val="en-AU"/>
    </w:rPr>
  </w:style>
  <w:style w:type="character" w:customStyle="1" w:styleId="cf01">
    <w:name w:val="cf01"/>
    <w:basedOn w:val="DefaultParagraphFont"/>
    <w:rsid w:val="005826E0"/>
    <w:rPr>
      <w:rFonts w:ascii="Segoe UI" w:hAnsi="Segoe UI" w:cs="Segoe UI" w:hint="default"/>
      <w:sz w:val="18"/>
      <w:szCs w:val="18"/>
    </w:rPr>
  </w:style>
  <w:style w:type="paragraph" w:styleId="NormalWeb">
    <w:name w:val="Normal (Web)"/>
    <w:basedOn w:val="Normal"/>
    <w:uiPriority w:val="99"/>
    <w:semiHidden/>
    <w:unhideWhenUsed/>
    <w:rsid w:val="00440C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Lists or bullet,List Paragraph1,List Paragraph11,L,Recommendation,CV text,Table text,Colorful List - Accent 11,COOP,Primary Bullet List,List Paragraph (numbered (a)),MCHIP_list paragraph,Bullet List,FooterText,F5 List Paragraph,Dot pt"/>
    <w:basedOn w:val="Normal"/>
    <w:link w:val="ListParagraphChar"/>
    <w:uiPriority w:val="34"/>
    <w:qFormat/>
    <w:rsid w:val="00BC245A"/>
    <w:pPr>
      <w:ind w:left="720"/>
      <w:contextualSpacing/>
    </w:pPr>
  </w:style>
  <w:style w:type="character" w:customStyle="1" w:styleId="Heading3Char">
    <w:name w:val="Heading 3 Char"/>
    <w:basedOn w:val="DefaultParagraphFont"/>
    <w:link w:val="Heading3"/>
    <w:uiPriority w:val="9"/>
    <w:rsid w:val="001C1B82"/>
    <w:rPr>
      <w:rFonts w:cstheme="minorHAnsi"/>
      <w:b/>
      <w:bCs/>
      <w:sz w:val="24"/>
      <w:szCs w:val="24"/>
      <w:lang w:val="en-AU"/>
    </w:rPr>
  </w:style>
  <w:style w:type="paragraph" w:customStyle="1" w:styleId="Coverpagereport">
    <w:name w:val="Cover page report"/>
    <w:basedOn w:val="Normal"/>
    <w:autoRedefine/>
    <w:qFormat/>
    <w:rsid w:val="003A2F04"/>
    <w:pPr>
      <w:spacing w:after="0" w:line="276" w:lineRule="auto"/>
      <w:jc w:val="right"/>
    </w:pPr>
    <w:rPr>
      <w:rFonts w:cstheme="minorHAnsi"/>
      <w:color w:val="44546A"/>
      <w:sz w:val="18"/>
      <w:szCs w:val="18"/>
      <w:lang w:val="en-GB"/>
    </w:rPr>
  </w:style>
  <w:style w:type="character" w:customStyle="1" w:styleId="ListParagraphChar">
    <w:name w:val="List Paragraph Char"/>
    <w:aliases w:val="Lists or bullet Char,List Paragraph1 Char,List Paragraph11 Char,L Char,Recommendation Char,CV text Char,Table text Char,Colorful List - Accent 11 Char,COOP Char,Primary Bullet List Char,List Paragraph (numbered (a)) Char,Dot pt Char"/>
    <w:basedOn w:val="DefaultParagraphFont"/>
    <w:link w:val="ListParagraph"/>
    <w:autoRedefine/>
    <w:uiPriority w:val="34"/>
    <w:qFormat/>
    <w:rsid w:val="00373495"/>
    <w:rPr>
      <w:lang w:val="en-AU"/>
    </w:rPr>
  </w:style>
  <w:style w:type="paragraph" w:customStyle="1" w:styleId="Heading4SHS">
    <w:name w:val="Heading 4 SHS"/>
    <w:basedOn w:val="Normal"/>
    <w:next w:val="Normal"/>
    <w:link w:val="Heading4SHSChar"/>
    <w:autoRedefine/>
    <w:qFormat/>
    <w:rsid w:val="00035693"/>
    <w:pPr>
      <w:keepNext/>
      <w:keepLines/>
      <w:spacing w:before="120" w:after="60" w:line="276" w:lineRule="auto"/>
      <w:ind w:left="431" w:hanging="431"/>
      <w:outlineLvl w:val="3"/>
    </w:pPr>
    <w:rPr>
      <w:rFonts w:eastAsiaTheme="majorEastAsia" w:cs="Arial"/>
      <w:b/>
      <w:i/>
      <w:szCs w:val="32"/>
      <w:lang w:eastAsia="ja-JP"/>
    </w:rPr>
  </w:style>
  <w:style w:type="character" w:customStyle="1" w:styleId="Heading4SHSChar">
    <w:name w:val="Heading 4 SHS Char"/>
    <w:basedOn w:val="DefaultParagraphFont"/>
    <w:link w:val="Heading4SHS"/>
    <w:autoRedefine/>
    <w:qFormat/>
    <w:rsid w:val="00035693"/>
    <w:rPr>
      <w:rFonts w:eastAsiaTheme="majorEastAsia" w:cs="Arial"/>
      <w:b/>
      <w:i/>
      <w:szCs w:val="32"/>
      <w:lang w:val="en-AU" w:eastAsia="ja-JP"/>
    </w:rPr>
  </w:style>
  <w:style w:type="paragraph" w:customStyle="1" w:styleId="Tabletextnormal">
    <w:name w:val="Table text normal"/>
    <w:basedOn w:val="Normal"/>
    <w:link w:val="TabletextnormalChar"/>
    <w:autoRedefine/>
    <w:qFormat/>
    <w:rsid w:val="00430701"/>
    <w:pPr>
      <w:spacing w:after="120" w:line="276" w:lineRule="auto"/>
      <w:jc w:val="both"/>
    </w:pPr>
    <w:rPr>
      <w:rFonts w:eastAsiaTheme="minorEastAsia" w:cs="Mangal"/>
      <w:szCs w:val="36"/>
      <w:lang w:val="en-US" w:eastAsia="en-AU" w:bidi="hi-IN"/>
    </w:rPr>
  </w:style>
  <w:style w:type="character" w:customStyle="1" w:styleId="TabletextnormalChar">
    <w:name w:val="Table text normal Char"/>
    <w:basedOn w:val="DefaultParagraphFont"/>
    <w:link w:val="Tabletextnormal"/>
    <w:autoRedefine/>
    <w:qFormat/>
    <w:rsid w:val="00430701"/>
    <w:rPr>
      <w:rFonts w:eastAsiaTheme="minorEastAsia" w:cs="Mangal"/>
      <w:szCs w:val="36"/>
      <w:lang w:eastAsia="en-AU" w:bidi="hi-IN"/>
    </w:rPr>
  </w:style>
  <w:style w:type="table" w:customStyle="1" w:styleId="SHSReportTable1">
    <w:name w:val="SHS Report Table1"/>
    <w:basedOn w:val="TableNormal"/>
    <w:autoRedefine/>
    <w:uiPriority w:val="99"/>
    <w:qFormat/>
    <w:rsid w:val="00035693"/>
    <w:pPr>
      <w:spacing w:after="0" w:line="240" w:lineRule="auto"/>
      <w:contextualSpacing/>
    </w:pPr>
    <w:rPr>
      <w:sz w:val="20"/>
      <w:szCs w:val="20"/>
      <w:lang w:val="en-AU" w:eastAsia="en-AU"/>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pPr>
        <w:wordWrap/>
        <w:spacing w:beforeLines="0" w:before="0" w:beforeAutospacing="0" w:afterLines="0" w:after="0" w:afterAutospacing="0" w:line="276" w:lineRule="auto"/>
        <w:contextualSpacing w:val="0"/>
      </w:pPr>
      <w:rPr>
        <w:rFonts w:ascii="Calibri" w:hAnsi="Calibri"/>
        <w:b/>
        <w:color w:val="FFFFFF"/>
        <w:sz w:val="22"/>
      </w:rPr>
      <w:tblPr/>
      <w:tcPr>
        <w:shd w:val="clear" w:color="auto" w:fill="DA2926"/>
      </w:tcPr>
    </w:tblStylePr>
    <w:tblStylePr w:type="firstCol">
      <w:rPr>
        <w:rFonts w:ascii="Calibri" w:hAnsi="Calibri"/>
        <w:b w:val="0"/>
        <w:sz w:val="20"/>
      </w:rPr>
    </w:tblStylePr>
    <w:tblStylePr w:type="band1Horz">
      <w:tblPr/>
      <w:tcPr>
        <w:shd w:val="clear" w:color="auto" w:fill="F2F2F2"/>
      </w:tcPr>
    </w:tblStylePr>
  </w:style>
  <w:style w:type="paragraph" w:styleId="TOC1">
    <w:name w:val="toc 1"/>
    <w:basedOn w:val="Normal"/>
    <w:next w:val="Normal"/>
    <w:autoRedefine/>
    <w:uiPriority w:val="39"/>
    <w:qFormat/>
    <w:rsid w:val="006A481D"/>
    <w:pPr>
      <w:tabs>
        <w:tab w:val="right" w:leader="dot" w:pos="9016"/>
      </w:tabs>
      <w:spacing w:after="120" w:line="276" w:lineRule="auto"/>
    </w:pPr>
    <w:rPr>
      <w:rFonts w:eastAsia="Times New Roman" w:cs="Mangal"/>
      <w:b/>
      <w:szCs w:val="24"/>
      <w:lang w:eastAsia="ja-JP" w:bidi="hi-IN"/>
    </w:rPr>
  </w:style>
  <w:style w:type="paragraph" w:customStyle="1" w:styleId="bullet">
    <w:name w:val="bullet"/>
    <w:basedOn w:val="ListParagraph"/>
    <w:qFormat/>
    <w:rsid w:val="006E3A6E"/>
    <w:pPr>
      <w:numPr>
        <w:numId w:val="17"/>
      </w:numPr>
      <w:spacing w:after="60" w:line="276" w:lineRule="auto"/>
      <w:contextualSpacing w:val="0"/>
    </w:pPr>
    <w:rPr>
      <w:rFonts w:eastAsiaTheme="minorEastAsia"/>
      <w:szCs w:val="24"/>
      <w:lang w:val="en-US"/>
    </w:rPr>
  </w:style>
  <w:style w:type="character" w:styleId="CommentReference">
    <w:name w:val="annotation reference"/>
    <w:basedOn w:val="DefaultParagraphFont"/>
    <w:uiPriority w:val="99"/>
    <w:semiHidden/>
    <w:unhideWhenUsed/>
    <w:rsid w:val="00AD3BBB"/>
    <w:rPr>
      <w:sz w:val="16"/>
      <w:szCs w:val="16"/>
    </w:rPr>
  </w:style>
  <w:style w:type="paragraph" w:styleId="CommentText">
    <w:name w:val="annotation text"/>
    <w:basedOn w:val="Normal"/>
    <w:link w:val="CommentTextChar"/>
    <w:uiPriority w:val="99"/>
    <w:unhideWhenUsed/>
    <w:rsid w:val="00AD3BBB"/>
    <w:pPr>
      <w:spacing w:line="240" w:lineRule="auto"/>
    </w:pPr>
    <w:rPr>
      <w:sz w:val="20"/>
      <w:szCs w:val="20"/>
    </w:rPr>
  </w:style>
  <w:style w:type="character" w:customStyle="1" w:styleId="CommentTextChar">
    <w:name w:val="Comment Text Char"/>
    <w:basedOn w:val="DefaultParagraphFont"/>
    <w:link w:val="CommentText"/>
    <w:uiPriority w:val="99"/>
    <w:rsid w:val="00AD3BBB"/>
    <w:rPr>
      <w:sz w:val="20"/>
      <w:szCs w:val="20"/>
      <w:lang w:val="en-AU"/>
    </w:rPr>
  </w:style>
  <w:style w:type="paragraph" w:styleId="CommentSubject">
    <w:name w:val="annotation subject"/>
    <w:basedOn w:val="CommentText"/>
    <w:next w:val="CommentText"/>
    <w:link w:val="CommentSubjectChar"/>
    <w:uiPriority w:val="99"/>
    <w:semiHidden/>
    <w:unhideWhenUsed/>
    <w:rsid w:val="00AD3BBB"/>
    <w:rPr>
      <w:b/>
      <w:bCs/>
    </w:rPr>
  </w:style>
  <w:style w:type="character" w:customStyle="1" w:styleId="CommentSubjectChar">
    <w:name w:val="Comment Subject Char"/>
    <w:basedOn w:val="CommentTextChar"/>
    <w:link w:val="CommentSubject"/>
    <w:uiPriority w:val="99"/>
    <w:semiHidden/>
    <w:rsid w:val="00AD3BBB"/>
    <w:rPr>
      <w:b/>
      <w:bCs/>
      <w:sz w:val="20"/>
      <w:szCs w:val="20"/>
      <w:lang w:val="en-AU"/>
    </w:rPr>
  </w:style>
  <w:style w:type="character" w:styleId="Emphasis">
    <w:name w:val="Emphasis"/>
    <w:basedOn w:val="DefaultParagraphFont"/>
    <w:uiPriority w:val="20"/>
    <w:qFormat/>
    <w:rsid w:val="006B6687"/>
    <w:rPr>
      <w:i/>
      <w:iCs/>
    </w:rPr>
  </w:style>
  <w:style w:type="character" w:customStyle="1" w:styleId="Heading4Char">
    <w:name w:val="Heading 4 Char"/>
    <w:basedOn w:val="DefaultParagraphFont"/>
    <w:link w:val="Heading4"/>
    <w:uiPriority w:val="9"/>
    <w:semiHidden/>
    <w:rsid w:val="004713FC"/>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uiPriority w:val="9"/>
    <w:rsid w:val="00D37E23"/>
    <w:rPr>
      <w:rFonts w:asciiTheme="majorHAnsi" w:eastAsiaTheme="majorEastAsia" w:hAnsiTheme="majorHAnsi" w:cstheme="majorBidi"/>
      <w:color w:val="2F5496" w:themeColor="accent1" w:themeShade="BF"/>
      <w:lang w:val="en-AU"/>
    </w:rPr>
  </w:style>
  <w:style w:type="character" w:styleId="Strong">
    <w:name w:val="Strong"/>
    <w:basedOn w:val="DefaultParagraphFont"/>
    <w:uiPriority w:val="22"/>
    <w:qFormat/>
    <w:rsid w:val="00D37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4998">
      <w:bodyDiv w:val="1"/>
      <w:marLeft w:val="0"/>
      <w:marRight w:val="0"/>
      <w:marTop w:val="0"/>
      <w:marBottom w:val="0"/>
      <w:divBdr>
        <w:top w:val="none" w:sz="0" w:space="0" w:color="auto"/>
        <w:left w:val="none" w:sz="0" w:space="0" w:color="auto"/>
        <w:bottom w:val="none" w:sz="0" w:space="0" w:color="auto"/>
        <w:right w:val="none" w:sz="0" w:space="0" w:color="auto"/>
      </w:divBdr>
    </w:div>
    <w:div w:id="145557139">
      <w:bodyDiv w:val="1"/>
      <w:marLeft w:val="0"/>
      <w:marRight w:val="0"/>
      <w:marTop w:val="0"/>
      <w:marBottom w:val="0"/>
      <w:divBdr>
        <w:top w:val="none" w:sz="0" w:space="0" w:color="auto"/>
        <w:left w:val="none" w:sz="0" w:space="0" w:color="auto"/>
        <w:bottom w:val="none" w:sz="0" w:space="0" w:color="auto"/>
        <w:right w:val="none" w:sz="0" w:space="0" w:color="auto"/>
      </w:divBdr>
      <w:divsChild>
        <w:div w:id="1041784436">
          <w:marLeft w:val="360"/>
          <w:marRight w:val="0"/>
          <w:marTop w:val="200"/>
          <w:marBottom w:val="120"/>
          <w:divBdr>
            <w:top w:val="none" w:sz="0" w:space="0" w:color="auto"/>
            <w:left w:val="none" w:sz="0" w:space="0" w:color="auto"/>
            <w:bottom w:val="none" w:sz="0" w:space="0" w:color="auto"/>
            <w:right w:val="none" w:sz="0" w:space="0" w:color="auto"/>
          </w:divBdr>
        </w:div>
        <w:div w:id="1778058220">
          <w:marLeft w:val="360"/>
          <w:marRight w:val="0"/>
          <w:marTop w:val="200"/>
          <w:marBottom w:val="120"/>
          <w:divBdr>
            <w:top w:val="none" w:sz="0" w:space="0" w:color="auto"/>
            <w:left w:val="none" w:sz="0" w:space="0" w:color="auto"/>
            <w:bottom w:val="none" w:sz="0" w:space="0" w:color="auto"/>
            <w:right w:val="none" w:sz="0" w:space="0" w:color="auto"/>
          </w:divBdr>
        </w:div>
        <w:div w:id="1887327098">
          <w:marLeft w:val="360"/>
          <w:marRight w:val="0"/>
          <w:marTop w:val="200"/>
          <w:marBottom w:val="120"/>
          <w:divBdr>
            <w:top w:val="none" w:sz="0" w:space="0" w:color="auto"/>
            <w:left w:val="none" w:sz="0" w:space="0" w:color="auto"/>
            <w:bottom w:val="none" w:sz="0" w:space="0" w:color="auto"/>
            <w:right w:val="none" w:sz="0" w:space="0" w:color="auto"/>
          </w:divBdr>
        </w:div>
        <w:div w:id="1900509027">
          <w:marLeft w:val="360"/>
          <w:marRight w:val="0"/>
          <w:marTop w:val="200"/>
          <w:marBottom w:val="120"/>
          <w:divBdr>
            <w:top w:val="none" w:sz="0" w:space="0" w:color="auto"/>
            <w:left w:val="none" w:sz="0" w:space="0" w:color="auto"/>
            <w:bottom w:val="none" w:sz="0" w:space="0" w:color="auto"/>
            <w:right w:val="none" w:sz="0" w:space="0" w:color="auto"/>
          </w:divBdr>
        </w:div>
      </w:divsChild>
    </w:div>
    <w:div w:id="370883329">
      <w:bodyDiv w:val="1"/>
      <w:marLeft w:val="0"/>
      <w:marRight w:val="0"/>
      <w:marTop w:val="0"/>
      <w:marBottom w:val="0"/>
      <w:divBdr>
        <w:top w:val="none" w:sz="0" w:space="0" w:color="auto"/>
        <w:left w:val="none" w:sz="0" w:space="0" w:color="auto"/>
        <w:bottom w:val="none" w:sz="0" w:space="0" w:color="auto"/>
        <w:right w:val="none" w:sz="0" w:space="0" w:color="auto"/>
      </w:divBdr>
      <w:divsChild>
        <w:div w:id="22751158">
          <w:marLeft w:val="547"/>
          <w:marRight w:val="0"/>
          <w:marTop w:val="200"/>
          <w:marBottom w:val="0"/>
          <w:divBdr>
            <w:top w:val="none" w:sz="0" w:space="0" w:color="auto"/>
            <w:left w:val="none" w:sz="0" w:space="0" w:color="auto"/>
            <w:bottom w:val="none" w:sz="0" w:space="0" w:color="auto"/>
            <w:right w:val="none" w:sz="0" w:space="0" w:color="auto"/>
          </w:divBdr>
        </w:div>
        <w:div w:id="997926704">
          <w:marLeft w:val="547"/>
          <w:marRight w:val="0"/>
          <w:marTop w:val="200"/>
          <w:marBottom w:val="0"/>
          <w:divBdr>
            <w:top w:val="none" w:sz="0" w:space="0" w:color="auto"/>
            <w:left w:val="none" w:sz="0" w:space="0" w:color="auto"/>
            <w:bottom w:val="none" w:sz="0" w:space="0" w:color="auto"/>
            <w:right w:val="none" w:sz="0" w:space="0" w:color="auto"/>
          </w:divBdr>
        </w:div>
        <w:div w:id="1816995767">
          <w:marLeft w:val="547"/>
          <w:marRight w:val="0"/>
          <w:marTop w:val="200"/>
          <w:marBottom w:val="160"/>
          <w:divBdr>
            <w:top w:val="none" w:sz="0" w:space="0" w:color="auto"/>
            <w:left w:val="none" w:sz="0" w:space="0" w:color="auto"/>
            <w:bottom w:val="none" w:sz="0" w:space="0" w:color="auto"/>
            <w:right w:val="none" w:sz="0" w:space="0" w:color="auto"/>
          </w:divBdr>
        </w:div>
        <w:div w:id="1823959812">
          <w:marLeft w:val="547"/>
          <w:marRight w:val="0"/>
          <w:marTop w:val="200"/>
          <w:marBottom w:val="160"/>
          <w:divBdr>
            <w:top w:val="none" w:sz="0" w:space="0" w:color="auto"/>
            <w:left w:val="none" w:sz="0" w:space="0" w:color="auto"/>
            <w:bottom w:val="none" w:sz="0" w:space="0" w:color="auto"/>
            <w:right w:val="none" w:sz="0" w:space="0" w:color="auto"/>
          </w:divBdr>
        </w:div>
        <w:div w:id="1834180432">
          <w:marLeft w:val="547"/>
          <w:marRight w:val="0"/>
          <w:marTop w:val="200"/>
          <w:marBottom w:val="160"/>
          <w:divBdr>
            <w:top w:val="none" w:sz="0" w:space="0" w:color="auto"/>
            <w:left w:val="none" w:sz="0" w:space="0" w:color="auto"/>
            <w:bottom w:val="none" w:sz="0" w:space="0" w:color="auto"/>
            <w:right w:val="none" w:sz="0" w:space="0" w:color="auto"/>
          </w:divBdr>
        </w:div>
        <w:div w:id="2079550732">
          <w:marLeft w:val="547"/>
          <w:marRight w:val="0"/>
          <w:marTop w:val="200"/>
          <w:marBottom w:val="0"/>
          <w:divBdr>
            <w:top w:val="none" w:sz="0" w:space="0" w:color="auto"/>
            <w:left w:val="none" w:sz="0" w:space="0" w:color="auto"/>
            <w:bottom w:val="none" w:sz="0" w:space="0" w:color="auto"/>
            <w:right w:val="none" w:sz="0" w:space="0" w:color="auto"/>
          </w:divBdr>
        </w:div>
      </w:divsChild>
    </w:div>
    <w:div w:id="481775306">
      <w:bodyDiv w:val="1"/>
      <w:marLeft w:val="0"/>
      <w:marRight w:val="0"/>
      <w:marTop w:val="0"/>
      <w:marBottom w:val="0"/>
      <w:divBdr>
        <w:top w:val="none" w:sz="0" w:space="0" w:color="auto"/>
        <w:left w:val="none" w:sz="0" w:space="0" w:color="auto"/>
        <w:bottom w:val="none" w:sz="0" w:space="0" w:color="auto"/>
        <w:right w:val="none" w:sz="0" w:space="0" w:color="auto"/>
      </w:divBdr>
    </w:div>
    <w:div w:id="968898685">
      <w:bodyDiv w:val="1"/>
      <w:marLeft w:val="0"/>
      <w:marRight w:val="0"/>
      <w:marTop w:val="0"/>
      <w:marBottom w:val="0"/>
      <w:divBdr>
        <w:top w:val="none" w:sz="0" w:space="0" w:color="auto"/>
        <w:left w:val="none" w:sz="0" w:space="0" w:color="auto"/>
        <w:bottom w:val="none" w:sz="0" w:space="0" w:color="auto"/>
        <w:right w:val="none" w:sz="0" w:space="0" w:color="auto"/>
      </w:divBdr>
    </w:div>
    <w:div w:id="983895807">
      <w:bodyDiv w:val="1"/>
      <w:marLeft w:val="0"/>
      <w:marRight w:val="0"/>
      <w:marTop w:val="0"/>
      <w:marBottom w:val="0"/>
      <w:divBdr>
        <w:top w:val="none" w:sz="0" w:space="0" w:color="auto"/>
        <w:left w:val="none" w:sz="0" w:space="0" w:color="auto"/>
        <w:bottom w:val="none" w:sz="0" w:space="0" w:color="auto"/>
        <w:right w:val="none" w:sz="0" w:space="0" w:color="auto"/>
      </w:divBdr>
    </w:div>
    <w:div w:id="1165509855">
      <w:bodyDiv w:val="1"/>
      <w:marLeft w:val="0"/>
      <w:marRight w:val="0"/>
      <w:marTop w:val="0"/>
      <w:marBottom w:val="0"/>
      <w:divBdr>
        <w:top w:val="none" w:sz="0" w:space="0" w:color="auto"/>
        <w:left w:val="none" w:sz="0" w:space="0" w:color="auto"/>
        <w:bottom w:val="none" w:sz="0" w:space="0" w:color="auto"/>
        <w:right w:val="none" w:sz="0" w:space="0" w:color="auto"/>
      </w:divBdr>
    </w:div>
    <w:div w:id="1259216880">
      <w:bodyDiv w:val="1"/>
      <w:marLeft w:val="0"/>
      <w:marRight w:val="0"/>
      <w:marTop w:val="0"/>
      <w:marBottom w:val="0"/>
      <w:divBdr>
        <w:top w:val="none" w:sz="0" w:space="0" w:color="auto"/>
        <w:left w:val="none" w:sz="0" w:space="0" w:color="auto"/>
        <w:bottom w:val="none" w:sz="0" w:space="0" w:color="auto"/>
        <w:right w:val="none" w:sz="0" w:space="0" w:color="auto"/>
      </w:divBdr>
    </w:div>
    <w:div w:id="1542480202">
      <w:bodyDiv w:val="1"/>
      <w:marLeft w:val="0"/>
      <w:marRight w:val="0"/>
      <w:marTop w:val="0"/>
      <w:marBottom w:val="0"/>
      <w:divBdr>
        <w:top w:val="none" w:sz="0" w:space="0" w:color="auto"/>
        <w:left w:val="none" w:sz="0" w:space="0" w:color="auto"/>
        <w:bottom w:val="none" w:sz="0" w:space="0" w:color="auto"/>
        <w:right w:val="none" w:sz="0" w:space="0" w:color="auto"/>
      </w:divBdr>
    </w:div>
    <w:div w:id="198095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DFB9-ABA8-4DF3-AB19-C6B41BEA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1898</Words>
  <Characters>12378</Characters>
  <Application>Microsoft Office Word</Application>
  <DocSecurity>0</DocSecurity>
  <Lines>325</Lines>
  <Paragraphs>66</Paragraphs>
  <ScaleCrop>false</ScaleCrop>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Fiji Recovery and resilience budget support 2020-2023</dc:title>
  <dc:subject/>
  <dc:creator>Melissa Kamp</dc:creator>
  <cp:keywords>[SEC=OFFICIAL]</cp:keywords>
  <dc:description/>
  <cp:lastModifiedBy>Fabiola Guzman</cp:lastModifiedBy>
  <cp:revision>3</cp:revision>
  <dcterms:created xsi:type="dcterms:W3CDTF">2025-06-19T06:55:00Z</dcterms:created>
  <dcterms:modified xsi:type="dcterms:W3CDTF">2025-07-02T04:58:00Z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v=2022.1;a=SHA256;h=367339DD8E43A26E29E24C9076D8BD0DE2A006B6C54C8177E0CEB51A817C8B14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2024-02-07T00:50:25Z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84AFC0883834E3530DDC6F6AA475AC7380BBD004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B2458923D4764F56B5328D1FDEAFC727</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C27142328D1BA3BDF162DDCD7937C94450FD7AEA5307E0BAEC343D14A19974FB</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FA37BD241CAA978C3941FF5A5FFAED59</vt:lpwstr>
  </property>
  <property fmtid="{D5CDD505-2E9C-101B-9397-08002B2CF9AE}" pid="24" name="PM_Hash_Salt">
    <vt:lpwstr>6ED6E12D7A85779F27B53CA18E9BB818</vt:lpwstr>
  </property>
  <property fmtid="{D5CDD505-2E9C-101B-9397-08002B2CF9AE}" pid="25" name="PM_Hash_SHA1">
    <vt:lpwstr>532331DCFC63B905182A25ED3222565D1A01A015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