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GridBlack"/>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0"/>
      </w:tblGrid>
      <w:tr w:rsidR="0099396E" w14:paraId="5FFA9010" w14:textId="77777777" w:rsidTr="008377C5">
        <w:trPr>
          <w:trHeight w:val="8391"/>
        </w:trPr>
        <w:tc>
          <w:tcPr>
            <w:tcW w:w="8730" w:type="dxa"/>
          </w:tcPr>
          <w:p w14:paraId="07804C44" w14:textId="5F9B243B" w:rsidR="0099396E" w:rsidRDefault="0099396E" w:rsidP="00380878">
            <w:pPr>
              <w:jc w:val="right"/>
            </w:pPr>
          </w:p>
        </w:tc>
      </w:tr>
      <w:tr w:rsidR="0099396E" w14:paraId="4086ED5B" w14:textId="77777777" w:rsidTr="008377C5">
        <w:trPr>
          <w:trHeight w:val="3679"/>
        </w:trPr>
        <w:tc>
          <w:tcPr>
            <w:tcW w:w="8730" w:type="dxa"/>
            <w:vAlign w:val="bottom"/>
          </w:tcPr>
          <w:sdt>
            <w:sdtPr>
              <w:alias w:val="Links to footer - Don't add line breaks"/>
              <w:tag w:val="Don't add line breaks"/>
              <w:id w:val="-1881004855"/>
              <w:lock w:val="sdtLocked"/>
              <w:placeholder>
                <w:docPart w:val="3A7565275E2D4C2DBB20D85962E08BBC"/>
              </w:placeholder>
              <w:text/>
            </w:sdtPr>
            <w:sdtEndPr/>
            <w:sdtContent>
              <w:p w14:paraId="2A759AF8" w14:textId="7B813ACA" w:rsidR="0099396E" w:rsidRDefault="00794E11" w:rsidP="001A338A">
                <w:pPr>
                  <w:pStyle w:val="CoverTitle"/>
                </w:pPr>
                <w:r>
                  <w:t>Human Development Monitoring and Evaluation Service</w:t>
                </w:r>
              </w:p>
            </w:sdtContent>
          </w:sdt>
          <w:p w14:paraId="7CC6D7CF" w14:textId="3CF9EE41" w:rsidR="009D07D2" w:rsidRDefault="00794E11" w:rsidP="001A338A">
            <w:pPr>
              <w:pStyle w:val="CoverSubtitle"/>
            </w:pPr>
            <w:r>
              <w:t>Mid-term Review</w:t>
            </w:r>
          </w:p>
          <w:p w14:paraId="7352177B" w14:textId="5C65D5E4" w:rsidR="0099396E" w:rsidRPr="00075830" w:rsidRDefault="00B244D3" w:rsidP="001A338A">
            <w:pPr>
              <w:pStyle w:val="CoverDetail"/>
              <w:rPr>
                <w:color w:val="auto"/>
              </w:rPr>
            </w:pPr>
            <w:sdt>
              <w:sdtPr>
                <w:rPr>
                  <w:color w:val="auto"/>
                </w:rPr>
                <w:id w:val="-2049367916"/>
                <w:placeholder>
                  <w:docPart w:val="477F42AB5B1941D2B2132E2D17422468"/>
                </w:placeholder>
                <w:date w:fullDate="2025-07-14T00:00:00Z">
                  <w:dateFormat w:val="d MMMM yyyy"/>
                  <w:lid w:val="en-AU"/>
                  <w:storeMappedDataAs w:val="dateTime"/>
                  <w:calendar w:val="gregorian"/>
                </w:date>
              </w:sdtPr>
              <w:sdtContent>
                <w:r>
                  <w:rPr>
                    <w:color w:val="auto"/>
                  </w:rPr>
                  <w:t>14 July 2025</w:t>
                </w:r>
              </w:sdtContent>
            </w:sdt>
          </w:p>
          <w:p w14:paraId="7059CFD4" w14:textId="6EDAE2EA" w:rsidR="00020AE2" w:rsidRDefault="00020AE2" w:rsidP="00CC2F3A">
            <w:pPr>
              <w:pStyle w:val="CoverInsideDetail"/>
              <w:numPr>
                <w:ilvl w:val="0"/>
                <w:numId w:val="0"/>
              </w:numPr>
            </w:pPr>
          </w:p>
        </w:tc>
      </w:tr>
    </w:tbl>
    <w:p w14:paraId="57CE7D11" w14:textId="33F6AF02" w:rsidR="007D2707" w:rsidRPr="007D2707" w:rsidRDefault="007D2707" w:rsidP="007D2707">
      <w:pPr>
        <w:numPr>
          <w:ilvl w:val="0"/>
          <w:numId w:val="9"/>
        </w:numPr>
        <w:spacing w:before="360" w:after="0" w:line="240" w:lineRule="auto"/>
        <w:contextualSpacing/>
        <w:rPr>
          <w:b/>
          <w:bCs/>
          <w:iCs/>
          <w:caps/>
          <w:color w:val="FFFFFF" w:themeColor="background1"/>
          <w:sz w:val="28"/>
          <w:szCs w:val="28"/>
        </w:rPr>
      </w:pPr>
      <w:r w:rsidRPr="007D2707">
        <w:rPr>
          <w:b/>
          <w:bCs/>
          <w:iCs/>
          <w:caps/>
          <w:color w:val="FFFFFF" w:themeColor="background1"/>
          <w:sz w:val="28"/>
          <w:szCs w:val="28"/>
        </w:rPr>
        <w:lastRenderedPageBreak/>
        <w:t>Report prepared by:</w:t>
      </w:r>
    </w:p>
    <w:p w14:paraId="27A0D84F" w14:textId="77777777" w:rsidR="007D2707" w:rsidRPr="007D2707" w:rsidRDefault="00B244D3" w:rsidP="007D2707">
      <w:pPr>
        <w:numPr>
          <w:ilvl w:val="0"/>
          <w:numId w:val="9"/>
        </w:numPr>
        <w:spacing w:before="120" w:after="0"/>
        <w:contextualSpacing/>
        <w:rPr>
          <w:bCs/>
          <w:iCs/>
          <w:color w:val="FFFFFF" w:themeColor="background1"/>
          <w:sz w:val="24"/>
          <w:szCs w:val="28"/>
        </w:rPr>
      </w:pPr>
      <w:sdt>
        <w:sdtPr>
          <w:rPr>
            <w:bCs/>
            <w:iCs/>
            <w:color w:val="FFFFFF" w:themeColor="background1"/>
            <w:sz w:val="24"/>
            <w:szCs w:val="28"/>
          </w:rPr>
          <w:alias w:val="Name"/>
          <w:tag w:val="Name"/>
          <w:id w:val="-733462005"/>
          <w:placeholder>
            <w:docPart w:val="51AD4AF397A54719B43775CF148A4D58"/>
          </w:placeholder>
          <w:text/>
        </w:sdtPr>
        <w:sdtEndPr/>
        <w:sdtContent>
          <w:r w:rsidR="007D2707" w:rsidRPr="007D2707">
            <w:rPr>
              <w:bCs/>
              <w:iCs/>
              <w:color w:val="FFFFFF" w:themeColor="background1"/>
              <w:sz w:val="24"/>
              <w:szCs w:val="28"/>
            </w:rPr>
            <w:t>Rebecca King, Senior Consultant</w:t>
          </w:r>
        </w:sdtContent>
      </w:sdt>
      <w:r w:rsidR="007D2707" w:rsidRPr="007D2707">
        <w:rPr>
          <w:bCs/>
          <w:iCs/>
          <w:color w:val="FFFFFF" w:themeColor="background1"/>
          <w:sz w:val="24"/>
          <w:szCs w:val="28"/>
        </w:rPr>
        <w:t xml:space="preserve"> – </w:t>
      </w:r>
      <w:sdt>
        <w:sdtPr>
          <w:rPr>
            <w:bCs/>
            <w:iCs/>
            <w:color w:val="FFFFFF" w:themeColor="background1"/>
            <w:sz w:val="24"/>
            <w:szCs w:val="28"/>
          </w:rPr>
          <w:alias w:val="Position"/>
          <w:tag w:val="Position"/>
          <w:id w:val="-1891483211"/>
          <w:placeholder>
            <w:docPart w:val="89C126D0B44A421B8E362058BCAB6EB4"/>
          </w:placeholder>
          <w:text/>
        </w:sdtPr>
        <w:sdtEndPr/>
        <w:sdtContent>
          <w:r w:rsidR="007D2707" w:rsidRPr="007D2707">
            <w:rPr>
              <w:bCs/>
              <w:iCs/>
              <w:color w:val="FFFFFF" w:themeColor="background1"/>
              <w:sz w:val="24"/>
              <w:szCs w:val="28"/>
            </w:rPr>
            <w:t>Alinea International</w:t>
          </w:r>
        </w:sdtContent>
      </w:sdt>
    </w:p>
    <w:p w14:paraId="60970E16" w14:textId="77777777" w:rsidR="007D2707" w:rsidRPr="007D2707" w:rsidRDefault="007D2707" w:rsidP="007D2707">
      <w:pPr>
        <w:spacing w:before="120" w:after="0"/>
        <w:contextualSpacing/>
        <w:rPr>
          <w:bCs/>
          <w:iCs/>
          <w:color w:val="FFFFFF" w:themeColor="background1"/>
          <w:sz w:val="24"/>
          <w:szCs w:val="28"/>
        </w:rPr>
      </w:pPr>
    </w:p>
    <w:p w14:paraId="26503EB9" w14:textId="77777777" w:rsidR="007D2707" w:rsidRPr="007D2707" w:rsidRDefault="007D2707" w:rsidP="007D2707">
      <w:pPr>
        <w:spacing w:before="120" w:after="0"/>
        <w:contextualSpacing/>
        <w:rPr>
          <w:bCs/>
          <w:i/>
          <w:color w:val="FFFFFF" w:themeColor="background1"/>
          <w:sz w:val="18"/>
          <w:szCs w:val="20"/>
        </w:rPr>
      </w:pPr>
      <w:r w:rsidRPr="007D2707">
        <w:rPr>
          <w:bCs/>
          <w:i/>
          <w:color w:val="FFFFFF" w:themeColor="background1"/>
          <w:sz w:val="18"/>
          <w:szCs w:val="20"/>
        </w:rPr>
        <w:t>Cover Image:</w:t>
      </w:r>
      <w:r w:rsidRPr="007D2707">
        <w:rPr>
          <w:bCs/>
          <w:iCs/>
          <w:color w:val="FFFFFF" w:themeColor="background1"/>
          <w:sz w:val="24"/>
          <w:szCs w:val="28"/>
        </w:rPr>
        <w:t xml:space="preserve"> </w:t>
      </w:r>
      <w:r w:rsidRPr="007D2707">
        <w:rPr>
          <w:bCs/>
          <w:i/>
          <w:color w:val="FFFFFF" w:themeColor="background1"/>
          <w:sz w:val="18"/>
          <w:szCs w:val="18"/>
        </w:rPr>
        <w:t xml:space="preserve">Raggiana Bird-of-Paradise, Niall D Perrins, </w:t>
      </w:r>
      <w:proofErr w:type="spellStart"/>
      <w:r w:rsidRPr="007D2707">
        <w:rPr>
          <w:bCs/>
          <w:i/>
          <w:color w:val="FFFFFF" w:themeColor="background1"/>
          <w:sz w:val="18"/>
          <w:szCs w:val="18"/>
        </w:rPr>
        <w:t>Varirata</w:t>
      </w:r>
      <w:proofErr w:type="spellEnd"/>
      <w:r w:rsidRPr="007D2707">
        <w:rPr>
          <w:bCs/>
          <w:i/>
          <w:color w:val="FFFFFF" w:themeColor="background1"/>
          <w:sz w:val="18"/>
          <w:szCs w:val="18"/>
        </w:rPr>
        <w:t xml:space="preserve"> National Park</w:t>
      </w:r>
    </w:p>
    <w:p w14:paraId="62C68BF5" w14:textId="08995356" w:rsidR="007D2707" w:rsidRDefault="007D2707" w:rsidP="007D2707">
      <w:pPr>
        <w:tabs>
          <w:tab w:val="left" w:pos="600"/>
        </w:tabs>
      </w:pPr>
    </w:p>
    <w:p w14:paraId="3F373B13" w14:textId="58ADEC63" w:rsidR="007D2707" w:rsidRPr="007D2707" w:rsidRDefault="007D2707" w:rsidP="007D2707">
      <w:pPr>
        <w:tabs>
          <w:tab w:val="left" w:pos="600"/>
        </w:tabs>
        <w:sectPr w:rsidR="007D2707" w:rsidRPr="007D2707" w:rsidSect="008253D4">
          <w:headerReference w:type="even" r:id="rId11"/>
          <w:headerReference w:type="default" r:id="rId12"/>
          <w:footerReference w:type="even" r:id="rId13"/>
          <w:footerReference w:type="default" r:id="rId14"/>
          <w:headerReference w:type="first" r:id="rId15"/>
          <w:footerReference w:type="first" r:id="rId16"/>
          <w:pgSz w:w="11906" w:h="16838" w:code="9"/>
          <w:pgMar w:top="1701" w:right="1134" w:bottom="1418" w:left="1134" w:header="851" w:footer="454" w:gutter="0"/>
          <w:cols w:space="709"/>
          <w:titlePg/>
          <w:docGrid w:linePitch="360"/>
        </w:sectPr>
      </w:pPr>
    </w:p>
    <w:sdt>
      <w:sdtPr>
        <w:rPr>
          <w:rFonts w:asciiTheme="minorHAnsi" w:hAnsiTheme="minorHAnsi"/>
          <w:bCs w:val="0"/>
          <w:iCs w:val="0"/>
          <w:caps w:val="0"/>
          <w:color w:val="000000" w:themeColor="text1"/>
          <w:sz w:val="20"/>
          <w:szCs w:val="20"/>
        </w:rPr>
        <w:id w:val="-1899824945"/>
        <w:docPartObj>
          <w:docPartGallery w:val="Table of Contents"/>
          <w:docPartUnique/>
        </w:docPartObj>
      </w:sdtPr>
      <w:sdtEndPr>
        <w:rPr>
          <w:b/>
          <w:bCs/>
          <w:noProof/>
        </w:rPr>
      </w:sdtEndPr>
      <w:sdtContent>
        <w:p w14:paraId="6D9F04A0" w14:textId="523B48B6" w:rsidR="0013107A" w:rsidRDefault="0013107A">
          <w:pPr>
            <w:pStyle w:val="TOCHeading"/>
          </w:pPr>
          <w:r>
            <w:t>Contents</w:t>
          </w:r>
        </w:p>
        <w:p w14:paraId="62293A8D" w14:textId="366FB124" w:rsidR="00E56F94" w:rsidRDefault="0013107A">
          <w:pPr>
            <w:pStyle w:val="TOC1"/>
            <w:rPr>
              <w:rFonts w:eastAsiaTheme="minorEastAsia" w:cstheme="minorBidi"/>
              <w:b w:val="0"/>
              <w:caps w:val="0"/>
              <w:noProof/>
              <w:color w:val="auto"/>
              <w:kern w:val="2"/>
              <w:sz w:val="24"/>
              <w14:ligatures w14:val="standardContextual"/>
            </w:rPr>
          </w:pPr>
          <w:r>
            <w:fldChar w:fldCharType="begin"/>
          </w:r>
          <w:r>
            <w:instrText xml:space="preserve"> TOC \o "1-3" \h \z \u </w:instrText>
          </w:r>
          <w:r>
            <w:fldChar w:fldCharType="separate"/>
          </w:r>
          <w:hyperlink w:anchor="_Toc204241414" w:history="1">
            <w:r w:rsidR="00E56F94" w:rsidRPr="00A43301">
              <w:rPr>
                <w:rStyle w:val="Hyperlink"/>
                <w:noProof/>
              </w:rPr>
              <w:t>Executive Summary</w:t>
            </w:r>
            <w:r w:rsidR="00E56F94">
              <w:rPr>
                <w:noProof/>
                <w:webHidden/>
              </w:rPr>
              <w:tab/>
            </w:r>
            <w:r w:rsidR="00E56F94">
              <w:rPr>
                <w:noProof/>
                <w:webHidden/>
              </w:rPr>
              <w:fldChar w:fldCharType="begin"/>
            </w:r>
            <w:r w:rsidR="00E56F94">
              <w:rPr>
                <w:noProof/>
                <w:webHidden/>
              </w:rPr>
              <w:instrText xml:space="preserve"> PAGEREF _Toc204241414 \h </w:instrText>
            </w:r>
            <w:r w:rsidR="00E56F94">
              <w:rPr>
                <w:noProof/>
                <w:webHidden/>
              </w:rPr>
            </w:r>
            <w:r w:rsidR="00E56F94">
              <w:rPr>
                <w:noProof/>
                <w:webHidden/>
              </w:rPr>
              <w:fldChar w:fldCharType="separate"/>
            </w:r>
            <w:r w:rsidR="00B5194B">
              <w:rPr>
                <w:noProof/>
                <w:webHidden/>
              </w:rPr>
              <w:t>4</w:t>
            </w:r>
            <w:r w:rsidR="00E56F94">
              <w:rPr>
                <w:noProof/>
                <w:webHidden/>
              </w:rPr>
              <w:fldChar w:fldCharType="end"/>
            </w:r>
          </w:hyperlink>
        </w:p>
        <w:p w14:paraId="62B80CC3" w14:textId="160A554D" w:rsidR="00E56F94" w:rsidRDefault="00E56F94">
          <w:pPr>
            <w:pStyle w:val="TOC3"/>
            <w:rPr>
              <w:rFonts w:eastAsiaTheme="minorEastAsia" w:cstheme="minorBidi"/>
              <w:noProof/>
              <w:color w:val="auto"/>
              <w:kern w:val="2"/>
              <w:sz w:val="24"/>
              <w14:ligatures w14:val="standardContextual"/>
            </w:rPr>
          </w:pPr>
          <w:hyperlink w:anchor="_Toc204241415" w:history="1">
            <w:r w:rsidRPr="00A43301">
              <w:rPr>
                <w:rStyle w:val="Hyperlink"/>
                <w:noProof/>
              </w:rPr>
              <w:t>Recommendations</w:t>
            </w:r>
            <w:r>
              <w:rPr>
                <w:noProof/>
                <w:webHidden/>
              </w:rPr>
              <w:tab/>
            </w:r>
            <w:r>
              <w:rPr>
                <w:noProof/>
                <w:webHidden/>
              </w:rPr>
              <w:fldChar w:fldCharType="begin"/>
            </w:r>
            <w:r>
              <w:rPr>
                <w:noProof/>
                <w:webHidden/>
              </w:rPr>
              <w:instrText xml:space="preserve"> PAGEREF _Toc204241415 \h </w:instrText>
            </w:r>
            <w:r>
              <w:rPr>
                <w:noProof/>
                <w:webHidden/>
              </w:rPr>
            </w:r>
            <w:r>
              <w:rPr>
                <w:noProof/>
                <w:webHidden/>
              </w:rPr>
              <w:fldChar w:fldCharType="separate"/>
            </w:r>
            <w:r w:rsidR="00B5194B">
              <w:rPr>
                <w:noProof/>
                <w:webHidden/>
              </w:rPr>
              <w:t>4</w:t>
            </w:r>
            <w:r>
              <w:rPr>
                <w:noProof/>
                <w:webHidden/>
              </w:rPr>
              <w:fldChar w:fldCharType="end"/>
            </w:r>
          </w:hyperlink>
        </w:p>
        <w:p w14:paraId="49CE7100" w14:textId="69028EFA" w:rsidR="00E56F94" w:rsidRDefault="00E56F94">
          <w:pPr>
            <w:pStyle w:val="TOC1"/>
            <w:rPr>
              <w:rFonts w:eastAsiaTheme="minorEastAsia" w:cstheme="minorBidi"/>
              <w:b w:val="0"/>
              <w:caps w:val="0"/>
              <w:noProof/>
              <w:color w:val="auto"/>
              <w:kern w:val="2"/>
              <w:sz w:val="24"/>
              <w14:ligatures w14:val="standardContextual"/>
            </w:rPr>
          </w:pPr>
          <w:hyperlink w:anchor="_Toc204241416" w:history="1">
            <w:r w:rsidRPr="00A43301">
              <w:rPr>
                <w:rStyle w:val="Hyperlink"/>
                <w:noProof/>
              </w:rPr>
              <w:t>Abbreviations</w:t>
            </w:r>
            <w:r>
              <w:rPr>
                <w:noProof/>
                <w:webHidden/>
              </w:rPr>
              <w:tab/>
            </w:r>
            <w:r>
              <w:rPr>
                <w:noProof/>
                <w:webHidden/>
              </w:rPr>
              <w:fldChar w:fldCharType="begin"/>
            </w:r>
            <w:r>
              <w:rPr>
                <w:noProof/>
                <w:webHidden/>
              </w:rPr>
              <w:instrText xml:space="preserve"> PAGEREF _Toc204241416 \h </w:instrText>
            </w:r>
            <w:r>
              <w:rPr>
                <w:noProof/>
                <w:webHidden/>
              </w:rPr>
            </w:r>
            <w:r>
              <w:rPr>
                <w:noProof/>
                <w:webHidden/>
              </w:rPr>
              <w:fldChar w:fldCharType="separate"/>
            </w:r>
            <w:r w:rsidR="00B5194B">
              <w:rPr>
                <w:noProof/>
                <w:webHidden/>
              </w:rPr>
              <w:t>6</w:t>
            </w:r>
            <w:r>
              <w:rPr>
                <w:noProof/>
                <w:webHidden/>
              </w:rPr>
              <w:fldChar w:fldCharType="end"/>
            </w:r>
          </w:hyperlink>
        </w:p>
        <w:p w14:paraId="0FD1F6E0" w14:textId="40240507" w:rsidR="00E56F94" w:rsidRDefault="00E56F94">
          <w:pPr>
            <w:pStyle w:val="TOC1"/>
            <w:rPr>
              <w:rFonts w:eastAsiaTheme="minorEastAsia" w:cstheme="minorBidi"/>
              <w:b w:val="0"/>
              <w:caps w:val="0"/>
              <w:noProof/>
              <w:color w:val="auto"/>
              <w:kern w:val="2"/>
              <w:sz w:val="24"/>
              <w14:ligatures w14:val="standardContextual"/>
            </w:rPr>
          </w:pPr>
          <w:hyperlink w:anchor="_Toc204241417" w:history="1">
            <w:r w:rsidRPr="00A43301">
              <w:rPr>
                <w:rStyle w:val="Hyperlink"/>
                <w:noProof/>
              </w:rPr>
              <w:t>Introduction</w:t>
            </w:r>
            <w:r>
              <w:rPr>
                <w:noProof/>
                <w:webHidden/>
              </w:rPr>
              <w:tab/>
            </w:r>
            <w:r>
              <w:rPr>
                <w:noProof/>
                <w:webHidden/>
              </w:rPr>
              <w:fldChar w:fldCharType="begin"/>
            </w:r>
            <w:r>
              <w:rPr>
                <w:noProof/>
                <w:webHidden/>
              </w:rPr>
              <w:instrText xml:space="preserve"> PAGEREF _Toc204241417 \h </w:instrText>
            </w:r>
            <w:r>
              <w:rPr>
                <w:noProof/>
                <w:webHidden/>
              </w:rPr>
            </w:r>
            <w:r>
              <w:rPr>
                <w:noProof/>
                <w:webHidden/>
              </w:rPr>
              <w:fldChar w:fldCharType="separate"/>
            </w:r>
            <w:r w:rsidR="00B5194B">
              <w:rPr>
                <w:noProof/>
                <w:webHidden/>
              </w:rPr>
              <w:t>7</w:t>
            </w:r>
            <w:r>
              <w:rPr>
                <w:noProof/>
                <w:webHidden/>
              </w:rPr>
              <w:fldChar w:fldCharType="end"/>
            </w:r>
          </w:hyperlink>
        </w:p>
        <w:p w14:paraId="04F8BC1B" w14:textId="2CCF4D16" w:rsidR="00E56F94" w:rsidRDefault="00E56F94">
          <w:pPr>
            <w:pStyle w:val="TOC2"/>
            <w:rPr>
              <w:rFonts w:eastAsiaTheme="minorEastAsia" w:cstheme="minorBidi"/>
              <w:noProof/>
              <w:color w:val="auto"/>
              <w:kern w:val="2"/>
              <w:sz w:val="24"/>
              <w14:ligatures w14:val="standardContextual"/>
            </w:rPr>
          </w:pPr>
          <w:hyperlink w:anchor="_Toc204241418" w:history="1">
            <w:r w:rsidRPr="00A43301">
              <w:rPr>
                <w:rStyle w:val="Hyperlink"/>
                <w:noProof/>
              </w:rPr>
              <w:t>Purpose</w:t>
            </w:r>
            <w:r>
              <w:rPr>
                <w:noProof/>
                <w:webHidden/>
              </w:rPr>
              <w:tab/>
            </w:r>
            <w:r>
              <w:rPr>
                <w:noProof/>
                <w:webHidden/>
              </w:rPr>
              <w:fldChar w:fldCharType="begin"/>
            </w:r>
            <w:r>
              <w:rPr>
                <w:noProof/>
                <w:webHidden/>
              </w:rPr>
              <w:instrText xml:space="preserve"> PAGEREF _Toc204241418 \h </w:instrText>
            </w:r>
            <w:r>
              <w:rPr>
                <w:noProof/>
                <w:webHidden/>
              </w:rPr>
            </w:r>
            <w:r>
              <w:rPr>
                <w:noProof/>
                <w:webHidden/>
              </w:rPr>
              <w:fldChar w:fldCharType="separate"/>
            </w:r>
            <w:r w:rsidR="00B5194B">
              <w:rPr>
                <w:noProof/>
                <w:webHidden/>
              </w:rPr>
              <w:t>8</w:t>
            </w:r>
            <w:r>
              <w:rPr>
                <w:noProof/>
                <w:webHidden/>
              </w:rPr>
              <w:fldChar w:fldCharType="end"/>
            </w:r>
          </w:hyperlink>
        </w:p>
        <w:p w14:paraId="55550B49" w14:textId="02DFA629" w:rsidR="00E56F94" w:rsidRDefault="00E56F94">
          <w:pPr>
            <w:pStyle w:val="TOC2"/>
            <w:rPr>
              <w:rFonts w:eastAsiaTheme="minorEastAsia" w:cstheme="minorBidi"/>
              <w:noProof/>
              <w:color w:val="auto"/>
              <w:kern w:val="2"/>
              <w:sz w:val="24"/>
              <w14:ligatures w14:val="standardContextual"/>
            </w:rPr>
          </w:pPr>
          <w:hyperlink w:anchor="_Toc204241419" w:history="1">
            <w:r w:rsidRPr="00A43301">
              <w:rPr>
                <w:rStyle w:val="Hyperlink"/>
                <w:noProof/>
              </w:rPr>
              <w:t>Key Review Questions</w:t>
            </w:r>
            <w:r>
              <w:rPr>
                <w:noProof/>
                <w:webHidden/>
              </w:rPr>
              <w:tab/>
            </w:r>
            <w:r>
              <w:rPr>
                <w:noProof/>
                <w:webHidden/>
              </w:rPr>
              <w:fldChar w:fldCharType="begin"/>
            </w:r>
            <w:r>
              <w:rPr>
                <w:noProof/>
                <w:webHidden/>
              </w:rPr>
              <w:instrText xml:space="preserve"> PAGEREF _Toc204241419 \h </w:instrText>
            </w:r>
            <w:r>
              <w:rPr>
                <w:noProof/>
                <w:webHidden/>
              </w:rPr>
            </w:r>
            <w:r>
              <w:rPr>
                <w:noProof/>
                <w:webHidden/>
              </w:rPr>
              <w:fldChar w:fldCharType="separate"/>
            </w:r>
            <w:r w:rsidR="00B5194B">
              <w:rPr>
                <w:noProof/>
                <w:webHidden/>
              </w:rPr>
              <w:t>8</w:t>
            </w:r>
            <w:r>
              <w:rPr>
                <w:noProof/>
                <w:webHidden/>
              </w:rPr>
              <w:fldChar w:fldCharType="end"/>
            </w:r>
          </w:hyperlink>
        </w:p>
        <w:p w14:paraId="3A9EC131" w14:textId="73ACB8E5" w:rsidR="00E56F94" w:rsidRDefault="00E56F94">
          <w:pPr>
            <w:pStyle w:val="TOC1"/>
            <w:rPr>
              <w:rFonts w:eastAsiaTheme="minorEastAsia" w:cstheme="minorBidi"/>
              <w:b w:val="0"/>
              <w:caps w:val="0"/>
              <w:noProof/>
              <w:color w:val="auto"/>
              <w:kern w:val="2"/>
              <w:sz w:val="24"/>
              <w14:ligatures w14:val="standardContextual"/>
            </w:rPr>
          </w:pPr>
          <w:hyperlink w:anchor="_Toc204241420" w:history="1">
            <w:r w:rsidRPr="00A43301">
              <w:rPr>
                <w:rStyle w:val="Hyperlink"/>
                <w:noProof/>
              </w:rPr>
              <w:t>Methodology</w:t>
            </w:r>
            <w:r>
              <w:rPr>
                <w:noProof/>
                <w:webHidden/>
              </w:rPr>
              <w:tab/>
            </w:r>
            <w:r>
              <w:rPr>
                <w:noProof/>
                <w:webHidden/>
              </w:rPr>
              <w:fldChar w:fldCharType="begin"/>
            </w:r>
            <w:r>
              <w:rPr>
                <w:noProof/>
                <w:webHidden/>
              </w:rPr>
              <w:instrText xml:space="preserve"> PAGEREF _Toc204241420 \h </w:instrText>
            </w:r>
            <w:r>
              <w:rPr>
                <w:noProof/>
                <w:webHidden/>
              </w:rPr>
            </w:r>
            <w:r>
              <w:rPr>
                <w:noProof/>
                <w:webHidden/>
              </w:rPr>
              <w:fldChar w:fldCharType="separate"/>
            </w:r>
            <w:r w:rsidR="00B5194B">
              <w:rPr>
                <w:noProof/>
                <w:webHidden/>
              </w:rPr>
              <w:t>9</w:t>
            </w:r>
            <w:r>
              <w:rPr>
                <w:noProof/>
                <w:webHidden/>
              </w:rPr>
              <w:fldChar w:fldCharType="end"/>
            </w:r>
          </w:hyperlink>
        </w:p>
        <w:p w14:paraId="77664E30" w14:textId="1C881EE4" w:rsidR="00E56F94" w:rsidRDefault="00E56F94">
          <w:pPr>
            <w:pStyle w:val="TOC2"/>
            <w:rPr>
              <w:rFonts w:eastAsiaTheme="minorEastAsia" w:cstheme="minorBidi"/>
              <w:noProof/>
              <w:color w:val="auto"/>
              <w:kern w:val="2"/>
              <w:sz w:val="24"/>
              <w14:ligatures w14:val="standardContextual"/>
            </w:rPr>
          </w:pPr>
          <w:hyperlink w:anchor="_Toc204241421" w:history="1">
            <w:r w:rsidRPr="00A43301">
              <w:rPr>
                <w:rStyle w:val="Hyperlink"/>
                <w:noProof/>
              </w:rPr>
              <w:t>Strengths and limitations</w:t>
            </w:r>
            <w:r>
              <w:rPr>
                <w:noProof/>
                <w:webHidden/>
              </w:rPr>
              <w:tab/>
            </w:r>
            <w:r>
              <w:rPr>
                <w:noProof/>
                <w:webHidden/>
              </w:rPr>
              <w:fldChar w:fldCharType="begin"/>
            </w:r>
            <w:r>
              <w:rPr>
                <w:noProof/>
                <w:webHidden/>
              </w:rPr>
              <w:instrText xml:space="preserve"> PAGEREF _Toc204241421 \h </w:instrText>
            </w:r>
            <w:r>
              <w:rPr>
                <w:noProof/>
                <w:webHidden/>
              </w:rPr>
            </w:r>
            <w:r>
              <w:rPr>
                <w:noProof/>
                <w:webHidden/>
              </w:rPr>
              <w:fldChar w:fldCharType="separate"/>
            </w:r>
            <w:r w:rsidR="00B5194B">
              <w:rPr>
                <w:noProof/>
                <w:webHidden/>
              </w:rPr>
              <w:t>9</w:t>
            </w:r>
            <w:r>
              <w:rPr>
                <w:noProof/>
                <w:webHidden/>
              </w:rPr>
              <w:fldChar w:fldCharType="end"/>
            </w:r>
          </w:hyperlink>
        </w:p>
        <w:p w14:paraId="2AD27C07" w14:textId="39603BC1" w:rsidR="00E56F94" w:rsidRDefault="00E56F94">
          <w:pPr>
            <w:pStyle w:val="TOC2"/>
            <w:rPr>
              <w:rFonts w:eastAsiaTheme="minorEastAsia" w:cstheme="minorBidi"/>
              <w:noProof/>
              <w:color w:val="auto"/>
              <w:kern w:val="2"/>
              <w:sz w:val="24"/>
              <w14:ligatures w14:val="standardContextual"/>
            </w:rPr>
          </w:pPr>
          <w:hyperlink w:anchor="_Toc204241422" w:history="1">
            <w:r w:rsidRPr="00A43301">
              <w:rPr>
                <w:rStyle w:val="Hyperlink"/>
                <w:noProof/>
              </w:rPr>
              <w:t>Overall Assessment of Evidence Quality</w:t>
            </w:r>
            <w:r>
              <w:rPr>
                <w:noProof/>
                <w:webHidden/>
              </w:rPr>
              <w:tab/>
            </w:r>
            <w:r>
              <w:rPr>
                <w:noProof/>
                <w:webHidden/>
              </w:rPr>
              <w:fldChar w:fldCharType="begin"/>
            </w:r>
            <w:r>
              <w:rPr>
                <w:noProof/>
                <w:webHidden/>
              </w:rPr>
              <w:instrText xml:space="preserve"> PAGEREF _Toc204241422 \h </w:instrText>
            </w:r>
            <w:r>
              <w:rPr>
                <w:noProof/>
                <w:webHidden/>
              </w:rPr>
            </w:r>
            <w:r>
              <w:rPr>
                <w:noProof/>
                <w:webHidden/>
              </w:rPr>
              <w:fldChar w:fldCharType="separate"/>
            </w:r>
            <w:r w:rsidR="00B5194B">
              <w:rPr>
                <w:noProof/>
                <w:webHidden/>
              </w:rPr>
              <w:t>10</w:t>
            </w:r>
            <w:r>
              <w:rPr>
                <w:noProof/>
                <w:webHidden/>
              </w:rPr>
              <w:fldChar w:fldCharType="end"/>
            </w:r>
          </w:hyperlink>
        </w:p>
        <w:p w14:paraId="67ECE44B" w14:textId="4AC49A49" w:rsidR="00E56F94" w:rsidRDefault="00E56F94">
          <w:pPr>
            <w:pStyle w:val="TOC1"/>
            <w:rPr>
              <w:rFonts w:eastAsiaTheme="minorEastAsia" w:cstheme="minorBidi"/>
              <w:b w:val="0"/>
              <w:caps w:val="0"/>
              <w:noProof/>
              <w:color w:val="auto"/>
              <w:kern w:val="2"/>
              <w:sz w:val="24"/>
              <w14:ligatures w14:val="standardContextual"/>
            </w:rPr>
          </w:pPr>
          <w:hyperlink w:anchor="_Toc204241423" w:history="1">
            <w:r w:rsidRPr="00A43301">
              <w:rPr>
                <w:rStyle w:val="Hyperlink"/>
                <w:noProof/>
              </w:rPr>
              <w:t>RELEVANCE</w:t>
            </w:r>
            <w:r>
              <w:rPr>
                <w:noProof/>
                <w:webHidden/>
              </w:rPr>
              <w:tab/>
            </w:r>
            <w:r>
              <w:rPr>
                <w:noProof/>
                <w:webHidden/>
              </w:rPr>
              <w:fldChar w:fldCharType="begin"/>
            </w:r>
            <w:r>
              <w:rPr>
                <w:noProof/>
                <w:webHidden/>
              </w:rPr>
              <w:instrText xml:space="preserve"> PAGEREF _Toc204241423 \h </w:instrText>
            </w:r>
            <w:r>
              <w:rPr>
                <w:noProof/>
                <w:webHidden/>
              </w:rPr>
            </w:r>
            <w:r>
              <w:rPr>
                <w:noProof/>
                <w:webHidden/>
              </w:rPr>
              <w:fldChar w:fldCharType="separate"/>
            </w:r>
            <w:r w:rsidR="00B5194B">
              <w:rPr>
                <w:noProof/>
                <w:webHidden/>
              </w:rPr>
              <w:t>11</w:t>
            </w:r>
            <w:r>
              <w:rPr>
                <w:noProof/>
                <w:webHidden/>
              </w:rPr>
              <w:fldChar w:fldCharType="end"/>
            </w:r>
          </w:hyperlink>
        </w:p>
        <w:p w14:paraId="05FF0397" w14:textId="3AC70739" w:rsidR="00E56F94" w:rsidRDefault="00E56F94">
          <w:pPr>
            <w:pStyle w:val="TOC3"/>
            <w:rPr>
              <w:rFonts w:eastAsiaTheme="minorEastAsia" w:cstheme="minorBidi"/>
              <w:noProof/>
              <w:color w:val="auto"/>
              <w:kern w:val="2"/>
              <w:sz w:val="24"/>
              <w14:ligatures w14:val="standardContextual"/>
            </w:rPr>
          </w:pPr>
          <w:hyperlink w:anchor="_Toc204241424" w:history="1">
            <w:r w:rsidRPr="00A43301">
              <w:rPr>
                <w:rStyle w:val="Hyperlink"/>
                <w:noProof/>
              </w:rPr>
              <w:t>Are the a) delivery approaches, b) implementing partners and c) suite of modalities suitable for achieving some of the investment’s intended outcomes?</w:t>
            </w:r>
            <w:r>
              <w:rPr>
                <w:noProof/>
                <w:webHidden/>
              </w:rPr>
              <w:tab/>
            </w:r>
            <w:r>
              <w:rPr>
                <w:noProof/>
                <w:webHidden/>
              </w:rPr>
              <w:fldChar w:fldCharType="begin"/>
            </w:r>
            <w:r>
              <w:rPr>
                <w:noProof/>
                <w:webHidden/>
              </w:rPr>
              <w:instrText xml:space="preserve"> PAGEREF _Toc204241424 \h </w:instrText>
            </w:r>
            <w:r>
              <w:rPr>
                <w:noProof/>
                <w:webHidden/>
              </w:rPr>
            </w:r>
            <w:r>
              <w:rPr>
                <w:noProof/>
                <w:webHidden/>
              </w:rPr>
              <w:fldChar w:fldCharType="separate"/>
            </w:r>
            <w:r w:rsidR="00B5194B">
              <w:rPr>
                <w:noProof/>
                <w:webHidden/>
              </w:rPr>
              <w:t>11</w:t>
            </w:r>
            <w:r>
              <w:rPr>
                <w:noProof/>
                <w:webHidden/>
              </w:rPr>
              <w:fldChar w:fldCharType="end"/>
            </w:r>
          </w:hyperlink>
        </w:p>
        <w:p w14:paraId="23397260" w14:textId="6EBE5910" w:rsidR="00E56F94" w:rsidRDefault="00E56F94">
          <w:pPr>
            <w:pStyle w:val="TOC3"/>
            <w:rPr>
              <w:rFonts w:eastAsiaTheme="minorEastAsia" w:cstheme="minorBidi"/>
              <w:noProof/>
              <w:color w:val="auto"/>
              <w:kern w:val="2"/>
              <w:sz w:val="24"/>
              <w14:ligatures w14:val="standardContextual"/>
            </w:rPr>
          </w:pPr>
          <w:hyperlink w:anchor="_Toc204241425" w:history="1">
            <w:r w:rsidRPr="00A43301">
              <w:rPr>
                <w:rStyle w:val="Hyperlink"/>
                <w:noProof/>
              </w:rPr>
              <w:t>How did the program adapt to the changing needs of the context?</w:t>
            </w:r>
            <w:r>
              <w:rPr>
                <w:noProof/>
                <w:webHidden/>
              </w:rPr>
              <w:tab/>
            </w:r>
            <w:r>
              <w:rPr>
                <w:noProof/>
                <w:webHidden/>
              </w:rPr>
              <w:fldChar w:fldCharType="begin"/>
            </w:r>
            <w:r>
              <w:rPr>
                <w:noProof/>
                <w:webHidden/>
              </w:rPr>
              <w:instrText xml:space="preserve"> PAGEREF _Toc204241425 \h </w:instrText>
            </w:r>
            <w:r>
              <w:rPr>
                <w:noProof/>
                <w:webHidden/>
              </w:rPr>
            </w:r>
            <w:r>
              <w:rPr>
                <w:noProof/>
                <w:webHidden/>
              </w:rPr>
              <w:fldChar w:fldCharType="separate"/>
            </w:r>
            <w:r w:rsidR="00B5194B">
              <w:rPr>
                <w:noProof/>
                <w:webHidden/>
              </w:rPr>
              <w:t>11</w:t>
            </w:r>
            <w:r>
              <w:rPr>
                <w:noProof/>
                <w:webHidden/>
              </w:rPr>
              <w:fldChar w:fldCharType="end"/>
            </w:r>
          </w:hyperlink>
        </w:p>
        <w:p w14:paraId="6DE5A164" w14:textId="18BEFF17" w:rsidR="00E56F94" w:rsidRDefault="00E56F94">
          <w:pPr>
            <w:pStyle w:val="TOC2"/>
            <w:rPr>
              <w:rFonts w:eastAsiaTheme="minorEastAsia" w:cstheme="minorBidi"/>
              <w:noProof/>
              <w:color w:val="auto"/>
              <w:kern w:val="2"/>
              <w:sz w:val="24"/>
              <w14:ligatures w14:val="standardContextual"/>
            </w:rPr>
          </w:pPr>
          <w:hyperlink w:anchor="_Toc204241426" w:history="1">
            <w:r w:rsidRPr="00A43301">
              <w:rPr>
                <w:rStyle w:val="Hyperlink"/>
                <w:noProof/>
              </w:rPr>
              <w:t>Recommendations</w:t>
            </w:r>
            <w:r>
              <w:rPr>
                <w:noProof/>
                <w:webHidden/>
              </w:rPr>
              <w:tab/>
            </w:r>
            <w:r>
              <w:rPr>
                <w:noProof/>
                <w:webHidden/>
              </w:rPr>
              <w:fldChar w:fldCharType="begin"/>
            </w:r>
            <w:r>
              <w:rPr>
                <w:noProof/>
                <w:webHidden/>
              </w:rPr>
              <w:instrText xml:space="preserve"> PAGEREF _Toc204241426 \h </w:instrText>
            </w:r>
            <w:r>
              <w:rPr>
                <w:noProof/>
                <w:webHidden/>
              </w:rPr>
            </w:r>
            <w:r>
              <w:rPr>
                <w:noProof/>
                <w:webHidden/>
              </w:rPr>
              <w:fldChar w:fldCharType="separate"/>
            </w:r>
            <w:r w:rsidR="00B5194B">
              <w:rPr>
                <w:noProof/>
                <w:webHidden/>
              </w:rPr>
              <w:t>12</w:t>
            </w:r>
            <w:r>
              <w:rPr>
                <w:noProof/>
                <w:webHidden/>
              </w:rPr>
              <w:fldChar w:fldCharType="end"/>
            </w:r>
          </w:hyperlink>
        </w:p>
        <w:p w14:paraId="1D6D7556" w14:textId="07E3B7FE" w:rsidR="00E56F94" w:rsidRDefault="00E56F94">
          <w:pPr>
            <w:pStyle w:val="TOC1"/>
            <w:rPr>
              <w:rFonts w:eastAsiaTheme="minorEastAsia" w:cstheme="minorBidi"/>
              <w:b w:val="0"/>
              <w:caps w:val="0"/>
              <w:noProof/>
              <w:color w:val="auto"/>
              <w:kern w:val="2"/>
              <w:sz w:val="24"/>
              <w14:ligatures w14:val="standardContextual"/>
            </w:rPr>
          </w:pPr>
          <w:hyperlink w:anchor="_Toc204241427" w:history="1">
            <w:r w:rsidRPr="00A43301">
              <w:rPr>
                <w:rStyle w:val="Hyperlink"/>
                <w:noProof/>
              </w:rPr>
              <w:t>EFFECTIVENESS</w:t>
            </w:r>
            <w:r>
              <w:rPr>
                <w:noProof/>
                <w:webHidden/>
              </w:rPr>
              <w:tab/>
            </w:r>
            <w:r>
              <w:rPr>
                <w:noProof/>
                <w:webHidden/>
              </w:rPr>
              <w:fldChar w:fldCharType="begin"/>
            </w:r>
            <w:r>
              <w:rPr>
                <w:noProof/>
                <w:webHidden/>
              </w:rPr>
              <w:instrText xml:space="preserve"> PAGEREF _Toc204241427 \h </w:instrText>
            </w:r>
            <w:r>
              <w:rPr>
                <w:noProof/>
                <w:webHidden/>
              </w:rPr>
            </w:r>
            <w:r>
              <w:rPr>
                <w:noProof/>
                <w:webHidden/>
              </w:rPr>
              <w:fldChar w:fldCharType="separate"/>
            </w:r>
            <w:r w:rsidR="00B5194B">
              <w:rPr>
                <w:noProof/>
                <w:webHidden/>
              </w:rPr>
              <w:t>12</w:t>
            </w:r>
            <w:r>
              <w:rPr>
                <w:noProof/>
                <w:webHidden/>
              </w:rPr>
              <w:fldChar w:fldCharType="end"/>
            </w:r>
          </w:hyperlink>
        </w:p>
        <w:p w14:paraId="0B3B2F66" w14:textId="5F41141C" w:rsidR="00E56F94" w:rsidRDefault="00E56F94">
          <w:pPr>
            <w:pStyle w:val="TOC3"/>
            <w:rPr>
              <w:rFonts w:eastAsiaTheme="minorEastAsia" w:cstheme="minorBidi"/>
              <w:noProof/>
              <w:color w:val="auto"/>
              <w:kern w:val="2"/>
              <w:sz w:val="24"/>
              <w14:ligatures w14:val="standardContextual"/>
            </w:rPr>
          </w:pPr>
          <w:hyperlink w:anchor="_Toc204241428" w:history="1">
            <w:r w:rsidRPr="00A43301">
              <w:rPr>
                <w:rStyle w:val="Hyperlink"/>
                <w:noProof/>
              </w:rPr>
              <w:t>To what extent has HDMES achieved its EOIOs and intermediate outcomes?</w:t>
            </w:r>
            <w:r>
              <w:rPr>
                <w:noProof/>
                <w:webHidden/>
              </w:rPr>
              <w:tab/>
            </w:r>
            <w:r>
              <w:rPr>
                <w:noProof/>
                <w:webHidden/>
              </w:rPr>
              <w:fldChar w:fldCharType="begin"/>
            </w:r>
            <w:r>
              <w:rPr>
                <w:noProof/>
                <w:webHidden/>
              </w:rPr>
              <w:instrText xml:space="preserve"> PAGEREF _Toc204241428 \h </w:instrText>
            </w:r>
            <w:r>
              <w:rPr>
                <w:noProof/>
                <w:webHidden/>
              </w:rPr>
            </w:r>
            <w:r>
              <w:rPr>
                <w:noProof/>
                <w:webHidden/>
              </w:rPr>
              <w:fldChar w:fldCharType="separate"/>
            </w:r>
            <w:r w:rsidR="00B5194B">
              <w:rPr>
                <w:noProof/>
                <w:webHidden/>
              </w:rPr>
              <w:t>13</w:t>
            </w:r>
            <w:r>
              <w:rPr>
                <w:noProof/>
                <w:webHidden/>
              </w:rPr>
              <w:fldChar w:fldCharType="end"/>
            </w:r>
          </w:hyperlink>
        </w:p>
        <w:p w14:paraId="789616A5" w14:textId="3B5903F3" w:rsidR="00E56F94" w:rsidRDefault="00E56F94">
          <w:pPr>
            <w:pStyle w:val="TOC3"/>
            <w:rPr>
              <w:rFonts w:eastAsiaTheme="minorEastAsia" w:cstheme="minorBidi"/>
              <w:noProof/>
              <w:color w:val="auto"/>
              <w:kern w:val="2"/>
              <w:sz w:val="24"/>
              <w14:ligatures w14:val="standardContextual"/>
            </w:rPr>
          </w:pPr>
          <w:hyperlink w:anchor="_Toc204241429" w:history="1">
            <w:r w:rsidRPr="00A43301">
              <w:rPr>
                <w:rStyle w:val="Hyperlink"/>
                <w:noProof/>
              </w:rPr>
              <w:t>How is advice from HDMES being used by AHC and IPs?</w:t>
            </w:r>
            <w:r>
              <w:rPr>
                <w:noProof/>
                <w:webHidden/>
              </w:rPr>
              <w:tab/>
            </w:r>
            <w:r>
              <w:rPr>
                <w:noProof/>
                <w:webHidden/>
              </w:rPr>
              <w:fldChar w:fldCharType="begin"/>
            </w:r>
            <w:r>
              <w:rPr>
                <w:noProof/>
                <w:webHidden/>
              </w:rPr>
              <w:instrText xml:space="preserve"> PAGEREF _Toc204241429 \h </w:instrText>
            </w:r>
            <w:r>
              <w:rPr>
                <w:noProof/>
                <w:webHidden/>
              </w:rPr>
            </w:r>
            <w:r>
              <w:rPr>
                <w:noProof/>
                <w:webHidden/>
              </w:rPr>
              <w:fldChar w:fldCharType="separate"/>
            </w:r>
            <w:r w:rsidR="00B5194B">
              <w:rPr>
                <w:noProof/>
                <w:webHidden/>
              </w:rPr>
              <w:t>15</w:t>
            </w:r>
            <w:r>
              <w:rPr>
                <w:noProof/>
                <w:webHidden/>
              </w:rPr>
              <w:fldChar w:fldCharType="end"/>
            </w:r>
          </w:hyperlink>
        </w:p>
        <w:p w14:paraId="30EFB9CB" w14:textId="594BDE04" w:rsidR="00E56F94" w:rsidRDefault="00E56F94">
          <w:pPr>
            <w:pStyle w:val="TOC2"/>
            <w:rPr>
              <w:rFonts w:eastAsiaTheme="minorEastAsia" w:cstheme="minorBidi"/>
              <w:noProof/>
              <w:color w:val="auto"/>
              <w:kern w:val="2"/>
              <w:sz w:val="24"/>
              <w14:ligatures w14:val="standardContextual"/>
            </w:rPr>
          </w:pPr>
          <w:hyperlink w:anchor="_Toc204241430" w:history="1">
            <w:r w:rsidRPr="00A43301">
              <w:rPr>
                <w:rStyle w:val="Hyperlink"/>
                <w:noProof/>
              </w:rPr>
              <w:t>Recommendations</w:t>
            </w:r>
            <w:r>
              <w:rPr>
                <w:noProof/>
                <w:webHidden/>
              </w:rPr>
              <w:tab/>
            </w:r>
            <w:r>
              <w:rPr>
                <w:noProof/>
                <w:webHidden/>
              </w:rPr>
              <w:fldChar w:fldCharType="begin"/>
            </w:r>
            <w:r>
              <w:rPr>
                <w:noProof/>
                <w:webHidden/>
              </w:rPr>
              <w:instrText xml:space="preserve"> PAGEREF _Toc204241430 \h </w:instrText>
            </w:r>
            <w:r>
              <w:rPr>
                <w:noProof/>
                <w:webHidden/>
              </w:rPr>
            </w:r>
            <w:r>
              <w:rPr>
                <w:noProof/>
                <w:webHidden/>
              </w:rPr>
              <w:fldChar w:fldCharType="separate"/>
            </w:r>
            <w:r w:rsidR="00B5194B">
              <w:rPr>
                <w:noProof/>
                <w:webHidden/>
              </w:rPr>
              <w:t>15</w:t>
            </w:r>
            <w:r>
              <w:rPr>
                <w:noProof/>
                <w:webHidden/>
              </w:rPr>
              <w:fldChar w:fldCharType="end"/>
            </w:r>
          </w:hyperlink>
        </w:p>
        <w:p w14:paraId="77B77257" w14:textId="3389359F" w:rsidR="00E56F94" w:rsidRDefault="00E56F94">
          <w:pPr>
            <w:pStyle w:val="TOC1"/>
            <w:rPr>
              <w:rFonts w:eastAsiaTheme="minorEastAsia" w:cstheme="minorBidi"/>
              <w:b w:val="0"/>
              <w:caps w:val="0"/>
              <w:noProof/>
              <w:color w:val="auto"/>
              <w:kern w:val="2"/>
              <w:sz w:val="24"/>
              <w14:ligatures w14:val="standardContextual"/>
            </w:rPr>
          </w:pPr>
          <w:hyperlink w:anchor="_Toc204241431" w:history="1">
            <w:r w:rsidRPr="00A43301">
              <w:rPr>
                <w:rStyle w:val="Hyperlink"/>
                <w:noProof/>
              </w:rPr>
              <w:t>EFFICIENCY</w:t>
            </w:r>
            <w:r>
              <w:rPr>
                <w:noProof/>
                <w:webHidden/>
              </w:rPr>
              <w:tab/>
            </w:r>
            <w:r>
              <w:rPr>
                <w:noProof/>
                <w:webHidden/>
              </w:rPr>
              <w:fldChar w:fldCharType="begin"/>
            </w:r>
            <w:r>
              <w:rPr>
                <w:noProof/>
                <w:webHidden/>
              </w:rPr>
              <w:instrText xml:space="preserve"> PAGEREF _Toc204241431 \h </w:instrText>
            </w:r>
            <w:r>
              <w:rPr>
                <w:noProof/>
                <w:webHidden/>
              </w:rPr>
            </w:r>
            <w:r>
              <w:rPr>
                <w:noProof/>
                <w:webHidden/>
              </w:rPr>
              <w:fldChar w:fldCharType="separate"/>
            </w:r>
            <w:r w:rsidR="00B5194B">
              <w:rPr>
                <w:noProof/>
                <w:webHidden/>
              </w:rPr>
              <w:t>16</w:t>
            </w:r>
            <w:r>
              <w:rPr>
                <w:noProof/>
                <w:webHidden/>
              </w:rPr>
              <w:fldChar w:fldCharType="end"/>
            </w:r>
          </w:hyperlink>
        </w:p>
        <w:p w14:paraId="53AA6C64" w14:textId="344E7AA8" w:rsidR="00E56F94" w:rsidRDefault="00E56F94">
          <w:pPr>
            <w:pStyle w:val="TOC3"/>
            <w:rPr>
              <w:rFonts w:eastAsiaTheme="minorEastAsia" w:cstheme="minorBidi"/>
              <w:noProof/>
              <w:color w:val="auto"/>
              <w:kern w:val="2"/>
              <w:sz w:val="24"/>
              <w14:ligatures w14:val="standardContextual"/>
            </w:rPr>
          </w:pPr>
          <w:hyperlink w:anchor="_Toc204241432" w:history="1">
            <w:r w:rsidRPr="00A43301">
              <w:rPr>
                <w:rStyle w:val="Hyperlink"/>
                <w:noProof/>
              </w:rPr>
              <w:t>To what extent is HDMES being delivered efficiently, in a timely and cost-effective way?</w:t>
            </w:r>
            <w:r>
              <w:rPr>
                <w:noProof/>
                <w:webHidden/>
              </w:rPr>
              <w:tab/>
            </w:r>
            <w:r>
              <w:rPr>
                <w:noProof/>
                <w:webHidden/>
              </w:rPr>
              <w:fldChar w:fldCharType="begin"/>
            </w:r>
            <w:r>
              <w:rPr>
                <w:noProof/>
                <w:webHidden/>
              </w:rPr>
              <w:instrText xml:space="preserve"> PAGEREF _Toc204241432 \h </w:instrText>
            </w:r>
            <w:r>
              <w:rPr>
                <w:noProof/>
                <w:webHidden/>
              </w:rPr>
            </w:r>
            <w:r>
              <w:rPr>
                <w:noProof/>
                <w:webHidden/>
              </w:rPr>
              <w:fldChar w:fldCharType="separate"/>
            </w:r>
            <w:r w:rsidR="00B5194B">
              <w:rPr>
                <w:noProof/>
                <w:webHidden/>
              </w:rPr>
              <w:t>16</w:t>
            </w:r>
            <w:r>
              <w:rPr>
                <w:noProof/>
                <w:webHidden/>
              </w:rPr>
              <w:fldChar w:fldCharType="end"/>
            </w:r>
          </w:hyperlink>
        </w:p>
        <w:p w14:paraId="4C0D0AAD" w14:textId="233F03F2" w:rsidR="00E56F94" w:rsidRDefault="00E56F94">
          <w:pPr>
            <w:pStyle w:val="TOC3"/>
            <w:rPr>
              <w:rFonts w:eastAsiaTheme="minorEastAsia" w:cstheme="minorBidi"/>
              <w:noProof/>
              <w:color w:val="auto"/>
              <w:kern w:val="2"/>
              <w:sz w:val="24"/>
              <w14:ligatures w14:val="standardContextual"/>
            </w:rPr>
          </w:pPr>
          <w:hyperlink w:anchor="_Toc204241433" w:history="1">
            <w:r w:rsidRPr="00A43301">
              <w:rPr>
                <w:rStyle w:val="Hyperlink"/>
                <w:noProof/>
              </w:rPr>
              <w:t>What factors are facilitating or impacting efficiency?</w:t>
            </w:r>
            <w:r>
              <w:rPr>
                <w:noProof/>
                <w:webHidden/>
              </w:rPr>
              <w:tab/>
            </w:r>
            <w:r>
              <w:rPr>
                <w:noProof/>
                <w:webHidden/>
              </w:rPr>
              <w:fldChar w:fldCharType="begin"/>
            </w:r>
            <w:r>
              <w:rPr>
                <w:noProof/>
                <w:webHidden/>
              </w:rPr>
              <w:instrText xml:space="preserve"> PAGEREF _Toc204241433 \h </w:instrText>
            </w:r>
            <w:r>
              <w:rPr>
                <w:noProof/>
                <w:webHidden/>
              </w:rPr>
            </w:r>
            <w:r>
              <w:rPr>
                <w:noProof/>
                <w:webHidden/>
              </w:rPr>
              <w:fldChar w:fldCharType="separate"/>
            </w:r>
            <w:r w:rsidR="00B5194B">
              <w:rPr>
                <w:noProof/>
                <w:webHidden/>
              </w:rPr>
              <w:t>17</w:t>
            </w:r>
            <w:r>
              <w:rPr>
                <w:noProof/>
                <w:webHidden/>
              </w:rPr>
              <w:fldChar w:fldCharType="end"/>
            </w:r>
          </w:hyperlink>
        </w:p>
        <w:p w14:paraId="2B5F5A3A" w14:textId="33113808" w:rsidR="00E56F94" w:rsidRDefault="00E56F94">
          <w:pPr>
            <w:pStyle w:val="TOC3"/>
            <w:rPr>
              <w:rFonts w:eastAsiaTheme="minorEastAsia" w:cstheme="minorBidi"/>
              <w:noProof/>
              <w:color w:val="auto"/>
              <w:kern w:val="2"/>
              <w:sz w:val="24"/>
              <w14:ligatures w14:val="standardContextual"/>
            </w:rPr>
          </w:pPr>
          <w:hyperlink w:anchor="_Toc204241434" w:history="1">
            <w:r w:rsidRPr="00A43301">
              <w:rPr>
                <w:rStyle w:val="Hyperlink"/>
                <w:noProof/>
              </w:rPr>
              <w:t>What are the advantages and disadvantages of the operating model of HDMES, particularly in relation to its staffing model (e.g., staffing structure, remote/in-country support)?</w:t>
            </w:r>
            <w:r>
              <w:rPr>
                <w:noProof/>
                <w:webHidden/>
              </w:rPr>
              <w:tab/>
            </w:r>
            <w:r>
              <w:rPr>
                <w:noProof/>
                <w:webHidden/>
              </w:rPr>
              <w:fldChar w:fldCharType="begin"/>
            </w:r>
            <w:r>
              <w:rPr>
                <w:noProof/>
                <w:webHidden/>
              </w:rPr>
              <w:instrText xml:space="preserve"> PAGEREF _Toc204241434 \h </w:instrText>
            </w:r>
            <w:r>
              <w:rPr>
                <w:noProof/>
                <w:webHidden/>
              </w:rPr>
            </w:r>
            <w:r>
              <w:rPr>
                <w:noProof/>
                <w:webHidden/>
              </w:rPr>
              <w:fldChar w:fldCharType="separate"/>
            </w:r>
            <w:r w:rsidR="00B5194B">
              <w:rPr>
                <w:noProof/>
                <w:webHidden/>
              </w:rPr>
              <w:t>18</w:t>
            </w:r>
            <w:r>
              <w:rPr>
                <w:noProof/>
                <w:webHidden/>
              </w:rPr>
              <w:fldChar w:fldCharType="end"/>
            </w:r>
          </w:hyperlink>
        </w:p>
        <w:p w14:paraId="04153293" w14:textId="18D5287F" w:rsidR="00E56F94" w:rsidRDefault="00E56F94">
          <w:pPr>
            <w:pStyle w:val="TOC2"/>
            <w:rPr>
              <w:rFonts w:eastAsiaTheme="minorEastAsia" w:cstheme="minorBidi"/>
              <w:noProof/>
              <w:color w:val="auto"/>
              <w:kern w:val="2"/>
              <w:sz w:val="24"/>
              <w14:ligatures w14:val="standardContextual"/>
            </w:rPr>
          </w:pPr>
          <w:hyperlink w:anchor="_Toc204241435" w:history="1">
            <w:r w:rsidRPr="00A43301">
              <w:rPr>
                <w:rStyle w:val="Hyperlink"/>
                <w:noProof/>
              </w:rPr>
              <w:t>Recommendations</w:t>
            </w:r>
            <w:r>
              <w:rPr>
                <w:noProof/>
                <w:webHidden/>
              </w:rPr>
              <w:tab/>
            </w:r>
            <w:r>
              <w:rPr>
                <w:noProof/>
                <w:webHidden/>
              </w:rPr>
              <w:fldChar w:fldCharType="begin"/>
            </w:r>
            <w:r>
              <w:rPr>
                <w:noProof/>
                <w:webHidden/>
              </w:rPr>
              <w:instrText xml:space="preserve"> PAGEREF _Toc204241435 \h </w:instrText>
            </w:r>
            <w:r>
              <w:rPr>
                <w:noProof/>
                <w:webHidden/>
              </w:rPr>
            </w:r>
            <w:r>
              <w:rPr>
                <w:noProof/>
                <w:webHidden/>
              </w:rPr>
              <w:fldChar w:fldCharType="separate"/>
            </w:r>
            <w:r w:rsidR="00B5194B">
              <w:rPr>
                <w:noProof/>
                <w:webHidden/>
              </w:rPr>
              <w:t>18</w:t>
            </w:r>
            <w:r>
              <w:rPr>
                <w:noProof/>
                <w:webHidden/>
              </w:rPr>
              <w:fldChar w:fldCharType="end"/>
            </w:r>
          </w:hyperlink>
        </w:p>
        <w:p w14:paraId="3C41DA2A" w14:textId="63BE93C5" w:rsidR="00E56F94" w:rsidRDefault="00E56F94">
          <w:pPr>
            <w:pStyle w:val="TOC1"/>
            <w:rPr>
              <w:rFonts w:eastAsiaTheme="minorEastAsia" w:cstheme="minorBidi"/>
              <w:b w:val="0"/>
              <w:caps w:val="0"/>
              <w:noProof/>
              <w:color w:val="auto"/>
              <w:kern w:val="2"/>
              <w:sz w:val="24"/>
              <w14:ligatures w14:val="standardContextual"/>
            </w:rPr>
          </w:pPr>
          <w:hyperlink w:anchor="_Toc204241436" w:history="1">
            <w:r w:rsidRPr="00A43301">
              <w:rPr>
                <w:rStyle w:val="Hyperlink"/>
                <w:noProof/>
              </w:rPr>
              <w:t>GEDSI</w:t>
            </w:r>
            <w:r>
              <w:rPr>
                <w:noProof/>
                <w:webHidden/>
              </w:rPr>
              <w:tab/>
            </w:r>
            <w:r>
              <w:rPr>
                <w:noProof/>
                <w:webHidden/>
              </w:rPr>
              <w:fldChar w:fldCharType="begin"/>
            </w:r>
            <w:r>
              <w:rPr>
                <w:noProof/>
                <w:webHidden/>
              </w:rPr>
              <w:instrText xml:space="preserve"> PAGEREF _Toc204241436 \h </w:instrText>
            </w:r>
            <w:r>
              <w:rPr>
                <w:noProof/>
                <w:webHidden/>
              </w:rPr>
            </w:r>
            <w:r>
              <w:rPr>
                <w:noProof/>
                <w:webHidden/>
              </w:rPr>
              <w:fldChar w:fldCharType="separate"/>
            </w:r>
            <w:r w:rsidR="00B5194B">
              <w:rPr>
                <w:noProof/>
                <w:webHidden/>
              </w:rPr>
              <w:t>19</w:t>
            </w:r>
            <w:r>
              <w:rPr>
                <w:noProof/>
                <w:webHidden/>
              </w:rPr>
              <w:fldChar w:fldCharType="end"/>
            </w:r>
          </w:hyperlink>
        </w:p>
        <w:p w14:paraId="455B4FE7" w14:textId="7846E176" w:rsidR="00E56F94" w:rsidRDefault="00E56F94">
          <w:pPr>
            <w:pStyle w:val="TOC3"/>
            <w:rPr>
              <w:rFonts w:eastAsiaTheme="minorEastAsia" w:cstheme="minorBidi"/>
              <w:noProof/>
              <w:color w:val="auto"/>
              <w:kern w:val="2"/>
              <w:sz w:val="24"/>
              <w14:ligatures w14:val="standardContextual"/>
            </w:rPr>
          </w:pPr>
          <w:hyperlink w:anchor="_Toc204241437" w:history="1">
            <w:r w:rsidRPr="00A43301">
              <w:rPr>
                <w:rStyle w:val="Hyperlink"/>
                <w:noProof/>
              </w:rPr>
              <w:t>How has HDMES implemented GEDSI considerations and strategies, including facilitating the E&amp;L and Health programs to improve GEDSI?</w:t>
            </w:r>
            <w:r>
              <w:rPr>
                <w:noProof/>
                <w:webHidden/>
              </w:rPr>
              <w:tab/>
            </w:r>
            <w:r>
              <w:rPr>
                <w:noProof/>
                <w:webHidden/>
              </w:rPr>
              <w:fldChar w:fldCharType="begin"/>
            </w:r>
            <w:r>
              <w:rPr>
                <w:noProof/>
                <w:webHidden/>
              </w:rPr>
              <w:instrText xml:space="preserve"> PAGEREF _Toc204241437 \h </w:instrText>
            </w:r>
            <w:r>
              <w:rPr>
                <w:noProof/>
                <w:webHidden/>
              </w:rPr>
            </w:r>
            <w:r>
              <w:rPr>
                <w:noProof/>
                <w:webHidden/>
              </w:rPr>
              <w:fldChar w:fldCharType="separate"/>
            </w:r>
            <w:r w:rsidR="00B5194B">
              <w:rPr>
                <w:noProof/>
                <w:webHidden/>
              </w:rPr>
              <w:t>19</w:t>
            </w:r>
            <w:r>
              <w:rPr>
                <w:noProof/>
                <w:webHidden/>
              </w:rPr>
              <w:fldChar w:fldCharType="end"/>
            </w:r>
          </w:hyperlink>
        </w:p>
        <w:p w14:paraId="5B15382B" w14:textId="24D34D38" w:rsidR="00E56F94" w:rsidRDefault="00E56F94">
          <w:pPr>
            <w:pStyle w:val="TOC2"/>
            <w:rPr>
              <w:rFonts w:eastAsiaTheme="minorEastAsia" w:cstheme="minorBidi"/>
              <w:noProof/>
              <w:color w:val="auto"/>
              <w:kern w:val="2"/>
              <w:sz w:val="24"/>
              <w14:ligatures w14:val="standardContextual"/>
            </w:rPr>
          </w:pPr>
          <w:hyperlink w:anchor="_Toc204241438" w:history="1">
            <w:r w:rsidRPr="00A43301">
              <w:rPr>
                <w:rStyle w:val="Hyperlink"/>
                <w:noProof/>
              </w:rPr>
              <w:t>Recommendations</w:t>
            </w:r>
            <w:r>
              <w:rPr>
                <w:noProof/>
                <w:webHidden/>
              </w:rPr>
              <w:tab/>
            </w:r>
            <w:r>
              <w:rPr>
                <w:noProof/>
                <w:webHidden/>
              </w:rPr>
              <w:fldChar w:fldCharType="begin"/>
            </w:r>
            <w:r>
              <w:rPr>
                <w:noProof/>
                <w:webHidden/>
              </w:rPr>
              <w:instrText xml:space="preserve"> PAGEREF _Toc204241438 \h </w:instrText>
            </w:r>
            <w:r>
              <w:rPr>
                <w:noProof/>
                <w:webHidden/>
              </w:rPr>
            </w:r>
            <w:r>
              <w:rPr>
                <w:noProof/>
                <w:webHidden/>
              </w:rPr>
              <w:fldChar w:fldCharType="separate"/>
            </w:r>
            <w:r w:rsidR="00B5194B">
              <w:rPr>
                <w:noProof/>
                <w:webHidden/>
              </w:rPr>
              <w:t>20</w:t>
            </w:r>
            <w:r>
              <w:rPr>
                <w:noProof/>
                <w:webHidden/>
              </w:rPr>
              <w:fldChar w:fldCharType="end"/>
            </w:r>
          </w:hyperlink>
        </w:p>
        <w:p w14:paraId="5818AEFF" w14:textId="753E7D90" w:rsidR="00E56F94" w:rsidRDefault="00E56F94">
          <w:pPr>
            <w:pStyle w:val="TOC1"/>
            <w:rPr>
              <w:rFonts w:eastAsiaTheme="minorEastAsia" w:cstheme="minorBidi"/>
              <w:b w:val="0"/>
              <w:caps w:val="0"/>
              <w:noProof/>
              <w:color w:val="auto"/>
              <w:kern w:val="2"/>
              <w:sz w:val="24"/>
              <w14:ligatures w14:val="standardContextual"/>
            </w:rPr>
          </w:pPr>
          <w:hyperlink w:anchor="_Toc204241439" w:history="1">
            <w:r w:rsidRPr="00A43301">
              <w:rPr>
                <w:rStyle w:val="Hyperlink"/>
                <w:noProof/>
              </w:rPr>
              <w:t>Future Guidance</w:t>
            </w:r>
            <w:r>
              <w:rPr>
                <w:noProof/>
                <w:webHidden/>
              </w:rPr>
              <w:tab/>
            </w:r>
            <w:r>
              <w:rPr>
                <w:noProof/>
                <w:webHidden/>
              </w:rPr>
              <w:fldChar w:fldCharType="begin"/>
            </w:r>
            <w:r>
              <w:rPr>
                <w:noProof/>
                <w:webHidden/>
              </w:rPr>
              <w:instrText xml:space="preserve"> PAGEREF _Toc204241439 \h </w:instrText>
            </w:r>
            <w:r>
              <w:rPr>
                <w:noProof/>
                <w:webHidden/>
              </w:rPr>
            </w:r>
            <w:r>
              <w:rPr>
                <w:noProof/>
                <w:webHidden/>
              </w:rPr>
              <w:fldChar w:fldCharType="separate"/>
            </w:r>
            <w:r w:rsidR="00B5194B">
              <w:rPr>
                <w:noProof/>
                <w:webHidden/>
              </w:rPr>
              <w:t>20</w:t>
            </w:r>
            <w:r>
              <w:rPr>
                <w:noProof/>
                <w:webHidden/>
              </w:rPr>
              <w:fldChar w:fldCharType="end"/>
            </w:r>
          </w:hyperlink>
        </w:p>
        <w:p w14:paraId="45FE639F" w14:textId="0AFBEE66" w:rsidR="00E56F94" w:rsidRDefault="00E56F94">
          <w:pPr>
            <w:pStyle w:val="TOC3"/>
            <w:rPr>
              <w:rFonts w:eastAsiaTheme="minorEastAsia" w:cstheme="minorBidi"/>
              <w:noProof/>
              <w:color w:val="auto"/>
              <w:kern w:val="2"/>
              <w:sz w:val="24"/>
              <w14:ligatures w14:val="standardContextual"/>
            </w:rPr>
          </w:pPr>
          <w:hyperlink w:anchor="_Toc204241440" w:history="1">
            <w:r w:rsidRPr="00A43301">
              <w:rPr>
                <w:rStyle w:val="Hyperlink"/>
                <w:noProof/>
              </w:rPr>
              <w:t>Based on the evidence above, what options should PNG Post consider for strengthening MEL support to Health and Education and Leadership portfolios?</w:t>
            </w:r>
            <w:r>
              <w:rPr>
                <w:noProof/>
                <w:webHidden/>
              </w:rPr>
              <w:tab/>
            </w:r>
            <w:r>
              <w:rPr>
                <w:noProof/>
                <w:webHidden/>
              </w:rPr>
              <w:fldChar w:fldCharType="begin"/>
            </w:r>
            <w:r>
              <w:rPr>
                <w:noProof/>
                <w:webHidden/>
              </w:rPr>
              <w:instrText xml:space="preserve"> PAGEREF _Toc204241440 \h </w:instrText>
            </w:r>
            <w:r>
              <w:rPr>
                <w:noProof/>
                <w:webHidden/>
              </w:rPr>
            </w:r>
            <w:r>
              <w:rPr>
                <w:noProof/>
                <w:webHidden/>
              </w:rPr>
              <w:fldChar w:fldCharType="separate"/>
            </w:r>
            <w:r w:rsidR="00B5194B">
              <w:rPr>
                <w:noProof/>
                <w:webHidden/>
              </w:rPr>
              <w:t>21</w:t>
            </w:r>
            <w:r>
              <w:rPr>
                <w:noProof/>
                <w:webHidden/>
              </w:rPr>
              <w:fldChar w:fldCharType="end"/>
            </w:r>
          </w:hyperlink>
        </w:p>
        <w:p w14:paraId="4B40B5AF" w14:textId="4ADEAC99" w:rsidR="00E56F94" w:rsidRDefault="00E56F94">
          <w:pPr>
            <w:pStyle w:val="TOC3"/>
            <w:rPr>
              <w:rFonts w:eastAsiaTheme="minorEastAsia" w:cstheme="minorBidi"/>
              <w:noProof/>
              <w:color w:val="auto"/>
              <w:kern w:val="2"/>
              <w:sz w:val="24"/>
              <w14:ligatures w14:val="standardContextual"/>
            </w:rPr>
          </w:pPr>
          <w:hyperlink w:anchor="_Toc204241441" w:history="1">
            <w:r w:rsidRPr="00A43301">
              <w:rPr>
                <w:rStyle w:val="Hyperlink"/>
                <w:noProof/>
              </w:rPr>
              <w:t>Short-term (0–12 months)</w:t>
            </w:r>
            <w:r>
              <w:rPr>
                <w:noProof/>
                <w:webHidden/>
              </w:rPr>
              <w:tab/>
            </w:r>
            <w:r>
              <w:rPr>
                <w:noProof/>
                <w:webHidden/>
              </w:rPr>
              <w:fldChar w:fldCharType="begin"/>
            </w:r>
            <w:r>
              <w:rPr>
                <w:noProof/>
                <w:webHidden/>
              </w:rPr>
              <w:instrText xml:space="preserve"> PAGEREF _Toc204241441 \h </w:instrText>
            </w:r>
            <w:r>
              <w:rPr>
                <w:noProof/>
                <w:webHidden/>
              </w:rPr>
            </w:r>
            <w:r>
              <w:rPr>
                <w:noProof/>
                <w:webHidden/>
              </w:rPr>
              <w:fldChar w:fldCharType="separate"/>
            </w:r>
            <w:r w:rsidR="00B5194B">
              <w:rPr>
                <w:noProof/>
                <w:webHidden/>
              </w:rPr>
              <w:t>21</w:t>
            </w:r>
            <w:r>
              <w:rPr>
                <w:noProof/>
                <w:webHidden/>
              </w:rPr>
              <w:fldChar w:fldCharType="end"/>
            </w:r>
          </w:hyperlink>
        </w:p>
        <w:p w14:paraId="0C86DC22" w14:textId="47CADFAA" w:rsidR="00E56F94" w:rsidRDefault="00E56F94">
          <w:pPr>
            <w:pStyle w:val="TOC3"/>
            <w:rPr>
              <w:rFonts w:eastAsiaTheme="minorEastAsia" w:cstheme="minorBidi"/>
              <w:noProof/>
              <w:color w:val="auto"/>
              <w:kern w:val="2"/>
              <w:sz w:val="24"/>
              <w14:ligatures w14:val="standardContextual"/>
            </w:rPr>
          </w:pPr>
          <w:hyperlink w:anchor="_Toc204241442" w:history="1">
            <w:r w:rsidRPr="00A43301">
              <w:rPr>
                <w:rStyle w:val="Hyperlink"/>
                <w:noProof/>
              </w:rPr>
              <w:t>Medium-long term (1–3 years)</w:t>
            </w:r>
            <w:r>
              <w:rPr>
                <w:noProof/>
                <w:webHidden/>
              </w:rPr>
              <w:tab/>
            </w:r>
            <w:r>
              <w:rPr>
                <w:noProof/>
                <w:webHidden/>
              </w:rPr>
              <w:fldChar w:fldCharType="begin"/>
            </w:r>
            <w:r>
              <w:rPr>
                <w:noProof/>
                <w:webHidden/>
              </w:rPr>
              <w:instrText xml:space="preserve"> PAGEREF _Toc204241442 \h </w:instrText>
            </w:r>
            <w:r>
              <w:rPr>
                <w:noProof/>
                <w:webHidden/>
              </w:rPr>
            </w:r>
            <w:r>
              <w:rPr>
                <w:noProof/>
                <w:webHidden/>
              </w:rPr>
              <w:fldChar w:fldCharType="separate"/>
            </w:r>
            <w:r w:rsidR="00B5194B">
              <w:rPr>
                <w:noProof/>
                <w:webHidden/>
              </w:rPr>
              <w:t>21</w:t>
            </w:r>
            <w:r>
              <w:rPr>
                <w:noProof/>
                <w:webHidden/>
              </w:rPr>
              <w:fldChar w:fldCharType="end"/>
            </w:r>
          </w:hyperlink>
        </w:p>
        <w:p w14:paraId="2CB7CADC" w14:textId="30CC208B" w:rsidR="00E56F94" w:rsidRDefault="00E56F94">
          <w:pPr>
            <w:pStyle w:val="TOC1"/>
            <w:rPr>
              <w:rFonts w:eastAsiaTheme="minorEastAsia" w:cstheme="minorBidi"/>
              <w:b w:val="0"/>
              <w:caps w:val="0"/>
              <w:noProof/>
              <w:color w:val="auto"/>
              <w:kern w:val="2"/>
              <w:sz w:val="24"/>
              <w14:ligatures w14:val="standardContextual"/>
            </w:rPr>
          </w:pPr>
          <w:hyperlink w:anchor="_Toc204241443" w:history="1">
            <w:r w:rsidRPr="00A43301">
              <w:rPr>
                <w:rStyle w:val="Hyperlink"/>
                <w:noProof/>
              </w:rPr>
              <w:t>Annex 1.  recommendations list</w:t>
            </w:r>
            <w:r>
              <w:rPr>
                <w:noProof/>
                <w:webHidden/>
              </w:rPr>
              <w:tab/>
            </w:r>
            <w:r>
              <w:rPr>
                <w:noProof/>
                <w:webHidden/>
              </w:rPr>
              <w:fldChar w:fldCharType="begin"/>
            </w:r>
            <w:r>
              <w:rPr>
                <w:noProof/>
                <w:webHidden/>
              </w:rPr>
              <w:instrText xml:space="preserve"> PAGEREF _Toc204241443 \h </w:instrText>
            </w:r>
            <w:r>
              <w:rPr>
                <w:noProof/>
                <w:webHidden/>
              </w:rPr>
            </w:r>
            <w:r>
              <w:rPr>
                <w:noProof/>
                <w:webHidden/>
              </w:rPr>
              <w:fldChar w:fldCharType="separate"/>
            </w:r>
            <w:r w:rsidR="00B5194B">
              <w:rPr>
                <w:noProof/>
                <w:webHidden/>
              </w:rPr>
              <w:t>24</w:t>
            </w:r>
            <w:r>
              <w:rPr>
                <w:noProof/>
                <w:webHidden/>
              </w:rPr>
              <w:fldChar w:fldCharType="end"/>
            </w:r>
          </w:hyperlink>
        </w:p>
        <w:p w14:paraId="08815082" w14:textId="21EE30D7" w:rsidR="0013107A" w:rsidRDefault="0013107A">
          <w:r>
            <w:rPr>
              <w:b/>
              <w:bCs/>
              <w:noProof/>
            </w:rPr>
            <w:fldChar w:fldCharType="end"/>
          </w:r>
        </w:p>
      </w:sdtContent>
    </w:sdt>
    <w:p w14:paraId="318A96E0" w14:textId="77777777" w:rsidR="000D3E85" w:rsidRDefault="000D3E85" w:rsidP="000D3E85"/>
    <w:p w14:paraId="2CCADE20" w14:textId="77777777" w:rsidR="006B7018" w:rsidRDefault="006B7018" w:rsidP="000D3E85">
      <w:pPr>
        <w:sectPr w:rsidR="006B7018" w:rsidSect="008253D4">
          <w:headerReference w:type="default" r:id="rId17"/>
          <w:footerReference w:type="default" r:id="rId18"/>
          <w:headerReference w:type="first" r:id="rId19"/>
          <w:footerReference w:type="first" r:id="rId20"/>
          <w:pgSz w:w="11906" w:h="16838" w:code="9"/>
          <w:pgMar w:top="1701" w:right="1134" w:bottom="1134" w:left="1134" w:header="851" w:footer="454" w:gutter="0"/>
          <w:pgBorders w:offsetFrom="page">
            <w:top w:val="single" w:sz="48" w:space="0" w:color="507CB9"/>
            <w:left w:val="single" w:sz="48" w:space="0" w:color="507CB9"/>
            <w:bottom w:val="single" w:sz="48" w:space="0" w:color="507CB9"/>
            <w:right w:val="single" w:sz="48" w:space="0" w:color="507CB9"/>
          </w:pgBorders>
          <w:cols w:space="709"/>
          <w:titlePg/>
          <w:docGrid w:linePitch="360"/>
        </w:sectPr>
      </w:pPr>
    </w:p>
    <w:p w14:paraId="40EF789E" w14:textId="3AECDB73" w:rsidR="00794E11" w:rsidRDefault="00794E11" w:rsidP="00794E11">
      <w:pPr>
        <w:pStyle w:val="Heading1"/>
      </w:pPr>
      <w:bookmarkStart w:id="0" w:name="_Hlk137131705"/>
      <w:bookmarkStart w:id="1" w:name="_Toc204241414"/>
      <w:bookmarkEnd w:id="0"/>
      <w:r>
        <w:lastRenderedPageBreak/>
        <w:t>Executive Summary</w:t>
      </w:r>
      <w:bookmarkEnd w:id="1"/>
    </w:p>
    <w:p w14:paraId="5F958296" w14:textId="0BC3AFAB" w:rsidR="00794E11" w:rsidRPr="00B029BA" w:rsidRDefault="00794E11" w:rsidP="00794E11">
      <w:r>
        <w:t xml:space="preserve">The Human Development Monitoring and Evaluation Services (HDMES), established in 2019, was designed to provide independent monitoring, evaluation, and learning (MEL) support to DFAT’s Health </w:t>
      </w:r>
      <w:r w:rsidR="1DD013D6">
        <w:t xml:space="preserve">and </w:t>
      </w:r>
      <w:r>
        <w:t>Education</w:t>
      </w:r>
      <w:r w:rsidR="725BABDD">
        <w:t xml:space="preserve"> </w:t>
      </w:r>
      <w:r>
        <w:t>investments in Papua New Guinea. Managed by Adam Smith International (ASI) in partnership with Clear Horizon, HDMES has delivered over 300 products in 6 years, including evaluations, quality assurance, capacity-building initiatives, and communication materials. Its core aim is to enable evidence-based programming and improve reporting on Australian aid effectiveness.</w:t>
      </w:r>
    </w:p>
    <w:p w14:paraId="05BF95D5" w14:textId="77777777" w:rsidR="00794E11" w:rsidRPr="00B029BA" w:rsidRDefault="00794E11" w:rsidP="00794E11">
      <w:r w:rsidRPr="677EB2AF">
        <w:t>HDMES’s demand-driven model offered flexibility and technical expertise</w:t>
      </w:r>
      <w:r>
        <w:t xml:space="preserve"> which was particularly useful during the Covid-19 pandemic, bu</w:t>
      </w:r>
      <w:r w:rsidRPr="677EB2AF">
        <w:t xml:space="preserve">t has also led to reactive, fragmented engagement and missed opportunities for portfolio-level learning. While contributing to program improvements—particularly in the health sector—HDMES’s effectiveness has been constrained by inconsistent product quality, </w:t>
      </w:r>
      <w:r w:rsidRPr="677EB2AF">
        <w:rPr>
          <w:rFonts w:eastAsia="Arial"/>
        </w:rPr>
        <w:t>uneven understanding of the local context</w:t>
      </w:r>
      <w:r w:rsidRPr="677EB2AF">
        <w:t>, staffing turnover, and administrative inefficiencies. The 2022 remediation plan addressed several performance issues, though some challenges persist</w:t>
      </w:r>
      <w:r>
        <w:t xml:space="preserve"> in product quality and utility, ambiguity in mandate and scope, administrative and tasking burden, staffing turnover and renumeration constraints and variable engagement from DFAT</w:t>
      </w:r>
      <w:r w:rsidRPr="677EB2AF">
        <w:t>.</w:t>
      </w:r>
    </w:p>
    <w:p w14:paraId="21E3AEA0" w14:textId="77777777" w:rsidR="00794E11" w:rsidRPr="00B029BA" w:rsidRDefault="00794E11" w:rsidP="00794E11">
      <w:r>
        <w:t>GEDSI integration has seen uneven progress. Tools like the GEDSI Toolkit and capacity-building workshops added value but were inconsistently applied and underutilised, with limited sustained influence on program practices. HDMES’s safeguarding measures aligned well with DFAT standards but similarly lacked systematic tracking of impact.</w:t>
      </w:r>
    </w:p>
    <w:p w14:paraId="36AEE3FA" w14:textId="77777777" w:rsidR="00794E11" w:rsidRPr="00B029BA" w:rsidRDefault="00794E11" w:rsidP="00794E11">
      <w:r w:rsidRPr="00B029BA">
        <w:t>Efficiency has been mixed. While the hybrid delivery model provided operational agility, high administrative burden, contract rigidity, and consultant recruitment challenges limited cost-effectiveness and timeliness at times. Budget execution has generally been strong in Health but variable in Education.</w:t>
      </w:r>
    </w:p>
    <w:p w14:paraId="64AA1A39" w14:textId="2CCC3F51" w:rsidR="00794E11" w:rsidRPr="00794E11" w:rsidRDefault="00794E11" w:rsidP="00794E11">
      <w:r w:rsidRPr="00B029BA">
        <w:t>The review recommends that DFAT shift from a reactive, task-based model to a proactive, portfolio-level MEL facility that prioritises learning, adaptive management, and local capacity development. Options for the future include retaining the current model, transitioning to a proactive MEL facility, or internalising MEL functions within DFAT.</w:t>
      </w:r>
    </w:p>
    <w:p w14:paraId="6CBCDAE4" w14:textId="77777777" w:rsidR="00794E11" w:rsidRPr="00075830" w:rsidRDefault="00794E11" w:rsidP="00DE5008">
      <w:pPr>
        <w:pStyle w:val="Heading3"/>
        <w:rPr>
          <w:color w:val="12528D"/>
        </w:rPr>
      </w:pPr>
      <w:bookmarkStart w:id="2" w:name="_Toc204241415"/>
      <w:r w:rsidRPr="00075830">
        <w:rPr>
          <w:color w:val="12528D"/>
        </w:rPr>
        <w:t>Recommendations</w:t>
      </w:r>
      <w:bookmarkEnd w:id="2"/>
      <w:r w:rsidRPr="00075830">
        <w:rPr>
          <w:color w:val="12528D"/>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26"/>
      </w:tblGrid>
      <w:tr w:rsidR="00794E11" w:rsidRPr="001A7BD5" w14:paraId="6C9E26BD" w14:textId="77777777" w:rsidTr="007C00FA">
        <w:trPr>
          <w:tblCellSpacing w:w="15" w:type="dxa"/>
        </w:trPr>
        <w:tc>
          <w:tcPr>
            <w:tcW w:w="0" w:type="auto"/>
            <w:vAlign w:val="center"/>
            <w:hideMark/>
          </w:tcPr>
          <w:p w14:paraId="24264E7F" w14:textId="649E13EC" w:rsidR="00794E11" w:rsidRPr="001A7BD5" w:rsidRDefault="00794E11" w:rsidP="007C00FA">
            <w:pPr>
              <w:spacing w:after="0" w:line="240" w:lineRule="auto"/>
              <w:contextualSpacing/>
              <w:rPr>
                <w:rFonts w:ascii="Arial" w:hAnsi="Arial" w:cs="Arial"/>
                <w:szCs w:val="20"/>
              </w:rPr>
            </w:pPr>
            <w:r w:rsidRPr="001A7BD5">
              <w:rPr>
                <w:rFonts w:ascii="Arial" w:hAnsi="Arial" w:cs="Arial"/>
                <w:szCs w:val="20"/>
              </w:rPr>
              <w:t>Medium priority – plan and stage</w:t>
            </w:r>
          </w:p>
        </w:tc>
      </w:tr>
      <w:tr w:rsidR="00794E11" w:rsidRPr="001A7BD5" w14:paraId="7FA4EF4F" w14:textId="77777777" w:rsidTr="007C00FA">
        <w:trPr>
          <w:tblCellSpacing w:w="15" w:type="dxa"/>
        </w:trPr>
        <w:tc>
          <w:tcPr>
            <w:tcW w:w="0" w:type="auto"/>
            <w:vAlign w:val="center"/>
            <w:hideMark/>
          </w:tcPr>
          <w:p w14:paraId="0A41213E" w14:textId="16559794" w:rsidR="00794E11" w:rsidRPr="001A7BD5" w:rsidRDefault="00794E11" w:rsidP="007C00FA">
            <w:pPr>
              <w:spacing w:after="0" w:line="240" w:lineRule="auto"/>
              <w:contextualSpacing/>
              <w:rPr>
                <w:rFonts w:ascii="Arial" w:hAnsi="Arial" w:cs="Arial"/>
                <w:szCs w:val="20"/>
              </w:rPr>
            </w:pPr>
            <w:r w:rsidRPr="001A7BD5">
              <w:rPr>
                <w:rFonts w:ascii="Arial" w:hAnsi="Arial" w:cs="Arial"/>
                <w:szCs w:val="20"/>
              </w:rPr>
              <w:t>High priority – urgent action required</w:t>
            </w:r>
          </w:p>
        </w:tc>
      </w:tr>
    </w:tbl>
    <w:tbl>
      <w:tblPr>
        <w:tblStyle w:val="TableGridLight"/>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256"/>
        <w:gridCol w:w="1406"/>
        <w:gridCol w:w="928"/>
      </w:tblGrid>
      <w:tr w:rsidR="00794E11" w:rsidRPr="001A7BD5" w14:paraId="21FD78C5" w14:textId="77777777" w:rsidTr="000F5832">
        <w:trPr>
          <w:trHeight w:val="300"/>
          <w:tblHeader/>
        </w:trPr>
        <w:tc>
          <w:tcPr>
            <w:tcW w:w="1558" w:type="dxa"/>
            <w:hideMark/>
          </w:tcPr>
          <w:p w14:paraId="757D94D8" w14:textId="77777777" w:rsidR="00794E11" w:rsidRPr="001A7BD5" w:rsidRDefault="00794E11" w:rsidP="007C00FA">
            <w:pPr>
              <w:contextualSpacing/>
              <w:rPr>
                <w:rFonts w:ascii="Arial" w:hAnsi="Arial" w:cs="Arial"/>
                <w:b/>
                <w:bCs/>
                <w:szCs w:val="20"/>
              </w:rPr>
            </w:pPr>
            <w:r w:rsidRPr="001A7BD5">
              <w:rPr>
                <w:rFonts w:ascii="Arial" w:hAnsi="Arial" w:cs="Arial"/>
                <w:b/>
                <w:bCs/>
                <w:szCs w:val="20"/>
              </w:rPr>
              <w:t>Area</w:t>
            </w:r>
          </w:p>
        </w:tc>
        <w:tc>
          <w:tcPr>
            <w:tcW w:w="5950" w:type="dxa"/>
            <w:hideMark/>
          </w:tcPr>
          <w:p w14:paraId="6DC41914" w14:textId="77777777" w:rsidR="00794E11" w:rsidRPr="001A7BD5" w:rsidRDefault="00794E11" w:rsidP="007C00FA">
            <w:pPr>
              <w:contextualSpacing/>
              <w:rPr>
                <w:rFonts w:ascii="Arial" w:hAnsi="Arial" w:cs="Arial"/>
                <w:b/>
                <w:bCs/>
                <w:szCs w:val="20"/>
              </w:rPr>
            </w:pPr>
            <w:r w:rsidRPr="001A7BD5">
              <w:rPr>
                <w:rFonts w:ascii="Arial" w:hAnsi="Arial" w:cs="Arial"/>
                <w:b/>
                <w:bCs/>
                <w:szCs w:val="20"/>
              </w:rPr>
              <w:t>Recommendation</w:t>
            </w:r>
          </w:p>
        </w:tc>
        <w:tc>
          <w:tcPr>
            <w:tcW w:w="714" w:type="dxa"/>
            <w:hideMark/>
          </w:tcPr>
          <w:p w14:paraId="170302CA" w14:textId="77777777" w:rsidR="00794E11" w:rsidRPr="001A7BD5" w:rsidRDefault="00794E11" w:rsidP="007C00FA">
            <w:pPr>
              <w:contextualSpacing/>
              <w:rPr>
                <w:rFonts w:ascii="Arial" w:hAnsi="Arial" w:cs="Arial"/>
                <w:b/>
                <w:bCs/>
                <w:szCs w:val="20"/>
              </w:rPr>
            </w:pPr>
            <w:r w:rsidRPr="001A7BD5">
              <w:rPr>
                <w:rFonts w:ascii="Arial" w:hAnsi="Arial" w:cs="Arial"/>
                <w:b/>
                <w:bCs/>
                <w:szCs w:val="20"/>
              </w:rPr>
              <w:t>Responsible</w:t>
            </w:r>
          </w:p>
        </w:tc>
        <w:tc>
          <w:tcPr>
            <w:tcW w:w="917" w:type="dxa"/>
            <w:hideMark/>
          </w:tcPr>
          <w:p w14:paraId="698EAFDC" w14:textId="77777777" w:rsidR="00794E11" w:rsidRPr="001A7BD5" w:rsidRDefault="00794E11" w:rsidP="007C00FA">
            <w:pPr>
              <w:contextualSpacing/>
              <w:rPr>
                <w:rFonts w:ascii="Arial" w:hAnsi="Arial" w:cs="Arial"/>
                <w:b/>
                <w:bCs/>
                <w:szCs w:val="20"/>
              </w:rPr>
            </w:pPr>
            <w:r w:rsidRPr="001A7BD5">
              <w:rPr>
                <w:rFonts w:ascii="Arial" w:hAnsi="Arial" w:cs="Arial"/>
                <w:b/>
                <w:bCs/>
                <w:szCs w:val="20"/>
              </w:rPr>
              <w:t>Priority</w:t>
            </w:r>
          </w:p>
        </w:tc>
      </w:tr>
      <w:tr w:rsidR="00794E11" w:rsidRPr="001A7BD5" w14:paraId="6D23398D" w14:textId="77777777" w:rsidTr="00075830">
        <w:trPr>
          <w:trHeight w:val="300"/>
        </w:trPr>
        <w:tc>
          <w:tcPr>
            <w:tcW w:w="1558" w:type="dxa"/>
            <w:hideMark/>
          </w:tcPr>
          <w:p w14:paraId="140EDBFC" w14:textId="77777777" w:rsidR="00794E11" w:rsidRPr="001A7BD5" w:rsidRDefault="00794E11" w:rsidP="007C00FA">
            <w:pPr>
              <w:contextualSpacing/>
              <w:rPr>
                <w:rFonts w:ascii="Arial" w:hAnsi="Arial" w:cs="Arial"/>
                <w:szCs w:val="20"/>
              </w:rPr>
            </w:pPr>
            <w:r w:rsidRPr="001A7BD5">
              <w:rPr>
                <w:rFonts w:ascii="Arial" w:hAnsi="Arial" w:cs="Arial"/>
                <w:b/>
                <w:bCs/>
                <w:szCs w:val="20"/>
              </w:rPr>
              <w:t>Relevance</w:t>
            </w:r>
          </w:p>
        </w:tc>
        <w:tc>
          <w:tcPr>
            <w:tcW w:w="5950" w:type="dxa"/>
            <w:hideMark/>
          </w:tcPr>
          <w:p w14:paraId="191A11CA" w14:textId="77777777" w:rsidR="00794E11" w:rsidRPr="001A7BD5" w:rsidRDefault="00794E11" w:rsidP="007C00FA">
            <w:pPr>
              <w:contextualSpacing/>
              <w:rPr>
                <w:rFonts w:ascii="Arial" w:hAnsi="Arial" w:cs="Arial"/>
                <w:szCs w:val="20"/>
              </w:rPr>
            </w:pPr>
            <w:r w:rsidRPr="001A7BD5">
              <w:rPr>
                <w:rFonts w:ascii="Arial" w:hAnsi="Arial" w:cs="Arial"/>
                <w:szCs w:val="20"/>
              </w:rPr>
              <w:t>Develop and implement a proactive, portfolio-level MEL strategy with clear learning objectives.</w:t>
            </w:r>
          </w:p>
        </w:tc>
        <w:tc>
          <w:tcPr>
            <w:tcW w:w="714" w:type="dxa"/>
            <w:hideMark/>
          </w:tcPr>
          <w:p w14:paraId="1829318D" w14:textId="77777777" w:rsidR="00794E11" w:rsidRPr="001A7BD5" w:rsidRDefault="00794E11" w:rsidP="007C00FA">
            <w:pPr>
              <w:contextualSpacing/>
              <w:rPr>
                <w:rFonts w:ascii="Arial" w:hAnsi="Arial" w:cs="Arial"/>
                <w:szCs w:val="20"/>
              </w:rPr>
            </w:pPr>
            <w:r w:rsidRPr="001A7BD5">
              <w:rPr>
                <w:rFonts w:ascii="Arial" w:hAnsi="Arial" w:cs="Arial"/>
                <w:szCs w:val="20"/>
              </w:rPr>
              <w:t xml:space="preserve">DFAT </w:t>
            </w:r>
          </w:p>
        </w:tc>
        <w:tc>
          <w:tcPr>
            <w:tcW w:w="917" w:type="dxa"/>
            <w:shd w:val="clear" w:color="auto" w:fill="92D050"/>
          </w:tcPr>
          <w:p w14:paraId="7F5EA66A" w14:textId="61941757" w:rsidR="00794E11" w:rsidRPr="001A7BD5" w:rsidRDefault="0026773E" w:rsidP="007C00FA">
            <w:pPr>
              <w:contextualSpacing/>
              <w:rPr>
                <w:rFonts w:ascii="Arial" w:hAnsi="Arial" w:cs="Arial"/>
                <w:szCs w:val="20"/>
              </w:rPr>
            </w:pPr>
            <w:r>
              <w:rPr>
                <w:rFonts w:ascii="Arial" w:hAnsi="Arial" w:cs="Arial"/>
                <w:szCs w:val="20"/>
              </w:rPr>
              <w:t>High</w:t>
            </w:r>
          </w:p>
        </w:tc>
      </w:tr>
      <w:tr w:rsidR="00794E11" w:rsidRPr="001A7BD5" w14:paraId="67C01DEB" w14:textId="77777777" w:rsidTr="00075830">
        <w:trPr>
          <w:trHeight w:val="300"/>
        </w:trPr>
        <w:tc>
          <w:tcPr>
            <w:tcW w:w="1558" w:type="dxa"/>
            <w:hideMark/>
          </w:tcPr>
          <w:p w14:paraId="7B63B89A" w14:textId="77777777" w:rsidR="00794E11" w:rsidRPr="001A7BD5" w:rsidRDefault="00794E11" w:rsidP="007C00FA">
            <w:pPr>
              <w:contextualSpacing/>
              <w:rPr>
                <w:rFonts w:ascii="Arial" w:hAnsi="Arial" w:cs="Arial"/>
                <w:szCs w:val="20"/>
              </w:rPr>
            </w:pPr>
            <w:r w:rsidRPr="001A7BD5">
              <w:rPr>
                <w:rFonts w:ascii="Arial" w:hAnsi="Arial" w:cs="Arial"/>
                <w:b/>
                <w:bCs/>
                <w:szCs w:val="20"/>
              </w:rPr>
              <w:t>Effectiveness</w:t>
            </w:r>
          </w:p>
        </w:tc>
        <w:tc>
          <w:tcPr>
            <w:tcW w:w="5950" w:type="dxa"/>
            <w:hideMark/>
          </w:tcPr>
          <w:p w14:paraId="3BADD8D1" w14:textId="77777777" w:rsidR="00794E11" w:rsidRPr="001A7BD5" w:rsidRDefault="00794E11" w:rsidP="007C00FA">
            <w:pPr>
              <w:contextualSpacing/>
              <w:rPr>
                <w:rFonts w:ascii="Arial" w:hAnsi="Arial" w:cs="Arial"/>
                <w:szCs w:val="20"/>
              </w:rPr>
            </w:pPr>
            <w:r w:rsidRPr="001A7BD5">
              <w:rPr>
                <w:rFonts w:ascii="Arial" w:hAnsi="Arial" w:cs="Arial"/>
                <w:szCs w:val="20"/>
              </w:rPr>
              <w:t>Establish a formal recommendation tracking system to monitor and support the uptake of evaluation findings.</w:t>
            </w:r>
          </w:p>
        </w:tc>
        <w:tc>
          <w:tcPr>
            <w:tcW w:w="714" w:type="dxa"/>
            <w:hideMark/>
          </w:tcPr>
          <w:p w14:paraId="1763A0EC" w14:textId="77777777" w:rsidR="00794E11" w:rsidRPr="001A7BD5" w:rsidRDefault="00794E11" w:rsidP="007C00FA">
            <w:pPr>
              <w:contextualSpacing/>
              <w:rPr>
                <w:rFonts w:ascii="Arial" w:hAnsi="Arial" w:cs="Arial"/>
                <w:szCs w:val="20"/>
              </w:rPr>
            </w:pPr>
            <w:r w:rsidRPr="001A7BD5">
              <w:rPr>
                <w:rFonts w:ascii="Arial" w:hAnsi="Arial" w:cs="Arial"/>
                <w:szCs w:val="20"/>
              </w:rPr>
              <w:t>HDMES</w:t>
            </w:r>
          </w:p>
        </w:tc>
        <w:tc>
          <w:tcPr>
            <w:tcW w:w="917" w:type="dxa"/>
            <w:shd w:val="clear" w:color="auto" w:fill="92D050"/>
          </w:tcPr>
          <w:p w14:paraId="64212CCA" w14:textId="598C471D" w:rsidR="00794E11" w:rsidRPr="001A7BD5" w:rsidRDefault="0026773E" w:rsidP="007C00FA">
            <w:pPr>
              <w:contextualSpacing/>
              <w:rPr>
                <w:rFonts w:ascii="Arial" w:hAnsi="Arial" w:cs="Arial"/>
                <w:szCs w:val="20"/>
              </w:rPr>
            </w:pPr>
            <w:r>
              <w:rPr>
                <w:rFonts w:ascii="Arial" w:hAnsi="Arial" w:cs="Arial"/>
                <w:szCs w:val="20"/>
              </w:rPr>
              <w:t>High</w:t>
            </w:r>
          </w:p>
        </w:tc>
      </w:tr>
      <w:tr w:rsidR="00794E11" w:rsidRPr="001A7BD5" w14:paraId="26526D68" w14:textId="77777777" w:rsidTr="00075830">
        <w:trPr>
          <w:trHeight w:val="300"/>
        </w:trPr>
        <w:tc>
          <w:tcPr>
            <w:tcW w:w="1558" w:type="dxa"/>
            <w:hideMark/>
          </w:tcPr>
          <w:p w14:paraId="5048A6B9" w14:textId="77777777" w:rsidR="00794E11" w:rsidRPr="001A7BD5" w:rsidRDefault="00794E11" w:rsidP="007C00FA">
            <w:pPr>
              <w:contextualSpacing/>
              <w:rPr>
                <w:rFonts w:ascii="Arial" w:hAnsi="Arial" w:cs="Arial"/>
                <w:szCs w:val="20"/>
              </w:rPr>
            </w:pPr>
            <w:r w:rsidRPr="001A7BD5">
              <w:rPr>
                <w:rFonts w:ascii="Arial" w:hAnsi="Arial" w:cs="Arial"/>
                <w:b/>
                <w:bCs/>
                <w:szCs w:val="20"/>
              </w:rPr>
              <w:t>Effectiveness</w:t>
            </w:r>
          </w:p>
        </w:tc>
        <w:tc>
          <w:tcPr>
            <w:tcW w:w="5950" w:type="dxa"/>
            <w:hideMark/>
          </w:tcPr>
          <w:p w14:paraId="0E30E5B2" w14:textId="77777777" w:rsidR="00794E11" w:rsidRPr="001A7BD5" w:rsidRDefault="00794E11" w:rsidP="007C00FA">
            <w:pPr>
              <w:contextualSpacing/>
              <w:rPr>
                <w:rFonts w:ascii="Arial" w:hAnsi="Arial" w:cs="Arial"/>
                <w:szCs w:val="20"/>
              </w:rPr>
            </w:pPr>
            <w:r w:rsidRPr="001A7BD5">
              <w:rPr>
                <w:rFonts w:ascii="Arial" w:hAnsi="Arial" w:cs="Arial"/>
                <w:szCs w:val="20"/>
              </w:rPr>
              <w:t>Strengthen portfolio learning through synthesis reports, learning reviews, and joint reflection workshops.</w:t>
            </w:r>
          </w:p>
        </w:tc>
        <w:tc>
          <w:tcPr>
            <w:tcW w:w="714" w:type="dxa"/>
            <w:hideMark/>
          </w:tcPr>
          <w:p w14:paraId="04E89304" w14:textId="77777777" w:rsidR="00794E11" w:rsidRPr="001A7BD5" w:rsidRDefault="00794E11" w:rsidP="007C00FA">
            <w:pPr>
              <w:contextualSpacing/>
              <w:rPr>
                <w:rFonts w:ascii="Arial" w:hAnsi="Arial" w:cs="Arial"/>
                <w:szCs w:val="20"/>
              </w:rPr>
            </w:pPr>
            <w:r w:rsidRPr="001A7BD5">
              <w:rPr>
                <w:rFonts w:ascii="Arial" w:hAnsi="Arial" w:cs="Arial"/>
                <w:szCs w:val="20"/>
              </w:rPr>
              <w:t>DFAT / HDMES</w:t>
            </w:r>
          </w:p>
        </w:tc>
        <w:tc>
          <w:tcPr>
            <w:tcW w:w="917" w:type="dxa"/>
            <w:shd w:val="clear" w:color="auto" w:fill="92D050"/>
          </w:tcPr>
          <w:p w14:paraId="695CC084" w14:textId="7CF6AD28" w:rsidR="00794E11" w:rsidRPr="001A7BD5" w:rsidRDefault="0026773E" w:rsidP="007C00FA">
            <w:pPr>
              <w:contextualSpacing/>
              <w:rPr>
                <w:rFonts w:ascii="Arial" w:hAnsi="Arial" w:cs="Arial"/>
                <w:szCs w:val="20"/>
              </w:rPr>
            </w:pPr>
            <w:r>
              <w:rPr>
                <w:rFonts w:ascii="Arial" w:hAnsi="Arial" w:cs="Arial"/>
                <w:szCs w:val="20"/>
              </w:rPr>
              <w:t>High</w:t>
            </w:r>
          </w:p>
        </w:tc>
      </w:tr>
      <w:tr w:rsidR="00794E11" w:rsidRPr="001A7BD5" w14:paraId="3058F44F" w14:textId="77777777" w:rsidTr="00075830">
        <w:trPr>
          <w:trHeight w:val="300"/>
        </w:trPr>
        <w:tc>
          <w:tcPr>
            <w:tcW w:w="1558" w:type="dxa"/>
            <w:hideMark/>
          </w:tcPr>
          <w:p w14:paraId="433C065F" w14:textId="77777777" w:rsidR="00794E11" w:rsidRPr="001A7BD5" w:rsidRDefault="00794E11" w:rsidP="007C00FA">
            <w:pPr>
              <w:contextualSpacing/>
              <w:rPr>
                <w:rFonts w:ascii="Arial" w:hAnsi="Arial" w:cs="Arial"/>
                <w:szCs w:val="20"/>
              </w:rPr>
            </w:pPr>
            <w:r w:rsidRPr="001A7BD5">
              <w:rPr>
                <w:rFonts w:ascii="Arial" w:hAnsi="Arial" w:cs="Arial"/>
                <w:b/>
                <w:bCs/>
                <w:szCs w:val="20"/>
              </w:rPr>
              <w:t>Efficiency</w:t>
            </w:r>
          </w:p>
        </w:tc>
        <w:tc>
          <w:tcPr>
            <w:tcW w:w="5950" w:type="dxa"/>
            <w:hideMark/>
          </w:tcPr>
          <w:p w14:paraId="70CD5150" w14:textId="77777777" w:rsidR="00794E11" w:rsidRPr="001A7BD5" w:rsidRDefault="00794E11" w:rsidP="007C00FA">
            <w:pPr>
              <w:contextualSpacing/>
              <w:rPr>
                <w:rFonts w:ascii="Arial" w:hAnsi="Arial" w:cs="Arial"/>
                <w:szCs w:val="20"/>
              </w:rPr>
            </w:pPr>
            <w:r w:rsidRPr="001A7BD5">
              <w:rPr>
                <w:rFonts w:ascii="Arial" w:hAnsi="Arial" w:cs="Arial"/>
                <w:szCs w:val="20"/>
              </w:rPr>
              <w:t>Optimise hybrid delivery by increasing in-country presence and strengthening local MEL capacity.</w:t>
            </w:r>
          </w:p>
        </w:tc>
        <w:tc>
          <w:tcPr>
            <w:tcW w:w="714" w:type="dxa"/>
            <w:hideMark/>
          </w:tcPr>
          <w:p w14:paraId="0FB54BFF" w14:textId="77777777" w:rsidR="00794E11" w:rsidRPr="001A7BD5" w:rsidRDefault="00794E11" w:rsidP="007C00FA">
            <w:pPr>
              <w:contextualSpacing/>
              <w:rPr>
                <w:rFonts w:ascii="Arial" w:hAnsi="Arial" w:cs="Arial"/>
                <w:szCs w:val="20"/>
              </w:rPr>
            </w:pPr>
            <w:r w:rsidRPr="001A7BD5">
              <w:rPr>
                <w:rFonts w:ascii="Arial" w:hAnsi="Arial" w:cs="Arial"/>
                <w:szCs w:val="20"/>
              </w:rPr>
              <w:t>DFAT / ASI / HDMES</w:t>
            </w:r>
          </w:p>
        </w:tc>
        <w:tc>
          <w:tcPr>
            <w:tcW w:w="917" w:type="dxa"/>
            <w:shd w:val="clear" w:color="auto" w:fill="FFC000"/>
            <w:hideMark/>
          </w:tcPr>
          <w:p w14:paraId="393138B3" w14:textId="7414B2E7" w:rsidR="00794E11" w:rsidRPr="001A7BD5" w:rsidRDefault="0026773E" w:rsidP="007C00FA">
            <w:pPr>
              <w:contextualSpacing/>
              <w:rPr>
                <w:rFonts w:ascii="Arial" w:hAnsi="Arial" w:cs="Arial"/>
                <w:szCs w:val="20"/>
              </w:rPr>
            </w:pPr>
            <w:r>
              <w:rPr>
                <w:rFonts w:ascii="Arial" w:hAnsi="Arial" w:cs="Arial"/>
                <w:szCs w:val="20"/>
              </w:rPr>
              <w:t>Medium</w:t>
            </w:r>
          </w:p>
        </w:tc>
      </w:tr>
      <w:tr w:rsidR="00794E11" w:rsidRPr="001A7BD5" w14:paraId="2BF4BC35" w14:textId="77777777" w:rsidTr="00075830">
        <w:trPr>
          <w:trHeight w:val="300"/>
        </w:trPr>
        <w:tc>
          <w:tcPr>
            <w:tcW w:w="1558" w:type="dxa"/>
            <w:hideMark/>
          </w:tcPr>
          <w:p w14:paraId="5FA146E6" w14:textId="77777777" w:rsidR="00794E11" w:rsidRPr="001A7BD5" w:rsidRDefault="00794E11" w:rsidP="007C00FA">
            <w:pPr>
              <w:contextualSpacing/>
              <w:rPr>
                <w:rFonts w:ascii="Arial" w:hAnsi="Arial" w:cs="Arial"/>
                <w:szCs w:val="20"/>
              </w:rPr>
            </w:pPr>
            <w:r w:rsidRPr="001A7BD5">
              <w:rPr>
                <w:rFonts w:ascii="Arial" w:hAnsi="Arial" w:cs="Arial"/>
                <w:b/>
                <w:bCs/>
                <w:szCs w:val="20"/>
              </w:rPr>
              <w:t>Efficiency</w:t>
            </w:r>
          </w:p>
        </w:tc>
        <w:tc>
          <w:tcPr>
            <w:tcW w:w="5950" w:type="dxa"/>
            <w:hideMark/>
          </w:tcPr>
          <w:p w14:paraId="4929DB57" w14:textId="77777777" w:rsidR="00794E11" w:rsidRPr="001A7BD5" w:rsidRDefault="00794E11" w:rsidP="007C00FA">
            <w:pPr>
              <w:contextualSpacing/>
              <w:rPr>
                <w:rFonts w:ascii="Arial" w:hAnsi="Arial" w:cs="Arial"/>
                <w:szCs w:val="20"/>
              </w:rPr>
            </w:pPr>
            <w:r w:rsidRPr="001A7BD5">
              <w:rPr>
                <w:rFonts w:ascii="Arial" w:hAnsi="Arial" w:cs="Arial"/>
                <w:szCs w:val="20"/>
              </w:rPr>
              <w:t>Streamline administrative processes, tasking, and QA through standardised tools and clearer templates.</w:t>
            </w:r>
          </w:p>
        </w:tc>
        <w:tc>
          <w:tcPr>
            <w:tcW w:w="714" w:type="dxa"/>
            <w:hideMark/>
          </w:tcPr>
          <w:p w14:paraId="65D0871F" w14:textId="77777777" w:rsidR="00794E11" w:rsidRPr="001A7BD5" w:rsidRDefault="00794E11" w:rsidP="007C00FA">
            <w:pPr>
              <w:contextualSpacing/>
              <w:rPr>
                <w:rFonts w:ascii="Arial" w:hAnsi="Arial" w:cs="Arial"/>
                <w:szCs w:val="20"/>
              </w:rPr>
            </w:pPr>
            <w:r w:rsidRPr="001A7BD5">
              <w:rPr>
                <w:rFonts w:ascii="Arial" w:hAnsi="Arial" w:cs="Arial"/>
                <w:szCs w:val="20"/>
              </w:rPr>
              <w:t>DFAT / ASI / HDMES</w:t>
            </w:r>
          </w:p>
        </w:tc>
        <w:tc>
          <w:tcPr>
            <w:tcW w:w="917" w:type="dxa"/>
            <w:shd w:val="clear" w:color="auto" w:fill="92D050"/>
            <w:hideMark/>
          </w:tcPr>
          <w:p w14:paraId="0BDCAD65" w14:textId="30744F88" w:rsidR="00794E11" w:rsidRPr="001A7BD5" w:rsidRDefault="0026773E" w:rsidP="007C00FA">
            <w:pPr>
              <w:contextualSpacing/>
              <w:rPr>
                <w:rFonts w:ascii="Arial" w:hAnsi="Arial" w:cs="Arial"/>
                <w:szCs w:val="20"/>
              </w:rPr>
            </w:pPr>
            <w:r>
              <w:rPr>
                <w:rFonts w:ascii="Arial" w:hAnsi="Arial" w:cs="Arial"/>
                <w:szCs w:val="20"/>
              </w:rPr>
              <w:t>High</w:t>
            </w:r>
          </w:p>
        </w:tc>
      </w:tr>
      <w:tr w:rsidR="00794E11" w:rsidRPr="001A7BD5" w14:paraId="6F46ED59" w14:textId="77777777" w:rsidTr="00075830">
        <w:trPr>
          <w:trHeight w:val="300"/>
        </w:trPr>
        <w:tc>
          <w:tcPr>
            <w:tcW w:w="1558" w:type="dxa"/>
            <w:hideMark/>
          </w:tcPr>
          <w:p w14:paraId="66E4FFCA" w14:textId="77777777" w:rsidR="00794E11" w:rsidRPr="001A7BD5" w:rsidRDefault="00794E11" w:rsidP="007C00FA">
            <w:pPr>
              <w:contextualSpacing/>
              <w:rPr>
                <w:rFonts w:ascii="Arial" w:hAnsi="Arial" w:cs="Arial"/>
                <w:szCs w:val="20"/>
              </w:rPr>
            </w:pPr>
            <w:r w:rsidRPr="001A7BD5">
              <w:rPr>
                <w:rFonts w:ascii="Arial" w:hAnsi="Arial" w:cs="Arial"/>
                <w:b/>
                <w:bCs/>
                <w:szCs w:val="20"/>
              </w:rPr>
              <w:t>Efficiency</w:t>
            </w:r>
          </w:p>
        </w:tc>
        <w:tc>
          <w:tcPr>
            <w:tcW w:w="5950" w:type="dxa"/>
            <w:hideMark/>
          </w:tcPr>
          <w:p w14:paraId="7A35CD9C" w14:textId="77777777" w:rsidR="00794E11" w:rsidRPr="001A7BD5" w:rsidRDefault="00794E11" w:rsidP="007C00FA">
            <w:pPr>
              <w:contextualSpacing/>
              <w:rPr>
                <w:rFonts w:ascii="Arial" w:hAnsi="Arial" w:cs="Arial"/>
                <w:szCs w:val="20"/>
              </w:rPr>
            </w:pPr>
            <w:r w:rsidRPr="001A7BD5">
              <w:rPr>
                <w:rFonts w:ascii="Arial" w:hAnsi="Arial" w:cs="Arial"/>
                <w:szCs w:val="20"/>
              </w:rPr>
              <w:t>Explore ARF flexibility or alternative contracting to improve recruitment of high-calibre consultants.</w:t>
            </w:r>
          </w:p>
        </w:tc>
        <w:tc>
          <w:tcPr>
            <w:tcW w:w="714" w:type="dxa"/>
            <w:hideMark/>
          </w:tcPr>
          <w:p w14:paraId="7D1DC2B8" w14:textId="77777777" w:rsidR="00794E11" w:rsidRPr="001A7BD5" w:rsidRDefault="00794E11" w:rsidP="007C00FA">
            <w:pPr>
              <w:contextualSpacing/>
              <w:rPr>
                <w:rFonts w:ascii="Arial" w:hAnsi="Arial" w:cs="Arial"/>
                <w:szCs w:val="20"/>
              </w:rPr>
            </w:pPr>
            <w:r w:rsidRPr="001A7BD5">
              <w:rPr>
                <w:rFonts w:ascii="Arial" w:hAnsi="Arial" w:cs="Arial"/>
                <w:szCs w:val="20"/>
              </w:rPr>
              <w:t>DFAT / ASI</w:t>
            </w:r>
          </w:p>
        </w:tc>
        <w:tc>
          <w:tcPr>
            <w:tcW w:w="917" w:type="dxa"/>
            <w:shd w:val="clear" w:color="auto" w:fill="FFC000"/>
            <w:hideMark/>
          </w:tcPr>
          <w:p w14:paraId="79C40028" w14:textId="6FD4F97E" w:rsidR="00794E11" w:rsidRPr="001A7BD5" w:rsidRDefault="0026773E" w:rsidP="007C00FA">
            <w:pPr>
              <w:contextualSpacing/>
              <w:rPr>
                <w:rFonts w:ascii="Arial" w:hAnsi="Arial" w:cs="Arial"/>
                <w:szCs w:val="20"/>
              </w:rPr>
            </w:pPr>
            <w:r>
              <w:rPr>
                <w:rFonts w:ascii="Arial" w:hAnsi="Arial" w:cs="Arial"/>
                <w:szCs w:val="20"/>
              </w:rPr>
              <w:t>Medium</w:t>
            </w:r>
          </w:p>
        </w:tc>
      </w:tr>
      <w:tr w:rsidR="00794E11" w:rsidRPr="001A7BD5" w14:paraId="52305E54" w14:textId="77777777" w:rsidTr="0047698E">
        <w:trPr>
          <w:trHeight w:val="300"/>
        </w:trPr>
        <w:tc>
          <w:tcPr>
            <w:tcW w:w="1558" w:type="dxa"/>
            <w:hideMark/>
          </w:tcPr>
          <w:p w14:paraId="0F0C620D" w14:textId="77777777" w:rsidR="00794E11" w:rsidRPr="001A7BD5" w:rsidRDefault="00794E11" w:rsidP="007C00FA">
            <w:pPr>
              <w:contextualSpacing/>
              <w:rPr>
                <w:rFonts w:ascii="Arial" w:hAnsi="Arial" w:cs="Arial"/>
                <w:szCs w:val="20"/>
              </w:rPr>
            </w:pPr>
            <w:r w:rsidRPr="001A7BD5">
              <w:rPr>
                <w:rFonts w:ascii="Arial" w:hAnsi="Arial" w:cs="Arial"/>
                <w:b/>
                <w:bCs/>
                <w:szCs w:val="20"/>
              </w:rPr>
              <w:lastRenderedPageBreak/>
              <w:t>GEDSI</w:t>
            </w:r>
          </w:p>
        </w:tc>
        <w:tc>
          <w:tcPr>
            <w:tcW w:w="5950" w:type="dxa"/>
            <w:hideMark/>
          </w:tcPr>
          <w:p w14:paraId="691A43CB" w14:textId="0492C3C6" w:rsidR="00794E11" w:rsidRPr="001A7BD5" w:rsidRDefault="00794E11" w:rsidP="54841E09">
            <w:pPr>
              <w:contextualSpacing/>
              <w:rPr>
                <w:rFonts w:ascii="Arial" w:hAnsi="Arial" w:cs="Arial"/>
              </w:rPr>
            </w:pPr>
            <w:r w:rsidRPr="54841E09">
              <w:rPr>
                <w:rFonts w:ascii="Arial" w:hAnsi="Arial" w:cs="Arial"/>
              </w:rPr>
              <w:t xml:space="preserve">Develop a structured </w:t>
            </w:r>
            <w:r w:rsidR="0006564F">
              <w:rPr>
                <w:rFonts w:ascii="Arial" w:hAnsi="Arial" w:cs="Arial"/>
              </w:rPr>
              <w:t xml:space="preserve">and approved </w:t>
            </w:r>
            <w:r w:rsidRPr="54841E09">
              <w:rPr>
                <w:rFonts w:ascii="Arial" w:hAnsi="Arial" w:cs="Arial"/>
              </w:rPr>
              <w:t>GEDSI Toolkit implementation plan focused on practical integration and uptake monitoring.</w:t>
            </w:r>
          </w:p>
        </w:tc>
        <w:tc>
          <w:tcPr>
            <w:tcW w:w="714" w:type="dxa"/>
            <w:hideMark/>
          </w:tcPr>
          <w:p w14:paraId="2FA7AFFE" w14:textId="77777777" w:rsidR="00794E11" w:rsidRPr="001A7BD5" w:rsidRDefault="00794E11" w:rsidP="007C00FA">
            <w:pPr>
              <w:contextualSpacing/>
              <w:rPr>
                <w:rFonts w:ascii="Arial" w:hAnsi="Arial" w:cs="Arial"/>
                <w:szCs w:val="20"/>
              </w:rPr>
            </w:pPr>
            <w:r w:rsidRPr="001A7BD5">
              <w:rPr>
                <w:rFonts w:ascii="Arial" w:hAnsi="Arial" w:cs="Arial"/>
                <w:szCs w:val="20"/>
              </w:rPr>
              <w:t xml:space="preserve">HDMES / DFAT </w:t>
            </w:r>
          </w:p>
        </w:tc>
        <w:tc>
          <w:tcPr>
            <w:tcW w:w="917" w:type="dxa"/>
            <w:shd w:val="clear" w:color="auto" w:fill="FFC000"/>
            <w:hideMark/>
          </w:tcPr>
          <w:p w14:paraId="4F1776AB" w14:textId="3398F8E3" w:rsidR="00794E11" w:rsidRPr="001A7BD5" w:rsidRDefault="00232C11" w:rsidP="007C00FA">
            <w:pPr>
              <w:contextualSpacing/>
              <w:rPr>
                <w:rFonts w:ascii="Arial" w:hAnsi="Arial" w:cs="Arial"/>
                <w:szCs w:val="20"/>
              </w:rPr>
            </w:pPr>
            <w:r>
              <w:rPr>
                <w:rFonts w:ascii="Arial" w:hAnsi="Arial" w:cs="Arial"/>
                <w:szCs w:val="20"/>
              </w:rPr>
              <w:t>Medium</w:t>
            </w:r>
          </w:p>
        </w:tc>
      </w:tr>
      <w:tr w:rsidR="00794E11" w:rsidRPr="001A7BD5" w14:paraId="3DDE42CB" w14:textId="77777777" w:rsidTr="00075830">
        <w:trPr>
          <w:trHeight w:val="300"/>
        </w:trPr>
        <w:tc>
          <w:tcPr>
            <w:tcW w:w="1558" w:type="dxa"/>
            <w:hideMark/>
          </w:tcPr>
          <w:p w14:paraId="249F9F0C" w14:textId="77777777" w:rsidR="00794E11" w:rsidRPr="001A7BD5" w:rsidRDefault="00794E11" w:rsidP="007C00FA">
            <w:pPr>
              <w:contextualSpacing/>
              <w:rPr>
                <w:rFonts w:ascii="Arial" w:hAnsi="Arial" w:cs="Arial"/>
                <w:szCs w:val="20"/>
              </w:rPr>
            </w:pPr>
            <w:r w:rsidRPr="001A7BD5">
              <w:rPr>
                <w:rFonts w:ascii="Arial" w:hAnsi="Arial" w:cs="Arial"/>
                <w:b/>
                <w:bCs/>
                <w:szCs w:val="20"/>
              </w:rPr>
              <w:t>Governance</w:t>
            </w:r>
          </w:p>
        </w:tc>
        <w:tc>
          <w:tcPr>
            <w:tcW w:w="5950" w:type="dxa"/>
            <w:hideMark/>
          </w:tcPr>
          <w:p w14:paraId="1AA563BB" w14:textId="77777777" w:rsidR="00794E11" w:rsidRPr="001A7BD5" w:rsidRDefault="00794E11" w:rsidP="007C00FA">
            <w:pPr>
              <w:contextualSpacing/>
              <w:rPr>
                <w:rFonts w:ascii="Arial" w:hAnsi="Arial" w:cs="Arial"/>
                <w:szCs w:val="20"/>
              </w:rPr>
            </w:pPr>
            <w:r w:rsidRPr="677EB2AF">
              <w:rPr>
                <w:rFonts w:ascii="Arial" w:hAnsi="Arial" w:cs="Arial"/>
                <w:szCs w:val="20"/>
              </w:rPr>
              <w:t>Re-establish a formal partnership governance mechanism between DFAT</w:t>
            </w:r>
            <w:r>
              <w:rPr>
                <w:rFonts w:ascii="Arial" w:hAnsi="Arial" w:cs="Arial"/>
                <w:szCs w:val="20"/>
              </w:rPr>
              <w:t xml:space="preserve"> and </w:t>
            </w:r>
            <w:r w:rsidRPr="677EB2AF">
              <w:rPr>
                <w:rFonts w:ascii="Arial" w:hAnsi="Arial" w:cs="Arial"/>
                <w:szCs w:val="20"/>
              </w:rPr>
              <w:t>ASI.</w:t>
            </w:r>
          </w:p>
        </w:tc>
        <w:tc>
          <w:tcPr>
            <w:tcW w:w="714" w:type="dxa"/>
            <w:hideMark/>
          </w:tcPr>
          <w:p w14:paraId="55EFC4A4" w14:textId="3666273E" w:rsidR="00794E11" w:rsidRPr="001A7BD5" w:rsidRDefault="00794E11" w:rsidP="007C00FA">
            <w:pPr>
              <w:contextualSpacing/>
              <w:rPr>
                <w:rFonts w:ascii="Arial" w:hAnsi="Arial" w:cs="Arial"/>
                <w:szCs w:val="20"/>
              </w:rPr>
            </w:pPr>
            <w:r w:rsidRPr="001A7BD5">
              <w:rPr>
                <w:rFonts w:ascii="Arial" w:hAnsi="Arial" w:cs="Arial"/>
                <w:szCs w:val="20"/>
              </w:rPr>
              <w:t>DFAT / ASI</w:t>
            </w:r>
          </w:p>
        </w:tc>
        <w:tc>
          <w:tcPr>
            <w:tcW w:w="917" w:type="dxa"/>
            <w:shd w:val="clear" w:color="auto" w:fill="92D050"/>
            <w:hideMark/>
          </w:tcPr>
          <w:p w14:paraId="6A579AE5" w14:textId="33869A61" w:rsidR="00794E11" w:rsidRPr="001A7BD5" w:rsidRDefault="0026773E" w:rsidP="007C00FA">
            <w:pPr>
              <w:contextualSpacing/>
              <w:rPr>
                <w:rFonts w:ascii="Arial" w:hAnsi="Arial" w:cs="Arial"/>
                <w:szCs w:val="20"/>
              </w:rPr>
            </w:pPr>
            <w:r>
              <w:rPr>
                <w:rFonts w:ascii="Arial" w:hAnsi="Arial" w:cs="Arial"/>
                <w:szCs w:val="20"/>
              </w:rPr>
              <w:t>High</w:t>
            </w:r>
          </w:p>
        </w:tc>
      </w:tr>
      <w:tr w:rsidR="00794E11" w:rsidRPr="001A7BD5" w14:paraId="0E126E43" w14:textId="77777777" w:rsidTr="00075830">
        <w:trPr>
          <w:trHeight w:val="300"/>
        </w:trPr>
        <w:tc>
          <w:tcPr>
            <w:tcW w:w="1558" w:type="dxa"/>
          </w:tcPr>
          <w:p w14:paraId="12B54C67" w14:textId="77777777" w:rsidR="00794E11" w:rsidRPr="001A7BD5" w:rsidRDefault="00794E11" w:rsidP="007C00FA">
            <w:pPr>
              <w:contextualSpacing/>
              <w:rPr>
                <w:rFonts w:ascii="Arial" w:hAnsi="Arial" w:cs="Arial"/>
                <w:b/>
                <w:bCs/>
                <w:szCs w:val="20"/>
              </w:rPr>
            </w:pPr>
            <w:r>
              <w:rPr>
                <w:rFonts w:ascii="Arial" w:hAnsi="Arial" w:cs="Arial"/>
                <w:b/>
                <w:bCs/>
                <w:szCs w:val="20"/>
              </w:rPr>
              <w:t>Governance</w:t>
            </w:r>
          </w:p>
        </w:tc>
        <w:tc>
          <w:tcPr>
            <w:tcW w:w="5950" w:type="dxa"/>
          </w:tcPr>
          <w:p w14:paraId="5040B90C" w14:textId="77777777" w:rsidR="00794E11" w:rsidRPr="001A7BD5" w:rsidRDefault="00794E11" w:rsidP="007C00FA">
            <w:pPr>
              <w:contextualSpacing/>
              <w:rPr>
                <w:rFonts w:ascii="Arial" w:hAnsi="Arial" w:cs="Arial"/>
                <w:szCs w:val="20"/>
              </w:rPr>
            </w:pPr>
            <w:r w:rsidRPr="001A7BD5">
              <w:rPr>
                <w:rFonts w:ascii="Arial" w:hAnsi="Arial" w:cs="Arial"/>
                <w:szCs w:val="20"/>
              </w:rPr>
              <w:t>Clarify HDMES’s mandate and scope, including design and research roles.</w:t>
            </w:r>
          </w:p>
        </w:tc>
        <w:tc>
          <w:tcPr>
            <w:tcW w:w="714" w:type="dxa"/>
          </w:tcPr>
          <w:p w14:paraId="5E07F2F3" w14:textId="77777777" w:rsidR="00794E11" w:rsidRPr="001A7BD5" w:rsidRDefault="00794E11" w:rsidP="007C00FA">
            <w:pPr>
              <w:contextualSpacing/>
              <w:rPr>
                <w:rFonts w:ascii="Arial" w:hAnsi="Arial" w:cs="Arial"/>
                <w:szCs w:val="20"/>
              </w:rPr>
            </w:pPr>
            <w:r w:rsidRPr="001A7BD5">
              <w:rPr>
                <w:rFonts w:ascii="Arial" w:hAnsi="Arial" w:cs="Arial"/>
                <w:szCs w:val="20"/>
              </w:rPr>
              <w:t>DFAT</w:t>
            </w:r>
          </w:p>
        </w:tc>
        <w:tc>
          <w:tcPr>
            <w:tcW w:w="917" w:type="dxa"/>
            <w:shd w:val="clear" w:color="auto" w:fill="92D050"/>
          </w:tcPr>
          <w:p w14:paraId="72003C33" w14:textId="392A5799" w:rsidR="00794E11" w:rsidRPr="001A7BD5" w:rsidRDefault="0026773E" w:rsidP="007C00FA">
            <w:pPr>
              <w:contextualSpacing/>
              <w:rPr>
                <w:rFonts w:ascii="Segoe UI Emoji" w:hAnsi="Segoe UI Emoji" w:cs="Segoe UI Emoji"/>
                <w:szCs w:val="20"/>
              </w:rPr>
            </w:pPr>
            <w:r>
              <w:rPr>
                <w:rFonts w:ascii="Segoe UI Emoji" w:hAnsi="Segoe UI Emoji" w:cs="Segoe UI Emoji"/>
                <w:szCs w:val="20"/>
              </w:rPr>
              <w:t>High</w:t>
            </w:r>
          </w:p>
        </w:tc>
      </w:tr>
    </w:tbl>
    <w:p w14:paraId="234E6EB5" w14:textId="77777777" w:rsidR="00DE5008" w:rsidRDefault="00DE5008" w:rsidP="00794E11">
      <w:pPr>
        <w:pStyle w:val="Heading1"/>
        <w:sectPr w:rsidR="00DE5008" w:rsidSect="00794E11">
          <w:pgSz w:w="11906" w:h="16838"/>
          <w:pgMar w:top="1440" w:right="1440" w:bottom="1440" w:left="1440" w:header="708" w:footer="708" w:gutter="0"/>
          <w:cols w:space="708"/>
          <w:docGrid w:linePitch="360"/>
        </w:sectPr>
      </w:pPr>
    </w:p>
    <w:p w14:paraId="472AED12" w14:textId="133A5D5D" w:rsidR="00794E11" w:rsidRDefault="00794E11" w:rsidP="00794E11">
      <w:pPr>
        <w:pStyle w:val="Heading1"/>
      </w:pPr>
      <w:bookmarkStart w:id="3" w:name="_Toc204241416"/>
      <w:r>
        <w:lastRenderedPageBreak/>
        <w:t>Abbreviations</w:t>
      </w:r>
      <w:bookmarkEnd w:id="3"/>
    </w:p>
    <w:p w14:paraId="3EC637D6" w14:textId="6F7C12D7" w:rsidR="00633FB9" w:rsidRPr="00DC5523" w:rsidRDefault="00633FB9" w:rsidP="003547A7">
      <w:pPr>
        <w:tabs>
          <w:tab w:val="left" w:pos="1134"/>
        </w:tabs>
        <w:spacing w:after="0"/>
        <w:rPr>
          <w:rFonts w:ascii="Arial" w:hAnsi="Arial" w:cs="Arial"/>
          <w:szCs w:val="20"/>
        </w:rPr>
      </w:pPr>
      <w:r w:rsidRPr="00DC5523">
        <w:rPr>
          <w:rFonts w:ascii="Arial" w:hAnsi="Arial" w:cs="Arial"/>
          <w:szCs w:val="20"/>
        </w:rPr>
        <w:t>AHC</w:t>
      </w:r>
      <w:r w:rsidR="003547A7">
        <w:rPr>
          <w:rFonts w:ascii="Arial" w:hAnsi="Arial" w:cs="Arial"/>
          <w:szCs w:val="20"/>
        </w:rPr>
        <w:tab/>
      </w:r>
      <w:r w:rsidRPr="00DC5523">
        <w:rPr>
          <w:rFonts w:ascii="Arial" w:hAnsi="Arial" w:cs="Arial"/>
          <w:szCs w:val="20"/>
        </w:rPr>
        <w:t>Australian High Commission</w:t>
      </w:r>
    </w:p>
    <w:p w14:paraId="5558DDD0" w14:textId="143A348F" w:rsidR="00633FB9" w:rsidRPr="00DC5523" w:rsidRDefault="00633FB9" w:rsidP="003547A7">
      <w:pPr>
        <w:tabs>
          <w:tab w:val="left" w:pos="1134"/>
        </w:tabs>
        <w:spacing w:after="0"/>
        <w:rPr>
          <w:rFonts w:ascii="Arial" w:hAnsi="Arial" w:cs="Arial"/>
        </w:rPr>
      </w:pPr>
      <w:r w:rsidRPr="5F722619">
        <w:rPr>
          <w:rFonts w:ascii="Arial" w:hAnsi="Arial" w:cs="Arial"/>
        </w:rPr>
        <w:t>AIHSS</w:t>
      </w:r>
      <w:r>
        <w:rPr>
          <w:rFonts w:ascii="Arial" w:hAnsi="Arial" w:cs="Arial"/>
        </w:rPr>
        <w:tab/>
      </w:r>
      <w:r w:rsidRPr="5F722619">
        <w:rPr>
          <w:rFonts w:ascii="Arial" w:eastAsia="Arial" w:hAnsi="Arial" w:cs="Arial"/>
          <w:szCs w:val="20"/>
        </w:rPr>
        <w:t>Accelerated Immunisation and Health Systems Strengthening Program</w:t>
      </w:r>
    </w:p>
    <w:p w14:paraId="4D4262EE" w14:textId="3DEEEE1E" w:rsidR="00633FB9" w:rsidRPr="00DC5523" w:rsidRDefault="00633FB9" w:rsidP="003547A7">
      <w:pPr>
        <w:tabs>
          <w:tab w:val="left" w:pos="1134"/>
        </w:tabs>
        <w:spacing w:after="0"/>
        <w:rPr>
          <w:rFonts w:ascii="Arial" w:hAnsi="Arial" w:cs="Arial"/>
          <w:szCs w:val="20"/>
        </w:rPr>
      </w:pPr>
      <w:r w:rsidRPr="00DC5523">
        <w:rPr>
          <w:rFonts w:ascii="Arial" w:hAnsi="Arial" w:cs="Arial"/>
          <w:szCs w:val="20"/>
        </w:rPr>
        <w:t xml:space="preserve">ARF </w:t>
      </w:r>
      <w:r>
        <w:rPr>
          <w:rFonts w:ascii="Arial" w:hAnsi="Arial" w:cs="Arial"/>
          <w:szCs w:val="20"/>
        </w:rPr>
        <w:tab/>
      </w:r>
      <w:r>
        <w:rPr>
          <w:rFonts w:ascii="Arial" w:hAnsi="Arial" w:cs="Arial"/>
          <w:szCs w:val="20"/>
        </w:rPr>
        <w:tab/>
      </w:r>
      <w:r w:rsidRPr="00DC5523">
        <w:rPr>
          <w:rFonts w:ascii="Arial" w:hAnsi="Arial" w:cs="Arial"/>
          <w:szCs w:val="20"/>
        </w:rPr>
        <w:t>Adviser Remuneration Framework</w:t>
      </w:r>
    </w:p>
    <w:p w14:paraId="06DA33A9" w14:textId="4D261EA2" w:rsidR="00633FB9" w:rsidRPr="00DC5523" w:rsidRDefault="00633FB9" w:rsidP="003547A7">
      <w:pPr>
        <w:tabs>
          <w:tab w:val="left" w:pos="1134"/>
        </w:tabs>
        <w:spacing w:after="0"/>
        <w:rPr>
          <w:rFonts w:ascii="Arial" w:hAnsi="Arial" w:cs="Arial"/>
          <w:szCs w:val="20"/>
        </w:rPr>
      </w:pPr>
      <w:r w:rsidRPr="00DC5523">
        <w:rPr>
          <w:rFonts w:ascii="Arial" w:hAnsi="Arial" w:cs="Arial"/>
          <w:szCs w:val="20"/>
        </w:rPr>
        <w:t>ASI</w:t>
      </w:r>
      <w:r>
        <w:rPr>
          <w:rFonts w:ascii="Arial" w:hAnsi="Arial" w:cs="Arial"/>
          <w:szCs w:val="20"/>
        </w:rPr>
        <w:tab/>
      </w:r>
      <w:r w:rsidRPr="00DC5523">
        <w:rPr>
          <w:rFonts w:ascii="Arial" w:hAnsi="Arial" w:cs="Arial"/>
          <w:szCs w:val="20"/>
        </w:rPr>
        <w:t>Adam Smith International</w:t>
      </w:r>
    </w:p>
    <w:p w14:paraId="7BFC7CC9" w14:textId="30669BD4" w:rsidR="00633FB9" w:rsidRPr="00DC5523" w:rsidRDefault="00633FB9" w:rsidP="003547A7">
      <w:pPr>
        <w:tabs>
          <w:tab w:val="left" w:pos="1134"/>
        </w:tabs>
        <w:spacing w:after="0"/>
        <w:rPr>
          <w:rFonts w:ascii="Arial" w:hAnsi="Arial" w:cs="Arial"/>
          <w:szCs w:val="20"/>
        </w:rPr>
      </w:pPr>
      <w:r w:rsidRPr="00DC5523">
        <w:rPr>
          <w:rFonts w:ascii="Arial" w:hAnsi="Arial" w:cs="Arial"/>
          <w:szCs w:val="20"/>
        </w:rPr>
        <w:t>CBA</w:t>
      </w:r>
      <w:r>
        <w:rPr>
          <w:rFonts w:ascii="Arial" w:hAnsi="Arial" w:cs="Arial"/>
          <w:szCs w:val="20"/>
        </w:rPr>
        <w:tab/>
      </w:r>
      <w:r>
        <w:rPr>
          <w:rFonts w:ascii="Arial" w:hAnsi="Arial" w:cs="Arial"/>
          <w:szCs w:val="20"/>
        </w:rPr>
        <w:tab/>
      </w:r>
      <w:r w:rsidRPr="00DC5523">
        <w:rPr>
          <w:rFonts w:ascii="Arial" w:hAnsi="Arial" w:cs="Arial"/>
          <w:szCs w:val="20"/>
        </w:rPr>
        <w:t>Cost-Benefit Analysis</w:t>
      </w:r>
    </w:p>
    <w:p w14:paraId="204C132C" w14:textId="538D7312" w:rsidR="00633FB9" w:rsidRPr="00DC5523" w:rsidRDefault="00633FB9" w:rsidP="003547A7">
      <w:pPr>
        <w:tabs>
          <w:tab w:val="left" w:pos="1134"/>
        </w:tabs>
        <w:spacing w:after="0"/>
        <w:rPr>
          <w:rFonts w:ascii="Arial" w:hAnsi="Arial" w:cs="Arial"/>
          <w:szCs w:val="20"/>
        </w:rPr>
      </w:pPr>
      <w:r w:rsidRPr="00DC5523">
        <w:rPr>
          <w:rFonts w:ascii="Arial" w:hAnsi="Arial" w:cs="Arial"/>
          <w:szCs w:val="20"/>
        </w:rPr>
        <w:t>DFAT</w:t>
      </w:r>
      <w:r>
        <w:rPr>
          <w:rFonts w:ascii="Arial" w:hAnsi="Arial" w:cs="Arial"/>
          <w:szCs w:val="20"/>
        </w:rPr>
        <w:tab/>
      </w:r>
      <w:r>
        <w:rPr>
          <w:rFonts w:ascii="Arial" w:hAnsi="Arial" w:cs="Arial"/>
          <w:szCs w:val="20"/>
        </w:rPr>
        <w:tab/>
      </w:r>
      <w:r w:rsidRPr="00DC5523">
        <w:rPr>
          <w:rFonts w:ascii="Arial" w:hAnsi="Arial" w:cs="Arial"/>
          <w:szCs w:val="20"/>
        </w:rPr>
        <w:t>Department of Foreign Affairs and Trade</w:t>
      </w:r>
    </w:p>
    <w:p w14:paraId="2188450B" w14:textId="19C5526C" w:rsidR="00633FB9" w:rsidRPr="00DC5523" w:rsidRDefault="00633FB9" w:rsidP="003547A7">
      <w:pPr>
        <w:tabs>
          <w:tab w:val="left" w:pos="1134"/>
        </w:tabs>
        <w:spacing w:after="0"/>
        <w:rPr>
          <w:rFonts w:ascii="Arial" w:hAnsi="Arial" w:cs="Arial"/>
          <w:szCs w:val="20"/>
        </w:rPr>
      </w:pPr>
      <w:r w:rsidRPr="00DC5523">
        <w:rPr>
          <w:rFonts w:ascii="Arial" w:hAnsi="Arial" w:cs="Arial"/>
          <w:szCs w:val="20"/>
        </w:rPr>
        <w:t>ELP</w:t>
      </w:r>
      <w:r>
        <w:rPr>
          <w:rFonts w:ascii="Arial" w:hAnsi="Arial" w:cs="Arial"/>
          <w:szCs w:val="20"/>
        </w:rPr>
        <w:tab/>
      </w:r>
      <w:r>
        <w:rPr>
          <w:rFonts w:ascii="Arial" w:hAnsi="Arial" w:cs="Arial"/>
          <w:szCs w:val="20"/>
        </w:rPr>
        <w:tab/>
      </w:r>
      <w:r w:rsidRPr="00DC5523">
        <w:rPr>
          <w:rFonts w:ascii="Arial" w:hAnsi="Arial" w:cs="Arial"/>
          <w:szCs w:val="20"/>
        </w:rPr>
        <w:t>Education and Leadership Program</w:t>
      </w:r>
    </w:p>
    <w:p w14:paraId="03CD8A78" w14:textId="5748C2F8" w:rsidR="00633FB9" w:rsidRPr="00DC5523" w:rsidRDefault="00633FB9" w:rsidP="003547A7">
      <w:pPr>
        <w:tabs>
          <w:tab w:val="left" w:pos="1134"/>
        </w:tabs>
        <w:spacing w:after="0"/>
        <w:rPr>
          <w:rFonts w:ascii="Arial" w:hAnsi="Arial" w:cs="Arial"/>
          <w:szCs w:val="20"/>
        </w:rPr>
      </w:pPr>
      <w:r w:rsidRPr="00DC5523">
        <w:rPr>
          <w:rFonts w:ascii="Arial" w:hAnsi="Arial" w:cs="Arial"/>
          <w:szCs w:val="20"/>
        </w:rPr>
        <w:t>EOIO</w:t>
      </w:r>
      <w:r>
        <w:rPr>
          <w:rFonts w:ascii="Arial" w:hAnsi="Arial" w:cs="Arial"/>
          <w:szCs w:val="20"/>
        </w:rPr>
        <w:tab/>
      </w:r>
      <w:r>
        <w:rPr>
          <w:rFonts w:ascii="Arial" w:hAnsi="Arial" w:cs="Arial"/>
          <w:szCs w:val="20"/>
        </w:rPr>
        <w:tab/>
      </w:r>
      <w:r w:rsidRPr="00DC5523">
        <w:rPr>
          <w:rFonts w:ascii="Arial" w:hAnsi="Arial" w:cs="Arial"/>
          <w:szCs w:val="20"/>
        </w:rPr>
        <w:t>End-of-Investment Outcome</w:t>
      </w:r>
    </w:p>
    <w:p w14:paraId="7F45DE67" w14:textId="3D2997C8" w:rsidR="00633FB9" w:rsidRPr="00DC5523" w:rsidRDefault="00633FB9" w:rsidP="003547A7">
      <w:pPr>
        <w:tabs>
          <w:tab w:val="left" w:pos="1134"/>
        </w:tabs>
        <w:spacing w:after="0"/>
        <w:rPr>
          <w:rFonts w:ascii="Arial" w:hAnsi="Arial" w:cs="Arial"/>
          <w:szCs w:val="20"/>
        </w:rPr>
      </w:pPr>
      <w:r w:rsidRPr="00DC5523">
        <w:rPr>
          <w:rFonts w:ascii="Arial" w:hAnsi="Arial" w:cs="Arial"/>
          <w:szCs w:val="20"/>
        </w:rPr>
        <w:t>FIMR</w:t>
      </w:r>
      <w:r>
        <w:rPr>
          <w:rFonts w:ascii="Arial" w:hAnsi="Arial" w:cs="Arial"/>
          <w:szCs w:val="20"/>
        </w:rPr>
        <w:tab/>
      </w:r>
      <w:r>
        <w:rPr>
          <w:rFonts w:ascii="Arial" w:hAnsi="Arial" w:cs="Arial"/>
          <w:szCs w:val="20"/>
        </w:rPr>
        <w:tab/>
      </w:r>
      <w:r w:rsidRPr="00DC5523">
        <w:rPr>
          <w:rFonts w:ascii="Arial" w:hAnsi="Arial" w:cs="Arial"/>
          <w:szCs w:val="20"/>
        </w:rPr>
        <w:t>Final Independent Monitoring Report</w:t>
      </w:r>
    </w:p>
    <w:p w14:paraId="36721A31" w14:textId="77777777" w:rsidR="00633FB9" w:rsidRPr="00DC5523" w:rsidRDefault="00633FB9" w:rsidP="003547A7">
      <w:pPr>
        <w:tabs>
          <w:tab w:val="left" w:pos="1134"/>
        </w:tabs>
        <w:spacing w:after="0"/>
        <w:rPr>
          <w:rFonts w:ascii="Arial" w:hAnsi="Arial" w:cs="Arial"/>
          <w:szCs w:val="20"/>
        </w:rPr>
      </w:pPr>
      <w:r w:rsidRPr="00DC5523">
        <w:rPr>
          <w:rFonts w:ascii="Arial" w:hAnsi="Arial" w:cs="Arial"/>
          <w:szCs w:val="20"/>
        </w:rPr>
        <w:t>GEDSI</w:t>
      </w:r>
      <w:r>
        <w:rPr>
          <w:rFonts w:ascii="Arial" w:hAnsi="Arial" w:cs="Arial"/>
          <w:szCs w:val="20"/>
        </w:rPr>
        <w:tab/>
      </w:r>
      <w:r>
        <w:rPr>
          <w:rFonts w:ascii="Arial" w:hAnsi="Arial" w:cs="Arial"/>
          <w:szCs w:val="20"/>
        </w:rPr>
        <w:tab/>
      </w:r>
      <w:r w:rsidRPr="00DC5523">
        <w:rPr>
          <w:rFonts w:ascii="Arial" w:hAnsi="Arial" w:cs="Arial"/>
          <w:szCs w:val="20"/>
        </w:rPr>
        <w:t>Gender Equality, Disability and Social Inclusion</w:t>
      </w:r>
    </w:p>
    <w:p w14:paraId="52639E8B" w14:textId="77777777" w:rsidR="00633FB9" w:rsidRPr="00DC5523" w:rsidRDefault="00633FB9" w:rsidP="003547A7">
      <w:pPr>
        <w:tabs>
          <w:tab w:val="left" w:pos="1134"/>
        </w:tabs>
        <w:spacing w:after="0"/>
        <w:rPr>
          <w:rFonts w:ascii="Arial" w:hAnsi="Arial" w:cs="Arial"/>
          <w:szCs w:val="20"/>
        </w:rPr>
      </w:pPr>
      <w:proofErr w:type="spellStart"/>
      <w:r w:rsidRPr="00DC5523">
        <w:rPr>
          <w:rFonts w:ascii="Arial" w:hAnsi="Arial" w:cs="Arial"/>
          <w:szCs w:val="20"/>
        </w:rPr>
        <w:t>GoPNG</w:t>
      </w:r>
      <w:proofErr w:type="spellEnd"/>
      <w:r>
        <w:rPr>
          <w:rFonts w:ascii="Arial" w:hAnsi="Arial" w:cs="Arial"/>
          <w:szCs w:val="20"/>
        </w:rPr>
        <w:tab/>
      </w:r>
      <w:r>
        <w:rPr>
          <w:rFonts w:ascii="Arial" w:hAnsi="Arial" w:cs="Arial"/>
          <w:szCs w:val="20"/>
        </w:rPr>
        <w:tab/>
      </w:r>
      <w:r w:rsidRPr="00DC5523">
        <w:rPr>
          <w:rFonts w:ascii="Arial" w:hAnsi="Arial" w:cs="Arial"/>
          <w:szCs w:val="20"/>
        </w:rPr>
        <w:t>Government of Papua New Guinea</w:t>
      </w:r>
    </w:p>
    <w:p w14:paraId="52C6250B" w14:textId="77777777" w:rsidR="00633FB9" w:rsidRPr="00DC5523" w:rsidRDefault="00633FB9" w:rsidP="003547A7">
      <w:pPr>
        <w:tabs>
          <w:tab w:val="left" w:pos="1134"/>
        </w:tabs>
        <w:spacing w:after="0"/>
        <w:rPr>
          <w:rFonts w:ascii="Arial" w:hAnsi="Arial" w:cs="Arial"/>
          <w:szCs w:val="20"/>
        </w:rPr>
      </w:pPr>
      <w:r w:rsidRPr="00DC5523">
        <w:rPr>
          <w:rFonts w:ascii="Arial" w:hAnsi="Arial" w:cs="Arial"/>
          <w:szCs w:val="20"/>
        </w:rPr>
        <w:t>HDMES</w:t>
      </w:r>
      <w:r>
        <w:rPr>
          <w:rFonts w:ascii="Arial" w:hAnsi="Arial" w:cs="Arial"/>
          <w:szCs w:val="20"/>
        </w:rPr>
        <w:tab/>
      </w:r>
      <w:r>
        <w:rPr>
          <w:rFonts w:ascii="Arial" w:hAnsi="Arial" w:cs="Arial"/>
          <w:szCs w:val="20"/>
        </w:rPr>
        <w:tab/>
      </w:r>
      <w:r w:rsidRPr="00DC5523">
        <w:rPr>
          <w:rFonts w:ascii="Arial" w:hAnsi="Arial" w:cs="Arial"/>
          <w:szCs w:val="20"/>
        </w:rPr>
        <w:t>Human Development Monitoring and Evaluation Services</w:t>
      </w:r>
    </w:p>
    <w:p w14:paraId="1687FC14" w14:textId="3F614FD1" w:rsidR="00633FB9" w:rsidRPr="00DC5523" w:rsidRDefault="00633FB9" w:rsidP="003547A7">
      <w:pPr>
        <w:tabs>
          <w:tab w:val="left" w:pos="1134"/>
        </w:tabs>
        <w:spacing w:after="0"/>
        <w:rPr>
          <w:rFonts w:ascii="Arial" w:hAnsi="Arial" w:cs="Arial"/>
          <w:szCs w:val="20"/>
        </w:rPr>
      </w:pPr>
      <w:r w:rsidRPr="00DC5523">
        <w:rPr>
          <w:rFonts w:ascii="Arial" w:hAnsi="Arial" w:cs="Arial"/>
          <w:szCs w:val="20"/>
        </w:rPr>
        <w:t>HSIP</w:t>
      </w:r>
      <w:r>
        <w:rPr>
          <w:rFonts w:ascii="Arial" w:hAnsi="Arial" w:cs="Arial"/>
          <w:szCs w:val="20"/>
        </w:rPr>
        <w:t xml:space="preserve"> </w:t>
      </w:r>
      <w:r>
        <w:rPr>
          <w:rFonts w:ascii="Arial" w:hAnsi="Arial" w:cs="Arial"/>
          <w:szCs w:val="20"/>
        </w:rPr>
        <w:tab/>
      </w:r>
      <w:r>
        <w:rPr>
          <w:rFonts w:ascii="Arial" w:hAnsi="Arial" w:cs="Arial"/>
          <w:szCs w:val="20"/>
        </w:rPr>
        <w:tab/>
      </w:r>
      <w:r w:rsidRPr="00DC5523">
        <w:rPr>
          <w:rFonts w:ascii="Arial" w:hAnsi="Arial" w:cs="Arial"/>
          <w:szCs w:val="20"/>
        </w:rPr>
        <w:t>Health Sector Improvement Program</w:t>
      </w:r>
    </w:p>
    <w:p w14:paraId="79DE4003" w14:textId="77777777" w:rsidR="00633FB9" w:rsidRPr="00DC5523" w:rsidRDefault="00633FB9" w:rsidP="003547A7">
      <w:pPr>
        <w:tabs>
          <w:tab w:val="left" w:pos="1134"/>
        </w:tabs>
        <w:spacing w:after="0"/>
        <w:rPr>
          <w:rFonts w:ascii="Arial" w:hAnsi="Arial" w:cs="Arial"/>
          <w:szCs w:val="20"/>
        </w:rPr>
      </w:pPr>
      <w:r w:rsidRPr="00DC5523">
        <w:rPr>
          <w:rFonts w:ascii="Arial" w:hAnsi="Arial" w:cs="Arial"/>
          <w:szCs w:val="20"/>
        </w:rPr>
        <w:t>HSSDP</w:t>
      </w:r>
      <w:r>
        <w:rPr>
          <w:rFonts w:ascii="Arial" w:hAnsi="Arial" w:cs="Arial"/>
          <w:szCs w:val="20"/>
        </w:rPr>
        <w:tab/>
      </w:r>
      <w:r>
        <w:rPr>
          <w:rFonts w:ascii="Arial" w:hAnsi="Arial" w:cs="Arial"/>
          <w:szCs w:val="20"/>
        </w:rPr>
        <w:tab/>
      </w:r>
      <w:r w:rsidRPr="00DC5523">
        <w:rPr>
          <w:rFonts w:ascii="Arial" w:hAnsi="Arial" w:cs="Arial"/>
          <w:szCs w:val="20"/>
        </w:rPr>
        <w:t>Health Systems Strengthening and Delivery Program</w:t>
      </w:r>
    </w:p>
    <w:p w14:paraId="5E4AAE7F" w14:textId="204B7671" w:rsidR="00633FB9" w:rsidRPr="00DC5523" w:rsidRDefault="00633FB9" w:rsidP="003547A7">
      <w:pPr>
        <w:tabs>
          <w:tab w:val="left" w:pos="1134"/>
        </w:tabs>
        <w:spacing w:after="0"/>
        <w:rPr>
          <w:rFonts w:ascii="Arial" w:hAnsi="Arial" w:cs="Arial"/>
          <w:szCs w:val="20"/>
        </w:rPr>
      </w:pPr>
      <w:r w:rsidRPr="00DC5523">
        <w:rPr>
          <w:rFonts w:ascii="Arial" w:hAnsi="Arial" w:cs="Arial"/>
          <w:szCs w:val="20"/>
        </w:rPr>
        <w:t>IMR</w:t>
      </w:r>
      <w:r>
        <w:rPr>
          <w:rFonts w:ascii="Arial" w:hAnsi="Arial" w:cs="Arial"/>
          <w:szCs w:val="20"/>
        </w:rPr>
        <w:tab/>
      </w:r>
      <w:r>
        <w:rPr>
          <w:rFonts w:ascii="Arial" w:hAnsi="Arial" w:cs="Arial"/>
          <w:szCs w:val="20"/>
        </w:rPr>
        <w:tab/>
      </w:r>
      <w:r w:rsidRPr="00DC5523">
        <w:rPr>
          <w:rFonts w:ascii="Arial" w:hAnsi="Arial" w:cs="Arial"/>
          <w:szCs w:val="20"/>
        </w:rPr>
        <w:t>Independent Monitoring Report</w:t>
      </w:r>
    </w:p>
    <w:p w14:paraId="72151E44" w14:textId="3054C2A3" w:rsidR="00633FB9" w:rsidRPr="00DC5523" w:rsidRDefault="00633FB9" w:rsidP="003547A7">
      <w:pPr>
        <w:tabs>
          <w:tab w:val="left" w:pos="1134"/>
        </w:tabs>
        <w:spacing w:after="0"/>
        <w:rPr>
          <w:rFonts w:ascii="Arial" w:hAnsi="Arial" w:cs="Arial"/>
          <w:szCs w:val="20"/>
        </w:rPr>
      </w:pPr>
      <w:r w:rsidRPr="00DC5523">
        <w:rPr>
          <w:rFonts w:ascii="Arial" w:hAnsi="Arial" w:cs="Arial"/>
          <w:szCs w:val="20"/>
        </w:rPr>
        <w:t>IP</w:t>
      </w:r>
      <w:r>
        <w:rPr>
          <w:rFonts w:ascii="Arial" w:hAnsi="Arial" w:cs="Arial"/>
          <w:szCs w:val="20"/>
        </w:rPr>
        <w:tab/>
      </w:r>
      <w:r>
        <w:rPr>
          <w:rFonts w:ascii="Arial" w:hAnsi="Arial" w:cs="Arial"/>
          <w:szCs w:val="20"/>
        </w:rPr>
        <w:tab/>
      </w:r>
      <w:r w:rsidRPr="00DC5523">
        <w:rPr>
          <w:rFonts w:ascii="Arial" w:hAnsi="Arial" w:cs="Arial"/>
          <w:szCs w:val="20"/>
        </w:rPr>
        <w:t>Implementing Partner</w:t>
      </w:r>
    </w:p>
    <w:p w14:paraId="2F3718A1" w14:textId="257B0471" w:rsidR="00633FB9" w:rsidRPr="00DC5523" w:rsidRDefault="00633FB9" w:rsidP="003547A7">
      <w:pPr>
        <w:tabs>
          <w:tab w:val="left" w:pos="1134"/>
        </w:tabs>
        <w:spacing w:after="0"/>
        <w:rPr>
          <w:rFonts w:ascii="Arial" w:hAnsi="Arial" w:cs="Arial"/>
          <w:szCs w:val="20"/>
        </w:rPr>
      </w:pPr>
      <w:r w:rsidRPr="00DC5523">
        <w:rPr>
          <w:rFonts w:ascii="Arial" w:hAnsi="Arial" w:cs="Arial"/>
          <w:szCs w:val="20"/>
        </w:rPr>
        <w:t>M&amp;E</w:t>
      </w:r>
      <w:r>
        <w:rPr>
          <w:rFonts w:ascii="Arial" w:hAnsi="Arial" w:cs="Arial"/>
          <w:szCs w:val="20"/>
        </w:rPr>
        <w:t xml:space="preserve"> </w:t>
      </w:r>
      <w:r>
        <w:rPr>
          <w:rFonts w:ascii="Arial" w:hAnsi="Arial" w:cs="Arial"/>
          <w:szCs w:val="20"/>
        </w:rPr>
        <w:tab/>
      </w:r>
      <w:r>
        <w:rPr>
          <w:rFonts w:ascii="Arial" w:hAnsi="Arial" w:cs="Arial"/>
          <w:szCs w:val="20"/>
        </w:rPr>
        <w:tab/>
      </w:r>
      <w:r w:rsidRPr="00DC5523">
        <w:rPr>
          <w:rFonts w:ascii="Arial" w:hAnsi="Arial" w:cs="Arial"/>
          <w:szCs w:val="20"/>
        </w:rPr>
        <w:t>Monitoring and Evaluation</w:t>
      </w:r>
    </w:p>
    <w:p w14:paraId="6FB8B120" w14:textId="6AF8599A" w:rsidR="00633FB9" w:rsidRPr="00DC5523" w:rsidRDefault="00633FB9" w:rsidP="003547A7">
      <w:pPr>
        <w:tabs>
          <w:tab w:val="left" w:pos="1134"/>
        </w:tabs>
        <w:spacing w:after="0"/>
        <w:rPr>
          <w:rFonts w:ascii="Arial" w:hAnsi="Arial" w:cs="Arial"/>
          <w:szCs w:val="20"/>
        </w:rPr>
      </w:pPr>
      <w:r w:rsidRPr="00DC5523">
        <w:rPr>
          <w:rFonts w:ascii="Arial" w:hAnsi="Arial" w:cs="Arial"/>
          <w:szCs w:val="20"/>
        </w:rPr>
        <w:t>MEL</w:t>
      </w:r>
      <w:r>
        <w:rPr>
          <w:rFonts w:ascii="Arial" w:hAnsi="Arial" w:cs="Arial"/>
          <w:szCs w:val="20"/>
        </w:rPr>
        <w:tab/>
      </w:r>
      <w:r>
        <w:rPr>
          <w:rFonts w:ascii="Arial" w:hAnsi="Arial" w:cs="Arial"/>
          <w:szCs w:val="20"/>
        </w:rPr>
        <w:tab/>
      </w:r>
      <w:r w:rsidRPr="00DC5523">
        <w:rPr>
          <w:rFonts w:ascii="Arial" w:hAnsi="Arial" w:cs="Arial"/>
          <w:szCs w:val="20"/>
        </w:rPr>
        <w:t>Monitoring, Evaluation, and Learning</w:t>
      </w:r>
    </w:p>
    <w:p w14:paraId="1B701442" w14:textId="4B61207B" w:rsidR="00633FB9" w:rsidRPr="00DC5523" w:rsidRDefault="00633FB9" w:rsidP="003547A7">
      <w:pPr>
        <w:tabs>
          <w:tab w:val="left" w:pos="1134"/>
        </w:tabs>
        <w:spacing w:after="0"/>
        <w:rPr>
          <w:rFonts w:ascii="Arial" w:hAnsi="Arial" w:cs="Arial"/>
          <w:szCs w:val="20"/>
        </w:rPr>
      </w:pPr>
      <w:r w:rsidRPr="00DC5523">
        <w:rPr>
          <w:rFonts w:ascii="Arial" w:hAnsi="Arial" w:cs="Arial"/>
          <w:szCs w:val="20"/>
        </w:rPr>
        <w:t>MEF</w:t>
      </w:r>
      <w:r>
        <w:rPr>
          <w:rFonts w:ascii="Arial" w:hAnsi="Arial" w:cs="Arial"/>
          <w:szCs w:val="20"/>
        </w:rPr>
        <w:tab/>
      </w:r>
      <w:r>
        <w:rPr>
          <w:rFonts w:ascii="Arial" w:hAnsi="Arial" w:cs="Arial"/>
          <w:szCs w:val="20"/>
        </w:rPr>
        <w:tab/>
      </w:r>
      <w:r w:rsidRPr="00DC5523">
        <w:rPr>
          <w:rFonts w:ascii="Arial" w:hAnsi="Arial" w:cs="Arial"/>
          <w:szCs w:val="20"/>
        </w:rPr>
        <w:t>Monitoring and Evaluation Framework</w:t>
      </w:r>
    </w:p>
    <w:p w14:paraId="35C5F6BA" w14:textId="323CCC66" w:rsidR="00633FB9" w:rsidRPr="00DC5523" w:rsidRDefault="00633FB9" w:rsidP="003547A7">
      <w:pPr>
        <w:tabs>
          <w:tab w:val="left" w:pos="1134"/>
        </w:tabs>
        <w:spacing w:after="0"/>
        <w:rPr>
          <w:rFonts w:ascii="Arial" w:hAnsi="Arial" w:cs="Arial"/>
          <w:szCs w:val="20"/>
        </w:rPr>
      </w:pPr>
      <w:r w:rsidRPr="00DC5523">
        <w:rPr>
          <w:rFonts w:ascii="Arial" w:hAnsi="Arial" w:cs="Arial"/>
          <w:szCs w:val="20"/>
        </w:rPr>
        <w:t>MTR</w:t>
      </w:r>
      <w:r>
        <w:rPr>
          <w:rFonts w:ascii="Arial" w:hAnsi="Arial" w:cs="Arial"/>
          <w:szCs w:val="20"/>
        </w:rPr>
        <w:tab/>
      </w:r>
      <w:r>
        <w:rPr>
          <w:rFonts w:ascii="Arial" w:hAnsi="Arial" w:cs="Arial"/>
          <w:szCs w:val="20"/>
        </w:rPr>
        <w:tab/>
      </w:r>
      <w:r w:rsidRPr="00DC5523">
        <w:rPr>
          <w:rFonts w:ascii="Arial" w:hAnsi="Arial" w:cs="Arial"/>
          <w:szCs w:val="20"/>
        </w:rPr>
        <w:t>Mid-Term Review</w:t>
      </w:r>
    </w:p>
    <w:p w14:paraId="069713BE" w14:textId="46D108B5" w:rsidR="00633FB9" w:rsidRPr="00DC5523" w:rsidRDefault="00633FB9" w:rsidP="003547A7">
      <w:pPr>
        <w:tabs>
          <w:tab w:val="left" w:pos="1134"/>
        </w:tabs>
        <w:spacing w:after="0"/>
        <w:rPr>
          <w:rFonts w:ascii="Arial" w:hAnsi="Arial" w:cs="Arial"/>
          <w:szCs w:val="20"/>
        </w:rPr>
      </w:pPr>
      <w:r w:rsidRPr="00DC5523">
        <w:rPr>
          <w:rFonts w:ascii="Arial" w:hAnsi="Arial" w:cs="Arial"/>
          <w:szCs w:val="20"/>
        </w:rPr>
        <w:t>OPD</w:t>
      </w:r>
      <w:r>
        <w:rPr>
          <w:rFonts w:ascii="Arial" w:hAnsi="Arial" w:cs="Arial"/>
          <w:szCs w:val="20"/>
        </w:rPr>
        <w:tab/>
      </w:r>
      <w:r>
        <w:rPr>
          <w:rFonts w:ascii="Arial" w:hAnsi="Arial" w:cs="Arial"/>
          <w:szCs w:val="20"/>
        </w:rPr>
        <w:tab/>
        <w:t>O</w:t>
      </w:r>
      <w:r w:rsidRPr="00DC5523">
        <w:rPr>
          <w:rFonts w:ascii="Arial" w:hAnsi="Arial" w:cs="Arial"/>
          <w:szCs w:val="20"/>
        </w:rPr>
        <w:t>rganisation of Persons with Disabilities</w:t>
      </w:r>
    </w:p>
    <w:p w14:paraId="6CDD0F27" w14:textId="61A8E095" w:rsidR="00633FB9" w:rsidRPr="00DC5523" w:rsidRDefault="00633FB9" w:rsidP="003547A7">
      <w:pPr>
        <w:tabs>
          <w:tab w:val="left" w:pos="1134"/>
        </w:tabs>
        <w:spacing w:after="0"/>
        <w:rPr>
          <w:rFonts w:ascii="Arial" w:hAnsi="Arial" w:cs="Arial"/>
        </w:rPr>
      </w:pPr>
      <w:r w:rsidRPr="5F722619">
        <w:rPr>
          <w:rFonts w:ascii="Arial" w:hAnsi="Arial" w:cs="Arial"/>
        </w:rPr>
        <w:t>PATH</w:t>
      </w:r>
      <w:r>
        <w:rPr>
          <w:rFonts w:ascii="Arial" w:hAnsi="Arial" w:cs="Arial"/>
        </w:rPr>
        <w:tab/>
      </w:r>
      <w:r>
        <w:rPr>
          <w:rFonts w:ascii="Arial" w:hAnsi="Arial" w:cs="Arial"/>
        </w:rPr>
        <w:tab/>
      </w:r>
      <w:r w:rsidRPr="5F722619">
        <w:rPr>
          <w:rFonts w:ascii="Arial" w:hAnsi="Arial" w:cs="Arial"/>
        </w:rPr>
        <w:t>PNG-Australia Transition to Health</w:t>
      </w:r>
    </w:p>
    <w:p w14:paraId="779B2EAB" w14:textId="4CFE3333" w:rsidR="00633FB9" w:rsidRPr="00DC5523" w:rsidRDefault="00633FB9" w:rsidP="003547A7">
      <w:pPr>
        <w:tabs>
          <w:tab w:val="left" w:pos="1134"/>
        </w:tabs>
        <w:spacing w:after="0"/>
        <w:rPr>
          <w:rFonts w:ascii="Arial" w:hAnsi="Arial" w:cs="Arial"/>
          <w:szCs w:val="20"/>
        </w:rPr>
      </w:pPr>
      <w:r w:rsidRPr="00DC5523">
        <w:rPr>
          <w:rFonts w:ascii="Arial" w:hAnsi="Arial" w:cs="Arial"/>
          <w:szCs w:val="20"/>
        </w:rPr>
        <w:t>PIE</w:t>
      </w:r>
      <w:r>
        <w:rPr>
          <w:rFonts w:ascii="Arial" w:hAnsi="Arial" w:cs="Arial"/>
          <w:szCs w:val="20"/>
        </w:rPr>
        <w:tab/>
      </w:r>
      <w:r>
        <w:rPr>
          <w:rFonts w:ascii="Arial" w:hAnsi="Arial" w:cs="Arial"/>
          <w:szCs w:val="20"/>
        </w:rPr>
        <w:tab/>
      </w:r>
      <w:r w:rsidRPr="00DC5523">
        <w:rPr>
          <w:rFonts w:ascii="Arial" w:hAnsi="Arial" w:cs="Arial"/>
          <w:szCs w:val="20"/>
        </w:rPr>
        <w:t>Partnership for Improving Education</w:t>
      </w:r>
    </w:p>
    <w:p w14:paraId="175A5EB8" w14:textId="37CDA43B" w:rsidR="00633FB9" w:rsidRPr="00DC5523" w:rsidRDefault="00633FB9" w:rsidP="003547A7">
      <w:pPr>
        <w:tabs>
          <w:tab w:val="left" w:pos="1134"/>
        </w:tabs>
        <w:spacing w:after="0"/>
        <w:rPr>
          <w:rFonts w:ascii="Arial" w:hAnsi="Arial" w:cs="Arial"/>
          <w:szCs w:val="20"/>
        </w:rPr>
      </w:pPr>
      <w:r w:rsidRPr="00DC5523">
        <w:rPr>
          <w:rFonts w:ascii="Arial" w:hAnsi="Arial" w:cs="Arial"/>
          <w:szCs w:val="20"/>
        </w:rPr>
        <w:t>PNG</w:t>
      </w:r>
      <w:r>
        <w:rPr>
          <w:rFonts w:ascii="Arial" w:hAnsi="Arial" w:cs="Arial"/>
          <w:szCs w:val="20"/>
        </w:rPr>
        <w:tab/>
      </w:r>
      <w:r>
        <w:rPr>
          <w:rFonts w:ascii="Arial" w:hAnsi="Arial" w:cs="Arial"/>
          <w:szCs w:val="20"/>
        </w:rPr>
        <w:tab/>
      </w:r>
      <w:r w:rsidRPr="00DC5523">
        <w:rPr>
          <w:rFonts w:ascii="Arial" w:hAnsi="Arial" w:cs="Arial"/>
          <w:szCs w:val="20"/>
        </w:rPr>
        <w:t>Papua New Guinea</w:t>
      </w:r>
    </w:p>
    <w:p w14:paraId="00F0716B" w14:textId="77777777" w:rsidR="00633FB9" w:rsidRPr="00DC5523" w:rsidRDefault="00633FB9" w:rsidP="003547A7">
      <w:pPr>
        <w:tabs>
          <w:tab w:val="left" w:pos="1134"/>
        </w:tabs>
        <w:spacing w:after="0"/>
        <w:rPr>
          <w:rFonts w:ascii="Arial" w:hAnsi="Arial" w:cs="Arial"/>
          <w:szCs w:val="20"/>
        </w:rPr>
      </w:pPr>
      <w:r w:rsidRPr="00DC5523">
        <w:rPr>
          <w:rFonts w:ascii="Arial" w:hAnsi="Arial" w:cs="Arial"/>
          <w:szCs w:val="20"/>
        </w:rPr>
        <w:t>PSEAH</w:t>
      </w:r>
      <w:r>
        <w:rPr>
          <w:rFonts w:ascii="Arial" w:hAnsi="Arial" w:cs="Arial"/>
          <w:szCs w:val="20"/>
        </w:rPr>
        <w:tab/>
      </w:r>
      <w:r>
        <w:rPr>
          <w:rFonts w:ascii="Arial" w:hAnsi="Arial" w:cs="Arial"/>
          <w:szCs w:val="20"/>
        </w:rPr>
        <w:tab/>
      </w:r>
      <w:r w:rsidRPr="00DC5523">
        <w:rPr>
          <w:rFonts w:ascii="Arial" w:hAnsi="Arial" w:cs="Arial"/>
          <w:szCs w:val="20"/>
        </w:rPr>
        <w:t>Preventing Sexual Exploitation, Abuse and Harassment</w:t>
      </w:r>
    </w:p>
    <w:p w14:paraId="233BCEAB" w14:textId="4AD715C6" w:rsidR="00633FB9" w:rsidRPr="00DC5523" w:rsidRDefault="00633FB9" w:rsidP="003547A7">
      <w:pPr>
        <w:tabs>
          <w:tab w:val="left" w:pos="1134"/>
        </w:tabs>
        <w:spacing w:after="0"/>
        <w:rPr>
          <w:rFonts w:ascii="Arial" w:hAnsi="Arial" w:cs="Arial"/>
          <w:szCs w:val="20"/>
        </w:rPr>
      </w:pPr>
      <w:r w:rsidRPr="00DC5523">
        <w:rPr>
          <w:rFonts w:ascii="Arial" w:hAnsi="Arial" w:cs="Arial"/>
          <w:szCs w:val="20"/>
        </w:rPr>
        <w:t>QA</w:t>
      </w:r>
      <w:r>
        <w:rPr>
          <w:rFonts w:ascii="Arial" w:hAnsi="Arial" w:cs="Arial"/>
          <w:szCs w:val="20"/>
        </w:rPr>
        <w:tab/>
      </w:r>
      <w:r>
        <w:rPr>
          <w:rFonts w:ascii="Arial" w:hAnsi="Arial" w:cs="Arial"/>
          <w:szCs w:val="20"/>
        </w:rPr>
        <w:tab/>
      </w:r>
      <w:r w:rsidRPr="00DC5523">
        <w:rPr>
          <w:rFonts w:ascii="Arial" w:hAnsi="Arial" w:cs="Arial"/>
          <w:szCs w:val="20"/>
        </w:rPr>
        <w:t>Quality Assurance</w:t>
      </w:r>
    </w:p>
    <w:p w14:paraId="487443D3" w14:textId="76EC0A2E" w:rsidR="00633FB9" w:rsidRPr="00DC5523" w:rsidRDefault="00633FB9" w:rsidP="003547A7">
      <w:pPr>
        <w:tabs>
          <w:tab w:val="left" w:pos="1134"/>
        </w:tabs>
        <w:spacing w:after="0"/>
        <w:rPr>
          <w:rFonts w:ascii="Arial" w:hAnsi="Arial" w:cs="Arial"/>
          <w:szCs w:val="20"/>
        </w:rPr>
      </w:pPr>
      <w:r w:rsidRPr="00DC5523">
        <w:rPr>
          <w:rFonts w:ascii="Arial" w:hAnsi="Arial" w:cs="Arial"/>
          <w:szCs w:val="20"/>
        </w:rPr>
        <w:t>STA</w:t>
      </w:r>
      <w:r>
        <w:rPr>
          <w:rFonts w:ascii="Arial" w:hAnsi="Arial" w:cs="Arial"/>
          <w:szCs w:val="20"/>
        </w:rPr>
        <w:tab/>
      </w:r>
      <w:r>
        <w:rPr>
          <w:rFonts w:ascii="Arial" w:hAnsi="Arial" w:cs="Arial"/>
          <w:szCs w:val="20"/>
        </w:rPr>
        <w:tab/>
        <w:t>S</w:t>
      </w:r>
      <w:r w:rsidRPr="00DC5523">
        <w:rPr>
          <w:rFonts w:ascii="Arial" w:hAnsi="Arial" w:cs="Arial"/>
          <w:szCs w:val="20"/>
        </w:rPr>
        <w:t>hort-Term Adviser</w:t>
      </w:r>
    </w:p>
    <w:p w14:paraId="47E42CD8" w14:textId="30FCF915" w:rsidR="00633FB9" w:rsidRDefault="00633FB9" w:rsidP="003547A7">
      <w:pPr>
        <w:tabs>
          <w:tab w:val="left" w:pos="1134"/>
        </w:tabs>
        <w:spacing w:after="0"/>
      </w:pPr>
      <w:r w:rsidRPr="00DC5523">
        <w:rPr>
          <w:rFonts w:ascii="Arial" w:hAnsi="Arial" w:cs="Arial"/>
          <w:szCs w:val="20"/>
        </w:rPr>
        <w:t>TVET</w:t>
      </w:r>
      <w:r>
        <w:rPr>
          <w:rFonts w:ascii="Arial" w:hAnsi="Arial" w:cs="Arial"/>
          <w:szCs w:val="20"/>
        </w:rPr>
        <w:tab/>
      </w:r>
      <w:r>
        <w:rPr>
          <w:rFonts w:ascii="Arial" w:hAnsi="Arial" w:cs="Arial"/>
          <w:szCs w:val="20"/>
        </w:rPr>
        <w:tab/>
      </w:r>
      <w:r w:rsidRPr="00DC5523">
        <w:rPr>
          <w:rFonts w:ascii="Arial" w:hAnsi="Arial" w:cs="Arial"/>
          <w:szCs w:val="20"/>
        </w:rPr>
        <w:t>Technical and Vocational Education and Training</w:t>
      </w:r>
    </w:p>
    <w:p w14:paraId="732A44D2" w14:textId="77777777" w:rsidR="00794E11" w:rsidRDefault="00794E11">
      <w:pPr>
        <w:spacing w:after="0" w:line="240" w:lineRule="auto"/>
      </w:pPr>
    </w:p>
    <w:p w14:paraId="675FCE77" w14:textId="77777777" w:rsidR="00794E11" w:rsidRDefault="00794E11" w:rsidP="00794E11">
      <w:pPr>
        <w:pStyle w:val="Heading1"/>
        <w:spacing w:before="0" w:after="120" w:line="274" w:lineRule="auto"/>
        <w:sectPr w:rsidR="00794E11" w:rsidSect="00794E11">
          <w:pgSz w:w="11906" w:h="16838"/>
          <w:pgMar w:top="1440" w:right="1440" w:bottom="1440" w:left="1440" w:header="708" w:footer="708" w:gutter="0"/>
          <w:cols w:space="708"/>
          <w:docGrid w:linePitch="360"/>
        </w:sectPr>
      </w:pPr>
    </w:p>
    <w:p w14:paraId="0C4F7AF2" w14:textId="77777777" w:rsidR="00794E11" w:rsidRDefault="00794E11" w:rsidP="00794E11">
      <w:pPr>
        <w:pStyle w:val="Heading1"/>
        <w:spacing w:before="0" w:after="120" w:line="274" w:lineRule="auto"/>
      </w:pPr>
      <w:bookmarkStart w:id="4" w:name="_Toc204241417"/>
      <w:r w:rsidRPr="00873E3D">
        <w:lastRenderedPageBreak/>
        <w:t>Introduction</w:t>
      </w:r>
      <w:bookmarkEnd w:id="4"/>
    </w:p>
    <w:p w14:paraId="602C572D" w14:textId="422F5005" w:rsidR="00794E11" w:rsidRDefault="00794E11" w:rsidP="00794E11">
      <w:r>
        <w:t xml:space="preserve">The Human Development Monitoring and Evaluation Services (HDMES) was established in 2019 to provide DFAT with independent MEL support for its Health </w:t>
      </w:r>
      <w:r w:rsidR="03C22460">
        <w:t xml:space="preserve">and </w:t>
      </w:r>
      <w:r>
        <w:t xml:space="preserve">Education investments in Papua New Guinea (PNG). Projects for the Health sector make up approximately 70% of activities and budget, with the remaining 30% for Education and Leadership (E&amp;L). </w:t>
      </w:r>
    </w:p>
    <w:p w14:paraId="20193B35" w14:textId="77777777" w:rsidR="00794E11" w:rsidRDefault="00794E11" w:rsidP="00794E11">
      <w:r w:rsidRPr="677EB2AF">
        <w:t xml:space="preserve">Delivered through a partnership between Adam Smith International </w:t>
      </w:r>
      <w:r>
        <w:t xml:space="preserve">(ASI) </w:t>
      </w:r>
      <w:r w:rsidRPr="677EB2AF">
        <w:t xml:space="preserve">and Clear Horizon, HDMES operates under a demand-driven model with both in-country and remote personnel. Clear Horizon is a subcontractor to ASI, contributing technical services, particularly in </w:t>
      </w:r>
      <w:r>
        <w:t>MEL</w:t>
      </w:r>
      <w:r w:rsidRPr="677EB2AF">
        <w:t xml:space="preserve">. </w:t>
      </w:r>
      <w:r>
        <w:t>An initial governance structure included biannual</w:t>
      </w:r>
      <w:r w:rsidRPr="004703AE">
        <w:t xml:space="preserve"> </w:t>
      </w:r>
      <w:r>
        <w:t>s</w:t>
      </w:r>
      <w:r w:rsidRPr="004703AE">
        <w:t xml:space="preserve">trategic </w:t>
      </w:r>
      <w:r>
        <w:t>m</w:t>
      </w:r>
      <w:r w:rsidRPr="004703AE">
        <w:t xml:space="preserve">anagement </w:t>
      </w:r>
      <w:r>
        <w:t>m</w:t>
      </w:r>
      <w:r w:rsidRPr="004703AE">
        <w:t>eeting involving HDMES and senior DFAT staff</w:t>
      </w:r>
      <w:r>
        <w:t>, f</w:t>
      </w:r>
      <w:r w:rsidRPr="004703AE">
        <w:t xml:space="preserve">ortnightly </w:t>
      </w:r>
      <w:r>
        <w:t xml:space="preserve">operational </w:t>
      </w:r>
      <w:r w:rsidRPr="004703AE">
        <w:t>meetings</w:t>
      </w:r>
      <w:r>
        <w:t xml:space="preserve"> and joint annual work planning including planned and ad-hoc demand driven tasks. </w:t>
      </w:r>
    </w:p>
    <w:p w14:paraId="03011C47" w14:textId="192D2861" w:rsidR="00794E11" w:rsidRDefault="00794E11" w:rsidP="00794E11">
      <w:r w:rsidRPr="004703AE">
        <w:t xml:space="preserve">Initially </w:t>
      </w:r>
      <w:r>
        <w:t xml:space="preserve">designed to run between </w:t>
      </w:r>
      <w:r w:rsidRPr="004703AE">
        <w:t xml:space="preserve">July 2019 – June 2023, with a costed extension to June 2025. </w:t>
      </w:r>
      <w:r>
        <w:t>HDMES</w:t>
      </w:r>
      <w:r w:rsidRPr="677EB2AF">
        <w:t xml:space="preserve"> </w:t>
      </w:r>
      <w:r>
        <w:t>was allocated</w:t>
      </w:r>
      <w:r w:rsidRPr="677EB2AF">
        <w:t xml:space="preserve"> </w:t>
      </w:r>
      <w:r w:rsidR="00222EBF">
        <w:t>AUD</w:t>
      </w:r>
      <w:r w:rsidRPr="003D41F5">
        <w:t>14,529,12</w:t>
      </w:r>
      <w:r>
        <w:t xml:space="preserve">5 </w:t>
      </w:r>
      <w:r w:rsidRPr="677EB2AF">
        <w:t>over the 2019–2025 period</w:t>
      </w:r>
      <w:r>
        <w:t xml:space="preserve">, having expensed </w:t>
      </w:r>
      <w:r w:rsidR="00222EBF">
        <w:t>AUD</w:t>
      </w:r>
      <w:r w:rsidRPr="001D51B6">
        <w:t>12,573,987</w:t>
      </w:r>
      <w:r>
        <w:t xml:space="preserve"> representing </w:t>
      </w:r>
      <w:r w:rsidRPr="00F42D43">
        <w:t>87% of funds</w:t>
      </w:r>
      <w:r>
        <w:t xml:space="preserve"> according to the 2024 Investment Monitoring Report. </w:t>
      </w:r>
      <w:r w:rsidRPr="004703AE">
        <w:t xml:space="preserve">A further 12-month extension to June 2026 </w:t>
      </w:r>
      <w:r>
        <w:t xml:space="preserve">has been approved. </w:t>
      </w:r>
    </w:p>
    <w:p w14:paraId="5CA66FDC" w14:textId="77777777" w:rsidR="00794E11" w:rsidRDefault="00794E11" w:rsidP="00794E11">
      <w:r w:rsidRPr="005D6224">
        <w:t xml:space="preserve">HDMES does not deliver development outcomes directly but supports DFAT’s investment performance through evidence generation, evaluation, capacity building, and communications. </w:t>
      </w:r>
    </w:p>
    <w:p w14:paraId="781E413C" w14:textId="01AB7964" w:rsidR="00794E11" w:rsidRDefault="00794E11" w:rsidP="00794E11">
      <w:r w:rsidRPr="005D6224">
        <w:t xml:space="preserve">Its two End-of-Investment Outcomes (EOIOs) </w:t>
      </w:r>
      <w:r>
        <w:t>are.</w:t>
      </w:r>
    </w:p>
    <w:p w14:paraId="3BB9845F" w14:textId="77777777" w:rsidR="00794E11" w:rsidRPr="00794E11" w:rsidRDefault="00794E11" w:rsidP="00794E11">
      <w:pPr>
        <w:ind w:left="284"/>
        <w:rPr>
          <w:rFonts w:ascii="Arial" w:hAnsi="Arial" w:cs="Arial"/>
          <w:b/>
          <w:bCs/>
          <w:szCs w:val="20"/>
        </w:rPr>
      </w:pPr>
      <w:r w:rsidRPr="00794E11">
        <w:rPr>
          <w:rFonts w:ascii="Arial" w:hAnsi="Arial" w:cs="Arial"/>
          <w:b/>
          <w:bCs/>
          <w:szCs w:val="20"/>
        </w:rPr>
        <w:t>EOIO1: Australian High Commission (AHC) and implementing partners (IPs) use evidence to improve programming.  </w:t>
      </w:r>
    </w:p>
    <w:p w14:paraId="571807CD" w14:textId="77777777" w:rsidR="00794E11" w:rsidRPr="00794E11" w:rsidRDefault="00794E11" w:rsidP="00794E11">
      <w:pPr>
        <w:ind w:left="284"/>
        <w:rPr>
          <w:rFonts w:ascii="Arial" w:hAnsi="Arial" w:cs="Arial"/>
          <w:b/>
          <w:bCs/>
          <w:szCs w:val="20"/>
        </w:rPr>
      </w:pPr>
      <w:r w:rsidRPr="00794E11">
        <w:rPr>
          <w:rFonts w:ascii="Arial" w:hAnsi="Arial" w:cs="Arial"/>
          <w:b/>
          <w:bCs/>
          <w:szCs w:val="20"/>
        </w:rPr>
        <w:t>EOIO2: AHC supported to better communicate the results of Australian development assistance.    </w:t>
      </w:r>
    </w:p>
    <w:p w14:paraId="4FF034C3" w14:textId="77777777" w:rsidR="00794E11" w:rsidRPr="00376700" w:rsidRDefault="00794E11" w:rsidP="00794E11">
      <w:pPr>
        <w:rPr>
          <w:rFonts w:ascii="Arial" w:hAnsi="Arial" w:cs="Arial"/>
          <w:szCs w:val="20"/>
        </w:rPr>
      </w:pPr>
      <w:r w:rsidRPr="00E066C1">
        <w:rPr>
          <w:rFonts w:ascii="Arial" w:hAnsi="Arial" w:cs="Arial"/>
          <w:szCs w:val="20"/>
        </w:rPr>
        <w:t>HDMES has six intermediate outcomes (IOs) which together work towards achieving both program EOPOs.</w:t>
      </w:r>
    </w:p>
    <w:p w14:paraId="4D250F41" w14:textId="77777777" w:rsidR="00794E11" w:rsidRPr="00AF1D8D" w:rsidRDefault="00794E11" w:rsidP="00794E11">
      <w:pPr>
        <w:spacing w:after="0"/>
        <w:ind w:left="284"/>
        <w:rPr>
          <w:rFonts w:ascii="Arial" w:hAnsi="Arial" w:cs="Arial"/>
          <w:szCs w:val="20"/>
        </w:rPr>
      </w:pPr>
      <w:r w:rsidRPr="00AF1D8D">
        <w:rPr>
          <w:rFonts w:ascii="Arial" w:hAnsi="Arial" w:cs="Arial"/>
          <w:i/>
          <w:iCs/>
          <w:szCs w:val="20"/>
        </w:rPr>
        <w:t>IPs improve their monitoring, evaluation and learning (MEL) systems.  </w:t>
      </w:r>
      <w:r w:rsidRPr="00AF1D8D">
        <w:rPr>
          <w:rFonts w:ascii="Arial" w:hAnsi="Arial" w:cs="Arial"/>
          <w:szCs w:val="20"/>
        </w:rPr>
        <w:t> </w:t>
      </w:r>
    </w:p>
    <w:p w14:paraId="21C71877" w14:textId="77777777" w:rsidR="00794E11" w:rsidRPr="00AF1D8D" w:rsidRDefault="00794E11" w:rsidP="00794E11">
      <w:pPr>
        <w:spacing w:after="0"/>
        <w:ind w:left="284"/>
        <w:rPr>
          <w:rFonts w:ascii="Arial" w:hAnsi="Arial" w:cs="Arial"/>
          <w:szCs w:val="20"/>
        </w:rPr>
      </w:pPr>
      <w:r w:rsidRPr="00AF1D8D">
        <w:rPr>
          <w:rFonts w:ascii="Arial" w:hAnsi="Arial" w:cs="Arial"/>
          <w:i/>
          <w:iCs/>
          <w:szCs w:val="20"/>
        </w:rPr>
        <w:t>AHC and IPs are equipped with evidence to improve programming.    </w:t>
      </w:r>
      <w:r w:rsidRPr="00AF1D8D">
        <w:rPr>
          <w:rFonts w:ascii="Arial" w:hAnsi="Arial" w:cs="Arial"/>
          <w:szCs w:val="20"/>
        </w:rPr>
        <w:t> </w:t>
      </w:r>
    </w:p>
    <w:p w14:paraId="6E025DA0" w14:textId="77777777" w:rsidR="00794E11" w:rsidRPr="00AF1D8D" w:rsidRDefault="00794E11" w:rsidP="00794E11">
      <w:pPr>
        <w:spacing w:after="0"/>
        <w:ind w:left="284"/>
        <w:rPr>
          <w:rFonts w:ascii="Arial" w:hAnsi="Arial" w:cs="Arial"/>
          <w:szCs w:val="20"/>
        </w:rPr>
      </w:pPr>
      <w:r w:rsidRPr="00AF1D8D">
        <w:rPr>
          <w:rFonts w:ascii="Arial" w:hAnsi="Arial" w:cs="Arial"/>
          <w:i/>
          <w:iCs/>
          <w:szCs w:val="20"/>
        </w:rPr>
        <w:t>AHC improves portfolio reporting.   </w:t>
      </w:r>
      <w:r w:rsidRPr="00AF1D8D">
        <w:rPr>
          <w:rFonts w:ascii="Arial" w:hAnsi="Arial" w:cs="Arial"/>
          <w:szCs w:val="20"/>
        </w:rPr>
        <w:t> </w:t>
      </w:r>
    </w:p>
    <w:p w14:paraId="6BCEBF81" w14:textId="77777777" w:rsidR="00794E11" w:rsidRPr="00AF1D8D" w:rsidRDefault="00794E11" w:rsidP="00794E11">
      <w:pPr>
        <w:spacing w:after="0"/>
        <w:ind w:left="284"/>
        <w:rPr>
          <w:rFonts w:ascii="Arial" w:hAnsi="Arial" w:cs="Arial"/>
          <w:szCs w:val="20"/>
        </w:rPr>
      </w:pPr>
      <w:r w:rsidRPr="00AF1D8D">
        <w:rPr>
          <w:rFonts w:ascii="Arial" w:hAnsi="Arial" w:cs="Arial"/>
          <w:i/>
          <w:iCs/>
          <w:szCs w:val="20"/>
        </w:rPr>
        <w:t>AHC and other stakeholders have access to relevant analysis.   </w:t>
      </w:r>
      <w:r w:rsidRPr="00AF1D8D">
        <w:rPr>
          <w:rFonts w:ascii="Arial" w:hAnsi="Arial" w:cs="Arial"/>
          <w:szCs w:val="20"/>
        </w:rPr>
        <w:t> </w:t>
      </w:r>
    </w:p>
    <w:p w14:paraId="7595A5C8" w14:textId="77777777" w:rsidR="00794E11" w:rsidRPr="00AF1D8D" w:rsidRDefault="00794E11" w:rsidP="00794E11">
      <w:pPr>
        <w:spacing w:after="0"/>
        <w:ind w:left="284"/>
        <w:rPr>
          <w:rFonts w:ascii="Arial" w:hAnsi="Arial" w:cs="Arial"/>
          <w:szCs w:val="20"/>
        </w:rPr>
      </w:pPr>
      <w:r w:rsidRPr="00AF1D8D">
        <w:rPr>
          <w:rFonts w:ascii="Arial" w:hAnsi="Arial" w:cs="Arial"/>
          <w:i/>
          <w:iCs/>
          <w:szCs w:val="20"/>
        </w:rPr>
        <w:t>AHC is provided with and distributes targeted communication and knowledge products.  </w:t>
      </w:r>
      <w:r w:rsidRPr="00AF1D8D">
        <w:rPr>
          <w:rFonts w:ascii="Arial" w:hAnsi="Arial" w:cs="Arial"/>
          <w:szCs w:val="20"/>
        </w:rPr>
        <w:t> </w:t>
      </w:r>
    </w:p>
    <w:p w14:paraId="0905D57B" w14:textId="77777777" w:rsidR="00794E11" w:rsidRPr="00217794" w:rsidRDefault="00794E11" w:rsidP="00794E11">
      <w:pPr>
        <w:ind w:left="284"/>
        <w:rPr>
          <w:rFonts w:ascii="Arial" w:hAnsi="Arial" w:cs="Arial"/>
          <w:szCs w:val="20"/>
        </w:rPr>
      </w:pPr>
      <w:r w:rsidRPr="00AF1D8D">
        <w:rPr>
          <w:rFonts w:ascii="Arial" w:hAnsi="Arial" w:cs="Arial"/>
          <w:i/>
          <w:iCs/>
          <w:szCs w:val="20"/>
        </w:rPr>
        <w:t>AHC and other stakeholders have improved MEL knowledge and skills.  </w:t>
      </w:r>
      <w:r w:rsidRPr="00AF1D8D">
        <w:rPr>
          <w:rFonts w:ascii="Arial" w:hAnsi="Arial" w:cs="Arial"/>
          <w:szCs w:val="20"/>
        </w:rPr>
        <w:t> </w:t>
      </w:r>
    </w:p>
    <w:p w14:paraId="3FDB91D8" w14:textId="77777777" w:rsidR="00794E11" w:rsidRDefault="00794E11" w:rsidP="00794E11">
      <w:pPr>
        <w:rPr>
          <w:rFonts w:ascii="Arial" w:hAnsi="Arial" w:cs="Arial"/>
          <w:szCs w:val="20"/>
        </w:rPr>
      </w:pPr>
      <w:r w:rsidRPr="00DB700A">
        <w:rPr>
          <w:rFonts w:ascii="Arial" w:hAnsi="Arial" w:cs="Arial"/>
          <w:szCs w:val="20"/>
        </w:rPr>
        <w:t>Since its inception, HDMES has delivered a substantial volume of work, including evaluations, quality assurance, MEL capacity development, and communications products. Between 2019 and 2024, HDMES completed 125 Education and Leadership products and 168 Health products, with</w:t>
      </w:r>
      <w:r>
        <w:rPr>
          <w:rFonts w:ascii="Arial" w:hAnsi="Arial" w:cs="Arial"/>
          <w:szCs w:val="20"/>
        </w:rPr>
        <w:t xml:space="preserve"> 11 products cancelled. </w:t>
      </w:r>
      <w:r w:rsidRPr="00DB700A">
        <w:rPr>
          <w:rFonts w:ascii="Arial" w:hAnsi="Arial" w:cs="Arial"/>
          <w:szCs w:val="20"/>
        </w:rPr>
        <w:t>In 2025 to date, HDMES has completed 11 of 12 Health products (1 in progress) and 10 of 16 Education and Leadership products, with 6 currently in progress.</w:t>
      </w:r>
    </w:p>
    <w:p w14:paraId="6576F437" w14:textId="6597FBFB" w:rsidR="00794E11" w:rsidRDefault="00794E11" w:rsidP="00794E11">
      <w:pPr>
        <w:rPr>
          <w:rFonts w:ascii="Arial" w:hAnsi="Arial" w:cs="Arial"/>
          <w:szCs w:val="20"/>
        </w:rPr>
      </w:pPr>
      <w:r w:rsidRPr="677EB2AF">
        <w:rPr>
          <w:rFonts w:ascii="Arial" w:hAnsi="Arial" w:cs="Arial"/>
          <w:szCs w:val="20"/>
        </w:rPr>
        <w:t xml:space="preserve">While contributing to MEL improvements, the program has faced performance challenges. In 2022, HDMES received an Investment Requiring Improvement </w:t>
      </w:r>
      <w:r w:rsidR="004938BA">
        <w:rPr>
          <w:rFonts w:ascii="Arial" w:hAnsi="Arial" w:cs="Arial"/>
          <w:szCs w:val="20"/>
        </w:rPr>
        <w:t xml:space="preserve">(IRI) </w:t>
      </w:r>
      <w:r w:rsidRPr="677EB2AF">
        <w:rPr>
          <w:rFonts w:ascii="Arial" w:hAnsi="Arial" w:cs="Arial"/>
          <w:szCs w:val="20"/>
        </w:rPr>
        <w:t xml:space="preserve">rating due to poor product quality and use of external consultants lacking contextual knowledge. A remediation plan was implemented across governance, personnel, and evaluation management, with most actions completed but ongoing concerns noted. A revised program logic (2023) retained a focus on enabling evidence use and communications, while removing </w:t>
      </w:r>
      <w:r w:rsidR="001A1ADB">
        <w:rPr>
          <w:rFonts w:ascii="Arial" w:hAnsi="Arial" w:cs="Arial"/>
          <w:szCs w:val="20"/>
        </w:rPr>
        <w:t>Government of PNG (</w:t>
      </w:r>
      <w:proofErr w:type="spellStart"/>
      <w:r w:rsidRPr="677EB2AF">
        <w:rPr>
          <w:rFonts w:ascii="Arial" w:hAnsi="Arial" w:cs="Arial"/>
          <w:szCs w:val="20"/>
        </w:rPr>
        <w:t>GoPNG</w:t>
      </w:r>
      <w:proofErr w:type="spellEnd"/>
      <w:r w:rsidR="001A1ADB">
        <w:rPr>
          <w:rFonts w:ascii="Arial" w:hAnsi="Arial" w:cs="Arial"/>
          <w:szCs w:val="20"/>
        </w:rPr>
        <w:t>)</w:t>
      </w:r>
      <w:r w:rsidRPr="677EB2AF">
        <w:rPr>
          <w:rFonts w:ascii="Arial" w:hAnsi="Arial" w:cs="Arial"/>
          <w:szCs w:val="20"/>
        </w:rPr>
        <w:t xml:space="preserve"> engagement. Staffing turnover in 2024 affected continuity and product delivery, though mitigated by remote support. </w:t>
      </w:r>
    </w:p>
    <w:p w14:paraId="1F83DFA3" w14:textId="77777777" w:rsidR="00794E11" w:rsidRPr="005D6224" w:rsidRDefault="00794E11" w:rsidP="00794E11">
      <w:pPr>
        <w:rPr>
          <w:rFonts w:ascii="Arial" w:hAnsi="Arial" w:cs="Arial"/>
          <w:szCs w:val="20"/>
        </w:rPr>
      </w:pPr>
      <w:r>
        <w:rPr>
          <w:rFonts w:ascii="Arial" w:hAnsi="Arial" w:cs="Arial"/>
          <w:szCs w:val="20"/>
        </w:rPr>
        <w:lastRenderedPageBreak/>
        <w:t xml:space="preserve">The program was designed for </w:t>
      </w:r>
      <w:r w:rsidRPr="004703AE">
        <w:rPr>
          <w:rFonts w:ascii="Arial" w:hAnsi="Arial" w:cs="Arial"/>
          <w:szCs w:val="20"/>
        </w:rPr>
        <w:t>6 full-time in-country staff, including 2 international personnel (Team Leader and M&amp;E Specialist) and 4 locally engaged staff (Policy and Research Officers, Finance &amp; Admin</w:t>
      </w:r>
      <w:r w:rsidRPr="00932670">
        <w:rPr>
          <w:rFonts w:ascii="Arial" w:hAnsi="Arial" w:cs="Arial"/>
          <w:szCs w:val="20"/>
        </w:rPr>
        <w:t>). However as of June 2025, HDMES has 4 full</w:t>
      </w:r>
      <w:r>
        <w:rPr>
          <w:rFonts w:ascii="Arial" w:hAnsi="Arial" w:cs="Arial"/>
          <w:szCs w:val="20"/>
        </w:rPr>
        <w:t xml:space="preserve">-time in-country staff (Team leader, vacant; 1 </w:t>
      </w:r>
      <w:r w:rsidRPr="00866C44">
        <w:rPr>
          <w:rFonts w:ascii="Arial" w:hAnsi="Arial" w:cs="Arial"/>
          <w:szCs w:val="20"/>
        </w:rPr>
        <w:t>Policy and Research Officer</w:t>
      </w:r>
      <w:r>
        <w:rPr>
          <w:rFonts w:ascii="Arial" w:hAnsi="Arial" w:cs="Arial"/>
          <w:szCs w:val="20"/>
        </w:rPr>
        <w:t xml:space="preserve">; and 2 </w:t>
      </w:r>
      <w:r w:rsidRPr="00866C44">
        <w:rPr>
          <w:rFonts w:ascii="Arial" w:hAnsi="Arial" w:cs="Arial"/>
          <w:szCs w:val="20"/>
        </w:rPr>
        <w:t>Finance and Office Manager</w:t>
      </w:r>
      <w:r>
        <w:rPr>
          <w:rFonts w:ascii="Arial" w:hAnsi="Arial" w:cs="Arial"/>
          <w:szCs w:val="20"/>
        </w:rPr>
        <w:t xml:space="preserve">s, 1 on maternity leave). </w:t>
      </w:r>
      <w:r w:rsidRPr="00866C44">
        <w:rPr>
          <w:rFonts w:ascii="Arial" w:hAnsi="Arial" w:cs="Arial"/>
          <w:szCs w:val="20"/>
        </w:rPr>
        <w:t xml:space="preserve">Clear Horizon </w:t>
      </w:r>
      <w:r>
        <w:rPr>
          <w:rFonts w:ascii="Arial" w:hAnsi="Arial" w:cs="Arial"/>
          <w:szCs w:val="20"/>
        </w:rPr>
        <w:t xml:space="preserve">is not continuing in their role. </w:t>
      </w:r>
    </w:p>
    <w:p w14:paraId="21273B25" w14:textId="77777777" w:rsidR="00794E11" w:rsidRDefault="00794E11" w:rsidP="00794E11">
      <w:pPr>
        <w:rPr>
          <w:rFonts w:ascii="Arial" w:hAnsi="Arial" w:cs="Arial"/>
          <w:szCs w:val="20"/>
        </w:rPr>
      </w:pPr>
      <w:r w:rsidRPr="677EB2AF">
        <w:rPr>
          <w:rFonts w:ascii="Arial" w:hAnsi="Arial" w:cs="Arial"/>
          <w:szCs w:val="20"/>
        </w:rPr>
        <w:t>HDMES operates in a context of increasing expectations on aid quality amid limited MEL capacity</w:t>
      </w:r>
      <w:r>
        <w:rPr>
          <w:rFonts w:ascii="Arial" w:hAnsi="Arial" w:cs="Arial"/>
          <w:szCs w:val="20"/>
        </w:rPr>
        <w:t xml:space="preserve"> in the region</w:t>
      </w:r>
      <w:r w:rsidRPr="677EB2AF">
        <w:rPr>
          <w:rFonts w:ascii="Arial" w:hAnsi="Arial" w:cs="Arial"/>
          <w:szCs w:val="20"/>
        </w:rPr>
        <w:t>, complex program environments, and geopolitical pressures in the Pacific. Evaluations of DFAT’s PNG portfolio highlight challenges in generating reliable performance data due to weak MEL systems, lack of baselines, and limited partner engagement. This mid-term review provides an opportunity to assess HDMES’ value-add, address persistent inefficiencies, and inform future investment quality support for DFAT’s Health and E&amp;L programs in PNG.</w:t>
      </w:r>
    </w:p>
    <w:p w14:paraId="7914C67E" w14:textId="77777777" w:rsidR="00794E11" w:rsidRPr="004938BA" w:rsidRDefault="00794E11" w:rsidP="00794E11">
      <w:pPr>
        <w:pStyle w:val="Heading2"/>
        <w:rPr>
          <w:color w:val="auto"/>
        </w:rPr>
      </w:pPr>
      <w:bookmarkStart w:id="5" w:name="_Toc204241418"/>
      <w:r w:rsidRPr="004938BA">
        <w:rPr>
          <w:color w:val="auto"/>
        </w:rPr>
        <w:t>Purpose</w:t>
      </w:r>
      <w:bookmarkEnd w:id="5"/>
      <w:r w:rsidRPr="004938BA">
        <w:rPr>
          <w:color w:val="auto"/>
        </w:rPr>
        <w:t xml:space="preserve"> </w:t>
      </w:r>
    </w:p>
    <w:p w14:paraId="2D0FB7A0" w14:textId="77777777" w:rsidR="00794E11" w:rsidRPr="00EE240E" w:rsidRDefault="00794E11" w:rsidP="00794E11">
      <w:pPr>
        <w:rPr>
          <w:rFonts w:ascii="Arial" w:hAnsi="Arial" w:cs="Arial"/>
          <w:szCs w:val="20"/>
        </w:rPr>
      </w:pPr>
      <w:r w:rsidRPr="677EB2AF">
        <w:rPr>
          <w:rFonts w:ascii="Arial" w:hAnsi="Arial" w:cs="Arial"/>
          <w:szCs w:val="20"/>
        </w:rPr>
        <w:t>The purpose of the Mid Term Review is to assess the performance of HDMES (2019–2024) against its EOIOs with a focus on: </w:t>
      </w:r>
    </w:p>
    <w:p w14:paraId="4F0445AC" w14:textId="77777777" w:rsidR="00794E11" w:rsidRPr="00794E11" w:rsidRDefault="00794E11" w:rsidP="00633FB9">
      <w:pPr>
        <w:pStyle w:val="ListParagraph"/>
        <w:numPr>
          <w:ilvl w:val="0"/>
          <w:numId w:val="24"/>
        </w:numPr>
        <w:rPr>
          <w:rFonts w:ascii="Arial" w:hAnsi="Arial" w:cs="Arial"/>
          <w:szCs w:val="20"/>
        </w:rPr>
      </w:pPr>
      <w:r w:rsidRPr="00794E11">
        <w:rPr>
          <w:rFonts w:ascii="Arial" w:hAnsi="Arial" w:cs="Arial"/>
          <w:szCs w:val="20"/>
        </w:rPr>
        <w:t>Effectiveness and efficiency. This includes assessing progress toward and attainment of outputs, issues, and challenges and how they were addressed.  </w:t>
      </w:r>
    </w:p>
    <w:p w14:paraId="71F1BB70" w14:textId="77777777" w:rsidR="00794E11" w:rsidRPr="00794E11" w:rsidRDefault="00794E11" w:rsidP="00633FB9">
      <w:pPr>
        <w:pStyle w:val="ListParagraph"/>
        <w:numPr>
          <w:ilvl w:val="0"/>
          <w:numId w:val="24"/>
        </w:numPr>
        <w:rPr>
          <w:rFonts w:ascii="Arial" w:hAnsi="Arial" w:cs="Arial"/>
          <w:szCs w:val="20"/>
        </w:rPr>
      </w:pPr>
      <w:r w:rsidRPr="00794E11">
        <w:rPr>
          <w:rFonts w:ascii="Arial" w:hAnsi="Arial" w:cs="Arial"/>
          <w:szCs w:val="20"/>
        </w:rPr>
        <w:t>Strategic relevance and value-add to the Health and E&amp;L investments. </w:t>
      </w:r>
    </w:p>
    <w:p w14:paraId="61B09D5D" w14:textId="77777777" w:rsidR="00794E11" w:rsidRPr="00794E11" w:rsidRDefault="00794E11" w:rsidP="00633FB9">
      <w:pPr>
        <w:pStyle w:val="ListParagraph"/>
        <w:numPr>
          <w:ilvl w:val="0"/>
          <w:numId w:val="24"/>
        </w:numPr>
        <w:rPr>
          <w:rFonts w:ascii="Arial" w:hAnsi="Arial" w:cs="Arial"/>
          <w:szCs w:val="20"/>
        </w:rPr>
      </w:pPr>
      <w:r w:rsidRPr="00794E11">
        <w:rPr>
          <w:rFonts w:ascii="Arial" w:hAnsi="Arial" w:cs="Arial"/>
          <w:szCs w:val="20"/>
        </w:rPr>
        <w:t>GEDSI integration. </w:t>
      </w:r>
    </w:p>
    <w:p w14:paraId="4F91E55B" w14:textId="77777777" w:rsidR="00794E11" w:rsidRPr="00794E11" w:rsidRDefault="00794E11" w:rsidP="00633FB9">
      <w:pPr>
        <w:pStyle w:val="ListParagraph"/>
        <w:numPr>
          <w:ilvl w:val="0"/>
          <w:numId w:val="24"/>
        </w:numPr>
        <w:rPr>
          <w:rFonts w:ascii="Arial" w:hAnsi="Arial" w:cs="Arial"/>
          <w:szCs w:val="20"/>
        </w:rPr>
      </w:pPr>
      <w:r w:rsidRPr="00794E11">
        <w:rPr>
          <w:rFonts w:ascii="Arial" w:hAnsi="Arial" w:cs="Arial"/>
          <w:szCs w:val="20"/>
        </w:rPr>
        <w:t>Guidance for future MEL support and investment planning, both for the HDMES extension and beyond.  </w:t>
      </w:r>
    </w:p>
    <w:p w14:paraId="2B18B578" w14:textId="77777777" w:rsidR="00794E11" w:rsidRDefault="00794E11" w:rsidP="00794E11">
      <w:pPr>
        <w:rPr>
          <w:rFonts w:ascii="Arial" w:hAnsi="Arial" w:cs="Arial"/>
          <w:szCs w:val="20"/>
        </w:rPr>
      </w:pPr>
      <w:r w:rsidRPr="00154F0B">
        <w:rPr>
          <w:rFonts w:ascii="Arial" w:hAnsi="Arial" w:cs="Arial"/>
          <w:szCs w:val="20"/>
        </w:rPr>
        <w:t>This MTR covers all HDMES activities from 1 July 2019 to 31 December 2024, focusing on two EOIOs and six Intermediate Outcomes.  The review will also look at HDMES’ Contributions to DFAT’s Health and E&amp;L investments in PNG, implementation of the 2022 remediation plan, functionality of the demand-driven operating model and GEDSI integration and capacity building. </w:t>
      </w:r>
    </w:p>
    <w:p w14:paraId="23092C6C" w14:textId="44678E8E" w:rsidR="00797AD1" w:rsidRPr="00154F0B" w:rsidRDefault="00797AD1" w:rsidP="00794E11">
      <w:pPr>
        <w:rPr>
          <w:rFonts w:ascii="Arial" w:hAnsi="Arial" w:cs="Arial"/>
          <w:szCs w:val="20"/>
        </w:rPr>
      </w:pPr>
      <w:r w:rsidRPr="00797AD1">
        <w:rPr>
          <w:rFonts w:ascii="Arial" w:hAnsi="Arial" w:cs="Arial"/>
          <w:szCs w:val="20"/>
        </w:rPr>
        <w:t>In this context, "portfolio-level" refers to work or analysis that</w:t>
      </w:r>
      <w:r>
        <w:rPr>
          <w:rFonts w:ascii="Arial" w:hAnsi="Arial" w:cs="Arial"/>
          <w:szCs w:val="20"/>
        </w:rPr>
        <w:t xml:space="preserve"> can provide </w:t>
      </w:r>
      <w:r w:rsidRPr="00797AD1">
        <w:rPr>
          <w:rFonts w:ascii="Arial" w:hAnsi="Arial" w:cs="Arial"/>
          <w:szCs w:val="20"/>
        </w:rPr>
        <w:t>strategic oversight across a group of investments (e.g., all DFAT education programs in PNG), enabling cross-cutting insights, performance reflection, and coordinated planning.</w:t>
      </w:r>
      <w:r>
        <w:rPr>
          <w:rFonts w:ascii="Arial" w:hAnsi="Arial" w:cs="Arial"/>
          <w:szCs w:val="20"/>
        </w:rPr>
        <w:t xml:space="preserve"> Results that can be attributed to a specific thematic portfolio (i.e., Health) have been labelled as such (i.e., Health portfolio-level).</w:t>
      </w:r>
      <w:r w:rsidR="00540B40">
        <w:rPr>
          <w:rFonts w:ascii="Arial" w:hAnsi="Arial" w:cs="Arial"/>
          <w:szCs w:val="20"/>
        </w:rPr>
        <w:t xml:space="preserve"> None of the references to portfolio-level </w:t>
      </w:r>
      <w:r w:rsidR="007941B4">
        <w:rPr>
          <w:rFonts w:ascii="Arial" w:hAnsi="Arial" w:cs="Arial"/>
          <w:szCs w:val="20"/>
        </w:rPr>
        <w:t>outcomes refer to a combined Education/Health</w:t>
      </w:r>
      <w:r>
        <w:rPr>
          <w:rFonts w:ascii="Arial" w:hAnsi="Arial" w:cs="Arial"/>
          <w:szCs w:val="20"/>
        </w:rPr>
        <w:t xml:space="preserve"> </w:t>
      </w:r>
      <w:r w:rsidR="007941B4">
        <w:rPr>
          <w:rFonts w:ascii="Arial" w:hAnsi="Arial" w:cs="Arial"/>
          <w:szCs w:val="20"/>
        </w:rPr>
        <w:t>portfolio or AHC-wide approach</w:t>
      </w:r>
      <w:r w:rsidR="00E67F43">
        <w:rPr>
          <w:rFonts w:ascii="Arial" w:hAnsi="Arial" w:cs="Arial"/>
          <w:szCs w:val="20"/>
        </w:rPr>
        <w:t xml:space="preserve"> </w:t>
      </w:r>
      <w:r w:rsidR="007941B4">
        <w:rPr>
          <w:rFonts w:ascii="Arial" w:hAnsi="Arial" w:cs="Arial"/>
          <w:szCs w:val="20"/>
        </w:rPr>
        <w:t xml:space="preserve">unless specified. </w:t>
      </w:r>
    </w:p>
    <w:p w14:paraId="6DF6752A" w14:textId="77777777" w:rsidR="00794E11" w:rsidRPr="004938BA" w:rsidRDefault="00794E11" w:rsidP="00794E11">
      <w:pPr>
        <w:pStyle w:val="Heading2"/>
        <w:rPr>
          <w:color w:val="auto"/>
        </w:rPr>
      </w:pPr>
      <w:bookmarkStart w:id="6" w:name="_Toc204241419"/>
      <w:r w:rsidRPr="004938BA">
        <w:rPr>
          <w:color w:val="auto"/>
        </w:rPr>
        <w:t>Key Review Questions</w:t>
      </w:r>
      <w:bookmarkEnd w:id="6"/>
      <w:r w:rsidRPr="004938BA">
        <w:rPr>
          <w:color w:val="auto"/>
        </w:rPr>
        <w:t> </w:t>
      </w:r>
    </w:p>
    <w:tbl>
      <w:tblPr>
        <w:tblStyle w:val="PlainTable4"/>
        <w:tblW w:w="0" w:type="auto"/>
        <w:tblLook w:val="04A0" w:firstRow="1" w:lastRow="0" w:firstColumn="1" w:lastColumn="0" w:noHBand="0" w:noVBand="1"/>
      </w:tblPr>
      <w:tblGrid>
        <w:gridCol w:w="1462"/>
        <w:gridCol w:w="7554"/>
      </w:tblGrid>
      <w:tr w:rsidR="008D61CF" w14:paraId="40943E70" w14:textId="77777777" w:rsidTr="009A2CE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62" w:type="dxa"/>
          </w:tcPr>
          <w:p w14:paraId="4A6B5419" w14:textId="1EB37A9C" w:rsidR="008D61CF" w:rsidRPr="00EE240E" w:rsidRDefault="009A2CE0" w:rsidP="00794E11">
            <w:pPr>
              <w:spacing w:after="0"/>
              <w:rPr>
                <w:rFonts w:ascii="Arial" w:hAnsi="Arial" w:cs="Arial"/>
                <w:i/>
                <w:iCs/>
                <w:szCs w:val="20"/>
              </w:rPr>
            </w:pPr>
            <w:r>
              <w:rPr>
                <w:rFonts w:ascii="Arial" w:hAnsi="Arial" w:cs="Arial"/>
                <w:i/>
                <w:iCs/>
                <w:szCs w:val="20"/>
              </w:rPr>
              <w:t>Criteria</w:t>
            </w:r>
          </w:p>
        </w:tc>
        <w:tc>
          <w:tcPr>
            <w:tcW w:w="7554" w:type="dxa"/>
          </w:tcPr>
          <w:p w14:paraId="12862DB5" w14:textId="20980BB0" w:rsidR="008D61CF" w:rsidRPr="00794E11" w:rsidRDefault="00F723F5" w:rsidP="008D61CF">
            <w:pPr>
              <w:pStyle w:val="ListParagraph"/>
              <w:spacing w:after="40"/>
              <w:ind w:left="360"/>
              <w:cnfStyle w:val="100000000000" w:firstRow="1" w:lastRow="0" w:firstColumn="0" w:lastColumn="0" w:oddVBand="0" w:evenVBand="0" w:oddHBand="0" w:evenHBand="0" w:firstRowFirstColumn="0" w:firstRowLastColumn="0" w:lastRowFirstColumn="0" w:lastRowLastColumn="0"/>
              <w:rPr>
                <w:rFonts w:ascii="Arial" w:hAnsi="Arial" w:cs="Arial"/>
                <w:szCs w:val="20"/>
              </w:rPr>
            </w:pPr>
            <w:r>
              <w:rPr>
                <w:rFonts w:ascii="Arial" w:hAnsi="Arial" w:cs="Arial"/>
                <w:szCs w:val="20"/>
              </w:rPr>
              <w:t>Key Review Questions</w:t>
            </w:r>
          </w:p>
        </w:tc>
      </w:tr>
      <w:tr w:rsidR="00794E11" w14:paraId="538C1611" w14:textId="77777777" w:rsidTr="001822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2" w:type="dxa"/>
          </w:tcPr>
          <w:p w14:paraId="1EE6F8E9" w14:textId="77777777" w:rsidR="00794E11" w:rsidRPr="00EE240E" w:rsidRDefault="00794E11" w:rsidP="00794E11">
            <w:pPr>
              <w:spacing w:after="0"/>
              <w:rPr>
                <w:rFonts w:ascii="Arial" w:hAnsi="Arial" w:cs="Arial"/>
                <w:szCs w:val="20"/>
              </w:rPr>
            </w:pPr>
            <w:r w:rsidRPr="00EE240E">
              <w:rPr>
                <w:rFonts w:ascii="Arial" w:hAnsi="Arial" w:cs="Arial"/>
                <w:i/>
                <w:iCs/>
                <w:szCs w:val="20"/>
              </w:rPr>
              <w:t>Relevance </w:t>
            </w:r>
            <w:r w:rsidRPr="00EE240E">
              <w:rPr>
                <w:rFonts w:ascii="Arial" w:hAnsi="Arial" w:cs="Arial"/>
                <w:szCs w:val="20"/>
              </w:rPr>
              <w:t> </w:t>
            </w:r>
          </w:p>
          <w:p w14:paraId="21F8AD8D" w14:textId="77777777" w:rsidR="00794E11" w:rsidRDefault="00794E11" w:rsidP="00794E11">
            <w:pPr>
              <w:spacing w:after="0"/>
              <w:rPr>
                <w:rFonts w:ascii="Arial" w:hAnsi="Arial" w:cs="Arial"/>
                <w:i/>
                <w:iCs/>
                <w:szCs w:val="20"/>
              </w:rPr>
            </w:pPr>
          </w:p>
        </w:tc>
        <w:tc>
          <w:tcPr>
            <w:tcW w:w="7554" w:type="dxa"/>
          </w:tcPr>
          <w:p w14:paraId="39F0DAD1" w14:textId="77777777" w:rsidR="00794E11" w:rsidRPr="00794E11" w:rsidRDefault="00794E11" w:rsidP="00C20940">
            <w:pPr>
              <w:pStyle w:val="ListParagraph"/>
              <w:numPr>
                <w:ilvl w:val="0"/>
                <w:numId w:val="18"/>
              </w:numPr>
              <w:spacing w:after="40"/>
              <w:cnfStyle w:val="000000100000" w:firstRow="0" w:lastRow="0" w:firstColumn="0" w:lastColumn="0" w:oddVBand="0" w:evenVBand="0" w:oddHBand="1" w:evenHBand="0" w:firstRowFirstColumn="0" w:firstRowLastColumn="0" w:lastRowFirstColumn="0" w:lastRowLastColumn="0"/>
              <w:rPr>
                <w:rFonts w:ascii="Arial" w:hAnsi="Arial" w:cs="Arial"/>
                <w:b/>
                <w:bCs/>
                <w:szCs w:val="20"/>
              </w:rPr>
            </w:pPr>
            <w:r w:rsidRPr="00794E11">
              <w:rPr>
                <w:rFonts w:ascii="Arial" w:hAnsi="Arial" w:cs="Arial"/>
                <w:szCs w:val="20"/>
              </w:rPr>
              <w:t>Is there adequate evidence to demonstrate that the choice of delivery approaches, IPs and suite of modalities was suitable for achieving some of the investment’s intended outcomes? </w:t>
            </w:r>
          </w:p>
          <w:p w14:paraId="5C26B21E" w14:textId="38FAED57" w:rsidR="00794E11" w:rsidRPr="00794E11" w:rsidRDefault="00794E11" w:rsidP="00C20940">
            <w:pPr>
              <w:pStyle w:val="ListParagraph"/>
              <w:numPr>
                <w:ilvl w:val="0"/>
                <w:numId w:val="18"/>
              </w:numPr>
              <w:spacing w:after="40"/>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794E11">
              <w:rPr>
                <w:rFonts w:ascii="Arial" w:hAnsi="Arial" w:cs="Arial"/>
                <w:szCs w:val="20"/>
              </w:rPr>
              <w:t>How did the program adapt to the changing needs of the context? </w:t>
            </w:r>
          </w:p>
        </w:tc>
      </w:tr>
      <w:tr w:rsidR="00794E11" w14:paraId="4ABCC59B" w14:textId="77777777" w:rsidTr="00794E11">
        <w:tc>
          <w:tcPr>
            <w:cnfStyle w:val="001000000000" w:firstRow="0" w:lastRow="0" w:firstColumn="1" w:lastColumn="0" w:oddVBand="0" w:evenVBand="0" w:oddHBand="0" w:evenHBand="0" w:firstRowFirstColumn="0" w:firstRowLastColumn="0" w:lastRowFirstColumn="0" w:lastRowLastColumn="0"/>
            <w:tcW w:w="1462" w:type="dxa"/>
          </w:tcPr>
          <w:p w14:paraId="482B1669" w14:textId="77777777" w:rsidR="00794E11" w:rsidRPr="00EE240E" w:rsidRDefault="00794E11" w:rsidP="00794E11">
            <w:pPr>
              <w:spacing w:after="0"/>
              <w:rPr>
                <w:rFonts w:ascii="Arial" w:hAnsi="Arial" w:cs="Arial"/>
                <w:szCs w:val="20"/>
              </w:rPr>
            </w:pPr>
            <w:r w:rsidRPr="00EE240E">
              <w:rPr>
                <w:rFonts w:ascii="Arial" w:hAnsi="Arial" w:cs="Arial"/>
                <w:i/>
                <w:iCs/>
                <w:szCs w:val="20"/>
              </w:rPr>
              <w:t>Effectiveness</w:t>
            </w:r>
            <w:r w:rsidRPr="00EE240E">
              <w:rPr>
                <w:rFonts w:ascii="Arial" w:hAnsi="Arial" w:cs="Arial"/>
                <w:szCs w:val="20"/>
              </w:rPr>
              <w:t> </w:t>
            </w:r>
          </w:p>
          <w:p w14:paraId="40377CF7" w14:textId="77777777" w:rsidR="00794E11" w:rsidRDefault="00794E11" w:rsidP="00794E11">
            <w:pPr>
              <w:spacing w:after="0"/>
              <w:rPr>
                <w:rFonts w:ascii="Arial" w:hAnsi="Arial" w:cs="Arial"/>
                <w:i/>
                <w:iCs/>
                <w:szCs w:val="20"/>
              </w:rPr>
            </w:pPr>
          </w:p>
        </w:tc>
        <w:tc>
          <w:tcPr>
            <w:tcW w:w="7554" w:type="dxa"/>
          </w:tcPr>
          <w:p w14:paraId="3EC2423C" w14:textId="77777777" w:rsidR="00794E11" w:rsidRPr="00794E11" w:rsidRDefault="00794E11" w:rsidP="00C20940">
            <w:pPr>
              <w:pStyle w:val="ListParagraph"/>
              <w:numPr>
                <w:ilvl w:val="0"/>
                <w:numId w:val="18"/>
              </w:numPr>
              <w:spacing w:after="40"/>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794E11">
              <w:rPr>
                <w:rFonts w:ascii="Arial" w:hAnsi="Arial" w:cs="Arial"/>
                <w:szCs w:val="20"/>
              </w:rPr>
              <w:t>To what extent has HDMES achieved its EOIOs and intermediate outcomes? </w:t>
            </w:r>
          </w:p>
          <w:p w14:paraId="2BC1F410" w14:textId="215FA56A" w:rsidR="00794E11" w:rsidRPr="00794E11" w:rsidRDefault="00794E11" w:rsidP="00C20940">
            <w:pPr>
              <w:pStyle w:val="ListParagraph"/>
              <w:numPr>
                <w:ilvl w:val="0"/>
                <w:numId w:val="18"/>
              </w:numPr>
              <w:spacing w:after="40"/>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794E11">
              <w:rPr>
                <w:rFonts w:ascii="Arial" w:hAnsi="Arial" w:cs="Arial"/>
                <w:szCs w:val="20"/>
              </w:rPr>
              <w:t>How is advice from HDMES being used by AHC and IPs? </w:t>
            </w:r>
          </w:p>
        </w:tc>
      </w:tr>
      <w:tr w:rsidR="00794E11" w14:paraId="29D3848E" w14:textId="77777777" w:rsidTr="00794E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2" w:type="dxa"/>
          </w:tcPr>
          <w:p w14:paraId="4751A5D3" w14:textId="77777777" w:rsidR="00794E11" w:rsidRPr="00EE240E" w:rsidRDefault="00794E11" w:rsidP="00794E11">
            <w:pPr>
              <w:spacing w:after="0"/>
              <w:rPr>
                <w:rFonts w:ascii="Arial" w:hAnsi="Arial" w:cs="Arial"/>
                <w:szCs w:val="20"/>
              </w:rPr>
            </w:pPr>
            <w:r w:rsidRPr="00EE240E">
              <w:rPr>
                <w:rFonts w:ascii="Arial" w:hAnsi="Arial" w:cs="Arial"/>
                <w:i/>
                <w:iCs/>
                <w:szCs w:val="20"/>
              </w:rPr>
              <w:t>Efficiency</w:t>
            </w:r>
            <w:r w:rsidRPr="00EE240E">
              <w:rPr>
                <w:rFonts w:ascii="Arial" w:hAnsi="Arial" w:cs="Arial"/>
                <w:szCs w:val="20"/>
              </w:rPr>
              <w:t> </w:t>
            </w:r>
          </w:p>
          <w:p w14:paraId="46F5A333" w14:textId="77777777" w:rsidR="00794E11" w:rsidRDefault="00794E11" w:rsidP="00794E11">
            <w:pPr>
              <w:spacing w:after="0"/>
              <w:rPr>
                <w:rFonts w:ascii="Arial" w:hAnsi="Arial" w:cs="Arial"/>
                <w:i/>
                <w:iCs/>
                <w:szCs w:val="20"/>
              </w:rPr>
            </w:pPr>
          </w:p>
        </w:tc>
        <w:tc>
          <w:tcPr>
            <w:tcW w:w="7554" w:type="dxa"/>
          </w:tcPr>
          <w:p w14:paraId="273DD777" w14:textId="77777777" w:rsidR="00794E11" w:rsidRPr="00794E11" w:rsidRDefault="00794E11" w:rsidP="00C20940">
            <w:pPr>
              <w:pStyle w:val="ListParagraph"/>
              <w:numPr>
                <w:ilvl w:val="0"/>
                <w:numId w:val="18"/>
              </w:numPr>
              <w:spacing w:after="40"/>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794E11">
              <w:rPr>
                <w:rFonts w:ascii="Arial" w:hAnsi="Arial" w:cs="Arial"/>
                <w:szCs w:val="20"/>
              </w:rPr>
              <w:t>To what extent is HDMES being delivered efficiently, in a timely and cost-effective way?   </w:t>
            </w:r>
          </w:p>
          <w:p w14:paraId="6BA8E80C" w14:textId="77777777" w:rsidR="00794E11" w:rsidRPr="00794E11" w:rsidRDefault="00794E11" w:rsidP="00C20940">
            <w:pPr>
              <w:pStyle w:val="ListParagraph"/>
              <w:numPr>
                <w:ilvl w:val="0"/>
                <w:numId w:val="18"/>
              </w:numPr>
              <w:spacing w:after="40"/>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794E11">
              <w:rPr>
                <w:rFonts w:ascii="Arial" w:hAnsi="Arial" w:cs="Arial"/>
                <w:szCs w:val="20"/>
              </w:rPr>
              <w:t>What factors are facilitating or impacting efficiency?  </w:t>
            </w:r>
          </w:p>
          <w:p w14:paraId="5882B7D6" w14:textId="1B1288CF" w:rsidR="00794E11" w:rsidRPr="00794E11" w:rsidRDefault="00794E11" w:rsidP="00C20940">
            <w:pPr>
              <w:pStyle w:val="ListParagraph"/>
              <w:numPr>
                <w:ilvl w:val="0"/>
                <w:numId w:val="18"/>
              </w:numPr>
              <w:spacing w:after="40"/>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794E11">
              <w:rPr>
                <w:rFonts w:ascii="Arial" w:hAnsi="Arial" w:cs="Arial"/>
                <w:szCs w:val="20"/>
              </w:rPr>
              <w:lastRenderedPageBreak/>
              <w:t>What are the advantages and disadvantages of the operating model of HDMES, particularly in relation to its staffing model (e.g. staffing structure, remote/in-country support) and coordination between ASI and Clear Horizon? </w:t>
            </w:r>
          </w:p>
        </w:tc>
      </w:tr>
      <w:tr w:rsidR="00794E11" w14:paraId="7F7EF59D" w14:textId="77777777" w:rsidTr="00794E11">
        <w:tc>
          <w:tcPr>
            <w:cnfStyle w:val="001000000000" w:firstRow="0" w:lastRow="0" w:firstColumn="1" w:lastColumn="0" w:oddVBand="0" w:evenVBand="0" w:oddHBand="0" w:evenHBand="0" w:firstRowFirstColumn="0" w:firstRowLastColumn="0" w:lastRowFirstColumn="0" w:lastRowLastColumn="0"/>
            <w:tcW w:w="1462" w:type="dxa"/>
          </w:tcPr>
          <w:p w14:paraId="32910012" w14:textId="2D379145" w:rsidR="00794E11" w:rsidRPr="00794E11" w:rsidRDefault="00794E11" w:rsidP="00794E11">
            <w:pPr>
              <w:rPr>
                <w:rFonts w:ascii="Arial" w:hAnsi="Arial" w:cs="Arial"/>
                <w:szCs w:val="20"/>
              </w:rPr>
            </w:pPr>
            <w:r w:rsidRPr="00EE240E">
              <w:rPr>
                <w:rFonts w:ascii="Arial" w:hAnsi="Arial" w:cs="Arial"/>
                <w:i/>
                <w:iCs/>
                <w:szCs w:val="20"/>
              </w:rPr>
              <w:lastRenderedPageBreak/>
              <w:t>GEDSI</w:t>
            </w:r>
            <w:r w:rsidRPr="00EE240E">
              <w:rPr>
                <w:rFonts w:ascii="Arial" w:hAnsi="Arial" w:cs="Arial"/>
                <w:szCs w:val="20"/>
              </w:rPr>
              <w:t> </w:t>
            </w:r>
          </w:p>
        </w:tc>
        <w:tc>
          <w:tcPr>
            <w:tcW w:w="7554" w:type="dxa"/>
          </w:tcPr>
          <w:p w14:paraId="7FBC8D20" w14:textId="7EA270BE" w:rsidR="00794E11" w:rsidRPr="00794E11" w:rsidRDefault="00794E11" w:rsidP="00C20940">
            <w:pPr>
              <w:pStyle w:val="ListParagraph"/>
              <w:numPr>
                <w:ilvl w:val="0"/>
                <w:numId w:val="18"/>
              </w:numPr>
              <w:spacing w:after="40"/>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794E11">
              <w:rPr>
                <w:rFonts w:ascii="Arial" w:hAnsi="Arial" w:cs="Arial"/>
                <w:szCs w:val="20"/>
              </w:rPr>
              <w:t>How has HDMES implemented GEDSI considerations and strategies, including facilitating the E&amp;L and Health programs to improve GEDSI?   </w:t>
            </w:r>
          </w:p>
        </w:tc>
      </w:tr>
      <w:tr w:rsidR="00794E11" w14:paraId="58DDDEF5" w14:textId="77777777" w:rsidTr="00794E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2" w:type="dxa"/>
          </w:tcPr>
          <w:p w14:paraId="43B4B397" w14:textId="6BC9F6B6" w:rsidR="00794E11" w:rsidRPr="00794E11" w:rsidRDefault="00794E11" w:rsidP="00794E11">
            <w:pPr>
              <w:rPr>
                <w:rFonts w:ascii="Arial" w:hAnsi="Arial" w:cs="Arial"/>
                <w:szCs w:val="20"/>
              </w:rPr>
            </w:pPr>
            <w:r w:rsidRPr="00EE240E">
              <w:rPr>
                <w:rFonts w:ascii="Arial" w:hAnsi="Arial" w:cs="Arial"/>
                <w:i/>
                <w:iCs/>
                <w:szCs w:val="20"/>
              </w:rPr>
              <w:t>Future Guidance</w:t>
            </w:r>
            <w:r w:rsidRPr="00EE240E">
              <w:rPr>
                <w:rFonts w:ascii="Arial" w:hAnsi="Arial" w:cs="Arial"/>
                <w:szCs w:val="20"/>
              </w:rPr>
              <w:t> </w:t>
            </w:r>
          </w:p>
        </w:tc>
        <w:tc>
          <w:tcPr>
            <w:tcW w:w="7554" w:type="dxa"/>
          </w:tcPr>
          <w:p w14:paraId="065A7F9A" w14:textId="674A5A45" w:rsidR="00794E11" w:rsidRPr="00794E11" w:rsidRDefault="00794E11" w:rsidP="00C20940">
            <w:pPr>
              <w:pStyle w:val="ListParagraph"/>
              <w:numPr>
                <w:ilvl w:val="0"/>
                <w:numId w:val="18"/>
              </w:numPr>
              <w:spacing w:after="40"/>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794E11">
              <w:rPr>
                <w:rFonts w:ascii="Arial" w:hAnsi="Arial" w:cs="Arial"/>
                <w:szCs w:val="20"/>
              </w:rPr>
              <w:t>Based on the evidence above, what options should PNG Post consider for strengthening MEL support to Health and E&amp;L portfolios?   </w:t>
            </w:r>
          </w:p>
        </w:tc>
      </w:tr>
    </w:tbl>
    <w:p w14:paraId="7CE4CA1D" w14:textId="77777777" w:rsidR="00794E11" w:rsidRPr="00873E3D" w:rsidRDefault="00794E11" w:rsidP="00794E11">
      <w:pPr>
        <w:pStyle w:val="Heading1"/>
        <w:spacing w:before="0" w:after="120" w:line="274" w:lineRule="auto"/>
      </w:pPr>
      <w:bookmarkStart w:id="7" w:name="_Toc204241420"/>
      <w:r w:rsidRPr="00873E3D">
        <w:t>Methodology</w:t>
      </w:r>
      <w:bookmarkEnd w:id="7"/>
    </w:p>
    <w:p w14:paraId="702AC4ED" w14:textId="77777777" w:rsidR="00794E11" w:rsidRDefault="00794E11" w:rsidP="00794E11">
      <w:pPr>
        <w:spacing w:after="120" w:line="274" w:lineRule="auto"/>
        <w:rPr>
          <w:rFonts w:ascii="Arial" w:hAnsi="Arial" w:cs="Arial"/>
          <w:szCs w:val="20"/>
        </w:rPr>
      </w:pPr>
      <w:r w:rsidRPr="001E6A9D">
        <w:rPr>
          <w:rFonts w:ascii="Arial" w:hAnsi="Arial" w:cs="Arial"/>
          <w:szCs w:val="20"/>
        </w:rPr>
        <w:t xml:space="preserve">The study employed a mixed-methods approach comprising document review, </w:t>
      </w:r>
      <w:r>
        <w:rPr>
          <w:rFonts w:ascii="Arial" w:hAnsi="Arial" w:cs="Arial"/>
          <w:szCs w:val="20"/>
        </w:rPr>
        <w:t xml:space="preserve">27 </w:t>
      </w:r>
      <w:r w:rsidRPr="001E6A9D">
        <w:rPr>
          <w:rFonts w:ascii="Arial" w:hAnsi="Arial" w:cs="Arial"/>
          <w:szCs w:val="20"/>
        </w:rPr>
        <w:t xml:space="preserve">key informant interviews, and thematic analysis. The document review covered a wide range of materials, including Independent and Final Independent Monitoring Reports (IMRs, FIMRs), consultant reports, evaluation outputs, capacity-building materials, communications products, steering group terms of reference, remediation action updates, detailed annual and four-year work plans, risk and gender strategies, sustainability and safeguards plans, results frameworks, and routine reports (monthly, quarterly, annual) provided </w:t>
      </w:r>
      <w:r>
        <w:rPr>
          <w:rFonts w:ascii="Arial" w:hAnsi="Arial" w:cs="Arial"/>
          <w:szCs w:val="20"/>
        </w:rPr>
        <w:t>by</w:t>
      </w:r>
      <w:r w:rsidRPr="001E6A9D">
        <w:rPr>
          <w:rFonts w:ascii="Arial" w:hAnsi="Arial" w:cs="Arial"/>
          <w:szCs w:val="20"/>
        </w:rPr>
        <w:t xml:space="preserve"> DFAT. Financial records were analysed to assess cost-effectiveness, budget accuracy, and resource utilisation. </w:t>
      </w:r>
    </w:p>
    <w:p w14:paraId="33D1A4D2" w14:textId="77777777" w:rsidR="00794E11" w:rsidRDefault="00794E11" w:rsidP="00794E11">
      <w:pPr>
        <w:spacing w:after="120" w:line="274" w:lineRule="auto"/>
        <w:rPr>
          <w:rFonts w:ascii="Arial" w:hAnsi="Arial" w:cs="Arial"/>
          <w:szCs w:val="20"/>
        </w:rPr>
      </w:pPr>
      <w:r w:rsidRPr="677EB2AF">
        <w:rPr>
          <w:rFonts w:ascii="Arial" w:hAnsi="Arial" w:cs="Arial"/>
          <w:szCs w:val="20"/>
        </w:rPr>
        <w:t>Semi-structured key informant interviews were conducted in person and virtually with internal and external stakeholders involved in HDMES delivery, guided by a standardised question set. In total interviewees included people from ASI (2), Clear Horizon (</w:t>
      </w:r>
      <w:r>
        <w:rPr>
          <w:rFonts w:ascii="Arial" w:hAnsi="Arial" w:cs="Arial"/>
          <w:szCs w:val="20"/>
        </w:rPr>
        <w:t>1</w:t>
      </w:r>
      <w:r w:rsidRPr="677EB2AF">
        <w:rPr>
          <w:rFonts w:ascii="Arial" w:hAnsi="Arial" w:cs="Arial"/>
          <w:szCs w:val="20"/>
        </w:rPr>
        <w:t xml:space="preserve">), HDMES current and former staff (7), </w:t>
      </w:r>
      <w:r w:rsidRPr="00DC5523">
        <w:rPr>
          <w:rFonts w:ascii="Arial" w:hAnsi="Arial" w:cs="Arial"/>
          <w:szCs w:val="20"/>
        </w:rPr>
        <w:t>Short-Term Adviser</w:t>
      </w:r>
      <w:r w:rsidRPr="677EB2AF">
        <w:rPr>
          <w:rFonts w:ascii="Arial" w:hAnsi="Arial" w:cs="Arial"/>
          <w:szCs w:val="20"/>
        </w:rPr>
        <w:t xml:space="preserve"> </w:t>
      </w:r>
      <w:r>
        <w:rPr>
          <w:rFonts w:ascii="Arial" w:hAnsi="Arial" w:cs="Arial"/>
          <w:szCs w:val="20"/>
        </w:rPr>
        <w:t>(</w:t>
      </w:r>
      <w:r w:rsidRPr="677EB2AF">
        <w:rPr>
          <w:rFonts w:ascii="Arial" w:hAnsi="Arial" w:cs="Arial"/>
          <w:szCs w:val="20"/>
        </w:rPr>
        <w:t>STAs</w:t>
      </w:r>
      <w:r>
        <w:rPr>
          <w:rFonts w:ascii="Arial" w:hAnsi="Arial" w:cs="Arial"/>
          <w:szCs w:val="20"/>
        </w:rPr>
        <w:t>)</w:t>
      </w:r>
      <w:r w:rsidRPr="677EB2AF">
        <w:rPr>
          <w:rFonts w:ascii="Arial" w:hAnsi="Arial" w:cs="Arial"/>
          <w:szCs w:val="20"/>
        </w:rPr>
        <w:t>, (1), IPs (4), current and former DFAT Health (8) and DFAT Education (4) staff. Data from all sources were synthesised through thematic analysis mapped to EOIOs and key review questions.</w:t>
      </w:r>
    </w:p>
    <w:p w14:paraId="0CACD559" w14:textId="77777777" w:rsidR="00794E11" w:rsidRPr="004938BA" w:rsidRDefault="00794E11" w:rsidP="00794E11">
      <w:pPr>
        <w:pStyle w:val="Heading2"/>
        <w:rPr>
          <w:color w:val="auto"/>
        </w:rPr>
      </w:pPr>
      <w:bookmarkStart w:id="8" w:name="_Toc204241421"/>
      <w:r w:rsidRPr="004938BA">
        <w:rPr>
          <w:color w:val="auto"/>
        </w:rPr>
        <w:t>Strengths and limitations</w:t>
      </w:r>
      <w:bookmarkEnd w:id="8"/>
    </w:p>
    <w:p w14:paraId="5D816EA1" w14:textId="77777777" w:rsidR="00794E11" w:rsidRPr="00803C86" w:rsidRDefault="00794E11" w:rsidP="00794E11">
      <w:pPr>
        <w:spacing w:after="120" w:line="274" w:lineRule="auto"/>
        <w:rPr>
          <w:rFonts w:ascii="Arial" w:hAnsi="Arial" w:cs="Arial"/>
          <w:szCs w:val="20"/>
        </w:rPr>
      </w:pPr>
      <w:r w:rsidRPr="00803C86">
        <w:rPr>
          <w:rFonts w:ascii="Arial" w:hAnsi="Arial" w:cs="Arial"/>
          <w:szCs w:val="20"/>
        </w:rPr>
        <w:t>The quality of evidence supporting the conclusions in the HDMES Mid-Term Review can be rated as moderate—sufficient for informed decision-making, but with notable limitations.</w:t>
      </w:r>
    </w:p>
    <w:p w14:paraId="497DF246" w14:textId="77777777" w:rsidR="00794E11" w:rsidRPr="00803C86" w:rsidRDefault="00794E11" w:rsidP="00794E11">
      <w:pPr>
        <w:spacing w:after="120" w:line="274" w:lineRule="auto"/>
        <w:rPr>
          <w:rFonts w:ascii="Arial" w:hAnsi="Arial" w:cs="Arial"/>
          <w:b/>
          <w:bCs/>
          <w:szCs w:val="20"/>
        </w:rPr>
      </w:pPr>
      <w:r w:rsidRPr="00803C86">
        <w:rPr>
          <w:rFonts w:ascii="Arial" w:hAnsi="Arial" w:cs="Arial"/>
          <w:b/>
          <w:bCs/>
          <w:szCs w:val="20"/>
        </w:rPr>
        <w:t xml:space="preserve">Strengths </w:t>
      </w:r>
    </w:p>
    <w:p w14:paraId="7FC454D2" w14:textId="77777777" w:rsidR="00794E11" w:rsidRPr="00803C86" w:rsidRDefault="00794E11" w:rsidP="00C20940">
      <w:pPr>
        <w:numPr>
          <w:ilvl w:val="0"/>
          <w:numId w:val="14"/>
        </w:numPr>
        <w:spacing w:after="120" w:line="274" w:lineRule="auto"/>
        <w:rPr>
          <w:rFonts w:ascii="Arial" w:hAnsi="Arial" w:cs="Arial"/>
          <w:szCs w:val="20"/>
        </w:rPr>
      </w:pPr>
      <w:r w:rsidRPr="00803C86">
        <w:rPr>
          <w:rFonts w:ascii="Arial" w:hAnsi="Arial" w:cs="Arial"/>
          <w:b/>
          <w:bCs/>
          <w:szCs w:val="20"/>
        </w:rPr>
        <w:t>Triangulated Sources</w:t>
      </w:r>
      <w:r w:rsidRPr="00803C86">
        <w:rPr>
          <w:rFonts w:ascii="Arial" w:hAnsi="Arial" w:cs="Arial"/>
          <w:szCs w:val="20"/>
        </w:rPr>
        <w:t>: Conclusions draw from multiple data sources—including internal DFAT records, published HDMES products and interviews from stakeholders across implementing partners, DFAT Post, current and former HDMES staff and STAs. This helps validate claims through diverse perspectives.</w:t>
      </w:r>
    </w:p>
    <w:p w14:paraId="29F703FC" w14:textId="77777777" w:rsidR="00794E11" w:rsidRPr="00803C86" w:rsidRDefault="00794E11" w:rsidP="00C20940">
      <w:pPr>
        <w:numPr>
          <w:ilvl w:val="0"/>
          <w:numId w:val="14"/>
        </w:numPr>
        <w:spacing w:after="120" w:line="274" w:lineRule="auto"/>
        <w:rPr>
          <w:rFonts w:ascii="Arial" w:hAnsi="Arial" w:cs="Arial"/>
          <w:szCs w:val="20"/>
        </w:rPr>
      </w:pPr>
      <w:r w:rsidRPr="677EB2AF">
        <w:rPr>
          <w:rFonts w:ascii="Arial" w:hAnsi="Arial" w:cs="Arial"/>
          <w:b/>
          <w:bCs/>
          <w:szCs w:val="20"/>
        </w:rPr>
        <w:t>Consistent Stakeholder Feedback</w:t>
      </w:r>
      <w:r w:rsidRPr="677EB2AF">
        <w:rPr>
          <w:rFonts w:ascii="Arial" w:hAnsi="Arial" w:cs="Arial"/>
          <w:szCs w:val="20"/>
        </w:rPr>
        <w:t>: The interview summaries provided repeated and corroborated evidence across most stakeholders about key themes such as:</w:t>
      </w:r>
    </w:p>
    <w:p w14:paraId="0460B297" w14:textId="77777777" w:rsidR="00794E11" w:rsidRPr="00803C86" w:rsidRDefault="00794E11" w:rsidP="0047698E">
      <w:pPr>
        <w:numPr>
          <w:ilvl w:val="1"/>
          <w:numId w:val="14"/>
        </w:numPr>
        <w:spacing w:after="0" w:line="274" w:lineRule="auto"/>
        <w:rPr>
          <w:rFonts w:ascii="Arial" w:hAnsi="Arial" w:cs="Arial"/>
          <w:szCs w:val="20"/>
        </w:rPr>
      </w:pPr>
      <w:r w:rsidRPr="00803C86">
        <w:rPr>
          <w:rFonts w:ascii="Arial" w:hAnsi="Arial" w:cs="Arial"/>
          <w:szCs w:val="20"/>
        </w:rPr>
        <w:t>Variable product quality and consultant performance.</w:t>
      </w:r>
    </w:p>
    <w:p w14:paraId="0CB00EBE" w14:textId="77777777" w:rsidR="00794E11" w:rsidRPr="00803C86" w:rsidRDefault="00794E11" w:rsidP="0047698E">
      <w:pPr>
        <w:numPr>
          <w:ilvl w:val="1"/>
          <w:numId w:val="14"/>
        </w:numPr>
        <w:spacing w:after="0" w:line="274" w:lineRule="auto"/>
        <w:rPr>
          <w:rFonts w:ascii="Arial" w:hAnsi="Arial" w:cs="Arial"/>
          <w:szCs w:val="20"/>
        </w:rPr>
      </w:pPr>
      <w:r w:rsidRPr="00803C86">
        <w:rPr>
          <w:rFonts w:ascii="Arial" w:hAnsi="Arial" w:cs="Arial"/>
          <w:szCs w:val="20"/>
        </w:rPr>
        <w:t>Mixed utility and uptake of GEDSI tools.</w:t>
      </w:r>
    </w:p>
    <w:p w14:paraId="5932583A" w14:textId="77777777" w:rsidR="00794E11" w:rsidRPr="00803C86" w:rsidRDefault="00794E11" w:rsidP="0047698E">
      <w:pPr>
        <w:numPr>
          <w:ilvl w:val="1"/>
          <w:numId w:val="14"/>
        </w:numPr>
        <w:spacing w:after="0" w:line="274" w:lineRule="auto"/>
        <w:rPr>
          <w:rFonts w:ascii="Arial" w:hAnsi="Arial" w:cs="Arial"/>
          <w:szCs w:val="20"/>
        </w:rPr>
      </w:pPr>
      <w:r w:rsidRPr="00803C86">
        <w:rPr>
          <w:rFonts w:ascii="Arial" w:hAnsi="Arial" w:cs="Arial"/>
          <w:szCs w:val="20"/>
        </w:rPr>
        <w:t>The bureaucratic burden of tasking and delivery inefficiencies.</w:t>
      </w:r>
    </w:p>
    <w:p w14:paraId="7B6F94AA" w14:textId="77777777" w:rsidR="00794E11" w:rsidRPr="00803C86" w:rsidRDefault="00794E11" w:rsidP="0047698E">
      <w:pPr>
        <w:numPr>
          <w:ilvl w:val="1"/>
          <w:numId w:val="14"/>
        </w:numPr>
        <w:spacing w:after="0" w:line="274" w:lineRule="auto"/>
        <w:rPr>
          <w:rFonts w:ascii="Arial" w:hAnsi="Arial" w:cs="Arial"/>
          <w:szCs w:val="20"/>
        </w:rPr>
      </w:pPr>
      <w:r w:rsidRPr="00803C86">
        <w:rPr>
          <w:rFonts w:ascii="Arial" w:hAnsi="Arial" w:cs="Arial"/>
          <w:szCs w:val="20"/>
        </w:rPr>
        <w:t>Value added from meta-analyses and strategic reviews.</w:t>
      </w:r>
    </w:p>
    <w:p w14:paraId="02A737AC" w14:textId="77777777" w:rsidR="00794E11" w:rsidRPr="00803C86" w:rsidRDefault="00794E11" w:rsidP="00C20940">
      <w:pPr>
        <w:numPr>
          <w:ilvl w:val="1"/>
          <w:numId w:val="14"/>
        </w:numPr>
        <w:spacing w:after="120" w:line="274" w:lineRule="auto"/>
        <w:rPr>
          <w:rFonts w:ascii="Arial" w:hAnsi="Arial" w:cs="Arial"/>
          <w:szCs w:val="20"/>
        </w:rPr>
      </w:pPr>
      <w:r w:rsidRPr="00803C86">
        <w:rPr>
          <w:rFonts w:ascii="Arial" w:hAnsi="Arial" w:cs="Arial"/>
          <w:szCs w:val="20"/>
        </w:rPr>
        <w:t>DFAT need, engagement and utilisation of HDMES</w:t>
      </w:r>
      <w:r>
        <w:rPr>
          <w:rFonts w:ascii="Arial" w:hAnsi="Arial" w:cs="Arial"/>
          <w:szCs w:val="20"/>
        </w:rPr>
        <w:t>.</w:t>
      </w:r>
    </w:p>
    <w:p w14:paraId="640F62FA" w14:textId="77777777" w:rsidR="00794E11" w:rsidRPr="00217794" w:rsidRDefault="00794E11" w:rsidP="00C20940">
      <w:pPr>
        <w:numPr>
          <w:ilvl w:val="0"/>
          <w:numId w:val="14"/>
        </w:numPr>
        <w:spacing w:after="120" w:line="274" w:lineRule="auto"/>
        <w:rPr>
          <w:rFonts w:ascii="Arial" w:hAnsi="Arial" w:cs="Arial"/>
          <w:szCs w:val="20"/>
        </w:rPr>
      </w:pPr>
      <w:r w:rsidRPr="00803C86">
        <w:rPr>
          <w:rFonts w:ascii="Arial" w:hAnsi="Arial" w:cs="Arial"/>
          <w:b/>
          <w:bCs/>
          <w:szCs w:val="20"/>
        </w:rPr>
        <w:t>Documented Outputs and Achievements</w:t>
      </w:r>
      <w:r w:rsidRPr="00803C86">
        <w:rPr>
          <w:rFonts w:ascii="Arial" w:hAnsi="Arial" w:cs="Arial"/>
          <w:szCs w:val="20"/>
        </w:rPr>
        <w:t>: HDMES's timeline and role documentation offer clear evidence of outputs (400+ products), capacity-building sessions, and</w:t>
      </w:r>
      <w:r>
        <w:rPr>
          <w:rFonts w:ascii="Arial" w:hAnsi="Arial" w:cs="Arial"/>
          <w:szCs w:val="20"/>
        </w:rPr>
        <w:t xml:space="preserve"> quality assurance (</w:t>
      </w:r>
      <w:r w:rsidRPr="00803C86">
        <w:rPr>
          <w:rFonts w:ascii="Arial" w:hAnsi="Arial" w:cs="Arial"/>
          <w:szCs w:val="20"/>
        </w:rPr>
        <w:t>QA</w:t>
      </w:r>
      <w:r>
        <w:rPr>
          <w:rFonts w:ascii="Arial" w:hAnsi="Arial" w:cs="Arial"/>
          <w:szCs w:val="20"/>
        </w:rPr>
        <w:t>)</w:t>
      </w:r>
      <w:r w:rsidRPr="00803C86">
        <w:rPr>
          <w:rFonts w:ascii="Arial" w:hAnsi="Arial" w:cs="Arial"/>
          <w:szCs w:val="20"/>
        </w:rPr>
        <w:t xml:space="preserve"> engagement with programs like PIE, PATH, and AAPNG.</w:t>
      </w:r>
    </w:p>
    <w:p w14:paraId="3D54F214" w14:textId="77777777" w:rsidR="00794E11" w:rsidRPr="00803C86" w:rsidRDefault="00794E11" w:rsidP="00794E11">
      <w:pPr>
        <w:spacing w:after="120" w:line="274" w:lineRule="auto"/>
        <w:rPr>
          <w:rFonts w:ascii="Arial" w:hAnsi="Arial" w:cs="Arial"/>
          <w:b/>
          <w:bCs/>
          <w:szCs w:val="20"/>
        </w:rPr>
      </w:pPr>
      <w:r w:rsidRPr="00803C86">
        <w:rPr>
          <w:rFonts w:ascii="Arial" w:hAnsi="Arial" w:cs="Arial"/>
          <w:b/>
          <w:bCs/>
          <w:szCs w:val="20"/>
        </w:rPr>
        <w:t xml:space="preserve">Limitations </w:t>
      </w:r>
    </w:p>
    <w:p w14:paraId="7ED7D143" w14:textId="77777777" w:rsidR="00794E11" w:rsidRPr="00803C86" w:rsidRDefault="00794E11" w:rsidP="00C20940">
      <w:pPr>
        <w:numPr>
          <w:ilvl w:val="0"/>
          <w:numId w:val="15"/>
        </w:numPr>
        <w:spacing w:after="120" w:line="274" w:lineRule="auto"/>
        <w:rPr>
          <w:rFonts w:ascii="Arial" w:hAnsi="Arial" w:cs="Arial"/>
          <w:szCs w:val="20"/>
        </w:rPr>
      </w:pPr>
      <w:r w:rsidRPr="001452E6">
        <w:rPr>
          <w:rFonts w:ascii="Arial" w:hAnsi="Arial" w:cs="Arial"/>
          <w:b/>
          <w:bCs/>
          <w:szCs w:val="20"/>
        </w:rPr>
        <w:lastRenderedPageBreak/>
        <w:t xml:space="preserve">Lack of Systematic Feedback or Uptake Data: </w:t>
      </w:r>
      <w:r w:rsidRPr="00803C86">
        <w:rPr>
          <w:rFonts w:ascii="Arial" w:hAnsi="Arial" w:cs="Arial"/>
          <w:szCs w:val="20"/>
        </w:rPr>
        <w:t>Many conclusions—especially around effectiveness and GEDSI impact—rely on anecdotal accounts or impressions, as HDMES lacks:</w:t>
      </w:r>
    </w:p>
    <w:p w14:paraId="3883FC0A" w14:textId="77777777" w:rsidR="00794E11" w:rsidRPr="00803C86" w:rsidRDefault="00794E11" w:rsidP="0047698E">
      <w:pPr>
        <w:numPr>
          <w:ilvl w:val="1"/>
          <w:numId w:val="15"/>
        </w:numPr>
        <w:spacing w:after="0" w:line="274" w:lineRule="auto"/>
        <w:rPr>
          <w:rFonts w:ascii="Arial" w:hAnsi="Arial" w:cs="Arial"/>
          <w:szCs w:val="20"/>
        </w:rPr>
      </w:pPr>
      <w:r w:rsidRPr="00803C86">
        <w:rPr>
          <w:rFonts w:ascii="Arial" w:hAnsi="Arial" w:cs="Arial"/>
          <w:szCs w:val="20"/>
        </w:rPr>
        <w:t>A formal recommendation tracking system.</w:t>
      </w:r>
    </w:p>
    <w:p w14:paraId="3A68D97C" w14:textId="77777777" w:rsidR="00794E11" w:rsidRPr="00803C86" w:rsidRDefault="00794E11" w:rsidP="0047698E">
      <w:pPr>
        <w:numPr>
          <w:ilvl w:val="1"/>
          <w:numId w:val="15"/>
        </w:numPr>
        <w:spacing w:after="0" w:line="274" w:lineRule="auto"/>
        <w:rPr>
          <w:rFonts w:ascii="Arial" w:hAnsi="Arial" w:cs="Arial"/>
          <w:szCs w:val="20"/>
        </w:rPr>
      </w:pPr>
      <w:r w:rsidRPr="00803C86">
        <w:rPr>
          <w:rFonts w:ascii="Arial" w:hAnsi="Arial" w:cs="Arial"/>
          <w:szCs w:val="20"/>
        </w:rPr>
        <w:t>Systematic post-product feedback or utilisation metrics.</w:t>
      </w:r>
    </w:p>
    <w:p w14:paraId="636C3952" w14:textId="77777777" w:rsidR="00794E11" w:rsidRPr="00803C86" w:rsidRDefault="00794E11" w:rsidP="00C20940">
      <w:pPr>
        <w:numPr>
          <w:ilvl w:val="1"/>
          <w:numId w:val="15"/>
        </w:numPr>
        <w:spacing w:after="120" w:line="274" w:lineRule="auto"/>
        <w:rPr>
          <w:rFonts w:ascii="Arial" w:hAnsi="Arial" w:cs="Arial"/>
          <w:szCs w:val="20"/>
        </w:rPr>
      </w:pPr>
      <w:r w:rsidRPr="00803C86">
        <w:rPr>
          <w:rFonts w:ascii="Arial" w:hAnsi="Arial" w:cs="Arial"/>
          <w:szCs w:val="20"/>
        </w:rPr>
        <w:t>Clear documentation on GEDSI influence beyond tool development.</w:t>
      </w:r>
    </w:p>
    <w:p w14:paraId="49DFDF5F" w14:textId="77777777" w:rsidR="00794E11" w:rsidRPr="00803C86" w:rsidRDefault="00794E11" w:rsidP="00C20940">
      <w:pPr>
        <w:numPr>
          <w:ilvl w:val="0"/>
          <w:numId w:val="15"/>
        </w:numPr>
        <w:spacing w:after="120" w:line="274" w:lineRule="auto"/>
        <w:rPr>
          <w:rFonts w:ascii="Arial" w:hAnsi="Arial" w:cs="Arial"/>
          <w:szCs w:val="20"/>
        </w:rPr>
      </w:pPr>
      <w:r w:rsidRPr="001452E6">
        <w:rPr>
          <w:rFonts w:ascii="Arial" w:hAnsi="Arial" w:cs="Arial"/>
          <w:b/>
          <w:bCs/>
          <w:szCs w:val="20"/>
        </w:rPr>
        <w:t>Data Gaps on Outcomes vs Outputs</w:t>
      </w:r>
      <w:r w:rsidRPr="00803C86">
        <w:rPr>
          <w:rFonts w:ascii="Arial" w:hAnsi="Arial" w:cs="Arial"/>
          <w:szCs w:val="20"/>
        </w:rPr>
        <w:t>: While the volume of work is well-documented, evidence of impact (e.g., actual changes in DFAT or IP decision-making, capacity improvement) is less concrete. This is a common limitation in reviews where feedback loops are informal or undocumented.</w:t>
      </w:r>
    </w:p>
    <w:p w14:paraId="2C891E86" w14:textId="77777777" w:rsidR="00794E11" w:rsidRPr="00217794" w:rsidRDefault="00794E11" w:rsidP="00C20940">
      <w:pPr>
        <w:numPr>
          <w:ilvl w:val="0"/>
          <w:numId w:val="15"/>
        </w:numPr>
        <w:spacing w:after="120" w:line="274" w:lineRule="auto"/>
        <w:rPr>
          <w:rFonts w:ascii="Arial" w:hAnsi="Arial" w:cs="Arial"/>
          <w:szCs w:val="20"/>
        </w:rPr>
      </w:pPr>
      <w:r w:rsidRPr="001452E6">
        <w:rPr>
          <w:rFonts w:ascii="Arial" w:hAnsi="Arial" w:cs="Arial"/>
          <w:b/>
          <w:bCs/>
          <w:szCs w:val="20"/>
        </w:rPr>
        <w:t>Potential Bias in Perceptions</w:t>
      </w:r>
      <w:r w:rsidRPr="00803C86">
        <w:rPr>
          <w:rFonts w:ascii="Arial" w:hAnsi="Arial" w:cs="Arial"/>
          <w:szCs w:val="20"/>
        </w:rPr>
        <w:t xml:space="preserve">: Some interviewees expressed strongly negative or conflicted views and representativeness may be uneven—especially on themes like GEDSI and local or national capacity building. </w:t>
      </w:r>
    </w:p>
    <w:p w14:paraId="2364BA72" w14:textId="77777777" w:rsidR="00794E11" w:rsidRPr="004938BA" w:rsidRDefault="00794E11" w:rsidP="00794E11">
      <w:pPr>
        <w:pStyle w:val="Heading2"/>
        <w:rPr>
          <w:color w:val="auto"/>
        </w:rPr>
      </w:pPr>
      <w:bookmarkStart w:id="9" w:name="_Toc204241422"/>
      <w:r w:rsidRPr="004938BA">
        <w:rPr>
          <w:color w:val="auto"/>
        </w:rPr>
        <w:t>Overall Assessment of Evidence Quality</w:t>
      </w:r>
      <w:bookmarkEnd w:id="9"/>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2"/>
        <w:gridCol w:w="1452"/>
        <w:gridCol w:w="5022"/>
      </w:tblGrid>
      <w:tr w:rsidR="00794E11" w:rsidRPr="00803C86" w14:paraId="5FA28DDE" w14:textId="77777777" w:rsidTr="007C00FA">
        <w:trPr>
          <w:tblHeader/>
          <w:tblCellSpacing w:w="15" w:type="dxa"/>
        </w:trPr>
        <w:tc>
          <w:tcPr>
            <w:tcW w:w="2507" w:type="dxa"/>
            <w:vAlign w:val="center"/>
            <w:hideMark/>
          </w:tcPr>
          <w:p w14:paraId="6A5170FE" w14:textId="77777777" w:rsidR="00794E11" w:rsidRPr="00803C86" w:rsidRDefault="00794E11" w:rsidP="0047698E">
            <w:pPr>
              <w:spacing w:after="0" w:line="274" w:lineRule="auto"/>
              <w:rPr>
                <w:rFonts w:ascii="Arial" w:hAnsi="Arial" w:cs="Arial"/>
                <w:b/>
                <w:bCs/>
                <w:szCs w:val="20"/>
              </w:rPr>
            </w:pPr>
            <w:r w:rsidRPr="00803C86">
              <w:rPr>
                <w:rFonts w:ascii="Arial" w:hAnsi="Arial" w:cs="Arial"/>
                <w:b/>
                <w:bCs/>
                <w:szCs w:val="20"/>
              </w:rPr>
              <w:t>Criterion</w:t>
            </w:r>
          </w:p>
        </w:tc>
        <w:tc>
          <w:tcPr>
            <w:tcW w:w="1422" w:type="dxa"/>
            <w:vAlign w:val="center"/>
            <w:hideMark/>
          </w:tcPr>
          <w:p w14:paraId="5168A859" w14:textId="77777777" w:rsidR="00794E11" w:rsidRPr="00803C86" w:rsidRDefault="00794E11" w:rsidP="0047698E">
            <w:pPr>
              <w:spacing w:after="0" w:line="274" w:lineRule="auto"/>
              <w:rPr>
                <w:rFonts w:ascii="Arial" w:hAnsi="Arial" w:cs="Arial"/>
                <w:b/>
                <w:bCs/>
                <w:szCs w:val="20"/>
              </w:rPr>
            </w:pPr>
            <w:r w:rsidRPr="00803C86">
              <w:rPr>
                <w:rFonts w:ascii="Arial" w:hAnsi="Arial" w:cs="Arial"/>
                <w:b/>
                <w:bCs/>
                <w:szCs w:val="20"/>
              </w:rPr>
              <w:t>Rating</w:t>
            </w:r>
          </w:p>
        </w:tc>
        <w:tc>
          <w:tcPr>
            <w:tcW w:w="0" w:type="auto"/>
            <w:vAlign w:val="center"/>
            <w:hideMark/>
          </w:tcPr>
          <w:p w14:paraId="370F43A3" w14:textId="77777777" w:rsidR="00794E11" w:rsidRPr="00803C86" w:rsidRDefault="00794E11" w:rsidP="0047698E">
            <w:pPr>
              <w:spacing w:after="0" w:line="274" w:lineRule="auto"/>
              <w:rPr>
                <w:rFonts w:ascii="Arial" w:hAnsi="Arial" w:cs="Arial"/>
                <w:b/>
                <w:bCs/>
                <w:szCs w:val="20"/>
              </w:rPr>
            </w:pPr>
            <w:r w:rsidRPr="00803C86">
              <w:rPr>
                <w:rFonts w:ascii="Arial" w:hAnsi="Arial" w:cs="Arial"/>
                <w:b/>
                <w:bCs/>
                <w:szCs w:val="20"/>
              </w:rPr>
              <w:t>Explanation</w:t>
            </w:r>
          </w:p>
        </w:tc>
      </w:tr>
      <w:tr w:rsidR="00794E11" w:rsidRPr="00803C86" w14:paraId="22BC224C" w14:textId="77777777" w:rsidTr="007C00FA">
        <w:trPr>
          <w:tblCellSpacing w:w="15" w:type="dxa"/>
        </w:trPr>
        <w:tc>
          <w:tcPr>
            <w:tcW w:w="2507" w:type="dxa"/>
            <w:vAlign w:val="center"/>
            <w:hideMark/>
          </w:tcPr>
          <w:p w14:paraId="7A296CB0" w14:textId="77777777" w:rsidR="00794E11" w:rsidRPr="00803C86" w:rsidRDefault="00794E11" w:rsidP="0047698E">
            <w:pPr>
              <w:spacing w:after="0" w:line="274" w:lineRule="auto"/>
              <w:rPr>
                <w:rFonts w:ascii="Arial" w:hAnsi="Arial" w:cs="Arial"/>
                <w:szCs w:val="20"/>
              </w:rPr>
            </w:pPr>
            <w:r w:rsidRPr="00803C86">
              <w:rPr>
                <w:rFonts w:ascii="Arial" w:hAnsi="Arial" w:cs="Arial"/>
                <w:b/>
                <w:bCs/>
                <w:szCs w:val="20"/>
              </w:rPr>
              <w:t>Credibility</w:t>
            </w:r>
          </w:p>
        </w:tc>
        <w:tc>
          <w:tcPr>
            <w:tcW w:w="1422" w:type="dxa"/>
            <w:vAlign w:val="center"/>
            <w:hideMark/>
          </w:tcPr>
          <w:p w14:paraId="223BA37C" w14:textId="77777777" w:rsidR="00794E11" w:rsidRPr="00803C86" w:rsidRDefault="00794E11" w:rsidP="0047698E">
            <w:pPr>
              <w:spacing w:after="0" w:line="274" w:lineRule="auto"/>
              <w:rPr>
                <w:rFonts w:ascii="Arial" w:hAnsi="Arial" w:cs="Arial"/>
                <w:szCs w:val="20"/>
              </w:rPr>
            </w:pPr>
            <w:r w:rsidRPr="00803C86">
              <w:rPr>
                <w:rFonts w:ascii="Arial" w:hAnsi="Arial" w:cs="Arial"/>
                <w:szCs w:val="20"/>
              </w:rPr>
              <w:t>High</w:t>
            </w:r>
          </w:p>
        </w:tc>
        <w:tc>
          <w:tcPr>
            <w:tcW w:w="0" w:type="auto"/>
            <w:vAlign w:val="center"/>
            <w:hideMark/>
          </w:tcPr>
          <w:p w14:paraId="64FB9626" w14:textId="77777777" w:rsidR="00794E11" w:rsidRPr="00803C86" w:rsidRDefault="00794E11" w:rsidP="0047698E">
            <w:pPr>
              <w:spacing w:after="0" w:line="274" w:lineRule="auto"/>
              <w:rPr>
                <w:rFonts w:ascii="Arial" w:hAnsi="Arial" w:cs="Arial"/>
                <w:szCs w:val="20"/>
              </w:rPr>
            </w:pPr>
            <w:r w:rsidRPr="00803C86">
              <w:rPr>
                <w:rFonts w:ascii="Arial" w:hAnsi="Arial" w:cs="Arial"/>
                <w:szCs w:val="20"/>
              </w:rPr>
              <w:t>Based on official documents and stakeholder interviews</w:t>
            </w:r>
          </w:p>
        </w:tc>
      </w:tr>
      <w:tr w:rsidR="00794E11" w:rsidRPr="00803C86" w14:paraId="278E59CE" w14:textId="77777777" w:rsidTr="007C00FA">
        <w:trPr>
          <w:tblCellSpacing w:w="15" w:type="dxa"/>
        </w:trPr>
        <w:tc>
          <w:tcPr>
            <w:tcW w:w="2507" w:type="dxa"/>
            <w:vAlign w:val="center"/>
            <w:hideMark/>
          </w:tcPr>
          <w:p w14:paraId="267C8611" w14:textId="77777777" w:rsidR="00794E11" w:rsidRPr="00803C86" w:rsidRDefault="00794E11" w:rsidP="0047698E">
            <w:pPr>
              <w:spacing w:after="0" w:line="274" w:lineRule="auto"/>
              <w:rPr>
                <w:rFonts w:ascii="Arial" w:hAnsi="Arial" w:cs="Arial"/>
                <w:szCs w:val="20"/>
              </w:rPr>
            </w:pPr>
            <w:r w:rsidRPr="00803C86">
              <w:rPr>
                <w:rFonts w:ascii="Arial" w:hAnsi="Arial" w:cs="Arial"/>
                <w:b/>
                <w:bCs/>
                <w:szCs w:val="20"/>
              </w:rPr>
              <w:t>Representativeness</w:t>
            </w:r>
          </w:p>
        </w:tc>
        <w:tc>
          <w:tcPr>
            <w:tcW w:w="1422" w:type="dxa"/>
            <w:vAlign w:val="center"/>
            <w:hideMark/>
          </w:tcPr>
          <w:p w14:paraId="12300675" w14:textId="77777777" w:rsidR="00794E11" w:rsidRPr="00803C86" w:rsidRDefault="00794E11" w:rsidP="0047698E">
            <w:pPr>
              <w:spacing w:after="0" w:line="274" w:lineRule="auto"/>
              <w:rPr>
                <w:rFonts w:ascii="Arial" w:hAnsi="Arial" w:cs="Arial"/>
                <w:szCs w:val="20"/>
              </w:rPr>
            </w:pPr>
            <w:r w:rsidRPr="00803C86">
              <w:rPr>
                <w:rFonts w:ascii="Arial" w:hAnsi="Arial" w:cs="Arial"/>
                <w:szCs w:val="20"/>
              </w:rPr>
              <w:t>High</w:t>
            </w:r>
          </w:p>
        </w:tc>
        <w:tc>
          <w:tcPr>
            <w:tcW w:w="0" w:type="auto"/>
            <w:vAlign w:val="center"/>
            <w:hideMark/>
          </w:tcPr>
          <w:p w14:paraId="57746688" w14:textId="77777777" w:rsidR="00794E11" w:rsidRPr="00803C86" w:rsidRDefault="00794E11" w:rsidP="0047698E">
            <w:pPr>
              <w:spacing w:after="0" w:line="274" w:lineRule="auto"/>
              <w:rPr>
                <w:rFonts w:ascii="Arial" w:hAnsi="Arial" w:cs="Arial"/>
                <w:szCs w:val="20"/>
              </w:rPr>
            </w:pPr>
            <w:r w:rsidRPr="00803C86">
              <w:rPr>
                <w:rFonts w:ascii="Arial" w:hAnsi="Arial" w:cs="Arial"/>
                <w:szCs w:val="20"/>
              </w:rPr>
              <w:t>Balanced mix of stakeholders across DFAT, HDMES, ASI, CH, STAs and IP.</w:t>
            </w:r>
          </w:p>
        </w:tc>
      </w:tr>
      <w:tr w:rsidR="00794E11" w:rsidRPr="00803C86" w14:paraId="133060AF" w14:textId="77777777" w:rsidTr="007C00FA">
        <w:trPr>
          <w:tblCellSpacing w:w="15" w:type="dxa"/>
        </w:trPr>
        <w:tc>
          <w:tcPr>
            <w:tcW w:w="2507" w:type="dxa"/>
            <w:vAlign w:val="center"/>
            <w:hideMark/>
          </w:tcPr>
          <w:p w14:paraId="1B180AFB" w14:textId="77777777" w:rsidR="00794E11" w:rsidRPr="00803C86" w:rsidRDefault="00794E11" w:rsidP="0047698E">
            <w:pPr>
              <w:spacing w:after="0" w:line="274" w:lineRule="auto"/>
              <w:rPr>
                <w:rFonts w:ascii="Arial" w:hAnsi="Arial" w:cs="Arial"/>
                <w:szCs w:val="20"/>
              </w:rPr>
            </w:pPr>
            <w:r w:rsidRPr="00803C86">
              <w:rPr>
                <w:rFonts w:ascii="Arial" w:hAnsi="Arial" w:cs="Arial"/>
                <w:b/>
                <w:bCs/>
                <w:szCs w:val="20"/>
              </w:rPr>
              <w:t>Triangulation</w:t>
            </w:r>
          </w:p>
        </w:tc>
        <w:tc>
          <w:tcPr>
            <w:tcW w:w="1422" w:type="dxa"/>
            <w:vAlign w:val="center"/>
            <w:hideMark/>
          </w:tcPr>
          <w:p w14:paraId="0469FC2E" w14:textId="77777777" w:rsidR="00794E11" w:rsidRPr="00803C86" w:rsidRDefault="00794E11" w:rsidP="0047698E">
            <w:pPr>
              <w:spacing w:after="0" w:line="274" w:lineRule="auto"/>
              <w:rPr>
                <w:rFonts w:ascii="Arial" w:hAnsi="Arial" w:cs="Arial"/>
                <w:szCs w:val="20"/>
              </w:rPr>
            </w:pPr>
            <w:r w:rsidRPr="00803C86">
              <w:rPr>
                <w:rFonts w:ascii="Arial" w:hAnsi="Arial" w:cs="Arial"/>
                <w:szCs w:val="20"/>
              </w:rPr>
              <w:t>Moderate</w:t>
            </w:r>
          </w:p>
        </w:tc>
        <w:tc>
          <w:tcPr>
            <w:tcW w:w="0" w:type="auto"/>
            <w:vAlign w:val="center"/>
            <w:hideMark/>
          </w:tcPr>
          <w:p w14:paraId="70FC1EA4" w14:textId="77777777" w:rsidR="00794E11" w:rsidRPr="00803C86" w:rsidRDefault="00794E11" w:rsidP="0047698E">
            <w:pPr>
              <w:spacing w:after="0" w:line="274" w:lineRule="auto"/>
              <w:rPr>
                <w:rFonts w:ascii="Arial" w:hAnsi="Arial" w:cs="Arial"/>
                <w:szCs w:val="20"/>
              </w:rPr>
            </w:pPr>
            <w:r w:rsidRPr="00803C86">
              <w:rPr>
                <w:rFonts w:ascii="Arial" w:hAnsi="Arial" w:cs="Arial"/>
                <w:szCs w:val="20"/>
              </w:rPr>
              <w:t xml:space="preserve">Multiple data types used, but uptake and influence tracking is limited. Some data sources may be biased. </w:t>
            </w:r>
          </w:p>
        </w:tc>
      </w:tr>
      <w:tr w:rsidR="00794E11" w:rsidRPr="00803C86" w14:paraId="7C6D5E5D" w14:textId="77777777" w:rsidTr="007C00FA">
        <w:trPr>
          <w:tblCellSpacing w:w="15" w:type="dxa"/>
        </w:trPr>
        <w:tc>
          <w:tcPr>
            <w:tcW w:w="2507" w:type="dxa"/>
            <w:vAlign w:val="center"/>
            <w:hideMark/>
          </w:tcPr>
          <w:p w14:paraId="41F9CAA7" w14:textId="77777777" w:rsidR="00794E11" w:rsidRPr="00803C86" w:rsidRDefault="00794E11" w:rsidP="0047698E">
            <w:pPr>
              <w:spacing w:after="0" w:line="274" w:lineRule="auto"/>
              <w:rPr>
                <w:rFonts w:ascii="Arial" w:hAnsi="Arial" w:cs="Arial"/>
                <w:szCs w:val="20"/>
              </w:rPr>
            </w:pPr>
            <w:r w:rsidRPr="00803C86">
              <w:rPr>
                <w:rFonts w:ascii="Arial" w:hAnsi="Arial" w:cs="Arial"/>
                <w:b/>
                <w:bCs/>
                <w:szCs w:val="20"/>
              </w:rPr>
              <w:t>Outcome-level Evidence</w:t>
            </w:r>
          </w:p>
        </w:tc>
        <w:tc>
          <w:tcPr>
            <w:tcW w:w="1422" w:type="dxa"/>
            <w:vAlign w:val="center"/>
            <w:hideMark/>
          </w:tcPr>
          <w:p w14:paraId="26E04189" w14:textId="77777777" w:rsidR="00794E11" w:rsidRPr="00803C86" w:rsidRDefault="00794E11" w:rsidP="0047698E">
            <w:pPr>
              <w:spacing w:after="0" w:line="274" w:lineRule="auto"/>
              <w:rPr>
                <w:rFonts w:ascii="Arial" w:hAnsi="Arial" w:cs="Arial"/>
                <w:szCs w:val="20"/>
              </w:rPr>
            </w:pPr>
            <w:r w:rsidRPr="00803C86">
              <w:rPr>
                <w:rFonts w:ascii="Arial" w:hAnsi="Arial" w:cs="Arial"/>
                <w:szCs w:val="20"/>
              </w:rPr>
              <w:t>Low-Moderate</w:t>
            </w:r>
          </w:p>
        </w:tc>
        <w:tc>
          <w:tcPr>
            <w:tcW w:w="0" w:type="auto"/>
            <w:vAlign w:val="center"/>
            <w:hideMark/>
          </w:tcPr>
          <w:p w14:paraId="043EE895" w14:textId="77777777" w:rsidR="00794E11" w:rsidRPr="00803C86" w:rsidRDefault="00794E11" w:rsidP="0047698E">
            <w:pPr>
              <w:spacing w:after="0" w:line="274" w:lineRule="auto"/>
              <w:rPr>
                <w:rFonts w:ascii="Arial" w:hAnsi="Arial" w:cs="Arial"/>
                <w:szCs w:val="20"/>
              </w:rPr>
            </w:pPr>
            <w:r w:rsidRPr="00803C86">
              <w:rPr>
                <w:rFonts w:ascii="Arial" w:hAnsi="Arial" w:cs="Arial"/>
                <w:szCs w:val="20"/>
              </w:rPr>
              <w:t>Strong on outputs; anecdotal evidence for application and impact.</w:t>
            </w:r>
          </w:p>
        </w:tc>
      </w:tr>
      <w:tr w:rsidR="00794E11" w:rsidRPr="00803C86" w14:paraId="0185CED4" w14:textId="77777777" w:rsidTr="007C00FA">
        <w:trPr>
          <w:tblCellSpacing w:w="15" w:type="dxa"/>
        </w:trPr>
        <w:tc>
          <w:tcPr>
            <w:tcW w:w="2507" w:type="dxa"/>
            <w:vAlign w:val="center"/>
            <w:hideMark/>
          </w:tcPr>
          <w:p w14:paraId="0ACA0582" w14:textId="77777777" w:rsidR="00794E11" w:rsidRPr="00803C86" w:rsidRDefault="00794E11" w:rsidP="0047698E">
            <w:pPr>
              <w:spacing w:after="0" w:line="274" w:lineRule="auto"/>
              <w:rPr>
                <w:rFonts w:ascii="Arial" w:hAnsi="Arial" w:cs="Arial"/>
                <w:szCs w:val="20"/>
              </w:rPr>
            </w:pPr>
            <w:r w:rsidRPr="00803C86">
              <w:rPr>
                <w:rFonts w:ascii="Arial" w:hAnsi="Arial" w:cs="Arial"/>
                <w:b/>
                <w:bCs/>
                <w:szCs w:val="20"/>
              </w:rPr>
              <w:t>Data Quality/ Completeness</w:t>
            </w:r>
          </w:p>
        </w:tc>
        <w:tc>
          <w:tcPr>
            <w:tcW w:w="1422" w:type="dxa"/>
            <w:vAlign w:val="center"/>
            <w:hideMark/>
          </w:tcPr>
          <w:p w14:paraId="0341F91D" w14:textId="77777777" w:rsidR="00794E11" w:rsidRPr="00803C86" w:rsidRDefault="00794E11" w:rsidP="0047698E">
            <w:pPr>
              <w:spacing w:after="0" w:line="274" w:lineRule="auto"/>
              <w:rPr>
                <w:rFonts w:ascii="Arial" w:hAnsi="Arial" w:cs="Arial"/>
                <w:szCs w:val="20"/>
              </w:rPr>
            </w:pPr>
            <w:r w:rsidRPr="00803C86">
              <w:rPr>
                <w:rFonts w:ascii="Arial" w:hAnsi="Arial" w:cs="Arial"/>
                <w:szCs w:val="20"/>
              </w:rPr>
              <w:t>Moderate</w:t>
            </w:r>
          </w:p>
        </w:tc>
        <w:tc>
          <w:tcPr>
            <w:tcW w:w="0" w:type="auto"/>
            <w:vAlign w:val="center"/>
            <w:hideMark/>
          </w:tcPr>
          <w:p w14:paraId="14FE7972" w14:textId="77777777" w:rsidR="00794E11" w:rsidRPr="00803C86" w:rsidRDefault="00794E11" w:rsidP="0047698E">
            <w:pPr>
              <w:spacing w:after="0" w:line="274" w:lineRule="auto"/>
              <w:rPr>
                <w:rFonts w:ascii="Arial" w:hAnsi="Arial" w:cs="Arial"/>
                <w:szCs w:val="20"/>
              </w:rPr>
            </w:pPr>
            <w:r w:rsidRPr="00803C86">
              <w:rPr>
                <w:rFonts w:ascii="Arial" w:hAnsi="Arial" w:cs="Arial"/>
                <w:szCs w:val="20"/>
              </w:rPr>
              <w:t>Some data gaps, especially on follow-up and feedback loops</w:t>
            </w:r>
          </w:p>
        </w:tc>
      </w:tr>
    </w:tbl>
    <w:p w14:paraId="055C5F47" w14:textId="77777777" w:rsidR="00794E11" w:rsidRDefault="00794E11" w:rsidP="00794E11">
      <w:pPr>
        <w:spacing w:after="120" w:line="274" w:lineRule="auto"/>
        <w:jc w:val="center"/>
        <w:rPr>
          <w:rStyle w:val="Heading1Char"/>
        </w:rPr>
        <w:sectPr w:rsidR="00794E11" w:rsidSect="00794E11">
          <w:pgSz w:w="11906" w:h="16838"/>
          <w:pgMar w:top="1440" w:right="1440" w:bottom="1440" w:left="1440" w:header="708" w:footer="708" w:gutter="0"/>
          <w:cols w:space="708"/>
          <w:docGrid w:linePitch="360"/>
        </w:sectPr>
      </w:pPr>
    </w:p>
    <w:p w14:paraId="508D3EFC" w14:textId="4F43E82A" w:rsidR="0013107A" w:rsidRDefault="0013107A" w:rsidP="0013107A">
      <w:pPr>
        <w:pStyle w:val="Style1"/>
      </w:pPr>
      <w:r>
        <w:lastRenderedPageBreak/>
        <w:t>findings</w:t>
      </w:r>
    </w:p>
    <w:p w14:paraId="34DFE6CF" w14:textId="77777777" w:rsidR="00794E11" w:rsidRPr="0046646F" w:rsidRDefault="00794E11" w:rsidP="0013107A">
      <w:pPr>
        <w:pStyle w:val="Heading1"/>
      </w:pPr>
      <w:bookmarkStart w:id="10" w:name="_Toc204241423"/>
      <w:r>
        <w:t>RELEVANCE</w:t>
      </w:r>
      <w:bookmarkEnd w:id="10"/>
      <w:r>
        <w:t xml:space="preserve"> </w:t>
      </w:r>
    </w:p>
    <w:p w14:paraId="0CA66FAA" w14:textId="77777777" w:rsidR="00794E11" w:rsidRPr="004938BA" w:rsidRDefault="00794E11" w:rsidP="00794E11">
      <w:pPr>
        <w:pStyle w:val="Heading3"/>
        <w:rPr>
          <w:color w:val="12528D"/>
        </w:rPr>
      </w:pPr>
      <w:bookmarkStart w:id="11" w:name="_Toc204241424"/>
      <w:r w:rsidRPr="004938BA">
        <w:rPr>
          <w:color w:val="12528D"/>
        </w:rPr>
        <w:t>Are the a) delivery approaches, b) implementing partners and c) suite of modalities suitable for achieving some of the investment’s intended outcomes?</w:t>
      </w:r>
      <w:bookmarkEnd w:id="11"/>
    </w:p>
    <w:p w14:paraId="681685C7" w14:textId="77777777" w:rsidR="00794E11" w:rsidRDefault="00794E11" w:rsidP="00794E11">
      <w:r w:rsidRPr="0046646F">
        <w:t xml:space="preserve">HDMES’s delivery approaches and suite of modalities were generally appropriate to achieving several of the investment’s intended outcomes, particularly at the </w:t>
      </w:r>
      <w:r>
        <w:t>program inception</w:t>
      </w:r>
      <w:r w:rsidRPr="0046646F">
        <w:t xml:space="preserve">. The centralised, independent MEL service provider model—managed by Adam Smith International in partnership with Clear Horizon—was well-suited to DFAT’s needs for flexibility, independent </w:t>
      </w:r>
      <w:r>
        <w:t xml:space="preserve">technical </w:t>
      </w:r>
      <w:r w:rsidRPr="0046646F">
        <w:t>oversight, and coverage of complex MEL tasks</w:t>
      </w:r>
      <w:r>
        <w:t>.  This suitability in the initial stage of HDMES was reinforced in i</w:t>
      </w:r>
      <w:r w:rsidRPr="00197BD0">
        <w:t xml:space="preserve">nterviews with stakeholders, annual program reporting, </w:t>
      </w:r>
      <w:r>
        <w:t>and evidence for the demand and uptake of services</w:t>
      </w:r>
      <w:r w:rsidRPr="0046646F">
        <w:t xml:space="preserve">. </w:t>
      </w:r>
    </w:p>
    <w:p w14:paraId="431705E6" w14:textId="77777777" w:rsidR="00794E11" w:rsidRDefault="00794E11" w:rsidP="00794E11">
      <w:r w:rsidRPr="0046646F">
        <w:t>The model’s demand-driven nature aligned with DFAT’s compliance and reporting requirements and allowed for a wide range of services, including evaluations, appraisals, cost-benefit analyses, and portfolio re</w:t>
      </w:r>
      <w:r w:rsidRPr="006D102D">
        <w:t xml:space="preserve">views. It helped fill a critical gap in </w:t>
      </w:r>
      <w:r>
        <w:t>DFAT’s</w:t>
      </w:r>
      <w:r w:rsidRPr="006D102D">
        <w:t xml:space="preserve"> capacity to manage MEL functions. The </w:t>
      </w:r>
      <w:r w:rsidRPr="002D396C">
        <w:t xml:space="preserve">inclusion of both remote and in-country personnel, along with access to a panel of MEL specialists, gave the program reach and agility, particularly during COVID-19 and post-pandemic recovery periods. </w:t>
      </w:r>
    </w:p>
    <w:p w14:paraId="654A23E4" w14:textId="7F2E42C0" w:rsidR="00794E11" w:rsidRDefault="00794E11" w:rsidP="00794E11">
      <w:r>
        <w:t xml:space="preserve">However, the demand-driven model and increasingly diminished governance (i.e., the lack of management committee meetings and joint planning) sometimes resulted in </w:t>
      </w:r>
      <w:bookmarkStart w:id="12" w:name="_Hlk201828596"/>
      <w:r>
        <w:t>reactive, fragmented taskings</w:t>
      </w:r>
      <w:bookmarkEnd w:id="12"/>
      <w:r>
        <w:t xml:space="preserve">, reducing the potential for proactive, portfolio-level support. Early challenges, including staffing gaps, uneven product quality, and delays also undermined the program’s relevance and effectiveness, </w:t>
      </w:r>
      <w:r w:rsidR="004938BA">
        <w:t xml:space="preserve">resulting in a low IRI rating and </w:t>
      </w:r>
      <w:r>
        <w:t xml:space="preserve">prompting a 2022 remediation </w:t>
      </w:r>
      <w:r w:rsidR="18DEC29B" w:rsidRPr="0E6AB92A">
        <w:rPr>
          <w:rFonts w:ascii="Arial" w:eastAsia="Arial" w:hAnsi="Arial" w:cs="Arial"/>
          <w:szCs w:val="20"/>
        </w:rPr>
        <w:t>plan.</w:t>
      </w:r>
      <w:r>
        <w:t xml:space="preserve"> Internal QA systems were strengthened in response to DFAT concerns about consultant quality, and the consultant pool was broadened to include specialist firms and individuals better matched to sector needs. These adaptations reflect a responsiveness to both operational constraints and shifts in strategic focus, however according to stakeholder feedback, the extent to which these measures have fully addressed underperformance remains mixed.</w:t>
      </w:r>
    </w:p>
    <w:p w14:paraId="684FCBC6" w14:textId="5A4FCEEE" w:rsidR="00794E11" w:rsidRDefault="00794E11" w:rsidP="00794E11">
      <w:r w:rsidRPr="677EB2AF">
        <w:t xml:space="preserve">The </w:t>
      </w:r>
      <w:r>
        <w:t xml:space="preserve">effectiveness of the </w:t>
      </w:r>
      <w:r w:rsidRPr="677EB2AF">
        <w:t xml:space="preserve">partnership between Clear Horizon and ASI varied depending on tasking and specific team members. </w:t>
      </w:r>
      <w:r>
        <w:t xml:space="preserve">Feedback in stakeholder interviews suggested that while </w:t>
      </w:r>
      <w:r w:rsidRPr="677EB2AF">
        <w:t xml:space="preserve">ASI </w:t>
      </w:r>
      <w:r>
        <w:t xml:space="preserve">supported in an administration role, </w:t>
      </w:r>
      <w:r w:rsidR="008E0FC8">
        <w:t xml:space="preserve">leveraging </w:t>
      </w:r>
      <w:r>
        <w:t xml:space="preserve">more </w:t>
      </w:r>
      <w:r w:rsidR="00877202">
        <w:t xml:space="preserve">of their established </w:t>
      </w:r>
      <w:r>
        <w:t xml:space="preserve">systems and processes </w:t>
      </w:r>
      <w:r w:rsidR="00877202">
        <w:t xml:space="preserve">(as a large organisation) </w:t>
      </w:r>
      <w:r>
        <w:t xml:space="preserve">would have greatly improved both operations and quality of products. </w:t>
      </w:r>
      <w:r w:rsidRPr="677EB2AF">
        <w:t xml:space="preserve">Clear Horizon’s technical inputs (when well-managed) were seen as valuable. </w:t>
      </w:r>
    </w:p>
    <w:p w14:paraId="584964FD" w14:textId="2BBDB3B8" w:rsidR="00794E11" w:rsidRDefault="00794E11" w:rsidP="00794E11">
      <w:r w:rsidRPr="0046646F">
        <w:t xml:space="preserve">Although HDMES removed its formal focus on engagement with the </w:t>
      </w:r>
      <w:proofErr w:type="spellStart"/>
      <w:r>
        <w:t>GoPNG</w:t>
      </w:r>
      <w:proofErr w:type="spellEnd"/>
      <w:r>
        <w:t xml:space="preserve"> in 2023</w:t>
      </w:r>
      <w:r w:rsidRPr="0046646F">
        <w:t>, it</w:t>
      </w:r>
      <w:r>
        <w:t xml:space="preserve"> is worthwhile noting that it</w:t>
      </w:r>
      <w:r w:rsidRPr="0046646F">
        <w:t>s outputs were broadly aligned with PNG’s development priorities. Evaluations such as the Health Portfolio Plan Mid-Term Review and Health Sector Improvement Program assessments, as well as tools like provincial profiles, supported DFAT programming consistent with PNG’s Vision 2050 and Medium-Term Development Plan. In some cases, evaluations incorporated consultations with provincial authorities and national departments, ensuring that local context informed programming despite limited institutional collaboration.</w:t>
      </w:r>
      <w:r w:rsidR="00A54D00">
        <w:t xml:space="preserve"> HDMES staff interviewed for this report did note that removing this focus also removed some of the perceived utility and relevance of the program, </w:t>
      </w:r>
      <w:r w:rsidR="005A4385">
        <w:t xml:space="preserve">ultimately </w:t>
      </w:r>
      <w:r w:rsidR="00A54D00">
        <w:t xml:space="preserve">lowering </w:t>
      </w:r>
      <w:r w:rsidR="005A4385">
        <w:t xml:space="preserve">staff </w:t>
      </w:r>
      <w:r w:rsidR="00A54D00">
        <w:t xml:space="preserve">retention </w:t>
      </w:r>
      <w:r w:rsidR="004D2740">
        <w:t>citing a lack of broader ‘purpose’ for the work.</w:t>
      </w:r>
    </w:p>
    <w:p w14:paraId="12B413A2" w14:textId="77777777" w:rsidR="00794E11" w:rsidRPr="00797AD1" w:rsidRDefault="00794E11" w:rsidP="00794E11">
      <w:pPr>
        <w:pStyle w:val="Heading3"/>
        <w:rPr>
          <w:color w:val="12528D"/>
        </w:rPr>
      </w:pPr>
      <w:bookmarkStart w:id="13" w:name="_Toc204241425"/>
      <w:r w:rsidRPr="00797AD1">
        <w:rPr>
          <w:color w:val="12528D"/>
        </w:rPr>
        <w:t>How did the program adapt to the changing needs of the context?</w:t>
      </w:r>
      <w:bookmarkEnd w:id="13"/>
    </w:p>
    <w:p w14:paraId="2161D989" w14:textId="77777777" w:rsidR="00794E11" w:rsidRDefault="00794E11" w:rsidP="00794E11">
      <w:r w:rsidRPr="0046646F">
        <w:t xml:space="preserve">HDMES demonstrated adaptability in response to contextual shifts, particularly during the COVID-19 pandemic. It pivoted swiftly to remote delivery models, introduced a COVID-19-specific Performance </w:t>
      </w:r>
      <w:r w:rsidRPr="0046646F">
        <w:lastRenderedPageBreak/>
        <w:t xml:space="preserve">Assessment Framework, and implemented a business continuity plan to sustain MEL functions during travel restrictions. </w:t>
      </w:r>
    </w:p>
    <w:p w14:paraId="41E332A3" w14:textId="18C9D22F" w:rsidR="00794E11" w:rsidRDefault="00794E11" w:rsidP="00794E11">
      <w:r>
        <w:t>While HDMES provided valuable technical translation and quality assurance support at inception, the model struggled to adapt to evolving DFAT priorities for pragmatic, strategic support over technical M&amp;E excellence. A lack of buy-in</w:t>
      </w:r>
      <w:r w:rsidR="00797AD1">
        <w:t xml:space="preserve"> from</w:t>
      </w:r>
      <w:r>
        <w:t xml:space="preserve"> some AHC </w:t>
      </w:r>
      <w:r w:rsidR="00797AD1">
        <w:t>staff</w:t>
      </w:r>
      <w:r>
        <w:t xml:space="preserve"> further limited its integration into broader operations. The program responded to DFAT’s evolving strategic priorities by expanding its product suite (e.g., cost-benefit analyses, infographics) and by placing greater emphasis on value for money and GEDSI integration. However, stakeholder interviews noted that these attempts were often unsuccessful due to overlap with other initiatives and inconsistent demand signals from DFAT. Similarly, DFAT’s task-focused engagement with the service, combined with minimal capacity to engage in reflective learning, </w:t>
      </w:r>
      <w:r w:rsidR="00797AD1">
        <w:t xml:space="preserve">constrained </w:t>
      </w:r>
      <w:r>
        <w:t>HDMES’</w:t>
      </w:r>
      <w:r w:rsidR="00797AD1">
        <w:t xml:space="preserve"> ability to adapt</w:t>
      </w:r>
      <w:r>
        <w:t xml:space="preserve">. </w:t>
      </w:r>
      <w:r w:rsidR="00797AD1">
        <w:t xml:space="preserve">The </w:t>
      </w:r>
      <w:r w:rsidR="005A4385">
        <w:t xml:space="preserve">changing needs and </w:t>
      </w:r>
      <w:r w:rsidR="00797AD1">
        <w:t>adjustment in scope of HDMES’ work over time lead to confusion within DFAT and HDMES regarding the programs purpose.</w:t>
      </w:r>
    </w:p>
    <w:p w14:paraId="441A7733" w14:textId="11911E0F" w:rsidR="00794E11" w:rsidRDefault="00794E11" w:rsidP="00794E11">
      <w:r w:rsidRPr="0046646F">
        <w:t xml:space="preserve">While HDMES adapted operationally and strategically in some areas, further work is needed to embed lessons learned, address inclusion gaps, and </w:t>
      </w:r>
      <w:r w:rsidR="00797AD1">
        <w:t>clarify</w:t>
      </w:r>
      <w:r w:rsidR="00797AD1" w:rsidRPr="0046646F">
        <w:t xml:space="preserve"> </w:t>
      </w:r>
      <w:r w:rsidRPr="0046646F">
        <w:t>its role as a proactive learning partner.</w:t>
      </w:r>
    </w:p>
    <w:p w14:paraId="465BAD27" w14:textId="77777777" w:rsidR="00794E11" w:rsidRPr="00075830" w:rsidRDefault="00794E11" w:rsidP="0013107A">
      <w:pPr>
        <w:pStyle w:val="Heading2"/>
        <w:rPr>
          <w:color w:val="auto"/>
        </w:rPr>
      </w:pPr>
      <w:bookmarkStart w:id="14" w:name="_Toc204241426"/>
      <w:r w:rsidRPr="00075830">
        <w:rPr>
          <w:color w:val="auto"/>
        </w:rPr>
        <w:t>Recommendations</w:t>
      </w:r>
      <w:bookmarkEnd w:id="14"/>
      <w:r w:rsidRPr="00075830">
        <w:rPr>
          <w:color w:val="auto"/>
        </w:rPr>
        <w:t xml:space="preserve"> </w:t>
      </w:r>
    </w:p>
    <w:p w14:paraId="460E91E6" w14:textId="5775788C" w:rsidR="00794E11" w:rsidRPr="00656FAD" w:rsidRDefault="0013107A" w:rsidP="0013107A">
      <w:r w:rsidRPr="0E6AB92A">
        <w:rPr>
          <w:b/>
          <w:bCs/>
        </w:rPr>
        <w:t>1.</w:t>
      </w:r>
      <w:r>
        <w:t xml:space="preserve">1. </w:t>
      </w:r>
      <w:r w:rsidR="00794E11" w:rsidRPr="0E6AB92A">
        <w:rPr>
          <w:b/>
          <w:bCs/>
        </w:rPr>
        <w:t xml:space="preserve">Shift to a proactive, portfolio-level MEL strategy with clear learning objectives: </w:t>
      </w:r>
      <w:r w:rsidR="00794E11">
        <w:t xml:space="preserve">DFAT’s current approach—focused on responding to individual service requests and discrete tasks—has resulted in reactive, fragmented engagement with HDMES that misses opportunities for portfolio-level learning. </w:t>
      </w:r>
      <w:r w:rsidR="00841E99">
        <w:t xml:space="preserve">Should the program continue beyond the extension year, </w:t>
      </w:r>
      <w:r w:rsidR="00794E11">
        <w:t xml:space="preserve">DFAT </w:t>
      </w:r>
      <w:r w:rsidR="00A54D00">
        <w:t xml:space="preserve">could </w:t>
      </w:r>
      <w:r w:rsidR="00794E11">
        <w:t>consider establishing a proactive MEL strategy</w:t>
      </w:r>
      <w:r w:rsidR="00A54D00">
        <w:t xml:space="preserve"> for the Health and Education portfolios </w:t>
      </w:r>
      <w:r w:rsidR="00794E11">
        <w:t xml:space="preserve">that combines responsive services with clear learning objectives and a structured learning agenda, rather than using it primarily for compliance and reporting. This would strengthen the link between MEL activities, reflection, and adaptive management, and could include periodic learning reviews, synthesis reports, and closer integration of evaluations with programming decisions. </w:t>
      </w:r>
    </w:p>
    <w:p w14:paraId="38001180" w14:textId="0A6D4287" w:rsidR="00794E11" w:rsidRDefault="0013107A" w:rsidP="00794E11">
      <w:r w:rsidRPr="0E6AB92A">
        <w:rPr>
          <w:b/>
          <w:bCs/>
        </w:rPr>
        <w:t xml:space="preserve">1.2. </w:t>
      </w:r>
      <w:r w:rsidR="00794E11" w:rsidRPr="0E6AB92A">
        <w:rPr>
          <w:b/>
          <w:bCs/>
        </w:rPr>
        <w:t>Position HDMES as a strategic partner:</w:t>
      </w:r>
      <w:r w:rsidR="00794E11">
        <w:t xml:space="preserve"> </w:t>
      </w:r>
      <w:r w:rsidR="00841E99">
        <w:t>DFAT’s</w:t>
      </w:r>
      <w:r w:rsidR="00841E99" w:rsidRPr="00841E99">
        <w:t xml:space="preserve"> </w:t>
      </w:r>
      <w:r w:rsidR="00841E99">
        <w:t>Investment Concept Note</w:t>
      </w:r>
      <w:r w:rsidR="00841E99" w:rsidRPr="00841E99">
        <w:t xml:space="preserve"> describes HDMES as providing oversight to whole-of-Portfolio M&amp;E for both Health and Education. </w:t>
      </w:r>
      <w:r w:rsidR="00841E99">
        <w:t xml:space="preserve">In order to achieve this goal, </w:t>
      </w:r>
      <w:r w:rsidR="00A54D00">
        <w:t>DFAT should engage</w:t>
      </w:r>
      <w:r w:rsidR="00794E11">
        <w:t xml:space="preserve"> HDMES earlier in planning </w:t>
      </w:r>
      <w:r w:rsidR="00D21D27">
        <w:t>cycles, empowering</w:t>
      </w:r>
      <w:r w:rsidR="00A54D00">
        <w:t xml:space="preserve"> the program</w:t>
      </w:r>
      <w:r w:rsidR="00794E11">
        <w:t xml:space="preserve"> to advise on MEL priorities and approaches, beyond technical compliance.</w:t>
      </w:r>
      <w:r w:rsidR="00A54D00">
        <w:t xml:space="preserve"> </w:t>
      </w:r>
    </w:p>
    <w:p w14:paraId="75AC3962" w14:textId="7AE6C30D" w:rsidR="00794E11" w:rsidRPr="001868CE" w:rsidRDefault="0013107A" w:rsidP="00794E11">
      <w:r w:rsidRPr="0E6AB92A">
        <w:rPr>
          <w:b/>
          <w:bCs/>
        </w:rPr>
        <w:t xml:space="preserve">1.3. </w:t>
      </w:r>
      <w:r w:rsidR="00794E11" w:rsidRPr="0E6AB92A">
        <w:rPr>
          <w:b/>
          <w:bCs/>
        </w:rPr>
        <w:t>Keep the independent, centralised MEL service with flexible modalities:</w:t>
      </w:r>
      <w:r w:rsidR="00794E11">
        <w:t xml:space="preserve"> The independent structure provided necessary oversight and technical expertise, with the flexibility to cover a wide range of MEL tasks. The inclusion of both remote and in-country personnel, as well as access to a specialist panel, remains valuable for reach and agility, particularly in crisis contexts. This capacity for operational agility should be retained and built upon by strengthening local capacity to lead tasks.</w:t>
      </w:r>
    </w:p>
    <w:p w14:paraId="6B22554B" w14:textId="5A540313" w:rsidR="00794E11" w:rsidRDefault="0013107A" w:rsidP="00794E11">
      <w:r w:rsidRPr="0E6AB92A">
        <w:rPr>
          <w:b/>
          <w:bCs/>
        </w:rPr>
        <w:t xml:space="preserve">1.4. </w:t>
      </w:r>
      <w:r w:rsidR="00794E11" w:rsidRPr="0E6AB92A">
        <w:rPr>
          <w:b/>
          <w:bCs/>
        </w:rPr>
        <w:t xml:space="preserve">Stronger mechanisms for engaging </w:t>
      </w:r>
      <w:proofErr w:type="spellStart"/>
      <w:r w:rsidR="00794E11" w:rsidRPr="0E6AB92A">
        <w:rPr>
          <w:b/>
          <w:bCs/>
        </w:rPr>
        <w:t>GoPNG</w:t>
      </w:r>
      <w:proofErr w:type="spellEnd"/>
      <w:r w:rsidR="00794E11" w:rsidRPr="0E6AB92A">
        <w:rPr>
          <w:b/>
          <w:bCs/>
        </w:rPr>
        <w:t xml:space="preserve"> and local actors:</w:t>
      </w:r>
      <w:r w:rsidR="00794E11">
        <w:t xml:space="preserve"> </w:t>
      </w:r>
      <w:r w:rsidR="004D2740" w:rsidRPr="004D2740">
        <w:t xml:space="preserve">To better align with DFAT’s M&amp;E Standard 5 (Use of Local Systems) – which states that “where feasible, monitoring should draw on and strengthen partner government systems and data sources” – DFAT </w:t>
      </w:r>
      <w:r w:rsidR="004D2740">
        <w:t xml:space="preserve">and HDMES </w:t>
      </w:r>
      <w:r w:rsidR="004D2740" w:rsidRPr="004D2740">
        <w:t>could create opportunities for structured local consultation and capacity strengthening within planned MEL activities</w:t>
      </w:r>
      <w:r w:rsidR="004D2740">
        <w:t xml:space="preserve">, documenting the results. </w:t>
      </w:r>
      <w:r w:rsidR="004D2740" w:rsidRPr="004D2740">
        <w:t xml:space="preserve"> While formal </w:t>
      </w:r>
      <w:proofErr w:type="spellStart"/>
      <w:r w:rsidR="004D2740" w:rsidRPr="004D2740">
        <w:t>GoPNG</w:t>
      </w:r>
      <w:proofErr w:type="spellEnd"/>
      <w:r w:rsidR="004D2740" w:rsidRPr="004D2740">
        <w:t xml:space="preserve"> engagement is no longer an intended outcome, this approach would support localisation priorities and enable local staff to play a more meaningful role.</w:t>
      </w:r>
      <w:r w:rsidR="004D2740">
        <w:t xml:space="preserve"> </w:t>
      </w:r>
    </w:p>
    <w:p w14:paraId="1F2EFF48" w14:textId="77777777" w:rsidR="00794E11" w:rsidRPr="00FA700C" w:rsidRDefault="00794E11" w:rsidP="00794E11">
      <w:pPr>
        <w:pStyle w:val="Heading1"/>
      </w:pPr>
      <w:bookmarkStart w:id="15" w:name="_Toc204241427"/>
      <w:r w:rsidRPr="00286280">
        <w:t>EFFECTIVENES</w:t>
      </w:r>
      <w:r>
        <w:t>S</w:t>
      </w:r>
      <w:bookmarkEnd w:id="15"/>
    </w:p>
    <w:p w14:paraId="69042952" w14:textId="77777777" w:rsidR="00794E11" w:rsidRPr="004D2740" w:rsidRDefault="00794E11" w:rsidP="00794E11">
      <w:pPr>
        <w:pStyle w:val="Heading3"/>
        <w:rPr>
          <w:color w:val="12528D"/>
        </w:rPr>
      </w:pPr>
      <w:bookmarkStart w:id="16" w:name="_Toc204241428"/>
      <w:r w:rsidRPr="004D2740">
        <w:rPr>
          <w:color w:val="12528D"/>
        </w:rPr>
        <w:lastRenderedPageBreak/>
        <w:t>To what extent has HDMES achieved its EOIOs and intermediate outcomes?</w:t>
      </w:r>
      <w:bookmarkEnd w:id="16"/>
    </w:p>
    <w:p w14:paraId="5FB22985" w14:textId="77777777" w:rsidR="00794E11" w:rsidRDefault="00794E11" w:rsidP="00794E11">
      <w:r w:rsidRPr="00BB4985">
        <w:t xml:space="preserve">HDMES has made </w:t>
      </w:r>
      <w:r>
        <w:t xml:space="preserve">some </w:t>
      </w:r>
      <w:r w:rsidRPr="00BB4985">
        <w:t xml:space="preserve">measurable, but uneven, progress toward achieving its EOIOs and associated intermediate outcomes. </w:t>
      </w:r>
    </w:p>
    <w:p w14:paraId="50EFC163" w14:textId="77777777" w:rsidR="00794E11" w:rsidRPr="00272F8E" w:rsidRDefault="00794E11" w:rsidP="00794E11">
      <w:pPr>
        <w:rPr>
          <w:b/>
          <w:bCs/>
          <w:i/>
          <w:iCs/>
        </w:rPr>
      </w:pPr>
      <w:r w:rsidRPr="00352FE1">
        <w:rPr>
          <w:b/>
          <w:bCs/>
          <w:i/>
          <w:iCs/>
        </w:rPr>
        <w:t>EOIO1: AHC and implementing partners (IPs) use evidence to improve programming. </w:t>
      </w:r>
    </w:p>
    <w:p w14:paraId="18DAC64A" w14:textId="77C33E29" w:rsidR="00794E11" w:rsidRPr="00BB4985" w:rsidRDefault="00794E11" w:rsidP="00794E11">
      <w:r>
        <w:t>HDMES produced a substantial body of work that contributed to evidence-based decision-making. Key outputs included major evaluations, cost-benefit analyses, appraisals, meta-analyses, and reviews, such as the TVET review, the health strategy meta-analysis, and the PIE CBA. In 2024</w:t>
      </w:r>
      <w:r w:rsidR="004D2740">
        <w:t xml:space="preserve"> alone</w:t>
      </w:r>
      <w:r>
        <w:t xml:space="preserve">, HDMES delivered 66 of 77 planned products, encompassing technical advisory inputs, QA, and significant reviews (e.g., PATH Mid-Term Review, HSIP Technical Assistance review). Interviews with DFAT staff found that </w:t>
      </w:r>
      <w:r w:rsidR="004D2740">
        <w:t xml:space="preserve">HDMES </w:t>
      </w:r>
      <w:r>
        <w:t>products</w:t>
      </w:r>
      <w:r w:rsidR="004D2740">
        <w:t xml:space="preserve"> of the life of the program</w:t>
      </w:r>
      <w:r>
        <w:t xml:space="preserve"> supported adjustments to key investments</w:t>
      </w:r>
      <w:r w:rsidR="004D2740">
        <w:t xml:space="preserve">. Notable outcomes include </w:t>
      </w:r>
      <w:r>
        <w:t>the redesign of the Health Portfolio following SRHIP and PSF evaluations, and the modification or discontinuation of underperforming mechanisms, such as the GEDSI Tuition Subsidy in the Education and Leadership portfolio.</w:t>
      </w:r>
    </w:p>
    <w:p w14:paraId="1C10FFD1" w14:textId="77777777" w:rsidR="004D2740" w:rsidRDefault="00794E11" w:rsidP="00794E11">
      <w:r w:rsidRPr="677EB2AF">
        <w:t xml:space="preserve">Intermediate outcomes relating to MEL system improvement and evidence use were more consistently achieved in the health sector. Here, HDMES played a visible role in strengthening IP MEL systems through targeted feedback, QA processes, and facilitation of reflection and learning. Examples include HDMES’s QA of reports and evaluations for partners like PATH and AIHSS, and its support for portfolio-level learning in areas such as immunisation and health service delivery. </w:t>
      </w:r>
    </w:p>
    <w:p w14:paraId="1BF5B7C3" w14:textId="5B09A522" w:rsidR="00794E11" w:rsidRDefault="00794E11" w:rsidP="00794E11">
      <w:r w:rsidRPr="677EB2AF">
        <w:t xml:space="preserve">In contrast, progress in Education was less consistent, </w:t>
      </w:r>
      <w:r w:rsidR="00351D96">
        <w:t xml:space="preserve">with the exception of evaluations for PIE, </w:t>
      </w:r>
      <w:r w:rsidRPr="677EB2AF">
        <w:t>with HDMES less engaged by DFAT. While HDMES produced high-quality outputs, these were sometimes viewed by stakeholders as overly complex or insufficiently tailored to sector needs, limiting their perceived strategic value.</w:t>
      </w:r>
    </w:p>
    <w:p w14:paraId="3C977421" w14:textId="77777777" w:rsidR="00794E11" w:rsidRPr="00F70D1F" w:rsidRDefault="00794E11" w:rsidP="00794E11">
      <w:r w:rsidRPr="677EB2AF">
        <w:t xml:space="preserve">These </w:t>
      </w:r>
      <w:r>
        <w:t>projects</w:t>
      </w:r>
      <w:r w:rsidRPr="677EB2AF">
        <w:t xml:space="preserve"> were cited </w:t>
      </w:r>
      <w:r>
        <w:t xml:space="preserve">by DFAT </w:t>
      </w:r>
      <w:r w:rsidRPr="677EB2AF">
        <w:t>as useful, well-received, or impactful in informing decision-making:</w:t>
      </w:r>
    </w:p>
    <w:tbl>
      <w:tblPr>
        <w:tblStyle w:val="TablePlain"/>
        <w:tblW w:w="0" w:type="auto"/>
        <w:tblLook w:val="04A0" w:firstRow="1" w:lastRow="0" w:firstColumn="1" w:lastColumn="0" w:noHBand="0" w:noVBand="1"/>
      </w:tblPr>
      <w:tblGrid>
        <w:gridCol w:w="3074"/>
        <w:gridCol w:w="5862"/>
      </w:tblGrid>
      <w:tr w:rsidR="00794E11" w:rsidRPr="00F70D1F" w14:paraId="75961ADA" w14:textId="77777777" w:rsidTr="000F583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74" w:type="dxa"/>
            <w:hideMark/>
          </w:tcPr>
          <w:p w14:paraId="194EE9FC" w14:textId="77777777" w:rsidR="00794E11" w:rsidRPr="00F70D1F" w:rsidRDefault="00794E11" w:rsidP="00E56F94">
            <w:pPr>
              <w:spacing w:after="0" w:line="274" w:lineRule="auto"/>
              <w:rPr>
                <w:rFonts w:ascii="Arial" w:hAnsi="Arial" w:cs="Arial"/>
                <w:b/>
                <w:bCs/>
                <w:szCs w:val="20"/>
              </w:rPr>
            </w:pPr>
            <w:r w:rsidRPr="00F70D1F">
              <w:rPr>
                <w:rFonts w:ascii="Arial" w:hAnsi="Arial" w:cs="Arial"/>
                <w:b/>
                <w:bCs/>
                <w:szCs w:val="20"/>
              </w:rPr>
              <w:t>Project / Evaluation</w:t>
            </w:r>
          </w:p>
        </w:tc>
        <w:tc>
          <w:tcPr>
            <w:tcW w:w="5862" w:type="dxa"/>
            <w:hideMark/>
          </w:tcPr>
          <w:p w14:paraId="037333C7" w14:textId="77777777" w:rsidR="00794E11" w:rsidRPr="00F70D1F" w:rsidRDefault="00794E11" w:rsidP="00E56F94">
            <w:pPr>
              <w:spacing w:after="0" w:line="274" w:lineRule="auto"/>
              <w:cnfStyle w:val="100000000000" w:firstRow="1" w:lastRow="0" w:firstColumn="0" w:lastColumn="0" w:oddVBand="0" w:evenVBand="0" w:oddHBand="0" w:evenHBand="0" w:firstRowFirstColumn="0" w:firstRowLastColumn="0" w:lastRowFirstColumn="0" w:lastRowLastColumn="0"/>
              <w:rPr>
                <w:rFonts w:ascii="Arial" w:hAnsi="Arial" w:cs="Arial"/>
                <w:b/>
                <w:bCs/>
                <w:szCs w:val="20"/>
              </w:rPr>
            </w:pPr>
            <w:r>
              <w:rPr>
                <w:rFonts w:ascii="Arial" w:hAnsi="Arial" w:cs="Arial"/>
                <w:b/>
                <w:bCs/>
                <w:szCs w:val="20"/>
              </w:rPr>
              <w:t>Why</w:t>
            </w:r>
          </w:p>
        </w:tc>
      </w:tr>
      <w:tr w:rsidR="00794E11" w:rsidRPr="00F70D1F" w14:paraId="0A850950" w14:textId="77777777" w:rsidTr="0E6AB9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4" w:type="dxa"/>
            <w:hideMark/>
          </w:tcPr>
          <w:p w14:paraId="1A911AED" w14:textId="77777777" w:rsidR="00794E11" w:rsidRPr="00F70D1F" w:rsidRDefault="00794E11" w:rsidP="00E56F94">
            <w:pPr>
              <w:spacing w:after="0" w:line="274" w:lineRule="auto"/>
              <w:rPr>
                <w:rFonts w:ascii="Arial" w:hAnsi="Arial" w:cs="Arial"/>
                <w:szCs w:val="20"/>
              </w:rPr>
            </w:pPr>
            <w:r w:rsidRPr="00F70D1F">
              <w:rPr>
                <w:rFonts w:ascii="Arial" w:hAnsi="Arial" w:cs="Arial"/>
                <w:szCs w:val="20"/>
              </w:rPr>
              <w:t>TVET Strategic Review</w:t>
            </w:r>
          </w:p>
        </w:tc>
        <w:tc>
          <w:tcPr>
            <w:tcW w:w="5862" w:type="dxa"/>
            <w:hideMark/>
          </w:tcPr>
          <w:p w14:paraId="4BC2C825" w14:textId="77777777" w:rsidR="00794E11" w:rsidRPr="00F70D1F" w:rsidRDefault="00794E11" w:rsidP="00E56F94">
            <w:pPr>
              <w:spacing w:after="0" w:line="274"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F70D1F">
              <w:rPr>
                <w:rFonts w:ascii="Arial" w:hAnsi="Arial" w:cs="Arial"/>
                <w:szCs w:val="20"/>
              </w:rPr>
              <w:t>Positioned DFAT on TVET reform, informed Joint Statement of Intent; well-received despite minor delays</w:t>
            </w:r>
          </w:p>
        </w:tc>
      </w:tr>
      <w:tr w:rsidR="00794E11" w:rsidRPr="00F70D1F" w14:paraId="20B22343" w14:textId="77777777" w:rsidTr="0E6AB92A">
        <w:tc>
          <w:tcPr>
            <w:cnfStyle w:val="001000000000" w:firstRow="0" w:lastRow="0" w:firstColumn="1" w:lastColumn="0" w:oddVBand="0" w:evenVBand="0" w:oddHBand="0" w:evenHBand="0" w:firstRowFirstColumn="0" w:firstRowLastColumn="0" w:lastRowFirstColumn="0" w:lastRowLastColumn="0"/>
            <w:tcW w:w="3074" w:type="dxa"/>
            <w:hideMark/>
          </w:tcPr>
          <w:p w14:paraId="2CC2FBAF" w14:textId="77777777" w:rsidR="00794E11" w:rsidRPr="00F70D1F" w:rsidRDefault="00794E11" w:rsidP="00E56F94">
            <w:pPr>
              <w:spacing w:after="0" w:line="274" w:lineRule="auto"/>
              <w:rPr>
                <w:rFonts w:ascii="Arial" w:hAnsi="Arial" w:cs="Arial"/>
                <w:szCs w:val="20"/>
              </w:rPr>
            </w:pPr>
            <w:r w:rsidRPr="00F70D1F">
              <w:rPr>
                <w:rFonts w:ascii="Arial" w:hAnsi="Arial" w:cs="Arial"/>
                <w:szCs w:val="20"/>
              </w:rPr>
              <w:t>PNG Secondary Education Program (PSEP) evaluation</w:t>
            </w:r>
          </w:p>
        </w:tc>
        <w:tc>
          <w:tcPr>
            <w:tcW w:w="5862" w:type="dxa"/>
            <w:hideMark/>
          </w:tcPr>
          <w:p w14:paraId="4F3E3633" w14:textId="77777777" w:rsidR="00794E11" w:rsidRPr="00F70D1F" w:rsidRDefault="00794E11" w:rsidP="00E56F94">
            <w:pPr>
              <w:spacing w:after="0" w:line="274"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F70D1F">
              <w:rPr>
                <w:rFonts w:ascii="Arial" w:hAnsi="Arial" w:cs="Arial"/>
                <w:szCs w:val="20"/>
              </w:rPr>
              <w:t xml:space="preserve">Helped confirm inadequacy of design, supported advocacy and program redesign </w:t>
            </w:r>
          </w:p>
        </w:tc>
      </w:tr>
      <w:tr w:rsidR="00794E11" w:rsidRPr="00F70D1F" w14:paraId="18B80C2B" w14:textId="77777777" w:rsidTr="0E6AB9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4" w:type="dxa"/>
            <w:hideMark/>
          </w:tcPr>
          <w:p w14:paraId="6CFF87EB" w14:textId="77777777" w:rsidR="00794E11" w:rsidRPr="00F70D1F" w:rsidRDefault="00794E11" w:rsidP="00E56F94">
            <w:pPr>
              <w:spacing w:after="0" w:line="274" w:lineRule="auto"/>
              <w:rPr>
                <w:rFonts w:ascii="Arial" w:hAnsi="Arial" w:cs="Arial"/>
                <w:szCs w:val="20"/>
              </w:rPr>
            </w:pPr>
            <w:r w:rsidRPr="00F70D1F">
              <w:rPr>
                <w:rFonts w:ascii="Arial" w:hAnsi="Arial" w:cs="Arial"/>
                <w:szCs w:val="20"/>
              </w:rPr>
              <w:t xml:space="preserve">Education in Emergencies Program </w:t>
            </w:r>
            <w:r>
              <w:rPr>
                <w:rFonts w:ascii="Arial" w:hAnsi="Arial" w:cs="Arial"/>
                <w:szCs w:val="20"/>
              </w:rPr>
              <w:t>E</w:t>
            </w:r>
            <w:r w:rsidRPr="00F70D1F">
              <w:rPr>
                <w:rFonts w:ascii="Arial" w:hAnsi="Arial" w:cs="Arial"/>
                <w:szCs w:val="20"/>
              </w:rPr>
              <w:t>valuation</w:t>
            </w:r>
          </w:p>
        </w:tc>
        <w:tc>
          <w:tcPr>
            <w:tcW w:w="5862" w:type="dxa"/>
            <w:hideMark/>
          </w:tcPr>
          <w:p w14:paraId="220E469F" w14:textId="77777777" w:rsidR="00794E11" w:rsidRPr="00F70D1F" w:rsidRDefault="00794E11" w:rsidP="00E56F94">
            <w:pPr>
              <w:spacing w:after="0" w:line="274"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F70D1F">
              <w:rPr>
                <w:rFonts w:ascii="Arial" w:hAnsi="Arial" w:cs="Arial"/>
                <w:szCs w:val="20"/>
              </w:rPr>
              <w:t>Reinforced existing beliefs on scope and effectiveness</w:t>
            </w:r>
          </w:p>
        </w:tc>
      </w:tr>
      <w:tr w:rsidR="00794E11" w:rsidRPr="00F70D1F" w14:paraId="77DB8BD6" w14:textId="77777777" w:rsidTr="0E6AB92A">
        <w:tc>
          <w:tcPr>
            <w:cnfStyle w:val="001000000000" w:firstRow="0" w:lastRow="0" w:firstColumn="1" w:lastColumn="0" w:oddVBand="0" w:evenVBand="0" w:oddHBand="0" w:evenHBand="0" w:firstRowFirstColumn="0" w:firstRowLastColumn="0" w:lastRowFirstColumn="0" w:lastRowLastColumn="0"/>
            <w:tcW w:w="3074" w:type="dxa"/>
            <w:hideMark/>
          </w:tcPr>
          <w:p w14:paraId="67B78F42" w14:textId="77777777" w:rsidR="00794E11" w:rsidRPr="00F70D1F" w:rsidRDefault="00794E11" w:rsidP="00E56F94">
            <w:pPr>
              <w:spacing w:after="0" w:line="274" w:lineRule="auto"/>
              <w:rPr>
                <w:rFonts w:ascii="Arial" w:hAnsi="Arial" w:cs="Arial"/>
                <w:szCs w:val="20"/>
              </w:rPr>
            </w:pPr>
            <w:r w:rsidRPr="00F70D1F">
              <w:rPr>
                <w:rFonts w:ascii="Arial" w:hAnsi="Arial" w:cs="Arial"/>
                <w:szCs w:val="20"/>
              </w:rPr>
              <w:t>Meta-Analysis of Health Evaluations</w:t>
            </w:r>
            <w:r w:rsidRPr="00C116F7">
              <w:rPr>
                <w:rFonts w:ascii="Arial" w:hAnsi="Arial" w:cs="Arial"/>
                <w:szCs w:val="20"/>
              </w:rPr>
              <w:t xml:space="preserve"> </w:t>
            </w:r>
            <w:r w:rsidRPr="00F70D1F">
              <w:rPr>
                <w:rFonts w:ascii="Arial" w:hAnsi="Arial" w:cs="Arial"/>
                <w:szCs w:val="20"/>
              </w:rPr>
              <w:t>and facilitated reflection</w:t>
            </w:r>
          </w:p>
        </w:tc>
        <w:tc>
          <w:tcPr>
            <w:tcW w:w="5862" w:type="dxa"/>
            <w:hideMark/>
          </w:tcPr>
          <w:p w14:paraId="07FFB551" w14:textId="77777777" w:rsidR="00794E11" w:rsidRPr="00F70D1F" w:rsidRDefault="00794E11" w:rsidP="00E56F94">
            <w:pPr>
              <w:spacing w:after="0" w:line="274"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F70D1F">
              <w:rPr>
                <w:rFonts w:ascii="Arial" w:hAnsi="Arial" w:cs="Arial"/>
                <w:szCs w:val="20"/>
              </w:rPr>
              <w:t>Supported health strategy design and strategic portfolio planning</w:t>
            </w:r>
            <w:r>
              <w:rPr>
                <w:rFonts w:ascii="Arial" w:hAnsi="Arial" w:cs="Arial"/>
                <w:szCs w:val="20"/>
              </w:rPr>
              <w:t>.</w:t>
            </w:r>
            <w:r w:rsidRPr="00F70D1F">
              <w:rPr>
                <w:rFonts w:ascii="Arial" w:hAnsi="Arial" w:cs="Arial"/>
                <w:szCs w:val="20"/>
              </w:rPr>
              <w:t xml:space="preserve"> Helped team think at portfolio level, beyond individual activities</w:t>
            </w:r>
          </w:p>
        </w:tc>
      </w:tr>
      <w:tr w:rsidR="00794E11" w:rsidRPr="00F70D1F" w14:paraId="308D1A57" w14:textId="77777777" w:rsidTr="0E6AB9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4" w:type="dxa"/>
            <w:hideMark/>
          </w:tcPr>
          <w:p w14:paraId="3C907F69" w14:textId="77777777" w:rsidR="00794E11" w:rsidRPr="00F70D1F" w:rsidRDefault="00794E11" w:rsidP="00E56F94">
            <w:pPr>
              <w:spacing w:after="0" w:line="274" w:lineRule="auto"/>
              <w:rPr>
                <w:rFonts w:ascii="Arial" w:hAnsi="Arial" w:cs="Arial"/>
                <w:szCs w:val="20"/>
              </w:rPr>
            </w:pPr>
            <w:r w:rsidRPr="00F70D1F">
              <w:rPr>
                <w:rFonts w:ascii="Arial" w:hAnsi="Arial" w:cs="Arial"/>
                <w:szCs w:val="20"/>
              </w:rPr>
              <w:t>Health Portfolio Plan Review</w:t>
            </w:r>
          </w:p>
        </w:tc>
        <w:tc>
          <w:tcPr>
            <w:tcW w:w="5862" w:type="dxa"/>
            <w:hideMark/>
          </w:tcPr>
          <w:p w14:paraId="0E74C3ED" w14:textId="77777777" w:rsidR="00794E11" w:rsidRPr="00F70D1F" w:rsidRDefault="00794E11" w:rsidP="00E56F94">
            <w:pPr>
              <w:spacing w:after="0" w:line="274"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F70D1F">
              <w:rPr>
                <w:rFonts w:ascii="Arial" w:hAnsi="Arial" w:cs="Arial"/>
                <w:szCs w:val="20"/>
              </w:rPr>
              <w:t>Contributed to redesign of health portfolio, well received at DFAT</w:t>
            </w:r>
          </w:p>
        </w:tc>
      </w:tr>
      <w:tr w:rsidR="00794E11" w:rsidRPr="00F70D1F" w14:paraId="69478C4E" w14:textId="77777777" w:rsidTr="0E6AB92A">
        <w:tc>
          <w:tcPr>
            <w:cnfStyle w:val="001000000000" w:firstRow="0" w:lastRow="0" w:firstColumn="1" w:lastColumn="0" w:oddVBand="0" w:evenVBand="0" w:oddHBand="0" w:evenHBand="0" w:firstRowFirstColumn="0" w:firstRowLastColumn="0" w:lastRowFirstColumn="0" w:lastRowLastColumn="0"/>
            <w:tcW w:w="3074" w:type="dxa"/>
            <w:hideMark/>
          </w:tcPr>
          <w:p w14:paraId="30383AC5" w14:textId="77777777" w:rsidR="00794E11" w:rsidRPr="00F70D1F" w:rsidRDefault="00794E11" w:rsidP="00E56F94">
            <w:pPr>
              <w:spacing w:after="0" w:line="274" w:lineRule="auto"/>
              <w:rPr>
                <w:rFonts w:ascii="Arial" w:hAnsi="Arial" w:cs="Arial"/>
                <w:szCs w:val="20"/>
              </w:rPr>
            </w:pPr>
            <w:r w:rsidRPr="00F70D1F">
              <w:rPr>
                <w:rFonts w:ascii="Arial" w:hAnsi="Arial" w:cs="Arial"/>
                <w:szCs w:val="20"/>
              </w:rPr>
              <w:t>PATH Annual Report Appraisal</w:t>
            </w:r>
          </w:p>
        </w:tc>
        <w:tc>
          <w:tcPr>
            <w:tcW w:w="5862" w:type="dxa"/>
            <w:hideMark/>
          </w:tcPr>
          <w:p w14:paraId="7833761F" w14:textId="77777777" w:rsidR="00794E11" w:rsidRPr="00F70D1F" w:rsidRDefault="00794E11" w:rsidP="00E56F94">
            <w:pPr>
              <w:spacing w:after="0" w:line="274"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F70D1F">
              <w:rPr>
                <w:rFonts w:ascii="Arial" w:hAnsi="Arial" w:cs="Arial"/>
                <w:szCs w:val="20"/>
              </w:rPr>
              <w:t xml:space="preserve">Useful product despite delays, demonstrated consultant expertise  </w:t>
            </w:r>
          </w:p>
        </w:tc>
      </w:tr>
      <w:tr w:rsidR="00794E11" w:rsidRPr="00F70D1F" w14:paraId="25D026BE" w14:textId="77777777" w:rsidTr="0E6AB9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4" w:type="dxa"/>
            <w:hideMark/>
          </w:tcPr>
          <w:p w14:paraId="78DE6EB7" w14:textId="77777777" w:rsidR="00794E11" w:rsidRPr="00F70D1F" w:rsidRDefault="00794E11" w:rsidP="00E56F94">
            <w:pPr>
              <w:spacing w:after="0" w:line="274" w:lineRule="auto"/>
              <w:rPr>
                <w:rFonts w:ascii="Arial" w:hAnsi="Arial" w:cs="Arial"/>
                <w:szCs w:val="20"/>
              </w:rPr>
            </w:pPr>
            <w:r w:rsidRPr="00F70D1F">
              <w:rPr>
                <w:rFonts w:ascii="Arial" w:hAnsi="Arial" w:cs="Arial"/>
                <w:szCs w:val="20"/>
              </w:rPr>
              <w:t>Cost Benefit Analysis for PIE</w:t>
            </w:r>
          </w:p>
        </w:tc>
        <w:tc>
          <w:tcPr>
            <w:tcW w:w="5862" w:type="dxa"/>
            <w:hideMark/>
          </w:tcPr>
          <w:p w14:paraId="084A4F48" w14:textId="36B199F9" w:rsidR="00794E11" w:rsidRPr="00F70D1F" w:rsidRDefault="00794E11" w:rsidP="00E56F94">
            <w:pPr>
              <w:spacing w:after="0" w:line="274"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E6AB92A">
              <w:rPr>
                <w:rFonts w:ascii="Arial" w:hAnsi="Arial" w:cs="Arial"/>
              </w:rPr>
              <w:t>Data used by World Bank to support $</w:t>
            </w:r>
            <w:r w:rsidR="004D2740">
              <w:rPr>
                <w:rFonts w:ascii="Arial" w:hAnsi="Arial" w:cs="Arial"/>
              </w:rPr>
              <w:t>10</w:t>
            </w:r>
            <w:r w:rsidR="004D2740" w:rsidRPr="0E6AB92A">
              <w:rPr>
                <w:rFonts w:ascii="Arial" w:hAnsi="Arial" w:cs="Arial"/>
              </w:rPr>
              <w:t xml:space="preserve">0M </w:t>
            </w:r>
            <w:r w:rsidRPr="0E6AB92A">
              <w:rPr>
                <w:rFonts w:ascii="Arial" w:hAnsi="Arial" w:cs="Arial"/>
              </w:rPr>
              <w:t>loan case</w:t>
            </w:r>
            <w:r w:rsidR="004D2740">
              <w:rPr>
                <w:rFonts w:ascii="Arial" w:hAnsi="Arial" w:cs="Arial"/>
              </w:rPr>
              <w:t xml:space="preserve"> which was a</w:t>
            </w:r>
            <w:r w:rsidRPr="0E6AB92A">
              <w:rPr>
                <w:rFonts w:ascii="Arial" w:hAnsi="Arial" w:cs="Arial"/>
              </w:rPr>
              <w:t xml:space="preserve"> positive unintended outcome</w:t>
            </w:r>
          </w:p>
        </w:tc>
      </w:tr>
      <w:tr w:rsidR="00794E11" w:rsidRPr="00F70D1F" w14:paraId="33696400" w14:textId="77777777" w:rsidTr="0E6AB92A">
        <w:tc>
          <w:tcPr>
            <w:cnfStyle w:val="001000000000" w:firstRow="0" w:lastRow="0" w:firstColumn="1" w:lastColumn="0" w:oddVBand="0" w:evenVBand="0" w:oddHBand="0" w:evenHBand="0" w:firstRowFirstColumn="0" w:firstRowLastColumn="0" w:lastRowFirstColumn="0" w:lastRowLastColumn="0"/>
            <w:tcW w:w="3074" w:type="dxa"/>
            <w:hideMark/>
          </w:tcPr>
          <w:p w14:paraId="3D6B1998" w14:textId="77777777" w:rsidR="00794E11" w:rsidRPr="00F70D1F" w:rsidRDefault="00794E11" w:rsidP="00E56F94">
            <w:pPr>
              <w:spacing w:after="0" w:line="274" w:lineRule="auto"/>
              <w:rPr>
                <w:rFonts w:ascii="Arial" w:hAnsi="Arial" w:cs="Arial"/>
                <w:szCs w:val="20"/>
              </w:rPr>
            </w:pPr>
            <w:r w:rsidRPr="00F70D1F">
              <w:rPr>
                <w:rFonts w:ascii="Arial" w:hAnsi="Arial" w:cs="Arial"/>
                <w:szCs w:val="20"/>
              </w:rPr>
              <w:lastRenderedPageBreak/>
              <w:t xml:space="preserve">Monitoring training for DFAT </w:t>
            </w:r>
            <w:r>
              <w:rPr>
                <w:rFonts w:ascii="Arial" w:hAnsi="Arial" w:cs="Arial"/>
                <w:szCs w:val="20"/>
              </w:rPr>
              <w:t>Staff</w:t>
            </w:r>
          </w:p>
        </w:tc>
        <w:tc>
          <w:tcPr>
            <w:tcW w:w="5862" w:type="dxa"/>
            <w:hideMark/>
          </w:tcPr>
          <w:p w14:paraId="50C1BC80" w14:textId="77777777" w:rsidR="00794E11" w:rsidRPr="00F70D1F" w:rsidRDefault="00794E11" w:rsidP="00E56F94">
            <w:pPr>
              <w:spacing w:after="0" w:line="274"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F70D1F">
              <w:rPr>
                <w:rFonts w:ascii="Arial" w:hAnsi="Arial" w:cs="Arial"/>
                <w:szCs w:val="20"/>
              </w:rPr>
              <w:t xml:space="preserve">Helped strengthen field-level monitoring and reflection </w:t>
            </w:r>
          </w:p>
        </w:tc>
      </w:tr>
      <w:tr w:rsidR="00794E11" w:rsidRPr="00F70D1F" w14:paraId="6A2253D3" w14:textId="77777777" w:rsidTr="0E6AB9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4" w:type="dxa"/>
            <w:hideMark/>
          </w:tcPr>
          <w:p w14:paraId="6D2E243F" w14:textId="77777777" w:rsidR="00794E11" w:rsidRPr="00F70D1F" w:rsidRDefault="00794E11" w:rsidP="00E56F94">
            <w:pPr>
              <w:spacing w:after="0" w:line="274" w:lineRule="auto"/>
              <w:rPr>
                <w:rFonts w:ascii="Arial" w:hAnsi="Arial" w:cs="Arial"/>
                <w:szCs w:val="20"/>
              </w:rPr>
            </w:pPr>
            <w:r w:rsidRPr="00F70D1F">
              <w:rPr>
                <w:rFonts w:ascii="Arial" w:hAnsi="Arial" w:cs="Arial"/>
                <w:szCs w:val="20"/>
              </w:rPr>
              <w:t xml:space="preserve">GEDSI Toolkit training </w:t>
            </w:r>
          </w:p>
        </w:tc>
        <w:tc>
          <w:tcPr>
            <w:tcW w:w="5862" w:type="dxa"/>
            <w:hideMark/>
          </w:tcPr>
          <w:p w14:paraId="1E317355" w14:textId="77777777" w:rsidR="00794E11" w:rsidRPr="00F70D1F" w:rsidRDefault="00794E11" w:rsidP="00E56F94">
            <w:pPr>
              <w:spacing w:after="0" w:line="274"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F70D1F">
              <w:rPr>
                <w:rFonts w:ascii="Arial" w:hAnsi="Arial" w:cs="Arial"/>
                <w:szCs w:val="20"/>
              </w:rPr>
              <w:t>Enhanced partners' skills in gender data collection and reporting</w:t>
            </w:r>
            <w:r>
              <w:rPr>
                <w:rFonts w:ascii="Arial" w:hAnsi="Arial" w:cs="Arial"/>
                <w:szCs w:val="20"/>
              </w:rPr>
              <w:t>. Encouraged broader GEDSI thinking</w:t>
            </w:r>
          </w:p>
        </w:tc>
      </w:tr>
    </w:tbl>
    <w:p w14:paraId="41F6BE96" w14:textId="77777777" w:rsidR="00794E11" w:rsidRDefault="00794E11" w:rsidP="00794E11">
      <w:pPr>
        <w:spacing w:after="120" w:line="274" w:lineRule="auto"/>
        <w:rPr>
          <w:rFonts w:ascii="Arial" w:hAnsi="Arial" w:cs="Arial"/>
          <w:b/>
          <w:bCs/>
          <w:i/>
          <w:iCs/>
          <w:szCs w:val="20"/>
        </w:rPr>
      </w:pPr>
    </w:p>
    <w:p w14:paraId="31FA60C7" w14:textId="77777777" w:rsidR="00794E11" w:rsidRPr="00BB4985" w:rsidRDefault="00794E11" w:rsidP="051B0DA5">
      <w:pPr>
        <w:spacing w:after="120" w:line="274" w:lineRule="auto"/>
        <w:rPr>
          <w:rFonts w:ascii="Arial" w:hAnsi="Arial" w:cs="Arial"/>
          <w:i/>
          <w:iCs/>
        </w:rPr>
      </w:pPr>
      <w:r w:rsidRPr="051B0DA5">
        <w:rPr>
          <w:rFonts w:ascii="Arial" w:hAnsi="Arial" w:cs="Arial"/>
          <w:b/>
          <w:bCs/>
          <w:i/>
          <w:iCs/>
        </w:rPr>
        <w:t>EOIO2: AHC is supported to better communicate the results of Australian development assistance.</w:t>
      </w:r>
    </w:p>
    <w:p w14:paraId="6D5F756D" w14:textId="21EE5B12" w:rsidR="00794E11" w:rsidRPr="00BB4985" w:rsidRDefault="00794E11" w:rsidP="00794E11">
      <w:r w:rsidRPr="677EB2AF">
        <w:t xml:space="preserve">This outcome has been partly achieved. Under EOIO2, HDMES contributed through the development of IMRs, FIMRs, provincial profiles, infographics, and tailored communication products that enhanced DFAT’s capacity to report on aid effectiveness, particularly in Health. The program developed templates and briefings that were used to communicate results to internal and external audiences. However, communication products were less visible or utilised in the Education sector, and uptake beyond core program teams was </w:t>
      </w:r>
      <w:r>
        <w:t>reported by DFAT as</w:t>
      </w:r>
      <w:r w:rsidRPr="677EB2AF">
        <w:t xml:space="preserve"> limited. While </w:t>
      </w:r>
      <w:r>
        <w:t xml:space="preserve">according to DFAT, </w:t>
      </w:r>
      <w:r w:rsidRPr="677EB2AF">
        <w:t>products were generally of acceptable quality, challenges emerged—for instance, the HSIP TA evaluation was not published due to quality concerns</w:t>
      </w:r>
      <w:r w:rsidR="003B589F">
        <w:t xml:space="preserve"> and the provincial profiles were noted as laborious requiring replacement of consultants,</w:t>
      </w:r>
      <w:r w:rsidR="003B589F" w:rsidRPr="677EB2AF">
        <w:t xml:space="preserve"> underscoring</w:t>
      </w:r>
      <w:r w:rsidRPr="677EB2AF">
        <w:t xml:space="preserve"> ongoing issues in QA and consultant performance.</w:t>
      </w:r>
    </w:p>
    <w:p w14:paraId="725558C5" w14:textId="502896F5" w:rsidR="00794E11" w:rsidRDefault="00794E11" w:rsidP="00794E11">
      <w:r w:rsidRPr="00BB4985">
        <w:t xml:space="preserve">The program also invested in capacity building, delivering over 18 sessions that reached more than 60 DFAT and partner participants. These included workshops on field monitoring, the GEDSI toolkit, value-for-money analysis, theory of change, and MEL frameworks. </w:t>
      </w:r>
      <w:r>
        <w:t xml:space="preserve">Post-training feedback found that participants </w:t>
      </w:r>
      <w:r w:rsidRPr="000756F8">
        <w:t>reported enhanced understanding of MEL concepts, increased ability to unpack program indicators and outcomes, and appreciation for practical, applied training approaches. However, areas for improvement included the need for more content on technical topics (e.g. MEF, PFM), better time management, and stronger facilitation aligned with workshop focus areas</w:t>
      </w:r>
      <w:r>
        <w:t xml:space="preserve">. </w:t>
      </w:r>
      <w:r w:rsidRPr="00BB4985">
        <w:t>Despite these contributions, HDMES’s achievement of its EOIOs has been constrained by several systemic challenges</w:t>
      </w:r>
      <w:r>
        <w:t xml:space="preserve"> including;</w:t>
      </w:r>
    </w:p>
    <w:p w14:paraId="4F3B7AB3" w14:textId="77777777" w:rsidR="00794E11" w:rsidRDefault="00794E11" w:rsidP="00C20940">
      <w:pPr>
        <w:pStyle w:val="ListParagraph"/>
        <w:numPr>
          <w:ilvl w:val="0"/>
          <w:numId w:val="19"/>
        </w:numPr>
      </w:pPr>
      <w:r w:rsidRPr="00570964">
        <w:t>Product quality and relevance occasionally varied, reflecting differences in consultants’ domain expertise and depth of contextual understanding</w:t>
      </w:r>
      <w:r>
        <w:t xml:space="preserve"> or a lack of adaption to the context.</w:t>
      </w:r>
    </w:p>
    <w:p w14:paraId="37DEFC9F" w14:textId="77777777" w:rsidR="00794E11" w:rsidRDefault="00794E11" w:rsidP="00C20940">
      <w:pPr>
        <w:pStyle w:val="ListParagraph"/>
        <w:numPr>
          <w:ilvl w:val="0"/>
          <w:numId w:val="19"/>
        </w:numPr>
      </w:pPr>
      <w:r w:rsidRPr="00104CE9">
        <w:t>Engagement processes were sometimes perceived</w:t>
      </w:r>
      <w:r>
        <w:t xml:space="preserve"> by DFAT</w:t>
      </w:r>
      <w:r w:rsidRPr="00104CE9">
        <w:t xml:space="preserve"> as administratively </w:t>
      </w:r>
      <w:r>
        <w:t>burdensome</w:t>
      </w:r>
      <w:r w:rsidRPr="00104CE9">
        <w:t>, which, while designed to ensure rigour, had the unintended effect of slowing delivery and reducing flexibility in meeting evolving needs.</w:t>
      </w:r>
    </w:p>
    <w:p w14:paraId="008E2034" w14:textId="77777777" w:rsidR="00794E11" w:rsidRPr="00570964" w:rsidRDefault="00794E11" w:rsidP="00C20940">
      <w:pPr>
        <w:pStyle w:val="ListParagraph"/>
        <w:numPr>
          <w:ilvl w:val="0"/>
          <w:numId w:val="19"/>
        </w:numPr>
      </w:pPr>
      <w:r w:rsidRPr="00570964">
        <w:t>Leadership transitions, including high initial turnover and an extended period to appoint a new Team Leader, impacted continuity and momentum at critical stages of delivery.</w:t>
      </w:r>
    </w:p>
    <w:p w14:paraId="67762675" w14:textId="77777777" w:rsidR="00794E11" w:rsidRDefault="00794E11" w:rsidP="00C20940">
      <w:pPr>
        <w:pStyle w:val="ListParagraph"/>
        <w:numPr>
          <w:ilvl w:val="0"/>
          <w:numId w:val="19"/>
        </w:numPr>
      </w:pPr>
      <w:r w:rsidRPr="00570964">
        <w:t xml:space="preserve">Recruitment processes, including adherence to the Adviser Remuneration Framework (ARF), at times posed challenges in securing suitable </w:t>
      </w:r>
      <w:r>
        <w:t xml:space="preserve">high-quality </w:t>
      </w:r>
      <w:r w:rsidRPr="00570964">
        <w:t>candidates in a timely manner.</w:t>
      </w:r>
    </w:p>
    <w:p w14:paraId="3AAE3FDB" w14:textId="77777777" w:rsidR="00794E11" w:rsidRDefault="00794E11" w:rsidP="00C20940">
      <w:pPr>
        <w:pStyle w:val="ListParagraph"/>
        <w:numPr>
          <w:ilvl w:val="0"/>
          <w:numId w:val="19"/>
        </w:numPr>
      </w:pPr>
      <w:r w:rsidRPr="00973742">
        <w:t>At points, interpersonal dynamics between HDMES leadership and DFAT presented challenges to collaboration and constructive dialogue</w:t>
      </w:r>
      <w:r>
        <w:t>, stemming from different expectations regarding utility and technical quality as well as HDMES mandate and scope</w:t>
      </w:r>
      <w:r w:rsidRPr="00973742">
        <w:t>.</w:t>
      </w:r>
    </w:p>
    <w:p w14:paraId="49D48255" w14:textId="56E5F519" w:rsidR="00794E11" w:rsidRDefault="00794E11" w:rsidP="00C20940">
      <w:pPr>
        <w:pStyle w:val="ListParagraph"/>
        <w:numPr>
          <w:ilvl w:val="0"/>
          <w:numId w:val="19"/>
        </w:numPr>
      </w:pPr>
      <w:r>
        <w:t>There has at times been ambiguity regarding HDMES’s mandate, particularly around the extent to which the service could contribute to program design or undertake research activities, leading to differing expectations between stakeholders.</w:t>
      </w:r>
    </w:p>
    <w:p w14:paraId="2B01A180" w14:textId="7AB89087" w:rsidR="051B0DA5" w:rsidRDefault="00794E11">
      <w:r>
        <w:t>According to DFAT and IP staff, the most commonly reported issues with projects included; unclear recommendations for improvement, lack of consultation or input from partners into Terms of Reference, inappropriate application of benchmarks, products being perceived as a compliance exercise or presenting unclear value add for partners, misalignment with program logic, overly long or complex reports requiring multiple iterations, burdensome engagement despite clear guidance, and the perception that projects were duplicative or that they required additional tools to interpret.</w:t>
      </w:r>
    </w:p>
    <w:p w14:paraId="1CAB1091" w14:textId="77777777" w:rsidR="00794E11" w:rsidRPr="00973742" w:rsidRDefault="00794E11" w:rsidP="00794E11">
      <w:r w:rsidRPr="00973742">
        <w:lastRenderedPageBreak/>
        <w:t>HDMES has not yet institutionalised a systematic mechanism to track how recommendations are implemented across the portfolio, despite repeated requests from DFAT. This limits visibility of how its outputs contribute to sustained improvements in programming and outcomes.</w:t>
      </w:r>
    </w:p>
    <w:p w14:paraId="69A742F2" w14:textId="77777777" w:rsidR="00794E11" w:rsidRPr="0047698E" w:rsidRDefault="00794E11" w:rsidP="00794E11">
      <w:pPr>
        <w:pStyle w:val="Heading3"/>
        <w:rPr>
          <w:color w:val="12528D"/>
        </w:rPr>
      </w:pPr>
      <w:bookmarkStart w:id="17" w:name="_Toc204241429"/>
      <w:r w:rsidRPr="0047698E">
        <w:rPr>
          <w:color w:val="12528D"/>
        </w:rPr>
        <w:t>How is advice from HDMES being used by AHC and IPs?</w:t>
      </w:r>
      <w:bookmarkEnd w:id="17"/>
    </w:p>
    <w:p w14:paraId="50C02790" w14:textId="77777777" w:rsidR="00794E11" w:rsidRPr="00BB4985" w:rsidRDefault="00794E11" w:rsidP="00794E11">
      <w:r w:rsidRPr="00BB4985">
        <w:t>Advice and products generated by HDMES have been used by AHC and IPs in several meaningful ways, though use has varied in depth and impact. On the positive side, HDMES outputs have directly informed programming decisions and adjustments. For example, the PNG Secondary Schools Partnership evaluation provided evidence that contributed to program refinements. Similarly, findings from the evaluation of the Saving Lives, Spreading Smiles immunisation initiative supported DFAT’s decision not to continue funding the activity, aligning investment decisions with evidence on relevance and effectiveness. In the Health sector, HDMES advice has been particularly influential in shaping portfolio redesigns and informing new investments, with cost-benefit analyses, meta-analyses, and technical advisory inputs feeding into strategic discussions and policy settings.</w:t>
      </w:r>
    </w:p>
    <w:p w14:paraId="76BA9D7F" w14:textId="77777777" w:rsidR="00794E11" w:rsidRDefault="00794E11" w:rsidP="00794E11">
      <w:r w:rsidRPr="00BB4985">
        <w:t>HDMES also supported DFAT’s efforts to meet compliance, reporting, and accountability requirements. IMRs, FIMRs, and other QA-reviewed products helped ensure that reporting to Canberra and other stakeholders was robust, credible, and aligned with DFAT standards. Communication materials, such as infographics and provincial profiles, have been used to present aid results to both internal and external audiences, although the extent of their use in external communications was often unclear from the documentation</w:t>
      </w:r>
      <w:r>
        <w:t xml:space="preserve"> and could not be recalled by participants in interviews</w:t>
      </w:r>
      <w:r w:rsidRPr="00BB4985">
        <w:t>.</w:t>
      </w:r>
      <w:r>
        <w:t xml:space="preserve"> </w:t>
      </w:r>
    </w:p>
    <w:p w14:paraId="7038F756" w14:textId="655275CD" w:rsidR="00794E11" w:rsidRDefault="00794E11" w:rsidP="00794E11">
      <w:r w:rsidRPr="004F41F2">
        <w:t xml:space="preserve">In contrast, some HDMES products, such as IMRs, were viewed within DFAT as discouraging critical thinking and program learning, adding work without delivering sufficient learning value. DFAT tasked HDMES with </w:t>
      </w:r>
      <w:r>
        <w:t>drafting</w:t>
      </w:r>
      <w:r w:rsidRPr="004F41F2">
        <w:t xml:space="preserve"> </w:t>
      </w:r>
      <w:r>
        <w:t xml:space="preserve">some </w:t>
      </w:r>
      <w:r w:rsidRPr="004F41F2">
        <w:t>IMRs</w:t>
      </w:r>
      <w:r>
        <w:t>,</w:t>
      </w:r>
      <w:r w:rsidRPr="004F41F2">
        <w:t xml:space="preserve"> including its own </w:t>
      </w:r>
      <w:r>
        <w:t>IMR</w:t>
      </w:r>
      <w:r w:rsidRPr="004F41F2">
        <w:t>—a practice that</w:t>
      </w:r>
      <w:r>
        <w:t xml:space="preserve"> </w:t>
      </w:r>
      <w:r w:rsidRPr="004F41F2">
        <w:t xml:space="preserve">raised potential conflict of interest concerns </w:t>
      </w:r>
      <w:r w:rsidRPr="677EB2AF">
        <w:t>if not carefully managed.</w:t>
      </w:r>
      <w:r>
        <w:t xml:space="preserve"> </w:t>
      </w:r>
      <w:r w:rsidRPr="004F41F2">
        <w:t>This reflects challenges with how DFAT commissioned and utilised MEL support, rather than issues of HDMES quality.</w:t>
      </w:r>
      <w:r>
        <w:t xml:space="preserve"> </w:t>
      </w:r>
    </w:p>
    <w:p w14:paraId="54759527" w14:textId="77777777" w:rsidR="00794E11" w:rsidRPr="00C923E1" w:rsidRDefault="00794E11" w:rsidP="00794E11">
      <w:r w:rsidRPr="677EB2AF">
        <w:t xml:space="preserve">The opportunity to reflect at the portfolio level was acknowledged </w:t>
      </w:r>
      <w:r>
        <w:t xml:space="preserve">by DFAT </w:t>
      </w:r>
      <w:r w:rsidRPr="677EB2AF">
        <w:t xml:space="preserve">as valuable, such as during the Health Meta-Analysis, but rarely realised in practice due to limited capacity </w:t>
      </w:r>
      <w:r>
        <w:t>reported by</w:t>
      </w:r>
      <w:r w:rsidRPr="677EB2AF">
        <w:t xml:space="preserve"> DFAT and some IPs to absorb learning and integrate recommendations into practice</w:t>
      </w:r>
      <w:r>
        <w:t xml:space="preserve">. </w:t>
      </w:r>
    </w:p>
    <w:p w14:paraId="3DE7DD33" w14:textId="7828153B" w:rsidR="00794E11" w:rsidRDefault="00794E11" w:rsidP="00794E11">
      <w:r w:rsidRPr="00C923E1">
        <w:t xml:space="preserve">DFAT’s own lack of clarity in TORs, slow feedback, </w:t>
      </w:r>
      <w:r>
        <w:t xml:space="preserve">Counsellor and First Secretary turnover </w:t>
      </w:r>
      <w:r w:rsidRPr="00C923E1">
        <w:t>and shifting objectives were identified as barriers</w:t>
      </w:r>
      <w:r>
        <w:t xml:space="preserve"> (by most stakeholders interviewed) </w:t>
      </w:r>
      <w:r w:rsidRPr="00C923E1">
        <w:t>to effective use of MEL products for learning. This sometimes created a mismatch between HDMES outputs and DFAT’s actual needs for strategic learning</w:t>
      </w:r>
      <w:r>
        <w:t xml:space="preserve">. </w:t>
      </w:r>
      <w:r w:rsidRPr="00C923E1">
        <w:t>In summary, while there was interest in learning and reflection at DFAT/AHC, this was often hampered by structural, procedural, and cultural factors that emphasi</w:t>
      </w:r>
      <w:r>
        <w:t>s</w:t>
      </w:r>
      <w:r w:rsidRPr="00C923E1">
        <w:t>ed compliance over deeper learning, inconsistent follow-through on reflective practices, and variable leadership support.</w:t>
      </w:r>
    </w:p>
    <w:p w14:paraId="031DB3D0" w14:textId="77777777" w:rsidR="00794E11" w:rsidRPr="00BB4985" w:rsidRDefault="00794E11" w:rsidP="00794E11">
      <w:r w:rsidRPr="00134798">
        <w:t>Feedback mechanisms capturing how HDMES advice influenced decisions or was applied in practice have been inconsistent, relying largely on anecdotal evidence. Despite substantial outputs and advisory support, the absence of a formal recommendation tracking system limited follow-through on lessons learned. This gap weakened the program’s ability to close the feedback loop and demonstrate sustained, portfolio-level impact.</w:t>
      </w:r>
    </w:p>
    <w:p w14:paraId="2587F494" w14:textId="77777777" w:rsidR="00794E11" w:rsidRPr="0047698E" w:rsidRDefault="00794E11" w:rsidP="00794E11">
      <w:pPr>
        <w:pStyle w:val="Heading2"/>
        <w:rPr>
          <w:color w:val="auto"/>
        </w:rPr>
      </w:pPr>
      <w:bookmarkStart w:id="18" w:name="_Toc204241430"/>
      <w:r w:rsidRPr="0047698E">
        <w:rPr>
          <w:color w:val="auto"/>
        </w:rPr>
        <w:t>Recommendations</w:t>
      </w:r>
      <w:bookmarkEnd w:id="18"/>
      <w:r w:rsidRPr="0047698E">
        <w:rPr>
          <w:color w:val="auto"/>
        </w:rPr>
        <w:t xml:space="preserve"> </w:t>
      </w:r>
    </w:p>
    <w:p w14:paraId="1189DA24" w14:textId="77777777" w:rsidR="003B589F" w:rsidRDefault="003B589F" w:rsidP="00794E11">
      <w:r>
        <w:rPr>
          <w:b/>
          <w:bCs/>
        </w:rPr>
        <w:t xml:space="preserve">2.1. </w:t>
      </w:r>
      <w:r w:rsidRPr="677EB2AF">
        <w:rPr>
          <w:b/>
          <w:bCs/>
        </w:rPr>
        <w:t xml:space="preserve">Clarify Mandate and Scope: </w:t>
      </w:r>
      <w:r w:rsidRPr="677EB2AF">
        <w:t>DFAT to review and clearly define the service’s mandate—especially regarding design and research functions—to ensure alignment of expectations</w:t>
      </w:r>
      <w:r>
        <w:t xml:space="preserve"> across stakeholders</w:t>
      </w:r>
      <w:r w:rsidRPr="677EB2AF">
        <w:t>. Develop a shared understanding (documented in guidance notes or frameworks) of the boundaries between MEL, design, and research support.</w:t>
      </w:r>
    </w:p>
    <w:p w14:paraId="6BBE8637" w14:textId="3CEE23C0" w:rsidR="00794E11" w:rsidRPr="00656FAD" w:rsidRDefault="0013107A" w:rsidP="00794E11">
      <w:r w:rsidRPr="0E6AB92A">
        <w:rPr>
          <w:b/>
          <w:bCs/>
        </w:rPr>
        <w:lastRenderedPageBreak/>
        <w:t>2.</w:t>
      </w:r>
      <w:r w:rsidR="003B589F">
        <w:rPr>
          <w:b/>
          <w:bCs/>
        </w:rPr>
        <w:t>2</w:t>
      </w:r>
      <w:r w:rsidRPr="0E6AB92A">
        <w:rPr>
          <w:b/>
          <w:bCs/>
        </w:rPr>
        <w:t xml:space="preserve">. </w:t>
      </w:r>
      <w:r w:rsidR="00794E11" w:rsidRPr="0E6AB92A">
        <w:rPr>
          <w:b/>
          <w:bCs/>
        </w:rPr>
        <w:t>Rebalance focus from technical M&amp;E excellence toward pragmatic, user-focused outputs:</w:t>
      </w:r>
      <w:r w:rsidR="00794E11">
        <w:t xml:space="preserve"> Encourage products and processes that prioritise practical application, value-for-money, and usability, reducing emphasis on technical depth where it does not add practical value. Revise TORs and guidance to ensure MEL products are fit-for-purpose, accessible, and directly linked to program decision-making and operational realities, especially in Education.</w:t>
      </w:r>
    </w:p>
    <w:p w14:paraId="072FE285" w14:textId="16DE47AE" w:rsidR="00794E11" w:rsidRPr="00D161A8" w:rsidRDefault="0013107A" w:rsidP="00794E11">
      <w:r>
        <w:rPr>
          <w:b/>
          <w:bCs/>
        </w:rPr>
        <w:t>2.</w:t>
      </w:r>
      <w:r w:rsidR="003B589F">
        <w:rPr>
          <w:b/>
          <w:bCs/>
        </w:rPr>
        <w:t>3</w:t>
      </w:r>
      <w:r>
        <w:rPr>
          <w:b/>
          <w:bCs/>
        </w:rPr>
        <w:t xml:space="preserve">. </w:t>
      </w:r>
      <w:r w:rsidR="00794E11" w:rsidRPr="00D161A8">
        <w:rPr>
          <w:b/>
          <w:bCs/>
        </w:rPr>
        <w:t>Strengthen evidence use and portfolio-level learning:</w:t>
      </w:r>
      <w:r w:rsidR="00794E11">
        <w:t xml:space="preserve"> </w:t>
      </w:r>
      <w:r w:rsidR="00794E11" w:rsidRPr="00D161A8">
        <w:t>Establish a formal recommendation tracking system to monitor and support implementation of evaluation findings</w:t>
      </w:r>
      <w:r w:rsidR="00794E11">
        <w:t xml:space="preserve"> at the portfolio level</w:t>
      </w:r>
      <w:r w:rsidR="00794E11" w:rsidRPr="00D161A8">
        <w:t>. Complement this with quarterly DFAT-HDMES learning check-ins, portfolio learning reviews, synthesis reports, and reflection workshops to embed learning and drive adaptive management.</w:t>
      </w:r>
      <w:r w:rsidR="00794E11">
        <w:t xml:space="preserve"> </w:t>
      </w:r>
      <w:r w:rsidR="00794E11" w:rsidRPr="00013BA8">
        <w:t>Explore joint reflection sessions between DFAT and HDMES to recalibrate ways of working and build mutual trust.</w:t>
      </w:r>
    </w:p>
    <w:p w14:paraId="5311C994" w14:textId="6870AA43" w:rsidR="00794E11" w:rsidRPr="00D161A8" w:rsidRDefault="0013107A" w:rsidP="00794E11">
      <w:r>
        <w:rPr>
          <w:b/>
          <w:bCs/>
        </w:rPr>
        <w:t>2.</w:t>
      </w:r>
      <w:r w:rsidR="003B589F">
        <w:rPr>
          <w:b/>
          <w:bCs/>
        </w:rPr>
        <w:t>4</w:t>
      </w:r>
      <w:r>
        <w:rPr>
          <w:b/>
          <w:bCs/>
        </w:rPr>
        <w:t xml:space="preserve">. </w:t>
      </w:r>
      <w:r w:rsidR="00794E11" w:rsidRPr="00D161A8">
        <w:rPr>
          <w:b/>
          <w:bCs/>
        </w:rPr>
        <w:t>Sustain and deepen MEL contributions to strategic adjustments:</w:t>
      </w:r>
      <w:r w:rsidR="00794E11">
        <w:t xml:space="preserve"> </w:t>
      </w:r>
      <w:r w:rsidR="00794E11" w:rsidRPr="00D161A8">
        <w:t>Continue using MEL to inform portfolio redesigns and major programming decisions, building on successes in areas like health portfolio redesign. Ensure future evaluations are aligned with strategic goals and include actionable recommendations specifying ‘who, what, by when.’</w:t>
      </w:r>
      <w:r w:rsidR="00794E11" w:rsidRPr="006C5820">
        <w:t xml:space="preserve"> Move beyond sporadic, ad hoc use of tools and frameworks</w:t>
      </w:r>
      <w:r w:rsidR="00794E11">
        <w:t xml:space="preserve"> (i.e., GEDSI toolkit)</w:t>
      </w:r>
      <w:r w:rsidR="00794E11" w:rsidRPr="006C5820">
        <w:t>. Promote consistent, systematic application to strengthen coherence and impact across programs.</w:t>
      </w:r>
    </w:p>
    <w:p w14:paraId="6C6F149F" w14:textId="4540B431" w:rsidR="00794E11" w:rsidRPr="00D161A8" w:rsidRDefault="0013107A" w:rsidP="00794E11">
      <w:r>
        <w:rPr>
          <w:b/>
          <w:bCs/>
        </w:rPr>
        <w:t>2.</w:t>
      </w:r>
      <w:r w:rsidR="003B589F">
        <w:rPr>
          <w:b/>
          <w:bCs/>
        </w:rPr>
        <w:t>5</w:t>
      </w:r>
      <w:r>
        <w:rPr>
          <w:b/>
          <w:bCs/>
        </w:rPr>
        <w:t xml:space="preserve">. </w:t>
      </w:r>
      <w:r w:rsidR="00794E11" w:rsidRPr="677EB2AF">
        <w:rPr>
          <w:b/>
          <w:bCs/>
        </w:rPr>
        <w:t xml:space="preserve">Improve communication and uptake of MEL products: </w:t>
      </w:r>
      <w:r w:rsidR="00794E11" w:rsidRPr="0036029F">
        <w:t xml:space="preserve">Consider </w:t>
      </w:r>
      <w:r w:rsidR="00794E11" w:rsidRPr="677EB2AF">
        <w:t>developing tailored communication strategies, including sector-specific approaches to ensure outputs such as infographics are visible, accessible, and used.</w:t>
      </w:r>
    </w:p>
    <w:p w14:paraId="7C76FA24" w14:textId="5E4D8C33" w:rsidR="00794E11" w:rsidRPr="00D161A8" w:rsidRDefault="0013107A" w:rsidP="00794E11">
      <w:r>
        <w:rPr>
          <w:b/>
          <w:bCs/>
        </w:rPr>
        <w:t>2.</w:t>
      </w:r>
      <w:r w:rsidR="003B589F">
        <w:rPr>
          <w:b/>
          <w:bCs/>
        </w:rPr>
        <w:t>6</w:t>
      </w:r>
      <w:r>
        <w:rPr>
          <w:b/>
          <w:bCs/>
        </w:rPr>
        <w:t xml:space="preserve">. </w:t>
      </w:r>
      <w:r w:rsidR="00794E11" w:rsidRPr="677EB2AF">
        <w:rPr>
          <w:b/>
          <w:bCs/>
        </w:rPr>
        <w:t>Enhance capacity strengthening for DFAT and implementing partners</w:t>
      </w:r>
      <w:r w:rsidR="00794E11" w:rsidRPr="677EB2AF">
        <w:t>: The suite of workshops (e.g., GEDSI toolkit, value-for-money, theory of change) added value and helped build MEL literacy among DFAT and partner staff. These initiatives should be continued and, where possible, expanded with refinements to address technical depth and facilitation quality. For example, offering structured mentorship that pairs workshops with follow-up coaching. Prioritise adaptive MEL and evidence use skills</w:t>
      </w:r>
      <w:r w:rsidR="00794E11">
        <w:t>.</w:t>
      </w:r>
    </w:p>
    <w:p w14:paraId="3EDAF845" w14:textId="21A2650B" w:rsidR="00794E11" w:rsidRPr="00013BA8" w:rsidRDefault="0013107A" w:rsidP="00794E11">
      <w:r>
        <w:rPr>
          <w:b/>
          <w:bCs/>
        </w:rPr>
        <w:t>2.</w:t>
      </w:r>
      <w:r w:rsidR="003B589F">
        <w:rPr>
          <w:b/>
          <w:bCs/>
        </w:rPr>
        <w:t>7</w:t>
      </w:r>
      <w:r>
        <w:rPr>
          <w:b/>
          <w:bCs/>
        </w:rPr>
        <w:t xml:space="preserve">. </w:t>
      </w:r>
      <w:r w:rsidR="00794E11" w:rsidRPr="004220D7">
        <w:rPr>
          <w:b/>
          <w:bCs/>
        </w:rPr>
        <w:t>Stabilise and Support Leadership and Team Continuity</w:t>
      </w:r>
      <w:r w:rsidR="00794E11">
        <w:rPr>
          <w:b/>
          <w:bCs/>
        </w:rPr>
        <w:t xml:space="preserve">: </w:t>
      </w:r>
      <w:r w:rsidR="00794E11" w:rsidRPr="004220D7">
        <w:t>Prioritise succession planning and timely recruitment for key leadership positions to mitigate the impact of turnover.</w:t>
      </w:r>
      <w:r w:rsidR="00794E11">
        <w:t xml:space="preserve"> </w:t>
      </w:r>
      <w:r w:rsidR="00794E11" w:rsidRPr="004220D7">
        <w:t>Provide stronger backstopping and institutional memory mechanisms (e.g., document management systems, handover protocols) to ensure continuity despite staff changes.</w:t>
      </w:r>
    </w:p>
    <w:p w14:paraId="7173448F" w14:textId="488A5F77" w:rsidR="00794E11" w:rsidRPr="00BB4985" w:rsidRDefault="0013107A" w:rsidP="00794E11">
      <w:r>
        <w:rPr>
          <w:b/>
          <w:bCs/>
        </w:rPr>
        <w:t xml:space="preserve">2.8. </w:t>
      </w:r>
      <w:r w:rsidR="00794E11" w:rsidRPr="00B131D9">
        <w:rPr>
          <w:b/>
          <w:bCs/>
        </w:rPr>
        <w:t xml:space="preserve">Address ARF-Related Recruitment Challenges: </w:t>
      </w:r>
      <w:r w:rsidR="00794E11" w:rsidRPr="00B131D9">
        <w:t>Work with DFAT to explore flexibilities within the ARF where feasible or consider alternative contracting options for specialised skills that are hard to source under existing arrangements.</w:t>
      </w:r>
      <w:r w:rsidR="00794E11">
        <w:t xml:space="preserve"> </w:t>
      </w:r>
      <w:r w:rsidR="00794E11" w:rsidRPr="00B131D9">
        <w:t>Maintain a proactive consultant pipeline to avoid last-minute sourcing that compromises quality.</w:t>
      </w:r>
    </w:p>
    <w:p w14:paraId="6E1A0574" w14:textId="77777777" w:rsidR="00794E11" w:rsidRPr="00286280" w:rsidRDefault="00794E11" w:rsidP="00794E11">
      <w:pPr>
        <w:pStyle w:val="Heading1"/>
      </w:pPr>
      <w:bookmarkStart w:id="19" w:name="_Toc204241431"/>
      <w:r w:rsidRPr="00286280">
        <w:t>EFFICIENCY</w:t>
      </w:r>
      <w:bookmarkEnd w:id="19"/>
    </w:p>
    <w:p w14:paraId="7750155E" w14:textId="77777777" w:rsidR="00794E11" w:rsidRPr="0047698E" w:rsidRDefault="00794E11" w:rsidP="00794E11">
      <w:pPr>
        <w:pStyle w:val="Heading3"/>
        <w:rPr>
          <w:color w:val="12528D"/>
        </w:rPr>
      </w:pPr>
      <w:bookmarkStart w:id="20" w:name="_Toc204241432"/>
      <w:r w:rsidRPr="0047698E">
        <w:rPr>
          <w:color w:val="12528D"/>
        </w:rPr>
        <w:t>To what extent is HDMES being delivered efficiently, in a timely and cost-effective way?</w:t>
      </w:r>
      <w:bookmarkEnd w:id="20"/>
    </w:p>
    <w:p w14:paraId="5650BC72" w14:textId="23030141" w:rsidR="00794E11" w:rsidRDefault="00794E11" w:rsidP="00794E11">
      <w:r>
        <w:t>HDMES was designed as a scalable, head-deed model to deliver M&amp;E services across sectors. The efficiency of HDMES delivery has been mixed. In practice, its narrow focus</w:t>
      </w:r>
      <w:r w:rsidR="003B589F">
        <w:t xml:space="preserve"> (70% </w:t>
      </w:r>
      <w:r>
        <w:t xml:space="preserve"> </w:t>
      </w:r>
      <w:r w:rsidR="003B589F">
        <w:t xml:space="preserve">Health and 30% </w:t>
      </w:r>
      <w:r>
        <w:t>Education</w:t>
      </w:r>
      <w:r w:rsidR="003B589F">
        <w:t xml:space="preserve">) </w:t>
      </w:r>
      <w:r>
        <w:t>made the model administratively burdensome relative to the volume of work. While outputs like health meta-analyses and evidence matrices were timely and well-targeted, quality assurance gaps, particularly prior to 2023, resulted in substandard outputs that required repeated revisions and heavy DFAT oversight, diverting resources from higher-value activities</w:t>
      </w:r>
    </w:p>
    <w:p w14:paraId="725A40A5" w14:textId="7C821700" w:rsidR="00794E11" w:rsidRDefault="00685665" w:rsidP="00794E11">
      <w:r>
        <w:lastRenderedPageBreak/>
        <w:t xml:space="preserve">The total investment allocation for HDMES described in the </w:t>
      </w:r>
      <w:r w:rsidRPr="00685665">
        <w:t>Jan</w:t>
      </w:r>
      <w:r>
        <w:t>-Dec</w:t>
      </w:r>
      <w:r w:rsidRPr="00685665">
        <w:t xml:space="preserve"> 2024 </w:t>
      </w:r>
      <w:r>
        <w:t xml:space="preserve">IMR was </w:t>
      </w:r>
      <w:r w:rsidRPr="00685665">
        <w:t>$14,529,124.58</w:t>
      </w:r>
      <w:r>
        <w:t xml:space="preserve">, with a total of </w:t>
      </w:r>
      <w:r w:rsidRPr="00685665">
        <w:t>$12,573,987.17</w:t>
      </w:r>
      <w:r>
        <w:t xml:space="preserve"> expensed (86%). </w:t>
      </w:r>
      <w:r w:rsidR="00794E11">
        <w:t xml:space="preserve">In terms of budget execution, the </w:t>
      </w:r>
      <w:r w:rsidR="00794E11" w:rsidRPr="00BA650C">
        <w:t>Health portfolio consistently</w:t>
      </w:r>
      <w:r w:rsidR="00794E11">
        <w:t xml:space="preserve"> spent more than</w:t>
      </w:r>
      <w:r w:rsidR="00794E11" w:rsidRPr="00BA650C">
        <w:t xml:space="preserve"> 95% </w:t>
      </w:r>
      <w:r w:rsidR="00794E11">
        <w:t xml:space="preserve">of forecasted expenditure </w:t>
      </w:r>
      <w:r w:rsidR="00794E11" w:rsidRPr="00BA650C">
        <w:t>since 2023, while ELP underspending reflected staffing gaps and fewer activities.</w:t>
      </w:r>
      <w:r w:rsidR="00794E11">
        <w:t xml:space="preserve"> In 2024,</w:t>
      </w:r>
      <w:r w:rsidR="00794E11" w:rsidRPr="00BA650C">
        <w:t xml:space="preserve"> Health achieved 112% of its 2024 activity forecast and Education 97%, with overall HDMES budget execution at 97%. </w:t>
      </w:r>
      <w:r w:rsidR="00794E11">
        <w:t xml:space="preserve">Data on forecasted and actual expenditure for each project or service order was not available. </w:t>
      </w:r>
      <w:r w:rsidR="00721872" w:rsidRPr="00721872">
        <w:t xml:space="preserve">Overall spend </w:t>
      </w:r>
      <w:r w:rsidR="00721872">
        <w:t>during the contract extension</w:t>
      </w:r>
      <w:r w:rsidR="00721872" w:rsidRPr="00721872">
        <w:t xml:space="preserve"> reflects </w:t>
      </w:r>
      <w:r w:rsidR="00721872">
        <w:t xml:space="preserve">approximately </w:t>
      </w:r>
      <w:r w:rsidR="00721872" w:rsidRPr="00721872">
        <w:t>86% expenditure. Additional invoices expected in final months.</w:t>
      </w:r>
    </w:p>
    <w:tbl>
      <w:tblPr>
        <w:tblStyle w:val="GridTable5Dark-Accent2"/>
        <w:tblW w:w="0" w:type="auto"/>
        <w:tblLayout w:type="fixed"/>
        <w:tblLook w:val="04A0" w:firstRow="1" w:lastRow="0" w:firstColumn="1" w:lastColumn="0" w:noHBand="0" w:noVBand="1"/>
      </w:tblPr>
      <w:tblGrid>
        <w:gridCol w:w="846"/>
        <w:gridCol w:w="1134"/>
        <w:gridCol w:w="1276"/>
        <w:gridCol w:w="1417"/>
        <w:gridCol w:w="1276"/>
        <w:gridCol w:w="3679"/>
      </w:tblGrid>
      <w:tr w:rsidR="00721872" w:rsidRPr="00C00B7E" w14:paraId="4A554104" w14:textId="77777777" w:rsidTr="00E64B63">
        <w:trPr>
          <w:cnfStyle w:val="100000000000" w:firstRow="1" w:lastRow="0" w:firstColumn="0" w:lastColumn="0" w:oddVBand="0" w:evenVBand="0" w:oddHBand="0" w:evenHBand="0" w:firstRowFirstColumn="0" w:firstRowLastColumn="0" w:lastRowFirstColumn="0" w:lastRowLastColumn="0"/>
          <w:trHeight w:val="292"/>
          <w:tblHeader/>
        </w:trPr>
        <w:tc>
          <w:tcPr>
            <w:cnfStyle w:val="001000000000" w:firstRow="0" w:lastRow="0" w:firstColumn="1" w:lastColumn="0" w:oddVBand="0" w:evenVBand="0" w:oddHBand="0" w:evenHBand="0" w:firstRowFirstColumn="0" w:firstRowLastColumn="0" w:lastRowFirstColumn="0" w:lastRowLastColumn="0"/>
            <w:tcW w:w="0" w:type="dxa"/>
            <w:noWrap/>
            <w:hideMark/>
          </w:tcPr>
          <w:p w14:paraId="0B6EF4FA" w14:textId="77777777" w:rsidR="00794E11" w:rsidRPr="00C00B7E" w:rsidRDefault="00794E11" w:rsidP="007C00FA">
            <w:pPr>
              <w:spacing w:after="0" w:line="240" w:lineRule="auto"/>
              <w:jc w:val="center"/>
              <w:rPr>
                <w:rFonts w:ascii="Arial" w:eastAsia="Times New Roman" w:hAnsi="Arial" w:cs="Arial"/>
                <w:color w:val="000000"/>
                <w:sz w:val="18"/>
                <w:szCs w:val="18"/>
                <w:lang w:eastAsia="en-AU"/>
              </w:rPr>
            </w:pPr>
            <w:r w:rsidRPr="00C00B7E">
              <w:rPr>
                <w:rFonts w:ascii="Arial" w:eastAsia="Times New Roman" w:hAnsi="Arial" w:cs="Arial"/>
                <w:color w:val="000000"/>
                <w:sz w:val="18"/>
                <w:szCs w:val="18"/>
                <w:lang w:eastAsia="en-AU"/>
              </w:rPr>
              <w:t>Year</w:t>
            </w:r>
          </w:p>
        </w:tc>
        <w:tc>
          <w:tcPr>
            <w:tcW w:w="1134" w:type="dxa"/>
            <w:noWrap/>
            <w:hideMark/>
          </w:tcPr>
          <w:p w14:paraId="3AB8D830" w14:textId="77777777" w:rsidR="00794E11" w:rsidRPr="00C00B7E" w:rsidRDefault="00794E11" w:rsidP="007C00F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sidRPr="00C00B7E">
              <w:rPr>
                <w:rFonts w:ascii="Arial" w:eastAsia="Times New Roman" w:hAnsi="Arial" w:cs="Arial"/>
                <w:color w:val="000000"/>
                <w:sz w:val="18"/>
                <w:szCs w:val="18"/>
                <w:lang w:eastAsia="en-AU"/>
              </w:rPr>
              <w:t>Contracted Budget (AUD)</w:t>
            </w:r>
          </w:p>
        </w:tc>
        <w:tc>
          <w:tcPr>
            <w:tcW w:w="1276" w:type="dxa"/>
            <w:noWrap/>
            <w:hideMark/>
          </w:tcPr>
          <w:p w14:paraId="604A7A35" w14:textId="77777777" w:rsidR="00794E11" w:rsidRPr="00C00B7E" w:rsidRDefault="00794E11" w:rsidP="007C00F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sidRPr="00C00B7E">
              <w:rPr>
                <w:rFonts w:ascii="Arial" w:eastAsia="Times New Roman" w:hAnsi="Arial" w:cs="Arial"/>
                <w:color w:val="000000"/>
                <w:sz w:val="18"/>
                <w:szCs w:val="18"/>
                <w:lang w:eastAsia="en-AU"/>
              </w:rPr>
              <w:t>Forecasted Expenditure (AUD)</w:t>
            </w:r>
          </w:p>
        </w:tc>
        <w:tc>
          <w:tcPr>
            <w:tcW w:w="0" w:type="dxa"/>
            <w:noWrap/>
            <w:hideMark/>
          </w:tcPr>
          <w:p w14:paraId="243F3C1E" w14:textId="77777777" w:rsidR="00794E11" w:rsidRPr="00C00B7E" w:rsidRDefault="00794E11" w:rsidP="007C00F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sidRPr="00C00B7E">
              <w:rPr>
                <w:rFonts w:ascii="Arial" w:eastAsia="Times New Roman" w:hAnsi="Arial" w:cs="Arial"/>
                <w:color w:val="000000"/>
                <w:sz w:val="18"/>
                <w:szCs w:val="18"/>
                <w:lang w:eastAsia="en-AU"/>
              </w:rPr>
              <w:t>Actual Expenditure (AUD)</w:t>
            </w:r>
          </w:p>
        </w:tc>
        <w:tc>
          <w:tcPr>
            <w:tcW w:w="0" w:type="dxa"/>
            <w:noWrap/>
            <w:hideMark/>
          </w:tcPr>
          <w:p w14:paraId="28F1FDDA" w14:textId="46166167" w:rsidR="00794E11" w:rsidRPr="00C00B7E" w:rsidRDefault="00794E11" w:rsidP="007C00F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sidRPr="00C00B7E">
              <w:rPr>
                <w:rFonts w:ascii="Arial" w:eastAsia="Times New Roman" w:hAnsi="Arial" w:cs="Arial"/>
                <w:color w:val="000000"/>
                <w:sz w:val="18"/>
                <w:szCs w:val="18"/>
                <w:lang w:eastAsia="en-AU"/>
              </w:rPr>
              <w:t xml:space="preserve">Percent Spent </w:t>
            </w:r>
            <w:r w:rsidRPr="0047698E">
              <w:rPr>
                <w:rFonts w:ascii="Arial" w:eastAsia="Times New Roman" w:hAnsi="Arial" w:cs="Arial"/>
                <w:color w:val="000000"/>
                <w:sz w:val="16"/>
                <w:szCs w:val="16"/>
              </w:rPr>
              <w:t>(%</w:t>
            </w:r>
            <w:r w:rsidR="008B31B0" w:rsidRPr="0047698E">
              <w:rPr>
                <w:rFonts w:ascii="Arial" w:eastAsia="Times New Roman" w:hAnsi="Arial" w:cs="Arial"/>
                <w:color w:val="000000"/>
                <w:sz w:val="16"/>
                <w:szCs w:val="16"/>
              </w:rPr>
              <w:t xml:space="preserve"> of contracted</w:t>
            </w:r>
            <w:r w:rsidR="00685665" w:rsidRPr="0047698E">
              <w:rPr>
                <w:rStyle w:val="FootnoteReference"/>
                <w:rFonts w:ascii="Arial" w:eastAsia="Times New Roman" w:hAnsi="Arial" w:cs="Arial"/>
                <w:color w:val="000000"/>
                <w:sz w:val="16"/>
                <w:szCs w:val="16"/>
              </w:rPr>
              <w:footnoteReference w:id="2"/>
            </w:r>
            <w:r w:rsidRPr="0047698E">
              <w:rPr>
                <w:rFonts w:ascii="Arial" w:eastAsia="Times New Roman" w:hAnsi="Arial" w:cs="Arial"/>
                <w:color w:val="000000"/>
                <w:sz w:val="16"/>
                <w:szCs w:val="16"/>
              </w:rPr>
              <w:t>)</w:t>
            </w:r>
          </w:p>
        </w:tc>
        <w:tc>
          <w:tcPr>
            <w:tcW w:w="0" w:type="dxa"/>
            <w:noWrap/>
            <w:hideMark/>
          </w:tcPr>
          <w:p w14:paraId="66A45B73" w14:textId="77777777" w:rsidR="00794E11" w:rsidRPr="00C00B7E" w:rsidRDefault="00794E11" w:rsidP="007C00F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sidRPr="00C00B7E">
              <w:rPr>
                <w:rFonts w:ascii="Arial" w:eastAsia="Times New Roman" w:hAnsi="Arial" w:cs="Arial"/>
                <w:color w:val="000000"/>
                <w:sz w:val="18"/>
                <w:szCs w:val="18"/>
                <w:lang w:eastAsia="en-AU"/>
              </w:rPr>
              <w:t>Notes</w:t>
            </w:r>
          </w:p>
        </w:tc>
      </w:tr>
      <w:tr w:rsidR="00721872" w:rsidRPr="00C00B7E" w14:paraId="766DF238" w14:textId="77777777" w:rsidTr="0047698E">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0" w:type="dxa"/>
            <w:noWrap/>
            <w:hideMark/>
          </w:tcPr>
          <w:p w14:paraId="43AC020E" w14:textId="390B1E0C" w:rsidR="00794E11" w:rsidRPr="00C00B7E" w:rsidRDefault="00794E11" w:rsidP="007C00FA">
            <w:pPr>
              <w:spacing w:after="0" w:line="240" w:lineRule="auto"/>
              <w:jc w:val="center"/>
              <w:rPr>
                <w:rFonts w:ascii="Arial" w:eastAsia="Times New Roman" w:hAnsi="Arial" w:cs="Arial"/>
                <w:color w:val="000000"/>
                <w:sz w:val="18"/>
                <w:szCs w:val="18"/>
                <w:lang w:eastAsia="en-AU"/>
              </w:rPr>
            </w:pPr>
            <w:r w:rsidRPr="00C00B7E">
              <w:rPr>
                <w:rFonts w:ascii="Arial" w:eastAsia="Times New Roman" w:hAnsi="Arial" w:cs="Arial"/>
                <w:color w:val="000000"/>
                <w:sz w:val="18"/>
                <w:szCs w:val="18"/>
                <w:lang w:eastAsia="en-AU"/>
              </w:rPr>
              <w:t>201</w:t>
            </w:r>
            <w:r>
              <w:rPr>
                <w:rFonts w:ascii="Arial" w:eastAsia="Times New Roman" w:hAnsi="Arial" w:cs="Arial"/>
                <w:color w:val="000000"/>
                <w:sz w:val="18"/>
                <w:szCs w:val="18"/>
                <w:lang w:eastAsia="en-AU"/>
              </w:rPr>
              <w:t>9</w:t>
            </w:r>
          </w:p>
        </w:tc>
        <w:tc>
          <w:tcPr>
            <w:tcW w:w="1134" w:type="dxa"/>
            <w:noWrap/>
            <w:hideMark/>
          </w:tcPr>
          <w:p w14:paraId="38D7B77E" w14:textId="77777777" w:rsidR="00794E11" w:rsidRPr="00C00B7E" w:rsidRDefault="00794E11" w:rsidP="007C00F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w:t>
            </w:r>
            <w:r w:rsidRPr="00C00B7E">
              <w:rPr>
                <w:rFonts w:ascii="Arial" w:eastAsia="Times New Roman" w:hAnsi="Arial" w:cs="Arial"/>
                <w:color w:val="000000"/>
                <w:sz w:val="18"/>
                <w:szCs w:val="18"/>
                <w:lang w:eastAsia="en-AU"/>
              </w:rPr>
              <w:t>12</w:t>
            </w:r>
            <w:r>
              <w:rPr>
                <w:rFonts w:ascii="Arial" w:eastAsia="Times New Roman" w:hAnsi="Arial" w:cs="Arial"/>
                <w:color w:val="000000"/>
                <w:sz w:val="18"/>
                <w:szCs w:val="18"/>
                <w:lang w:eastAsia="en-AU"/>
              </w:rPr>
              <w:t>,</w:t>
            </w:r>
            <w:r w:rsidRPr="00C00B7E">
              <w:rPr>
                <w:rFonts w:ascii="Arial" w:eastAsia="Times New Roman" w:hAnsi="Arial" w:cs="Arial"/>
                <w:color w:val="000000"/>
                <w:sz w:val="18"/>
                <w:szCs w:val="18"/>
                <w:lang w:eastAsia="en-AU"/>
              </w:rPr>
              <w:t>000</w:t>
            </w:r>
            <w:r>
              <w:rPr>
                <w:rFonts w:ascii="Arial" w:eastAsia="Times New Roman" w:hAnsi="Arial" w:cs="Arial"/>
                <w:color w:val="000000"/>
                <w:sz w:val="18"/>
                <w:szCs w:val="18"/>
                <w:lang w:eastAsia="en-AU"/>
              </w:rPr>
              <w:t>,</w:t>
            </w:r>
            <w:r w:rsidRPr="00C00B7E">
              <w:rPr>
                <w:rFonts w:ascii="Arial" w:eastAsia="Times New Roman" w:hAnsi="Arial" w:cs="Arial"/>
                <w:color w:val="000000"/>
                <w:sz w:val="18"/>
                <w:szCs w:val="18"/>
                <w:lang w:eastAsia="en-AU"/>
              </w:rPr>
              <w:t>000</w:t>
            </w:r>
          </w:p>
        </w:tc>
        <w:tc>
          <w:tcPr>
            <w:tcW w:w="1276" w:type="dxa"/>
            <w:noWrap/>
            <w:hideMark/>
          </w:tcPr>
          <w:p w14:paraId="46A71F89" w14:textId="3B119AF4" w:rsidR="00794E11" w:rsidRPr="00C00B7E" w:rsidRDefault="00794E11" w:rsidP="007C00F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w:t>
            </w:r>
            <w:r w:rsidRPr="00C00B7E">
              <w:rPr>
                <w:rFonts w:ascii="Arial" w:eastAsia="Times New Roman" w:hAnsi="Arial" w:cs="Arial"/>
                <w:color w:val="000000"/>
                <w:sz w:val="18"/>
                <w:szCs w:val="18"/>
                <w:lang w:eastAsia="en-AU"/>
              </w:rPr>
              <w:t>12</w:t>
            </w:r>
            <w:r w:rsidR="003B589F">
              <w:rPr>
                <w:rFonts w:ascii="Arial" w:eastAsia="Times New Roman" w:hAnsi="Arial" w:cs="Arial"/>
                <w:color w:val="000000"/>
                <w:sz w:val="18"/>
                <w:szCs w:val="18"/>
                <w:lang w:eastAsia="en-AU"/>
              </w:rPr>
              <w:t>,</w:t>
            </w:r>
            <w:r w:rsidRPr="00C00B7E">
              <w:rPr>
                <w:rFonts w:ascii="Arial" w:eastAsia="Times New Roman" w:hAnsi="Arial" w:cs="Arial"/>
                <w:color w:val="000000"/>
                <w:sz w:val="18"/>
                <w:szCs w:val="18"/>
                <w:lang w:eastAsia="en-AU"/>
              </w:rPr>
              <w:t>000</w:t>
            </w:r>
            <w:r w:rsidR="003B589F">
              <w:rPr>
                <w:rFonts w:ascii="Arial" w:eastAsia="Times New Roman" w:hAnsi="Arial" w:cs="Arial"/>
                <w:color w:val="000000"/>
                <w:sz w:val="18"/>
                <w:szCs w:val="18"/>
                <w:lang w:eastAsia="en-AU"/>
              </w:rPr>
              <w:t>,</w:t>
            </w:r>
            <w:r w:rsidRPr="00C00B7E">
              <w:rPr>
                <w:rFonts w:ascii="Arial" w:eastAsia="Times New Roman" w:hAnsi="Arial" w:cs="Arial"/>
                <w:color w:val="000000"/>
                <w:sz w:val="18"/>
                <w:szCs w:val="18"/>
                <w:lang w:eastAsia="en-AU"/>
              </w:rPr>
              <w:t>000</w:t>
            </w:r>
          </w:p>
        </w:tc>
        <w:tc>
          <w:tcPr>
            <w:tcW w:w="0" w:type="dxa"/>
            <w:noWrap/>
            <w:hideMark/>
          </w:tcPr>
          <w:p w14:paraId="14719E8B" w14:textId="562D1BA3" w:rsidR="00794E11" w:rsidRPr="00C00B7E" w:rsidRDefault="00685665" w:rsidP="007C00F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AU"/>
              </w:rPr>
            </w:pPr>
            <w:r>
              <w:rPr>
                <w:rFonts w:ascii="Arial" w:eastAsia="Times New Roman" w:hAnsi="Arial" w:cs="Arial"/>
                <w:color w:val="000000"/>
                <w:sz w:val="18"/>
                <w:szCs w:val="18"/>
              </w:rPr>
              <w:t>N/A</w:t>
            </w:r>
            <w:r w:rsidDel="003B589F">
              <w:rPr>
                <w:rFonts w:ascii="Arial" w:eastAsia="Times New Roman" w:hAnsi="Arial" w:cs="Arial"/>
                <w:color w:val="000000"/>
                <w:sz w:val="18"/>
                <w:szCs w:val="18"/>
                <w:lang w:eastAsia="en-AU"/>
              </w:rPr>
              <w:t xml:space="preserve"> </w:t>
            </w:r>
          </w:p>
        </w:tc>
        <w:tc>
          <w:tcPr>
            <w:tcW w:w="0" w:type="dxa"/>
            <w:noWrap/>
            <w:hideMark/>
          </w:tcPr>
          <w:p w14:paraId="65DBF0D1" w14:textId="1DECACB2" w:rsidR="00794E11" w:rsidRPr="00C00B7E" w:rsidRDefault="00685665" w:rsidP="007C00F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AU"/>
              </w:rPr>
            </w:pPr>
            <w:r>
              <w:rPr>
                <w:rFonts w:ascii="Arial" w:eastAsia="Times New Roman" w:hAnsi="Arial" w:cs="Arial"/>
                <w:color w:val="000000"/>
                <w:sz w:val="18"/>
                <w:szCs w:val="18"/>
              </w:rPr>
              <w:t>N/A</w:t>
            </w:r>
            <w:r w:rsidRPr="051B0DA5" w:rsidDel="003B589F">
              <w:rPr>
                <w:rFonts w:ascii="Arial" w:eastAsia="Times New Roman" w:hAnsi="Arial" w:cs="Arial"/>
                <w:sz w:val="18"/>
                <w:szCs w:val="18"/>
                <w:lang w:eastAsia="en-AU"/>
              </w:rPr>
              <w:t xml:space="preserve"> </w:t>
            </w:r>
          </w:p>
        </w:tc>
        <w:tc>
          <w:tcPr>
            <w:tcW w:w="0" w:type="dxa"/>
            <w:noWrap/>
            <w:hideMark/>
          </w:tcPr>
          <w:p w14:paraId="41B27637" w14:textId="625495DF" w:rsidR="00794E11" w:rsidRPr="00C00B7E" w:rsidRDefault="00794E11" w:rsidP="007C00FA">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AU"/>
              </w:rPr>
            </w:pPr>
            <w:r w:rsidRPr="00C00B7E">
              <w:rPr>
                <w:rFonts w:ascii="Arial" w:eastAsia="Times New Roman" w:hAnsi="Arial" w:cs="Arial"/>
                <w:color w:val="000000"/>
                <w:sz w:val="18"/>
                <w:szCs w:val="18"/>
                <w:lang w:eastAsia="en-AU"/>
              </w:rPr>
              <w:t xml:space="preserve">Initial contract value. </w:t>
            </w:r>
            <w:r w:rsidR="00685665">
              <w:rPr>
                <w:rFonts w:ascii="Arial" w:eastAsia="Times New Roman" w:hAnsi="Arial" w:cs="Arial"/>
                <w:color w:val="000000"/>
                <w:sz w:val="18"/>
                <w:szCs w:val="18"/>
                <w:lang w:eastAsia="en-AU"/>
              </w:rPr>
              <w:t>No Annual report available. D</w:t>
            </w:r>
            <w:r w:rsidR="00685665" w:rsidRPr="00C00B7E">
              <w:rPr>
                <w:rFonts w:ascii="Arial" w:eastAsia="Times New Roman" w:hAnsi="Arial" w:cs="Arial"/>
                <w:color w:val="000000"/>
                <w:sz w:val="18"/>
                <w:szCs w:val="18"/>
                <w:lang w:eastAsia="en-AU"/>
              </w:rPr>
              <w:t>elays in Aid Status approval</w:t>
            </w:r>
            <w:r w:rsidR="00685665">
              <w:rPr>
                <w:rFonts w:ascii="Arial" w:eastAsia="Times New Roman" w:hAnsi="Arial" w:cs="Arial"/>
                <w:color w:val="000000"/>
                <w:sz w:val="18"/>
                <w:szCs w:val="18"/>
                <w:lang w:eastAsia="en-AU"/>
              </w:rPr>
              <w:t xml:space="preserve">. </w:t>
            </w:r>
          </w:p>
        </w:tc>
      </w:tr>
      <w:tr w:rsidR="00721872" w:rsidRPr="00C00B7E" w14:paraId="092815D6" w14:textId="77777777" w:rsidTr="00721872">
        <w:trPr>
          <w:trHeight w:val="292"/>
        </w:trPr>
        <w:tc>
          <w:tcPr>
            <w:cnfStyle w:val="001000000000" w:firstRow="0" w:lastRow="0" w:firstColumn="1" w:lastColumn="0" w:oddVBand="0" w:evenVBand="0" w:oddHBand="0" w:evenHBand="0" w:firstRowFirstColumn="0" w:firstRowLastColumn="0" w:lastRowFirstColumn="0" w:lastRowLastColumn="0"/>
            <w:tcW w:w="846" w:type="dxa"/>
            <w:noWrap/>
          </w:tcPr>
          <w:p w14:paraId="7C65C5C3" w14:textId="2493E16F" w:rsidR="008B31B0" w:rsidRPr="00C00B7E" w:rsidRDefault="00685665" w:rsidP="007C00FA">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2020</w:t>
            </w:r>
          </w:p>
        </w:tc>
        <w:tc>
          <w:tcPr>
            <w:tcW w:w="1134" w:type="dxa"/>
            <w:noWrap/>
          </w:tcPr>
          <w:p w14:paraId="6760BA9B" w14:textId="4916DB90" w:rsidR="008B31B0" w:rsidRDefault="00685665" w:rsidP="007C00F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Pr>
                <w:rFonts w:ascii="Arial" w:eastAsia="Times New Roman" w:hAnsi="Arial" w:cs="Arial"/>
                <w:color w:val="000000"/>
                <w:sz w:val="18"/>
                <w:szCs w:val="18"/>
              </w:rPr>
              <w:t>$</w:t>
            </w:r>
            <w:r w:rsidRPr="00685665">
              <w:rPr>
                <w:rFonts w:ascii="Arial" w:eastAsia="Times New Roman" w:hAnsi="Arial" w:cs="Arial"/>
                <w:color w:val="000000"/>
                <w:sz w:val="18"/>
                <w:szCs w:val="18"/>
              </w:rPr>
              <w:t>2,659,064</w:t>
            </w:r>
          </w:p>
        </w:tc>
        <w:tc>
          <w:tcPr>
            <w:tcW w:w="1276" w:type="dxa"/>
            <w:noWrap/>
          </w:tcPr>
          <w:p w14:paraId="04E3B463" w14:textId="448A1B02" w:rsidR="008B31B0" w:rsidRDefault="00685665" w:rsidP="007C00F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Pr>
                <w:rFonts w:ascii="Arial" w:eastAsia="Times New Roman" w:hAnsi="Arial" w:cs="Arial"/>
                <w:color w:val="000000"/>
                <w:sz w:val="18"/>
                <w:szCs w:val="18"/>
              </w:rPr>
              <w:t>N/A</w:t>
            </w:r>
          </w:p>
        </w:tc>
        <w:tc>
          <w:tcPr>
            <w:tcW w:w="1417" w:type="dxa"/>
            <w:noWrap/>
          </w:tcPr>
          <w:p w14:paraId="2E8BF8E8" w14:textId="688BFBCA" w:rsidR="008B31B0" w:rsidDel="003B589F" w:rsidRDefault="00685665" w:rsidP="007C00F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Pr>
                <w:rFonts w:ascii="Arial" w:eastAsia="Times New Roman" w:hAnsi="Arial" w:cs="Arial"/>
                <w:color w:val="000000"/>
                <w:sz w:val="18"/>
                <w:szCs w:val="18"/>
              </w:rPr>
              <w:t>$</w:t>
            </w:r>
            <w:r w:rsidRPr="00685665">
              <w:rPr>
                <w:rFonts w:ascii="Arial" w:eastAsia="Times New Roman" w:hAnsi="Arial" w:cs="Arial"/>
                <w:color w:val="000000"/>
                <w:sz w:val="18"/>
                <w:szCs w:val="18"/>
              </w:rPr>
              <w:t>1,305,994</w:t>
            </w:r>
          </w:p>
        </w:tc>
        <w:tc>
          <w:tcPr>
            <w:tcW w:w="1276" w:type="dxa"/>
            <w:noWrap/>
          </w:tcPr>
          <w:p w14:paraId="4AD8A5EF" w14:textId="37BB4A25" w:rsidR="008B31B0" w:rsidRPr="051B0DA5" w:rsidDel="003B589F" w:rsidRDefault="00685665" w:rsidP="007C00F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Pr>
                <w:rFonts w:ascii="Arial" w:eastAsia="Times New Roman" w:hAnsi="Arial" w:cs="Arial"/>
                <w:sz w:val="18"/>
                <w:szCs w:val="18"/>
              </w:rPr>
              <w:t>49%</w:t>
            </w:r>
          </w:p>
        </w:tc>
        <w:tc>
          <w:tcPr>
            <w:tcW w:w="3679" w:type="dxa"/>
            <w:noWrap/>
          </w:tcPr>
          <w:p w14:paraId="7462B0DD" w14:textId="533DE420" w:rsidR="008B31B0" w:rsidRPr="00C00B7E" w:rsidRDefault="00685665" w:rsidP="007C00FA">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C00B7E">
              <w:rPr>
                <w:rFonts w:ascii="Arial" w:eastAsia="Times New Roman" w:hAnsi="Arial" w:cs="Arial"/>
                <w:color w:val="000000"/>
                <w:sz w:val="18"/>
                <w:szCs w:val="18"/>
                <w:lang w:eastAsia="en-AU"/>
              </w:rPr>
              <w:t>Underspend occurred due to</w:t>
            </w:r>
            <w:r>
              <w:rPr>
                <w:rFonts w:ascii="Arial" w:eastAsia="Times New Roman" w:hAnsi="Arial" w:cs="Arial"/>
                <w:color w:val="000000"/>
                <w:sz w:val="18"/>
                <w:szCs w:val="18"/>
                <w:lang w:eastAsia="en-AU"/>
              </w:rPr>
              <w:t xml:space="preserve"> </w:t>
            </w:r>
            <w:r w:rsidRPr="00C00B7E">
              <w:rPr>
                <w:rFonts w:ascii="Arial" w:eastAsia="Times New Roman" w:hAnsi="Arial" w:cs="Arial"/>
                <w:color w:val="000000"/>
                <w:sz w:val="18"/>
                <w:szCs w:val="18"/>
                <w:lang w:eastAsia="en-AU"/>
              </w:rPr>
              <w:t xml:space="preserve">COVID-19, </w:t>
            </w:r>
            <w:r>
              <w:rPr>
                <w:rFonts w:ascii="Arial" w:eastAsia="Times New Roman" w:hAnsi="Arial" w:cs="Arial"/>
                <w:color w:val="000000"/>
                <w:sz w:val="18"/>
                <w:szCs w:val="18"/>
                <w:lang w:eastAsia="en-AU"/>
              </w:rPr>
              <w:t>unfilled positions (and remote delivery), lower than expected engagement by ELP.</w:t>
            </w:r>
          </w:p>
        </w:tc>
      </w:tr>
      <w:tr w:rsidR="00721872" w:rsidRPr="00C00B7E" w14:paraId="7DF7C966" w14:textId="77777777" w:rsidTr="0047698E">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846" w:type="dxa"/>
            <w:noWrap/>
          </w:tcPr>
          <w:p w14:paraId="0AA535E5" w14:textId="10A1A3FB" w:rsidR="008B31B0" w:rsidRPr="00C00B7E" w:rsidRDefault="008B31B0" w:rsidP="007C00FA">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2021</w:t>
            </w:r>
          </w:p>
        </w:tc>
        <w:tc>
          <w:tcPr>
            <w:tcW w:w="1134" w:type="dxa"/>
            <w:noWrap/>
          </w:tcPr>
          <w:p w14:paraId="7F115553" w14:textId="7B3CAF61" w:rsidR="008B31B0" w:rsidRDefault="008B31B0" w:rsidP="007C00F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Pr>
                <w:rFonts w:ascii="Arial" w:eastAsia="Times New Roman" w:hAnsi="Arial" w:cs="Arial"/>
                <w:color w:val="000000"/>
                <w:sz w:val="18"/>
                <w:szCs w:val="18"/>
              </w:rPr>
              <w:t>$</w:t>
            </w:r>
            <w:r w:rsidRPr="008B31B0">
              <w:rPr>
                <w:rFonts w:ascii="Arial" w:eastAsia="Times New Roman" w:hAnsi="Arial" w:cs="Arial"/>
                <w:color w:val="000000"/>
                <w:sz w:val="18"/>
                <w:szCs w:val="18"/>
              </w:rPr>
              <w:t>2,378,6</w:t>
            </w:r>
            <w:r>
              <w:rPr>
                <w:rFonts w:ascii="Arial" w:eastAsia="Times New Roman" w:hAnsi="Arial" w:cs="Arial"/>
                <w:color w:val="000000"/>
                <w:sz w:val="18"/>
                <w:szCs w:val="18"/>
              </w:rPr>
              <w:t>31</w:t>
            </w:r>
          </w:p>
        </w:tc>
        <w:tc>
          <w:tcPr>
            <w:tcW w:w="1276" w:type="dxa"/>
            <w:noWrap/>
          </w:tcPr>
          <w:p w14:paraId="570347C3" w14:textId="7D59D43A" w:rsidR="008B31B0" w:rsidRDefault="00685665" w:rsidP="007C00F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Pr>
                <w:rFonts w:ascii="Arial" w:eastAsia="Times New Roman" w:hAnsi="Arial" w:cs="Arial"/>
                <w:color w:val="000000"/>
                <w:sz w:val="18"/>
                <w:szCs w:val="18"/>
              </w:rPr>
              <w:t>N/A</w:t>
            </w:r>
          </w:p>
        </w:tc>
        <w:tc>
          <w:tcPr>
            <w:tcW w:w="1417" w:type="dxa"/>
            <w:noWrap/>
          </w:tcPr>
          <w:p w14:paraId="33E4F25C" w14:textId="4641A51E" w:rsidR="008B31B0" w:rsidDel="003B589F" w:rsidRDefault="008B31B0" w:rsidP="007C00F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Pr>
                <w:rFonts w:ascii="Arial" w:eastAsia="Times New Roman" w:hAnsi="Arial" w:cs="Arial"/>
                <w:color w:val="000000"/>
                <w:sz w:val="18"/>
                <w:szCs w:val="18"/>
              </w:rPr>
              <w:t>$</w:t>
            </w:r>
            <w:r w:rsidRPr="008B31B0">
              <w:rPr>
                <w:rFonts w:ascii="Arial" w:eastAsia="Times New Roman" w:hAnsi="Arial" w:cs="Arial"/>
                <w:color w:val="000000"/>
                <w:sz w:val="18"/>
                <w:szCs w:val="18"/>
              </w:rPr>
              <w:t>1,002.589</w:t>
            </w:r>
          </w:p>
        </w:tc>
        <w:tc>
          <w:tcPr>
            <w:tcW w:w="0" w:type="dxa"/>
            <w:noWrap/>
          </w:tcPr>
          <w:p w14:paraId="71328A30" w14:textId="039B5968" w:rsidR="008B31B0" w:rsidRPr="051B0DA5" w:rsidDel="003B589F" w:rsidRDefault="008B31B0" w:rsidP="007C00F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Pr>
                <w:rFonts w:ascii="Arial" w:eastAsia="Times New Roman" w:hAnsi="Arial" w:cs="Arial"/>
                <w:sz w:val="18"/>
                <w:szCs w:val="18"/>
              </w:rPr>
              <w:t xml:space="preserve">42% </w:t>
            </w:r>
          </w:p>
        </w:tc>
        <w:tc>
          <w:tcPr>
            <w:tcW w:w="0" w:type="dxa"/>
            <w:noWrap/>
          </w:tcPr>
          <w:p w14:paraId="3AEC3A51" w14:textId="00EA3E92" w:rsidR="008B31B0" w:rsidRPr="00C00B7E" w:rsidRDefault="008B31B0" w:rsidP="007C00FA">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Pr>
                <w:rFonts w:ascii="Arial" w:eastAsia="Times New Roman" w:hAnsi="Arial" w:cs="Arial"/>
                <w:color w:val="000000"/>
                <w:sz w:val="18"/>
                <w:szCs w:val="18"/>
              </w:rPr>
              <w:t>Excluding Management fees. Caused by i</w:t>
            </w:r>
            <w:r w:rsidRPr="008B31B0">
              <w:rPr>
                <w:rFonts w:ascii="Arial" w:eastAsia="Times New Roman" w:hAnsi="Arial" w:cs="Arial"/>
                <w:color w:val="000000"/>
                <w:sz w:val="18"/>
                <w:szCs w:val="18"/>
              </w:rPr>
              <w:t>mpacts of COVID-19 restrictions, and a remote working environment</w:t>
            </w:r>
          </w:p>
        </w:tc>
      </w:tr>
      <w:tr w:rsidR="00721872" w:rsidRPr="00C00B7E" w14:paraId="7A94B074" w14:textId="77777777" w:rsidTr="00721872">
        <w:trPr>
          <w:trHeight w:val="292"/>
        </w:trPr>
        <w:tc>
          <w:tcPr>
            <w:cnfStyle w:val="001000000000" w:firstRow="0" w:lastRow="0" w:firstColumn="1" w:lastColumn="0" w:oddVBand="0" w:evenVBand="0" w:oddHBand="0" w:evenHBand="0" w:firstRowFirstColumn="0" w:firstRowLastColumn="0" w:lastRowFirstColumn="0" w:lastRowLastColumn="0"/>
            <w:tcW w:w="846" w:type="dxa"/>
            <w:noWrap/>
          </w:tcPr>
          <w:p w14:paraId="13FF73AF" w14:textId="041A9E4D" w:rsidR="008B31B0" w:rsidRPr="00C00B7E" w:rsidRDefault="008B31B0" w:rsidP="007C00FA">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2022</w:t>
            </w:r>
          </w:p>
        </w:tc>
        <w:tc>
          <w:tcPr>
            <w:tcW w:w="1134" w:type="dxa"/>
            <w:noWrap/>
          </w:tcPr>
          <w:p w14:paraId="4A05C489" w14:textId="4537AAFB" w:rsidR="008B31B0" w:rsidRDefault="008B31B0" w:rsidP="007C00F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Pr>
                <w:rFonts w:ascii="Arial" w:eastAsia="Times New Roman" w:hAnsi="Arial" w:cs="Arial"/>
                <w:color w:val="000000"/>
                <w:sz w:val="18"/>
                <w:szCs w:val="18"/>
              </w:rPr>
              <w:t>$</w:t>
            </w:r>
            <w:r w:rsidRPr="008B31B0">
              <w:rPr>
                <w:rFonts w:ascii="Arial" w:eastAsia="Times New Roman" w:hAnsi="Arial" w:cs="Arial"/>
                <w:color w:val="000000"/>
                <w:sz w:val="18"/>
                <w:szCs w:val="18"/>
              </w:rPr>
              <w:t>2,391,833</w:t>
            </w:r>
          </w:p>
        </w:tc>
        <w:tc>
          <w:tcPr>
            <w:tcW w:w="1276" w:type="dxa"/>
            <w:noWrap/>
          </w:tcPr>
          <w:p w14:paraId="5A518BF1" w14:textId="6933DC69" w:rsidR="008B31B0" w:rsidRDefault="00685665" w:rsidP="007C00F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Pr>
                <w:rFonts w:ascii="Arial" w:eastAsia="Times New Roman" w:hAnsi="Arial" w:cs="Arial"/>
                <w:color w:val="000000"/>
                <w:sz w:val="18"/>
                <w:szCs w:val="18"/>
              </w:rPr>
              <w:t>N/A</w:t>
            </w:r>
          </w:p>
        </w:tc>
        <w:tc>
          <w:tcPr>
            <w:tcW w:w="1417" w:type="dxa"/>
            <w:noWrap/>
          </w:tcPr>
          <w:p w14:paraId="05728408" w14:textId="41348C51" w:rsidR="008B31B0" w:rsidDel="003B589F" w:rsidRDefault="008B31B0" w:rsidP="007C00F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Pr>
                <w:rFonts w:ascii="Arial" w:eastAsia="Times New Roman" w:hAnsi="Arial" w:cs="Arial"/>
                <w:color w:val="000000"/>
                <w:sz w:val="18"/>
                <w:szCs w:val="18"/>
              </w:rPr>
              <w:t>$</w:t>
            </w:r>
            <w:r w:rsidRPr="008B31B0">
              <w:rPr>
                <w:rFonts w:ascii="Arial" w:eastAsia="Times New Roman" w:hAnsi="Arial" w:cs="Arial"/>
                <w:color w:val="000000"/>
                <w:sz w:val="18"/>
                <w:szCs w:val="18"/>
              </w:rPr>
              <w:t>2,079,850</w:t>
            </w:r>
          </w:p>
        </w:tc>
        <w:tc>
          <w:tcPr>
            <w:tcW w:w="1276" w:type="dxa"/>
            <w:noWrap/>
          </w:tcPr>
          <w:p w14:paraId="153FD477" w14:textId="5A39660C" w:rsidR="008B31B0" w:rsidRPr="051B0DA5" w:rsidDel="003B589F" w:rsidRDefault="008B31B0" w:rsidP="007C00F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Pr>
                <w:rFonts w:ascii="Arial" w:eastAsia="Times New Roman" w:hAnsi="Arial" w:cs="Arial"/>
                <w:sz w:val="18"/>
                <w:szCs w:val="18"/>
              </w:rPr>
              <w:t>87%</w:t>
            </w:r>
          </w:p>
        </w:tc>
        <w:tc>
          <w:tcPr>
            <w:tcW w:w="3679" w:type="dxa"/>
            <w:noWrap/>
          </w:tcPr>
          <w:p w14:paraId="4CC69D7D" w14:textId="2B2CCBCE" w:rsidR="008B31B0" w:rsidRPr="00C00B7E" w:rsidRDefault="008B31B0" w:rsidP="007C00FA">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Pr>
                <w:rFonts w:ascii="Arial" w:eastAsia="Times New Roman" w:hAnsi="Arial" w:cs="Arial"/>
                <w:color w:val="000000"/>
                <w:sz w:val="18"/>
                <w:szCs w:val="18"/>
              </w:rPr>
              <w:t xml:space="preserve">Excluding Management fees. Remote working, underspend on advisors </w:t>
            </w:r>
            <w:r w:rsidRPr="008B31B0">
              <w:rPr>
                <w:rFonts w:ascii="Arial" w:eastAsia="Times New Roman" w:hAnsi="Arial" w:cs="Arial"/>
                <w:color w:val="000000"/>
                <w:sz w:val="18"/>
                <w:szCs w:val="18"/>
              </w:rPr>
              <w:t>and a greater reliance on STAs</w:t>
            </w:r>
          </w:p>
        </w:tc>
      </w:tr>
      <w:tr w:rsidR="00721872" w:rsidRPr="00C00B7E" w14:paraId="0576740B" w14:textId="77777777" w:rsidTr="00721872">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846" w:type="dxa"/>
            <w:noWrap/>
          </w:tcPr>
          <w:p w14:paraId="01ADBD3E" w14:textId="15FC0186" w:rsidR="008B31B0" w:rsidRPr="00C00B7E" w:rsidRDefault="008B31B0" w:rsidP="007C00FA">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2023</w:t>
            </w:r>
          </w:p>
        </w:tc>
        <w:tc>
          <w:tcPr>
            <w:tcW w:w="1134" w:type="dxa"/>
            <w:noWrap/>
          </w:tcPr>
          <w:p w14:paraId="014194A5" w14:textId="2F1EAF0F" w:rsidR="008B31B0" w:rsidRDefault="008B31B0" w:rsidP="007C00F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Pr>
                <w:rFonts w:ascii="Arial" w:eastAsia="Times New Roman" w:hAnsi="Arial" w:cs="Arial"/>
                <w:color w:val="000000"/>
                <w:sz w:val="18"/>
                <w:szCs w:val="18"/>
              </w:rPr>
              <w:t>$</w:t>
            </w:r>
            <w:r w:rsidRPr="008B31B0">
              <w:rPr>
                <w:rFonts w:ascii="Arial" w:eastAsia="Times New Roman" w:hAnsi="Arial" w:cs="Arial"/>
                <w:color w:val="000000"/>
                <w:sz w:val="18"/>
                <w:szCs w:val="18"/>
              </w:rPr>
              <w:t>2,505,308</w:t>
            </w:r>
          </w:p>
        </w:tc>
        <w:tc>
          <w:tcPr>
            <w:tcW w:w="1276" w:type="dxa"/>
            <w:noWrap/>
          </w:tcPr>
          <w:p w14:paraId="4BF03C5C" w14:textId="0F5FF98A" w:rsidR="008B31B0" w:rsidRDefault="008B31B0" w:rsidP="007C00F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Pr>
                <w:rFonts w:ascii="Arial" w:eastAsia="Times New Roman" w:hAnsi="Arial" w:cs="Arial"/>
                <w:color w:val="000000"/>
                <w:sz w:val="18"/>
                <w:szCs w:val="18"/>
              </w:rPr>
              <w:t>$</w:t>
            </w:r>
            <w:r w:rsidRPr="008B31B0">
              <w:rPr>
                <w:rFonts w:ascii="Arial" w:eastAsia="Times New Roman" w:hAnsi="Arial" w:cs="Arial"/>
                <w:color w:val="000000"/>
                <w:sz w:val="18"/>
                <w:szCs w:val="18"/>
              </w:rPr>
              <w:t>1,829,343</w:t>
            </w:r>
          </w:p>
        </w:tc>
        <w:tc>
          <w:tcPr>
            <w:tcW w:w="1417" w:type="dxa"/>
            <w:noWrap/>
          </w:tcPr>
          <w:p w14:paraId="5A486BA8" w14:textId="22F875F6" w:rsidR="008B31B0" w:rsidDel="003B589F" w:rsidRDefault="008B31B0" w:rsidP="007C00F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Pr>
                <w:rFonts w:ascii="Arial" w:eastAsia="Times New Roman" w:hAnsi="Arial" w:cs="Arial"/>
                <w:color w:val="000000"/>
                <w:sz w:val="18"/>
                <w:szCs w:val="18"/>
              </w:rPr>
              <w:t>$</w:t>
            </w:r>
            <w:r w:rsidRPr="008B31B0">
              <w:rPr>
                <w:rFonts w:ascii="Arial" w:eastAsia="Times New Roman" w:hAnsi="Arial" w:cs="Arial"/>
                <w:color w:val="000000"/>
                <w:sz w:val="18"/>
                <w:szCs w:val="18"/>
              </w:rPr>
              <w:t>1,696,88</w:t>
            </w:r>
            <w:r>
              <w:rPr>
                <w:rFonts w:ascii="Arial" w:eastAsia="Times New Roman" w:hAnsi="Arial" w:cs="Arial"/>
                <w:color w:val="000000"/>
                <w:sz w:val="18"/>
                <w:szCs w:val="18"/>
              </w:rPr>
              <w:t>3</w:t>
            </w:r>
          </w:p>
        </w:tc>
        <w:tc>
          <w:tcPr>
            <w:tcW w:w="1276" w:type="dxa"/>
            <w:noWrap/>
          </w:tcPr>
          <w:p w14:paraId="2756FBC0" w14:textId="205A7EE2" w:rsidR="008B31B0" w:rsidRPr="051B0DA5" w:rsidDel="003B589F" w:rsidRDefault="00685665" w:rsidP="007C00F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Pr>
                <w:rFonts w:ascii="Arial" w:eastAsia="Times New Roman" w:hAnsi="Arial" w:cs="Arial"/>
                <w:sz w:val="18"/>
                <w:szCs w:val="18"/>
              </w:rPr>
              <w:t>68%</w:t>
            </w:r>
          </w:p>
        </w:tc>
        <w:tc>
          <w:tcPr>
            <w:tcW w:w="3679" w:type="dxa"/>
            <w:noWrap/>
          </w:tcPr>
          <w:p w14:paraId="4F04C7EB" w14:textId="07906EBF" w:rsidR="008B31B0" w:rsidRPr="00C00B7E" w:rsidRDefault="008B31B0" w:rsidP="007C00FA">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Pr>
                <w:rFonts w:ascii="Arial" w:eastAsia="Times New Roman" w:hAnsi="Arial" w:cs="Arial"/>
                <w:color w:val="000000"/>
                <w:sz w:val="18"/>
                <w:szCs w:val="18"/>
              </w:rPr>
              <w:t xml:space="preserve">Excluding Management fees. </w:t>
            </w:r>
          </w:p>
        </w:tc>
      </w:tr>
      <w:tr w:rsidR="00721872" w:rsidRPr="00C00B7E" w14:paraId="0F50F661" w14:textId="77777777" w:rsidTr="00721872">
        <w:trPr>
          <w:trHeight w:val="292"/>
        </w:trPr>
        <w:tc>
          <w:tcPr>
            <w:cnfStyle w:val="001000000000" w:firstRow="0" w:lastRow="0" w:firstColumn="1" w:lastColumn="0" w:oddVBand="0" w:evenVBand="0" w:oddHBand="0" w:evenHBand="0" w:firstRowFirstColumn="0" w:firstRowLastColumn="0" w:lastRowFirstColumn="0" w:lastRowLastColumn="0"/>
            <w:tcW w:w="846" w:type="dxa"/>
            <w:noWrap/>
            <w:hideMark/>
          </w:tcPr>
          <w:p w14:paraId="72F2512A" w14:textId="77777777" w:rsidR="00794E11" w:rsidRPr="00C00B7E" w:rsidRDefault="00794E11" w:rsidP="007C00FA">
            <w:pPr>
              <w:spacing w:after="0" w:line="240" w:lineRule="auto"/>
              <w:jc w:val="center"/>
              <w:rPr>
                <w:rFonts w:ascii="Arial" w:eastAsia="Times New Roman" w:hAnsi="Arial" w:cs="Arial"/>
                <w:color w:val="000000"/>
                <w:sz w:val="18"/>
                <w:szCs w:val="18"/>
                <w:lang w:eastAsia="en-AU"/>
              </w:rPr>
            </w:pPr>
            <w:r w:rsidRPr="00C00B7E">
              <w:rPr>
                <w:rFonts w:ascii="Arial" w:eastAsia="Times New Roman" w:hAnsi="Arial" w:cs="Arial"/>
                <w:color w:val="000000"/>
                <w:sz w:val="18"/>
                <w:szCs w:val="18"/>
                <w:lang w:eastAsia="en-AU"/>
              </w:rPr>
              <w:t>2024</w:t>
            </w:r>
          </w:p>
        </w:tc>
        <w:tc>
          <w:tcPr>
            <w:tcW w:w="1134" w:type="dxa"/>
            <w:noWrap/>
            <w:hideMark/>
          </w:tcPr>
          <w:p w14:paraId="5520BE27" w14:textId="77777777" w:rsidR="00794E11" w:rsidRPr="00C00B7E" w:rsidRDefault="00794E11" w:rsidP="007C00F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w:t>
            </w:r>
            <w:r w:rsidRPr="00C00B7E">
              <w:rPr>
                <w:rFonts w:ascii="Arial" w:eastAsia="Times New Roman" w:hAnsi="Arial" w:cs="Arial"/>
                <w:color w:val="000000"/>
                <w:sz w:val="18"/>
                <w:szCs w:val="18"/>
                <w:lang w:eastAsia="en-AU"/>
              </w:rPr>
              <w:t>2</w:t>
            </w:r>
            <w:r>
              <w:rPr>
                <w:rFonts w:ascii="Arial" w:eastAsia="Times New Roman" w:hAnsi="Arial" w:cs="Arial"/>
                <w:color w:val="000000"/>
                <w:sz w:val="18"/>
                <w:szCs w:val="18"/>
                <w:lang w:eastAsia="en-AU"/>
              </w:rPr>
              <w:t>,</w:t>
            </w:r>
            <w:r w:rsidRPr="00C00B7E">
              <w:rPr>
                <w:rFonts w:ascii="Arial" w:eastAsia="Times New Roman" w:hAnsi="Arial" w:cs="Arial"/>
                <w:color w:val="000000"/>
                <w:sz w:val="18"/>
                <w:szCs w:val="18"/>
                <w:lang w:eastAsia="en-AU"/>
              </w:rPr>
              <w:t>642</w:t>
            </w:r>
            <w:r>
              <w:rPr>
                <w:rFonts w:ascii="Arial" w:eastAsia="Times New Roman" w:hAnsi="Arial" w:cs="Arial"/>
                <w:color w:val="000000"/>
                <w:sz w:val="18"/>
                <w:szCs w:val="18"/>
                <w:lang w:eastAsia="en-AU"/>
              </w:rPr>
              <w:t>,</w:t>
            </w:r>
            <w:r w:rsidRPr="00C00B7E">
              <w:rPr>
                <w:rFonts w:ascii="Arial" w:eastAsia="Times New Roman" w:hAnsi="Arial" w:cs="Arial"/>
                <w:color w:val="000000"/>
                <w:sz w:val="18"/>
                <w:szCs w:val="18"/>
                <w:lang w:eastAsia="en-AU"/>
              </w:rPr>
              <w:t>801</w:t>
            </w:r>
          </w:p>
        </w:tc>
        <w:tc>
          <w:tcPr>
            <w:tcW w:w="1276" w:type="dxa"/>
            <w:noWrap/>
            <w:hideMark/>
          </w:tcPr>
          <w:p w14:paraId="642BCEC9" w14:textId="77777777" w:rsidR="00794E11" w:rsidRPr="00C00B7E" w:rsidRDefault="00794E11" w:rsidP="007C00F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w:t>
            </w:r>
            <w:r w:rsidRPr="00C00B7E">
              <w:rPr>
                <w:rFonts w:ascii="Arial" w:eastAsia="Times New Roman" w:hAnsi="Arial" w:cs="Arial"/>
                <w:color w:val="000000"/>
                <w:sz w:val="18"/>
                <w:szCs w:val="18"/>
                <w:lang w:eastAsia="en-AU"/>
              </w:rPr>
              <w:t>2</w:t>
            </w:r>
            <w:r>
              <w:rPr>
                <w:rFonts w:ascii="Arial" w:eastAsia="Times New Roman" w:hAnsi="Arial" w:cs="Arial"/>
                <w:color w:val="000000"/>
                <w:sz w:val="18"/>
                <w:szCs w:val="18"/>
                <w:lang w:eastAsia="en-AU"/>
              </w:rPr>
              <w:t>,</w:t>
            </w:r>
            <w:r w:rsidRPr="00C00B7E">
              <w:rPr>
                <w:rFonts w:ascii="Arial" w:eastAsia="Times New Roman" w:hAnsi="Arial" w:cs="Arial"/>
                <w:color w:val="000000"/>
                <w:sz w:val="18"/>
                <w:szCs w:val="18"/>
                <w:lang w:eastAsia="en-AU"/>
              </w:rPr>
              <w:t>642</w:t>
            </w:r>
            <w:r>
              <w:rPr>
                <w:rFonts w:ascii="Arial" w:eastAsia="Times New Roman" w:hAnsi="Arial" w:cs="Arial"/>
                <w:color w:val="000000"/>
                <w:sz w:val="18"/>
                <w:szCs w:val="18"/>
                <w:lang w:eastAsia="en-AU"/>
              </w:rPr>
              <w:t>,</w:t>
            </w:r>
            <w:r w:rsidRPr="00C00B7E">
              <w:rPr>
                <w:rFonts w:ascii="Arial" w:eastAsia="Times New Roman" w:hAnsi="Arial" w:cs="Arial"/>
                <w:color w:val="000000"/>
                <w:sz w:val="18"/>
                <w:szCs w:val="18"/>
                <w:lang w:eastAsia="en-AU"/>
              </w:rPr>
              <w:t>801</w:t>
            </w:r>
          </w:p>
        </w:tc>
        <w:tc>
          <w:tcPr>
            <w:tcW w:w="1417" w:type="dxa"/>
            <w:noWrap/>
            <w:hideMark/>
          </w:tcPr>
          <w:p w14:paraId="7FA8CF14" w14:textId="77777777" w:rsidR="00794E11" w:rsidRPr="00C00B7E" w:rsidRDefault="00794E11" w:rsidP="007C00F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Pr>
                <w:rFonts w:ascii="Arial" w:hAnsi="Arial" w:cs="Arial"/>
                <w:sz w:val="18"/>
                <w:szCs w:val="18"/>
              </w:rPr>
              <w:t>$</w:t>
            </w:r>
            <w:r w:rsidRPr="001276D7">
              <w:rPr>
                <w:rFonts w:ascii="Arial" w:hAnsi="Arial" w:cs="Arial"/>
                <w:sz w:val="18"/>
                <w:szCs w:val="18"/>
              </w:rPr>
              <w:t>2,535,820</w:t>
            </w:r>
          </w:p>
        </w:tc>
        <w:tc>
          <w:tcPr>
            <w:tcW w:w="1276" w:type="dxa"/>
            <w:noWrap/>
            <w:hideMark/>
          </w:tcPr>
          <w:p w14:paraId="0A1D3F36" w14:textId="77777777" w:rsidR="00794E11" w:rsidRPr="00C00B7E" w:rsidRDefault="00794E11" w:rsidP="007C00F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AU"/>
              </w:rPr>
            </w:pPr>
            <w:r w:rsidRPr="001276D7">
              <w:rPr>
                <w:rFonts w:ascii="Arial" w:hAnsi="Arial" w:cs="Arial"/>
                <w:sz w:val="18"/>
                <w:szCs w:val="18"/>
              </w:rPr>
              <w:t>9</w:t>
            </w:r>
            <w:r>
              <w:rPr>
                <w:rFonts w:ascii="Arial" w:hAnsi="Arial" w:cs="Arial"/>
                <w:sz w:val="18"/>
                <w:szCs w:val="18"/>
              </w:rPr>
              <w:t>6</w:t>
            </w:r>
            <w:r w:rsidRPr="001276D7">
              <w:rPr>
                <w:rFonts w:ascii="Arial" w:hAnsi="Arial" w:cs="Arial"/>
                <w:sz w:val="18"/>
                <w:szCs w:val="18"/>
              </w:rPr>
              <w:t>%</w:t>
            </w:r>
          </w:p>
        </w:tc>
        <w:tc>
          <w:tcPr>
            <w:tcW w:w="3679" w:type="dxa"/>
            <w:noWrap/>
            <w:hideMark/>
          </w:tcPr>
          <w:p w14:paraId="1F0EA15C" w14:textId="77777777" w:rsidR="00794E11" w:rsidRPr="00C00B7E" w:rsidRDefault="00794E11" w:rsidP="007C00FA">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sidRPr="001276D7">
              <w:rPr>
                <w:rFonts w:ascii="Arial" w:hAnsi="Arial" w:cs="Arial"/>
                <w:sz w:val="18"/>
                <w:szCs w:val="18"/>
              </w:rPr>
              <w:t>High efficiency in budget execution</w:t>
            </w:r>
            <w:r>
              <w:rPr>
                <w:rFonts w:ascii="Arial" w:hAnsi="Arial" w:cs="Arial"/>
                <w:sz w:val="18"/>
                <w:szCs w:val="18"/>
              </w:rPr>
              <w:t>.</w:t>
            </w:r>
          </w:p>
        </w:tc>
      </w:tr>
    </w:tbl>
    <w:p w14:paraId="63A01349" w14:textId="77777777" w:rsidR="00794E11" w:rsidRPr="0047698E" w:rsidRDefault="00794E11" w:rsidP="00794E11">
      <w:pPr>
        <w:pStyle w:val="Heading3"/>
        <w:rPr>
          <w:color w:val="12528D"/>
        </w:rPr>
      </w:pPr>
      <w:bookmarkStart w:id="21" w:name="_Toc204241433"/>
      <w:r w:rsidRPr="0047698E">
        <w:rPr>
          <w:color w:val="12528D"/>
        </w:rPr>
        <w:t>What factors are facilitating or impacting efficiency?</w:t>
      </w:r>
      <w:bookmarkEnd w:id="21"/>
    </w:p>
    <w:p w14:paraId="0F10CF2F" w14:textId="77777777" w:rsidR="00794E11" w:rsidRPr="00C34628" w:rsidRDefault="00794E11" w:rsidP="00794E11">
      <w:r w:rsidRPr="00D6764A">
        <w:t>A range of factors has shaped HDMES’s efficiency, both enabling and constraining its performance</w:t>
      </w:r>
      <w:r>
        <w:t xml:space="preserve">. From 2019 to 2021, </w:t>
      </w:r>
      <w:r w:rsidRPr="002760F8">
        <w:t xml:space="preserve">factors </w:t>
      </w:r>
      <w:r>
        <w:t xml:space="preserve">that led to the 2022 </w:t>
      </w:r>
      <w:r w:rsidRPr="677EB2AF">
        <w:t xml:space="preserve">Investment Requiring Improvement rating </w:t>
      </w:r>
      <w:r w:rsidRPr="002760F8">
        <w:t>included:</w:t>
      </w:r>
    </w:p>
    <w:p w14:paraId="12E8F4A0" w14:textId="77777777" w:rsidR="00794E11" w:rsidRPr="00032A09" w:rsidRDefault="00794E11" w:rsidP="00C20940">
      <w:pPr>
        <w:pStyle w:val="ListParagraph"/>
        <w:numPr>
          <w:ilvl w:val="0"/>
          <w:numId w:val="21"/>
        </w:numPr>
      </w:pPr>
      <w:r w:rsidRPr="00032A09">
        <w:t>Unclear guidance on when and how HDMES should be engaged (for example, the rules governing its role in IMRs were inconsistently applied).</w:t>
      </w:r>
    </w:p>
    <w:p w14:paraId="0DFD5A98" w14:textId="77777777" w:rsidR="00794E11" w:rsidRPr="00032A09" w:rsidRDefault="00794E11" w:rsidP="00C20940">
      <w:pPr>
        <w:pStyle w:val="ListParagraph"/>
        <w:numPr>
          <w:ilvl w:val="0"/>
          <w:numId w:val="21"/>
        </w:numPr>
      </w:pPr>
      <w:r w:rsidRPr="00032A09">
        <w:t>Ambiguity about legitimate scopes of work and appropriate levels of resourcing to match actual demand.</w:t>
      </w:r>
    </w:p>
    <w:p w14:paraId="4B894319" w14:textId="77777777" w:rsidR="00794E11" w:rsidRPr="00032A09" w:rsidRDefault="00794E11" w:rsidP="00C20940">
      <w:pPr>
        <w:pStyle w:val="ListParagraph"/>
        <w:numPr>
          <w:ilvl w:val="0"/>
          <w:numId w:val="21"/>
        </w:numPr>
      </w:pPr>
      <w:r w:rsidRPr="677EB2AF">
        <w:t>Contractual rigidity</w:t>
      </w:r>
      <w:r>
        <w:t>.</w:t>
      </w:r>
      <w:r w:rsidRPr="677EB2AF">
        <w:t xml:space="preserve"> The ‘body-shop’ or ‘clearing house’ model, with uncompetitive fixed rates, constrained HDMES</w:t>
      </w:r>
      <w:r>
        <w:t>’</w:t>
      </w:r>
      <w:r w:rsidRPr="677EB2AF">
        <w:t xml:space="preserve"> ability to flexibly access its broader network of top-tier consultants, often resulting in reliance on second-tier candidates</w:t>
      </w:r>
      <w:r>
        <w:t>,</w:t>
      </w:r>
      <w:r w:rsidRPr="677EB2AF">
        <w:t xml:space="preserve"> delayed recruitment and </w:t>
      </w:r>
      <w:r>
        <w:t>issues with</w:t>
      </w:r>
      <w:r w:rsidRPr="677EB2AF">
        <w:t xml:space="preserve"> value for money. </w:t>
      </w:r>
    </w:p>
    <w:p w14:paraId="6BDFF3AA" w14:textId="77777777" w:rsidR="00794E11" w:rsidRPr="00032A09" w:rsidRDefault="00794E11" w:rsidP="00C20940">
      <w:pPr>
        <w:pStyle w:val="ListParagraph"/>
        <w:numPr>
          <w:ilvl w:val="0"/>
          <w:numId w:val="21"/>
        </w:numPr>
      </w:pPr>
      <w:r w:rsidRPr="00032A09">
        <w:t>Over-reliance on external consultants and remote operations</w:t>
      </w:r>
      <w:r>
        <w:t xml:space="preserve"> (initially due to Covid-19)</w:t>
      </w:r>
      <w:r w:rsidRPr="00032A09">
        <w:t>, reducing contextual insight and relationship-building</w:t>
      </w:r>
      <w:r>
        <w:t>.</w:t>
      </w:r>
    </w:p>
    <w:p w14:paraId="0993BBF2" w14:textId="77777777" w:rsidR="00794E11" w:rsidRDefault="00794E11" w:rsidP="00C20940">
      <w:pPr>
        <w:pStyle w:val="ListParagraph"/>
        <w:numPr>
          <w:ilvl w:val="0"/>
          <w:numId w:val="21"/>
        </w:numPr>
      </w:pPr>
      <w:r w:rsidRPr="00032A09">
        <w:t>Coordination challenges between ASI and Clear Horizon, with depleted technical capacity hampering QA despite some initial process improvements.</w:t>
      </w:r>
    </w:p>
    <w:p w14:paraId="039DD7B5" w14:textId="77777777" w:rsidR="00794E11" w:rsidRPr="00032A09" w:rsidRDefault="00794E11" w:rsidP="00C20940">
      <w:pPr>
        <w:pStyle w:val="ListParagraph"/>
        <w:numPr>
          <w:ilvl w:val="0"/>
          <w:numId w:val="21"/>
        </w:numPr>
      </w:pPr>
      <w:r w:rsidRPr="00032A09">
        <w:t>Leadership and staffing challenges</w:t>
      </w:r>
      <w:r>
        <w:t>, including h</w:t>
      </w:r>
      <w:r w:rsidRPr="00032A09">
        <w:t>igh turnover in key roles</w:t>
      </w:r>
      <w:r>
        <w:t xml:space="preserve"> and</w:t>
      </w:r>
      <w:r w:rsidRPr="00032A09">
        <w:t xml:space="preserve"> repeated interim appointments to the Team Leader position, affected continuity and contributed to delays in tasking and approvals. Staff attrition limited perceived career development opportunities</w:t>
      </w:r>
      <w:r>
        <w:t>. C</w:t>
      </w:r>
      <w:r w:rsidRPr="00032A09">
        <w:t xml:space="preserve">oncerns about management approaches were cited </w:t>
      </w:r>
      <w:r>
        <w:t xml:space="preserve">by former staff </w:t>
      </w:r>
      <w:r w:rsidRPr="00032A09">
        <w:t xml:space="preserve">as factors impacting morale, retention, and overall efficiency, often necessitating increased DFAT oversight to ensure </w:t>
      </w:r>
      <w:r>
        <w:t xml:space="preserve">quality </w:t>
      </w:r>
      <w:r w:rsidRPr="00032A09">
        <w:t xml:space="preserve">standards. </w:t>
      </w:r>
    </w:p>
    <w:p w14:paraId="5968F559" w14:textId="77777777" w:rsidR="00794E11" w:rsidRPr="008064CE" w:rsidRDefault="00794E11" w:rsidP="00C20940">
      <w:pPr>
        <w:pStyle w:val="ListParagraph"/>
        <w:numPr>
          <w:ilvl w:val="0"/>
          <w:numId w:val="21"/>
        </w:numPr>
      </w:pPr>
      <w:r w:rsidRPr="00032A09">
        <w:t>Administrative processes</w:t>
      </w:r>
      <w:r>
        <w:t xml:space="preserve">, </w:t>
      </w:r>
      <w:r w:rsidRPr="00032A09">
        <w:t>including</w:t>
      </w:r>
      <w:r w:rsidRPr="001A49F1">
        <w:t xml:space="preserve"> service order approvals, invoicing, and document management</w:t>
      </w:r>
      <w:r>
        <w:t xml:space="preserve">, </w:t>
      </w:r>
      <w:r w:rsidRPr="001A49F1">
        <w:t>were frequently described</w:t>
      </w:r>
      <w:r>
        <w:t xml:space="preserve"> by DFAT</w:t>
      </w:r>
      <w:r w:rsidRPr="001A49F1">
        <w:t xml:space="preserve"> as cumbersome and impediments to timely delivery. </w:t>
      </w:r>
    </w:p>
    <w:p w14:paraId="2A9932D2" w14:textId="0D00BE53" w:rsidR="00794E11" w:rsidRPr="00C34628" w:rsidRDefault="00794E11" w:rsidP="00794E11">
      <w:r>
        <w:lastRenderedPageBreak/>
        <w:t>From</w:t>
      </w:r>
      <w:r w:rsidRPr="00C34628">
        <w:t xml:space="preserve"> 2022 onwards, HDMES undertook several measures aimed at improving efficiency</w:t>
      </w:r>
      <w:r>
        <w:t>, including.</w:t>
      </w:r>
    </w:p>
    <w:p w14:paraId="523F73CF" w14:textId="77777777" w:rsidR="00794E11" w:rsidRPr="00C34628" w:rsidRDefault="00794E11" w:rsidP="00C20940">
      <w:pPr>
        <w:pStyle w:val="ListParagraph"/>
        <w:numPr>
          <w:ilvl w:val="0"/>
          <w:numId w:val="20"/>
        </w:numPr>
      </w:pPr>
      <w:r w:rsidRPr="00C34628">
        <w:t>Cost-saving approaches, including greater use of remote delivery, piggybacking of short-term assignments</w:t>
      </w:r>
      <w:r>
        <w:t xml:space="preserve"> and flexible contracting.  </w:t>
      </w:r>
    </w:p>
    <w:p w14:paraId="674ABE03" w14:textId="77777777" w:rsidR="00794E11" w:rsidRPr="003377EF" w:rsidRDefault="00794E11" w:rsidP="00C20940">
      <w:pPr>
        <w:pStyle w:val="ListParagraph"/>
        <w:numPr>
          <w:ilvl w:val="0"/>
          <w:numId w:val="20"/>
        </w:numPr>
      </w:pPr>
      <w:r w:rsidRPr="003377EF">
        <w:t xml:space="preserve">Milestone-based contracts strengthened payment controls, though initial weak quality benchmarks led to delays and </w:t>
      </w:r>
      <w:r>
        <w:t xml:space="preserve">multiple </w:t>
      </w:r>
      <w:r w:rsidRPr="003377EF">
        <w:t xml:space="preserve">product revisions. </w:t>
      </w:r>
    </w:p>
    <w:p w14:paraId="396875EC" w14:textId="77777777" w:rsidR="00794E11" w:rsidRPr="002760F8" w:rsidRDefault="00794E11" w:rsidP="00C20940">
      <w:pPr>
        <w:pStyle w:val="ListParagraph"/>
        <w:numPr>
          <w:ilvl w:val="0"/>
          <w:numId w:val="20"/>
        </w:numPr>
      </w:pPr>
      <w:r w:rsidRPr="002760F8">
        <w:t>Improved internal QA, clearer consultant engagement</w:t>
      </w:r>
      <w:r>
        <w:t xml:space="preserve"> and an</w:t>
      </w:r>
      <w:r w:rsidRPr="002760F8">
        <w:t xml:space="preserve"> updated operations manual</w:t>
      </w:r>
    </w:p>
    <w:p w14:paraId="7780A9BC" w14:textId="77777777" w:rsidR="00794E11" w:rsidRPr="00C34628" w:rsidRDefault="00794E11" w:rsidP="00C20940">
      <w:pPr>
        <w:pStyle w:val="ListParagraph"/>
        <w:numPr>
          <w:ilvl w:val="0"/>
          <w:numId w:val="20"/>
        </w:numPr>
      </w:pPr>
      <w:r w:rsidRPr="00C34628">
        <w:t>The adoption of hybrid remote/in-country working models, which helped navigate logistical challenges (e.g., visa delays) and improve consultant availability.</w:t>
      </w:r>
    </w:p>
    <w:p w14:paraId="1DFC8AAF" w14:textId="77777777" w:rsidR="00794E11" w:rsidRPr="00A34972" w:rsidRDefault="00794E11" w:rsidP="00C20940">
      <w:pPr>
        <w:pStyle w:val="ListParagraph"/>
        <w:numPr>
          <w:ilvl w:val="0"/>
          <w:numId w:val="20"/>
        </w:numPr>
      </w:pPr>
      <w:r w:rsidRPr="00C34628">
        <w:t>Enhanced in-country staffing, which supported the resumption of face-to-face activities and reduced delivery times.</w:t>
      </w:r>
    </w:p>
    <w:p w14:paraId="7C6118F0" w14:textId="77777777" w:rsidR="00794E11" w:rsidRPr="003C1FFD" w:rsidRDefault="00794E11" w:rsidP="00794E11">
      <w:r>
        <w:t>However, e</w:t>
      </w:r>
      <w:r w:rsidRPr="003C1FFD">
        <w:t xml:space="preserve">fforts to adapt and streamline administrative processes, such as revising service orders and terms of reference, had limited success, with </w:t>
      </w:r>
      <w:r>
        <w:t>DFAT staff</w:t>
      </w:r>
      <w:r w:rsidRPr="003C1FFD">
        <w:t xml:space="preserve"> reporting only modest reductions in burden. </w:t>
      </w:r>
    </w:p>
    <w:p w14:paraId="3406A653" w14:textId="77777777" w:rsidR="00794E11" w:rsidRPr="00685665" w:rsidRDefault="00794E11" w:rsidP="00794E11">
      <w:pPr>
        <w:pStyle w:val="Heading3"/>
        <w:rPr>
          <w:color w:val="12528D"/>
        </w:rPr>
      </w:pPr>
      <w:bookmarkStart w:id="22" w:name="_Toc204241434"/>
      <w:r w:rsidRPr="00685665">
        <w:rPr>
          <w:color w:val="12528D"/>
        </w:rPr>
        <w:t>What are the advantages and disadvantages of the operating model of HDMES, particularly in relation to its staffing model (e.g., staffing structure, remote/in-country support)?</w:t>
      </w:r>
      <w:bookmarkEnd w:id="22"/>
    </w:p>
    <w:p w14:paraId="7E2790CB" w14:textId="77777777" w:rsidR="00794E11" w:rsidRPr="009145D0" w:rsidRDefault="00794E11" w:rsidP="00794E11">
      <w:r w:rsidRPr="009145D0">
        <w:t xml:space="preserve">HDMES’s operating model demonstrated both notable strengths and significant limitations, particularly in relation to its hybrid staffing structure and delivery approach. The mix of international experts, local staff, and short-term advisers allowed HDMES to scale up or down in response to varying portfolio demands without accruing high fixed costs, managing peak demands cost-effectively. This flexibility was praised </w:t>
      </w:r>
      <w:r>
        <w:t xml:space="preserve">by DFAT </w:t>
      </w:r>
      <w:r w:rsidRPr="009145D0">
        <w:t>during the COVID-19 pandemic</w:t>
      </w:r>
      <w:r w:rsidRPr="009145D0">
        <w:rPr>
          <w:i/>
          <w:iCs/>
        </w:rPr>
        <w:t xml:space="preserve">. </w:t>
      </w:r>
      <w:r w:rsidRPr="009145D0">
        <w:t>The model’s adaptability supported some successful initiatives, such as collaborative portfolio reviews and strategic evaluations that informed program redesign</w:t>
      </w:r>
      <w:r w:rsidRPr="009145D0">
        <w:rPr>
          <w:i/>
          <w:iCs/>
        </w:rPr>
        <w:t xml:space="preserve">s. </w:t>
      </w:r>
      <w:r w:rsidRPr="009145D0">
        <w:t xml:space="preserve">In-country staff and local consultants were acknowledged </w:t>
      </w:r>
      <w:r>
        <w:t xml:space="preserve">by DFAT and IPs </w:t>
      </w:r>
      <w:r w:rsidRPr="009145D0">
        <w:t>for contributing contextual insights, though this input varied depending on the consultant or task</w:t>
      </w:r>
      <w:r w:rsidRPr="009145D0">
        <w:rPr>
          <w:i/>
          <w:iCs/>
        </w:rPr>
        <w:t>.</w:t>
      </w:r>
    </w:p>
    <w:p w14:paraId="4EEAC95C" w14:textId="77777777" w:rsidR="00794E11" w:rsidRPr="009145D0" w:rsidRDefault="00794E11" w:rsidP="00794E11">
      <w:r w:rsidRPr="677EB2AF">
        <w:t>However, the model also presented clear drawbacks. The heavy reliance on remote-first delivery, particularly in the early years, often reduced contextual understanding and hampered relationship-building and quality control. Several partners and DFAT staff highlighted variability in product quality and the burden placed on them to extract useful insights from overly dense or misaligned reports</w:t>
      </w:r>
      <w:r w:rsidRPr="677EB2AF">
        <w:rPr>
          <w:i/>
          <w:iCs/>
        </w:rPr>
        <w:t xml:space="preserve">. </w:t>
      </w:r>
      <w:r w:rsidRPr="677EB2AF">
        <w:t>Recruitment challenges linked to the ARF pay scale further limited access to high-quality, appropriately experienced consultants</w:t>
      </w:r>
      <w:r w:rsidRPr="677EB2AF">
        <w:rPr>
          <w:i/>
          <w:iCs/>
        </w:rPr>
        <w:t>.</w:t>
      </w:r>
    </w:p>
    <w:p w14:paraId="203BB3F4" w14:textId="77777777" w:rsidR="00794E11" w:rsidRPr="009145D0" w:rsidRDefault="00794E11" w:rsidP="00794E11">
      <w:r w:rsidRPr="009145D0">
        <w:t xml:space="preserve">Feedback </w:t>
      </w:r>
      <w:r>
        <w:t xml:space="preserve">from DFAT </w:t>
      </w:r>
      <w:r w:rsidRPr="009145D0">
        <w:t xml:space="preserve">pointed to a lack of effective briefing and quality assurance processes, with some consultants demonstrating limited understanding of DFAT systems, resulting in inefficient task delivery and additional work for DFAT to bring outputs to </w:t>
      </w:r>
      <w:r w:rsidRPr="00685665">
        <w:t>stand</w:t>
      </w:r>
      <w:r w:rsidRPr="00FD5A51">
        <w:t>ar</w:t>
      </w:r>
      <w:r w:rsidRPr="00B67C6D">
        <w:t xml:space="preserve">d. </w:t>
      </w:r>
      <w:r>
        <w:t>T</w:t>
      </w:r>
      <w:r w:rsidRPr="009145D0">
        <w:t xml:space="preserve">op-down governance structure reportedly constrained locally led approaches, dampening morale and opportunities for </w:t>
      </w:r>
      <w:r>
        <w:t>advancement as reported by former HDMES staff</w:t>
      </w:r>
      <w:r w:rsidRPr="009145D0">
        <w:rPr>
          <w:i/>
          <w:iCs/>
        </w:rPr>
        <w:t xml:space="preserve">. </w:t>
      </w:r>
      <w:r w:rsidRPr="009145D0">
        <w:t>The cost of maintaining an office in Port Moresby, including international staff, became difficult to justify as DFAT demand for HDMES services declined due to these persistent issues</w:t>
      </w:r>
      <w:r w:rsidRPr="009145D0">
        <w:rPr>
          <w:i/>
          <w:iCs/>
        </w:rPr>
        <w:t>.</w:t>
      </w:r>
    </w:p>
    <w:p w14:paraId="2D734FD7" w14:textId="77777777" w:rsidR="00794E11" w:rsidRPr="009145D0" w:rsidRDefault="00794E11" w:rsidP="00794E11">
      <w:pPr>
        <w:rPr>
          <w:i/>
          <w:iCs/>
        </w:rPr>
      </w:pPr>
      <w:r w:rsidRPr="009145D0">
        <w:t>Finally, participants noted that while HDMES’s staffing model aimed for flexibility, it lacked the proactive systems, frameworks, and continuity needed to consistently meet DFAT’s evolving requirements and deliver high-value outputs</w:t>
      </w:r>
      <w:r w:rsidRPr="009145D0">
        <w:rPr>
          <w:i/>
          <w:iCs/>
        </w:rPr>
        <w:t>.</w:t>
      </w:r>
    </w:p>
    <w:p w14:paraId="3BCAA76C" w14:textId="77777777" w:rsidR="00794E11" w:rsidRPr="0047698E" w:rsidRDefault="00794E11" w:rsidP="00794E11">
      <w:pPr>
        <w:pStyle w:val="Heading2"/>
        <w:rPr>
          <w:color w:val="auto"/>
        </w:rPr>
      </w:pPr>
      <w:bookmarkStart w:id="23" w:name="_Toc204241435"/>
      <w:r w:rsidRPr="0047698E">
        <w:rPr>
          <w:color w:val="auto"/>
        </w:rPr>
        <w:t>Recommendations</w:t>
      </w:r>
      <w:bookmarkEnd w:id="23"/>
      <w:r w:rsidRPr="0047698E">
        <w:rPr>
          <w:color w:val="auto"/>
        </w:rPr>
        <w:t xml:space="preserve"> </w:t>
      </w:r>
    </w:p>
    <w:p w14:paraId="6885BC8A" w14:textId="6D7404EB" w:rsidR="00794E11" w:rsidRPr="009140BC" w:rsidRDefault="0013107A" w:rsidP="00794E11">
      <w:r w:rsidRPr="0E6AB92A">
        <w:rPr>
          <w:b/>
          <w:bCs/>
        </w:rPr>
        <w:t xml:space="preserve">3.1. </w:t>
      </w:r>
      <w:r w:rsidR="00794E11" w:rsidRPr="0E6AB92A">
        <w:rPr>
          <w:b/>
          <w:bCs/>
        </w:rPr>
        <w:t>Option to optimise the hybrid delivery and staffing model through strengthened local capacity</w:t>
      </w:r>
      <w:r w:rsidR="00794E11">
        <w:t xml:space="preserve">, refined governance, and enhanced consultant capability. Retain and refine the hybrid remote/in-country model to preserve flexibility and cost efficiency in peak periods, while significantly increasing in-country presence and local engagement. This will strengthen contextual understanding, relationship-building, and product quality. Invest in local capacity development to build and retain a strong pool of local MEL experts, </w:t>
      </w:r>
      <w:r w:rsidR="00794E11">
        <w:lastRenderedPageBreak/>
        <w:t>reducing reliance on international consultants. Improve governance structures to empower local staff, foster innovation, and promote program ownership.</w:t>
      </w:r>
    </w:p>
    <w:p w14:paraId="6D9EDFF5" w14:textId="17CC3AC9" w:rsidR="00794E11" w:rsidRPr="00A34972" w:rsidRDefault="0013107A" w:rsidP="00794E11">
      <w:r w:rsidRPr="0E6AB92A">
        <w:rPr>
          <w:b/>
          <w:bCs/>
        </w:rPr>
        <w:t xml:space="preserve">3.2. </w:t>
      </w:r>
      <w:r w:rsidR="00794E11" w:rsidRPr="0E6AB92A">
        <w:rPr>
          <w:b/>
          <w:bCs/>
        </w:rPr>
        <w:t>Streamline administrative processes and tools</w:t>
      </w:r>
      <w:r w:rsidR="00794E11">
        <w:t xml:space="preserve">: Simplify and standardise service orders, tasking, and approvals using clear templates and toolkits to reduce delays, lower transaction costs, and improve efficiency for both DFAT and contractors. </w:t>
      </w:r>
    </w:p>
    <w:p w14:paraId="0302B471" w14:textId="66273B1B" w:rsidR="00794E11" w:rsidRPr="009140BC" w:rsidRDefault="0013107A" w:rsidP="00794E11">
      <w:r w:rsidRPr="0E6AB92A">
        <w:rPr>
          <w:b/>
          <w:bCs/>
        </w:rPr>
        <w:t xml:space="preserve">3.3. </w:t>
      </w:r>
      <w:r w:rsidR="00794E11" w:rsidRPr="0E6AB92A">
        <w:rPr>
          <w:b/>
          <w:bCs/>
        </w:rPr>
        <w:t>Strengthen consultant briefing, QA, and contextual relevance:</w:t>
      </w:r>
      <w:r w:rsidR="00794E11">
        <w:t xml:space="preserve"> ASI should strengthen briefing, screening, and set early-stage QA benchmarks to reduce variability in product quality and ensure outputs consistently reflect the local context and are practically applicable. Address recruitment challenges by exploring adjustments to pay scales </w:t>
      </w:r>
      <w:r w:rsidR="00685665">
        <w:t xml:space="preserve">within the ARF </w:t>
      </w:r>
      <w:r w:rsidR="00794E11">
        <w:t xml:space="preserve">and approaches to attract high-quality, contextually knowledgeable consultants. </w:t>
      </w:r>
    </w:p>
    <w:p w14:paraId="19D0FF09" w14:textId="06D114DC" w:rsidR="00794E11" w:rsidRPr="009140BC" w:rsidRDefault="0013107A" w:rsidP="00794E11">
      <w:r>
        <w:rPr>
          <w:b/>
          <w:bCs/>
        </w:rPr>
        <w:t xml:space="preserve">3.4. </w:t>
      </w:r>
      <w:r w:rsidR="00794E11" w:rsidRPr="00794E11">
        <w:rPr>
          <w:b/>
          <w:bCs/>
        </w:rPr>
        <w:t>Sustain and enhance cost-saving and accountability measures</w:t>
      </w:r>
      <w:r w:rsidR="00794E11" w:rsidRPr="009140BC">
        <w:t>: Continue to use output-based contracts, performance-linked payments, and milestone-based contracts to drive accountability, financial control, and efficiency, while identifying further opportunities to strengthen these mechanisms.</w:t>
      </w:r>
    </w:p>
    <w:p w14:paraId="01D4C7A7" w14:textId="0CB8BB0B" w:rsidR="00794E11" w:rsidRPr="00D6764A" w:rsidRDefault="0013107A" w:rsidP="00794E11">
      <w:r w:rsidRPr="0E6AB92A">
        <w:rPr>
          <w:b/>
          <w:bCs/>
        </w:rPr>
        <w:t xml:space="preserve">3.5. </w:t>
      </w:r>
      <w:r w:rsidR="00794E11" w:rsidRPr="0E6AB92A">
        <w:rPr>
          <w:b/>
          <w:bCs/>
        </w:rPr>
        <w:t>Establish a formal partnership governance mechanism</w:t>
      </w:r>
      <w:r w:rsidR="00794E11">
        <w:t>: Create structured governance arrangements between DFAT, ASI, and Clear Horizon to improve coordination, ensure consistent QA, and promote shared accountability and responsiveness. Clarify roles, responsibilities, and collaboration processes through updated organisational charts, assignment briefs, regular internal debriefs, and shared calendars to ensure alignment and efficient operations.</w:t>
      </w:r>
    </w:p>
    <w:p w14:paraId="5AFC11CE" w14:textId="77777777" w:rsidR="00794E11" w:rsidRPr="00286280" w:rsidRDefault="00794E11" w:rsidP="00794E11">
      <w:pPr>
        <w:pStyle w:val="Heading1"/>
        <w:spacing w:before="0" w:after="120" w:line="274" w:lineRule="auto"/>
      </w:pPr>
      <w:bookmarkStart w:id="24" w:name="_Toc204241436"/>
      <w:r w:rsidRPr="00286280">
        <w:t>GEDSI</w:t>
      </w:r>
      <w:bookmarkEnd w:id="24"/>
    </w:p>
    <w:p w14:paraId="1343F843" w14:textId="77777777" w:rsidR="00794E11" w:rsidRPr="0047698E" w:rsidRDefault="00794E11" w:rsidP="00794E11">
      <w:pPr>
        <w:pStyle w:val="Heading3"/>
        <w:rPr>
          <w:color w:val="12528D"/>
        </w:rPr>
      </w:pPr>
      <w:bookmarkStart w:id="25" w:name="_Toc204241437"/>
      <w:r w:rsidRPr="0047698E">
        <w:rPr>
          <w:color w:val="12528D"/>
        </w:rPr>
        <w:t>How has HDMES implemented GEDSI considerations and strategies, including facilitating the E&amp;L and Health programs to improve GEDSI?</w:t>
      </w:r>
      <w:bookmarkEnd w:id="25"/>
      <w:r w:rsidRPr="0047698E">
        <w:rPr>
          <w:color w:val="12528D"/>
        </w:rPr>
        <w:t>  </w:t>
      </w:r>
    </w:p>
    <w:p w14:paraId="3197E673" w14:textId="77777777" w:rsidR="00794E11" w:rsidRPr="00E37FE5" w:rsidRDefault="00794E11" w:rsidP="00794E11">
      <w:r w:rsidRPr="00837937">
        <w:t>HDMES has made meaningful, though uneven, contributions to GEDSI integration. It developed a comprehensive GEDSI Strategy, supported by practical tools such as the GEDSI Toolkit and Assessment Rubric, to embed GEDSI in MEL practice and partner engagement. These tools were applied inconsistently</w:t>
      </w:r>
      <w:r>
        <w:t xml:space="preserve"> by HDMES and STAs </w:t>
      </w:r>
      <w:r w:rsidRPr="00837937">
        <w:t xml:space="preserve">across evaluations, QA processes, and capacity building. </w:t>
      </w:r>
    </w:p>
    <w:p w14:paraId="2B70A7E4" w14:textId="77777777" w:rsidR="00794E11" w:rsidRDefault="00794E11" w:rsidP="00794E11">
      <w:r w:rsidRPr="00987082">
        <w:t>In 2023</w:t>
      </w:r>
      <w:r>
        <w:t xml:space="preserve"> </w:t>
      </w:r>
      <w:r w:rsidRPr="00E37FE5">
        <w:t>HDMES facilitated a series of GEDSI capacity-building workshops targeting PATH staff, Provincial Health Authority Boards, and Pacific Adventist University participants. These sessions aimed to build understanding of GEDSI principles, identify program gaps, and support planning for improved GEDSI integration. Feedback indicated that participants gained valuable insights into practical approaches for strengthening GEDSI outcomes. HDMES also provided GEDSI advisory support during formal reviews and appraisals, such as the Australia Awards PNG GEDSI Strategy and TVET design reviews, and incorporated GEDSI considerations into portfolio reviews and IMRs. A notable example of influence was the GEDSI Tuition Subsidy Review, which informed DFAT’s decision to discontinue the subsidy due to its limited inclusion impact.</w:t>
      </w:r>
    </w:p>
    <w:p w14:paraId="1BE58EB4" w14:textId="77777777" w:rsidR="00794E11" w:rsidRPr="00837937" w:rsidRDefault="00794E11" w:rsidP="00794E11">
      <w:r w:rsidRPr="00837937">
        <w:t>In Health,</w:t>
      </w:r>
      <w:r>
        <w:t xml:space="preserve"> </w:t>
      </w:r>
      <w:r w:rsidRPr="00837937">
        <w:t>HSSDP highlighted GEDSI-linked initiatives arising from pilot use of the GEDSI tool:</w:t>
      </w:r>
    </w:p>
    <w:p w14:paraId="50A03DB2" w14:textId="77777777" w:rsidR="00794E11" w:rsidRPr="00837937" w:rsidRDefault="00794E11" w:rsidP="00C20940">
      <w:pPr>
        <w:pStyle w:val="ListParagraph"/>
        <w:numPr>
          <w:ilvl w:val="0"/>
          <w:numId w:val="22"/>
        </w:numPr>
      </w:pPr>
      <w:r w:rsidRPr="00837937">
        <w:t>A consultancy to develop a National Rehabilitation Plan and Implementation Strategy (due October 2025) aimed at guiding hospital redevelopment and workforce planning for new health cadres such as occupational therapists and speech pathologists.</w:t>
      </w:r>
    </w:p>
    <w:p w14:paraId="2E6BB93F" w14:textId="77777777" w:rsidR="00794E11" w:rsidRPr="00837937" w:rsidRDefault="00794E11" w:rsidP="00C20940">
      <w:pPr>
        <w:pStyle w:val="ListParagraph"/>
        <w:numPr>
          <w:ilvl w:val="0"/>
          <w:numId w:val="22"/>
        </w:numPr>
      </w:pPr>
      <w:r w:rsidRPr="00837937">
        <w:t>Implementation of a new module in the National Health Information System for reporting orthotics and prosthetics provision for people with special needs.</w:t>
      </w:r>
    </w:p>
    <w:p w14:paraId="75AE68B8" w14:textId="0753B1B4" w:rsidR="00794E11" w:rsidRPr="00837937" w:rsidRDefault="00794E11" w:rsidP="00C20940">
      <w:pPr>
        <w:pStyle w:val="ListParagraph"/>
        <w:numPr>
          <w:ilvl w:val="0"/>
          <w:numId w:val="22"/>
        </w:numPr>
      </w:pPr>
      <w:r>
        <w:t>Set a</w:t>
      </w:r>
      <w:r w:rsidRPr="00837937">
        <w:t xml:space="preserve"> target of 50% women’s representation in the Health Executive Leadership Development Program (achieved 42%).</w:t>
      </w:r>
    </w:p>
    <w:p w14:paraId="3EF45BF2" w14:textId="77777777" w:rsidR="00794E11" w:rsidRDefault="00794E11" w:rsidP="00794E11">
      <w:r w:rsidRPr="00837937">
        <w:lastRenderedPageBreak/>
        <w:t>Despite these efforts, HDMES’s impact on strengthening GEDSI practice across DFAT programs has been limited. The 2024 IMR rated progress on GEDSI standards as “less than adequate,” citing inconsistent use of tools and limited uptake of recommendations. The GEDSI Toolkit was valued in some contexts</w:t>
      </w:r>
      <w:r>
        <w:t>, by HSSDP and PATH,</w:t>
      </w:r>
      <w:r w:rsidRPr="00837937">
        <w:t xml:space="preserve"> but viewed as overly M&amp;E-focused and not easily adaptable across sectors. </w:t>
      </w:r>
    </w:p>
    <w:p w14:paraId="3F782B8E" w14:textId="50230B5E" w:rsidR="00794E11" w:rsidRPr="00E37FE5" w:rsidRDefault="00794E11" w:rsidP="00794E11">
      <w:r w:rsidRPr="00837937">
        <w:t xml:space="preserve">In Education, internal resistance and lack of clarity on the toolkit’s purpose constrained its use, with </w:t>
      </w:r>
      <w:r>
        <w:t xml:space="preserve">DFAT </w:t>
      </w:r>
      <w:r w:rsidRPr="00837937">
        <w:t xml:space="preserve">stakeholders noting overlap with the GEDSI helpdesk. There was minimal direct capacity building for </w:t>
      </w:r>
      <w:r w:rsidR="001A1ADB" w:rsidRPr="00625122">
        <w:t>Organisations of Persons with Disabilities</w:t>
      </w:r>
      <w:r w:rsidR="001A1ADB" w:rsidRPr="00837937">
        <w:t xml:space="preserve"> </w:t>
      </w:r>
      <w:r w:rsidR="001A1ADB">
        <w:t>(</w:t>
      </w:r>
      <w:r w:rsidRPr="00837937">
        <w:t>OPDs</w:t>
      </w:r>
      <w:r w:rsidR="001A1ADB">
        <w:t>)</w:t>
      </w:r>
      <w:r w:rsidRPr="00837937">
        <w:t xml:space="preserve"> or women’s groups, limiting HDMES’s support for locally led inclusion efforts. However, several evaluations and reviews integrated disaggregated data and GEDSI analysis, helping to highlight gender and inclusion gaps in DFAT-supported programs.</w:t>
      </w:r>
    </w:p>
    <w:p w14:paraId="002BBBDC" w14:textId="77777777" w:rsidR="00794E11" w:rsidRPr="00E37FE5" w:rsidRDefault="00794E11" w:rsidP="00794E11">
      <w:r w:rsidRPr="00E37FE5">
        <w:t xml:space="preserve">HDMES’s safeguarding measures complemented its GEDSI work. The program-maintained alignment with DFAT’s safeguarding policies, including PSEAH and child protection standards. HDMES developed its own internal Safeguarding Policy and Code of Conduct, provided PSEAH training to all staff (with positive feedback on improved awareness from 2023 sessions), and integrated safeguarding measures into its Risk Management Plan. The GEDSI Toolkit and QA processes were also designed to help assess and mitigate harm related to gender or disability. </w:t>
      </w:r>
    </w:p>
    <w:p w14:paraId="28D28F29" w14:textId="6091DC36" w:rsidR="00794E11" w:rsidRDefault="00794E11" w:rsidP="00794E11">
      <w:r>
        <w:t>While HDMES has laid important groundwork for GEDSI integration and safeguarding, evidence of its sustained influence on program-level practice and</w:t>
      </w:r>
      <w:r w:rsidR="00685665">
        <w:t xml:space="preserve"> implementing</w:t>
      </w:r>
      <w:r>
        <w:t xml:space="preserve"> partner capacity remains limited. Stronger engagement with local organisations, clearer strategies for applying tools across sectors, and deeper support for women’s participation and locally led approaches would enhance the program’s future impact on GEDSI outcomes.</w:t>
      </w:r>
    </w:p>
    <w:p w14:paraId="30CAE021" w14:textId="77777777" w:rsidR="00794E11" w:rsidRPr="0047698E" w:rsidRDefault="00794E11" w:rsidP="00794E11">
      <w:pPr>
        <w:pStyle w:val="Heading2"/>
        <w:rPr>
          <w:color w:val="auto"/>
        </w:rPr>
      </w:pPr>
      <w:bookmarkStart w:id="26" w:name="_Toc204241438"/>
      <w:r w:rsidRPr="0047698E">
        <w:rPr>
          <w:color w:val="auto"/>
        </w:rPr>
        <w:t>Recommendations</w:t>
      </w:r>
      <w:bookmarkEnd w:id="26"/>
    </w:p>
    <w:p w14:paraId="720517BE" w14:textId="240AD464" w:rsidR="00794E11" w:rsidRPr="004B40AB" w:rsidRDefault="0013107A" w:rsidP="0013107A">
      <w:r w:rsidRPr="0E6AB92A">
        <w:rPr>
          <w:b/>
          <w:bCs/>
        </w:rPr>
        <w:t xml:space="preserve">4.1. </w:t>
      </w:r>
      <w:r w:rsidR="00794E11" w:rsidRPr="0E6AB92A">
        <w:rPr>
          <w:b/>
          <w:bCs/>
        </w:rPr>
        <w:t>Where feasible, deepen engagement with local inclusion actors:</w:t>
      </w:r>
      <w:r w:rsidR="00794E11">
        <w:t xml:space="preserve"> Few evaluations demonstrated direct engagement of women or people with disabilities as participants or co-evaluators. If appropriate, establish formal mechanisms to involve OPDs, women’s organisations, and other local groups in MEL design, data collection, analysis, and co-evaluation. Ensure all evaluation </w:t>
      </w:r>
      <w:proofErr w:type="spellStart"/>
      <w:r w:rsidR="00794E11">
        <w:t>ToRs</w:t>
      </w:r>
      <w:proofErr w:type="spellEnd"/>
      <w:r w:rsidR="00794E11">
        <w:t xml:space="preserve"> specify gender- and disability-sensitive methodologies and explicitly document the participation of marginalised groups.</w:t>
      </w:r>
    </w:p>
    <w:p w14:paraId="486CD859" w14:textId="53E1CB9B" w:rsidR="00794E11" w:rsidRPr="004B40AB" w:rsidRDefault="0013107A" w:rsidP="00794E11">
      <w:r>
        <w:rPr>
          <w:b/>
          <w:bCs/>
        </w:rPr>
        <w:t xml:space="preserve">4.2. </w:t>
      </w:r>
      <w:r w:rsidR="00794E11" w:rsidRPr="004B40AB">
        <w:rPr>
          <w:b/>
          <w:bCs/>
        </w:rPr>
        <w:t>Roll out a structured GEDSI Toolkit implementation plan</w:t>
      </w:r>
      <w:r w:rsidR="00794E11" w:rsidRPr="004B40AB">
        <w:t xml:space="preserve">: </w:t>
      </w:r>
      <w:r w:rsidR="00794E11" w:rsidRPr="00F318F1">
        <w:t xml:space="preserve">The GEDSI Toolkit, while technically sound, was seen </w:t>
      </w:r>
      <w:r w:rsidR="00794E11">
        <w:t xml:space="preserve">by IPs and DFAT </w:t>
      </w:r>
      <w:r w:rsidR="00794E11" w:rsidRPr="00F318F1">
        <w:t xml:space="preserve">as too focused on M&amp;E processes and not adaptable across sectors. </w:t>
      </w:r>
      <w:r w:rsidR="00794E11" w:rsidRPr="00DC3E1A">
        <w:t xml:space="preserve">Toolkit uptake is limited and under-monitored. </w:t>
      </w:r>
      <w:r w:rsidR="00794E11" w:rsidRPr="00F318F1">
        <w:t>Modify the GEDSI Toolkit and Assessment Rubric so they are less compliance-oriented and more focused on supporting operational integration, sector-specific needs, and practical implementation.</w:t>
      </w:r>
      <w:r w:rsidR="00794E11">
        <w:t xml:space="preserve"> </w:t>
      </w:r>
      <w:r w:rsidR="00794E11" w:rsidRPr="004B40AB">
        <w:t xml:space="preserve">Strengthen uptake through clear targets for workshop delivery, integration into </w:t>
      </w:r>
      <w:r w:rsidR="00794E11">
        <w:t>MEL frameworks</w:t>
      </w:r>
      <w:r w:rsidR="00794E11" w:rsidRPr="004B40AB">
        <w:t xml:space="preserve"> and program designs, and monitoring of partner usage. </w:t>
      </w:r>
      <w:r w:rsidR="00794E11">
        <w:t>Engage the DFAT GEDSI helpdesk to reduce duplication, i</w:t>
      </w:r>
      <w:r w:rsidR="00794E11" w:rsidRPr="004B40AB">
        <w:t>mprove communication and guidance to clarify the tools’ purpose and how they support program objectives and daily practice.</w:t>
      </w:r>
    </w:p>
    <w:p w14:paraId="12B49FC8" w14:textId="47CBF15D" w:rsidR="00794E11" w:rsidRDefault="0013107A" w:rsidP="00794E11">
      <w:pPr>
        <w:rPr>
          <w:sz w:val="16"/>
          <w:szCs w:val="16"/>
        </w:rPr>
      </w:pPr>
      <w:r w:rsidRPr="0E6AB92A">
        <w:rPr>
          <w:b/>
          <w:bCs/>
        </w:rPr>
        <w:t xml:space="preserve">4.3. </w:t>
      </w:r>
      <w:r w:rsidR="00794E11" w:rsidRPr="0E6AB92A">
        <w:rPr>
          <w:b/>
          <w:bCs/>
        </w:rPr>
        <w:t xml:space="preserve">Enhance capacity building and practical support: </w:t>
      </w:r>
      <w:r w:rsidR="00794E11">
        <w:t xml:space="preserve">Continue and refine GEDSI workshops for DFAT, implementing </w:t>
      </w:r>
      <w:r w:rsidR="00653D61">
        <w:t>partners to</w:t>
      </w:r>
      <w:r w:rsidR="00794E11">
        <w:t xml:space="preserve"> improve sector relevance and support operational integration. Provide further assistance to help translate GEDSI findings into program adaptations and track influence through tools like a GEDSI influence tracker, with results included in Annual Management Reports. Improve guidance and messaging so DFAT staff and IPs understand how GEDSI tools should be applied, how they support program objectives, and how to integrate them into daily work.</w:t>
      </w:r>
    </w:p>
    <w:p w14:paraId="36628024" w14:textId="77777777" w:rsidR="00794E11" w:rsidRPr="002D396C" w:rsidRDefault="00794E11" w:rsidP="00794E11">
      <w:pPr>
        <w:pStyle w:val="Heading1"/>
      </w:pPr>
      <w:bookmarkStart w:id="27" w:name="_Toc204241439"/>
      <w:r>
        <w:t>F</w:t>
      </w:r>
      <w:r w:rsidRPr="002D396C">
        <w:t>uture Guidance</w:t>
      </w:r>
      <w:bookmarkEnd w:id="27"/>
    </w:p>
    <w:p w14:paraId="7BDABFAA" w14:textId="77777777" w:rsidR="00794E11" w:rsidRPr="0047698E" w:rsidRDefault="00794E11" w:rsidP="00794E11">
      <w:pPr>
        <w:pStyle w:val="Heading3"/>
        <w:rPr>
          <w:color w:val="12528D"/>
        </w:rPr>
      </w:pPr>
      <w:bookmarkStart w:id="28" w:name="_Toc204241440"/>
      <w:r w:rsidRPr="0047698E">
        <w:rPr>
          <w:color w:val="12528D"/>
        </w:rPr>
        <w:lastRenderedPageBreak/>
        <w:t>Based on the evidence above, what options should PNG Post consider for strengthening MEL support to Health and Education and Leadership portfolios?</w:t>
      </w:r>
      <w:bookmarkEnd w:id="28"/>
      <w:r w:rsidRPr="0047698E">
        <w:rPr>
          <w:color w:val="12528D"/>
        </w:rPr>
        <w:t xml:space="preserve">  </w:t>
      </w:r>
    </w:p>
    <w:p w14:paraId="11F7CDC1" w14:textId="77777777" w:rsidR="00794E11" w:rsidRPr="00275842" w:rsidRDefault="00794E11" w:rsidP="00794E11">
      <w:r w:rsidRPr="00275842">
        <w:t>Drawing on the MTR findings, the following options are recommended for strengthening DFAT PNG Post’s MEL support for Health and E&amp;L portfolios. These options balance short-term adjustments and medium-long term strategic reforms:</w:t>
      </w:r>
    </w:p>
    <w:p w14:paraId="6A9D154A" w14:textId="77777777" w:rsidR="00794E11" w:rsidRPr="0047698E" w:rsidRDefault="00794E11" w:rsidP="00794E11">
      <w:pPr>
        <w:pStyle w:val="Heading3"/>
        <w:rPr>
          <w:color w:val="12528D"/>
        </w:rPr>
      </w:pPr>
      <w:bookmarkStart w:id="29" w:name="_Toc204241441"/>
      <w:r w:rsidRPr="0047698E">
        <w:rPr>
          <w:color w:val="12528D"/>
        </w:rPr>
        <w:t>Short-term (0–12 months)</w:t>
      </w:r>
      <w:bookmarkEnd w:id="29"/>
    </w:p>
    <w:p w14:paraId="2746B038" w14:textId="4A33A17F" w:rsidR="00794E11" w:rsidRPr="00794E11" w:rsidRDefault="00794E11" w:rsidP="00C20940">
      <w:pPr>
        <w:pStyle w:val="ListParagraph"/>
        <w:numPr>
          <w:ilvl w:val="0"/>
          <w:numId w:val="23"/>
        </w:numPr>
        <w:rPr>
          <w:color w:val="C9C9CA" w:themeColor="accent2"/>
        </w:rPr>
      </w:pPr>
      <w:r w:rsidRPr="0E6AB92A">
        <w:rPr>
          <w:b/>
          <w:bCs/>
        </w:rPr>
        <w:t>Shift towards proactive, portfolio-level MEL planning:</w:t>
      </w:r>
      <w:r>
        <w:t xml:space="preserve"> Develop a clear MEL strategy that links MEL activities to learning objectives, reflection cycles, and adaptive management needs. Initiate quarterly learning reviews and synthesis reports with clearer articulation of product use and outcomes, beyond outputs. Expand post-delivery engagement with implementing partners to support the use of evaluation findings and strengthen learning uptake. </w:t>
      </w:r>
    </w:p>
    <w:p w14:paraId="5DE3233E" w14:textId="77777777" w:rsidR="00794E11" w:rsidRDefault="00794E11" w:rsidP="00C20940">
      <w:pPr>
        <w:pStyle w:val="ListParagraph"/>
        <w:numPr>
          <w:ilvl w:val="0"/>
          <w:numId w:val="23"/>
        </w:numPr>
      </w:pPr>
      <w:r w:rsidRPr="00794E11">
        <w:rPr>
          <w:b/>
          <w:bCs/>
        </w:rPr>
        <w:t>Formalise capacity strengthening at AHC</w:t>
      </w:r>
      <w:r w:rsidRPr="00DA0020">
        <w:t xml:space="preserve"> to own and shape MEL processes and outputs. </w:t>
      </w:r>
      <w:r>
        <w:t>E</w:t>
      </w:r>
      <w:r w:rsidRPr="00DA0020">
        <w:t xml:space="preserve">mbed technical expertise within the </w:t>
      </w:r>
      <w:r>
        <w:t>AHC</w:t>
      </w:r>
      <w:r w:rsidRPr="00DA0020">
        <w:t xml:space="preserve"> to improve real-time support and ensure ownership, as opposed to a purely demand-driven external service.</w:t>
      </w:r>
      <w:r w:rsidRPr="00704546">
        <w:t xml:space="preserve"> </w:t>
      </w:r>
      <w:r w:rsidRPr="00665705">
        <w:t>Consider mandating STAs to train and mentor local staff</w:t>
      </w:r>
      <w:r>
        <w:t xml:space="preserve"> at both HDMES and AHC</w:t>
      </w:r>
      <w:r w:rsidRPr="00665705">
        <w:t>.</w:t>
      </w:r>
    </w:p>
    <w:p w14:paraId="6DCBE5A0" w14:textId="39C757A2" w:rsidR="00794E11" w:rsidRPr="006E3DD2" w:rsidRDefault="00794E11" w:rsidP="00C20940">
      <w:pPr>
        <w:pStyle w:val="ListParagraph"/>
        <w:numPr>
          <w:ilvl w:val="0"/>
          <w:numId w:val="23"/>
        </w:numPr>
      </w:pPr>
      <w:r w:rsidRPr="0E6AB92A">
        <w:rPr>
          <w:b/>
          <w:bCs/>
        </w:rPr>
        <w:t>Reinstitute quarterly steering committee meetings</w:t>
      </w:r>
      <w:r>
        <w:t xml:space="preserve"> with ASI, the Health </w:t>
      </w:r>
      <w:r w:rsidR="00075830">
        <w:t xml:space="preserve">and Education </w:t>
      </w:r>
      <w:r>
        <w:t>Counsellor</w:t>
      </w:r>
      <w:r w:rsidR="00075830">
        <w:t>s</w:t>
      </w:r>
      <w:r>
        <w:t xml:space="preserve"> and HDMES to ensure more robust governance. Combine steering committee meetings with quarterly joint learning sessions between DFAT, IPs, and the MEL provider to embed learning in decision-making cycles.</w:t>
      </w:r>
    </w:p>
    <w:p w14:paraId="42351EBD" w14:textId="77777777" w:rsidR="00794E11" w:rsidRPr="00275842" w:rsidRDefault="00794E11" w:rsidP="00C20940">
      <w:pPr>
        <w:pStyle w:val="ListParagraph"/>
        <w:numPr>
          <w:ilvl w:val="0"/>
          <w:numId w:val="23"/>
        </w:numPr>
      </w:pPr>
      <w:r w:rsidRPr="00794E11">
        <w:rPr>
          <w:b/>
          <w:bCs/>
        </w:rPr>
        <w:t>Establish a recommendation tracking system:</w:t>
      </w:r>
      <w:r w:rsidRPr="00275842">
        <w:t xml:space="preserve"> Create a simple, systematic tool to monitor uptake of HDMES recommendations, actions taken, and their influence on programming.</w:t>
      </w:r>
      <w:r>
        <w:t xml:space="preserve"> </w:t>
      </w:r>
    </w:p>
    <w:p w14:paraId="0AE91CFE" w14:textId="77777777" w:rsidR="00794E11" w:rsidRPr="00665705" w:rsidRDefault="00794E11" w:rsidP="00C20940">
      <w:pPr>
        <w:pStyle w:val="ListParagraph"/>
        <w:numPr>
          <w:ilvl w:val="0"/>
          <w:numId w:val="16"/>
        </w:numPr>
        <w:spacing w:after="120" w:line="274" w:lineRule="auto"/>
        <w:contextualSpacing w:val="0"/>
        <w:rPr>
          <w:rFonts w:ascii="Arial" w:hAnsi="Arial" w:cs="Arial"/>
          <w:szCs w:val="20"/>
        </w:rPr>
      </w:pPr>
      <w:r w:rsidRPr="00665705">
        <w:rPr>
          <w:rFonts w:ascii="Arial" w:hAnsi="Arial" w:cs="Arial"/>
          <w:b/>
          <w:bCs/>
          <w:szCs w:val="20"/>
        </w:rPr>
        <w:t>Refine tasking and QA processes:</w:t>
      </w:r>
      <w:r w:rsidRPr="00665705">
        <w:rPr>
          <w:rFonts w:ascii="Arial" w:hAnsi="Arial" w:cs="Arial"/>
          <w:szCs w:val="20"/>
        </w:rPr>
        <w:t xml:space="preserve"> Simplify and standardise service order templates and TOR development. Strengthen consultant and partner briefing and embed early-stage review protocols to improve efficiency and product quality. </w:t>
      </w:r>
    </w:p>
    <w:p w14:paraId="2C09F811" w14:textId="77777777" w:rsidR="00794E11" w:rsidRPr="00275842" w:rsidRDefault="00794E11" w:rsidP="00C20940">
      <w:pPr>
        <w:pStyle w:val="ListParagraph"/>
        <w:numPr>
          <w:ilvl w:val="0"/>
          <w:numId w:val="16"/>
        </w:numPr>
      </w:pPr>
      <w:r w:rsidRPr="00794E11">
        <w:rPr>
          <w:b/>
          <w:bCs/>
        </w:rPr>
        <w:t>Set clearer QA benchmarks</w:t>
      </w:r>
      <w:r w:rsidRPr="00B878EE">
        <w:t xml:space="preserve">, including expectations for practical application and contextual relevance, </w:t>
      </w:r>
      <w:r>
        <w:t>to</w:t>
      </w:r>
      <w:r w:rsidRPr="00B878EE">
        <w:t xml:space="preserve"> improve the consistency and usefulness of MEL products</w:t>
      </w:r>
      <w:r>
        <w:t xml:space="preserve"> and</w:t>
      </w:r>
      <w:r w:rsidRPr="00B878EE">
        <w:t xml:space="preserve"> address longstanding issues with variable quality and heavy DFAT oversight requirements.</w:t>
      </w:r>
    </w:p>
    <w:p w14:paraId="157E7C12" w14:textId="46553474" w:rsidR="00794E11" w:rsidRPr="002C14CB" w:rsidRDefault="00794E11" w:rsidP="00C20940">
      <w:pPr>
        <w:pStyle w:val="ListParagraph"/>
        <w:numPr>
          <w:ilvl w:val="0"/>
          <w:numId w:val="16"/>
        </w:numPr>
      </w:pPr>
      <w:r w:rsidRPr="0E6AB92A">
        <w:rPr>
          <w:b/>
          <w:bCs/>
        </w:rPr>
        <w:t>Enhance communication and usability of outputs:</w:t>
      </w:r>
      <w:r>
        <w:t xml:space="preserve"> Develop tailored communication plans for MEL products, ensuring they are sector-relevant, practical, and widely accessible for DFAT and </w:t>
      </w:r>
      <w:r w:rsidR="00075830">
        <w:t xml:space="preserve">implementation </w:t>
      </w:r>
      <w:r>
        <w:t>partners. Include user-friendly formats (e.g., infographics, short briefs, dashboards) and tailored communication for different audiences.</w:t>
      </w:r>
    </w:p>
    <w:p w14:paraId="306A747D" w14:textId="77777777" w:rsidR="00794E11" w:rsidRPr="00EC27A2" w:rsidRDefault="00794E11" w:rsidP="00C20940">
      <w:pPr>
        <w:pStyle w:val="ListParagraph"/>
        <w:numPr>
          <w:ilvl w:val="0"/>
          <w:numId w:val="16"/>
        </w:numPr>
      </w:pPr>
      <w:r w:rsidRPr="00794E11">
        <w:rPr>
          <w:b/>
          <w:bCs/>
        </w:rPr>
        <w:t>Clarify HDMES mandate and scope:</w:t>
      </w:r>
      <w:r w:rsidRPr="00275842">
        <w:t xml:space="preserve"> Conduct a joint review between DFAT and HDMES to clearly define service boundaries, including roles in design, research, and MEL.</w:t>
      </w:r>
      <w:r>
        <w:t xml:space="preserve"> Clarify </w:t>
      </w:r>
      <w:r w:rsidRPr="00244401">
        <w:t>HDMES’ role as a “critical friend”</w:t>
      </w:r>
      <w:r>
        <w:t xml:space="preserve">, “thought partner” or service delivery “body shop”. </w:t>
      </w:r>
    </w:p>
    <w:p w14:paraId="7F03B0DB" w14:textId="77777777" w:rsidR="00794E11" w:rsidRPr="0047698E" w:rsidRDefault="00794E11" w:rsidP="00794E11">
      <w:pPr>
        <w:pStyle w:val="Heading3"/>
        <w:rPr>
          <w:color w:val="12528D"/>
        </w:rPr>
      </w:pPr>
      <w:bookmarkStart w:id="30" w:name="_Toc204241442"/>
      <w:r w:rsidRPr="0047698E">
        <w:rPr>
          <w:color w:val="12528D"/>
        </w:rPr>
        <w:t>Medium-long term (1–3 years)</w:t>
      </w:r>
      <w:bookmarkEnd w:id="30"/>
    </w:p>
    <w:p w14:paraId="4BA4AC68" w14:textId="415E5061" w:rsidR="00794E11" w:rsidRDefault="00794E11" w:rsidP="00794E11">
      <w:r>
        <w:t xml:space="preserve">The medium to long term options for strengthening MEL support to Health and Education and Leadership portfolios </w:t>
      </w:r>
      <w:r w:rsidR="00075830">
        <w:t xml:space="preserve">They are evidence-based recommendations for meeting the EOPOs, providing options that include continuing HDMES (in some form) and some alternatives All options are acknowledged to be </w:t>
      </w:r>
      <w:r w:rsidR="00075830" w:rsidRPr="00075830">
        <w:t>beyond the scope of the current contract term</w:t>
      </w:r>
      <w:r w:rsidR="00075830">
        <w:t xml:space="preserve"> and likely depend on short term improvements and the results of DFAT’s efforts to clarify HDMES’ mandate.</w:t>
      </w:r>
    </w:p>
    <w:p w14:paraId="0776EC86" w14:textId="0148D073" w:rsidR="00794E11" w:rsidRDefault="00794E11" w:rsidP="00794E11">
      <w:r>
        <w:t>There continues to be a clear need for high-quality MEL systems support, coupled with limited capacity</w:t>
      </w:r>
      <w:r w:rsidR="00280B92">
        <w:t xml:space="preserve"> within DFAT</w:t>
      </w:r>
      <w:r>
        <w:t xml:space="preserve"> (in terms of time, technical expertise). A critical design choice for DFAT will be deciding whether to maintain an in-country MEL specialist team or shift to an operations team focused on managing processes and logistics. This decision should reflect DFAT’s vision for balancing contextual knowledge, cost-effectiveness, and the level of independent technical scrutiny required to meet its objectives. Over the next </w:t>
      </w:r>
      <w:r>
        <w:lastRenderedPageBreak/>
        <w:t>one to three years and beyond, DFAT should pursue a strategic shift in how MEL support</w:t>
      </w:r>
      <w:r w:rsidR="00280B92">
        <w:t xml:space="preserve"> </w:t>
      </w:r>
      <w:r>
        <w:t>is structured and delivered, building on lessons from HDMES while addressing persistent challenges.</w:t>
      </w:r>
    </w:p>
    <w:p w14:paraId="785C82E1" w14:textId="77777777" w:rsidR="00794E11" w:rsidRPr="00794E11" w:rsidRDefault="00794E11" w:rsidP="00794E11">
      <w:pPr>
        <w:rPr>
          <w:b/>
          <w:bCs/>
        </w:rPr>
      </w:pPr>
      <w:r w:rsidRPr="00794E11">
        <w:rPr>
          <w:b/>
          <w:bCs/>
        </w:rPr>
        <w:t>Option 1: Maintain HDMES as a task-based, demand-driven service</w:t>
      </w:r>
    </w:p>
    <w:p w14:paraId="1015E668" w14:textId="35558711" w:rsidR="00794E11" w:rsidRPr="00E63B74" w:rsidRDefault="00794E11" w:rsidP="00794E11">
      <w:r>
        <w:t>Under this option, DFAT would retain HDMES in its current form — a largely reactive, task-based service that provides ad-hoc MEL support in response to DFAT service orders</w:t>
      </w:r>
      <w:r w:rsidR="00075830">
        <w:t xml:space="preserve">. </w:t>
      </w:r>
      <w:r>
        <w:t xml:space="preserve">The model would continue to engage a mix of remote and in-country personnel, drawing on an external consultant pool for specific assignments. This approach would preserve the flexibility to commission discrete MEL activities as needed, without requiring significant redesign of existing structures or governance arrangements. </w:t>
      </w:r>
      <w:r w:rsidR="00075830">
        <w:t>Feedback from interviews with DFAT and HDMES suggested that HDMES could be engaged across multiple thematic sectors (not just health or education) to expand the opportunity for cross-sectoral learning and ensure consistency in M&amp;E standards across AHC aid programs. Expanding to other sectors would also serve to overcome the issue of lower demand, particularly from the Education portfolio.</w:t>
      </w:r>
    </w:p>
    <w:p w14:paraId="3334D037" w14:textId="77777777" w:rsidR="00794E11" w:rsidRDefault="00794E11" w:rsidP="00794E11">
      <w:r w:rsidRPr="00E63B74">
        <w:t>However, this option comes with well-documented limitations. The demand-driven model has contributed to reactive, fragmented engagement, often missing opportunities for portfolio-level learning and strategic MEL alignment. Continuing this model would likely perpetuate challenges observed during the first phase — including high staff turnover, inconsistent consultant quality, and limited contextual understanding. The approach also risks sustaining a compliance-driven MEL culture rather than fostering reflective learning or adaptive management. Moreover, DFAT would continue to expend significant effort overseeing quality, tasking, and follow-up without achieving the transformative MEL capacity strengthening that is increasingly required in PNG’s complex operating environment.</w:t>
      </w:r>
    </w:p>
    <w:p w14:paraId="0C249CCF" w14:textId="77777777" w:rsidR="00794E11" w:rsidRPr="00794E11" w:rsidRDefault="00794E11" w:rsidP="00794E11">
      <w:pPr>
        <w:rPr>
          <w:b/>
          <w:bCs/>
        </w:rPr>
      </w:pPr>
      <w:r w:rsidRPr="0E6AB92A">
        <w:rPr>
          <w:b/>
          <w:bCs/>
        </w:rPr>
        <w:t>Option 2: Establish a Proactive, Portfolio-Level MEL Facility</w:t>
      </w:r>
    </w:p>
    <w:p w14:paraId="73A067F8" w14:textId="77777777" w:rsidR="00794E11" w:rsidRPr="005629A1" w:rsidRDefault="00794E11" w:rsidP="00794E11">
      <w:r w:rsidRPr="005629A1">
        <w:t>This option would shift MEL support from a largely reactive, task-based service to a proactive facility that combines demand-responsive tasks with a structured learning agenda aligned to DFAT’s strategic priorities — such as health systems strengthening, education quality, GEDSI integration, and localisation. The facility would embed periodic portfolio-level learning reviews, synthesis products, and regular reflection workshops as core deliverables, going beyond compliance-focused reporting to actively support adaptive management.</w:t>
      </w:r>
    </w:p>
    <w:p w14:paraId="6BC18CD4" w14:textId="77777777" w:rsidR="00794E11" w:rsidRPr="005629A1" w:rsidRDefault="00794E11" w:rsidP="00794E11">
      <w:r w:rsidRPr="005629A1">
        <w:t>A formal recommendation tracking system would monitor and report on the uptake of MEL findings, helping ensure that evidence leads to action. The model would increase in-country leadership roles to enhance continuity, reduce reliance on short-term advisers, and strengthen relationships. International consultants would be required to work alongside local MEL professionals, promoting skills transfer and contextual relevance. Flexibility for remote delivery would remain, where</w:t>
      </w:r>
      <w:r>
        <w:t xml:space="preserve"> it is</w:t>
      </w:r>
      <w:r w:rsidRPr="005629A1">
        <w:t xml:space="preserve"> cost-effective.</w:t>
      </w:r>
    </w:p>
    <w:p w14:paraId="7B44850B" w14:textId="77777777" w:rsidR="00794E11" w:rsidRDefault="00794E11" w:rsidP="00794E11">
      <w:r w:rsidRPr="005629A1">
        <w:t>Contracting would move from the current “body shop” model to a panel-based or framework agreement, drawing on a diverse pool of specialist firms, national bodies, and individual consultants. This would provide greater flexibility in matching expertise to task needs and enable competitive remuneration structures (with possible ARF adaptations) to attract high-calibre, contextually knowledgeable experts.</w:t>
      </w:r>
    </w:p>
    <w:p w14:paraId="0EB0E3B8" w14:textId="77777777" w:rsidR="00794E11" w:rsidRDefault="00794E11" w:rsidP="00794E11">
      <w:r w:rsidRPr="005629A1">
        <w:t>While this option offers stronger alignment with DFAT’s strategic goals and aid effectiveness principles, it would require sustained investment in local capacity, careful management of the panel arrangement, and active DFAT engagement to maximise its benefits.</w:t>
      </w:r>
    </w:p>
    <w:p w14:paraId="331CD2E6" w14:textId="77777777" w:rsidR="00794E11" w:rsidRPr="00794E11" w:rsidRDefault="00794E11" w:rsidP="00794E11">
      <w:pPr>
        <w:rPr>
          <w:b/>
          <w:bCs/>
        </w:rPr>
      </w:pPr>
      <w:r w:rsidRPr="0E6AB92A">
        <w:rPr>
          <w:b/>
          <w:bCs/>
        </w:rPr>
        <w:t>Option 3: Build on HDMES with locally embedded MEL capacity and a training/</w:t>
      </w:r>
      <w:proofErr w:type="spellStart"/>
      <w:r w:rsidRPr="0E6AB92A">
        <w:rPr>
          <w:b/>
          <w:bCs/>
        </w:rPr>
        <w:t>GoPNG</w:t>
      </w:r>
      <w:proofErr w:type="spellEnd"/>
      <w:r w:rsidRPr="0E6AB92A">
        <w:rPr>
          <w:b/>
          <w:bCs/>
        </w:rPr>
        <w:t xml:space="preserve"> engagement arm</w:t>
      </w:r>
    </w:p>
    <w:p w14:paraId="73D39F36" w14:textId="77777777" w:rsidR="00794E11" w:rsidRDefault="00794E11" w:rsidP="00794E11">
      <w:r w:rsidRPr="008A4686">
        <w:t xml:space="preserve">This option envisions transforming HDMES into a more proactive and embedded support mechanism. The model would retain the independent, centralised MEL function but pivot towards greater in-country presence. This would involve recruiting and building a stronger cadre of local MEL staff who would be embedded within </w:t>
      </w:r>
      <w:r w:rsidRPr="008A4686">
        <w:lastRenderedPageBreak/>
        <w:t xml:space="preserve">DFAT’s programs and work closely with implementing partners. </w:t>
      </w:r>
      <w:r w:rsidRPr="00936017">
        <w:t xml:space="preserve">A central recommendation is to reform the MEL operating model, so it moves beyond fragmented, demand-driven tasking and ad hoc service orders. Instead, MEL services </w:t>
      </w:r>
      <w:r>
        <w:t>w</w:t>
      </w:r>
      <w:r w:rsidRPr="00936017">
        <w:t xml:space="preserve">ould focus on delivering proactive, portfolio-level learning that directly supports DFAT’s program objectives. </w:t>
      </w:r>
    </w:p>
    <w:p w14:paraId="188FDCC5" w14:textId="4EFDCE71" w:rsidR="00794E11" w:rsidRPr="00625122" w:rsidRDefault="00794E11" w:rsidP="00794E11">
      <w:r w:rsidRPr="008A4686">
        <w:t xml:space="preserve">The model </w:t>
      </w:r>
      <w:r>
        <w:t xml:space="preserve">could also </w:t>
      </w:r>
      <w:r w:rsidRPr="008A4686">
        <w:t>include a dedicated arm for training, mentoring, and on-the-job capacity building — targeting both DFAT and implementing partner staff, as well as structured engagement with (</w:t>
      </w:r>
      <w:proofErr w:type="spellStart"/>
      <w:r w:rsidRPr="008A4686">
        <w:t>GoPNG</w:t>
      </w:r>
      <w:proofErr w:type="spellEnd"/>
      <w:r w:rsidRPr="008A4686">
        <w:t>) agencies to strengthen national MEL systems.</w:t>
      </w:r>
      <w:r>
        <w:t xml:space="preserve"> HDMES could e</w:t>
      </w:r>
      <w:r w:rsidRPr="00625122">
        <w:t xml:space="preserve">stablish long-term partnerships with PNG universities, think tanks, or OPDs </w:t>
      </w:r>
      <w:r>
        <w:t>and i</w:t>
      </w:r>
      <w:r w:rsidRPr="00625122">
        <w:t>nvest in fellowships, internships, and mentoring programs to grow a cadre of local MEL professionals.</w:t>
      </w:r>
    </w:p>
    <w:p w14:paraId="621538AC" w14:textId="77777777" w:rsidR="00794E11" w:rsidRPr="008A4686" w:rsidRDefault="00794E11" w:rsidP="00794E11">
      <w:r w:rsidRPr="008A4686">
        <w:t>This scenario offers significant potential benefits: deeper contextual knowledge, stronger relationships with stakeholders, better continuity, and alignment with localisation priorities. It would enhance DFAT’s capacity to support program learning and adaptive management and help deliver on commitments to locally led development and capacity strengthening.</w:t>
      </w:r>
      <w:r>
        <w:t xml:space="preserve"> </w:t>
      </w:r>
    </w:p>
    <w:p w14:paraId="632C06C8" w14:textId="77777777" w:rsidR="00794E11" w:rsidRDefault="00794E11" w:rsidP="00794E11">
      <w:r w:rsidRPr="008A4686">
        <w:t xml:space="preserve">However, this option also presents challenges. It would require significant investment in staff recruitment, training, and systems to support local MEL leadership. Sustaining high-quality local teams may be constrained by capacity gaps, recruitment difficulties, and competitive local labour markets. The hybrid governance model — blending local staff with independent experts — would need careful design to avoid duplicative structures or confusion about roles. Achieving meaningful </w:t>
      </w:r>
      <w:proofErr w:type="spellStart"/>
      <w:r w:rsidRPr="008A4686">
        <w:t>GoPNG</w:t>
      </w:r>
      <w:proofErr w:type="spellEnd"/>
      <w:r w:rsidRPr="008A4686">
        <w:t xml:space="preserve"> engagement may be difficult given past sensitivities and limited institutional MEL capacity within government agencies. Furthermore, DFAT would need to invest in building and managing new partnership arrangements and oversight structures.</w:t>
      </w:r>
    </w:p>
    <w:p w14:paraId="2B0D20DE" w14:textId="77777777" w:rsidR="00794E11" w:rsidRPr="00794E11" w:rsidRDefault="00794E11" w:rsidP="00794E11">
      <w:pPr>
        <w:rPr>
          <w:b/>
          <w:bCs/>
        </w:rPr>
      </w:pPr>
      <w:r w:rsidRPr="0E6AB92A">
        <w:rPr>
          <w:b/>
          <w:bCs/>
        </w:rPr>
        <w:t>Option 4: Discontinue HDMES and internalise MEL systems strengthening within DFAT AHC</w:t>
      </w:r>
    </w:p>
    <w:p w14:paraId="31B2A1F1" w14:textId="77777777" w:rsidR="00794E11" w:rsidRPr="002B766C" w:rsidRDefault="00794E11" w:rsidP="00794E11">
      <w:r w:rsidRPr="002B766C">
        <w:t>This option proposes discontinuing HDMES as an external facility and embedding MEL systems strengthening functions within DFAT AHC itself. DFAT would recruit or designate in-house MEL personnel, supported by ad-hoc independent expertise as needed. The internal MEL unit would directly manage evaluations, learning processes, and capacity building, enabling tighter integration of MEL functions with program management and policy dialogue. This would reduce reliance on external contractors and enable DFAT to set priorities more directly aligned with its internal needs and pace.</w:t>
      </w:r>
    </w:p>
    <w:p w14:paraId="2CFB645B" w14:textId="77777777" w:rsidR="00794E11" w:rsidRPr="002B766C" w:rsidRDefault="00794E11" w:rsidP="00794E11">
      <w:r w:rsidRPr="002B766C">
        <w:t>The key advantages of this approach are greater control, more streamlined processes, and potential cost savings over time as DFAT builds internal capacity. It could promote stronger integration of MEL into program design and decision-making cycles and ensure that learning and reflection are not outsourced but owned within DFAT.</w:t>
      </w:r>
    </w:p>
    <w:p w14:paraId="4345CDAD" w14:textId="77777777" w:rsidR="00794E11" w:rsidRDefault="00794E11" w:rsidP="00794E11">
      <w:r w:rsidRPr="002B766C">
        <w:t>However, this model comes with significant risks. Building and sustaining an internal MEL capability that can deliver the breadth of services currently provided by HDMES (e.g., technical reviews, meta-analyses, cost-benefit analyses, complex evaluations) would be resource-intensive and may not be feasible within current staffing ceilings or skill sets at Post. There is a risk of losing independent, external validation of MEL products — a feature valued by DFAT and external stakeholders. This model could also reduce access to specialised expertise and limit DFAT’s flexibility to scale up MEL functions for major reviews or crisis responses. Finally, without careful design, this option could exacerbate workload pressures on AHC staff without delivering the expected gains in quality or efficiency.</w:t>
      </w:r>
    </w:p>
    <w:p w14:paraId="67F03EC9" w14:textId="77777777" w:rsidR="00794E11" w:rsidRDefault="00794E11" w:rsidP="00794E11">
      <w:r w:rsidRPr="009D5F15">
        <w:t>Each option presents trade-offs between flexibility, quality, cost, capacity, and alignment with DFAT’s strategic priorities for localisation and aid effectiveness. A clear decision on the preferred model will need to weigh these factors against DFAT’s resourcing, risk appetite, and longer-term vision for MEL in Papua New Guinea.</w:t>
      </w:r>
    </w:p>
    <w:p w14:paraId="0CA74CFD" w14:textId="7C406452" w:rsidR="00535B5A" w:rsidRDefault="00535B5A" w:rsidP="00535B5A">
      <w:pPr>
        <w:pStyle w:val="ChapterHeading"/>
      </w:pPr>
      <w:r>
        <w:lastRenderedPageBreak/>
        <w:t>Annexes</w:t>
      </w:r>
    </w:p>
    <w:p w14:paraId="15862C71" w14:textId="42F06BB1" w:rsidR="0013107A" w:rsidRDefault="0013107A" w:rsidP="00535B5A">
      <w:pPr>
        <w:pStyle w:val="Heading1"/>
      </w:pPr>
      <w:bookmarkStart w:id="31" w:name="_Toc204241443"/>
      <w:r>
        <w:t xml:space="preserve">Annex </w:t>
      </w:r>
      <w:r w:rsidR="00535B5A">
        <w:t>1</w:t>
      </w:r>
      <w:r>
        <w:t xml:space="preserve">.  </w:t>
      </w:r>
      <w:r w:rsidR="00535B5A">
        <w:t>recommendations list</w:t>
      </w:r>
      <w:bookmarkEnd w:id="31"/>
    </w:p>
    <w:p w14:paraId="5893102A" w14:textId="0C4FD823" w:rsidR="00535B5A" w:rsidRDefault="00535B5A" w:rsidP="00535B5A">
      <w:r>
        <w:t>These recommendations stem directly from the evidence. The relevance and utility of these recommendations are subject to DFAT’s plans for the program beyond the extension period.</w:t>
      </w:r>
    </w:p>
    <w:tbl>
      <w:tblPr>
        <w:tblStyle w:val="TablePlain"/>
        <w:tblW w:w="5000" w:type="pct"/>
        <w:tblLayout w:type="fixed"/>
        <w:tblLook w:val="04A0" w:firstRow="1" w:lastRow="0" w:firstColumn="1" w:lastColumn="0" w:noHBand="0" w:noVBand="1"/>
      </w:tblPr>
      <w:tblGrid>
        <w:gridCol w:w="566"/>
        <w:gridCol w:w="7514"/>
        <w:gridCol w:w="1558"/>
      </w:tblGrid>
      <w:tr w:rsidR="00535B5A" w:rsidRPr="00535B5A" w14:paraId="29B6ADB1" w14:textId="77777777" w:rsidTr="00A3791B">
        <w:trPr>
          <w:cnfStyle w:val="100000000000" w:firstRow="1" w:lastRow="0" w:firstColumn="0" w:lastColumn="0" w:oddVBand="0" w:evenVBand="0" w:oddHBand="0" w:evenHBand="0" w:firstRowFirstColumn="0" w:firstRowLastColumn="0" w:lastRowFirstColumn="0" w:lastRowLastColumn="0"/>
          <w:trHeight w:val="292"/>
          <w:tblHeader/>
        </w:trPr>
        <w:tc>
          <w:tcPr>
            <w:cnfStyle w:val="001000000000" w:firstRow="0" w:lastRow="0" w:firstColumn="1" w:lastColumn="0" w:oddVBand="0" w:evenVBand="0" w:oddHBand="0" w:evenHBand="0" w:firstRowFirstColumn="0" w:firstRowLastColumn="0" w:lastRowFirstColumn="0" w:lastRowLastColumn="0"/>
            <w:tcW w:w="294" w:type="pct"/>
            <w:noWrap/>
            <w:hideMark/>
          </w:tcPr>
          <w:p w14:paraId="28147D42" w14:textId="77777777" w:rsidR="00535B5A" w:rsidRPr="00535B5A" w:rsidRDefault="00535B5A" w:rsidP="00535B5A">
            <w:pPr>
              <w:spacing w:after="0" w:line="240" w:lineRule="auto"/>
              <w:rPr>
                <w:rFonts w:ascii="Aptos Narrow" w:eastAsia="Times New Roman" w:hAnsi="Aptos Narrow" w:cs="Times New Roman"/>
                <w:b/>
                <w:bCs/>
                <w:color w:val="000000"/>
                <w:sz w:val="22"/>
                <w:szCs w:val="22"/>
              </w:rPr>
            </w:pPr>
            <w:r w:rsidRPr="00535B5A">
              <w:rPr>
                <w:rFonts w:ascii="Aptos Narrow" w:eastAsia="Times New Roman" w:hAnsi="Aptos Narrow" w:cs="Times New Roman"/>
                <w:b/>
                <w:bCs/>
                <w:color w:val="000000"/>
                <w:sz w:val="22"/>
                <w:szCs w:val="22"/>
              </w:rPr>
              <w:t>Ref</w:t>
            </w:r>
          </w:p>
        </w:tc>
        <w:tc>
          <w:tcPr>
            <w:tcW w:w="3898" w:type="pct"/>
            <w:noWrap/>
            <w:hideMark/>
          </w:tcPr>
          <w:p w14:paraId="35160360" w14:textId="77777777" w:rsidR="00535B5A" w:rsidRPr="00535B5A" w:rsidRDefault="00535B5A" w:rsidP="00535B5A">
            <w:pPr>
              <w:spacing w:after="0" w:line="240" w:lineRule="auto"/>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sz w:val="22"/>
                <w:szCs w:val="22"/>
              </w:rPr>
            </w:pPr>
            <w:r w:rsidRPr="00535B5A">
              <w:rPr>
                <w:rFonts w:ascii="Aptos Narrow" w:eastAsia="Times New Roman" w:hAnsi="Aptos Narrow" w:cs="Times New Roman"/>
                <w:b/>
                <w:bCs/>
                <w:color w:val="000000"/>
                <w:sz w:val="22"/>
                <w:szCs w:val="22"/>
              </w:rPr>
              <w:t>Recommendation</w:t>
            </w:r>
          </w:p>
        </w:tc>
        <w:tc>
          <w:tcPr>
            <w:tcW w:w="808" w:type="pct"/>
            <w:noWrap/>
            <w:hideMark/>
          </w:tcPr>
          <w:p w14:paraId="288C4EC5" w14:textId="2707F14D" w:rsidR="00535B5A" w:rsidRPr="00535B5A" w:rsidRDefault="00535B5A" w:rsidP="00535B5A">
            <w:pPr>
              <w:spacing w:after="0" w:line="240" w:lineRule="auto"/>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sz w:val="22"/>
                <w:szCs w:val="22"/>
              </w:rPr>
            </w:pPr>
            <w:r w:rsidRPr="00535B5A">
              <w:rPr>
                <w:rFonts w:ascii="Aptos Narrow" w:eastAsia="Times New Roman" w:hAnsi="Aptos Narrow" w:cs="Times New Roman"/>
                <w:b/>
                <w:bCs/>
                <w:color w:val="000000"/>
                <w:sz w:val="22"/>
                <w:szCs w:val="22"/>
              </w:rPr>
              <w:t xml:space="preserve">Responsible </w:t>
            </w:r>
          </w:p>
        </w:tc>
      </w:tr>
      <w:tr w:rsidR="00535B5A" w:rsidRPr="00535B5A" w14:paraId="27C499AD" w14:textId="77777777" w:rsidTr="00535B5A">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294" w:type="pct"/>
            <w:noWrap/>
            <w:hideMark/>
          </w:tcPr>
          <w:p w14:paraId="603215C6" w14:textId="77777777" w:rsidR="00535B5A" w:rsidRPr="00535B5A" w:rsidRDefault="00535B5A" w:rsidP="00535B5A">
            <w:pPr>
              <w:spacing w:after="0" w:line="240" w:lineRule="auto"/>
              <w:jc w:val="right"/>
              <w:rPr>
                <w:rFonts w:ascii="Aptos Narrow" w:eastAsia="Times New Roman" w:hAnsi="Aptos Narrow" w:cs="Times New Roman"/>
                <w:color w:val="000000"/>
                <w:sz w:val="22"/>
                <w:szCs w:val="22"/>
              </w:rPr>
            </w:pPr>
            <w:r w:rsidRPr="00535B5A">
              <w:rPr>
                <w:rFonts w:ascii="Aptos Narrow" w:eastAsia="Times New Roman" w:hAnsi="Aptos Narrow" w:cs="Times New Roman"/>
                <w:color w:val="000000"/>
                <w:sz w:val="22"/>
                <w:szCs w:val="22"/>
              </w:rPr>
              <w:t>1.1</w:t>
            </w:r>
          </w:p>
        </w:tc>
        <w:tc>
          <w:tcPr>
            <w:tcW w:w="3898" w:type="pct"/>
            <w:noWrap/>
            <w:hideMark/>
          </w:tcPr>
          <w:p w14:paraId="7C7A28CA" w14:textId="77777777" w:rsidR="00535B5A" w:rsidRPr="00535B5A" w:rsidRDefault="00535B5A" w:rsidP="00535B5A">
            <w:pPr>
              <w:spacing w:after="0" w:line="24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00535B5A">
              <w:rPr>
                <w:rFonts w:ascii="Aptos Narrow" w:eastAsia="Times New Roman" w:hAnsi="Aptos Narrow" w:cs="Times New Roman"/>
                <w:color w:val="000000"/>
                <w:sz w:val="22"/>
                <w:szCs w:val="22"/>
              </w:rPr>
              <w:t>Shift to a proactive, portfolio-level MEL strategy with clear learning objectives</w:t>
            </w:r>
          </w:p>
        </w:tc>
        <w:tc>
          <w:tcPr>
            <w:tcW w:w="808" w:type="pct"/>
            <w:noWrap/>
            <w:hideMark/>
          </w:tcPr>
          <w:p w14:paraId="757BC1BE" w14:textId="77777777" w:rsidR="00535B5A" w:rsidRPr="00535B5A" w:rsidRDefault="00535B5A" w:rsidP="00535B5A">
            <w:pPr>
              <w:spacing w:after="0" w:line="24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00535B5A">
              <w:rPr>
                <w:rFonts w:ascii="Aptos Narrow" w:eastAsia="Times New Roman" w:hAnsi="Aptos Narrow" w:cs="Times New Roman"/>
                <w:color w:val="000000"/>
                <w:sz w:val="22"/>
                <w:szCs w:val="22"/>
              </w:rPr>
              <w:t>DFAT</w:t>
            </w:r>
          </w:p>
        </w:tc>
      </w:tr>
      <w:tr w:rsidR="00535B5A" w:rsidRPr="00535B5A" w14:paraId="38B74D3A" w14:textId="77777777" w:rsidTr="00535B5A">
        <w:trPr>
          <w:trHeight w:val="292"/>
        </w:trPr>
        <w:tc>
          <w:tcPr>
            <w:cnfStyle w:val="001000000000" w:firstRow="0" w:lastRow="0" w:firstColumn="1" w:lastColumn="0" w:oddVBand="0" w:evenVBand="0" w:oddHBand="0" w:evenHBand="0" w:firstRowFirstColumn="0" w:firstRowLastColumn="0" w:lastRowFirstColumn="0" w:lastRowLastColumn="0"/>
            <w:tcW w:w="294" w:type="pct"/>
            <w:noWrap/>
            <w:hideMark/>
          </w:tcPr>
          <w:p w14:paraId="3C483ADE" w14:textId="77777777" w:rsidR="00535B5A" w:rsidRPr="00535B5A" w:rsidRDefault="00535B5A" w:rsidP="00535B5A">
            <w:pPr>
              <w:spacing w:after="0" w:line="240" w:lineRule="auto"/>
              <w:jc w:val="right"/>
              <w:rPr>
                <w:rFonts w:ascii="Aptos Narrow" w:eastAsia="Times New Roman" w:hAnsi="Aptos Narrow" w:cs="Times New Roman"/>
                <w:color w:val="000000"/>
                <w:sz w:val="22"/>
                <w:szCs w:val="22"/>
              </w:rPr>
            </w:pPr>
            <w:r w:rsidRPr="00535B5A">
              <w:rPr>
                <w:rFonts w:ascii="Aptos Narrow" w:eastAsia="Times New Roman" w:hAnsi="Aptos Narrow" w:cs="Times New Roman"/>
                <w:color w:val="000000"/>
                <w:sz w:val="22"/>
                <w:szCs w:val="22"/>
              </w:rPr>
              <w:t>1.2</w:t>
            </w:r>
          </w:p>
        </w:tc>
        <w:tc>
          <w:tcPr>
            <w:tcW w:w="3898" w:type="pct"/>
            <w:noWrap/>
            <w:hideMark/>
          </w:tcPr>
          <w:p w14:paraId="3A073941" w14:textId="437345FE" w:rsidR="00535B5A" w:rsidRPr="00535B5A" w:rsidRDefault="00535B5A" w:rsidP="00535B5A">
            <w:pPr>
              <w:spacing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sidRPr="00535B5A">
              <w:rPr>
                <w:rFonts w:ascii="Aptos Narrow" w:eastAsia="Times New Roman" w:hAnsi="Aptos Narrow" w:cs="Times New Roman"/>
                <w:color w:val="000000"/>
                <w:sz w:val="22"/>
                <w:szCs w:val="22"/>
              </w:rPr>
              <w:t>Position HDMES as a</w:t>
            </w:r>
            <w:r w:rsidR="00E56F94">
              <w:rPr>
                <w:rFonts w:ascii="Aptos Narrow" w:eastAsia="Times New Roman" w:hAnsi="Aptos Narrow" w:cs="Times New Roman"/>
                <w:color w:val="000000"/>
                <w:sz w:val="22"/>
                <w:szCs w:val="22"/>
              </w:rPr>
              <w:t xml:space="preserve"> more</w:t>
            </w:r>
            <w:r w:rsidRPr="00535B5A">
              <w:rPr>
                <w:rFonts w:ascii="Aptos Narrow" w:eastAsia="Times New Roman" w:hAnsi="Aptos Narrow" w:cs="Times New Roman"/>
                <w:color w:val="000000"/>
                <w:sz w:val="22"/>
                <w:szCs w:val="22"/>
              </w:rPr>
              <w:t xml:space="preserve"> strategic partner</w:t>
            </w:r>
          </w:p>
        </w:tc>
        <w:tc>
          <w:tcPr>
            <w:tcW w:w="808" w:type="pct"/>
            <w:noWrap/>
            <w:hideMark/>
          </w:tcPr>
          <w:p w14:paraId="422C4DF3" w14:textId="77777777" w:rsidR="00535B5A" w:rsidRPr="00535B5A" w:rsidRDefault="00535B5A" w:rsidP="00535B5A">
            <w:pPr>
              <w:spacing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sidRPr="00535B5A">
              <w:rPr>
                <w:rFonts w:ascii="Aptos Narrow" w:eastAsia="Times New Roman" w:hAnsi="Aptos Narrow" w:cs="Times New Roman"/>
                <w:color w:val="000000"/>
                <w:sz w:val="22"/>
                <w:szCs w:val="22"/>
              </w:rPr>
              <w:t>DFAT</w:t>
            </w:r>
          </w:p>
        </w:tc>
      </w:tr>
      <w:tr w:rsidR="00535B5A" w:rsidRPr="00535B5A" w14:paraId="3B59269A" w14:textId="77777777" w:rsidTr="00535B5A">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294" w:type="pct"/>
            <w:noWrap/>
            <w:hideMark/>
          </w:tcPr>
          <w:p w14:paraId="6B1A7DC3" w14:textId="77777777" w:rsidR="00535B5A" w:rsidRPr="00535B5A" w:rsidRDefault="00535B5A" w:rsidP="00535B5A">
            <w:pPr>
              <w:spacing w:after="0" w:line="240" w:lineRule="auto"/>
              <w:jc w:val="right"/>
              <w:rPr>
                <w:rFonts w:ascii="Aptos Narrow" w:eastAsia="Times New Roman" w:hAnsi="Aptos Narrow" w:cs="Times New Roman"/>
                <w:color w:val="000000"/>
                <w:sz w:val="22"/>
                <w:szCs w:val="22"/>
              </w:rPr>
            </w:pPr>
            <w:r w:rsidRPr="00535B5A">
              <w:rPr>
                <w:rFonts w:ascii="Aptos Narrow" w:eastAsia="Times New Roman" w:hAnsi="Aptos Narrow" w:cs="Times New Roman"/>
                <w:color w:val="000000"/>
                <w:sz w:val="22"/>
                <w:szCs w:val="22"/>
              </w:rPr>
              <w:t>1.3</w:t>
            </w:r>
          </w:p>
        </w:tc>
        <w:tc>
          <w:tcPr>
            <w:tcW w:w="3898" w:type="pct"/>
            <w:noWrap/>
            <w:hideMark/>
          </w:tcPr>
          <w:p w14:paraId="72579DEB" w14:textId="77777777" w:rsidR="00535B5A" w:rsidRPr="00535B5A" w:rsidRDefault="00535B5A" w:rsidP="00535B5A">
            <w:pPr>
              <w:spacing w:after="0" w:line="24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00535B5A">
              <w:rPr>
                <w:rFonts w:ascii="Aptos Narrow" w:eastAsia="Times New Roman" w:hAnsi="Aptos Narrow" w:cs="Times New Roman"/>
                <w:color w:val="000000"/>
                <w:sz w:val="22"/>
                <w:szCs w:val="22"/>
              </w:rPr>
              <w:t>Keep the independent, centralised MEL service with flexible modalities</w:t>
            </w:r>
          </w:p>
        </w:tc>
        <w:tc>
          <w:tcPr>
            <w:tcW w:w="808" w:type="pct"/>
            <w:noWrap/>
            <w:hideMark/>
          </w:tcPr>
          <w:p w14:paraId="265238C8" w14:textId="77777777" w:rsidR="00535B5A" w:rsidRPr="00535B5A" w:rsidRDefault="00535B5A" w:rsidP="00535B5A">
            <w:pPr>
              <w:spacing w:after="0" w:line="24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00535B5A">
              <w:rPr>
                <w:rFonts w:ascii="Aptos Narrow" w:eastAsia="Times New Roman" w:hAnsi="Aptos Narrow" w:cs="Times New Roman"/>
                <w:color w:val="000000"/>
                <w:sz w:val="22"/>
                <w:szCs w:val="22"/>
              </w:rPr>
              <w:t>DFAT</w:t>
            </w:r>
          </w:p>
        </w:tc>
      </w:tr>
      <w:tr w:rsidR="00535B5A" w:rsidRPr="00535B5A" w14:paraId="12ED5A32" w14:textId="77777777" w:rsidTr="00535B5A">
        <w:trPr>
          <w:trHeight w:val="292"/>
        </w:trPr>
        <w:tc>
          <w:tcPr>
            <w:cnfStyle w:val="001000000000" w:firstRow="0" w:lastRow="0" w:firstColumn="1" w:lastColumn="0" w:oddVBand="0" w:evenVBand="0" w:oddHBand="0" w:evenHBand="0" w:firstRowFirstColumn="0" w:firstRowLastColumn="0" w:lastRowFirstColumn="0" w:lastRowLastColumn="0"/>
            <w:tcW w:w="294" w:type="pct"/>
            <w:noWrap/>
            <w:hideMark/>
          </w:tcPr>
          <w:p w14:paraId="662AA288" w14:textId="77777777" w:rsidR="00535B5A" w:rsidRPr="00535B5A" w:rsidRDefault="00535B5A" w:rsidP="00535B5A">
            <w:pPr>
              <w:spacing w:after="0" w:line="240" w:lineRule="auto"/>
              <w:jc w:val="right"/>
              <w:rPr>
                <w:rFonts w:ascii="Aptos Narrow" w:eastAsia="Times New Roman" w:hAnsi="Aptos Narrow" w:cs="Times New Roman"/>
                <w:color w:val="000000"/>
                <w:sz w:val="22"/>
                <w:szCs w:val="22"/>
              </w:rPr>
            </w:pPr>
            <w:r w:rsidRPr="00535B5A">
              <w:rPr>
                <w:rFonts w:ascii="Aptos Narrow" w:eastAsia="Times New Roman" w:hAnsi="Aptos Narrow" w:cs="Times New Roman"/>
                <w:color w:val="000000"/>
                <w:sz w:val="22"/>
                <w:szCs w:val="22"/>
              </w:rPr>
              <w:t>1.4</w:t>
            </w:r>
          </w:p>
        </w:tc>
        <w:tc>
          <w:tcPr>
            <w:tcW w:w="3898" w:type="pct"/>
            <w:noWrap/>
            <w:hideMark/>
          </w:tcPr>
          <w:p w14:paraId="0CAA2B47" w14:textId="77777777" w:rsidR="00535B5A" w:rsidRPr="00535B5A" w:rsidRDefault="00535B5A" w:rsidP="00535B5A">
            <w:pPr>
              <w:spacing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sidRPr="00535B5A">
              <w:rPr>
                <w:rFonts w:ascii="Aptos Narrow" w:eastAsia="Times New Roman" w:hAnsi="Aptos Narrow" w:cs="Times New Roman"/>
                <w:color w:val="000000"/>
                <w:sz w:val="22"/>
                <w:szCs w:val="22"/>
              </w:rPr>
              <w:t xml:space="preserve">Stronger mechanisms for engaging </w:t>
            </w:r>
            <w:proofErr w:type="spellStart"/>
            <w:r w:rsidRPr="00535B5A">
              <w:rPr>
                <w:rFonts w:ascii="Aptos Narrow" w:eastAsia="Times New Roman" w:hAnsi="Aptos Narrow" w:cs="Times New Roman"/>
                <w:color w:val="000000"/>
                <w:sz w:val="22"/>
                <w:szCs w:val="22"/>
              </w:rPr>
              <w:t>GoPNG</w:t>
            </w:r>
            <w:proofErr w:type="spellEnd"/>
            <w:r w:rsidRPr="00535B5A">
              <w:rPr>
                <w:rFonts w:ascii="Aptos Narrow" w:eastAsia="Times New Roman" w:hAnsi="Aptos Narrow" w:cs="Times New Roman"/>
                <w:color w:val="000000"/>
                <w:sz w:val="22"/>
                <w:szCs w:val="22"/>
              </w:rPr>
              <w:t xml:space="preserve"> and local actors</w:t>
            </w:r>
          </w:p>
        </w:tc>
        <w:tc>
          <w:tcPr>
            <w:tcW w:w="808" w:type="pct"/>
            <w:noWrap/>
            <w:hideMark/>
          </w:tcPr>
          <w:p w14:paraId="774AFD89" w14:textId="77777777" w:rsidR="00535B5A" w:rsidRPr="00535B5A" w:rsidRDefault="00535B5A" w:rsidP="00535B5A">
            <w:pPr>
              <w:spacing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sidRPr="00535B5A">
              <w:rPr>
                <w:rFonts w:ascii="Aptos Narrow" w:eastAsia="Times New Roman" w:hAnsi="Aptos Narrow" w:cs="Times New Roman"/>
                <w:color w:val="000000"/>
                <w:sz w:val="22"/>
                <w:szCs w:val="22"/>
              </w:rPr>
              <w:t>DFAT + HDMES</w:t>
            </w:r>
          </w:p>
        </w:tc>
      </w:tr>
      <w:tr w:rsidR="00535B5A" w:rsidRPr="00535B5A" w14:paraId="348E4903" w14:textId="77777777" w:rsidTr="00535B5A">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294" w:type="pct"/>
            <w:noWrap/>
            <w:hideMark/>
          </w:tcPr>
          <w:p w14:paraId="36A9F985" w14:textId="77777777" w:rsidR="00535B5A" w:rsidRPr="00535B5A" w:rsidRDefault="00535B5A" w:rsidP="00535B5A">
            <w:pPr>
              <w:spacing w:after="0" w:line="240" w:lineRule="auto"/>
              <w:jc w:val="right"/>
              <w:rPr>
                <w:rFonts w:ascii="Aptos Narrow" w:eastAsia="Times New Roman" w:hAnsi="Aptos Narrow" w:cs="Times New Roman"/>
                <w:color w:val="000000"/>
                <w:sz w:val="22"/>
                <w:szCs w:val="22"/>
              </w:rPr>
            </w:pPr>
            <w:r w:rsidRPr="00535B5A">
              <w:rPr>
                <w:rFonts w:ascii="Aptos Narrow" w:eastAsia="Times New Roman" w:hAnsi="Aptos Narrow" w:cs="Times New Roman"/>
                <w:color w:val="000000"/>
                <w:sz w:val="22"/>
                <w:szCs w:val="22"/>
              </w:rPr>
              <w:t>2.1</w:t>
            </w:r>
          </w:p>
        </w:tc>
        <w:tc>
          <w:tcPr>
            <w:tcW w:w="3898" w:type="pct"/>
            <w:noWrap/>
            <w:hideMark/>
          </w:tcPr>
          <w:p w14:paraId="31D6367D" w14:textId="35547737" w:rsidR="00535B5A" w:rsidRPr="00535B5A" w:rsidRDefault="0047698E" w:rsidP="00535B5A">
            <w:pPr>
              <w:spacing w:after="0" w:line="24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00535B5A">
              <w:rPr>
                <w:rFonts w:ascii="Aptos Narrow" w:eastAsia="Times New Roman" w:hAnsi="Aptos Narrow" w:cs="Times New Roman"/>
                <w:color w:val="000000"/>
                <w:sz w:val="22"/>
                <w:szCs w:val="22"/>
              </w:rPr>
              <w:t xml:space="preserve">Clarify Mandate and Scope </w:t>
            </w:r>
          </w:p>
        </w:tc>
        <w:tc>
          <w:tcPr>
            <w:tcW w:w="808" w:type="pct"/>
            <w:noWrap/>
            <w:hideMark/>
          </w:tcPr>
          <w:p w14:paraId="01F524B8" w14:textId="1C1E5E7B" w:rsidR="00535B5A" w:rsidRPr="00535B5A" w:rsidRDefault="0047698E" w:rsidP="00535B5A">
            <w:pPr>
              <w:spacing w:after="0" w:line="24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t>DFAT</w:t>
            </w:r>
          </w:p>
        </w:tc>
      </w:tr>
      <w:tr w:rsidR="00535B5A" w:rsidRPr="00535B5A" w14:paraId="3571AFD7" w14:textId="77777777" w:rsidTr="0047698E">
        <w:trPr>
          <w:trHeight w:val="292"/>
        </w:trPr>
        <w:tc>
          <w:tcPr>
            <w:cnfStyle w:val="001000000000" w:firstRow="0" w:lastRow="0" w:firstColumn="1" w:lastColumn="0" w:oddVBand="0" w:evenVBand="0" w:oddHBand="0" w:evenHBand="0" w:firstRowFirstColumn="0" w:firstRowLastColumn="0" w:lastRowFirstColumn="0" w:lastRowLastColumn="0"/>
            <w:tcW w:w="294" w:type="pct"/>
            <w:noWrap/>
            <w:hideMark/>
          </w:tcPr>
          <w:p w14:paraId="5193CB56" w14:textId="77777777" w:rsidR="00535B5A" w:rsidRPr="00535B5A" w:rsidRDefault="00535B5A" w:rsidP="00535B5A">
            <w:pPr>
              <w:spacing w:after="0" w:line="240" w:lineRule="auto"/>
              <w:jc w:val="right"/>
              <w:rPr>
                <w:rFonts w:ascii="Aptos Narrow" w:eastAsia="Times New Roman" w:hAnsi="Aptos Narrow" w:cs="Times New Roman"/>
                <w:color w:val="000000"/>
                <w:sz w:val="22"/>
                <w:szCs w:val="22"/>
              </w:rPr>
            </w:pPr>
            <w:r w:rsidRPr="00535B5A">
              <w:rPr>
                <w:rFonts w:ascii="Aptos Narrow" w:eastAsia="Times New Roman" w:hAnsi="Aptos Narrow" w:cs="Times New Roman"/>
                <w:color w:val="000000"/>
                <w:sz w:val="22"/>
                <w:szCs w:val="22"/>
              </w:rPr>
              <w:t>2.2</w:t>
            </w:r>
          </w:p>
        </w:tc>
        <w:tc>
          <w:tcPr>
            <w:tcW w:w="3898" w:type="pct"/>
            <w:noWrap/>
          </w:tcPr>
          <w:p w14:paraId="2DEC8B85" w14:textId="69A471A1" w:rsidR="00535B5A" w:rsidRPr="00535B5A" w:rsidRDefault="0047698E" w:rsidP="00535B5A">
            <w:pPr>
              <w:spacing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t>Increase</w:t>
            </w:r>
            <w:r w:rsidRPr="00535B5A">
              <w:rPr>
                <w:rFonts w:ascii="Aptos Narrow" w:eastAsia="Times New Roman" w:hAnsi="Aptos Narrow" w:cs="Times New Roman"/>
                <w:color w:val="000000"/>
                <w:sz w:val="22"/>
                <w:szCs w:val="22"/>
              </w:rPr>
              <w:t xml:space="preserve"> focus toward</w:t>
            </w:r>
            <w:r>
              <w:rPr>
                <w:rFonts w:ascii="Aptos Narrow" w:eastAsia="Times New Roman" w:hAnsi="Aptos Narrow" w:cs="Times New Roman"/>
                <w:color w:val="000000"/>
                <w:sz w:val="22"/>
                <w:szCs w:val="22"/>
              </w:rPr>
              <w:t>s</w:t>
            </w:r>
            <w:r w:rsidRPr="00535B5A">
              <w:rPr>
                <w:rFonts w:ascii="Aptos Narrow" w:eastAsia="Times New Roman" w:hAnsi="Aptos Narrow" w:cs="Times New Roman"/>
                <w:color w:val="000000"/>
                <w:sz w:val="22"/>
                <w:szCs w:val="22"/>
              </w:rPr>
              <w:t xml:space="preserve"> pragmatic, user-focused outputs</w:t>
            </w:r>
          </w:p>
        </w:tc>
        <w:tc>
          <w:tcPr>
            <w:tcW w:w="808" w:type="pct"/>
            <w:noWrap/>
          </w:tcPr>
          <w:p w14:paraId="66B128A8" w14:textId="7BD488DF" w:rsidR="00535B5A" w:rsidRPr="00535B5A" w:rsidRDefault="0047698E" w:rsidP="00535B5A">
            <w:pPr>
              <w:spacing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sidRPr="00535B5A">
              <w:rPr>
                <w:rFonts w:ascii="Aptos Narrow" w:eastAsia="Times New Roman" w:hAnsi="Aptos Narrow" w:cs="Times New Roman"/>
                <w:color w:val="000000"/>
                <w:sz w:val="22"/>
                <w:szCs w:val="22"/>
              </w:rPr>
              <w:t>HDMES</w:t>
            </w:r>
          </w:p>
        </w:tc>
      </w:tr>
      <w:tr w:rsidR="0047698E" w:rsidRPr="00535B5A" w14:paraId="0A57D61E" w14:textId="77777777" w:rsidTr="0047698E">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294" w:type="pct"/>
            <w:noWrap/>
            <w:hideMark/>
          </w:tcPr>
          <w:p w14:paraId="657399C7" w14:textId="77777777" w:rsidR="0047698E" w:rsidRPr="00535B5A" w:rsidRDefault="0047698E" w:rsidP="0047698E">
            <w:pPr>
              <w:spacing w:after="0" w:line="240" w:lineRule="auto"/>
              <w:jc w:val="right"/>
              <w:rPr>
                <w:rFonts w:ascii="Aptos Narrow" w:eastAsia="Times New Roman" w:hAnsi="Aptos Narrow" w:cs="Times New Roman"/>
                <w:color w:val="000000"/>
                <w:sz w:val="22"/>
                <w:szCs w:val="22"/>
              </w:rPr>
            </w:pPr>
            <w:r w:rsidRPr="00535B5A">
              <w:rPr>
                <w:rFonts w:ascii="Aptos Narrow" w:eastAsia="Times New Roman" w:hAnsi="Aptos Narrow" w:cs="Times New Roman"/>
                <w:color w:val="000000"/>
                <w:sz w:val="22"/>
                <w:szCs w:val="22"/>
              </w:rPr>
              <w:t>2.3</w:t>
            </w:r>
          </w:p>
        </w:tc>
        <w:tc>
          <w:tcPr>
            <w:tcW w:w="3898" w:type="pct"/>
            <w:noWrap/>
          </w:tcPr>
          <w:p w14:paraId="1EDF5CDC" w14:textId="72BE0968" w:rsidR="0047698E" w:rsidRPr="00535B5A" w:rsidRDefault="0047698E" w:rsidP="0047698E">
            <w:pPr>
              <w:spacing w:after="0" w:line="24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00535B5A">
              <w:rPr>
                <w:rFonts w:ascii="Aptos Narrow" w:eastAsia="Times New Roman" w:hAnsi="Aptos Narrow" w:cs="Times New Roman"/>
                <w:color w:val="000000"/>
                <w:sz w:val="22"/>
                <w:szCs w:val="22"/>
              </w:rPr>
              <w:t>Strengthen evidence use and portfolio-level learning</w:t>
            </w:r>
          </w:p>
        </w:tc>
        <w:tc>
          <w:tcPr>
            <w:tcW w:w="808" w:type="pct"/>
            <w:noWrap/>
          </w:tcPr>
          <w:p w14:paraId="79FA172B" w14:textId="7F7BDB34" w:rsidR="0047698E" w:rsidRPr="00535B5A" w:rsidRDefault="0047698E" w:rsidP="0047698E">
            <w:pPr>
              <w:spacing w:after="0" w:line="24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00535B5A">
              <w:rPr>
                <w:rFonts w:ascii="Aptos Narrow" w:eastAsia="Times New Roman" w:hAnsi="Aptos Narrow" w:cs="Times New Roman"/>
                <w:color w:val="000000"/>
                <w:sz w:val="22"/>
                <w:szCs w:val="22"/>
              </w:rPr>
              <w:t>DFAT</w:t>
            </w:r>
          </w:p>
        </w:tc>
      </w:tr>
      <w:tr w:rsidR="0047698E" w:rsidRPr="00535B5A" w14:paraId="6A800DEA" w14:textId="77777777" w:rsidTr="0047698E">
        <w:trPr>
          <w:trHeight w:val="292"/>
        </w:trPr>
        <w:tc>
          <w:tcPr>
            <w:cnfStyle w:val="001000000000" w:firstRow="0" w:lastRow="0" w:firstColumn="1" w:lastColumn="0" w:oddVBand="0" w:evenVBand="0" w:oddHBand="0" w:evenHBand="0" w:firstRowFirstColumn="0" w:firstRowLastColumn="0" w:lastRowFirstColumn="0" w:lastRowLastColumn="0"/>
            <w:tcW w:w="294" w:type="pct"/>
            <w:noWrap/>
            <w:hideMark/>
          </w:tcPr>
          <w:p w14:paraId="66BDFC5C" w14:textId="77777777" w:rsidR="0047698E" w:rsidRPr="00535B5A" w:rsidRDefault="0047698E" w:rsidP="0047698E">
            <w:pPr>
              <w:spacing w:after="0" w:line="240" w:lineRule="auto"/>
              <w:jc w:val="right"/>
              <w:rPr>
                <w:rFonts w:ascii="Aptos Narrow" w:eastAsia="Times New Roman" w:hAnsi="Aptos Narrow" w:cs="Times New Roman"/>
                <w:color w:val="000000"/>
                <w:sz w:val="22"/>
                <w:szCs w:val="22"/>
              </w:rPr>
            </w:pPr>
            <w:r w:rsidRPr="00535B5A">
              <w:rPr>
                <w:rFonts w:ascii="Aptos Narrow" w:eastAsia="Times New Roman" w:hAnsi="Aptos Narrow" w:cs="Times New Roman"/>
                <w:color w:val="000000"/>
                <w:sz w:val="22"/>
                <w:szCs w:val="22"/>
              </w:rPr>
              <w:t>2.4</w:t>
            </w:r>
          </w:p>
        </w:tc>
        <w:tc>
          <w:tcPr>
            <w:tcW w:w="3898" w:type="pct"/>
            <w:noWrap/>
          </w:tcPr>
          <w:p w14:paraId="21874FDB" w14:textId="4D9566FB" w:rsidR="0047698E" w:rsidRPr="00535B5A" w:rsidRDefault="0047698E" w:rsidP="0047698E">
            <w:pPr>
              <w:spacing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sidRPr="00535B5A">
              <w:rPr>
                <w:rFonts w:ascii="Aptos Narrow" w:eastAsia="Times New Roman" w:hAnsi="Aptos Narrow" w:cs="Times New Roman"/>
                <w:color w:val="000000"/>
                <w:sz w:val="22"/>
                <w:szCs w:val="22"/>
              </w:rPr>
              <w:t>Sustain and deepen MEL contributions to strategic adjustments</w:t>
            </w:r>
          </w:p>
        </w:tc>
        <w:tc>
          <w:tcPr>
            <w:tcW w:w="808" w:type="pct"/>
            <w:noWrap/>
          </w:tcPr>
          <w:p w14:paraId="5F0F56C1" w14:textId="779C8638" w:rsidR="0047698E" w:rsidRPr="00535B5A" w:rsidRDefault="0047698E" w:rsidP="0047698E">
            <w:pPr>
              <w:spacing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sidRPr="00535B5A">
              <w:rPr>
                <w:rFonts w:ascii="Aptos Narrow" w:eastAsia="Times New Roman" w:hAnsi="Aptos Narrow" w:cs="Times New Roman"/>
                <w:color w:val="000000"/>
                <w:sz w:val="22"/>
                <w:szCs w:val="22"/>
              </w:rPr>
              <w:t>HDMES</w:t>
            </w:r>
          </w:p>
        </w:tc>
      </w:tr>
      <w:tr w:rsidR="0047698E" w:rsidRPr="00535B5A" w14:paraId="5E7E990D" w14:textId="77777777" w:rsidTr="0047698E">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294" w:type="pct"/>
            <w:noWrap/>
            <w:hideMark/>
          </w:tcPr>
          <w:p w14:paraId="4DA2C81D" w14:textId="77777777" w:rsidR="0047698E" w:rsidRPr="00535B5A" w:rsidRDefault="0047698E" w:rsidP="0047698E">
            <w:pPr>
              <w:spacing w:after="0" w:line="240" w:lineRule="auto"/>
              <w:jc w:val="right"/>
              <w:rPr>
                <w:rFonts w:ascii="Aptos Narrow" w:eastAsia="Times New Roman" w:hAnsi="Aptos Narrow" w:cs="Times New Roman"/>
                <w:color w:val="000000"/>
                <w:sz w:val="22"/>
                <w:szCs w:val="22"/>
              </w:rPr>
            </w:pPr>
            <w:r w:rsidRPr="00535B5A">
              <w:rPr>
                <w:rFonts w:ascii="Aptos Narrow" w:eastAsia="Times New Roman" w:hAnsi="Aptos Narrow" w:cs="Times New Roman"/>
                <w:color w:val="000000"/>
                <w:sz w:val="22"/>
                <w:szCs w:val="22"/>
              </w:rPr>
              <w:t>2.5</w:t>
            </w:r>
          </w:p>
        </w:tc>
        <w:tc>
          <w:tcPr>
            <w:tcW w:w="3898" w:type="pct"/>
            <w:noWrap/>
          </w:tcPr>
          <w:p w14:paraId="78E3CEE8" w14:textId="4AD606C8" w:rsidR="0047698E" w:rsidRPr="00535B5A" w:rsidRDefault="0047698E" w:rsidP="0047698E">
            <w:pPr>
              <w:spacing w:after="0" w:line="24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00535B5A">
              <w:rPr>
                <w:rFonts w:ascii="Aptos Narrow" w:eastAsia="Times New Roman" w:hAnsi="Aptos Narrow" w:cs="Times New Roman"/>
                <w:color w:val="000000"/>
                <w:sz w:val="22"/>
                <w:szCs w:val="22"/>
              </w:rPr>
              <w:t>Improve communication and uptake of MEL products</w:t>
            </w:r>
          </w:p>
        </w:tc>
        <w:tc>
          <w:tcPr>
            <w:tcW w:w="808" w:type="pct"/>
            <w:noWrap/>
          </w:tcPr>
          <w:p w14:paraId="56859A55" w14:textId="0FCF0AFD" w:rsidR="0047698E" w:rsidRPr="00535B5A" w:rsidRDefault="0047698E" w:rsidP="0047698E">
            <w:pPr>
              <w:spacing w:after="0" w:line="24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00535B5A">
              <w:rPr>
                <w:rFonts w:ascii="Aptos Narrow" w:eastAsia="Times New Roman" w:hAnsi="Aptos Narrow" w:cs="Times New Roman"/>
                <w:color w:val="000000"/>
                <w:sz w:val="22"/>
                <w:szCs w:val="22"/>
              </w:rPr>
              <w:t>HDMES + DFAT</w:t>
            </w:r>
          </w:p>
        </w:tc>
      </w:tr>
      <w:tr w:rsidR="0047698E" w:rsidRPr="00535B5A" w14:paraId="069B5B83" w14:textId="77777777" w:rsidTr="0047698E">
        <w:trPr>
          <w:trHeight w:val="292"/>
        </w:trPr>
        <w:tc>
          <w:tcPr>
            <w:cnfStyle w:val="001000000000" w:firstRow="0" w:lastRow="0" w:firstColumn="1" w:lastColumn="0" w:oddVBand="0" w:evenVBand="0" w:oddHBand="0" w:evenHBand="0" w:firstRowFirstColumn="0" w:firstRowLastColumn="0" w:lastRowFirstColumn="0" w:lastRowLastColumn="0"/>
            <w:tcW w:w="294" w:type="pct"/>
            <w:noWrap/>
            <w:hideMark/>
          </w:tcPr>
          <w:p w14:paraId="39C27053" w14:textId="77777777" w:rsidR="0047698E" w:rsidRPr="00535B5A" w:rsidRDefault="0047698E" w:rsidP="0047698E">
            <w:pPr>
              <w:spacing w:after="0" w:line="240" w:lineRule="auto"/>
              <w:jc w:val="right"/>
              <w:rPr>
                <w:rFonts w:ascii="Aptos Narrow" w:eastAsia="Times New Roman" w:hAnsi="Aptos Narrow" w:cs="Times New Roman"/>
                <w:color w:val="000000"/>
                <w:sz w:val="22"/>
                <w:szCs w:val="22"/>
              </w:rPr>
            </w:pPr>
            <w:r w:rsidRPr="00535B5A">
              <w:rPr>
                <w:rFonts w:ascii="Aptos Narrow" w:eastAsia="Times New Roman" w:hAnsi="Aptos Narrow" w:cs="Times New Roman"/>
                <w:color w:val="000000"/>
                <w:sz w:val="22"/>
                <w:szCs w:val="22"/>
              </w:rPr>
              <w:t>2.6</w:t>
            </w:r>
          </w:p>
        </w:tc>
        <w:tc>
          <w:tcPr>
            <w:tcW w:w="3898" w:type="pct"/>
            <w:noWrap/>
          </w:tcPr>
          <w:p w14:paraId="735BE981" w14:textId="14E547B5" w:rsidR="0047698E" w:rsidRPr="00535B5A" w:rsidRDefault="0047698E" w:rsidP="0047698E">
            <w:pPr>
              <w:spacing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sidRPr="00535B5A">
              <w:rPr>
                <w:rFonts w:ascii="Aptos Narrow" w:eastAsia="Times New Roman" w:hAnsi="Aptos Narrow" w:cs="Times New Roman"/>
                <w:color w:val="000000"/>
                <w:sz w:val="22"/>
                <w:szCs w:val="22"/>
              </w:rPr>
              <w:t>Enhance capacity strengthening for DFAT and implementing partners</w:t>
            </w:r>
          </w:p>
        </w:tc>
        <w:tc>
          <w:tcPr>
            <w:tcW w:w="808" w:type="pct"/>
            <w:noWrap/>
          </w:tcPr>
          <w:p w14:paraId="2819F366" w14:textId="3AFC9C48" w:rsidR="0047698E" w:rsidRPr="00535B5A" w:rsidRDefault="0047698E" w:rsidP="0047698E">
            <w:pPr>
              <w:spacing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sidRPr="00535B5A">
              <w:rPr>
                <w:rFonts w:ascii="Aptos Narrow" w:eastAsia="Times New Roman" w:hAnsi="Aptos Narrow" w:cs="Times New Roman"/>
                <w:color w:val="000000"/>
                <w:sz w:val="22"/>
                <w:szCs w:val="22"/>
              </w:rPr>
              <w:t>HDMES</w:t>
            </w:r>
          </w:p>
        </w:tc>
      </w:tr>
      <w:tr w:rsidR="0047698E" w:rsidRPr="00535B5A" w14:paraId="3B4F5ECF" w14:textId="77777777" w:rsidTr="00535B5A">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294" w:type="pct"/>
            <w:noWrap/>
            <w:hideMark/>
          </w:tcPr>
          <w:p w14:paraId="111260B2" w14:textId="77777777" w:rsidR="0047698E" w:rsidRPr="00535B5A" w:rsidRDefault="0047698E" w:rsidP="0047698E">
            <w:pPr>
              <w:spacing w:after="0" w:line="240" w:lineRule="auto"/>
              <w:jc w:val="right"/>
              <w:rPr>
                <w:rFonts w:ascii="Aptos Narrow" w:eastAsia="Times New Roman" w:hAnsi="Aptos Narrow" w:cs="Times New Roman"/>
                <w:color w:val="000000"/>
                <w:sz w:val="22"/>
                <w:szCs w:val="22"/>
              </w:rPr>
            </w:pPr>
            <w:r w:rsidRPr="00535B5A">
              <w:rPr>
                <w:rFonts w:ascii="Aptos Narrow" w:eastAsia="Times New Roman" w:hAnsi="Aptos Narrow" w:cs="Times New Roman"/>
                <w:color w:val="000000"/>
                <w:sz w:val="22"/>
                <w:szCs w:val="22"/>
              </w:rPr>
              <w:t>2.7</w:t>
            </w:r>
          </w:p>
        </w:tc>
        <w:tc>
          <w:tcPr>
            <w:tcW w:w="3898" w:type="pct"/>
            <w:noWrap/>
            <w:hideMark/>
          </w:tcPr>
          <w:p w14:paraId="091457AC" w14:textId="08045279" w:rsidR="0047698E" w:rsidRPr="00535B5A" w:rsidRDefault="0047698E" w:rsidP="0047698E">
            <w:pPr>
              <w:spacing w:after="0" w:line="24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00535B5A">
              <w:rPr>
                <w:rFonts w:ascii="Aptos Narrow" w:eastAsia="Times New Roman" w:hAnsi="Aptos Narrow" w:cs="Times New Roman"/>
                <w:color w:val="000000"/>
                <w:sz w:val="22"/>
                <w:szCs w:val="22"/>
              </w:rPr>
              <w:t>Stabilise and Support Leadership and Team Continuity</w:t>
            </w:r>
          </w:p>
        </w:tc>
        <w:tc>
          <w:tcPr>
            <w:tcW w:w="808" w:type="pct"/>
            <w:noWrap/>
            <w:hideMark/>
          </w:tcPr>
          <w:p w14:paraId="6C740E24" w14:textId="319B457B" w:rsidR="0047698E" w:rsidRPr="00535B5A" w:rsidRDefault="0047698E" w:rsidP="0047698E">
            <w:pPr>
              <w:spacing w:after="0" w:line="24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t>ASI</w:t>
            </w:r>
          </w:p>
        </w:tc>
      </w:tr>
      <w:tr w:rsidR="0047698E" w:rsidRPr="00535B5A" w14:paraId="00644C36" w14:textId="77777777" w:rsidTr="00535B5A">
        <w:trPr>
          <w:trHeight w:val="292"/>
        </w:trPr>
        <w:tc>
          <w:tcPr>
            <w:cnfStyle w:val="001000000000" w:firstRow="0" w:lastRow="0" w:firstColumn="1" w:lastColumn="0" w:oddVBand="0" w:evenVBand="0" w:oddHBand="0" w:evenHBand="0" w:firstRowFirstColumn="0" w:firstRowLastColumn="0" w:lastRowFirstColumn="0" w:lastRowLastColumn="0"/>
            <w:tcW w:w="294" w:type="pct"/>
            <w:noWrap/>
            <w:hideMark/>
          </w:tcPr>
          <w:p w14:paraId="6EF4FC0B" w14:textId="77777777" w:rsidR="0047698E" w:rsidRPr="00535B5A" w:rsidRDefault="0047698E" w:rsidP="0047698E">
            <w:pPr>
              <w:spacing w:after="0" w:line="240" w:lineRule="auto"/>
              <w:jc w:val="right"/>
              <w:rPr>
                <w:rFonts w:ascii="Aptos Narrow" w:eastAsia="Times New Roman" w:hAnsi="Aptos Narrow" w:cs="Times New Roman"/>
                <w:color w:val="000000"/>
                <w:sz w:val="22"/>
                <w:szCs w:val="22"/>
              </w:rPr>
            </w:pPr>
            <w:r w:rsidRPr="00535B5A">
              <w:rPr>
                <w:rFonts w:ascii="Aptos Narrow" w:eastAsia="Times New Roman" w:hAnsi="Aptos Narrow" w:cs="Times New Roman"/>
                <w:color w:val="000000"/>
                <w:sz w:val="22"/>
                <w:szCs w:val="22"/>
              </w:rPr>
              <w:t>2.8</w:t>
            </w:r>
          </w:p>
        </w:tc>
        <w:tc>
          <w:tcPr>
            <w:tcW w:w="3898" w:type="pct"/>
            <w:noWrap/>
            <w:hideMark/>
          </w:tcPr>
          <w:p w14:paraId="477631D3" w14:textId="77777777" w:rsidR="0047698E" w:rsidRPr="00535B5A" w:rsidRDefault="0047698E" w:rsidP="0047698E">
            <w:pPr>
              <w:spacing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sidRPr="00535B5A">
              <w:rPr>
                <w:rFonts w:ascii="Aptos Narrow" w:eastAsia="Times New Roman" w:hAnsi="Aptos Narrow" w:cs="Times New Roman"/>
                <w:color w:val="000000"/>
                <w:sz w:val="22"/>
                <w:szCs w:val="22"/>
              </w:rPr>
              <w:t>Address ARF-Related Recruitment Challenges</w:t>
            </w:r>
          </w:p>
        </w:tc>
        <w:tc>
          <w:tcPr>
            <w:tcW w:w="808" w:type="pct"/>
            <w:noWrap/>
            <w:hideMark/>
          </w:tcPr>
          <w:p w14:paraId="1C624100" w14:textId="77777777" w:rsidR="0047698E" w:rsidRPr="00535B5A" w:rsidRDefault="0047698E" w:rsidP="0047698E">
            <w:pPr>
              <w:spacing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sidRPr="00535B5A">
              <w:rPr>
                <w:rFonts w:ascii="Aptos Narrow" w:eastAsia="Times New Roman" w:hAnsi="Aptos Narrow" w:cs="Times New Roman"/>
                <w:color w:val="000000"/>
                <w:sz w:val="22"/>
                <w:szCs w:val="22"/>
              </w:rPr>
              <w:t>DFAT + ASI</w:t>
            </w:r>
          </w:p>
        </w:tc>
      </w:tr>
      <w:tr w:rsidR="0047698E" w:rsidRPr="00535B5A" w14:paraId="13330B70" w14:textId="77777777" w:rsidTr="00535B5A">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294" w:type="pct"/>
            <w:noWrap/>
            <w:hideMark/>
          </w:tcPr>
          <w:p w14:paraId="22CC515E" w14:textId="77777777" w:rsidR="0047698E" w:rsidRPr="00535B5A" w:rsidRDefault="0047698E" w:rsidP="0047698E">
            <w:pPr>
              <w:spacing w:after="0" w:line="240" w:lineRule="auto"/>
              <w:jc w:val="right"/>
              <w:rPr>
                <w:rFonts w:ascii="Aptos Narrow" w:eastAsia="Times New Roman" w:hAnsi="Aptos Narrow" w:cs="Times New Roman"/>
                <w:color w:val="000000"/>
                <w:sz w:val="22"/>
                <w:szCs w:val="22"/>
              </w:rPr>
            </w:pPr>
            <w:r w:rsidRPr="00535B5A">
              <w:rPr>
                <w:rFonts w:ascii="Aptos Narrow" w:eastAsia="Times New Roman" w:hAnsi="Aptos Narrow" w:cs="Times New Roman"/>
                <w:color w:val="000000"/>
                <w:sz w:val="22"/>
                <w:szCs w:val="22"/>
              </w:rPr>
              <w:t>3.1</w:t>
            </w:r>
          </w:p>
        </w:tc>
        <w:tc>
          <w:tcPr>
            <w:tcW w:w="3898" w:type="pct"/>
            <w:noWrap/>
            <w:hideMark/>
          </w:tcPr>
          <w:p w14:paraId="135A3AE6" w14:textId="77777777" w:rsidR="0047698E" w:rsidRPr="00535B5A" w:rsidRDefault="0047698E" w:rsidP="0047698E">
            <w:pPr>
              <w:spacing w:after="0" w:line="24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00535B5A">
              <w:rPr>
                <w:rFonts w:ascii="Aptos Narrow" w:eastAsia="Times New Roman" w:hAnsi="Aptos Narrow" w:cs="Times New Roman"/>
                <w:color w:val="000000"/>
                <w:sz w:val="22"/>
                <w:szCs w:val="22"/>
              </w:rPr>
              <w:t>Option to optimise the hybrid delivery and staffing model through strengthened local capacity</w:t>
            </w:r>
          </w:p>
        </w:tc>
        <w:tc>
          <w:tcPr>
            <w:tcW w:w="808" w:type="pct"/>
            <w:noWrap/>
            <w:hideMark/>
          </w:tcPr>
          <w:p w14:paraId="079250D1" w14:textId="5900B843" w:rsidR="0047698E" w:rsidRPr="00535B5A" w:rsidRDefault="0047698E" w:rsidP="0047698E">
            <w:pPr>
              <w:spacing w:after="0" w:line="24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00535B5A">
              <w:rPr>
                <w:rFonts w:ascii="Aptos Narrow" w:eastAsia="Times New Roman" w:hAnsi="Aptos Narrow" w:cs="Times New Roman"/>
                <w:color w:val="000000"/>
                <w:sz w:val="22"/>
                <w:szCs w:val="22"/>
              </w:rPr>
              <w:t>HDMES + DFAT</w:t>
            </w:r>
            <w:r>
              <w:rPr>
                <w:rFonts w:ascii="Aptos Narrow" w:eastAsia="Times New Roman" w:hAnsi="Aptos Narrow" w:cs="Times New Roman"/>
                <w:color w:val="000000"/>
                <w:sz w:val="22"/>
                <w:szCs w:val="22"/>
              </w:rPr>
              <w:t xml:space="preserve"> + ASI</w:t>
            </w:r>
          </w:p>
        </w:tc>
      </w:tr>
      <w:tr w:rsidR="0047698E" w:rsidRPr="00535B5A" w14:paraId="717554B5" w14:textId="77777777" w:rsidTr="00535B5A">
        <w:trPr>
          <w:trHeight w:val="292"/>
        </w:trPr>
        <w:tc>
          <w:tcPr>
            <w:cnfStyle w:val="001000000000" w:firstRow="0" w:lastRow="0" w:firstColumn="1" w:lastColumn="0" w:oddVBand="0" w:evenVBand="0" w:oddHBand="0" w:evenHBand="0" w:firstRowFirstColumn="0" w:firstRowLastColumn="0" w:lastRowFirstColumn="0" w:lastRowLastColumn="0"/>
            <w:tcW w:w="294" w:type="pct"/>
            <w:noWrap/>
            <w:hideMark/>
          </w:tcPr>
          <w:p w14:paraId="284A934B" w14:textId="77777777" w:rsidR="0047698E" w:rsidRPr="00535B5A" w:rsidRDefault="0047698E" w:rsidP="0047698E">
            <w:pPr>
              <w:spacing w:after="0" w:line="240" w:lineRule="auto"/>
              <w:jc w:val="right"/>
              <w:rPr>
                <w:rFonts w:ascii="Aptos Narrow" w:eastAsia="Times New Roman" w:hAnsi="Aptos Narrow" w:cs="Times New Roman"/>
                <w:color w:val="000000"/>
                <w:sz w:val="22"/>
                <w:szCs w:val="22"/>
              </w:rPr>
            </w:pPr>
            <w:r w:rsidRPr="00535B5A">
              <w:rPr>
                <w:rFonts w:ascii="Aptos Narrow" w:eastAsia="Times New Roman" w:hAnsi="Aptos Narrow" w:cs="Times New Roman"/>
                <w:color w:val="000000"/>
                <w:sz w:val="22"/>
                <w:szCs w:val="22"/>
              </w:rPr>
              <w:t>3.2</w:t>
            </w:r>
          </w:p>
        </w:tc>
        <w:tc>
          <w:tcPr>
            <w:tcW w:w="3898" w:type="pct"/>
            <w:noWrap/>
            <w:hideMark/>
          </w:tcPr>
          <w:p w14:paraId="50016249" w14:textId="77777777" w:rsidR="0047698E" w:rsidRPr="00535B5A" w:rsidRDefault="0047698E" w:rsidP="0047698E">
            <w:pPr>
              <w:spacing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sidRPr="00535B5A">
              <w:rPr>
                <w:rFonts w:ascii="Aptos Narrow" w:eastAsia="Times New Roman" w:hAnsi="Aptos Narrow" w:cs="Times New Roman"/>
                <w:color w:val="000000"/>
                <w:sz w:val="22"/>
                <w:szCs w:val="22"/>
              </w:rPr>
              <w:t>Streamline administrative processes and tools</w:t>
            </w:r>
          </w:p>
        </w:tc>
        <w:tc>
          <w:tcPr>
            <w:tcW w:w="808" w:type="pct"/>
            <w:noWrap/>
            <w:hideMark/>
          </w:tcPr>
          <w:p w14:paraId="602473A4" w14:textId="0C9CB185" w:rsidR="0047698E" w:rsidRPr="00535B5A" w:rsidRDefault="0047698E" w:rsidP="0047698E">
            <w:pPr>
              <w:spacing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sidRPr="00535B5A">
              <w:rPr>
                <w:rFonts w:ascii="Aptos Narrow" w:eastAsia="Times New Roman" w:hAnsi="Aptos Narrow" w:cs="Times New Roman"/>
                <w:color w:val="000000"/>
                <w:sz w:val="22"/>
                <w:szCs w:val="22"/>
              </w:rPr>
              <w:t>HDMES</w:t>
            </w:r>
          </w:p>
        </w:tc>
      </w:tr>
      <w:tr w:rsidR="0047698E" w:rsidRPr="00535B5A" w14:paraId="4B0C28FB" w14:textId="77777777" w:rsidTr="00535B5A">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294" w:type="pct"/>
            <w:noWrap/>
            <w:hideMark/>
          </w:tcPr>
          <w:p w14:paraId="3D3FA6CE" w14:textId="77777777" w:rsidR="0047698E" w:rsidRPr="00535B5A" w:rsidRDefault="0047698E" w:rsidP="0047698E">
            <w:pPr>
              <w:spacing w:after="0" w:line="240" w:lineRule="auto"/>
              <w:jc w:val="right"/>
              <w:rPr>
                <w:rFonts w:ascii="Aptos Narrow" w:eastAsia="Times New Roman" w:hAnsi="Aptos Narrow" w:cs="Times New Roman"/>
                <w:color w:val="000000"/>
                <w:sz w:val="22"/>
                <w:szCs w:val="22"/>
              </w:rPr>
            </w:pPr>
            <w:r w:rsidRPr="00535B5A">
              <w:rPr>
                <w:rFonts w:ascii="Aptos Narrow" w:eastAsia="Times New Roman" w:hAnsi="Aptos Narrow" w:cs="Times New Roman"/>
                <w:color w:val="000000"/>
                <w:sz w:val="22"/>
                <w:szCs w:val="22"/>
              </w:rPr>
              <w:t>3.3</w:t>
            </w:r>
          </w:p>
        </w:tc>
        <w:tc>
          <w:tcPr>
            <w:tcW w:w="3898" w:type="pct"/>
            <w:noWrap/>
            <w:hideMark/>
          </w:tcPr>
          <w:p w14:paraId="4DEEFAD6" w14:textId="77777777" w:rsidR="0047698E" w:rsidRPr="00535B5A" w:rsidRDefault="0047698E" w:rsidP="0047698E">
            <w:pPr>
              <w:spacing w:after="0" w:line="24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00535B5A">
              <w:rPr>
                <w:rFonts w:ascii="Aptos Narrow" w:eastAsia="Times New Roman" w:hAnsi="Aptos Narrow" w:cs="Times New Roman"/>
                <w:color w:val="000000"/>
                <w:sz w:val="22"/>
                <w:szCs w:val="22"/>
              </w:rPr>
              <w:t>Strengthen consultant briefing, QA, and contextual relevance</w:t>
            </w:r>
          </w:p>
        </w:tc>
        <w:tc>
          <w:tcPr>
            <w:tcW w:w="808" w:type="pct"/>
            <w:noWrap/>
            <w:hideMark/>
          </w:tcPr>
          <w:p w14:paraId="6419C0F3" w14:textId="77777777" w:rsidR="0047698E" w:rsidRPr="00535B5A" w:rsidRDefault="0047698E" w:rsidP="0047698E">
            <w:pPr>
              <w:spacing w:after="0" w:line="24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00535B5A">
              <w:rPr>
                <w:rFonts w:ascii="Aptos Narrow" w:eastAsia="Times New Roman" w:hAnsi="Aptos Narrow" w:cs="Times New Roman"/>
                <w:color w:val="000000"/>
                <w:sz w:val="22"/>
                <w:szCs w:val="22"/>
              </w:rPr>
              <w:t>HDMES</w:t>
            </w:r>
          </w:p>
        </w:tc>
      </w:tr>
      <w:tr w:rsidR="0047698E" w:rsidRPr="00535B5A" w14:paraId="5AA9A6BC" w14:textId="77777777" w:rsidTr="00535B5A">
        <w:trPr>
          <w:trHeight w:val="292"/>
        </w:trPr>
        <w:tc>
          <w:tcPr>
            <w:cnfStyle w:val="001000000000" w:firstRow="0" w:lastRow="0" w:firstColumn="1" w:lastColumn="0" w:oddVBand="0" w:evenVBand="0" w:oddHBand="0" w:evenHBand="0" w:firstRowFirstColumn="0" w:firstRowLastColumn="0" w:lastRowFirstColumn="0" w:lastRowLastColumn="0"/>
            <w:tcW w:w="294" w:type="pct"/>
            <w:noWrap/>
            <w:hideMark/>
          </w:tcPr>
          <w:p w14:paraId="2C8D04F2" w14:textId="77777777" w:rsidR="0047698E" w:rsidRPr="00535B5A" w:rsidRDefault="0047698E" w:rsidP="0047698E">
            <w:pPr>
              <w:spacing w:after="0" w:line="240" w:lineRule="auto"/>
              <w:jc w:val="right"/>
              <w:rPr>
                <w:rFonts w:ascii="Aptos Narrow" w:eastAsia="Times New Roman" w:hAnsi="Aptos Narrow" w:cs="Times New Roman"/>
                <w:color w:val="000000"/>
                <w:sz w:val="22"/>
                <w:szCs w:val="22"/>
              </w:rPr>
            </w:pPr>
            <w:r w:rsidRPr="00535B5A">
              <w:rPr>
                <w:rFonts w:ascii="Aptos Narrow" w:eastAsia="Times New Roman" w:hAnsi="Aptos Narrow" w:cs="Times New Roman"/>
                <w:color w:val="000000"/>
                <w:sz w:val="22"/>
                <w:szCs w:val="22"/>
              </w:rPr>
              <w:t>3.4</w:t>
            </w:r>
          </w:p>
        </w:tc>
        <w:tc>
          <w:tcPr>
            <w:tcW w:w="3898" w:type="pct"/>
            <w:noWrap/>
            <w:hideMark/>
          </w:tcPr>
          <w:p w14:paraId="390370A3" w14:textId="77777777" w:rsidR="0047698E" w:rsidRPr="00535B5A" w:rsidRDefault="0047698E" w:rsidP="0047698E">
            <w:pPr>
              <w:spacing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sidRPr="00535B5A">
              <w:rPr>
                <w:rFonts w:ascii="Aptos Narrow" w:eastAsia="Times New Roman" w:hAnsi="Aptos Narrow" w:cs="Times New Roman"/>
                <w:color w:val="000000"/>
                <w:sz w:val="22"/>
                <w:szCs w:val="22"/>
              </w:rPr>
              <w:t>Sustain and enhance cost-saving and accountability measures</w:t>
            </w:r>
          </w:p>
        </w:tc>
        <w:tc>
          <w:tcPr>
            <w:tcW w:w="808" w:type="pct"/>
            <w:noWrap/>
            <w:hideMark/>
          </w:tcPr>
          <w:p w14:paraId="5404E3F2" w14:textId="77777777" w:rsidR="0047698E" w:rsidRPr="00535B5A" w:rsidRDefault="0047698E" w:rsidP="0047698E">
            <w:pPr>
              <w:spacing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sidRPr="00535B5A">
              <w:rPr>
                <w:rFonts w:ascii="Aptos Narrow" w:eastAsia="Times New Roman" w:hAnsi="Aptos Narrow" w:cs="Times New Roman"/>
                <w:color w:val="000000"/>
                <w:sz w:val="22"/>
                <w:szCs w:val="22"/>
              </w:rPr>
              <w:t>HDMES + DFAT</w:t>
            </w:r>
          </w:p>
        </w:tc>
      </w:tr>
      <w:tr w:rsidR="0047698E" w:rsidRPr="00535B5A" w14:paraId="270A4FD3" w14:textId="77777777" w:rsidTr="00535B5A">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294" w:type="pct"/>
            <w:noWrap/>
            <w:hideMark/>
          </w:tcPr>
          <w:p w14:paraId="396E62BF" w14:textId="77777777" w:rsidR="0047698E" w:rsidRPr="00535B5A" w:rsidRDefault="0047698E" w:rsidP="0047698E">
            <w:pPr>
              <w:spacing w:after="0" w:line="240" w:lineRule="auto"/>
              <w:jc w:val="right"/>
              <w:rPr>
                <w:rFonts w:ascii="Aptos Narrow" w:eastAsia="Times New Roman" w:hAnsi="Aptos Narrow" w:cs="Times New Roman"/>
                <w:color w:val="000000"/>
                <w:sz w:val="22"/>
                <w:szCs w:val="22"/>
              </w:rPr>
            </w:pPr>
            <w:r w:rsidRPr="00535B5A">
              <w:rPr>
                <w:rFonts w:ascii="Aptos Narrow" w:eastAsia="Times New Roman" w:hAnsi="Aptos Narrow" w:cs="Times New Roman"/>
                <w:color w:val="000000"/>
                <w:sz w:val="22"/>
                <w:szCs w:val="22"/>
              </w:rPr>
              <w:t>3.5</w:t>
            </w:r>
          </w:p>
        </w:tc>
        <w:tc>
          <w:tcPr>
            <w:tcW w:w="3898" w:type="pct"/>
            <w:noWrap/>
            <w:hideMark/>
          </w:tcPr>
          <w:p w14:paraId="5ACF1B2B" w14:textId="77777777" w:rsidR="0047698E" w:rsidRPr="00535B5A" w:rsidRDefault="0047698E" w:rsidP="0047698E">
            <w:pPr>
              <w:spacing w:after="0" w:line="24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00535B5A">
              <w:rPr>
                <w:rFonts w:ascii="Aptos Narrow" w:eastAsia="Times New Roman" w:hAnsi="Aptos Narrow" w:cs="Times New Roman"/>
                <w:color w:val="000000"/>
                <w:sz w:val="22"/>
                <w:szCs w:val="22"/>
              </w:rPr>
              <w:t>Establish a formal partnership governance mechanism</w:t>
            </w:r>
          </w:p>
        </w:tc>
        <w:tc>
          <w:tcPr>
            <w:tcW w:w="808" w:type="pct"/>
            <w:noWrap/>
            <w:hideMark/>
          </w:tcPr>
          <w:p w14:paraId="56521C08" w14:textId="77777777" w:rsidR="0047698E" w:rsidRPr="00535B5A" w:rsidRDefault="0047698E" w:rsidP="0047698E">
            <w:pPr>
              <w:spacing w:after="0" w:line="24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00535B5A">
              <w:rPr>
                <w:rFonts w:ascii="Aptos Narrow" w:eastAsia="Times New Roman" w:hAnsi="Aptos Narrow" w:cs="Times New Roman"/>
                <w:color w:val="000000"/>
                <w:sz w:val="22"/>
                <w:szCs w:val="22"/>
              </w:rPr>
              <w:t>DFAT + HDMES</w:t>
            </w:r>
          </w:p>
        </w:tc>
      </w:tr>
      <w:tr w:rsidR="0047698E" w:rsidRPr="00535B5A" w14:paraId="75649947" w14:textId="77777777" w:rsidTr="00535B5A">
        <w:trPr>
          <w:trHeight w:val="292"/>
        </w:trPr>
        <w:tc>
          <w:tcPr>
            <w:cnfStyle w:val="001000000000" w:firstRow="0" w:lastRow="0" w:firstColumn="1" w:lastColumn="0" w:oddVBand="0" w:evenVBand="0" w:oddHBand="0" w:evenHBand="0" w:firstRowFirstColumn="0" w:firstRowLastColumn="0" w:lastRowFirstColumn="0" w:lastRowLastColumn="0"/>
            <w:tcW w:w="294" w:type="pct"/>
            <w:noWrap/>
            <w:hideMark/>
          </w:tcPr>
          <w:p w14:paraId="51A5213A" w14:textId="77777777" w:rsidR="0047698E" w:rsidRPr="00535B5A" w:rsidRDefault="0047698E" w:rsidP="0047698E">
            <w:pPr>
              <w:spacing w:after="0" w:line="240" w:lineRule="auto"/>
              <w:jc w:val="right"/>
              <w:rPr>
                <w:rFonts w:ascii="Aptos Narrow" w:eastAsia="Times New Roman" w:hAnsi="Aptos Narrow" w:cs="Times New Roman"/>
                <w:color w:val="000000"/>
                <w:sz w:val="22"/>
                <w:szCs w:val="22"/>
              </w:rPr>
            </w:pPr>
            <w:r w:rsidRPr="00535B5A">
              <w:rPr>
                <w:rFonts w:ascii="Aptos Narrow" w:eastAsia="Times New Roman" w:hAnsi="Aptos Narrow" w:cs="Times New Roman"/>
                <w:color w:val="000000"/>
                <w:sz w:val="22"/>
                <w:szCs w:val="22"/>
              </w:rPr>
              <w:t>4.1</w:t>
            </w:r>
          </w:p>
        </w:tc>
        <w:tc>
          <w:tcPr>
            <w:tcW w:w="3898" w:type="pct"/>
            <w:noWrap/>
            <w:hideMark/>
          </w:tcPr>
          <w:p w14:paraId="46F8842A" w14:textId="77777777" w:rsidR="0047698E" w:rsidRPr="00535B5A" w:rsidRDefault="0047698E" w:rsidP="0047698E">
            <w:pPr>
              <w:spacing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sidRPr="00535B5A">
              <w:rPr>
                <w:rFonts w:ascii="Aptos Narrow" w:eastAsia="Times New Roman" w:hAnsi="Aptos Narrow" w:cs="Times New Roman"/>
                <w:color w:val="000000"/>
                <w:sz w:val="22"/>
                <w:szCs w:val="22"/>
              </w:rPr>
              <w:t>Where feasible, deepen engagement with local inclusion actors</w:t>
            </w:r>
          </w:p>
        </w:tc>
        <w:tc>
          <w:tcPr>
            <w:tcW w:w="808" w:type="pct"/>
            <w:noWrap/>
            <w:hideMark/>
          </w:tcPr>
          <w:p w14:paraId="46F30DC8" w14:textId="77777777" w:rsidR="0047698E" w:rsidRPr="00535B5A" w:rsidRDefault="0047698E" w:rsidP="0047698E">
            <w:pPr>
              <w:spacing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sidRPr="00535B5A">
              <w:rPr>
                <w:rFonts w:ascii="Aptos Narrow" w:eastAsia="Times New Roman" w:hAnsi="Aptos Narrow" w:cs="Times New Roman"/>
                <w:color w:val="000000"/>
                <w:sz w:val="22"/>
                <w:szCs w:val="22"/>
              </w:rPr>
              <w:t>HDMES</w:t>
            </w:r>
          </w:p>
        </w:tc>
      </w:tr>
      <w:tr w:rsidR="0047698E" w:rsidRPr="00535B5A" w14:paraId="2311EA0F" w14:textId="77777777" w:rsidTr="00535B5A">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294" w:type="pct"/>
            <w:noWrap/>
            <w:hideMark/>
          </w:tcPr>
          <w:p w14:paraId="2F594104" w14:textId="77777777" w:rsidR="0047698E" w:rsidRPr="00535B5A" w:rsidRDefault="0047698E" w:rsidP="0047698E">
            <w:pPr>
              <w:spacing w:after="0" w:line="240" w:lineRule="auto"/>
              <w:jc w:val="right"/>
              <w:rPr>
                <w:rFonts w:ascii="Aptos Narrow" w:eastAsia="Times New Roman" w:hAnsi="Aptos Narrow" w:cs="Times New Roman"/>
                <w:color w:val="000000"/>
                <w:sz w:val="22"/>
                <w:szCs w:val="22"/>
              </w:rPr>
            </w:pPr>
            <w:r w:rsidRPr="00535B5A">
              <w:rPr>
                <w:rFonts w:ascii="Aptos Narrow" w:eastAsia="Times New Roman" w:hAnsi="Aptos Narrow" w:cs="Times New Roman"/>
                <w:color w:val="000000"/>
                <w:sz w:val="22"/>
                <w:szCs w:val="22"/>
              </w:rPr>
              <w:t>4.2</w:t>
            </w:r>
          </w:p>
        </w:tc>
        <w:tc>
          <w:tcPr>
            <w:tcW w:w="3898" w:type="pct"/>
            <w:noWrap/>
            <w:hideMark/>
          </w:tcPr>
          <w:p w14:paraId="0E1FF2A0" w14:textId="77777777" w:rsidR="0047698E" w:rsidRPr="00535B5A" w:rsidRDefault="0047698E" w:rsidP="0047698E">
            <w:pPr>
              <w:spacing w:after="0" w:line="24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00535B5A">
              <w:rPr>
                <w:rFonts w:ascii="Aptos Narrow" w:eastAsia="Times New Roman" w:hAnsi="Aptos Narrow" w:cs="Times New Roman"/>
                <w:color w:val="000000"/>
                <w:sz w:val="22"/>
                <w:szCs w:val="22"/>
              </w:rPr>
              <w:t>Roll out a structured GEDSI Toolkit implementation plan</w:t>
            </w:r>
          </w:p>
        </w:tc>
        <w:tc>
          <w:tcPr>
            <w:tcW w:w="808" w:type="pct"/>
            <w:noWrap/>
            <w:hideMark/>
          </w:tcPr>
          <w:p w14:paraId="7AAB9221" w14:textId="77777777" w:rsidR="0047698E" w:rsidRPr="00535B5A" w:rsidRDefault="0047698E" w:rsidP="0047698E">
            <w:pPr>
              <w:spacing w:after="0" w:line="24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00535B5A">
              <w:rPr>
                <w:rFonts w:ascii="Aptos Narrow" w:eastAsia="Times New Roman" w:hAnsi="Aptos Narrow" w:cs="Times New Roman"/>
                <w:color w:val="000000"/>
                <w:sz w:val="22"/>
                <w:szCs w:val="22"/>
              </w:rPr>
              <w:t>HDMES</w:t>
            </w:r>
          </w:p>
        </w:tc>
      </w:tr>
      <w:tr w:rsidR="0047698E" w:rsidRPr="00535B5A" w14:paraId="745BAE1A" w14:textId="77777777" w:rsidTr="00535B5A">
        <w:trPr>
          <w:trHeight w:val="292"/>
        </w:trPr>
        <w:tc>
          <w:tcPr>
            <w:cnfStyle w:val="001000000000" w:firstRow="0" w:lastRow="0" w:firstColumn="1" w:lastColumn="0" w:oddVBand="0" w:evenVBand="0" w:oddHBand="0" w:evenHBand="0" w:firstRowFirstColumn="0" w:firstRowLastColumn="0" w:lastRowFirstColumn="0" w:lastRowLastColumn="0"/>
            <w:tcW w:w="294" w:type="pct"/>
            <w:noWrap/>
            <w:hideMark/>
          </w:tcPr>
          <w:p w14:paraId="014D14D9" w14:textId="77777777" w:rsidR="0047698E" w:rsidRPr="00535B5A" w:rsidRDefault="0047698E" w:rsidP="0047698E">
            <w:pPr>
              <w:spacing w:after="0" w:line="240" w:lineRule="auto"/>
              <w:jc w:val="right"/>
              <w:rPr>
                <w:rFonts w:ascii="Aptos Narrow" w:eastAsia="Times New Roman" w:hAnsi="Aptos Narrow" w:cs="Times New Roman"/>
                <w:color w:val="000000"/>
                <w:sz w:val="22"/>
                <w:szCs w:val="22"/>
              </w:rPr>
            </w:pPr>
            <w:r w:rsidRPr="00535B5A">
              <w:rPr>
                <w:rFonts w:ascii="Aptos Narrow" w:eastAsia="Times New Roman" w:hAnsi="Aptos Narrow" w:cs="Times New Roman"/>
                <w:color w:val="000000"/>
                <w:sz w:val="22"/>
                <w:szCs w:val="22"/>
              </w:rPr>
              <w:t>4.3</w:t>
            </w:r>
          </w:p>
        </w:tc>
        <w:tc>
          <w:tcPr>
            <w:tcW w:w="3898" w:type="pct"/>
            <w:noWrap/>
            <w:hideMark/>
          </w:tcPr>
          <w:p w14:paraId="052582AE" w14:textId="77777777" w:rsidR="0047698E" w:rsidRPr="00535B5A" w:rsidRDefault="0047698E" w:rsidP="0047698E">
            <w:pPr>
              <w:spacing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sidRPr="00535B5A">
              <w:rPr>
                <w:rFonts w:ascii="Aptos Narrow" w:eastAsia="Times New Roman" w:hAnsi="Aptos Narrow" w:cs="Times New Roman"/>
                <w:color w:val="000000"/>
                <w:sz w:val="22"/>
                <w:szCs w:val="22"/>
              </w:rPr>
              <w:t>Enhance capacity building and practical support</w:t>
            </w:r>
          </w:p>
        </w:tc>
        <w:tc>
          <w:tcPr>
            <w:tcW w:w="808" w:type="pct"/>
            <w:noWrap/>
            <w:hideMark/>
          </w:tcPr>
          <w:p w14:paraId="0B130962" w14:textId="77777777" w:rsidR="0047698E" w:rsidRPr="00535B5A" w:rsidRDefault="0047698E" w:rsidP="0047698E">
            <w:pPr>
              <w:spacing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sidRPr="00535B5A">
              <w:rPr>
                <w:rFonts w:ascii="Aptos Narrow" w:eastAsia="Times New Roman" w:hAnsi="Aptos Narrow" w:cs="Times New Roman"/>
                <w:color w:val="000000"/>
                <w:sz w:val="22"/>
                <w:szCs w:val="22"/>
              </w:rPr>
              <w:t>HDMES</w:t>
            </w:r>
          </w:p>
        </w:tc>
      </w:tr>
    </w:tbl>
    <w:p w14:paraId="17D1AE81" w14:textId="62CB309A" w:rsidR="0013107A" w:rsidRPr="0013107A" w:rsidRDefault="0013107A" w:rsidP="00535B5A">
      <w:pPr>
        <w:rPr>
          <w:sz w:val="16"/>
          <w:szCs w:val="16"/>
        </w:rPr>
      </w:pPr>
    </w:p>
    <w:sectPr w:rsidR="0013107A" w:rsidRPr="0013107A" w:rsidSect="00E33AEB">
      <w:footerReference w:type="default" r:id="rId21"/>
      <w:footerReference w:type="first" r:id="rId22"/>
      <w:pgSz w:w="11906" w:h="16838" w:code="9"/>
      <w:pgMar w:top="1814" w:right="1134" w:bottom="1134" w:left="1134" w:header="851" w:footer="454" w:gutter="0"/>
      <w:pgBorders w:offsetFrom="page">
        <w:top w:val="single" w:sz="48" w:space="0" w:color="507CB9"/>
        <w:left w:val="single" w:sz="48" w:space="0" w:color="507CB9"/>
        <w:bottom w:val="single" w:sz="48" w:space="0" w:color="507CB9"/>
        <w:right w:val="single" w:sz="48" w:space="0" w:color="507CB9"/>
      </w:pgBorders>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BB29F" w14:textId="77777777" w:rsidR="00B8686B" w:rsidRDefault="00B8686B" w:rsidP="00473290">
      <w:r>
        <w:separator/>
      </w:r>
    </w:p>
  </w:endnote>
  <w:endnote w:type="continuationSeparator" w:id="0">
    <w:p w14:paraId="52DC3B3E" w14:textId="77777777" w:rsidR="00B8686B" w:rsidRDefault="00B8686B" w:rsidP="00473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rpid C1 SCd Regular">
    <w:altName w:val="Arial"/>
    <w:charset w:val="00"/>
    <w:family w:val="swiss"/>
    <w:pitch w:val="variable"/>
    <w:sig w:usb0="A00000EF" w:usb1="5000205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C9D73" w14:textId="4C49406F" w:rsidR="00D12187" w:rsidRDefault="00D12187">
    <w:pPr>
      <w:pStyle w:val="Footer"/>
    </w:pPr>
    <w:r>
      <w:rPr>
        <w:noProof/>
      </w:rPr>
      <mc:AlternateContent>
        <mc:Choice Requires="wps">
          <w:drawing>
            <wp:anchor distT="0" distB="0" distL="0" distR="0" simplePos="0" relativeHeight="251658254" behindDoc="0" locked="0" layoutInCell="1" allowOverlap="1" wp14:anchorId="3139CAA0" wp14:editId="6B0E734F">
              <wp:simplePos x="635" y="635"/>
              <wp:positionH relativeFrom="page">
                <wp:align>center</wp:align>
              </wp:positionH>
              <wp:positionV relativeFrom="page">
                <wp:align>bottom</wp:align>
              </wp:positionV>
              <wp:extent cx="622300" cy="376555"/>
              <wp:effectExtent l="0" t="0" r="6350" b="0"/>
              <wp:wrapNone/>
              <wp:docPr id="33590066"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2752F8D" w14:textId="14AE3148" w:rsidR="00D12187" w:rsidRPr="00D12187" w:rsidRDefault="00D12187" w:rsidP="00D12187">
                          <w:pPr>
                            <w:spacing w:after="0"/>
                            <w:rPr>
                              <w:rFonts w:ascii="Aptos" w:eastAsia="Aptos" w:hAnsi="Aptos" w:cs="Aptos"/>
                              <w:noProof/>
                              <w:color w:val="FF0000"/>
                              <w:sz w:val="24"/>
                            </w:rPr>
                          </w:pPr>
                          <w:r w:rsidRPr="00D12187">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39CAA0" id="_x0000_t202" coordsize="21600,21600" o:spt="202" path="m,l,21600r21600,l21600,xe">
              <v:stroke joinstyle="miter"/>
              <v:path gradientshapeok="t" o:connecttype="rect"/>
            </v:shapetype>
            <v:shape id="Text Box 7" o:spid="_x0000_s1027" type="#_x0000_t202" alt="OFFICIAL" style="position:absolute;margin-left:0;margin-top:0;width:49pt;height:29.6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4pDAIAABw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es33VdQn3AoB8O+veWbFktvmQ/PzOGCsVsUbXjC&#10;QyroSgpni5IG3M+/+WM+8o5RSjoUTEkNKpoS9d3gPqK2RsONRpWM6W0+j/SYg74HlOEUX4TlyUSv&#10;C2o0pQP9inJex0IYYoZjuZJWo3kfBuXic+BivU5JKCPLwtbsLI/Qka7I5Uv/ypw9Ex5wU48wqokV&#10;73gfcuNNb9eHgOynpURqByLPjKME01rPzyVq/O1/yro+6tUvAA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AZZg4pDAIAABwEAAAO&#10;AAAAAAAAAAAAAAAAAC4CAABkcnMvZTJvRG9jLnhtbFBLAQItABQABgAIAAAAIQBpiNsP2QAAAAMB&#10;AAAPAAAAAAAAAAAAAAAAAGYEAABkcnMvZG93bnJldi54bWxQSwUGAAAAAAQABADzAAAAbAUAAAAA&#10;" filled="f" stroked="f">
              <v:textbox style="mso-fit-shape-to-text:t" inset="0,0,0,15pt">
                <w:txbxContent>
                  <w:p w14:paraId="72752F8D" w14:textId="14AE3148" w:rsidR="00D12187" w:rsidRPr="00D12187" w:rsidRDefault="00D12187" w:rsidP="00D12187">
                    <w:pPr>
                      <w:spacing w:after="0"/>
                      <w:rPr>
                        <w:rFonts w:ascii="Aptos" w:eastAsia="Aptos" w:hAnsi="Aptos" w:cs="Aptos"/>
                        <w:noProof/>
                        <w:color w:val="FF0000"/>
                        <w:sz w:val="24"/>
                      </w:rPr>
                    </w:pPr>
                    <w:r w:rsidRPr="00D12187">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ECEF7" w14:textId="6C1A135F" w:rsidR="00A5739C" w:rsidRDefault="00A5739C" w:rsidP="009D07D2">
    <w:pPr>
      <w:pStyle w:val="Footer"/>
    </w:pPr>
  </w:p>
  <w:p w14:paraId="6876CB8B" w14:textId="77777777" w:rsidR="00A5739C" w:rsidRDefault="00A5739C" w:rsidP="009D07D2">
    <w:pPr>
      <w:pStyle w:val="Footer"/>
    </w:pPr>
  </w:p>
  <w:p w14:paraId="306B9067" w14:textId="77777777" w:rsidR="00A5739C" w:rsidRDefault="00A5739C" w:rsidP="009D07D2">
    <w:pPr>
      <w:pStyle w:val="Footer"/>
    </w:pPr>
  </w:p>
  <w:p w14:paraId="298F9164" w14:textId="7B0D4C24" w:rsidR="00A5739C" w:rsidRDefault="007A1FE6" w:rsidP="007A1FE6">
    <w:pPr>
      <w:pStyle w:val="Footer"/>
      <w:tabs>
        <w:tab w:val="left" w:pos="2819"/>
      </w:tabs>
    </w:pPr>
    <w:r>
      <w:tab/>
    </w:r>
  </w:p>
  <w:p w14:paraId="03C9783B" w14:textId="77777777" w:rsidR="00A5739C" w:rsidRDefault="00A5739C" w:rsidP="009D07D2">
    <w:pPr>
      <w:pStyle w:val="Footer"/>
    </w:pPr>
  </w:p>
  <w:tbl>
    <w:tblPr>
      <w:tblStyle w:val="PlainGridBlack"/>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5739C" w14:paraId="64CFE499" w14:textId="77777777" w:rsidTr="009D07D2">
      <w:tc>
        <w:tcPr>
          <w:tcW w:w="9638" w:type="dxa"/>
        </w:tcPr>
        <w:p w14:paraId="63162D2C" w14:textId="77777777" w:rsidR="00A5739C" w:rsidRDefault="00E33AEB" w:rsidP="009D07D2">
          <w:pPr>
            <w:pStyle w:val="Footer"/>
          </w:pPr>
          <w:r>
            <w:rPr>
              <w:noProof/>
            </w:rPr>
            <w:drawing>
              <wp:inline distT="0" distB="0" distL="0" distR="0" wp14:anchorId="0069609C" wp14:editId="4D38B8CE">
                <wp:extent cx="1815057" cy="660983"/>
                <wp:effectExtent l="0" t="0" r="0" b="6350"/>
                <wp:docPr id="1294191683" name="Picture 1294191683" descr="Blue cover page with Alinea International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362572" name="Picture 543362572" descr="Blue cover page with Alinea International Branding."/>
                        <pic:cNvPicPr/>
                      </pic:nvPicPr>
                      <pic:blipFill>
                        <a:blip r:embed="rId1"/>
                        <a:stretch>
                          <a:fillRect/>
                        </a:stretch>
                      </pic:blipFill>
                      <pic:spPr>
                        <a:xfrm>
                          <a:off x="0" y="0"/>
                          <a:ext cx="1815057" cy="660983"/>
                        </a:xfrm>
                        <a:prstGeom prst="rect">
                          <a:avLst/>
                        </a:prstGeom>
                      </pic:spPr>
                    </pic:pic>
                  </a:graphicData>
                </a:graphic>
              </wp:inline>
            </w:drawing>
          </w:r>
        </w:p>
      </w:tc>
    </w:tr>
  </w:tbl>
  <w:p w14:paraId="1681A5D7" w14:textId="77777777" w:rsidR="00A5739C" w:rsidRDefault="00A5739C" w:rsidP="009D07D2">
    <w:pPr>
      <w:pStyle w:val="Footer"/>
    </w:pPr>
  </w:p>
  <w:p w14:paraId="06C3DDEF" w14:textId="77777777" w:rsidR="00A5739C" w:rsidRPr="009D07D2" w:rsidRDefault="00A5739C" w:rsidP="009D07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A7C22" w14:textId="304B3B7B" w:rsidR="00A5739C" w:rsidRDefault="00A5739C" w:rsidP="0099396E">
    <w:pPr>
      <w:pStyle w:val="Footer"/>
      <w:jc w:val="right"/>
    </w:pPr>
    <w:r>
      <w:rPr>
        <w:noProof/>
      </w:rPr>
      <mc:AlternateContent>
        <mc:Choice Requires="wpg">
          <w:drawing>
            <wp:anchor distT="0" distB="0" distL="114300" distR="114300" simplePos="0" relativeHeight="251658241" behindDoc="1" locked="0" layoutInCell="1" allowOverlap="1" wp14:anchorId="33ED8F70" wp14:editId="5135B593">
              <wp:simplePos x="0" y="0"/>
              <wp:positionH relativeFrom="page">
                <wp:align>right</wp:align>
              </wp:positionH>
              <wp:positionV relativeFrom="paragraph">
                <wp:posOffset>-3974858</wp:posOffset>
              </wp:positionV>
              <wp:extent cx="7596000" cy="6348248"/>
              <wp:effectExtent l="0" t="0" r="5080" b="0"/>
              <wp:wrapNone/>
              <wp:docPr id="6" name="Group 6"/>
              <wp:cNvGraphicFramePr/>
              <a:graphic xmlns:a="http://schemas.openxmlformats.org/drawingml/2006/main">
                <a:graphicData uri="http://schemas.microsoft.com/office/word/2010/wordprocessingGroup">
                  <wpg:wgp>
                    <wpg:cNvGrpSpPr/>
                    <wpg:grpSpPr>
                      <a:xfrm>
                        <a:off x="0" y="0"/>
                        <a:ext cx="7596000" cy="6348248"/>
                        <a:chOff x="-16713" y="533"/>
                        <a:chExt cx="7562648" cy="6348248"/>
                      </a:xfrm>
                    </wpg:grpSpPr>
                    <wps:wsp>
                      <wps:cNvPr id="3" name="Rectangle 3"/>
                      <wps:cNvSpPr/>
                      <wps:spPr>
                        <a:xfrm>
                          <a:off x="-1" y="1333133"/>
                          <a:ext cx="7545935" cy="501564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ight Triangle 4"/>
                      <wps:cNvSpPr/>
                      <wps:spPr>
                        <a:xfrm flipH="1">
                          <a:off x="-16713" y="533"/>
                          <a:ext cx="7562648" cy="1332610"/>
                        </a:xfrm>
                        <a:prstGeom prst="r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0144FF0" id="Group 6" o:spid="_x0000_s1026" style="position:absolute;margin-left:546.9pt;margin-top:-313pt;width:598.1pt;height:499.85pt;z-index:-251658239;mso-position-horizontal:right;mso-position-horizontal-relative:page;mso-width-relative:margin;mso-height-relative:margin" coordorigin="-167,5" coordsize="75626,63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">
              <v:rect id="Rectangle 3" o:spid="_x0000_s1027" style="position:absolute;top:13331;width:75459;height:50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" fillcolor="white [3212]" stroked="f" strokeweight="2pt"/>
              <v:shapetype id="_x0000_t6" coordsize="21600,21600" o:spt="6" path="m,l,21600r21600,xe">
                <v:stroke joinstyle="miter"/>
                <v:path gradientshapeok="t" o:connecttype="custom" o:connectlocs="0,0;0,10800;0,21600;10800,21600;21600,21600;10800,10800" textboxrect="1800,12600,12600,19800"/>
              </v:shapetype>
              <v:shape id="Right Triangle 4" o:spid="_x0000_s1028" type="#_x0000_t6" style="position:absolute;left:-167;top:5;width:75626;height:1332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" fillcolor="white [3212]" stroked="f" strokeweight="2pt"/>
              <w10:wrap anchorx="page"/>
            </v:group>
          </w:pict>
        </mc:Fallback>
      </mc:AlternateContent>
    </w:r>
    <w:r w:rsidR="00E33AEB">
      <w:rPr>
        <w:noProof/>
      </w:rPr>
      <w:drawing>
        <wp:inline distT="0" distB="0" distL="0" distR="0" wp14:anchorId="350BE214" wp14:editId="34577317">
          <wp:extent cx="2057142" cy="745714"/>
          <wp:effectExtent l="0" t="0" r="635" b="0"/>
          <wp:docPr id="2019180159" name="Picture 2019180159" descr="alinea logo with the word &quot;alinea&quot; in lowercase dark blue letters above three blue dots in varying shades, arranged horizontally. The design features a clean, modern font and a simple color palette of blues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180159" name="Picture 2019180159" descr="alinea logo with the word &quot;alinea&quot; in lowercase dark blue letters above three blue dots in varying shades, arranged horizontally. The design features a clean, modern font and a simple color palette of blues on a white background."/>
                  <pic:cNvPicPr/>
                </pic:nvPicPr>
                <pic:blipFill>
                  <a:blip r:embed="rId1"/>
                  <a:stretch>
                    <a:fillRect/>
                  </a:stretch>
                </pic:blipFill>
                <pic:spPr>
                  <a:xfrm>
                    <a:off x="0" y="0"/>
                    <a:ext cx="2057142" cy="745714"/>
                  </a:xfrm>
                  <a:prstGeom prst="rect">
                    <a:avLst/>
                  </a:prstGeom>
                </pic:spPr>
              </pic:pic>
            </a:graphicData>
          </a:graphic>
        </wp:inline>
      </w:drawing>
    </w:r>
  </w:p>
  <w:p w14:paraId="50290B01" w14:textId="77777777" w:rsidR="00A5739C" w:rsidRDefault="00A5739C" w:rsidP="0099396E">
    <w:pPr>
      <w:pStyle w:val="Footer"/>
      <w:jc w:val="right"/>
    </w:pPr>
  </w:p>
  <w:p w14:paraId="5198105C" w14:textId="77777777" w:rsidR="00A5739C" w:rsidRPr="0040094A" w:rsidRDefault="00A5739C" w:rsidP="0099396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113" w:type="dxa"/>
        <w:left w:w="0" w:type="dxa"/>
        <w:right w:w="0" w:type="dxa"/>
      </w:tblCellMar>
      <w:tblLook w:val="04A0" w:firstRow="1" w:lastRow="0" w:firstColumn="1" w:lastColumn="0" w:noHBand="0" w:noVBand="1"/>
    </w:tblPr>
    <w:tblGrid>
      <w:gridCol w:w="7038"/>
      <w:gridCol w:w="1988"/>
    </w:tblGrid>
    <w:tr w:rsidR="00A5739C" w14:paraId="062ED837" w14:textId="77777777" w:rsidTr="00550ABE">
      <w:tc>
        <w:tcPr>
          <w:tcW w:w="3899" w:type="pct"/>
        </w:tcPr>
        <w:p w14:paraId="734F41B8" w14:textId="19360AC2" w:rsidR="00A5739C" w:rsidRPr="00F37B76" w:rsidRDefault="00CF6D4E" w:rsidP="00550ABE">
          <w:pPr>
            <w:pStyle w:val="Footer"/>
          </w:pPr>
          <w:r>
            <w:fldChar w:fldCharType="begin"/>
          </w:r>
          <w:r>
            <w:instrText xml:space="preserve"> STYLEREF  "Cover Title" </w:instrText>
          </w:r>
          <w:r>
            <w:fldChar w:fldCharType="separate"/>
          </w:r>
          <w:r w:rsidR="00B244D3">
            <w:rPr>
              <w:noProof/>
            </w:rPr>
            <w:t>Human Development Monitoring and Evaluation Service</w:t>
          </w:r>
          <w:r>
            <w:rPr>
              <w:noProof/>
            </w:rPr>
            <w:fldChar w:fldCharType="end"/>
          </w:r>
          <w:r w:rsidR="00A5739C">
            <w:t xml:space="preserve"> </w:t>
          </w:r>
          <w:r w:rsidR="00A5739C" w:rsidRPr="00082288">
            <w:t>|</w:t>
          </w:r>
          <w:r w:rsidR="00A5739C">
            <w:t xml:space="preserve"> </w:t>
          </w:r>
          <w:r>
            <w:fldChar w:fldCharType="begin"/>
          </w:r>
          <w:r>
            <w:instrText xml:space="preserve"> STYLEREF  "Cover Subtitle" </w:instrText>
          </w:r>
          <w:r>
            <w:fldChar w:fldCharType="separate"/>
          </w:r>
          <w:r w:rsidR="00B244D3">
            <w:rPr>
              <w:noProof/>
            </w:rPr>
            <w:t>Mid-term Review</w:t>
          </w:r>
          <w:r>
            <w:rPr>
              <w:noProof/>
            </w:rPr>
            <w:fldChar w:fldCharType="end"/>
          </w:r>
        </w:p>
      </w:tc>
      <w:tc>
        <w:tcPr>
          <w:tcW w:w="1101" w:type="pct"/>
          <w:vAlign w:val="bottom"/>
        </w:tcPr>
        <w:p w14:paraId="429917B2" w14:textId="77777777" w:rsidR="00A5739C" w:rsidRPr="00DB6F99" w:rsidRDefault="00A5739C" w:rsidP="00550ABE">
          <w:pPr>
            <w:pStyle w:val="Footer"/>
            <w:jc w:val="right"/>
            <w:rPr>
              <w:i/>
            </w:rPr>
          </w:pPr>
          <w:r w:rsidRPr="00DB6F99">
            <w:t xml:space="preserve">Page </w:t>
          </w:r>
          <w:r w:rsidRPr="00DB6F99">
            <w:rPr>
              <w:i/>
            </w:rPr>
            <w:fldChar w:fldCharType="begin"/>
          </w:r>
          <w:r w:rsidRPr="00DB6F99">
            <w:instrText xml:space="preserve"> PAGE  \* Arabic </w:instrText>
          </w:r>
          <w:r w:rsidRPr="00DB6F99">
            <w:rPr>
              <w:i/>
            </w:rPr>
            <w:fldChar w:fldCharType="separate"/>
          </w:r>
          <w:r>
            <w:rPr>
              <w:i/>
            </w:rPr>
            <w:t>4</w:t>
          </w:r>
          <w:r w:rsidRPr="00DB6F99">
            <w:rPr>
              <w:i/>
            </w:rPr>
            <w:fldChar w:fldCharType="end"/>
          </w:r>
          <w:r w:rsidRPr="00DB6F99">
            <w:t xml:space="preserve"> of </w:t>
          </w:r>
          <w:r>
            <w:fldChar w:fldCharType="begin"/>
          </w:r>
          <w:r>
            <w:instrText xml:space="preserve"> NUMPAGES  \* Arabic </w:instrText>
          </w:r>
          <w:r>
            <w:fldChar w:fldCharType="separate"/>
          </w:r>
          <w:r>
            <w:t>4</w:t>
          </w:r>
          <w:r>
            <w:fldChar w:fldCharType="end"/>
          </w:r>
        </w:p>
      </w:tc>
    </w:tr>
  </w:tbl>
  <w:p w14:paraId="4E297392" w14:textId="77777777" w:rsidR="00A5739C" w:rsidRPr="0040094A" w:rsidRDefault="00A5739C" w:rsidP="0040094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113" w:type="dxa"/>
        <w:left w:w="0" w:type="dxa"/>
        <w:right w:w="0" w:type="dxa"/>
      </w:tblCellMar>
      <w:tblLook w:val="04A0" w:firstRow="1" w:lastRow="0" w:firstColumn="1" w:lastColumn="0" w:noHBand="0" w:noVBand="1"/>
    </w:tblPr>
    <w:tblGrid>
      <w:gridCol w:w="7038"/>
      <w:gridCol w:w="1988"/>
    </w:tblGrid>
    <w:tr w:rsidR="00A5739C" w14:paraId="6147B999" w14:textId="77777777" w:rsidTr="009D07D2">
      <w:tc>
        <w:tcPr>
          <w:tcW w:w="3899" w:type="pct"/>
        </w:tcPr>
        <w:p w14:paraId="79830D07" w14:textId="431AFCAB" w:rsidR="00A5739C" w:rsidRPr="00F37B76" w:rsidRDefault="00A5739C" w:rsidP="009D07D2">
          <w:pPr>
            <w:pStyle w:val="Footer"/>
          </w:pPr>
        </w:p>
      </w:tc>
      <w:tc>
        <w:tcPr>
          <w:tcW w:w="1101" w:type="pct"/>
          <w:vAlign w:val="bottom"/>
        </w:tcPr>
        <w:p w14:paraId="3397CAB1" w14:textId="77777777" w:rsidR="00A5739C" w:rsidRPr="00DB6F99" w:rsidRDefault="00A5739C" w:rsidP="009D07D2">
          <w:pPr>
            <w:pStyle w:val="Footer"/>
            <w:jc w:val="right"/>
            <w:rPr>
              <w:i/>
            </w:rPr>
          </w:pPr>
        </w:p>
      </w:tc>
    </w:tr>
  </w:tbl>
  <w:p w14:paraId="17A7FF7F" w14:textId="77777777" w:rsidR="00A5739C" w:rsidRPr="009D07D2" w:rsidRDefault="00A5739C" w:rsidP="009D07D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113" w:type="dxa"/>
        <w:left w:w="0" w:type="dxa"/>
        <w:right w:w="0" w:type="dxa"/>
      </w:tblCellMar>
      <w:tblLook w:val="04A0" w:firstRow="1" w:lastRow="0" w:firstColumn="1" w:lastColumn="0" w:noHBand="0" w:noVBand="1"/>
    </w:tblPr>
    <w:tblGrid>
      <w:gridCol w:w="7516"/>
      <w:gridCol w:w="2122"/>
    </w:tblGrid>
    <w:tr w:rsidR="00A5739C" w14:paraId="7A4B54FF" w14:textId="77777777" w:rsidTr="007A2690">
      <w:tc>
        <w:tcPr>
          <w:tcW w:w="3899" w:type="pct"/>
        </w:tcPr>
        <w:p w14:paraId="07F06F31" w14:textId="0A82133C" w:rsidR="00A5739C" w:rsidRPr="00F37B76" w:rsidRDefault="00CF6D4E" w:rsidP="007A2690">
          <w:pPr>
            <w:pStyle w:val="Footer"/>
          </w:pPr>
          <w:r>
            <w:fldChar w:fldCharType="begin"/>
          </w:r>
          <w:r>
            <w:instrText xml:space="preserve"> STYLEREF  "Cover Title" </w:instrText>
          </w:r>
          <w:r>
            <w:fldChar w:fldCharType="separate"/>
          </w:r>
          <w:r w:rsidR="00B244D3">
            <w:rPr>
              <w:noProof/>
            </w:rPr>
            <w:t>Human Development Monitoring and Evaluation Service</w:t>
          </w:r>
          <w:r>
            <w:rPr>
              <w:noProof/>
            </w:rPr>
            <w:fldChar w:fldCharType="end"/>
          </w:r>
          <w:r w:rsidR="00A5739C">
            <w:t xml:space="preserve"> </w:t>
          </w:r>
          <w:r w:rsidR="00A5739C" w:rsidRPr="00082288">
            <w:t>|</w:t>
          </w:r>
          <w:r w:rsidR="00A5739C">
            <w:t xml:space="preserve"> </w:t>
          </w:r>
          <w:r>
            <w:fldChar w:fldCharType="begin"/>
          </w:r>
          <w:r>
            <w:instrText xml:space="preserve"> STYLEREF  "Cover Subtitle" </w:instrText>
          </w:r>
          <w:r>
            <w:fldChar w:fldCharType="separate"/>
          </w:r>
          <w:r w:rsidR="00B244D3">
            <w:rPr>
              <w:noProof/>
            </w:rPr>
            <w:t>Mid-term Review</w:t>
          </w:r>
          <w:r>
            <w:rPr>
              <w:noProof/>
            </w:rPr>
            <w:fldChar w:fldCharType="end"/>
          </w:r>
        </w:p>
      </w:tc>
      <w:tc>
        <w:tcPr>
          <w:tcW w:w="1101" w:type="pct"/>
          <w:vAlign w:val="bottom"/>
        </w:tcPr>
        <w:p w14:paraId="2DE66206" w14:textId="77777777" w:rsidR="00A5739C" w:rsidRPr="0047698E" w:rsidRDefault="00A5739C" w:rsidP="007A2690">
          <w:pPr>
            <w:pStyle w:val="Footer"/>
            <w:jc w:val="right"/>
            <w:rPr>
              <w:i/>
              <w:caps/>
              <w:sz w:val="20"/>
              <w:szCs w:val="20"/>
            </w:rPr>
          </w:pPr>
          <w:r w:rsidRPr="0047698E">
            <w:rPr>
              <w:caps/>
              <w:sz w:val="20"/>
              <w:szCs w:val="20"/>
            </w:rPr>
            <w:t xml:space="preserve">Page </w:t>
          </w:r>
          <w:r w:rsidRPr="0047698E">
            <w:rPr>
              <w:i/>
              <w:caps/>
              <w:sz w:val="20"/>
              <w:szCs w:val="20"/>
            </w:rPr>
            <w:fldChar w:fldCharType="begin"/>
          </w:r>
          <w:r w:rsidRPr="0047698E">
            <w:rPr>
              <w:caps/>
              <w:sz w:val="20"/>
              <w:szCs w:val="20"/>
            </w:rPr>
            <w:instrText xml:space="preserve"> PAGE  \* Arabic </w:instrText>
          </w:r>
          <w:r w:rsidRPr="0047698E">
            <w:rPr>
              <w:i/>
              <w:caps/>
              <w:sz w:val="20"/>
              <w:szCs w:val="20"/>
            </w:rPr>
            <w:fldChar w:fldCharType="separate"/>
          </w:r>
          <w:r w:rsidRPr="0047698E">
            <w:rPr>
              <w:i/>
              <w:caps/>
              <w:sz w:val="20"/>
              <w:szCs w:val="20"/>
            </w:rPr>
            <w:t>4</w:t>
          </w:r>
          <w:r w:rsidRPr="0047698E">
            <w:rPr>
              <w:i/>
              <w:caps/>
              <w:sz w:val="20"/>
              <w:szCs w:val="20"/>
            </w:rPr>
            <w:fldChar w:fldCharType="end"/>
          </w:r>
          <w:r w:rsidRPr="0047698E">
            <w:rPr>
              <w:caps/>
              <w:sz w:val="20"/>
              <w:szCs w:val="20"/>
            </w:rPr>
            <w:t xml:space="preserve"> of </w:t>
          </w:r>
          <w:r w:rsidRPr="0047698E">
            <w:rPr>
              <w:caps/>
              <w:sz w:val="20"/>
              <w:szCs w:val="20"/>
            </w:rPr>
            <w:fldChar w:fldCharType="begin"/>
          </w:r>
          <w:r w:rsidRPr="0047698E">
            <w:rPr>
              <w:caps/>
              <w:sz w:val="20"/>
              <w:szCs w:val="20"/>
            </w:rPr>
            <w:instrText xml:space="preserve"> NUMPAGES  \* Arabic </w:instrText>
          </w:r>
          <w:r w:rsidRPr="0047698E">
            <w:rPr>
              <w:caps/>
              <w:sz w:val="20"/>
              <w:szCs w:val="20"/>
            </w:rPr>
            <w:fldChar w:fldCharType="separate"/>
          </w:r>
          <w:r w:rsidRPr="0047698E">
            <w:rPr>
              <w:caps/>
              <w:sz w:val="20"/>
              <w:szCs w:val="20"/>
            </w:rPr>
            <w:t>4</w:t>
          </w:r>
          <w:r w:rsidRPr="0047698E">
            <w:rPr>
              <w:caps/>
              <w:sz w:val="20"/>
              <w:szCs w:val="20"/>
            </w:rPr>
            <w:fldChar w:fldCharType="end"/>
          </w:r>
        </w:p>
      </w:tc>
    </w:tr>
  </w:tbl>
  <w:p w14:paraId="3708AC27" w14:textId="77777777" w:rsidR="00A5739C" w:rsidRPr="0040094A" w:rsidRDefault="00A5739C" w:rsidP="0040094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113" w:type="dxa"/>
        <w:left w:w="0" w:type="dxa"/>
        <w:right w:w="0" w:type="dxa"/>
      </w:tblCellMar>
      <w:tblLook w:val="04A0" w:firstRow="1" w:lastRow="0" w:firstColumn="1" w:lastColumn="0" w:noHBand="0" w:noVBand="1"/>
    </w:tblPr>
    <w:tblGrid>
      <w:gridCol w:w="7516"/>
      <w:gridCol w:w="2122"/>
    </w:tblGrid>
    <w:tr w:rsidR="00A5739C" w14:paraId="7028C51A" w14:textId="77777777" w:rsidTr="009D07D2">
      <w:tc>
        <w:tcPr>
          <w:tcW w:w="3899" w:type="pct"/>
        </w:tcPr>
        <w:p w14:paraId="2922C7FC" w14:textId="2C12BB24" w:rsidR="00A5739C" w:rsidRPr="00F37B76" w:rsidRDefault="00A5739C" w:rsidP="009D07D2">
          <w:pPr>
            <w:pStyle w:val="Footer"/>
          </w:pPr>
        </w:p>
      </w:tc>
      <w:tc>
        <w:tcPr>
          <w:tcW w:w="1101" w:type="pct"/>
          <w:vAlign w:val="bottom"/>
        </w:tcPr>
        <w:p w14:paraId="365EDBF3" w14:textId="77777777" w:rsidR="00A5739C" w:rsidRPr="00DB6F99" w:rsidRDefault="00A5739C" w:rsidP="009D07D2">
          <w:pPr>
            <w:pStyle w:val="Footer"/>
            <w:jc w:val="right"/>
            <w:rPr>
              <w:i/>
            </w:rPr>
          </w:pPr>
        </w:p>
      </w:tc>
    </w:tr>
  </w:tbl>
  <w:p w14:paraId="671E6FC1" w14:textId="77777777" w:rsidR="00A5739C" w:rsidRPr="009D07D2" w:rsidRDefault="00A5739C" w:rsidP="009D0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8516D" w14:textId="77777777" w:rsidR="00B8686B" w:rsidRPr="003337B3" w:rsidRDefault="00B8686B" w:rsidP="003337B3">
      <w:pPr>
        <w:pStyle w:val="FootnoteText"/>
        <w:rPr>
          <w:color w:val="1D336D" w:themeColor="background2"/>
        </w:rPr>
      </w:pPr>
      <w:r w:rsidRPr="003337B3">
        <w:rPr>
          <w:color w:val="1D336D" w:themeColor="background2"/>
        </w:rPr>
        <w:separator/>
      </w:r>
    </w:p>
  </w:footnote>
  <w:footnote w:type="continuationSeparator" w:id="0">
    <w:p w14:paraId="485DBD74" w14:textId="77777777" w:rsidR="00B8686B" w:rsidRPr="003337B3" w:rsidRDefault="00B8686B" w:rsidP="003337B3">
      <w:pPr>
        <w:pStyle w:val="FootnoteText"/>
        <w:rPr>
          <w:color w:val="1D336D" w:themeColor="background2"/>
        </w:rPr>
      </w:pPr>
      <w:r w:rsidRPr="003337B3">
        <w:rPr>
          <w:color w:val="1D336D" w:themeColor="background2"/>
        </w:rPr>
        <w:continuationSeparator/>
      </w:r>
    </w:p>
  </w:footnote>
  <w:footnote w:type="continuationNotice" w:id="1">
    <w:p w14:paraId="79A25368" w14:textId="77777777" w:rsidR="00B8686B" w:rsidRDefault="00B8686B" w:rsidP="003337B3">
      <w:pPr>
        <w:pStyle w:val="FootnoteText"/>
      </w:pPr>
    </w:p>
  </w:footnote>
  <w:footnote w:id="2">
    <w:p w14:paraId="63A37D44" w14:textId="3C53881D" w:rsidR="00685665" w:rsidRDefault="00685665">
      <w:pPr>
        <w:pStyle w:val="FootnoteText"/>
      </w:pPr>
      <w:r>
        <w:rPr>
          <w:rStyle w:val="FootnoteReference"/>
        </w:rPr>
        <w:footnoteRef/>
      </w:r>
      <w:r>
        <w:t xml:space="preserve"> Budget release, work planning and forecasting are undertaken against financial year, not calendar year, which can result in some challenges to reporting on a ‘contracted’ budget as, contractually, these are defined across financial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ADB4" w14:textId="02BF2EDB" w:rsidR="00D12187" w:rsidRDefault="00D12187">
    <w:pPr>
      <w:pStyle w:val="Header"/>
    </w:pPr>
    <w:r>
      <w:rPr>
        <w:noProof/>
      </w:rPr>
      <mc:AlternateContent>
        <mc:Choice Requires="wps">
          <w:drawing>
            <wp:anchor distT="0" distB="0" distL="0" distR="0" simplePos="0" relativeHeight="251658253" behindDoc="0" locked="0" layoutInCell="1" allowOverlap="1" wp14:anchorId="7B7546DF" wp14:editId="0CFB77E1">
              <wp:simplePos x="635" y="635"/>
              <wp:positionH relativeFrom="page">
                <wp:align>center</wp:align>
              </wp:positionH>
              <wp:positionV relativeFrom="page">
                <wp:align>top</wp:align>
              </wp:positionV>
              <wp:extent cx="622300" cy="376555"/>
              <wp:effectExtent l="0" t="0" r="6350" b="4445"/>
              <wp:wrapNone/>
              <wp:docPr id="62280448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69042FA" w14:textId="176672AD" w:rsidR="00D12187" w:rsidRPr="00D12187" w:rsidRDefault="00D12187" w:rsidP="00D12187">
                          <w:pPr>
                            <w:spacing w:after="0"/>
                            <w:rPr>
                              <w:rFonts w:ascii="Aptos" w:eastAsia="Aptos" w:hAnsi="Aptos" w:cs="Aptos"/>
                              <w:noProof/>
                              <w:color w:val="FF0000"/>
                              <w:sz w:val="24"/>
                            </w:rPr>
                          </w:pPr>
                          <w:r w:rsidRPr="00D12187">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7546DF"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825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769042FA" w14:textId="176672AD" w:rsidR="00D12187" w:rsidRPr="00D12187" w:rsidRDefault="00D12187" w:rsidP="00D12187">
                    <w:pPr>
                      <w:spacing w:after="0"/>
                      <w:rPr>
                        <w:rFonts w:ascii="Aptos" w:eastAsia="Aptos" w:hAnsi="Aptos" w:cs="Aptos"/>
                        <w:noProof/>
                        <w:color w:val="FF0000"/>
                        <w:sz w:val="24"/>
                      </w:rPr>
                    </w:pPr>
                    <w:r w:rsidRPr="00D12187">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3EB41" w14:textId="3E8ADBA8" w:rsidR="00A5739C" w:rsidRDefault="0099597E" w:rsidP="00EE1892">
    <w:pPr>
      <w:pStyle w:val="Header"/>
      <w:jc w:val="right"/>
    </w:pPr>
    <w:r>
      <w:rPr>
        <w:noProof/>
      </w:rPr>
      <mc:AlternateContent>
        <mc:Choice Requires="wps">
          <w:drawing>
            <wp:anchor distT="0" distB="0" distL="114300" distR="114300" simplePos="0" relativeHeight="251658242" behindDoc="1" locked="0" layoutInCell="1" allowOverlap="1" wp14:anchorId="7822D413" wp14:editId="0AA70A0E">
              <wp:simplePos x="0" y="0"/>
              <wp:positionH relativeFrom="page">
                <wp:posOffset>-223520</wp:posOffset>
              </wp:positionH>
              <wp:positionV relativeFrom="paragraph">
                <wp:posOffset>-535940</wp:posOffset>
              </wp:positionV>
              <wp:extent cx="7772400" cy="10876738"/>
              <wp:effectExtent l="0" t="0" r="0" b="1270"/>
              <wp:wrapNone/>
              <wp:docPr id="11" name="Rectangle 11"/>
              <wp:cNvGraphicFramePr/>
              <a:graphic xmlns:a="http://schemas.openxmlformats.org/drawingml/2006/main">
                <a:graphicData uri="http://schemas.microsoft.com/office/word/2010/wordprocessingShape">
                  <wps:wsp>
                    <wps:cNvSpPr/>
                    <wps:spPr>
                      <a:xfrm>
                        <a:off x="0" y="0"/>
                        <a:ext cx="7772400" cy="10876738"/>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348CE" id="Rectangle 11" o:spid="_x0000_s1026" style="position:absolute;margin-left:-17.6pt;margin-top:-42.2pt;width:612pt;height:856.4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" fillcolor="#1d336d [3214]" stroked="f" strokeweight="2pt">
              <w10:wrap anchorx="page"/>
            </v:rect>
          </w:pict>
        </mc:Fallback>
      </mc:AlternateContent>
    </w:r>
    <w:sdt>
      <w:sdtPr>
        <w:alias w:val="PIck Background"/>
        <w:tag w:val="PIck Background"/>
        <w:id w:val="-691995685"/>
        <w15:color w:val="99CC00"/>
        <w:docPartList>
          <w:docPartGallery w:val="Custom 5"/>
          <w:docPartCategory w:val="Background"/>
        </w:docPartList>
      </w:sdtPr>
      <w:sdtEnd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FFD3F" w14:textId="0CF411A2" w:rsidR="007D7B17" w:rsidRDefault="007D7B17">
    <w:pPr>
      <w:pStyle w:val="Header"/>
      <w:rPr>
        <w:noProof/>
      </w:rPr>
    </w:pPr>
    <w:r>
      <w:rPr>
        <w:noProof/>
      </w:rPr>
      <w:drawing>
        <wp:anchor distT="0" distB="0" distL="114300" distR="114300" simplePos="0" relativeHeight="251658240" behindDoc="1" locked="0" layoutInCell="1" allowOverlap="1" wp14:anchorId="12155838" wp14:editId="1B8F0CBA">
          <wp:simplePos x="0" y="0"/>
          <wp:positionH relativeFrom="page">
            <wp:align>right</wp:align>
          </wp:positionH>
          <wp:positionV relativeFrom="paragraph">
            <wp:posOffset>-538701</wp:posOffset>
          </wp:positionV>
          <wp:extent cx="7921794" cy="5880735"/>
          <wp:effectExtent l="0" t="0" r="3175" b="5715"/>
          <wp:wrapNone/>
          <wp:docPr id="1059140308" name="Picture 1059140308" descr="Cover Image: Raggiana Bird-of-Paradise, Niall D Perrins, Varirata National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140308" name="Picture 1059140308" descr="Cover Image: Raggiana Bird-of-Paradise, Niall D Perrins, Varirata National Park"/>
                  <pic:cNvPicPr>
                    <a:picLocks noChangeAspect="1" noChangeArrowheads="1"/>
                  </pic:cNvPicPr>
                </pic:nvPicPr>
                <pic:blipFill>
                  <a:blip r:embed="rId1"/>
                  <a:srcRect t="496" b="496"/>
                  <a:stretch>
                    <a:fillRect/>
                  </a:stretch>
                </pic:blipFill>
                <pic:spPr bwMode="auto">
                  <a:xfrm>
                    <a:off x="0" y="0"/>
                    <a:ext cx="7921794" cy="58807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C9530E4" w14:textId="0C771B8B" w:rsidR="00A5739C" w:rsidRDefault="0096764C" w:rsidP="0096764C">
    <w:pPr>
      <w:pStyle w:val="Header"/>
      <w:tabs>
        <w:tab w:val="left" w:pos="2505"/>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E09AA" w14:textId="121FDD66" w:rsidR="00E33AEB" w:rsidRPr="009D07D2" w:rsidRDefault="00E33AEB" w:rsidP="009D07D2">
    <w:pPr>
      <w:pStyle w:val="Header"/>
      <w:jc w:val="right"/>
    </w:pPr>
    <w:r w:rsidRPr="008253D4">
      <w:rPr>
        <w:noProof/>
      </w:rPr>
      <w:drawing>
        <wp:inline distT="0" distB="0" distL="0" distR="0" wp14:anchorId="504ED17C" wp14:editId="5021D2B6">
          <wp:extent cx="946285" cy="343028"/>
          <wp:effectExtent l="0" t="0" r="6350" b="0"/>
          <wp:docPr id="1691848043" name="Picture 1691848043" descr="Logo for Alinea featuring lowercase navy blue text with three small blue dots underneath, transitioning from light to dark from left to right. The design is simple and modern, emphasizing a clean and professional brand ident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332348" name="Picture 649332348" descr="Logo for Alinea featuring lowercase navy blue text with three small blue dots underneath, transitioning from light to dark from left to right. The design is simple and modern, emphasizing a clean and professional brand identity."/>
                  <pic:cNvPicPr/>
                </pic:nvPicPr>
                <pic:blipFill>
                  <a:blip r:embed="rId1"/>
                  <a:stretch>
                    <a:fillRect/>
                  </a:stretch>
                </pic:blipFill>
                <pic:spPr>
                  <a:xfrm>
                    <a:off x="0" y="0"/>
                    <a:ext cx="946285" cy="343028"/>
                  </a:xfrm>
                  <a:prstGeom prst="rect">
                    <a:avLst/>
                  </a:prstGeom>
                </pic:spPr>
              </pic:pic>
            </a:graphicData>
          </a:graphic>
        </wp:inline>
      </w:drawing>
    </w:r>
  </w:p>
  <w:p w14:paraId="68A5960C" w14:textId="77777777" w:rsidR="00A5739C" w:rsidRPr="008253D4" w:rsidRDefault="00A5739C" w:rsidP="008253D4">
    <w:pPr>
      <w:pStyle w:val="Header"/>
      <w:jc w:val="right"/>
      <w:rPr>
        <w:noProof/>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091FA" w14:textId="14A1E575" w:rsidR="00A5739C" w:rsidRPr="009D07D2" w:rsidRDefault="00E33AEB" w:rsidP="009D07D2">
    <w:pPr>
      <w:pStyle w:val="Header"/>
      <w:jc w:val="right"/>
    </w:pPr>
    <w:r w:rsidRPr="008253D4">
      <w:rPr>
        <w:noProof/>
      </w:rPr>
      <w:drawing>
        <wp:inline distT="0" distB="0" distL="0" distR="0" wp14:anchorId="4F3F0C90" wp14:editId="061DB979">
          <wp:extent cx="946285" cy="343028"/>
          <wp:effectExtent l="0" t="0" r="6350" b="0"/>
          <wp:docPr id="2055311948" name="Picture 2055311948" descr="Logo for Alinea featuring the word &quot;alinea&quot; in lowercase dark blue letters above three progressively darker blue dots. The design uses a clean, modern font with a minimalist sty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341757" name="Picture 1008341757" descr="Logo for Alinea featuring the word &quot;alinea&quot; in lowercase dark blue letters above three progressively darker blue dots. The design uses a clean, modern font with a minimalist style."/>
                  <pic:cNvPicPr/>
                </pic:nvPicPr>
                <pic:blipFill>
                  <a:blip r:embed="rId1"/>
                  <a:stretch>
                    <a:fillRect/>
                  </a:stretch>
                </pic:blipFill>
                <pic:spPr>
                  <a:xfrm>
                    <a:off x="0" y="0"/>
                    <a:ext cx="946285" cy="3430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4E65"/>
    <w:multiLevelType w:val="multilevel"/>
    <w:tmpl w:val="1B2E107C"/>
    <w:styleLink w:val="Headings"/>
    <w:lvl w:ilvl="0">
      <w:start w:val="1"/>
      <w:numFmt w:val="decimal"/>
      <w:pStyle w:val="ListNumber"/>
      <w:lvlText w:val="%1."/>
      <w:lvlJc w:val="left"/>
      <w:pPr>
        <w:tabs>
          <w:tab w:val="num" w:pos="284"/>
        </w:tabs>
        <w:ind w:left="284" w:hanging="284"/>
      </w:pPr>
      <w:rPr>
        <w:rFonts w:hint="default"/>
        <w:color w:val="2294CD"/>
      </w:rPr>
    </w:lvl>
    <w:lvl w:ilvl="1">
      <w:start w:val="1"/>
      <w:numFmt w:val="lowerLetter"/>
      <w:pStyle w:val="ListNumber2"/>
      <w:lvlText w:val="%2."/>
      <w:lvlJc w:val="left"/>
      <w:pPr>
        <w:tabs>
          <w:tab w:val="num" w:pos="567"/>
        </w:tabs>
        <w:ind w:left="568" w:hanging="284"/>
      </w:pPr>
      <w:rPr>
        <w:rFonts w:hint="default"/>
        <w:color w:val="2294CD"/>
      </w:rPr>
    </w:lvl>
    <w:lvl w:ilvl="2">
      <w:start w:val="1"/>
      <w:numFmt w:val="lowerRoman"/>
      <w:pStyle w:val="ListNumber3"/>
      <w:lvlText w:val="%3."/>
      <w:lvlJc w:val="left"/>
      <w:pPr>
        <w:tabs>
          <w:tab w:val="num" w:pos="851"/>
        </w:tabs>
        <w:ind w:left="852" w:hanging="284"/>
      </w:pPr>
      <w:rPr>
        <w:rFonts w:hint="default"/>
        <w:color w:val="2294CD"/>
      </w:rPr>
    </w:lvl>
    <w:lvl w:ilvl="3">
      <w:start w:val="1"/>
      <w:numFmt w:val="none"/>
      <w:lvlText w:val=""/>
      <w:lvlJc w:val="left"/>
      <w:pPr>
        <w:tabs>
          <w:tab w:val="num" w:pos="284"/>
        </w:tabs>
        <w:ind w:left="1136" w:hanging="284"/>
      </w:pPr>
      <w:rPr>
        <w:rFonts w:hint="default"/>
        <w:b w:val="0"/>
        <w:i w:val="0"/>
        <w:color w:val="1D336D" w:themeColor="background2"/>
      </w:rPr>
    </w:lvl>
    <w:lvl w:ilvl="4">
      <w:start w:val="1"/>
      <w:numFmt w:val="none"/>
      <w:lvlText w:val=""/>
      <w:lvlJc w:val="left"/>
      <w:pPr>
        <w:tabs>
          <w:tab w:val="num" w:pos="567"/>
        </w:tabs>
        <w:ind w:left="1420" w:hanging="284"/>
      </w:pPr>
      <w:rPr>
        <w:rFonts w:hint="default"/>
        <w:b w:val="0"/>
        <w:i w:val="0"/>
        <w:color w:val="1D336D" w:themeColor="background2"/>
      </w:rPr>
    </w:lvl>
    <w:lvl w:ilvl="5">
      <w:start w:val="1"/>
      <w:numFmt w:val="none"/>
      <w:lvlText w:val=""/>
      <w:lvlJc w:val="left"/>
      <w:pPr>
        <w:tabs>
          <w:tab w:val="num" w:pos="851"/>
        </w:tabs>
        <w:ind w:left="1704" w:hanging="284"/>
      </w:pPr>
      <w:rPr>
        <w:rFonts w:hint="default"/>
        <w:b w:val="0"/>
        <w:i w:val="0"/>
        <w:color w:val="1D336D" w:themeColor="background2"/>
      </w:rPr>
    </w:lvl>
    <w:lvl w:ilvl="6">
      <w:start w:val="1"/>
      <w:numFmt w:val="none"/>
      <w:lvlText w:val=""/>
      <w:lvlJc w:val="left"/>
      <w:pPr>
        <w:ind w:left="1988" w:hanging="284"/>
      </w:pPr>
      <w:rPr>
        <w:rFonts w:hint="default"/>
      </w:rPr>
    </w:lvl>
    <w:lvl w:ilvl="7">
      <w:start w:val="1"/>
      <w:numFmt w:val="none"/>
      <w:suff w:val="nothing"/>
      <w:lvlText w:val=""/>
      <w:lvlJc w:val="left"/>
      <w:pPr>
        <w:ind w:left="2272" w:hanging="284"/>
      </w:pPr>
      <w:rPr>
        <w:rFonts w:hint="default"/>
      </w:rPr>
    </w:lvl>
    <w:lvl w:ilvl="8">
      <w:start w:val="1"/>
      <w:numFmt w:val="none"/>
      <w:suff w:val="nothing"/>
      <w:lvlText w:val=""/>
      <w:lvlJc w:val="left"/>
      <w:pPr>
        <w:ind w:left="2556" w:hanging="284"/>
      </w:pPr>
      <w:rPr>
        <w:rFonts w:hint="default"/>
      </w:rPr>
    </w:lvl>
  </w:abstractNum>
  <w:abstractNum w:abstractNumId="1" w15:restartNumberingAfterBreak="0">
    <w:nsid w:val="074F08F5"/>
    <w:multiLevelType w:val="multilevel"/>
    <w:tmpl w:val="866450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7464BB"/>
    <w:multiLevelType w:val="multilevel"/>
    <w:tmpl w:val="D3EEE87C"/>
    <w:name w:val="AutoNum"/>
    <w:lvl w:ilvl="0">
      <w:start w:val="1"/>
      <w:numFmt w:val="decimal"/>
      <w:lvlText w:val="%1."/>
      <w:lvlJc w:val="left"/>
      <w:pPr>
        <w:ind w:left="360" w:hanging="360"/>
      </w:pPr>
      <w:rPr>
        <w:rFonts w:asciiTheme="majorHAnsi" w:hAnsiTheme="majorHAnsi" w:hint="default"/>
        <w:b/>
        <w:i w:val="0"/>
        <w:color w:val="585858" w:themeColor="text2"/>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0EB022D8"/>
    <w:multiLevelType w:val="hybridMultilevel"/>
    <w:tmpl w:val="F756204A"/>
    <w:lvl w:ilvl="0" w:tplc="C930CACE">
      <w:start w:val="1"/>
      <w:numFmt w:val="bullet"/>
      <w:pStyle w:val="TableBullets"/>
      <w:lvlText w:val=""/>
      <w:lvlJc w:val="left"/>
      <w:pPr>
        <w:ind w:left="360" w:hanging="360"/>
      </w:pPr>
      <w:rPr>
        <w:rFonts w:ascii="Wingdings" w:hAnsi="Wingdings" w:hint="default"/>
        <w:color w:val="1D336D" w:themeColor="background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116A9F"/>
    <w:multiLevelType w:val="hybridMultilevel"/>
    <w:tmpl w:val="249CB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7A17FE"/>
    <w:multiLevelType w:val="multilevel"/>
    <w:tmpl w:val="09685C38"/>
    <w:numStyleLink w:val="MasterHeadings"/>
  </w:abstractNum>
  <w:abstractNum w:abstractNumId="6" w15:restartNumberingAfterBreak="0">
    <w:nsid w:val="15EF196B"/>
    <w:multiLevelType w:val="hybridMultilevel"/>
    <w:tmpl w:val="9B28C7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884178"/>
    <w:multiLevelType w:val="multilevel"/>
    <w:tmpl w:val="1B2E107C"/>
    <w:numStyleLink w:val="Headings"/>
  </w:abstractNum>
  <w:abstractNum w:abstractNumId="8" w15:restartNumberingAfterBreak="0">
    <w:nsid w:val="234256C0"/>
    <w:multiLevelType w:val="multilevel"/>
    <w:tmpl w:val="1436D14C"/>
    <w:lvl w:ilvl="0">
      <w:start w:val="1"/>
      <w:numFmt w:val="none"/>
      <w:pStyle w:val="TableHeading"/>
      <w:lvlText w:val=""/>
      <w:lvlJc w:val="left"/>
      <w:pPr>
        <w:tabs>
          <w:tab w:val="num" w:pos="0"/>
        </w:tabs>
        <w:ind w:left="0" w:firstLine="0"/>
      </w:pPr>
      <w:rPr>
        <w:rFonts w:hint="default"/>
      </w:rPr>
    </w:lvl>
    <w:lvl w:ilvl="1">
      <w:start w:val="1"/>
      <w:numFmt w:val="decimal"/>
      <w:lvlText w:val="%2."/>
      <w:lvlJc w:val="left"/>
      <w:pPr>
        <w:tabs>
          <w:tab w:val="num" w:pos="284"/>
        </w:tabs>
        <w:ind w:left="284" w:hanging="284"/>
      </w:pPr>
      <w:rPr>
        <w:rFonts w:hint="default"/>
        <w:color w:val="1D336D" w:themeColor="background2"/>
      </w:rPr>
    </w:lvl>
    <w:lvl w:ilvl="2">
      <w:start w:val="1"/>
      <w:numFmt w:val="none"/>
      <w:lvlText w:val=""/>
      <w:lvlJc w:val="left"/>
      <w:pPr>
        <w:tabs>
          <w:tab w:val="num" w:pos="568"/>
        </w:tabs>
        <w:ind w:left="568" w:firstLine="0"/>
      </w:pPr>
      <w:rPr>
        <w:rFonts w:hint="default"/>
      </w:rPr>
    </w:lvl>
    <w:lvl w:ilvl="3">
      <w:start w:val="1"/>
      <w:numFmt w:val="none"/>
      <w:lvlText w:val=""/>
      <w:lvlJc w:val="left"/>
      <w:pPr>
        <w:tabs>
          <w:tab w:val="num" w:pos="852"/>
        </w:tabs>
        <w:ind w:left="852" w:firstLine="0"/>
      </w:pPr>
      <w:rPr>
        <w:rFonts w:hint="default"/>
      </w:rPr>
    </w:lvl>
    <w:lvl w:ilvl="4">
      <w:start w:val="1"/>
      <w:numFmt w:val="none"/>
      <w:lvlText w:val=""/>
      <w:lvlJc w:val="left"/>
      <w:pPr>
        <w:tabs>
          <w:tab w:val="num" w:pos="1136"/>
        </w:tabs>
        <w:ind w:left="1136" w:firstLine="0"/>
      </w:pPr>
      <w:rPr>
        <w:rFonts w:hint="default"/>
      </w:rPr>
    </w:lvl>
    <w:lvl w:ilvl="5">
      <w:start w:val="1"/>
      <w:numFmt w:val="none"/>
      <w:lvlText w:val=""/>
      <w:lvlJc w:val="left"/>
      <w:pPr>
        <w:tabs>
          <w:tab w:val="num" w:pos="1420"/>
        </w:tabs>
        <w:ind w:left="1420" w:firstLine="0"/>
      </w:pPr>
      <w:rPr>
        <w:rFonts w:hint="default"/>
      </w:rPr>
    </w:lvl>
    <w:lvl w:ilvl="6">
      <w:start w:val="1"/>
      <w:numFmt w:val="none"/>
      <w:lvlText w:val=""/>
      <w:lvlJc w:val="left"/>
      <w:pPr>
        <w:tabs>
          <w:tab w:val="num" w:pos="1704"/>
        </w:tabs>
        <w:ind w:left="1704" w:firstLine="0"/>
      </w:pPr>
      <w:rPr>
        <w:rFonts w:hint="default"/>
      </w:rPr>
    </w:lvl>
    <w:lvl w:ilvl="7">
      <w:start w:val="1"/>
      <w:numFmt w:val="none"/>
      <w:lvlText w:val=""/>
      <w:lvlJc w:val="left"/>
      <w:pPr>
        <w:tabs>
          <w:tab w:val="num" w:pos="1988"/>
        </w:tabs>
        <w:ind w:left="1988" w:firstLine="0"/>
      </w:pPr>
      <w:rPr>
        <w:rFonts w:hint="default"/>
      </w:rPr>
    </w:lvl>
    <w:lvl w:ilvl="8">
      <w:start w:val="1"/>
      <w:numFmt w:val="none"/>
      <w:lvlText w:val=""/>
      <w:lvlJc w:val="left"/>
      <w:pPr>
        <w:tabs>
          <w:tab w:val="num" w:pos="2272"/>
        </w:tabs>
        <w:ind w:left="2272" w:firstLine="0"/>
      </w:pPr>
      <w:rPr>
        <w:rFonts w:hint="default"/>
      </w:rPr>
    </w:lvl>
  </w:abstractNum>
  <w:abstractNum w:abstractNumId="9" w15:restartNumberingAfterBreak="0">
    <w:nsid w:val="250A28BC"/>
    <w:multiLevelType w:val="multilevel"/>
    <w:tmpl w:val="D3B8E568"/>
    <w:numStyleLink w:val="Bullets"/>
  </w:abstractNum>
  <w:abstractNum w:abstractNumId="10" w15:restartNumberingAfterBreak="0">
    <w:nsid w:val="25CF27A3"/>
    <w:multiLevelType w:val="multilevel"/>
    <w:tmpl w:val="9E6E64A4"/>
    <w:lvl w:ilvl="0">
      <w:start w:val="1"/>
      <w:numFmt w:val="bullet"/>
      <w:lvlText w:val=""/>
      <w:lvlJc w:val="left"/>
      <w:pPr>
        <w:ind w:left="357" w:hanging="357"/>
      </w:pPr>
      <w:rPr>
        <w:rFonts w:ascii="Symbol" w:hAnsi="Symbol" w:hint="default"/>
      </w:rPr>
    </w:lvl>
    <w:lvl w:ilvl="1">
      <w:start w:val="1"/>
      <w:numFmt w:val="bullet"/>
      <w:lvlText w:val="−"/>
      <w:lvlJc w:val="left"/>
      <w:pPr>
        <w:tabs>
          <w:tab w:val="num" w:pos="714"/>
        </w:tabs>
        <w:ind w:left="714" w:hanging="357"/>
      </w:pPr>
      <w:rPr>
        <w:rFonts w:ascii="Calibri" w:hAnsi="Calibri" w:hint="default"/>
      </w:rPr>
    </w:lvl>
    <w:lvl w:ilvl="2">
      <w:start w:val="1"/>
      <w:numFmt w:val="bullet"/>
      <w:lvlText w:val="−"/>
      <w:lvlJc w:val="left"/>
      <w:pPr>
        <w:ind w:left="1071" w:hanging="357"/>
      </w:pPr>
      <w:rPr>
        <w:rFonts w:ascii="Calibri" w:hAnsi="Calibri" w:hint="default"/>
      </w:rPr>
    </w:lvl>
    <w:lvl w:ilvl="3">
      <w:start w:val="1"/>
      <w:numFmt w:val="bullet"/>
      <w:lvlText w:val="−"/>
      <w:lvlJc w:val="left"/>
      <w:pPr>
        <w:ind w:left="1428" w:hanging="357"/>
      </w:pPr>
      <w:rPr>
        <w:rFonts w:ascii="Calibri" w:hAnsi="Calibri" w:hint="default"/>
      </w:rPr>
    </w:lvl>
    <w:lvl w:ilvl="4">
      <w:start w:val="1"/>
      <w:numFmt w:val="bullet"/>
      <w:pStyle w:val="ListBullet5"/>
      <w:lvlText w:val="−"/>
      <w:lvlJc w:val="left"/>
      <w:pPr>
        <w:ind w:left="1785" w:hanging="357"/>
      </w:pPr>
      <w:rPr>
        <w:rFonts w:ascii="Calibri" w:hAnsi="Calibri" w:hint="default"/>
      </w:rPr>
    </w:lvl>
    <w:lvl w:ilvl="5">
      <w:start w:val="1"/>
      <w:numFmt w:val="bullet"/>
      <w:lvlText w:val="−"/>
      <w:lvlJc w:val="left"/>
      <w:pPr>
        <w:ind w:left="2142" w:hanging="357"/>
      </w:pPr>
      <w:rPr>
        <w:rFonts w:ascii="Calibri" w:hAnsi="Calibri" w:hint="default"/>
      </w:rPr>
    </w:lvl>
    <w:lvl w:ilvl="6">
      <w:start w:val="1"/>
      <w:numFmt w:val="bullet"/>
      <w:lvlText w:val="−"/>
      <w:lvlJc w:val="left"/>
      <w:pPr>
        <w:ind w:left="2499" w:hanging="357"/>
      </w:pPr>
      <w:rPr>
        <w:rFonts w:ascii="Calibri" w:hAnsi="Calibri" w:hint="default"/>
      </w:rPr>
    </w:lvl>
    <w:lvl w:ilvl="7">
      <w:start w:val="1"/>
      <w:numFmt w:val="bullet"/>
      <w:lvlText w:val="−"/>
      <w:lvlJc w:val="left"/>
      <w:pPr>
        <w:ind w:left="2856" w:hanging="357"/>
      </w:pPr>
      <w:rPr>
        <w:rFonts w:ascii="Calibri" w:hAnsi="Calibri" w:hint="default"/>
      </w:rPr>
    </w:lvl>
    <w:lvl w:ilvl="8">
      <w:start w:val="1"/>
      <w:numFmt w:val="bullet"/>
      <w:lvlText w:val="−"/>
      <w:lvlJc w:val="left"/>
      <w:pPr>
        <w:ind w:left="3213" w:hanging="357"/>
      </w:pPr>
      <w:rPr>
        <w:rFonts w:ascii="Calibri" w:hAnsi="Calibri" w:hint="default"/>
      </w:rPr>
    </w:lvl>
  </w:abstractNum>
  <w:abstractNum w:abstractNumId="11" w15:restartNumberingAfterBreak="0">
    <w:nsid w:val="34AE3043"/>
    <w:multiLevelType w:val="multilevel"/>
    <w:tmpl w:val="09685C38"/>
    <w:styleLink w:val="MasterHeadings"/>
    <w:lvl w:ilvl="0">
      <w:start w:val="1"/>
      <w:numFmt w:val="none"/>
      <w:pStyle w:val="CoverTitle"/>
      <w:suff w:val="nothing"/>
      <w:lvlText w:val=""/>
      <w:lvlJc w:val="left"/>
      <w:pPr>
        <w:ind w:left="0" w:firstLine="0"/>
      </w:pPr>
      <w:rPr>
        <w:rFonts w:hint="default"/>
      </w:rPr>
    </w:lvl>
    <w:lvl w:ilvl="1">
      <w:start w:val="1"/>
      <w:numFmt w:val="decimal"/>
      <w:pStyle w:val="NumberedHeading1"/>
      <w:lvlText w:val="%2."/>
      <w:lvlJc w:val="left"/>
      <w:pPr>
        <w:tabs>
          <w:tab w:val="num" w:pos="567"/>
        </w:tabs>
        <w:ind w:left="567" w:hanging="567"/>
      </w:pPr>
      <w:rPr>
        <w:rFonts w:hint="default"/>
      </w:rPr>
    </w:lvl>
    <w:lvl w:ilvl="2">
      <w:start w:val="1"/>
      <w:numFmt w:val="decimal"/>
      <w:pStyle w:val="NumberedHeading2"/>
      <w:lvlText w:val="%2.%3."/>
      <w:lvlJc w:val="left"/>
      <w:pPr>
        <w:tabs>
          <w:tab w:val="num" w:pos="567"/>
        </w:tabs>
        <w:ind w:left="567" w:hanging="567"/>
      </w:pPr>
      <w:rPr>
        <w:rFonts w:hint="default"/>
      </w:rPr>
    </w:lvl>
    <w:lvl w:ilvl="3">
      <w:start w:val="1"/>
      <w:numFmt w:val="decimal"/>
      <w:pStyle w:val="NumberedHeading3"/>
      <w:lvlText w:val="%2.%3.%4."/>
      <w:lvlJc w:val="left"/>
      <w:pPr>
        <w:tabs>
          <w:tab w:val="num" w:pos="851"/>
        </w:tabs>
        <w:ind w:left="851" w:hanging="851"/>
      </w:pPr>
      <w:rPr>
        <w:rFonts w:hint="default"/>
      </w:rPr>
    </w:lvl>
    <w:lvl w:ilvl="4">
      <w:start w:val="1"/>
      <w:numFmt w:val="decimal"/>
      <w:lvlText w:val="%5."/>
      <w:lvlJc w:val="left"/>
      <w:pPr>
        <w:tabs>
          <w:tab w:val="num" w:pos="851"/>
        </w:tabs>
        <w:ind w:left="851" w:hanging="284"/>
      </w:pPr>
      <w:rPr>
        <w:rFonts w:hint="default"/>
        <w:color w:val="585858" w:themeColor="text2"/>
      </w:rPr>
    </w:lvl>
    <w:lvl w:ilvl="5">
      <w:start w:val="1"/>
      <w:numFmt w:val="lowerLetter"/>
      <w:lvlText w:val="%6."/>
      <w:lvlJc w:val="left"/>
      <w:pPr>
        <w:tabs>
          <w:tab w:val="num" w:pos="1134"/>
        </w:tabs>
        <w:ind w:left="1134" w:hanging="283"/>
      </w:pPr>
      <w:rPr>
        <w:rFonts w:hint="default"/>
        <w:color w:val="585858" w:themeColor="text2"/>
      </w:rPr>
    </w:lvl>
    <w:lvl w:ilvl="6">
      <w:start w:val="1"/>
      <w:numFmt w:val="lowerRoman"/>
      <w:lvlText w:val="%7."/>
      <w:lvlJc w:val="left"/>
      <w:pPr>
        <w:tabs>
          <w:tab w:val="num" w:pos="1418"/>
        </w:tabs>
        <w:ind w:left="1418" w:hanging="284"/>
      </w:pPr>
      <w:rPr>
        <w:rFonts w:hint="default"/>
        <w:color w:val="585858" w:themeColor="text2"/>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35E37972"/>
    <w:multiLevelType w:val="multilevel"/>
    <w:tmpl w:val="A7E6AC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E7479C"/>
    <w:multiLevelType w:val="multilevel"/>
    <w:tmpl w:val="D1E84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5E0125"/>
    <w:multiLevelType w:val="multilevel"/>
    <w:tmpl w:val="D3B8E568"/>
    <w:styleLink w:val="Bullets"/>
    <w:lvl w:ilvl="0">
      <w:start w:val="1"/>
      <w:numFmt w:val="bullet"/>
      <w:pStyle w:val="ListBullet"/>
      <w:lvlText w:val=""/>
      <w:lvlJc w:val="left"/>
      <w:pPr>
        <w:tabs>
          <w:tab w:val="num" w:pos="284"/>
        </w:tabs>
        <w:ind w:left="284" w:hanging="284"/>
      </w:pPr>
      <w:rPr>
        <w:rFonts w:ascii="Symbol" w:hAnsi="Symbol" w:hint="default"/>
        <w:color w:val="2294CD"/>
      </w:rPr>
    </w:lvl>
    <w:lvl w:ilvl="1">
      <w:start w:val="1"/>
      <w:numFmt w:val="bullet"/>
      <w:pStyle w:val="ListBullet2"/>
      <w:lvlText w:val="○"/>
      <w:lvlJc w:val="left"/>
      <w:pPr>
        <w:tabs>
          <w:tab w:val="num" w:pos="567"/>
        </w:tabs>
        <w:ind w:left="568" w:hanging="284"/>
      </w:pPr>
      <w:rPr>
        <w:rFonts w:ascii="Calibri" w:hAnsi="Calibri" w:hint="default"/>
        <w:color w:val="2294CD"/>
      </w:rPr>
    </w:lvl>
    <w:lvl w:ilvl="2">
      <w:start w:val="1"/>
      <w:numFmt w:val="bullet"/>
      <w:pStyle w:val="ListBullet3"/>
      <w:lvlText w:val="▪"/>
      <w:lvlJc w:val="left"/>
      <w:pPr>
        <w:tabs>
          <w:tab w:val="num" w:pos="851"/>
        </w:tabs>
        <w:ind w:left="852" w:hanging="284"/>
      </w:pPr>
      <w:rPr>
        <w:rFonts w:ascii="Calibri" w:hAnsi="Calibri" w:hint="default"/>
        <w:color w:val="2294CD"/>
      </w:rPr>
    </w:lvl>
    <w:lvl w:ilvl="3">
      <w:start w:val="1"/>
      <w:numFmt w:val="bullet"/>
      <w:lvlText w:val="−"/>
      <w:lvlJc w:val="left"/>
      <w:pPr>
        <w:tabs>
          <w:tab w:val="num" w:pos="1134"/>
        </w:tabs>
        <w:ind w:left="1136" w:hanging="284"/>
      </w:pPr>
      <w:rPr>
        <w:rFonts w:ascii="Calibri" w:hAnsi="Calibri" w:hint="default"/>
        <w:color w:val="1D336D" w:themeColor="background2"/>
      </w:rPr>
    </w:lvl>
    <w:lvl w:ilvl="4">
      <w:start w:val="1"/>
      <w:numFmt w:val="bullet"/>
      <w:lvlText w:val="−"/>
      <w:lvlJc w:val="left"/>
      <w:pPr>
        <w:tabs>
          <w:tab w:val="num" w:pos="1418"/>
        </w:tabs>
        <w:ind w:left="1420" w:hanging="284"/>
      </w:pPr>
      <w:rPr>
        <w:rFonts w:ascii="Calibri" w:hAnsi="Calibri" w:hint="default"/>
      </w:rPr>
    </w:lvl>
    <w:lvl w:ilvl="5">
      <w:start w:val="1"/>
      <w:numFmt w:val="bullet"/>
      <w:lvlText w:val="−"/>
      <w:lvlJc w:val="left"/>
      <w:pPr>
        <w:tabs>
          <w:tab w:val="num" w:pos="1777"/>
        </w:tabs>
        <w:ind w:left="1704" w:hanging="284"/>
      </w:pPr>
      <w:rPr>
        <w:rFonts w:ascii="Calibri" w:hAnsi="Calibri" w:hint="default"/>
      </w:rPr>
    </w:lvl>
    <w:lvl w:ilvl="6">
      <w:start w:val="1"/>
      <w:numFmt w:val="bullet"/>
      <w:lvlText w:val="−"/>
      <w:lvlJc w:val="left"/>
      <w:pPr>
        <w:tabs>
          <w:tab w:val="num" w:pos="2061"/>
        </w:tabs>
        <w:ind w:left="1988" w:hanging="284"/>
      </w:pPr>
      <w:rPr>
        <w:rFonts w:ascii="Calibri" w:hAnsi="Calibri" w:hint="default"/>
      </w:rPr>
    </w:lvl>
    <w:lvl w:ilvl="7">
      <w:start w:val="1"/>
      <w:numFmt w:val="bullet"/>
      <w:lvlText w:val="−"/>
      <w:lvlJc w:val="left"/>
      <w:pPr>
        <w:tabs>
          <w:tab w:val="num" w:pos="2345"/>
        </w:tabs>
        <w:ind w:left="2272" w:hanging="284"/>
      </w:pPr>
      <w:rPr>
        <w:rFonts w:ascii="Calibri" w:hAnsi="Calibri" w:hint="default"/>
      </w:rPr>
    </w:lvl>
    <w:lvl w:ilvl="8">
      <w:start w:val="1"/>
      <w:numFmt w:val="bullet"/>
      <w:lvlText w:val="−"/>
      <w:lvlJc w:val="left"/>
      <w:pPr>
        <w:tabs>
          <w:tab w:val="num" w:pos="2629"/>
        </w:tabs>
        <w:ind w:left="2556" w:hanging="284"/>
      </w:pPr>
      <w:rPr>
        <w:rFonts w:ascii="Calibri" w:hAnsi="Calibri" w:hint="default"/>
      </w:rPr>
    </w:lvl>
  </w:abstractNum>
  <w:abstractNum w:abstractNumId="15" w15:restartNumberingAfterBreak="0">
    <w:nsid w:val="488E3B1E"/>
    <w:multiLevelType w:val="multilevel"/>
    <w:tmpl w:val="A9FA82B6"/>
    <w:numStyleLink w:val="AlphaList"/>
  </w:abstractNum>
  <w:abstractNum w:abstractNumId="16" w15:restartNumberingAfterBreak="0">
    <w:nsid w:val="48A52E75"/>
    <w:multiLevelType w:val="multilevel"/>
    <w:tmpl w:val="BE2AD7E0"/>
    <w:styleLink w:val="NumberedList"/>
    <w:lvl w:ilvl="0">
      <w:start w:val="1"/>
      <w:numFmt w:val="decimal"/>
      <w:lvlText w:val="%1."/>
      <w:lvlJc w:val="left"/>
      <w:pPr>
        <w:ind w:left="357" w:hanging="357"/>
      </w:pPr>
      <w:rPr>
        <w:rFonts w:hint="default"/>
        <w:b w:val="0"/>
        <w:i w:val="0"/>
        <w:color w:val="585858" w:themeColor="text2"/>
      </w:rPr>
    </w:lvl>
    <w:lvl w:ilvl="1">
      <w:start w:val="1"/>
      <w:numFmt w:val="lowerLetter"/>
      <w:lvlText w:val="%2."/>
      <w:lvlJc w:val="left"/>
      <w:pPr>
        <w:ind w:left="714" w:hanging="357"/>
      </w:pPr>
      <w:rPr>
        <w:rFonts w:hint="default"/>
        <w:b w:val="0"/>
        <w:i w:val="0"/>
        <w:color w:val="585858" w:themeColor="text2"/>
      </w:rPr>
    </w:lvl>
    <w:lvl w:ilvl="2">
      <w:start w:val="1"/>
      <w:numFmt w:val="lowerRoman"/>
      <w:lvlText w:val="%3."/>
      <w:lvlJc w:val="left"/>
      <w:pPr>
        <w:ind w:left="1071" w:hanging="357"/>
      </w:pPr>
      <w:rPr>
        <w:rFonts w:hint="default"/>
        <w:b w:val="0"/>
        <w:i w:val="0"/>
        <w:color w:val="585858" w:themeColor="text2"/>
      </w:rPr>
    </w:lvl>
    <w:lvl w:ilvl="3">
      <w:start w:val="1"/>
      <w:numFmt w:val="none"/>
      <w:lvlText w:val=""/>
      <w:lvlJc w:val="left"/>
      <w:pPr>
        <w:tabs>
          <w:tab w:val="num" w:pos="1072"/>
        </w:tabs>
        <w:ind w:left="1072" w:firstLine="0"/>
      </w:pPr>
      <w:rPr>
        <w:rFonts w:hint="default"/>
      </w:rPr>
    </w:lvl>
    <w:lvl w:ilvl="4">
      <w:start w:val="1"/>
      <w:numFmt w:val="none"/>
      <w:lvlText w:val=""/>
      <w:lvlJc w:val="left"/>
      <w:pPr>
        <w:ind w:left="1072" w:firstLine="0"/>
      </w:pPr>
      <w:rPr>
        <w:rFonts w:hint="default"/>
      </w:rPr>
    </w:lvl>
    <w:lvl w:ilvl="5">
      <w:start w:val="1"/>
      <w:numFmt w:val="none"/>
      <w:lvlText w:val=""/>
      <w:lvlJc w:val="left"/>
      <w:pPr>
        <w:ind w:left="1072" w:firstLine="0"/>
      </w:pPr>
      <w:rPr>
        <w:rFonts w:hint="default"/>
      </w:rPr>
    </w:lvl>
    <w:lvl w:ilvl="6">
      <w:start w:val="1"/>
      <w:numFmt w:val="none"/>
      <w:lvlText w:val=""/>
      <w:lvlJc w:val="left"/>
      <w:pPr>
        <w:ind w:left="1072" w:firstLine="0"/>
      </w:pPr>
      <w:rPr>
        <w:rFonts w:hint="default"/>
      </w:rPr>
    </w:lvl>
    <w:lvl w:ilvl="7">
      <w:start w:val="1"/>
      <w:numFmt w:val="none"/>
      <w:lvlText w:val=""/>
      <w:lvlJc w:val="left"/>
      <w:pPr>
        <w:ind w:left="1072" w:firstLine="0"/>
      </w:pPr>
      <w:rPr>
        <w:rFonts w:hint="default"/>
      </w:rPr>
    </w:lvl>
    <w:lvl w:ilvl="8">
      <w:start w:val="1"/>
      <w:numFmt w:val="none"/>
      <w:lvlText w:val=""/>
      <w:lvlJc w:val="left"/>
      <w:pPr>
        <w:ind w:left="1072" w:firstLine="0"/>
      </w:pPr>
      <w:rPr>
        <w:rFonts w:hint="default"/>
      </w:rPr>
    </w:lvl>
  </w:abstractNum>
  <w:abstractNum w:abstractNumId="17" w15:restartNumberingAfterBreak="0">
    <w:nsid w:val="4F204247"/>
    <w:multiLevelType w:val="multilevel"/>
    <w:tmpl w:val="5B0EA73C"/>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pStyle w:val="ListBullet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27D1F93"/>
    <w:multiLevelType w:val="multilevel"/>
    <w:tmpl w:val="A9FA82B6"/>
    <w:styleLink w:val="AlphaList"/>
    <w:lvl w:ilvl="0">
      <w:start w:val="1"/>
      <w:numFmt w:val="lowerLetter"/>
      <w:pStyle w:val="List"/>
      <w:lvlText w:val="%1."/>
      <w:lvlJc w:val="left"/>
      <w:pPr>
        <w:ind w:left="284" w:hanging="284"/>
      </w:pPr>
      <w:rPr>
        <w:rFonts w:hint="default"/>
        <w:b w:val="0"/>
        <w:color w:val="2294CD"/>
      </w:rPr>
    </w:lvl>
    <w:lvl w:ilvl="1">
      <w:start w:val="1"/>
      <w:numFmt w:val="lowerRoman"/>
      <w:pStyle w:val="List2"/>
      <w:lvlText w:val="%2."/>
      <w:lvlJc w:val="left"/>
      <w:pPr>
        <w:ind w:left="568" w:hanging="284"/>
      </w:pPr>
      <w:rPr>
        <w:rFonts w:hint="default"/>
        <w:b w:val="0"/>
        <w:color w:val="2294CD"/>
      </w:rPr>
    </w:lvl>
    <w:lvl w:ilvl="2">
      <w:start w:val="1"/>
      <w:numFmt w:val="decimal"/>
      <w:pStyle w:val="List3"/>
      <w:lvlText w:val="%3."/>
      <w:lvlJc w:val="left"/>
      <w:pPr>
        <w:ind w:left="852" w:hanging="284"/>
      </w:pPr>
      <w:rPr>
        <w:rFonts w:hint="default"/>
        <w:b w:val="0"/>
        <w:color w:val="2294CD"/>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9" w15:restartNumberingAfterBreak="0">
    <w:nsid w:val="68640FA6"/>
    <w:multiLevelType w:val="multilevel"/>
    <w:tmpl w:val="C1E6118C"/>
    <w:lvl w:ilvl="0">
      <w:start w:val="1"/>
      <w:numFmt w:val="decimal"/>
      <w:lvlText w:val="%1."/>
      <w:lvlJc w:val="left"/>
      <w:pPr>
        <w:ind w:left="720" w:hanging="360"/>
      </w:p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706761F6"/>
    <w:multiLevelType w:val="multilevel"/>
    <w:tmpl w:val="D10C48E4"/>
    <w:lvl w:ilvl="0">
      <w:start w:val="1"/>
      <w:numFmt w:val="bullet"/>
      <w:lvlText w:val=""/>
      <w:lvlJc w:val="left"/>
      <w:pPr>
        <w:ind w:left="720" w:hanging="360"/>
      </w:pPr>
      <w:rPr>
        <w:rFonts w:ascii="Symbol" w:hAnsi="Symbol"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1" w15:restartNumberingAfterBreak="0">
    <w:nsid w:val="72E21CDB"/>
    <w:multiLevelType w:val="hybridMultilevel"/>
    <w:tmpl w:val="71985FD0"/>
    <w:lvl w:ilvl="0" w:tplc="40266A1E">
      <w:start w:val="1"/>
      <w:numFmt w:val="decimal"/>
      <w:lvlText w:val="%1."/>
      <w:lvlJc w:val="left"/>
      <w:pPr>
        <w:ind w:left="360" w:hanging="360"/>
      </w:pPr>
      <w:rPr>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74912CFD"/>
    <w:multiLevelType w:val="hybridMultilevel"/>
    <w:tmpl w:val="548006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A9B535D"/>
    <w:multiLevelType w:val="multilevel"/>
    <w:tmpl w:val="EDA202D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F42E5C"/>
    <w:multiLevelType w:val="hybridMultilevel"/>
    <w:tmpl w:val="737490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95392216">
    <w:abstractNumId w:val="18"/>
  </w:num>
  <w:num w:numId="2" w16cid:durableId="292830998">
    <w:abstractNumId w:val="14"/>
  </w:num>
  <w:num w:numId="3" w16cid:durableId="165943352">
    <w:abstractNumId w:val="16"/>
  </w:num>
  <w:num w:numId="4" w16cid:durableId="315260285">
    <w:abstractNumId w:val="17"/>
  </w:num>
  <w:num w:numId="5" w16cid:durableId="2012029032">
    <w:abstractNumId w:val="10"/>
  </w:num>
  <w:num w:numId="6" w16cid:durableId="564491521">
    <w:abstractNumId w:val="0"/>
  </w:num>
  <w:num w:numId="7" w16cid:durableId="538518382">
    <w:abstractNumId w:val="11"/>
  </w:num>
  <w:num w:numId="8" w16cid:durableId="1326713448">
    <w:abstractNumId w:val="8"/>
  </w:num>
  <w:num w:numId="9" w16cid:durableId="539362987">
    <w:abstractNumId w:val="5"/>
  </w:num>
  <w:num w:numId="10" w16cid:durableId="1158300653">
    <w:abstractNumId w:val="3"/>
  </w:num>
  <w:num w:numId="11" w16cid:durableId="866452919">
    <w:abstractNumId w:val="9"/>
  </w:num>
  <w:num w:numId="12" w16cid:durableId="1089808879">
    <w:abstractNumId w:val="15"/>
  </w:num>
  <w:num w:numId="13" w16cid:durableId="1994336974">
    <w:abstractNumId w:val="7"/>
  </w:num>
  <w:num w:numId="14" w16cid:durableId="402221426">
    <w:abstractNumId w:val="12"/>
  </w:num>
  <w:num w:numId="15" w16cid:durableId="652488301">
    <w:abstractNumId w:val="1"/>
  </w:num>
  <w:num w:numId="16" w16cid:durableId="1856991578">
    <w:abstractNumId w:val="13"/>
  </w:num>
  <w:num w:numId="17" w16cid:durableId="638222113">
    <w:abstractNumId w:val="19"/>
  </w:num>
  <w:num w:numId="18" w16cid:durableId="170684613">
    <w:abstractNumId w:val="21"/>
  </w:num>
  <w:num w:numId="19" w16cid:durableId="622613002">
    <w:abstractNumId w:val="24"/>
  </w:num>
  <w:num w:numId="20" w16cid:durableId="316611948">
    <w:abstractNumId w:val="22"/>
  </w:num>
  <w:num w:numId="21" w16cid:durableId="1343779217">
    <w:abstractNumId w:val="4"/>
  </w:num>
  <w:num w:numId="22" w16cid:durableId="1597712923">
    <w:abstractNumId w:val="6"/>
  </w:num>
  <w:num w:numId="23" w16cid:durableId="462891270">
    <w:abstractNumId w:val="23"/>
  </w:num>
  <w:num w:numId="24" w16cid:durableId="1655528443">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284"/>
  <w:drawingGridHorizontalSpacing w:val="120"/>
  <w:displayHorizontalDrawingGridEvery w:val="2"/>
  <w:characterSpacingControl w:val="doNotCompress"/>
  <w:hdrShapeDefaults>
    <o:shapedefaults v:ext="edit" spidmax="2050" style="mso-position-vertical-relative:line;v-text-anchor:middle" fillcolor="none [3215]" strokecolor="none [2415]">
      <v:fill color="none [3215]"/>
      <v:stroke color="none [2415]" weight="5pt"/>
      <v:textbox inset=",2.5mm,,2.5mm"/>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E11"/>
    <w:rsid w:val="00002DD9"/>
    <w:rsid w:val="00004AA8"/>
    <w:rsid w:val="000064A8"/>
    <w:rsid w:val="00006C99"/>
    <w:rsid w:val="00007268"/>
    <w:rsid w:val="0001126F"/>
    <w:rsid w:val="0001486F"/>
    <w:rsid w:val="0002043C"/>
    <w:rsid w:val="00020AE2"/>
    <w:rsid w:val="00023A99"/>
    <w:rsid w:val="00025401"/>
    <w:rsid w:val="00026B4B"/>
    <w:rsid w:val="000271EC"/>
    <w:rsid w:val="000276FF"/>
    <w:rsid w:val="00030607"/>
    <w:rsid w:val="0003140E"/>
    <w:rsid w:val="000347A3"/>
    <w:rsid w:val="00036705"/>
    <w:rsid w:val="000379AA"/>
    <w:rsid w:val="000407BC"/>
    <w:rsid w:val="00043CB5"/>
    <w:rsid w:val="000456A7"/>
    <w:rsid w:val="00046EC3"/>
    <w:rsid w:val="0004770B"/>
    <w:rsid w:val="00047FD8"/>
    <w:rsid w:val="00050875"/>
    <w:rsid w:val="00051B12"/>
    <w:rsid w:val="000522C3"/>
    <w:rsid w:val="000525C0"/>
    <w:rsid w:val="000551A2"/>
    <w:rsid w:val="00055A1C"/>
    <w:rsid w:val="000564F5"/>
    <w:rsid w:val="00061930"/>
    <w:rsid w:val="00063F4E"/>
    <w:rsid w:val="0006564F"/>
    <w:rsid w:val="00066FCB"/>
    <w:rsid w:val="0006753B"/>
    <w:rsid w:val="00070F93"/>
    <w:rsid w:val="0007128B"/>
    <w:rsid w:val="00072788"/>
    <w:rsid w:val="000742CB"/>
    <w:rsid w:val="00075830"/>
    <w:rsid w:val="000775BA"/>
    <w:rsid w:val="000819EE"/>
    <w:rsid w:val="00082288"/>
    <w:rsid w:val="000839CE"/>
    <w:rsid w:val="00086D1D"/>
    <w:rsid w:val="000877DB"/>
    <w:rsid w:val="00087D34"/>
    <w:rsid w:val="0009214E"/>
    <w:rsid w:val="00092CE0"/>
    <w:rsid w:val="000943E0"/>
    <w:rsid w:val="000953D7"/>
    <w:rsid w:val="00095FB5"/>
    <w:rsid w:val="000A30B9"/>
    <w:rsid w:val="000A5984"/>
    <w:rsid w:val="000B0B79"/>
    <w:rsid w:val="000B1AF9"/>
    <w:rsid w:val="000B1DAE"/>
    <w:rsid w:val="000B2095"/>
    <w:rsid w:val="000B21A6"/>
    <w:rsid w:val="000B3066"/>
    <w:rsid w:val="000B36AF"/>
    <w:rsid w:val="000B4B24"/>
    <w:rsid w:val="000B5FF9"/>
    <w:rsid w:val="000B7E04"/>
    <w:rsid w:val="000B7F5D"/>
    <w:rsid w:val="000C0EFB"/>
    <w:rsid w:val="000C0FD8"/>
    <w:rsid w:val="000C3369"/>
    <w:rsid w:val="000C39B1"/>
    <w:rsid w:val="000C3B03"/>
    <w:rsid w:val="000C3F76"/>
    <w:rsid w:val="000C448A"/>
    <w:rsid w:val="000D3E85"/>
    <w:rsid w:val="000D3F89"/>
    <w:rsid w:val="000D55FF"/>
    <w:rsid w:val="000D7865"/>
    <w:rsid w:val="000E0554"/>
    <w:rsid w:val="000E3939"/>
    <w:rsid w:val="000E7343"/>
    <w:rsid w:val="000F126B"/>
    <w:rsid w:val="000F5832"/>
    <w:rsid w:val="000F6F6C"/>
    <w:rsid w:val="000F7286"/>
    <w:rsid w:val="00100070"/>
    <w:rsid w:val="001014F7"/>
    <w:rsid w:val="00101C25"/>
    <w:rsid w:val="001034BC"/>
    <w:rsid w:val="0011106A"/>
    <w:rsid w:val="0011190D"/>
    <w:rsid w:val="00112B48"/>
    <w:rsid w:val="00116B55"/>
    <w:rsid w:val="00121340"/>
    <w:rsid w:val="0012294A"/>
    <w:rsid w:val="0012643C"/>
    <w:rsid w:val="0012682B"/>
    <w:rsid w:val="0013107A"/>
    <w:rsid w:val="0013295A"/>
    <w:rsid w:val="00142898"/>
    <w:rsid w:val="00143043"/>
    <w:rsid w:val="00143049"/>
    <w:rsid w:val="00143571"/>
    <w:rsid w:val="00143588"/>
    <w:rsid w:val="00143EED"/>
    <w:rsid w:val="00145656"/>
    <w:rsid w:val="00145BD6"/>
    <w:rsid w:val="00151114"/>
    <w:rsid w:val="00151D22"/>
    <w:rsid w:val="0015269E"/>
    <w:rsid w:val="00157FE8"/>
    <w:rsid w:val="00160F3F"/>
    <w:rsid w:val="001622C8"/>
    <w:rsid w:val="00165AB5"/>
    <w:rsid w:val="001662E3"/>
    <w:rsid w:val="001703BA"/>
    <w:rsid w:val="00172CB1"/>
    <w:rsid w:val="0017318C"/>
    <w:rsid w:val="00173B82"/>
    <w:rsid w:val="00176C27"/>
    <w:rsid w:val="001772EC"/>
    <w:rsid w:val="00177AD1"/>
    <w:rsid w:val="001809D5"/>
    <w:rsid w:val="00182267"/>
    <w:rsid w:val="0018394F"/>
    <w:rsid w:val="001846F7"/>
    <w:rsid w:val="001860A5"/>
    <w:rsid w:val="0018727F"/>
    <w:rsid w:val="0019043F"/>
    <w:rsid w:val="00190B93"/>
    <w:rsid w:val="00192398"/>
    <w:rsid w:val="00195784"/>
    <w:rsid w:val="00195915"/>
    <w:rsid w:val="001963FE"/>
    <w:rsid w:val="001A1ADB"/>
    <w:rsid w:val="001A2E76"/>
    <w:rsid w:val="001A338A"/>
    <w:rsid w:val="001A5432"/>
    <w:rsid w:val="001A5B5C"/>
    <w:rsid w:val="001A5CF3"/>
    <w:rsid w:val="001A720E"/>
    <w:rsid w:val="001A7F27"/>
    <w:rsid w:val="001B012D"/>
    <w:rsid w:val="001B03C5"/>
    <w:rsid w:val="001B2654"/>
    <w:rsid w:val="001B2A99"/>
    <w:rsid w:val="001B31F5"/>
    <w:rsid w:val="001B46FB"/>
    <w:rsid w:val="001B6338"/>
    <w:rsid w:val="001C03FA"/>
    <w:rsid w:val="001C2338"/>
    <w:rsid w:val="001C27A3"/>
    <w:rsid w:val="001C4075"/>
    <w:rsid w:val="001C475D"/>
    <w:rsid w:val="001C5444"/>
    <w:rsid w:val="001C718A"/>
    <w:rsid w:val="001C7B77"/>
    <w:rsid w:val="001D1A03"/>
    <w:rsid w:val="001D2BFE"/>
    <w:rsid w:val="001D35AB"/>
    <w:rsid w:val="001D5F06"/>
    <w:rsid w:val="001D7055"/>
    <w:rsid w:val="001E1589"/>
    <w:rsid w:val="001E3D27"/>
    <w:rsid w:val="001F0E29"/>
    <w:rsid w:val="001F341E"/>
    <w:rsid w:val="001F553E"/>
    <w:rsid w:val="001F61C5"/>
    <w:rsid w:val="001F6558"/>
    <w:rsid w:val="001F6DC1"/>
    <w:rsid w:val="002002BF"/>
    <w:rsid w:val="00200688"/>
    <w:rsid w:val="00201A5F"/>
    <w:rsid w:val="00205EB1"/>
    <w:rsid w:val="00205F75"/>
    <w:rsid w:val="0020618F"/>
    <w:rsid w:val="00206DBA"/>
    <w:rsid w:val="0021388D"/>
    <w:rsid w:val="00217E2C"/>
    <w:rsid w:val="00217E6A"/>
    <w:rsid w:val="00222EBF"/>
    <w:rsid w:val="00227E43"/>
    <w:rsid w:val="00231B50"/>
    <w:rsid w:val="00232982"/>
    <w:rsid w:val="00232C11"/>
    <w:rsid w:val="00234174"/>
    <w:rsid w:val="0023506B"/>
    <w:rsid w:val="00236A09"/>
    <w:rsid w:val="0023781F"/>
    <w:rsid w:val="0024368E"/>
    <w:rsid w:val="00243E44"/>
    <w:rsid w:val="002478F1"/>
    <w:rsid w:val="00247C92"/>
    <w:rsid w:val="00251128"/>
    <w:rsid w:val="00251D18"/>
    <w:rsid w:val="002533E4"/>
    <w:rsid w:val="00255262"/>
    <w:rsid w:val="00256167"/>
    <w:rsid w:val="00256EAB"/>
    <w:rsid w:val="00257DC5"/>
    <w:rsid w:val="00260F26"/>
    <w:rsid w:val="00261893"/>
    <w:rsid w:val="00262DCF"/>
    <w:rsid w:val="002634E3"/>
    <w:rsid w:val="002637CE"/>
    <w:rsid w:val="00263A5F"/>
    <w:rsid w:val="00266A61"/>
    <w:rsid w:val="0026773E"/>
    <w:rsid w:val="00270052"/>
    <w:rsid w:val="00272336"/>
    <w:rsid w:val="00273783"/>
    <w:rsid w:val="00277E98"/>
    <w:rsid w:val="00280298"/>
    <w:rsid w:val="00280608"/>
    <w:rsid w:val="00280904"/>
    <w:rsid w:val="00280B92"/>
    <w:rsid w:val="002810EC"/>
    <w:rsid w:val="00283614"/>
    <w:rsid w:val="00284EAB"/>
    <w:rsid w:val="00287ABB"/>
    <w:rsid w:val="00290952"/>
    <w:rsid w:val="00291313"/>
    <w:rsid w:val="0029211F"/>
    <w:rsid w:val="002936C0"/>
    <w:rsid w:val="0029482E"/>
    <w:rsid w:val="00294C01"/>
    <w:rsid w:val="0029582A"/>
    <w:rsid w:val="002A1EEF"/>
    <w:rsid w:val="002A40EA"/>
    <w:rsid w:val="002A78E7"/>
    <w:rsid w:val="002A7E31"/>
    <w:rsid w:val="002B202B"/>
    <w:rsid w:val="002B32D9"/>
    <w:rsid w:val="002B5B91"/>
    <w:rsid w:val="002B6D21"/>
    <w:rsid w:val="002C216E"/>
    <w:rsid w:val="002C2175"/>
    <w:rsid w:val="002C411A"/>
    <w:rsid w:val="002C41CC"/>
    <w:rsid w:val="002C5C7C"/>
    <w:rsid w:val="002C70F8"/>
    <w:rsid w:val="002D2D3F"/>
    <w:rsid w:val="002D383E"/>
    <w:rsid w:val="002D48BF"/>
    <w:rsid w:val="002D69E9"/>
    <w:rsid w:val="002E1028"/>
    <w:rsid w:val="002E3016"/>
    <w:rsid w:val="002E4D18"/>
    <w:rsid w:val="002F0022"/>
    <w:rsid w:val="002F29C7"/>
    <w:rsid w:val="002F493E"/>
    <w:rsid w:val="00301A3A"/>
    <w:rsid w:val="00301B90"/>
    <w:rsid w:val="00310B3A"/>
    <w:rsid w:val="00310C7B"/>
    <w:rsid w:val="00311FB7"/>
    <w:rsid w:val="00312298"/>
    <w:rsid w:val="00316B1B"/>
    <w:rsid w:val="00317C81"/>
    <w:rsid w:val="00320EB3"/>
    <w:rsid w:val="0032164E"/>
    <w:rsid w:val="003247F7"/>
    <w:rsid w:val="00325DE4"/>
    <w:rsid w:val="00325FF6"/>
    <w:rsid w:val="00326E18"/>
    <w:rsid w:val="00330009"/>
    <w:rsid w:val="00330603"/>
    <w:rsid w:val="00330607"/>
    <w:rsid w:val="003333D6"/>
    <w:rsid w:val="003337B3"/>
    <w:rsid w:val="003342D3"/>
    <w:rsid w:val="003352AA"/>
    <w:rsid w:val="00336D8A"/>
    <w:rsid w:val="00340CAF"/>
    <w:rsid w:val="003423F2"/>
    <w:rsid w:val="00343A5B"/>
    <w:rsid w:val="00344BD0"/>
    <w:rsid w:val="00347F1E"/>
    <w:rsid w:val="00350149"/>
    <w:rsid w:val="00350E9A"/>
    <w:rsid w:val="00351D96"/>
    <w:rsid w:val="003547A7"/>
    <w:rsid w:val="003552FE"/>
    <w:rsid w:val="00356AF3"/>
    <w:rsid w:val="00357074"/>
    <w:rsid w:val="00360DD6"/>
    <w:rsid w:val="00361F7C"/>
    <w:rsid w:val="0036297E"/>
    <w:rsid w:val="00363D2B"/>
    <w:rsid w:val="003644A2"/>
    <w:rsid w:val="00370945"/>
    <w:rsid w:val="00373457"/>
    <w:rsid w:val="0037432C"/>
    <w:rsid w:val="00374E8E"/>
    <w:rsid w:val="00375A52"/>
    <w:rsid w:val="00375D84"/>
    <w:rsid w:val="00380878"/>
    <w:rsid w:val="003811A3"/>
    <w:rsid w:val="003812B1"/>
    <w:rsid w:val="00381BE8"/>
    <w:rsid w:val="00383CAC"/>
    <w:rsid w:val="0038585A"/>
    <w:rsid w:val="0039471C"/>
    <w:rsid w:val="0039591C"/>
    <w:rsid w:val="003A128B"/>
    <w:rsid w:val="003A2C2C"/>
    <w:rsid w:val="003A363B"/>
    <w:rsid w:val="003A4D02"/>
    <w:rsid w:val="003A5075"/>
    <w:rsid w:val="003A5129"/>
    <w:rsid w:val="003A73C5"/>
    <w:rsid w:val="003A7E53"/>
    <w:rsid w:val="003B2212"/>
    <w:rsid w:val="003B38FA"/>
    <w:rsid w:val="003B4965"/>
    <w:rsid w:val="003B589F"/>
    <w:rsid w:val="003B762F"/>
    <w:rsid w:val="003B784C"/>
    <w:rsid w:val="003C0533"/>
    <w:rsid w:val="003C0F2D"/>
    <w:rsid w:val="003C56F9"/>
    <w:rsid w:val="003C57E3"/>
    <w:rsid w:val="003D01B4"/>
    <w:rsid w:val="003D12CA"/>
    <w:rsid w:val="003D165A"/>
    <w:rsid w:val="003D3667"/>
    <w:rsid w:val="003D4301"/>
    <w:rsid w:val="003D4EE8"/>
    <w:rsid w:val="003D5D3B"/>
    <w:rsid w:val="003D77FE"/>
    <w:rsid w:val="003E0066"/>
    <w:rsid w:val="003E1526"/>
    <w:rsid w:val="003E4396"/>
    <w:rsid w:val="003E4623"/>
    <w:rsid w:val="003E5F74"/>
    <w:rsid w:val="003E6FCE"/>
    <w:rsid w:val="003E748E"/>
    <w:rsid w:val="003F00CA"/>
    <w:rsid w:val="003F079C"/>
    <w:rsid w:val="003F543B"/>
    <w:rsid w:val="003F710C"/>
    <w:rsid w:val="003F7A95"/>
    <w:rsid w:val="003F7B6A"/>
    <w:rsid w:val="003F7DBE"/>
    <w:rsid w:val="00400296"/>
    <w:rsid w:val="004002A5"/>
    <w:rsid w:val="0040094A"/>
    <w:rsid w:val="00400A08"/>
    <w:rsid w:val="004010B3"/>
    <w:rsid w:val="004029D0"/>
    <w:rsid w:val="0040596F"/>
    <w:rsid w:val="0040704B"/>
    <w:rsid w:val="004075B9"/>
    <w:rsid w:val="0041020A"/>
    <w:rsid w:val="00410C73"/>
    <w:rsid w:val="00413046"/>
    <w:rsid w:val="00415976"/>
    <w:rsid w:val="0042014F"/>
    <w:rsid w:val="0042025D"/>
    <w:rsid w:val="004202C9"/>
    <w:rsid w:val="00423A42"/>
    <w:rsid w:val="00424873"/>
    <w:rsid w:val="00425582"/>
    <w:rsid w:val="00426062"/>
    <w:rsid w:val="00426833"/>
    <w:rsid w:val="00427483"/>
    <w:rsid w:val="004343AB"/>
    <w:rsid w:val="00435DD7"/>
    <w:rsid w:val="0043650C"/>
    <w:rsid w:val="00436A81"/>
    <w:rsid w:val="00441A8E"/>
    <w:rsid w:val="00442BA4"/>
    <w:rsid w:val="00443821"/>
    <w:rsid w:val="004467F1"/>
    <w:rsid w:val="004544E0"/>
    <w:rsid w:val="004546B0"/>
    <w:rsid w:val="00454B93"/>
    <w:rsid w:val="00454EAB"/>
    <w:rsid w:val="00457359"/>
    <w:rsid w:val="00460717"/>
    <w:rsid w:val="00462F6D"/>
    <w:rsid w:val="00462F9F"/>
    <w:rsid w:val="00462FC3"/>
    <w:rsid w:val="00463DDC"/>
    <w:rsid w:val="0046544D"/>
    <w:rsid w:val="0046706D"/>
    <w:rsid w:val="00471429"/>
    <w:rsid w:val="00471CDE"/>
    <w:rsid w:val="00473290"/>
    <w:rsid w:val="00474510"/>
    <w:rsid w:val="0047642C"/>
    <w:rsid w:val="0047658C"/>
    <w:rsid w:val="0047698E"/>
    <w:rsid w:val="00482323"/>
    <w:rsid w:val="004829A5"/>
    <w:rsid w:val="00483CA4"/>
    <w:rsid w:val="00483F94"/>
    <w:rsid w:val="004938BA"/>
    <w:rsid w:val="004950CB"/>
    <w:rsid w:val="004974AE"/>
    <w:rsid w:val="004A0077"/>
    <w:rsid w:val="004A06F9"/>
    <w:rsid w:val="004A0D69"/>
    <w:rsid w:val="004A12D1"/>
    <w:rsid w:val="004A1C89"/>
    <w:rsid w:val="004A4416"/>
    <w:rsid w:val="004A5881"/>
    <w:rsid w:val="004A6A67"/>
    <w:rsid w:val="004A6FC2"/>
    <w:rsid w:val="004B1446"/>
    <w:rsid w:val="004B1469"/>
    <w:rsid w:val="004B44EC"/>
    <w:rsid w:val="004B5D52"/>
    <w:rsid w:val="004B6A06"/>
    <w:rsid w:val="004C1BF7"/>
    <w:rsid w:val="004C23F2"/>
    <w:rsid w:val="004C354C"/>
    <w:rsid w:val="004C4291"/>
    <w:rsid w:val="004C48A0"/>
    <w:rsid w:val="004C728A"/>
    <w:rsid w:val="004D1407"/>
    <w:rsid w:val="004D2740"/>
    <w:rsid w:val="004E19A8"/>
    <w:rsid w:val="004E506B"/>
    <w:rsid w:val="004F0B1D"/>
    <w:rsid w:val="004F0B1E"/>
    <w:rsid w:val="004F2000"/>
    <w:rsid w:val="004F223A"/>
    <w:rsid w:val="004F3B27"/>
    <w:rsid w:val="004F5991"/>
    <w:rsid w:val="004F5ABC"/>
    <w:rsid w:val="005002D0"/>
    <w:rsid w:val="005018F9"/>
    <w:rsid w:val="00503571"/>
    <w:rsid w:val="00503F6C"/>
    <w:rsid w:val="00507A95"/>
    <w:rsid w:val="00512E53"/>
    <w:rsid w:val="00513D0E"/>
    <w:rsid w:val="00516DBC"/>
    <w:rsid w:val="00521DAF"/>
    <w:rsid w:val="0052426B"/>
    <w:rsid w:val="00524A32"/>
    <w:rsid w:val="005254E3"/>
    <w:rsid w:val="00526F72"/>
    <w:rsid w:val="00527510"/>
    <w:rsid w:val="00527880"/>
    <w:rsid w:val="00527E25"/>
    <w:rsid w:val="0053219A"/>
    <w:rsid w:val="0053256D"/>
    <w:rsid w:val="0053455A"/>
    <w:rsid w:val="00535903"/>
    <w:rsid w:val="00535B5A"/>
    <w:rsid w:val="00540378"/>
    <w:rsid w:val="00540B40"/>
    <w:rsid w:val="00541414"/>
    <w:rsid w:val="00542C98"/>
    <w:rsid w:val="00542D76"/>
    <w:rsid w:val="00543E04"/>
    <w:rsid w:val="00546461"/>
    <w:rsid w:val="0055015D"/>
    <w:rsid w:val="00550708"/>
    <w:rsid w:val="00550ABE"/>
    <w:rsid w:val="00550B58"/>
    <w:rsid w:val="00550C2F"/>
    <w:rsid w:val="00552868"/>
    <w:rsid w:val="00553030"/>
    <w:rsid w:val="00554B05"/>
    <w:rsid w:val="00555719"/>
    <w:rsid w:val="00560BCE"/>
    <w:rsid w:val="00562E41"/>
    <w:rsid w:val="005637F3"/>
    <w:rsid w:val="005645E7"/>
    <w:rsid w:val="00567225"/>
    <w:rsid w:val="00570759"/>
    <w:rsid w:val="00573428"/>
    <w:rsid w:val="00573C15"/>
    <w:rsid w:val="00576681"/>
    <w:rsid w:val="00581069"/>
    <w:rsid w:val="00581230"/>
    <w:rsid w:val="005821D2"/>
    <w:rsid w:val="00582811"/>
    <w:rsid w:val="0058291F"/>
    <w:rsid w:val="005846F0"/>
    <w:rsid w:val="00586EAE"/>
    <w:rsid w:val="0059087B"/>
    <w:rsid w:val="005937F9"/>
    <w:rsid w:val="005948CC"/>
    <w:rsid w:val="00596177"/>
    <w:rsid w:val="005A0202"/>
    <w:rsid w:val="005A1034"/>
    <w:rsid w:val="005A2E5F"/>
    <w:rsid w:val="005A3CA8"/>
    <w:rsid w:val="005A4385"/>
    <w:rsid w:val="005A7419"/>
    <w:rsid w:val="005B2BE7"/>
    <w:rsid w:val="005B2D73"/>
    <w:rsid w:val="005B5659"/>
    <w:rsid w:val="005C02F5"/>
    <w:rsid w:val="005C2538"/>
    <w:rsid w:val="005C30D7"/>
    <w:rsid w:val="005C48BA"/>
    <w:rsid w:val="005C7664"/>
    <w:rsid w:val="005C783F"/>
    <w:rsid w:val="005D0C67"/>
    <w:rsid w:val="005D0EAD"/>
    <w:rsid w:val="005D1945"/>
    <w:rsid w:val="005D1DE3"/>
    <w:rsid w:val="005D417E"/>
    <w:rsid w:val="005D5109"/>
    <w:rsid w:val="005D6984"/>
    <w:rsid w:val="005E0346"/>
    <w:rsid w:val="005E2EC3"/>
    <w:rsid w:val="005E3A2E"/>
    <w:rsid w:val="005E5CFD"/>
    <w:rsid w:val="005E5DA1"/>
    <w:rsid w:val="005E77B1"/>
    <w:rsid w:val="005F43C4"/>
    <w:rsid w:val="005F6CC5"/>
    <w:rsid w:val="005F6D3F"/>
    <w:rsid w:val="00601CF1"/>
    <w:rsid w:val="00603B76"/>
    <w:rsid w:val="006043F3"/>
    <w:rsid w:val="00605071"/>
    <w:rsid w:val="00605EBA"/>
    <w:rsid w:val="00607E8B"/>
    <w:rsid w:val="00613BE8"/>
    <w:rsid w:val="006154AD"/>
    <w:rsid w:val="00615742"/>
    <w:rsid w:val="0062348B"/>
    <w:rsid w:val="00624473"/>
    <w:rsid w:val="00626BE2"/>
    <w:rsid w:val="00630373"/>
    <w:rsid w:val="00633E65"/>
    <w:rsid w:val="00633FB9"/>
    <w:rsid w:val="00635BCD"/>
    <w:rsid w:val="00635C95"/>
    <w:rsid w:val="00637BD3"/>
    <w:rsid w:val="006410AF"/>
    <w:rsid w:val="00643149"/>
    <w:rsid w:val="006459E2"/>
    <w:rsid w:val="0064655E"/>
    <w:rsid w:val="00646571"/>
    <w:rsid w:val="006478B8"/>
    <w:rsid w:val="00653D61"/>
    <w:rsid w:val="00655D7B"/>
    <w:rsid w:val="00660494"/>
    <w:rsid w:val="00660FC3"/>
    <w:rsid w:val="006617C5"/>
    <w:rsid w:val="00661825"/>
    <w:rsid w:val="00664734"/>
    <w:rsid w:val="00666103"/>
    <w:rsid w:val="006703F5"/>
    <w:rsid w:val="00670C7D"/>
    <w:rsid w:val="006728D1"/>
    <w:rsid w:val="00672956"/>
    <w:rsid w:val="00673E87"/>
    <w:rsid w:val="0067414E"/>
    <w:rsid w:val="006741E2"/>
    <w:rsid w:val="006753FE"/>
    <w:rsid w:val="00675725"/>
    <w:rsid w:val="006779AF"/>
    <w:rsid w:val="0068090D"/>
    <w:rsid w:val="006828BE"/>
    <w:rsid w:val="00685665"/>
    <w:rsid w:val="006862BA"/>
    <w:rsid w:val="00686A7A"/>
    <w:rsid w:val="00692385"/>
    <w:rsid w:val="00692E69"/>
    <w:rsid w:val="006935E5"/>
    <w:rsid w:val="00693DE2"/>
    <w:rsid w:val="00694368"/>
    <w:rsid w:val="006950DA"/>
    <w:rsid w:val="006968C7"/>
    <w:rsid w:val="00696A79"/>
    <w:rsid w:val="006A1082"/>
    <w:rsid w:val="006A2B92"/>
    <w:rsid w:val="006A3C83"/>
    <w:rsid w:val="006A3EDB"/>
    <w:rsid w:val="006A6098"/>
    <w:rsid w:val="006B05BC"/>
    <w:rsid w:val="006B3F9E"/>
    <w:rsid w:val="006B575B"/>
    <w:rsid w:val="006B5EF7"/>
    <w:rsid w:val="006B7018"/>
    <w:rsid w:val="006C18BB"/>
    <w:rsid w:val="006C2A6B"/>
    <w:rsid w:val="006C34A4"/>
    <w:rsid w:val="006C3B57"/>
    <w:rsid w:val="006C44C3"/>
    <w:rsid w:val="006C537C"/>
    <w:rsid w:val="006C5FDB"/>
    <w:rsid w:val="006C6DE6"/>
    <w:rsid w:val="006C7C3D"/>
    <w:rsid w:val="006D0D5E"/>
    <w:rsid w:val="006D175E"/>
    <w:rsid w:val="006D7298"/>
    <w:rsid w:val="006E3169"/>
    <w:rsid w:val="006E3D6C"/>
    <w:rsid w:val="006E4680"/>
    <w:rsid w:val="006E4CE9"/>
    <w:rsid w:val="006E5C00"/>
    <w:rsid w:val="006E77FF"/>
    <w:rsid w:val="006F1A5C"/>
    <w:rsid w:val="006F1FFE"/>
    <w:rsid w:val="006F2CE7"/>
    <w:rsid w:val="006F32ED"/>
    <w:rsid w:val="006F4540"/>
    <w:rsid w:val="006F64A3"/>
    <w:rsid w:val="006F744C"/>
    <w:rsid w:val="00704FBB"/>
    <w:rsid w:val="007052DA"/>
    <w:rsid w:val="00710693"/>
    <w:rsid w:val="0071204C"/>
    <w:rsid w:val="007122C8"/>
    <w:rsid w:val="00714649"/>
    <w:rsid w:val="00716B24"/>
    <w:rsid w:val="0072081C"/>
    <w:rsid w:val="00721082"/>
    <w:rsid w:val="00721872"/>
    <w:rsid w:val="00724B94"/>
    <w:rsid w:val="00725CA8"/>
    <w:rsid w:val="007267E1"/>
    <w:rsid w:val="00726D77"/>
    <w:rsid w:val="00731C49"/>
    <w:rsid w:val="00733629"/>
    <w:rsid w:val="0073492C"/>
    <w:rsid w:val="0073597D"/>
    <w:rsid w:val="007360DD"/>
    <w:rsid w:val="00743C5C"/>
    <w:rsid w:val="00744DED"/>
    <w:rsid w:val="00747E01"/>
    <w:rsid w:val="0075173A"/>
    <w:rsid w:val="00751F79"/>
    <w:rsid w:val="007535AE"/>
    <w:rsid w:val="00753D14"/>
    <w:rsid w:val="007552CF"/>
    <w:rsid w:val="00761366"/>
    <w:rsid w:val="00763154"/>
    <w:rsid w:val="007633F3"/>
    <w:rsid w:val="00763525"/>
    <w:rsid w:val="00774CA4"/>
    <w:rsid w:val="007754AE"/>
    <w:rsid w:val="00780F05"/>
    <w:rsid w:val="007821E7"/>
    <w:rsid w:val="007825EA"/>
    <w:rsid w:val="00783E71"/>
    <w:rsid w:val="00784050"/>
    <w:rsid w:val="0078432E"/>
    <w:rsid w:val="00784FC4"/>
    <w:rsid w:val="0078727E"/>
    <w:rsid w:val="007941B4"/>
    <w:rsid w:val="00794C62"/>
    <w:rsid w:val="00794E11"/>
    <w:rsid w:val="00794F0F"/>
    <w:rsid w:val="00797063"/>
    <w:rsid w:val="00797AD1"/>
    <w:rsid w:val="007A09B9"/>
    <w:rsid w:val="007A0A30"/>
    <w:rsid w:val="007A139A"/>
    <w:rsid w:val="007A1FE6"/>
    <w:rsid w:val="007A2690"/>
    <w:rsid w:val="007A43B1"/>
    <w:rsid w:val="007B1364"/>
    <w:rsid w:val="007B46A4"/>
    <w:rsid w:val="007B4913"/>
    <w:rsid w:val="007C00FA"/>
    <w:rsid w:val="007C5D07"/>
    <w:rsid w:val="007C7119"/>
    <w:rsid w:val="007D2707"/>
    <w:rsid w:val="007D405A"/>
    <w:rsid w:val="007D4481"/>
    <w:rsid w:val="007D7B17"/>
    <w:rsid w:val="007E01F1"/>
    <w:rsid w:val="007E0483"/>
    <w:rsid w:val="007E2F28"/>
    <w:rsid w:val="007E4144"/>
    <w:rsid w:val="007E6566"/>
    <w:rsid w:val="007E753E"/>
    <w:rsid w:val="007E7EDE"/>
    <w:rsid w:val="007F2299"/>
    <w:rsid w:val="007F448B"/>
    <w:rsid w:val="007F580C"/>
    <w:rsid w:val="007F6556"/>
    <w:rsid w:val="00800AC2"/>
    <w:rsid w:val="00801A4F"/>
    <w:rsid w:val="00802A4E"/>
    <w:rsid w:val="0081223D"/>
    <w:rsid w:val="00815E55"/>
    <w:rsid w:val="00824E15"/>
    <w:rsid w:val="00824F85"/>
    <w:rsid w:val="008253D4"/>
    <w:rsid w:val="00826805"/>
    <w:rsid w:val="00827C04"/>
    <w:rsid w:val="008377C5"/>
    <w:rsid w:val="00840CCD"/>
    <w:rsid w:val="00841E99"/>
    <w:rsid w:val="00842D28"/>
    <w:rsid w:val="008436AE"/>
    <w:rsid w:val="008438B2"/>
    <w:rsid w:val="0084568B"/>
    <w:rsid w:val="00845C2A"/>
    <w:rsid w:val="00846026"/>
    <w:rsid w:val="0084607D"/>
    <w:rsid w:val="008472AF"/>
    <w:rsid w:val="00847E29"/>
    <w:rsid w:val="00850ABE"/>
    <w:rsid w:val="00851F09"/>
    <w:rsid w:val="0085297B"/>
    <w:rsid w:val="00860043"/>
    <w:rsid w:val="00860B25"/>
    <w:rsid w:val="008654C1"/>
    <w:rsid w:val="00871EF5"/>
    <w:rsid w:val="008746ED"/>
    <w:rsid w:val="008750A5"/>
    <w:rsid w:val="00877202"/>
    <w:rsid w:val="00881D65"/>
    <w:rsid w:val="00884532"/>
    <w:rsid w:val="0088469B"/>
    <w:rsid w:val="00885AF8"/>
    <w:rsid w:val="008863A2"/>
    <w:rsid w:val="008871F0"/>
    <w:rsid w:val="00887EC4"/>
    <w:rsid w:val="0089269B"/>
    <w:rsid w:val="00895FB4"/>
    <w:rsid w:val="008971D6"/>
    <w:rsid w:val="008A16BF"/>
    <w:rsid w:val="008A1C77"/>
    <w:rsid w:val="008A3D7C"/>
    <w:rsid w:val="008A735F"/>
    <w:rsid w:val="008A7584"/>
    <w:rsid w:val="008A7C37"/>
    <w:rsid w:val="008B0242"/>
    <w:rsid w:val="008B1E1B"/>
    <w:rsid w:val="008B26F0"/>
    <w:rsid w:val="008B27F9"/>
    <w:rsid w:val="008B31B0"/>
    <w:rsid w:val="008B48BD"/>
    <w:rsid w:val="008B6AAD"/>
    <w:rsid w:val="008B6CDC"/>
    <w:rsid w:val="008C011F"/>
    <w:rsid w:val="008C1700"/>
    <w:rsid w:val="008C237C"/>
    <w:rsid w:val="008C57E1"/>
    <w:rsid w:val="008C5EEA"/>
    <w:rsid w:val="008C6C17"/>
    <w:rsid w:val="008C6E75"/>
    <w:rsid w:val="008D272C"/>
    <w:rsid w:val="008D395E"/>
    <w:rsid w:val="008D3E78"/>
    <w:rsid w:val="008D61CF"/>
    <w:rsid w:val="008D63D4"/>
    <w:rsid w:val="008D76A0"/>
    <w:rsid w:val="008D7797"/>
    <w:rsid w:val="008E03C0"/>
    <w:rsid w:val="008E0FC8"/>
    <w:rsid w:val="008E20BD"/>
    <w:rsid w:val="008E337D"/>
    <w:rsid w:val="008E3759"/>
    <w:rsid w:val="008E406A"/>
    <w:rsid w:val="008E5863"/>
    <w:rsid w:val="008E5E26"/>
    <w:rsid w:val="008E60AC"/>
    <w:rsid w:val="008E7CD5"/>
    <w:rsid w:val="008E7D2A"/>
    <w:rsid w:val="008F22A2"/>
    <w:rsid w:val="008F2E7E"/>
    <w:rsid w:val="008F3946"/>
    <w:rsid w:val="008F3D21"/>
    <w:rsid w:val="008F7F25"/>
    <w:rsid w:val="00901808"/>
    <w:rsid w:val="009125C5"/>
    <w:rsid w:val="00912CF9"/>
    <w:rsid w:val="0091567C"/>
    <w:rsid w:val="00915FB4"/>
    <w:rsid w:val="00916199"/>
    <w:rsid w:val="00917FA0"/>
    <w:rsid w:val="00923367"/>
    <w:rsid w:val="00926336"/>
    <w:rsid w:val="00930E32"/>
    <w:rsid w:val="00932A5D"/>
    <w:rsid w:val="00934BDB"/>
    <w:rsid w:val="009358D8"/>
    <w:rsid w:val="00936267"/>
    <w:rsid w:val="00936628"/>
    <w:rsid w:val="009404EF"/>
    <w:rsid w:val="009410D7"/>
    <w:rsid w:val="0094227B"/>
    <w:rsid w:val="009428E3"/>
    <w:rsid w:val="00943748"/>
    <w:rsid w:val="00944238"/>
    <w:rsid w:val="00944281"/>
    <w:rsid w:val="009442D8"/>
    <w:rsid w:val="00944C55"/>
    <w:rsid w:val="009452D0"/>
    <w:rsid w:val="00945B71"/>
    <w:rsid w:val="0094636A"/>
    <w:rsid w:val="009473BB"/>
    <w:rsid w:val="00950440"/>
    <w:rsid w:val="00950E91"/>
    <w:rsid w:val="00956EAE"/>
    <w:rsid w:val="00960901"/>
    <w:rsid w:val="009617EE"/>
    <w:rsid w:val="00965B72"/>
    <w:rsid w:val="0096692A"/>
    <w:rsid w:val="00967333"/>
    <w:rsid w:val="0096764C"/>
    <w:rsid w:val="00973ACC"/>
    <w:rsid w:val="009761FA"/>
    <w:rsid w:val="00976818"/>
    <w:rsid w:val="00976995"/>
    <w:rsid w:val="00977123"/>
    <w:rsid w:val="009826B3"/>
    <w:rsid w:val="00985D63"/>
    <w:rsid w:val="009865EE"/>
    <w:rsid w:val="00992234"/>
    <w:rsid w:val="00992A0E"/>
    <w:rsid w:val="0099396E"/>
    <w:rsid w:val="00993C8F"/>
    <w:rsid w:val="0099597E"/>
    <w:rsid w:val="0099614D"/>
    <w:rsid w:val="009963EF"/>
    <w:rsid w:val="00996D60"/>
    <w:rsid w:val="00997BA8"/>
    <w:rsid w:val="00997EA0"/>
    <w:rsid w:val="009A2A64"/>
    <w:rsid w:val="009A2CE0"/>
    <w:rsid w:val="009A35C5"/>
    <w:rsid w:val="009A39B1"/>
    <w:rsid w:val="009A3E27"/>
    <w:rsid w:val="009A44A6"/>
    <w:rsid w:val="009A474C"/>
    <w:rsid w:val="009A4869"/>
    <w:rsid w:val="009A553E"/>
    <w:rsid w:val="009B1428"/>
    <w:rsid w:val="009B44A5"/>
    <w:rsid w:val="009B4BAB"/>
    <w:rsid w:val="009B7112"/>
    <w:rsid w:val="009C036F"/>
    <w:rsid w:val="009C0763"/>
    <w:rsid w:val="009C0EBD"/>
    <w:rsid w:val="009C40E9"/>
    <w:rsid w:val="009C5434"/>
    <w:rsid w:val="009C5BAD"/>
    <w:rsid w:val="009C631F"/>
    <w:rsid w:val="009C6C1A"/>
    <w:rsid w:val="009C7202"/>
    <w:rsid w:val="009D07D2"/>
    <w:rsid w:val="009E09B0"/>
    <w:rsid w:val="009E3C7F"/>
    <w:rsid w:val="009E4161"/>
    <w:rsid w:val="009E4B52"/>
    <w:rsid w:val="009E742E"/>
    <w:rsid w:val="009E7E5E"/>
    <w:rsid w:val="009F2C3F"/>
    <w:rsid w:val="009F59DA"/>
    <w:rsid w:val="009F5AC1"/>
    <w:rsid w:val="009F69BF"/>
    <w:rsid w:val="009F7236"/>
    <w:rsid w:val="00A00050"/>
    <w:rsid w:val="00A01F42"/>
    <w:rsid w:val="00A026C0"/>
    <w:rsid w:val="00A05B61"/>
    <w:rsid w:val="00A06DC0"/>
    <w:rsid w:val="00A07989"/>
    <w:rsid w:val="00A07D54"/>
    <w:rsid w:val="00A102EF"/>
    <w:rsid w:val="00A109AE"/>
    <w:rsid w:val="00A11B5B"/>
    <w:rsid w:val="00A11C4B"/>
    <w:rsid w:val="00A12117"/>
    <w:rsid w:val="00A1331B"/>
    <w:rsid w:val="00A14796"/>
    <w:rsid w:val="00A14832"/>
    <w:rsid w:val="00A167F6"/>
    <w:rsid w:val="00A20230"/>
    <w:rsid w:val="00A20E2A"/>
    <w:rsid w:val="00A22290"/>
    <w:rsid w:val="00A228AE"/>
    <w:rsid w:val="00A25A4D"/>
    <w:rsid w:val="00A25BC3"/>
    <w:rsid w:val="00A25BC9"/>
    <w:rsid w:val="00A25F99"/>
    <w:rsid w:val="00A25FAC"/>
    <w:rsid w:val="00A264CC"/>
    <w:rsid w:val="00A269A1"/>
    <w:rsid w:val="00A276BB"/>
    <w:rsid w:val="00A30483"/>
    <w:rsid w:val="00A30C5F"/>
    <w:rsid w:val="00A36C26"/>
    <w:rsid w:val="00A3791B"/>
    <w:rsid w:val="00A40172"/>
    <w:rsid w:val="00A401A7"/>
    <w:rsid w:val="00A41303"/>
    <w:rsid w:val="00A4180F"/>
    <w:rsid w:val="00A41BC5"/>
    <w:rsid w:val="00A4235A"/>
    <w:rsid w:val="00A42AB1"/>
    <w:rsid w:val="00A435A8"/>
    <w:rsid w:val="00A45B75"/>
    <w:rsid w:val="00A46497"/>
    <w:rsid w:val="00A514DF"/>
    <w:rsid w:val="00A534CF"/>
    <w:rsid w:val="00A5392B"/>
    <w:rsid w:val="00A5408E"/>
    <w:rsid w:val="00A54B69"/>
    <w:rsid w:val="00A54D00"/>
    <w:rsid w:val="00A55456"/>
    <w:rsid w:val="00A55B92"/>
    <w:rsid w:val="00A5739C"/>
    <w:rsid w:val="00A6084F"/>
    <w:rsid w:val="00A60EF7"/>
    <w:rsid w:val="00A612AE"/>
    <w:rsid w:val="00A6246E"/>
    <w:rsid w:val="00A6497F"/>
    <w:rsid w:val="00A6625F"/>
    <w:rsid w:val="00A6655F"/>
    <w:rsid w:val="00A66F3E"/>
    <w:rsid w:val="00A67C11"/>
    <w:rsid w:val="00A71268"/>
    <w:rsid w:val="00A71428"/>
    <w:rsid w:val="00A719FA"/>
    <w:rsid w:val="00A75ABE"/>
    <w:rsid w:val="00A7644E"/>
    <w:rsid w:val="00A77A96"/>
    <w:rsid w:val="00A8266A"/>
    <w:rsid w:val="00A835DB"/>
    <w:rsid w:val="00A842D3"/>
    <w:rsid w:val="00A843C2"/>
    <w:rsid w:val="00A85C8A"/>
    <w:rsid w:val="00A86DA6"/>
    <w:rsid w:val="00A91B99"/>
    <w:rsid w:val="00A921EC"/>
    <w:rsid w:val="00A92710"/>
    <w:rsid w:val="00A96353"/>
    <w:rsid w:val="00A9700F"/>
    <w:rsid w:val="00AA2352"/>
    <w:rsid w:val="00AA3E5E"/>
    <w:rsid w:val="00AA462E"/>
    <w:rsid w:val="00AA5CD4"/>
    <w:rsid w:val="00AA5DB3"/>
    <w:rsid w:val="00AB3929"/>
    <w:rsid w:val="00AB4C35"/>
    <w:rsid w:val="00AB6039"/>
    <w:rsid w:val="00AC1665"/>
    <w:rsid w:val="00AC235A"/>
    <w:rsid w:val="00AD191B"/>
    <w:rsid w:val="00AD590C"/>
    <w:rsid w:val="00AD6E6C"/>
    <w:rsid w:val="00AE1862"/>
    <w:rsid w:val="00AE457F"/>
    <w:rsid w:val="00AE5C48"/>
    <w:rsid w:val="00AE6EB4"/>
    <w:rsid w:val="00AE7C67"/>
    <w:rsid w:val="00AF0065"/>
    <w:rsid w:val="00AF0B13"/>
    <w:rsid w:val="00AF421E"/>
    <w:rsid w:val="00AF488E"/>
    <w:rsid w:val="00AF57DF"/>
    <w:rsid w:val="00AF7402"/>
    <w:rsid w:val="00B01DAB"/>
    <w:rsid w:val="00B05896"/>
    <w:rsid w:val="00B06E87"/>
    <w:rsid w:val="00B07C73"/>
    <w:rsid w:val="00B12397"/>
    <w:rsid w:val="00B1646F"/>
    <w:rsid w:val="00B16764"/>
    <w:rsid w:val="00B22031"/>
    <w:rsid w:val="00B2390E"/>
    <w:rsid w:val="00B23A56"/>
    <w:rsid w:val="00B244D3"/>
    <w:rsid w:val="00B27CF5"/>
    <w:rsid w:val="00B3118D"/>
    <w:rsid w:val="00B31A9D"/>
    <w:rsid w:val="00B34F2F"/>
    <w:rsid w:val="00B357C8"/>
    <w:rsid w:val="00B357FB"/>
    <w:rsid w:val="00B3792B"/>
    <w:rsid w:val="00B37FEE"/>
    <w:rsid w:val="00B4077D"/>
    <w:rsid w:val="00B422BA"/>
    <w:rsid w:val="00B42D2B"/>
    <w:rsid w:val="00B43489"/>
    <w:rsid w:val="00B4558C"/>
    <w:rsid w:val="00B468BF"/>
    <w:rsid w:val="00B4715C"/>
    <w:rsid w:val="00B47FDB"/>
    <w:rsid w:val="00B514E6"/>
    <w:rsid w:val="00B5194B"/>
    <w:rsid w:val="00B5322A"/>
    <w:rsid w:val="00B614C8"/>
    <w:rsid w:val="00B646F3"/>
    <w:rsid w:val="00B64920"/>
    <w:rsid w:val="00B664EA"/>
    <w:rsid w:val="00B678DF"/>
    <w:rsid w:val="00B67C4E"/>
    <w:rsid w:val="00B747D6"/>
    <w:rsid w:val="00B74FFC"/>
    <w:rsid w:val="00B762EA"/>
    <w:rsid w:val="00B80002"/>
    <w:rsid w:val="00B81D30"/>
    <w:rsid w:val="00B8686B"/>
    <w:rsid w:val="00B868D4"/>
    <w:rsid w:val="00B90BE5"/>
    <w:rsid w:val="00B925F1"/>
    <w:rsid w:val="00B934D0"/>
    <w:rsid w:val="00B95134"/>
    <w:rsid w:val="00B95B2A"/>
    <w:rsid w:val="00BA6746"/>
    <w:rsid w:val="00BB2070"/>
    <w:rsid w:val="00BB3DC5"/>
    <w:rsid w:val="00BB6E74"/>
    <w:rsid w:val="00BB7F3A"/>
    <w:rsid w:val="00BC3BE3"/>
    <w:rsid w:val="00BC3DFD"/>
    <w:rsid w:val="00BC57D4"/>
    <w:rsid w:val="00BC6D6D"/>
    <w:rsid w:val="00BD0B79"/>
    <w:rsid w:val="00BD2725"/>
    <w:rsid w:val="00BD2E72"/>
    <w:rsid w:val="00BD3866"/>
    <w:rsid w:val="00BD543E"/>
    <w:rsid w:val="00BE725C"/>
    <w:rsid w:val="00BF0C37"/>
    <w:rsid w:val="00BF1CBC"/>
    <w:rsid w:val="00BF7769"/>
    <w:rsid w:val="00BF7800"/>
    <w:rsid w:val="00C014B1"/>
    <w:rsid w:val="00C029A8"/>
    <w:rsid w:val="00C030D9"/>
    <w:rsid w:val="00C07A11"/>
    <w:rsid w:val="00C10A73"/>
    <w:rsid w:val="00C11CE8"/>
    <w:rsid w:val="00C126D8"/>
    <w:rsid w:val="00C1498D"/>
    <w:rsid w:val="00C1693A"/>
    <w:rsid w:val="00C17588"/>
    <w:rsid w:val="00C1763B"/>
    <w:rsid w:val="00C20940"/>
    <w:rsid w:val="00C228B9"/>
    <w:rsid w:val="00C24855"/>
    <w:rsid w:val="00C24AF5"/>
    <w:rsid w:val="00C27998"/>
    <w:rsid w:val="00C337D6"/>
    <w:rsid w:val="00C3398F"/>
    <w:rsid w:val="00C34054"/>
    <w:rsid w:val="00C3633A"/>
    <w:rsid w:val="00C374A9"/>
    <w:rsid w:val="00C4274B"/>
    <w:rsid w:val="00C4274E"/>
    <w:rsid w:val="00C43989"/>
    <w:rsid w:val="00C43D39"/>
    <w:rsid w:val="00C4534E"/>
    <w:rsid w:val="00C47A6E"/>
    <w:rsid w:val="00C47CF9"/>
    <w:rsid w:val="00C5251C"/>
    <w:rsid w:val="00C54A8D"/>
    <w:rsid w:val="00C54B40"/>
    <w:rsid w:val="00C55817"/>
    <w:rsid w:val="00C572CC"/>
    <w:rsid w:val="00C57A99"/>
    <w:rsid w:val="00C60B8F"/>
    <w:rsid w:val="00C61A60"/>
    <w:rsid w:val="00C6502F"/>
    <w:rsid w:val="00C657C0"/>
    <w:rsid w:val="00C6657E"/>
    <w:rsid w:val="00C71ADD"/>
    <w:rsid w:val="00C768CC"/>
    <w:rsid w:val="00C76AAB"/>
    <w:rsid w:val="00C8094B"/>
    <w:rsid w:val="00C81564"/>
    <w:rsid w:val="00C83428"/>
    <w:rsid w:val="00C8572D"/>
    <w:rsid w:val="00C86906"/>
    <w:rsid w:val="00C87113"/>
    <w:rsid w:val="00C873C6"/>
    <w:rsid w:val="00C93573"/>
    <w:rsid w:val="00C93816"/>
    <w:rsid w:val="00C95962"/>
    <w:rsid w:val="00C96590"/>
    <w:rsid w:val="00C965DF"/>
    <w:rsid w:val="00C97464"/>
    <w:rsid w:val="00CA27FE"/>
    <w:rsid w:val="00CB3116"/>
    <w:rsid w:val="00CB36F4"/>
    <w:rsid w:val="00CB3A4A"/>
    <w:rsid w:val="00CB55CC"/>
    <w:rsid w:val="00CB593D"/>
    <w:rsid w:val="00CB78B4"/>
    <w:rsid w:val="00CC1805"/>
    <w:rsid w:val="00CC2C2A"/>
    <w:rsid w:val="00CC2F3A"/>
    <w:rsid w:val="00CC4126"/>
    <w:rsid w:val="00CC5615"/>
    <w:rsid w:val="00CC570A"/>
    <w:rsid w:val="00CC5FCC"/>
    <w:rsid w:val="00CD103A"/>
    <w:rsid w:val="00CD233A"/>
    <w:rsid w:val="00CD3AD4"/>
    <w:rsid w:val="00CD4442"/>
    <w:rsid w:val="00CD48F0"/>
    <w:rsid w:val="00CD4B64"/>
    <w:rsid w:val="00CD6B23"/>
    <w:rsid w:val="00CE5852"/>
    <w:rsid w:val="00CE5C62"/>
    <w:rsid w:val="00CE77A6"/>
    <w:rsid w:val="00CF1A3A"/>
    <w:rsid w:val="00CF6D4E"/>
    <w:rsid w:val="00D00B11"/>
    <w:rsid w:val="00D01E55"/>
    <w:rsid w:val="00D0442F"/>
    <w:rsid w:val="00D045F6"/>
    <w:rsid w:val="00D05416"/>
    <w:rsid w:val="00D058F3"/>
    <w:rsid w:val="00D06146"/>
    <w:rsid w:val="00D07663"/>
    <w:rsid w:val="00D12187"/>
    <w:rsid w:val="00D126B6"/>
    <w:rsid w:val="00D149CB"/>
    <w:rsid w:val="00D15666"/>
    <w:rsid w:val="00D156FA"/>
    <w:rsid w:val="00D17C3E"/>
    <w:rsid w:val="00D21D27"/>
    <w:rsid w:val="00D2574E"/>
    <w:rsid w:val="00D25ED5"/>
    <w:rsid w:val="00D30AE9"/>
    <w:rsid w:val="00D30D95"/>
    <w:rsid w:val="00D318DF"/>
    <w:rsid w:val="00D33FCF"/>
    <w:rsid w:val="00D36D5B"/>
    <w:rsid w:val="00D37DB9"/>
    <w:rsid w:val="00D42D93"/>
    <w:rsid w:val="00D4310E"/>
    <w:rsid w:val="00D44F71"/>
    <w:rsid w:val="00D46EA1"/>
    <w:rsid w:val="00D50ADA"/>
    <w:rsid w:val="00D51247"/>
    <w:rsid w:val="00D51DAA"/>
    <w:rsid w:val="00D55AB5"/>
    <w:rsid w:val="00D56EAC"/>
    <w:rsid w:val="00D57811"/>
    <w:rsid w:val="00D61683"/>
    <w:rsid w:val="00D654C8"/>
    <w:rsid w:val="00D65D27"/>
    <w:rsid w:val="00D663D2"/>
    <w:rsid w:val="00D67337"/>
    <w:rsid w:val="00D70725"/>
    <w:rsid w:val="00D7073A"/>
    <w:rsid w:val="00D725D8"/>
    <w:rsid w:val="00D74F95"/>
    <w:rsid w:val="00D82D3D"/>
    <w:rsid w:val="00D85388"/>
    <w:rsid w:val="00D8610B"/>
    <w:rsid w:val="00D8742C"/>
    <w:rsid w:val="00D87C90"/>
    <w:rsid w:val="00D87CD0"/>
    <w:rsid w:val="00D93D45"/>
    <w:rsid w:val="00D944D5"/>
    <w:rsid w:val="00DA2ABC"/>
    <w:rsid w:val="00DA6916"/>
    <w:rsid w:val="00DB02BF"/>
    <w:rsid w:val="00DB1961"/>
    <w:rsid w:val="00DB1D6C"/>
    <w:rsid w:val="00DB2E15"/>
    <w:rsid w:val="00DB3B2D"/>
    <w:rsid w:val="00DB4233"/>
    <w:rsid w:val="00DB5A28"/>
    <w:rsid w:val="00DB6093"/>
    <w:rsid w:val="00DB6962"/>
    <w:rsid w:val="00DB6F99"/>
    <w:rsid w:val="00DB76CE"/>
    <w:rsid w:val="00DC3778"/>
    <w:rsid w:val="00DC68E4"/>
    <w:rsid w:val="00DC778A"/>
    <w:rsid w:val="00DC7FAB"/>
    <w:rsid w:val="00DD016A"/>
    <w:rsid w:val="00DD18C7"/>
    <w:rsid w:val="00DD2B74"/>
    <w:rsid w:val="00DD3D3E"/>
    <w:rsid w:val="00DD3D99"/>
    <w:rsid w:val="00DD4DAC"/>
    <w:rsid w:val="00DD5E68"/>
    <w:rsid w:val="00DD5F69"/>
    <w:rsid w:val="00DD644F"/>
    <w:rsid w:val="00DE13D0"/>
    <w:rsid w:val="00DE1C20"/>
    <w:rsid w:val="00DE2AF6"/>
    <w:rsid w:val="00DE5008"/>
    <w:rsid w:val="00DE5397"/>
    <w:rsid w:val="00DE6074"/>
    <w:rsid w:val="00DF0D92"/>
    <w:rsid w:val="00DF1BE2"/>
    <w:rsid w:val="00DF4C7F"/>
    <w:rsid w:val="00DF5A79"/>
    <w:rsid w:val="00DF6AC6"/>
    <w:rsid w:val="00DF6FA6"/>
    <w:rsid w:val="00E00CD9"/>
    <w:rsid w:val="00E01521"/>
    <w:rsid w:val="00E01F19"/>
    <w:rsid w:val="00E03C96"/>
    <w:rsid w:val="00E04283"/>
    <w:rsid w:val="00E05AAA"/>
    <w:rsid w:val="00E15257"/>
    <w:rsid w:val="00E17AAE"/>
    <w:rsid w:val="00E21EED"/>
    <w:rsid w:val="00E23A7D"/>
    <w:rsid w:val="00E24435"/>
    <w:rsid w:val="00E247C7"/>
    <w:rsid w:val="00E253A0"/>
    <w:rsid w:val="00E306FB"/>
    <w:rsid w:val="00E3250E"/>
    <w:rsid w:val="00E331F5"/>
    <w:rsid w:val="00E3322E"/>
    <w:rsid w:val="00E33AEB"/>
    <w:rsid w:val="00E40B1E"/>
    <w:rsid w:val="00E4514E"/>
    <w:rsid w:val="00E45CB9"/>
    <w:rsid w:val="00E466CD"/>
    <w:rsid w:val="00E46D02"/>
    <w:rsid w:val="00E5049A"/>
    <w:rsid w:val="00E539B5"/>
    <w:rsid w:val="00E56EC7"/>
    <w:rsid w:val="00E56F94"/>
    <w:rsid w:val="00E62CDD"/>
    <w:rsid w:val="00E62E88"/>
    <w:rsid w:val="00E6488D"/>
    <w:rsid w:val="00E64B63"/>
    <w:rsid w:val="00E64EB3"/>
    <w:rsid w:val="00E65014"/>
    <w:rsid w:val="00E67F43"/>
    <w:rsid w:val="00E73AEA"/>
    <w:rsid w:val="00E7443E"/>
    <w:rsid w:val="00E82F58"/>
    <w:rsid w:val="00E83D10"/>
    <w:rsid w:val="00E8442D"/>
    <w:rsid w:val="00E86F81"/>
    <w:rsid w:val="00E909CD"/>
    <w:rsid w:val="00E90B63"/>
    <w:rsid w:val="00E9154C"/>
    <w:rsid w:val="00E95642"/>
    <w:rsid w:val="00E9589E"/>
    <w:rsid w:val="00E96345"/>
    <w:rsid w:val="00EA0305"/>
    <w:rsid w:val="00EA1AFC"/>
    <w:rsid w:val="00EA32B4"/>
    <w:rsid w:val="00EA3BEF"/>
    <w:rsid w:val="00EA3D39"/>
    <w:rsid w:val="00EA41B8"/>
    <w:rsid w:val="00EA4D00"/>
    <w:rsid w:val="00EA6802"/>
    <w:rsid w:val="00EA7765"/>
    <w:rsid w:val="00EB09BD"/>
    <w:rsid w:val="00EB0B85"/>
    <w:rsid w:val="00EB3080"/>
    <w:rsid w:val="00EB3F8B"/>
    <w:rsid w:val="00EB4C66"/>
    <w:rsid w:val="00EB574B"/>
    <w:rsid w:val="00EB67BD"/>
    <w:rsid w:val="00EB7301"/>
    <w:rsid w:val="00EC00C7"/>
    <w:rsid w:val="00EC0229"/>
    <w:rsid w:val="00EC023F"/>
    <w:rsid w:val="00EC09DB"/>
    <w:rsid w:val="00EC20ED"/>
    <w:rsid w:val="00EC29A2"/>
    <w:rsid w:val="00EC372E"/>
    <w:rsid w:val="00EC4D37"/>
    <w:rsid w:val="00EC5573"/>
    <w:rsid w:val="00ED0EFB"/>
    <w:rsid w:val="00ED1DC3"/>
    <w:rsid w:val="00ED5067"/>
    <w:rsid w:val="00EE0D39"/>
    <w:rsid w:val="00EE1892"/>
    <w:rsid w:val="00EE2368"/>
    <w:rsid w:val="00EE410B"/>
    <w:rsid w:val="00EE6189"/>
    <w:rsid w:val="00EF0873"/>
    <w:rsid w:val="00EF1079"/>
    <w:rsid w:val="00EF16E9"/>
    <w:rsid w:val="00EF253F"/>
    <w:rsid w:val="00F02400"/>
    <w:rsid w:val="00F02C43"/>
    <w:rsid w:val="00F0317D"/>
    <w:rsid w:val="00F05027"/>
    <w:rsid w:val="00F059D7"/>
    <w:rsid w:val="00F10FCC"/>
    <w:rsid w:val="00F114F2"/>
    <w:rsid w:val="00F144FE"/>
    <w:rsid w:val="00F22503"/>
    <w:rsid w:val="00F2411F"/>
    <w:rsid w:val="00F25949"/>
    <w:rsid w:val="00F25FE6"/>
    <w:rsid w:val="00F30772"/>
    <w:rsid w:val="00F30C86"/>
    <w:rsid w:val="00F335FF"/>
    <w:rsid w:val="00F37B76"/>
    <w:rsid w:val="00F40F0D"/>
    <w:rsid w:val="00F4122A"/>
    <w:rsid w:val="00F4201B"/>
    <w:rsid w:val="00F451E7"/>
    <w:rsid w:val="00F46E23"/>
    <w:rsid w:val="00F478D8"/>
    <w:rsid w:val="00F54E07"/>
    <w:rsid w:val="00F554D8"/>
    <w:rsid w:val="00F556A4"/>
    <w:rsid w:val="00F558A0"/>
    <w:rsid w:val="00F61E45"/>
    <w:rsid w:val="00F62D62"/>
    <w:rsid w:val="00F6598B"/>
    <w:rsid w:val="00F6682D"/>
    <w:rsid w:val="00F714D4"/>
    <w:rsid w:val="00F723F5"/>
    <w:rsid w:val="00F73114"/>
    <w:rsid w:val="00F76FFD"/>
    <w:rsid w:val="00F812CA"/>
    <w:rsid w:val="00F84BF5"/>
    <w:rsid w:val="00F85A6A"/>
    <w:rsid w:val="00F87000"/>
    <w:rsid w:val="00F87FD2"/>
    <w:rsid w:val="00F9439B"/>
    <w:rsid w:val="00F958EC"/>
    <w:rsid w:val="00F961F0"/>
    <w:rsid w:val="00FA2096"/>
    <w:rsid w:val="00FA24D7"/>
    <w:rsid w:val="00FA2C22"/>
    <w:rsid w:val="00FB27C5"/>
    <w:rsid w:val="00FB50B0"/>
    <w:rsid w:val="00FB79A9"/>
    <w:rsid w:val="00FC27E7"/>
    <w:rsid w:val="00FC3531"/>
    <w:rsid w:val="00FC3890"/>
    <w:rsid w:val="00FC7AAF"/>
    <w:rsid w:val="00FD0F83"/>
    <w:rsid w:val="00FD0FE6"/>
    <w:rsid w:val="00FD154E"/>
    <w:rsid w:val="00FD164B"/>
    <w:rsid w:val="00FD293A"/>
    <w:rsid w:val="00FD2953"/>
    <w:rsid w:val="00FE37B5"/>
    <w:rsid w:val="00FE384F"/>
    <w:rsid w:val="00FE440F"/>
    <w:rsid w:val="00FE4E25"/>
    <w:rsid w:val="00FE53FA"/>
    <w:rsid w:val="00FE5443"/>
    <w:rsid w:val="00FE5EA2"/>
    <w:rsid w:val="00FE69B4"/>
    <w:rsid w:val="00FE707F"/>
    <w:rsid w:val="00FF277A"/>
    <w:rsid w:val="00FF3FD7"/>
    <w:rsid w:val="00FF5771"/>
    <w:rsid w:val="00FF73BE"/>
    <w:rsid w:val="032843FD"/>
    <w:rsid w:val="03C22460"/>
    <w:rsid w:val="051B0DA5"/>
    <w:rsid w:val="0CF7ECF8"/>
    <w:rsid w:val="0E6AB92A"/>
    <w:rsid w:val="126D686A"/>
    <w:rsid w:val="18DEC29B"/>
    <w:rsid w:val="1DD013D6"/>
    <w:rsid w:val="28D468FD"/>
    <w:rsid w:val="2FBD3D20"/>
    <w:rsid w:val="3E68EB5E"/>
    <w:rsid w:val="3FBC479D"/>
    <w:rsid w:val="439BC09F"/>
    <w:rsid w:val="47F4AA52"/>
    <w:rsid w:val="4CF49961"/>
    <w:rsid w:val="54841E09"/>
    <w:rsid w:val="552FAA9F"/>
    <w:rsid w:val="55AEBA1C"/>
    <w:rsid w:val="5DEA727A"/>
    <w:rsid w:val="5F722619"/>
    <w:rsid w:val="6789D89A"/>
    <w:rsid w:val="68A1C867"/>
    <w:rsid w:val="6F667B86"/>
    <w:rsid w:val="6FB7B7C3"/>
    <w:rsid w:val="706E7FB2"/>
    <w:rsid w:val="71B6D67E"/>
    <w:rsid w:val="725BABDD"/>
    <w:rsid w:val="7EBE2A5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vertical-relative:line;v-text-anchor:middle" fillcolor="none [3215]" strokecolor="none [2415]">
      <v:fill color="none [3215]"/>
      <v:stroke color="none [2415]" weight="5pt"/>
      <v:textbox inset=",2.5mm,,2.5mm"/>
    </o:shapedefaults>
    <o:shapelayout v:ext="edit">
      <o:idmap v:ext="edit" data="2"/>
    </o:shapelayout>
  </w:shapeDefaults>
  <w:decimalSymbol w:val="."/>
  <w:listSeparator w:val=","/>
  <w14:docId w14:val="44ED0855"/>
  <w14:defaultImageDpi w14:val="32767"/>
  <w15:docId w15:val="{605386A7-BB21-4CB2-8C24-0574B3CFD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0"/>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index 1" w:semiHidden="1" w:uiPriority="29"/>
    <w:lsdException w:name="index 2" w:semiHidden="1" w:uiPriority="29"/>
    <w:lsdException w:name="index 3" w:semiHidden="1" w:uiPriority="29"/>
    <w:lsdException w:name="index 4" w:semiHidden="1" w:uiPriority="29"/>
    <w:lsdException w:name="index 5" w:semiHidden="1" w:uiPriority="29"/>
    <w:lsdException w:name="index 6" w:semiHidden="1" w:uiPriority="29"/>
    <w:lsdException w:name="index 7" w:semiHidden="1" w:uiPriority="29"/>
    <w:lsdException w:name="index 8" w:semiHidden="1" w:uiPriority="29"/>
    <w:lsdException w:name="index 9" w:semiHidden="1" w:uiPriority="29"/>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uiPriority="39"/>
    <w:lsdException w:name="toc 6" w:semiHidden="1" w:uiPriority="39" w:unhideWhenUsed="1"/>
    <w:lsdException w:name="toc 7" w:semiHidden="1" w:uiPriority="39"/>
    <w:lsdException w:name="toc 8" w:semiHidden="1" w:uiPriority="39"/>
    <w:lsdException w:name="toc 9" w:semiHidden="1" w:uiPriority="39"/>
    <w:lsdException w:name="Normal Indent" w:semiHidden="1" w:uiPriority="29"/>
    <w:lsdException w:name="footnote text" w:semiHidden="1" w:uiPriority="9" w:unhideWhenUsed="1"/>
    <w:lsdException w:name="annotation text" w:semiHidden="1" w:uiPriority="29"/>
    <w:lsdException w:name="header" w:semiHidden="1" w:uiPriority="29" w:unhideWhenUsed="1"/>
    <w:lsdException w:name="footer" w:semiHidden="1" w:uiPriority="21" w:unhideWhenUsed="1" w:qFormat="1"/>
    <w:lsdException w:name="index heading" w:semiHidden="1" w:uiPriority="29"/>
    <w:lsdException w:name="caption" w:semiHidden="1" w:uiPriority="19"/>
    <w:lsdException w:name="table of figures" w:semiHidden="1" w:uiPriority="99" w:unhideWhenUsed="1"/>
    <w:lsdException w:name="envelope address" w:semiHidden="1" w:uiPriority="50"/>
    <w:lsdException w:name="envelope return" w:semiHidden="1" w:uiPriority="50"/>
    <w:lsdException w:name="footnote reference" w:semiHidden="1" w:uiPriority="9" w:unhideWhenUsed="1"/>
    <w:lsdException w:name="annotation reference" w:semiHidden="1" w:uiPriority="29"/>
    <w:lsdException w:name="line number" w:semiHidden="1" w:uiPriority="29"/>
    <w:lsdException w:name="page number" w:semiHidden="1" w:uiPriority="49"/>
    <w:lsdException w:name="endnote reference" w:semiHidden="1" w:uiPriority="50"/>
    <w:lsdException w:name="endnote text" w:semiHidden="1" w:uiPriority="50"/>
    <w:lsdException w:name="table of authorities" w:semiHidden="1" w:unhideWhenUsed="1"/>
    <w:lsdException w:name="macro" w:semiHidden="1" w:uiPriority="29"/>
    <w:lsdException w:name="toa heading" w:semiHidden="1" w:uiPriority="20"/>
    <w:lsdException w:name="List" w:semiHidden="1" w:uiPriority="4" w:unhideWhenUsed="1" w:qFormat="1"/>
    <w:lsdException w:name="List Bullet" w:semiHidden="1" w:uiPriority="3" w:unhideWhenUsed="1" w:qFormat="1"/>
    <w:lsdException w:name="List Number" w:uiPriority="3" w:qFormat="1"/>
    <w:lsdException w:name="List 2" w:semiHidden="1" w:uiPriority="4" w:unhideWhenUsed="1"/>
    <w:lsdException w:name="List 3" w:semiHidden="1" w:uiPriority="4" w:unhideWhenUsed="1"/>
    <w:lsdException w:name="List 4" w:semiHidden="1" w:uiPriority="3"/>
    <w:lsdException w:name="List 5" w:semiHidden="1" w:uiPriority="3"/>
    <w:lsdException w:name="List Bullet 2" w:semiHidden="1" w:uiPriority="3" w:unhideWhenUsed="1"/>
    <w:lsdException w:name="List Bullet 3" w:semiHidden="1" w:uiPriority="3" w:unhideWhenUsed="1"/>
    <w:lsdException w:name="List Bullet 4" w:semiHidden="1" w:uiPriority="3" w:unhideWhenUsed="1"/>
    <w:lsdException w:name="List Bullet 5" w:semiHidden="1" w:uiPriority="3"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0"/>
    <w:lsdException w:name="Closing" w:semiHidden="1" w:uiPriority="29"/>
    <w:lsdException w:name="Signature" w:semiHidden="1" w:uiPriority="49"/>
    <w:lsdException w:name="Default Paragraph Font" w:semiHidden="1" w:uiPriority="0" w:unhideWhenUsed="1"/>
    <w:lsdException w:name="Body Text" w:semiHidden="1" w:uiPriority="29"/>
    <w:lsdException w:name="Body Text Indent" w:semiHidden="1" w:uiPriority="29"/>
    <w:lsdException w:name="List Continue" w:semiHidden="1" w:uiPriority="29"/>
    <w:lsdException w:name="List Continue 2" w:semiHidden="1" w:uiPriority="29"/>
    <w:lsdException w:name="List Continue 3" w:semiHidden="1" w:uiPriority="29"/>
    <w:lsdException w:name="List Continue 4" w:semiHidden="1" w:uiPriority="29"/>
    <w:lsdException w:name="List Continue 5" w:semiHidden="1" w:uiPriority="29"/>
    <w:lsdException w:name="Message Header" w:semiHidden="1" w:uiPriority="29"/>
    <w:lsdException w:name="Subtitle" w:uiPriority="0"/>
    <w:lsdException w:name="Salutation" w:semiHidden="1" w:uiPriority="49"/>
    <w:lsdException w:name="Date" w:uiPriority="0"/>
    <w:lsdException w:name="Body Text First Indent" w:semiHidden="1" w:uiPriority="29"/>
    <w:lsdException w:name="Body Text First Indent 2" w:semiHidden="1" w:uiPriority="29"/>
    <w:lsdException w:name="Note Heading" w:semiHidden="1" w:uiPriority="29"/>
    <w:lsdException w:name="Body Text 2" w:semiHidden="1" w:uiPriority="29"/>
    <w:lsdException w:name="Body Text 3" w:semiHidden="1" w:uiPriority="29"/>
    <w:lsdException w:name="Body Text Indent 2" w:semiHidden="1" w:uiPriority="29"/>
    <w:lsdException w:name="Body Text Indent 3" w:semiHidden="1" w:uiPriority="29"/>
    <w:lsdException w:name="Block Text" w:semiHidden="1" w:uiPriority="29"/>
    <w:lsdException w:name="Hyperlink" w:semiHidden="1" w:uiPriority="99" w:unhideWhenUsed="1"/>
    <w:lsdException w:name="FollowedHyperlink" w:semiHidden="1" w:uiPriority="50"/>
    <w:lsdException w:name="Strong" w:semiHidden="1" w:uiPriority="49"/>
    <w:lsdException w:name="Emphasis" w:semiHidden="1" w:uiPriority="50"/>
    <w:lsdException w:name="Document Map" w:semiHidden="1" w:uiPriority="50"/>
    <w:lsdException w:name="Plain Text" w:semiHidden="1" w:uiPriority="49"/>
    <w:lsdException w:name="E-mail Signature" w:semiHidden="1" w:uiPriority="50"/>
    <w:lsdException w:name="HTML Top of Form" w:semiHidden="1" w:uiPriority="0" w:unhideWhenUsed="1"/>
    <w:lsdException w:name="HTML Bottom of Form" w:semiHidden="1" w:uiPriority="0" w:unhideWhenUsed="1"/>
    <w:lsdException w:name="Normal (Web)" w:semiHidden="1" w:uiPriority="29"/>
    <w:lsdException w:name="HTML Acronym" w:semiHidden="1" w:uiPriority="29"/>
    <w:lsdException w:name="HTML Address" w:semiHidden="1" w:uiPriority="29"/>
    <w:lsdException w:name="HTML Cite" w:semiHidden="1" w:uiPriority="29"/>
    <w:lsdException w:name="HTML Code" w:semiHidden="1" w:uiPriority="29"/>
    <w:lsdException w:name="HTML Definition" w:semiHidden="1" w:uiPriority="29"/>
    <w:lsdException w:name="HTML Keyboard" w:semiHidden="1" w:uiPriority="29"/>
    <w:lsdException w:name="HTML Preformatted" w:semiHidden="1" w:uiPriority="29"/>
    <w:lsdException w:name="HTML Sample" w:semiHidden="1" w:uiPriority="29"/>
    <w:lsdException w:name="HTML Typewriter" w:semiHidden="1" w:uiPriority="29"/>
    <w:lsdException w:name="HTML Variable" w:semiHidden="1" w:uiPriority="29"/>
    <w:lsdException w:name="Normal Table" w:semiHidden="1" w:unhideWhenUsed="1"/>
    <w:lsdException w:name="annotation subject" w:semiHidden="1" w:uiPriority="29"/>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99"/>
    <w:lsdException w:name="No Spacing" w:uiPriority="3"/>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semiHidden="1" w:uiPriority="34" w:qFormat="1"/>
    <w:lsdException w:name="Quote" w:semiHidden="1" w:uiPriority="29"/>
    <w:lsdException w:name="Intense Quote" w:semiHidden="1" w:uiPriority="30"/>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4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4" w:uiPriority="44"/>
    <w:lsdException w:name="Plain Table 5" w:uiPriority="45"/>
    <w:lsdException w:name="Grid Table Light" w:uiPriority="40"/>
    <w:lsdException w:name="Grid Table 5 Dark Accent 2"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2"/>
    <w:qFormat/>
    <w:rsid w:val="00145656"/>
    <w:pPr>
      <w:spacing w:after="160" w:line="280" w:lineRule="atLeast"/>
    </w:pPr>
    <w:rPr>
      <w:rFonts w:asciiTheme="minorHAnsi" w:eastAsiaTheme="majorEastAsia" w:hAnsiTheme="minorHAnsi" w:cs="Calibri"/>
      <w:color w:val="000000" w:themeColor="text1"/>
      <w:szCs w:val="24"/>
    </w:rPr>
  </w:style>
  <w:style w:type="paragraph" w:styleId="Heading1">
    <w:name w:val="heading 1"/>
    <w:basedOn w:val="Normal"/>
    <w:next w:val="Normal"/>
    <w:link w:val="Heading1Char"/>
    <w:uiPriority w:val="1"/>
    <w:qFormat/>
    <w:rsid w:val="003A5075"/>
    <w:pPr>
      <w:pBdr>
        <w:bottom w:val="single" w:sz="4" w:space="1" w:color="1D336D" w:themeColor="background2"/>
      </w:pBdr>
      <w:spacing w:before="240"/>
      <w:outlineLvl w:val="0"/>
    </w:pPr>
    <w:rPr>
      <w:bCs/>
      <w:iCs/>
      <w:caps/>
      <w:color w:val="1D336D" w:themeColor="background2"/>
      <w:sz w:val="32"/>
      <w:szCs w:val="28"/>
    </w:rPr>
  </w:style>
  <w:style w:type="paragraph" w:styleId="Heading2">
    <w:name w:val="heading 2"/>
    <w:basedOn w:val="Heading1"/>
    <w:next w:val="Normal"/>
    <w:link w:val="Heading2Char"/>
    <w:uiPriority w:val="1"/>
    <w:qFormat/>
    <w:rsid w:val="003A5075"/>
    <w:pPr>
      <w:numPr>
        <w:ilvl w:val="1"/>
      </w:numPr>
      <w:pBdr>
        <w:bottom w:val="none" w:sz="0" w:space="0" w:color="auto"/>
      </w:pBdr>
      <w:outlineLvl w:val="1"/>
    </w:pPr>
    <w:rPr>
      <w:b/>
      <w:color w:val="C9C9CA" w:themeColor="accent2"/>
      <w:sz w:val="28"/>
      <w:szCs w:val="26"/>
    </w:rPr>
  </w:style>
  <w:style w:type="paragraph" w:styleId="Heading3">
    <w:name w:val="heading 3"/>
    <w:basedOn w:val="Heading1"/>
    <w:next w:val="Normal"/>
    <w:link w:val="Heading3Char"/>
    <w:uiPriority w:val="1"/>
    <w:qFormat/>
    <w:rsid w:val="003A5075"/>
    <w:pPr>
      <w:keepNext/>
      <w:numPr>
        <w:ilvl w:val="2"/>
      </w:numPr>
      <w:pBdr>
        <w:bottom w:val="none" w:sz="0" w:space="0" w:color="auto"/>
      </w:pBdr>
      <w:outlineLvl w:val="2"/>
    </w:pPr>
    <w:rPr>
      <w:b/>
      <w:bCs w:val="0"/>
      <w:caps w:val="0"/>
      <w:color w:val="507CB9"/>
      <w:sz w:val="24"/>
      <w:szCs w:val="26"/>
    </w:rPr>
  </w:style>
  <w:style w:type="paragraph" w:styleId="Heading4">
    <w:name w:val="heading 4"/>
    <w:basedOn w:val="Heading3"/>
    <w:next w:val="Normal"/>
    <w:link w:val="Heading4Char"/>
    <w:uiPriority w:val="1"/>
    <w:rsid w:val="00100070"/>
    <w:pPr>
      <w:outlineLvl w:val="3"/>
    </w:pPr>
    <w:rPr>
      <w:rFonts w:eastAsia="Century Gothic"/>
      <w:sz w:val="20"/>
    </w:rPr>
  </w:style>
  <w:style w:type="paragraph" w:styleId="Heading5">
    <w:name w:val="heading 5"/>
    <w:basedOn w:val="Normal"/>
    <w:next w:val="Normal"/>
    <w:link w:val="Heading5Char"/>
    <w:uiPriority w:val="1"/>
    <w:semiHidden/>
    <w:qFormat/>
    <w:rsid w:val="00100070"/>
    <w:pPr>
      <w:keepNext/>
      <w:keepLines/>
      <w:spacing w:before="40" w:after="0"/>
      <w:outlineLvl w:val="4"/>
    </w:pPr>
    <w:rPr>
      <w:rFonts w:asciiTheme="majorHAnsi" w:hAnsiTheme="majorHAnsi" w:cstheme="majorBidi"/>
      <w:color w:val="585858" w:themeColor="text2"/>
    </w:rPr>
  </w:style>
  <w:style w:type="paragraph" w:styleId="Heading6">
    <w:name w:val="heading 6"/>
    <w:basedOn w:val="Normal"/>
    <w:next w:val="Normal"/>
    <w:link w:val="Heading6Char"/>
    <w:uiPriority w:val="1"/>
    <w:semiHidden/>
    <w:qFormat/>
    <w:rsid w:val="00100070"/>
    <w:pPr>
      <w:keepNext/>
      <w:keepLines/>
      <w:spacing w:before="40" w:after="0"/>
      <w:outlineLvl w:val="5"/>
    </w:pPr>
    <w:rPr>
      <w:rFonts w:asciiTheme="majorHAnsi" w:hAnsiTheme="majorHAnsi" w:cstheme="majorBidi"/>
      <w:color w:val="1D336D" w:themeColor="background2"/>
    </w:rPr>
  </w:style>
  <w:style w:type="paragraph" w:styleId="Heading7">
    <w:name w:val="heading 7"/>
    <w:basedOn w:val="Normal"/>
    <w:next w:val="Normal"/>
    <w:link w:val="Heading7Char"/>
    <w:uiPriority w:val="1"/>
    <w:semiHidden/>
    <w:qFormat/>
    <w:rsid w:val="00100070"/>
    <w:pPr>
      <w:keepNext/>
      <w:keepLines/>
      <w:spacing w:before="40" w:after="0"/>
      <w:outlineLvl w:val="6"/>
    </w:pPr>
    <w:rPr>
      <w:rFonts w:asciiTheme="majorHAnsi" w:hAnsiTheme="majorHAnsi" w:cstheme="majorBidi"/>
      <w:i/>
      <w:iCs/>
      <w:color w:val="585858" w:themeColor="text2"/>
    </w:rPr>
  </w:style>
  <w:style w:type="paragraph" w:styleId="Heading8">
    <w:name w:val="heading 8"/>
    <w:basedOn w:val="Normal"/>
    <w:next w:val="Normal"/>
    <w:link w:val="Heading8Char"/>
    <w:uiPriority w:val="1"/>
    <w:semiHidden/>
    <w:qFormat/>
    <w:rsid w:val="00100070"/>
    <w:pPr>
      <w:keepNext/>
      <w:keepLines/>
      <w:spacing w:before="240"/>
      <w:outlineLvl w:val="7"/>
    </w:pPr>
    <w:rPr>
      <w:rFonts w:asciiTheme="majorHAnsi" w:hAnsiTheme="majorHAnsi" w:cstheme="majorBidi"/>
      <w:i/>
      <w:color w:val="1D336D" w:themeColor="background2"/>
      <w:szCs w:val="21"/>
    </w:rPr>
  </w:style>
  <w:style w:type="paragraph" w:styleId="Heading9">
    <w:name w:val="heading 9"/>
    <w:basedOn w:val="Normal"/>
    <w:next w:val="Normal"/>
    <w:link w:val="Heading9Char"/>
    <w:uiPriority w:val="1"/>
    <w:semiHidden/>
    <w:qFormat/>
    <w:rsid w:val="00100070"/>
    <w:pPr>
      <w:keepNext/>
      <w:keepLines/>
      <w:spacing w:before="240"/>
      <w:outlineLvl w:val="8"/>
    </w:pPr>
    <w:rPr>
      <w:rFonts w:asciiTheme="majorHAnsi" w:hAnsiTheme="majorHAnsi" w:cstheme="majorBidi"/>
      <w:i/>
      <w:iCs/>
      <w:color w:val="00000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semiHidden/>
    <w:rsid w:val="00827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29"/>
    <w:semiHidden/>
    <w:rsid w:val="00BD2E72"/>
    <w:pPr>
      <w:spacing w:after="0" w:line="240" w:lineRule="auto"/>
    </w:pPr>
    <w:rPr>
      <w:color w:val="FFFFFF"/>
    </w:rPr>
  </w:style>
  <w:style w:type="character" w:customStyle="1" w:styleId="HeaderChar">
    <w:name w:val="Header Char"/>
    <w:basedOn w:val="DefaultParagraphFont"/>
    <w:link w:val="Header"/>
    <w:uiPriority w:val="29"/>
    <w:semiHidden/>
    <w:rsid w:val="00310B3A"/>
    <w:rPr>
      <w:rFonts w:asciiTheme="minorHAnsi" w:eastAsiaTheme="majorEastAsia" w:hAnsiTheme="minorHAnsi" w:cs="Calibri"/>
      <w:color w:val="FFFFFF"/>
      <w:szCs w:val="24"/>
    </w:rPr>
  </w:style>
  <w:style w:type="paragraph" w:styleId="Footer">
    <w:name w:val="footer"/>
    <w:basedOn w:val="Normal"/>
    <w:link w:val="FooterChar"/>
    <w:uiPriority w:val="21"/>
    <w:qFormat/>
    <w:rsid w:val="00145656"/>
    <w:pPr>
      <w:spacing w:after="0" w:line="240" w:lineRule="auto"/>
    </w:pPr>
    <w:rPr>
      <w:color w:val="1D336D" w:themeColor="background2"/>
      <w:sz w:val="18"/>
    </w:rPr>
  </w:style>
  <w:style w:type="character" w:customStyle="1" w:styleId="FooterChar">
    <w:name w:val="Footer Char"/>
    <w:basedOn w:val="DefaultParagraphFont"/>
    <w:link w:val="Footer"/>
    <w:uiPriority w:val="21"/>
    <w:rsid w:val="00145656"/>
    <w:rPr>
      <w:rFonts w:asciiTheme="minorHAnsi" w:eastAsiaTheme="majorEastAsia" w:hAnsiTheme="minorHAnsi" w:cs="Calibri"/>
      <w:color w:val="1D336D" w:themeColor="background2"/>
      <w:sz w:val="18"/>
      <w:szCs w:val="24"/>
    </w:rPr>
  </w:style>
  <w:style w:type="paragraph" w:styleId="BalloonText">
    <w:name w:val="Balloon Text"/>
    <w:basedOn w:val="Normal"/>
    <w:link w:val="BalloonTextChar"/>
    <w:uiPriority w:val="29"/>
    <w:semiHidden/>
    <w:rsid w:val="006753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29"/>
    <w:semiHidden/>
    <w:rsid w:val="00E4514E"/>
    <w:rPr>
      <w:rFonts w:ascii="Tahoma" w:hAnsi="Tahoma" w:cs="Tahoma"/>
      <w:sz w:val="16"/>
      <w:szCs w:val="16"/>
    </w:rPr>
  </w:style>
  <w:style w:type="paragraph" w:customStyle="1" w:styleId="Detail">
    <w:name w:val="Detail"/>
    <w:basedOn w:val="Normal"/>
    <w:uiPriority w:val="50"/>
    <w:semiHidden/>
    <w:rsid w:val="00A67C11"/>
  </w:style>
  <w:style w:type="paragraph" w:styleId="ListNumber">
    <w:name w:val="List Number"/>
    <w:basedOn w:val="Normal"/>
    <w:link w:val="ListNumberChar"/>
    <w:uiPriority w:val="3"/>
    <w:qFormat/>
    <w:rsid w:val="00D4310E"/>
    <w:pPr>
      <w:numPr>
        <w:numId w:val="13"/>
      </w:numPr>
      <w:spacing w:after="120"/>
    </w:pPr>
    <w:rPr>
      <w:rFonts w:eastAsia="Century Gothic" w:cstheme="minorBidi"/>
      <w:szCs w:val="20"/>
      <w:lang w:eastAsia="en-US"/>
    </w:rPr>
  </w:style>
  <w:style w:type="paragraph" w:styleId="ListBullet">
    <w:name w:val="List Bullet"/>
    <w:basedOn w:val="Normal"/>
    <w:uiPriority w:val="3"/>
    <w:qFormat/>
    <w:rsid w:val="00596177"/>
    <w:pPr>
      <w:numPr>
        <w:numId w:val="11"/>
      </w:numPr>
      <w:spacing w:after="120"/>
    </w:pPr>
    <w:rPr>
      <w:rFonts w:eastAsia="Century Gothic" w:cstheme="minorBidi"/>
      <w:szCs w:val="20"/>
      <w:lang w:eastAsia="en-US"/>
    </w:rPr>
  </w:style>
  <w:style w:type="paragraph" w:styleId="Date">
    <w:name w:val="Date"/>
    <w:basedOn w:val="Normal"/>
    <w:next w:val="Normal"/>
    <w:link w:val="DateChar"/>
    <w:uiPriority w:val="49"/>
    <w:semiHidden/>
    <w:rsid w:val="00F958EC"/>
    <w:pPr>
      <w:spacing w:after="0" w:line="240" w:lineRule="auto"/>
    </w:pPr>
    <w:rPr>
      <w:rFonts w:ascii="Corpid C1 SCd Regular" w:hAnsi="Corpid C1 SCd Regular"/>
      <w:color w:val="FFFFFF"/>
    </w:rPr>
  </w:style>
  <w:style w:type="character" w:customStyle="1" w:styleId="DateChar">
    <w:name w:val="Date Char"/>
    <w:basedOn w:val="DefaultParagraphFont"/>
    <w:link w:val="Date"/>
    <w:uiPriority w:val="49"/>
    <w:semiHidden/>
    <w:rsid w:val="00310B3A"/>
    <w:rPr>
      <w:rFonts w:ascii="Corpid C1 SCd Regular" w:eastAsiaTheme="majorEastAsia" w:hAnsi="Corpid C1 SCd Regular" w:cs="Calibri"/>
      <w:color w:val="FFFFFF"/>
      <w:szCs w:val="24"/>
    </w:rPr>
  </w:style>
  <w:style w:type="character" w:styleId="PlaceholderText">
    <w:name w:val="Placeholder Text"/>
    <w:basedOn w:val="DefaultParagraphFont"/>
    <w:uiPriority w:val="99"/>
    <w:semiHidden/>
    <w:rsid w:val="00415976"/>
    <w:rPr>
      <w:vanish w:val="0"/>
      <w:color w:val="FF0000"/>
    </w:rPr>
  </w:style>
  <w:style w:type="numbering" w:customStyle="1" w:styleId="AlphaList">
    <w:name w:val="_Alpha List"/>
    <w:uiPriority w:val="99"/>
    <w:rsid w:val="00581230"/>
    <w:pPr>
      <w:numPr>
        <w:numId w:val="1"/>
      </w:numPr>
    </w:pPr>
  </w:style>
  <w:style w:type="character" w:customStyle="1" w:styleId="Heading5Char">
    <w:name w:val="Heading 5 Char"/>
    <w:basedOn w:val="DefaultParagraphFont"/>
    <w:link w:val="Heading5"/>
    <w:uiPriority w:val="1"/>
    <w:semiHidden/>
    <w:rsid w:val="000E3939"/>
    <w:rPr>
      <w:rFonts w:asciiTheme="majorHAnsi" w:eastAsiaTheme="majorEastAsia" w:hAnsiTheme="majorHAnsi" w:cstheme="majorBidi"/>
      <w:color w:val="585858" w:themeColor="text2"/>
      <w:szCs w:val="24"/>
    </w:rPr>
  </w:style>
  <w:style w:type="paragraph" w:customStyle="1" w:styleId="TableHeading">
    <w:name w:val="Table Heading"/>
    <w:basedOn w:val="Normal"/>
    <w:link w:val="TableHeadingChar"/>
    <w:uiPriority w:val="9"/>
    <w:qFormat/>
    <w:rsid w:val="00885AF8"/>
    <w:pPr>
      <w:numPr>
        <w:numId w:val="8"/>
      </w:numPr>
      <w:spacing w:before="20" w:after="20" w:line="240" w:lineRule="auto"/>
    </w:pPr>
    <w:rPr>
      <w:rFonts w:eastAsia="Century Gothic"/>
      <w:b/>
      <w:bCs/>
      <w:color w:val="FFFFFF"/>
      <w:lang w:eastAsia="en-US"/>
    </w:rPr>
  </w:style>
  <w:style w:type="paragraph" w:styleId="Title">
    <w:name w:val="Title"/>
    <w:basedOn w:val="Normal"/>
    <w:next w:val="Subtitle"/>
    <w:link w:val="TitleChar"/>
    <w:uiPriority w:val="49"/>
    <w:semiHidden/>
    <w:rsid w:val="00F2411F"/>
    <w:pPr>
      <w:pageBreakBefore/>
      <w:framePr w:w="8964" w:wrap="notBeside" w:vAnchor="text" w:hAnchor="text" w:yAlign="top"/>
      <w:spacing w:before="240"/>
      <w:outlineLvl w:val="0"/>
    </w:pPr>
    <w:rPr>
      <w:rFonts w:asciiTheme="majorHAnsi" w:hAnsiTheme="majorHAnsi"/>
      <w:b/>
      <w:bCs/>
      <w:iCs/>
      <w:color w:val="585858" w:themeColor="text2"/>
      <w:sz w:val="40"/>
      <w:szCs w:val="28"/>
    </w:rPr>
  </w:style>
  <w:style w:type="character" w:customStyle="1" w:styleId="TitleChar">
    <w:name w:val="Title Char"/>
    <w:basedOn w:val="DefaultParagraphFont"/>
    <w:link w:val="Title"/>
    <w:uiPriority w:val="49"/>
    <w:semiHidden/>
    <w:rsid w:val="00310B3A"/>
    <w:rPr>
      <w:rFonts w:asciiTheme="majorHAnsi" w:eastAsiaTheme="majorEastAsia" w:hAnsiTheme="majorHAnsi" w:cs="Calibri"/>
      <w:b/>
      <w:bCs/>
      <w:iCs/>
      <w:color w:val="585858" w:themeColor="text2"/>
      <w:sz w:val="40"/>
      <w:szCs w:val="28"/>
    </w:rPr>
  </w:style>
  <w:style w:type="table" w:styleId="ListTable3-Accent1">
    <w:name w:val="List Table 3 Accent 1"/>
    <w:basedOn w:val="TableNormal"/>
    <w:uiPriority w:val="98"/>
    <w:semiHidden/>
    <w:rsid w:val="007E01F1"/>
    <w:rPr>
      <w:rFonts w:asciiTheme="minorHAnsi" w:eastAsia="Century Gothic" w:hAnsiTheme="minorHAnsi" w:cstheme="minorBidi"/>
      <w:lang w:eastAsia="en-US"/>
    </w:rPr>
    <w:tblPr>
      <w:tblStyleRowBandSize w:val="1"/>
      <w:tblStyleColBandSize w:val="1"/>
      <w:tblInd w:w="57" w:type="dxa"/>
      <w:tblBorders>
        <w:top w:val="single" w:sz="4" w:space="0" w:color="63D0DF" w:themeColor="accent1"/>
        <w:left w:val="single" w:sz="4" w:space="0" w:color="63D0DF" w:themeColor="accent1"/>
        <w:bottom w:val="single" w:sz="4" w:space="0" w:color="63D0DF" w:themeColor="accent1"/>
        <w:right w:val="single" w:sz="4" w:space="0" w:color="63D0DF" w:themeColor="accent1"/>
      </w:tblBorders>
      <w:tblCellMar>
        <w:top w:w="57" w:type="dxa"/>
        <w:left w:w="57" w:type="dxa"/>
        <w:bottom w:w="57" w:type="dxa"/>
        <w:right w:w="57" w:type="dxa"/>
      </w:tblCellMar>
    </w:tblPr>
    <w:tblStylePr w:type="firstRow">
      <w:rPr>
        <w:b/>
        <w:bCs/>
        <w:color w:val="FFFFFF" w:themeColor="background1"/>
      </w:rPr>
      <w:tblPr/>
      <w:tcPr>
        <w:shd w:val="clear" w:color="auto" w:fill="63D0DF" w:themeFill="accent1"/>
      </w:tcPr>
    </w:tblStylePr>
    <w:tblStylePr w:type="lastRow">
      <w:rPr>
        <w:b/>
        <w:bCs/>
      </w:rPr>
      <w:tblPr/>
      <w:tcPr>
        <w:tcBorders>
          <w:top w:val="double" w:sz="4" w:space="0" w:color="63D0D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3D0DF" w:themeColor="accent1"/>
          <w:right w:val="single" w:sz="4" w:space="0" w:color="63D0DF" w:themeColor="accent1"/>
        </w:tcBorders>
      </w:tcPr>
    </w:tblStylePr>
    <w:tblStylePr w:type="band1Horz">
      <w:tblPr/>
      <w:tcPr>
        <w:tcBorders>
          <w:top w:val="single" w:sz="4" w:space="0" w:color="63D0DF" w:themeColor="accent1"/>
          <w:bottom w:val="single" w:sz="4" w:space="0" w:color="63D0D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3D0DF" w:themeColor="accent1"/>
          <w:left w:val="nil"/>
        </w:tcBorders>
      </w:tcPr>
    </w:tblStylePr>
    <w:tblStylePr w:type="swCell">
      <w:tblPr/>
      <w:tcPr>
        <w:tcBorders>
          <w:top w:val="double" w:sz="4" w:space="0" w:color="63D0DF" w:themeColor="accent1"/>
          <w:right w:val="nil"/>
        </w:tcBorders>
      </w:tcPr>
    </w:tblStylePr>
  </w:style>
  <w:style w:type="numbering" w:customStyle="1" w:styleId="Bullets">
    <w:name w:val="_Bullets"/>
    <w:uiPriority w:val="99"/>
    <w:rsid w:val="00847E29"/>
    <w:pPr>
      <w:numPr>
        <w:numId w:val="2"/>
      </w:numPr>
    </w:pPr>
  </w:style>
  <w:style w:type="numbering" w:customStyle="1" w:styleId="NumberedList">
    <w:name w:val="_Numbered List"/>
    <w:uiPriority w:val="99"/>
    <w:rsid w:val="0091567C"/>
    <w:pPr>
      <w:numPr>
        <w:numId w:val="3"/>
      </w:numPr>
    </w:pPr>
  </w:style>
  <w:style w:type="paragraph" w:styleId="List">
    <w:name w:val="List"/>
    <w:basedOn w:val="Normal"/>
    <w:uiPriority w:val="3"/>
    <w:qFormat/>
    <w:rsid w:val="00581230"/>
    <w:pPr>
      <w:numPr>
        <w:numId w:val="12"/>
      </w:numPr>
    </w:pPr>
    <w:rPr>
      <w:rFonts w:eastAsia="Century Gothic" w:cstheme="minorBidi"/>
      <w:szCs w:val="20"/>
      <w:lang w:eastAsia="en-US"/>
    </w:rPr>
  </w:style>
  <w:style w:type="paragraph" w:styleId="List2">
    <w:name w:val="List 2"/>
    <w:basedOn w:val="Normal"/>
    <w:uiPriority w:val="3"/>
    <w:unhideWhenUsed/>
    <w:rsid w:val="00581230"/>
    <w:pPr>
      <w:numPr>
        <w:ilvl w:val="1"/>
        <w:numId w:val="12"/>
      </w:numPr>
    </w:pPr>
    <w:rPr>
      <w:rFonts w:eastAsia="Century Gothic" w:cstheme="minorBidi"/>
      <w:szCs w:val="20"/>
      <w:lang w:eastAsia="en-US"/>
    </w:rPr>
  </w:style>
  <w:style w:type="paragraph" w:styleId="List3">
    <w:name w:val="List 3"/>
    <w:basedOn w:val="Normal"/>
    <w:uiPriority w:val="3"/>
    <w:unhideWhenUsed/>
    <w:rsid w:val="00581230"/>
    <w:pPr>
      <w:numPr>
        <w:ilvl w:val="2"/>
        <w:numId w:val="12"/>
      </w:numPr>
      <w:spacing w:after="233" w:line="240" w:lineRule="auto"/>
    </w:pPr>
    <w:rPr>
      <w:rFonts w:eastAsia="Century Gothic" w:cstheme="minorBidi"/>
      <w:szCs w:val="20"/>
      <w:lang w:eastAsia="en-US"/>
    </w:rPr>
  </w:style>
  <w:style w:type="paragraph" w:styleId="ListNumber2">
    <w:name w:val="List Number 2"/>
    <w:basedOn w:val="Normal"/>
    <w:uiPriority w:val="3"/>
    <w:rsid w:val="00D4310E"/>
    <w:pPr>
      <w:numPr>
        <w:ilvl w:val="1"/>
        <w:numId w:val="13"/>
      </w:numPr>
      <w:spacing w:after="120"/>
    </w:pPr>
    <w:rPr>
      <w:rFonts w:eastAsia="Century Gothic" w:cstheme="minorBidi"/>
      <w:szCs w:val="20"/>
      <w:lang w:eastAsia="en-US"/>
    </w:rPr>
  </w:style>
  <w:style w:type="paragraph" w:styleId="ListNumber3">
    <w:name w:val="List Number 3"/>
    <w:basedOn w:val="Normal"/>
    <w:uiPriority w:val="3"/>
    <w:rsid w:val="00D4310E"/>
    <w:pPr>
      <w:numPr>
        <w:ilvl w:val="2"/>
        <w:numId w:val="13"/>
      </w:numPr>
      <w:spacing w:after="120"/>
    </w:pPr>
    <w:rPr>
      <w:rFonts w:eastAsia="Century Gothic" w:cstheme="minorBidi"/>
      <w:szCs w:val="20"/>
      <w:lang w:eastAsia="en-US"/>
    </w:rPr>
  </w:style>
  <w:style w:type="paragraph" w:styleId="ListNumber4">
    <w:name w:val="List Number 4"/>
    <w:basedOn w:val="Normal"/>
    <w:uiPriority w:val="50"/>
    <w:semiHidden/>
    <w:rsid w:val="0091567C"/>
    <w:pPr>
      <w:spacing w:after="100" w:line="240" w:lineRule="auto"/>
      <w:contextualSpacing/>
    </w:pPr>
    <w:rPr>
      <w:rFonts w:eastAsia="Century Gothic" w:cstheme="minorBidi"/>
      <w:szCs w:val="20"/>
      <w:lang w:eastAsia="en-US"/>
    </w:rPr>
  </w:style>
  <w:style w:type="paragraph" w:styleId="ListNumber5">
    <w:name w:val="List Number 5"/>
    <w:basedOn w:val="Normal"/>
    <w:uiPriority w:val="50"/>
    <w:semiHidden/>
    <w:rsid w:val="0091567C"/>
    <w:pPr>
      <w:spacing w:after="100" w:line="240" w:lineRule="auto"/>
      <w:contextualSpacing/>
    </w:pPr>
    <w:rPr>
      <w:rFonts w:eastAsia="Century Gothic" w:cstheme="minorBidi"/>
      <w:szCs w:val="20"/>
      <w:lang w:eastAsia="en-US"/>
    </w:rPr>
  </w:style>
  <w:style w:type="table" w:styleId="GridTable1Light">
    <w:name w:val="Grid Table 1 Light"/>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57" w:type="dxa"/>
        <w:left w:w="57" w:type="dxa"/>
        <w:bottom w:w="57" w:type="dxa"/>
        <w:right w:w="57"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C0ECF2" w:themeColor="accent1" w:themeTint="66"/>
        <w:left w:val="single" w:sz="4" w:space="0" w:color="C0ECF2" w:themeColor="accent1" w:themeTint="66"/>
        <w:bottom w:val="single" w:sz="4" w:space="0" w:color="C0ECF2" w:themeColor="accent1" w:themeTint="66"/>
        <w:right w:val="single" w:sz="4" w:space="0" w:color="C0ECF2" w:themeColor="accent1" w:themeTint="66"/>
        <w:insideH w:val="single" w:sz="4" w:space="0" w:color="C0ECF2" w:themeColor="accent1" w:themeTint="66"/>
        <w:insideV w:val="single" w:sz="4" w:space="0" w:color="C0ECF2" w:themeColor="accent1" w:themeTint="66"/>
      </w:tblBorders>
      <w:tblCellMar>
        <w:top w:w="57" w:type="dxa"/>
        <w:left w:w="57" w:type="dxa"/>
        <w:bottom w:w="57" w:type="dxa"/>
        <w:right w:w="57" w:type="dxa"/>
      </w:tblCellMar>
    </w:tblPr>
    <w:tblStylePr w:type="firstRow">
      <w:rPr>
        <w:b/>
        <w:bCs/>
      </w:rPr>
      <w:tblPr/>
      <w:tcPr>
        <w:tcBorders>
          <w:bottom w:val="single" w:sz="12" w:space="0" w:color="A1E2EB" w:themeColor="accent1" w:themeTint="99"/>
        </w:tcBorders>
      </w:tcPr>
    </w:tblStylePr>
    <w:tblStylePr w:type="lastRow">
      <w:rPr>
        <w:b/>
        <w:bCs/>
      </w:rPr>
      <w:tblPr/>
      <w:tcPr>
        <w:tcBorders>
          <w:top w:val="double" w:sz="2" w:space="0" w:color="A1E2E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E9E9E9" w:themeColor="accent2" w:themeTint="66"/>
        <w:left w:val="single" w:sz="4" w:space="0" w:color="E9E9E9" w:themeColor="accent2" w:themeTint="66"/>
        <w:bottom w:val="single" w:sz="4" w:space="0" w:color="E9E9E9" w:themeColor="accent2" w:themeTint="66"/>
        <w:right w:val="single" w:sz="4" w:space="0" w:color="E9E9E9" w:themeColor="accent2" w:themeTint="66"/>
        <w:insideH w:val="single" w:sz="4" w:space="0" w:color="E9E9E9" w:themeColor="accent2" w:themeTint="66"/>
        <w:insideV w:val="single" w:sz="4" w:space="0" w:color="E9E9E9" w:themeColor="accent2" w:themeTint="66"/>
      </w:tblBorders>
      <w:tblCellMar>
        <w:top w:w="57" w:type="dxa"/>
        <w:left w:w="57" w:type="dxa"/>
        <w:bottom w:w="57" w:type="dxa"/>
        <w:right w:w="57" w:type="dxa"/>
      </w:tblCellMar>
    </w:tblPr>
    <w:tblStylePr w:type="firstRow">
      <w:rPr>
        <w:b/>
        <w:bCs/>
      </w:rPr>
      <w:tblPr/>
      <w:tcPr>
        <w:tcBorders>
          <w:bottom w:val="single" w:sz="12" w:space="0" w:color="DEDEDF" w:themeColor="accent2" w:themeTint="99"/>
        </w:tcBorders>
      </w:tcPr>
    </w:tblStylePr>
    <w:tblStylePr w:type="lastRow">
      <w:rPr>
        <w:b/>
        <w:bCs/>
      </w:rPr>
      <w:tblPr/>
      <w:tcPr>
        <w:tcBorders>
          <w:top w:val="double" w:sz="2" w:space="0" w:color="DEDED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C0ECF2" w:themeColor="accent3" w:themeTint="66"/>
        <w:left w:val="single" w:sz="4" w:space="0" w:color="C0ECF2" w:themeColor="accent3" w:themeTint="66"/>
        <w:bottom w:val="single" w:sz="4" w:space="0" w:color="C0ECF2" w:themeColor="accent3" w:themeTint="66"/>
        <w:right w:val="single" w:sz="4" w:space="0" w:color="C0ECF2" w:themeColor="accent3" w:themeTint="66"/>
        <w:insideH w:val="single" w:sz="4" w:space="0" w:color="C0ECF2" w:themeColor="accent3" w:themeTint="66"/>
        <w:insideV w:val="single" w:sz="4" w:space="0" w:color="C0ECF2" w:themeColor="accent3" w:themeTint="66"/>
      </w:tblBorders>
      <w:tblCellMar>
        <w:top w:w="57" w:type="dxa"/>
        <w:left w:w="57" w:type="dxa"/>
        <w:bottom w:w="57" w:type="dxa"/>
        <w:right w:w="57" w:type="dxa"/>
      </w:tblCellMar>
    </w:tblPr>
    <w:tblStylePr w:type="firstRow">
      <w:rPr>
        <w:b/>
        <w:bCs/>
      </w:rPr>
      <w:tblPr/>
      <w:tcPr>
        <w:tcBorders>
          <w:bottom w:val="single" w:sz="12" w:space="0" w:color="A1E2EB" w:themeColor="accent3" w:themeTint="99"/>
        </w:tcBorders>
      </w:tcPr>
    </w:tblStylePr>
    <w:tblStylePr w:type="lastRow">
      <w:rPr>
        <w:b/>
        <w:bCs/>
      </w:rPr>
      <w:tblPr/>
      <w:tcPr>
        <w:tcBorders>
          <w:top w:val="double" w:sz="2" w:space="0" w:color="A1E2E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D9D9D9" w:themeColor="accent4" w:themeTint="66"/>
        <w:left w:val="single" w:sz="4" w:space="0" w:color="D9D9D9" w:themeColor="accent4" w:themeTint="66"/>
        <w:bottom w:val="single" w:sz="4" w:space="0" w:color="D9D9D9" w:themeColor="accent4" w:themeTint="66"/>
        <w:right w:val="single" w:sz="4" w:space="0" w:color="D9D9D9" w:themeColor="accent4" w:themeTint="66"/>
        <w:insideH w:val="single" w:sz="4" w:space="0" w:color="D9D9D9" w:themeColor="accent4" w:themeTint="66"/>
        <w:insideV w:val="single" w:sz="4" w:space="0" w:color="D9D9D9" w:themeColor="accent4" w:themeTint="66"/>
      </w:tblBorders>
      <w:tblCellMar>
        <w:top w:w="57" w:type="dxa"/>
        <w:left w:w="57" w:type="dxa"/>
        <w:bottom w:w="57" w:type="dxa"/>
        <w:right w:w="57" w:type="dxa"/>
      </w:tblCellMar>
    </w:tblPr>
    <w:tblStylePr w:type="firstRow">
      <w:rPr>
        <w:b/>
        <w:bCs/>
      </w:rPr>
      <w:tblPr/>
      <w:tcPr>
        <w:tcBorders>
          <w:bottom w:val="single" w:sz="12" w:space="0" w:color="C6C6C6" w:themeColor="accent4" w:themeTint="99"/>
        </w:tcBorders>
      </w:tcPr>
    </w:tblStylePr>
    <w:tblStylePr w:type="lastRow">
      <w:rPr>
        <w:b/>
        <w:bCs/>
      </w:rPr>
      <w:tblPr/>
      <w:tcPr>
        <w:tcBorders>
          <w:top w:val="double" w:sz="2" w:space="0" w:color="C6C6C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C0ECF2" w:themeColor="accent5" w:themeTint="66"/>
        <w:left w:val="single" w:sz="4" w:space="0" w:color="C0ECF2" w:themeColor="accent5" w:themeTint="66"/>
        <w:bottom w:val="single" w:sz="4" w:space="0" w:color="C0ECF2" w:themeColor="accent5" w:themeTint="66"/>
        <w:right w:val="single" w:sz="4" w:space="0" w:color="C0ECF2" w:themeColor="accent5" w:themeTint="66"/>
        <w:insideH w:val="single" w:sz="4" w:space="0" w:color="C0ECF2" w:themeColor="accent5" w:themeTint="66"/>
        <w:insideV w:val="single" w:sz="4" w:space="0" w:color="C0ECF2" w:themeColor="accent5" w:themeTint="66"/>
      </w:tblBorders>
      <w:tblCellMar>
        <w:top w:w="57" w:type="dxa"/>
        <w:left w:w="57" w:type="dxa"/>
        <w:bottom w:w="57" w:type="dxa"/>
        <w:right w:w="57" w:type="dxa"/>
      </w:tblCellMar>
    </w:tblPr>
    <w:tblStylePr w:type="firstRow">
      <w:rPr>
        <w:b/>
        <w:bCs/>
      </w:rPr>
      <w:tblPr/>
      <w:tcPr>
        <w:tcBorders>
          <w:bottom w:val="single" w:sz="12" w:space="0" w:color="A1E2EB" w:themeColor="accent5" w:themeTint="99"/>
        </w:tcBorders>
      </w:tcPr>
    </w:tblStylePr>
    <w:tblStylePr w:type="lastRow">
      <w:rPr>
        <w:b/>
        <w:bCs/>
      </w:rPr>
      <w:tblPr/>
      <w:tcPr>
        <w:tcBorders>
          <w:top w:val="double" w:sz="2" w:space="0" w:color="A1E2E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D9D9D9" w:themeColor="accent6" w:themeTint="66"/>
        <w:left w:val="single" w:sz="4" w:space="0" w:color="D9D9D9" w:themeColor="accent6" w:themeTint="66"/>
        <w:bottom w:val="single" w:sz="4" w:space="0" w:color="D9D9D9" w:themeColor="accent6" w:themeTint="66"/>
        <w:right w:val="single" w:sz="4" w:space="0" w:color="D9D9D9" w:themeColor="accent6" w:themeTint="66"/>
        <w:insideH w:val="single" w:sz="4" w:space="0" w:color="D9D9D9" w:themeColor="accent6" w:themeTint="66"/>
        <w:insideV w:val="single" w:sz="4" w:space="0" w:color="D9D9D9" w:themeColor="accent6" w:themeTint="66"/>
      </w:tblBorders>
      <w:tblCellMar>
        <w:top w:w="57" w:type="dxa"/>
        <w:left w:w="57" w:type="dxa"/>
        <w:bottom w:w="57" w:type="dxa"/>
        <w:right w:w="57" w:type="dxa"/>
      </w:tblCellMar>
    </w:tblPr>
    <w:tblStylePr w:type="firstRow">
      <w:rPr>
        <w:b/>
        <w:bCs/>
      </w:rPr>
      <w:tblPr/>
      <w:tcPr>
        <w:tcBorders>
          <w:bottom w:val="single" w:sz="12" w:space="0" w:color="C6C6C6" w:themeColor="accent6" w:themeTint="99"/>
        </w:tcBorders>
      </w:tcPr>
    </w:tblStylePr>
    <w:tblStylePr w:type="lastRow">
      <w:rPr>
        <w:b/>
        <w:bCs/>
      </w:rPr>
      <w:tblPr/>
      <w:tcPr>
        <w:tcBorders>
          <w:top w:val="double" w:sz="2" w:space="0" w:color="C6C6C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57" w:type="dxa"/>
        <w:left w:w="57" w:type="dxa"/>
        <w:bottom w:w="57" w:type="dxa"/>
        <w:right w:w="57"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2" w:space="0" w:color="A1E2EB" w:themeColor="accent1" w:themeTint="99"/>
        <w:bottom w:val="single" w:sz="2" w:space="0" w:color="A1E2EB" w:themeColor="accent1" w:themeTint="99"/>
        <w:insideH w:val="single" w:sz="2" w:space="0" w:color="A1E2EB" w:themeColor="accent1" w:themeTint="99"/>
        <w:insideV w:val="single" w:sz="2" w:space="0" w:color="A1E2EB" w:themeColor="accent1" w:themeTint="99"/>
      </w:tblBorders>
      <w:tblCellMar>
        <w:top w:w="57" w:type="dxa"/>
        <w:left w:w="57" w:type="dxa"/>
        <w:bottom w:w="57" w:type="dxa"/>
        <w:right w:w="57" w:type="dxa"/>
      </w:tblCellMar>
    </w:tblPr>
    <w:tblStylePr w:type="firstRow">
      <w:rPr>
        <w:b/>
        <w:bCs/>
      </w:rPr>
      <w:tblPr/>
      <w:tcPr>
        <w:tcBorders>
          <w:top w:val="nil"/>
          <w:bottom w:val="single" w:sz="12" w:space="0" w:color="A1E2EB" w:themeColor="accent1" w:themeTint="99"/>
          <w:insideH w:val="nil"/>
          <w:insideV w:val="nil"/>
        </w:tcBorders>
        <w:shd w:val="clear" w:color="auto" w:fill="FFFFFF" w:themeFill="background1"/>
      </w:tcPr>
    </w:tblStylePr>
    <w:tblStylePr w:type="lastRow">
      <w:rPr>
        <w:b/>
        <w:bCs/>
      </w:rPr>
      <w:tblPr/>
      <w:tcPr>
        <w:tcBorders>
          <w:top w:val="double" w:sz="2" w:space="0" w:color="A1E2E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5F8" w:themeFill="accent1" w:themeFillTint="33"/>
      </w:tcPr>
    </w:tblStylePr>
    <w:tblStylePr w:type="band1Horz">
      <w:tblPr/>
      <w:tcPr>
        <w:shd w:val="clear" w:color="auto" w:fill="DFF5F8" w:themeFill="accent1" w:themeFillTint="33"/>
      </w:tcPr>
    </w:tblStylePr>
  </w:style>
  <w:style w:type="table" w:styleId="GridTable2-Accent2">
    <w:name w:val="Grid Table 2 Accent 2"/>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2" w:space="0" w:color="DEDEDF" w:themeColor="accent2" w:themeTint="99"/>
        <w:bottom w:val="single" w:sz="2" w:space="0" w:color="DEDEDF" w:themeColor="accent2" w:themeTint="99"/>
        <w:insideH w:val="single" w:sz="2" w:space="0" w:color="DEDEDF" w:themeColor="accent2" w:themeTint="99"/>
        <w:insideV w:val="single" w:sz="2" w:space="0" w:color="DEDEDF" w:themeColor="accent2" w:themeTint="99"/>
      </w:tblBorders>
      <w:tblCellMar>
        <w:top w:w="57" w:type="dxa"/>
        <w:left w:w="57" w:type="dxa"/>
        <w:bottom w:w="57" w:type="dxa"/>
        <w:right w:w="57" w:type="dxa"/>
      </w:tblCellMar>
    </w:tblPr>
    <w:tblStylePr w:type="firstRow">
      <w:rPr>
        <w:b/>
        <w:bCs/>
      </w:rPr>
      <w:tblPr/>
      <w:tcPr>
        <w:tcBorders>
          <w:top w:val="nil"/>
          <w:bottom w:val="single" w:sz="12" w:space="0" w:color="DEDEDF" w:themeColor="accent2" w:themeTint="99"/>
          <w:insideH w:val="nil"/>
          <w:insideV w:val="nil"/>
        </w:tcBorders>
        <w:shd w:val="clear" w:color="auto" w:fill="FFFFFF" w:themeFill="background1"/>
      </w:tcPr>
    </w:tblStylePr>
    <w:tblStylePr w:type="lastRow">
      <w:rPr>
        <w:b/>
        <w:bCs/>
      </w:rPr>
      <w:tblPr/>
      <w:tcPr>
        <w:tcBorders>
          <w:top w:val="double" w:sz="2" w:space="0" w:color="DEDED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4F4" w:themeFill="accent2" w:themeFillTint="33"/>
      </w:tcPr>
    </w:tblStylePr>
    <w:tblStylePr w:type="band1Horz">
      <w:tblPr/>
      <w:tcPr>
        <w:shd w:val="clear" w:color="auto" w:fill="F4F4F4" w:themeFill="accent2" w:themeFillTint="33"/>
      </w:tcPr>
    </w:tblStylePr>
  </w:style>
  <w:style w:type="table" w:styleId="GridTable2-Accent3">
    <w:name w:val="Grid Table 2 Accent 3"/>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2" w:space="0" w:color="A1E2EB" w:themeColor="accent3" w:themeTint="99"/>
        <w:bottom w:val="single" w:sz="2" w:space="0" w:color="A1E2EB" w:themeColor="accent3" w:themeTint="99"/>
        <w:insideH w:val="single" w:sz="2" w:space="0" w:color="A1E2EB" w:themeColor="accent3" w:themeTint="99"/>
        <w:insideV w:val="single" w:sz="2" w:space="0" w:color="A1E2EB" w:themeColor="accent3" w:themeTint="99"/>
      </w:tblBorders>
      <w:tblCellMar>
        <w:top w:w="57" w:type="dxa"/>
        <w:left w:w="57" w:type="dxa"/>
        <w:bottom w:w="57" w:type="dxa"/>
        <w:right w:w="57" w:type="dxa"/>
      </w:tblCellMar>
    </w:tblPr>
    <w:tblStylePr w:type="firstRow">
      <w:rPr>
        <w:b/>
        <w:bCs/>
      </w:rPr>
      <w:tblPr/>
      <w:tcPr>
        <w:tcBorders>
          <w:top w:val="nil"/>
          <w:bottom w:val="single" w:sz="12" w:space="0" w:color="A1E2EB" w:themeColor="accent3" w:themeTint="99"/>
          <w:insideH w:val="nil"/>
          <w:insideV w:val="nil"/>
        </w:tcBorders>
        <w:shd w:val="clear" w:color="auto" w:fill="FFFFFF" w:themeFill="background1"/>
      </w:tcPr>
    </w:tblStylePr>
    <w:tblStylePr w:type="lastRow">
      <w:rPr>
        <w:b/>
        <w:bCs/>
      </w:rPr>
      <w:tblPr/>
      <w:tcPr>
        <w:tcBorders>
          <w:top w:val="double" w:sz="2" w:space="0" w:color="A1E2E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5F8" w:themeFill="accent3" w:themeFillTint="33"/>
      </w:tcPr>
    </w:tblStylePr>
    <w:tblStylePr w:type="band1Horz">
      <w:tblPr/>
      <w:tcPr>
        <w:shd w:val="clear" w:color="auto" w:fill="DFF5F8" w:themeFill="accent3" w:themeFillTint="33"/>
      </w:tcPr>
    </w:tblStylePr>
  </w:style>
  <w:style w:type="table" w:styleId="GridTable2-Accent4">
    <w:name w:val="Grid Table 2 Accent 4"/>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2" w:space="0" w:color="C6C6C6" w:themeColor="accent4" w:themeTint="99"/>
        <w:bottom w:val="single" w:sz="2" w:space="0" w:color="C6C6C6" w:themeColor="accent4" w:themeTint="99"/>
        <w:insideH w:val="single" w:sz="2" w:space="0" w:color="C6C6C6" w:themeColor="accent4" w:themeTint="99"/>
        <w:insideV w:val="single" w:sz="2" w:space="0" w:color="C6C6C6" w:themeColor="accent4" w:themeTint="99"/>
      </w:tblBorders>
      <w:tblCellMar>
        <w:top w:w="57" w:type="dxa"/>
        <w:left w:w="57" w:type="dxa"/>
        <w:bottom w:w="57" w:type="dxa"/>
        <w:right w:w="57" w:type="dxa"/>
      </w:tblCellMar>
    </w:tblPr>
    <w:tblStylePr w:type="firstRow">
      <w:rPr>
        <w:b/>
        <w:bCs/>
      </w:rPr>
      <w:tblPr/>
      <w:tcPr>
        <w:tcBorders>
          <w:top w:val="nil"/>
          <w:bottom w:val="single" w:sz="12" w:space="0" w:color="C6C6C6" w:themeColor="accent4" w:themeTint="99"/>
          <w:insideH w:val="nil"/>
          <w:insideV w:val="nil"/>
        </w:tcBorders>
        <w:shd w:val="clear" w:color="auto" w:fill="FFFFFF" w:themeFill="background1"/>
      </w:tcPr>
    </w:tblStylePr>
    <w:tblStylePr w:type="lastRow">
      <w:rPr>
        <w:b/>
        <w:bCs/>
      </w:rPr>
      <w:tblPr/>
      <w:tcPr>
        <w:tcBorders>
          <w:top w:val="double" w:sz="2" w:space="0" w:color="C6C6C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ECEC" w:themeFill="accent4" w:themeFillTint="33"/>
      </w:tcPr>
    </w:tblStylePr>
    <w:tblStylePr w:type="band1Horz">
      <w:tblPr/>
      <w:tcPr>
        <w:shd w:val="clear" w:color="auto" w:fill="ECECEC" w:themeFill="accent4" w:themeFillTint="33"/>
      </w:tcPr>
    </w:tblStylePr>
  </w:style>
  <w:style w:type="table" w:styleId="GridTable2-Accent5">
    <w:name w:val="Grid Table 2 Accent 5"/>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2" w:space="0" w:color="A1E2EB" w:themeColor="accent5" w:themeTint="99"/>
        <w:bottom w:val="single" w:sz="2" w:space="0" w:color="A1E2EB" w:themeColor="accent5" w:themeTint="99"/>
        <w:insideH w:val="single" w:sz="2" w:space="0" w:color="A1E2EB" w:themeColor="accent5" w:themeTint="99"/>
        <w:insideV w:val="single" w:sz="2" w:space="0" w:color="A1E2EB" w:themeColor="accent5" w:themeTint="99"/>
      </w:tblBorders>
      <w:tblCellMar>
        <w:top w:w="57" w:type="dxa"/>
        <w:left w:w="57" w:type="dxa"/>
        <w:bottom w:w="57" w:type="dxa"/>
        <w:right w:w="57" w:type="dxa"/>
      </w:tblCellMar>
    </w:tblPr>
    <w:tblStylePr w:type="firstRow">
      <w:rPr>
        <w:b/>
        <w:bCs/>
      </w:rPr>
      <w:tblPr/>
      <w:tcPr>
        <w:tcBorders>
          <w:top w:val="nil"/>
          <w:bottom w:val="single" w:sz="12" w:space="0" w:color="A1E2EB" w:themeColor="accent5" w:themeTint="99"/>
          <w:insideH w:val="nil"/>
          <w:insideV w:val="nil"/>
        </w:tcBorders>
        <w:shd w:val="clear" w:color="auto" w:fill="FFFFFF" w:themeFill="background1"/>
      </w:tcPr>
    </w:tblStylePr>
    <w:tblStylePr w:type="lastRow">
      <w:rPr>
        <w:b/>
        <w:bCs/>
      </w:rPr>
      <w:tblPr/>
      <w:tcPr>
        <w:tcBorders>
          <w:top w:val="double" w:sz="2" w:space="0" w:color="A1E2E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5F8" w:themeFill="accent5" w:themeFillTint="33"/>
      </w:tcPr>
    </w:tblStylePr>
    <w:tblStylePr w:type="band1Horz">
      <w:tblPr/>
      <w:tcPr>
        <w:shd w:val="clear" w:color="auto" w:fill="DFF5F8" w:themeFill="accent5" w:themeFillTint="33"/>
      </w:tcPr>
    </w:tblStylePr>
  </w:style>
  <w:style w:type="table" w:styleId="GridTable2-Accent6">
    <w:name w:val="Grid Table 2 Accent 6"/>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2" w:space="0" w:color="C6C6C6" w:themeColor="accent6" w:themeTint="99"/>
        <w:bottom w:val="single" w:sz="2" w:space="0" w:color="C6C6C6" w:themeColor="accent6" w:themeTint="99"/>
        <w:insideH w:val="single" w:sz="2" w:space="0" w:color="C6C6C6" w:themeColor="accent6" w:themeTint="99"/>
        <w:insideV w:val="single" w:sz="2" w:space="0" w:color="C6C6C6" w:themeColor="accent6" w:themeTint="99"/>
      </w:tblBorders>
      <w:tblCellMar>
        <w:top w:w="57" w:type="dxa"/>
        <w:left w:w="57" w:type="dxa"/>
        <w:bottom w:w="57" w:type="dxa"/>
        <w:right w:w="57" w:type="dxa"/>
      </w:tblCellMar>
    </w:tblPr>
    <w:tblStylePr w:type="firstRow">
      <w:rPr>
        <w:b/>
        <w:bCs/>
      </w:rPr>
      <w:tblPr/>
      <w:tcPr>
        <w:tcBorders>
          <w:top w:val="nil"/>
          <w:bottom w:val="single" w:sz="12" w:space="0" w:color="C6C6C6" w:themeColor="accent6" w:themeTint="99"/>
          <w:insideH w:val="nil"/>
          <w:insideV w:val="nil"/>
        </w:tcBorders>
        <w:shd w:val="clear" w:color="auto" w:fill="FFFFFF" w:themeFill="background1"/>
      </w:tcPr>
    </w:tblStylePr>
    <w:tblStylePr w:type="lastRow">
      <w:rPr>
        <w:b/>
        <w:bCs/>
      </w:rPr>
      <w:tblPr/>
      <w:tcPr>
        <w:tcBorders>
          <w:top w:val="double" w:sz="2" w:space="0" w:color="C6C6C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ECEC" w:themeFill="accent6" w:themeFillTint="33"/>
      </w:tcPr>
    </w:tblStylePr>
    <w:tblStylePr w:type="band1Horz">
      <w:tblPr/>
      <w:tcPr>
        <w:shd w:val="clear" w:color="auto" w:fill="ECECEC" w:themeFill="accent6" w:themeFillTint="33"/>
      </w:tcPr>
    </w:tblStylePr>
  </w:style>
  <w:style w:type="table" w:styleId="GridTable3">
    <w:name w:val="Grid Table 3"/>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A1E2EB" w:themeColor="accent1" w:themeTint="99"/>
        <w:left w:val="single" w:sz="4" w:space="0" w:color="A1E2EB" w:themeColor="accent1" w:themeTint="99"/>
        <w:bottom w:val="single" w:sz="4" w:space="0" w:color="A1E2EB" w:themeColor="accent1" w:themeTint="99"/>
        <w:right w:val="single" w:sz="4" w:space="0" w:color="A1E2EB" w:themeColor="accent1" w:themeTint="99"/>
        <w:insideH w:val="single" w:sz="4" w:space="0" w:color="A1E2EB" w:themeColor="accent1" w:themeTint="99"/>
        <w:insideV w:val="single" w:sz="4" w:space="0" w:color="A1E2EB" w:themeColor="accent1"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5F8" w:themeFill="accent1" w:themeFillTint="33"/>
      </w:tcPr>
    </w:tblStylePr>
    <w:tblStylePr w:type="band1Horz">
      <w:tblPr/>
      <w:tcPr>
        <w:shd w:val="clear" w:color="auto" w:fill="DFF5F8" w:themeFill="accent1" w:themeFillTint="33"/>
      </w:tcPr>
    </w:tblStylePr>
    <w:tblStylePr w:type="neCell">
      <w:tblPr/>
      <w:tcPr>
        <w:tcBorders>
          <w:bottom w:val="single" w:sz="4" w:space="0" w:color="A1E2EB" w:themeColor="accent1" w:themeTint="99"/>
        </w:tcBorders>
      </w:tcPr>
    </w:tblStylePr>
    <w:tblStylePr w:type="nwCell">
      <w:tblPr/>
      <w:tcPr>
        <w:tcBorders>
          <w:bottom w:val="single" w:sz="4" w:space="0" w:color="A1E2EB" w:themeColor="accent1" w:themeTint="99"/>
        </w:tcBorders>
      </w:tcPr>
    </w:tblStylePr>
    <w:tblStylePr w:type="seCell">
      <w:tblPr/>
      <w:tcPr>
        <w:tcBorders>
          <w:top w:val="single" w:sz="4" w:space="0" w:color="A1E2EB" w:themeColor="accent1" w:themeTint="99"/>
        </w:tcBorders>
      </w:tcPr>
    </w:tblStylePr>
    <w:tblStylePr w:type="swCell">
      <w:tblPr/>
      <w:tcPr>
        <w:tcBorders>
          <w:top w:val="single" w:sz="4" w:space="0" w:color="A1E2EB" w:themeColor="accent1" w:themeTint="99"/>
        </w:tcBorders>
      </w:tcPr>
    </w:tblStylePr>
  </w:style>
  <w:style w:type="table" w:styleId="GridTable3-Accent2">
    <w:name w:val="Grid Table 3 Accent 2"/>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DEDEDF" w:themeColor="accent2" w:themeTint="99"/>
        <w:left w:val="single" w:sz="4" w:space="0" w:color="DEDEDF" w:themeColor="accent2" w:themeTint="99"/>
        <w:bottom w:val="single" w:sz="4" w:space="0" w:color="DEDEDF" w:themeColor="accent2" w:themeTint="99"/>
        <w:right w:val="single" w:sz="4" w:space="0" w:color="DEDEDF" w:themeColor="accent2" w:themeTint="99"/>
        <w:insideH w:val="single" w:sz="4" w:space="0" w:color="DEDEDF" w:themeColor="accent2" w:themeTint="99"/>
        <w:insideV w:val="single" w:sz="4" w:space="0" w:color="DEDEDF" w:themeColor="accent2"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4F4" w:themeFill="accent2" w:themeFillTint="33"/>
      </w:tcPr>
    </w:tblStylePr>
    <w:tblStylePr w:type="band1Horz">
      <w:tblPr/>
      <w:tcPr>
        <w:shd w:val="clear" w:color="auto" w:fill="F4F4F4" w:themeFill="accent2" w:themeFillTint="33"/>
      </w:tcPr>
    </w:tblStylePr>
    <w:tblStylePr w:type="neCell">
      <w:tblPr/>
      <w:tcPr>
        <w:tcBorders>
          <w:bottom w:val="single" w:sz="4" w:space="0" w:color="DEDEDF" w:themeColor="accent2" w:themeTint="99"/>
        </w:tcBorders>
      </w:tcPr>
    </w:tblStylePr>
    <w:tblStylePr w:type="nwCell">
      <w:tblPr/>
      <w:tcPr>
        <w:tcBorders>
          <w:bottom w:val="single" w:sz="4" w:space="0" w:color="DEDEDF" w:themeColor="accent2" w:themeTint="99"/>
        </w:tcBorders>
      </w:tcPr>
    </w:tblStylePr>
    <w:tblStylePr w:type="seCell">
      <w:tblPr/>
      <w:tcPr>
        <w:tcBorders>
          <w:top w:val="single" w:sz="4" w:space="0" w:color="DEDEDF" w:themeColor="accent2" w:themeTint="99"/>
        </w:tcBorders>
      </w:tcPr>
    </w:tblStylePr>
    <w:tblStylePr w:type="swCell">
      <w:tblPr/>
      <w:tcPr>
        <w:tcBorders>
          <w:top w:val="single" w:sz="4" w:space="0" w:color="DEDEDF" w:themeColor="accent2" w:themeTint="99"/>
        </w:tcBorders>
      </w:tcPr>
    </w:tblStylePr>
  </w:style>
  <w:style w:type="table" w:styleId="GridTable3-Accent3">
    <w:name w:val="Grid Table 3 Accent 3"/>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A1E2EB" w:themeColor="accent3" w:themeTint="99"/>
        <w:left w:val="single" w:sz="4" w:space="0" w:color="A1E2EB" w:themeColor="accent3" w:themeTint="99"/>
        <w:bottom w:val="single" w:sz="4" w:space="0" w:color="A1E2EB" w:themeColor="accent3" w:themeTint="99"/>
        <w:right w:val="single" w:sz="4" w:space="0" w:color="A1E2EB" w:themeColor="accent3" w:themeTint="99"/>
        <w:insideH w:val="single" w:sz="4" w:space="0" w:color="A1E2EB" w:themeColor="accent3" w:themeTint="99"/>
        <w:insideV w:val="single" w:sz="4" w:space="0" w:color="A1E2EB" w:themeColor="accent3"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5F8" w:themeFill="accent3" w:themeFillTint="33"/>
      </w:tcPr>
    </w:tblStylePr>
    <w:tblStylePr w:type="band1Horz">
      <w:tblPr/>
      <w:tcPr>
        <w:shd w:val="clear" w:color="auto" w:fill="DFF5F8" w:themeFill="accent3" w:themeFillTint="33"/>
      </w:tcPr>
    </w:tblStylePr>
    <w:tblStylePr w:type="neCell">
      <w:tblPr/>
      <w:tcPr>
        <w:tcBorders>
          <w:bottom w:val="single" w:sz="4" w:space="0" w:color="A1E2EB" w:themeColor="accent3" w:themeTint="99"/>
        </w:tcBorders>
      </w:tcPr>
    </w:tblStylePr>
    <w:tblStylePr w:type="nwCell">
      <w:tblPr/>
      <w:tcPr>
        <w:tcBorders>
          <w:bottom w:val="single" w:sz="4" w:space="0" w:color="A1E2EB" w:themeColor="accent3" w:themeTint="99"/>
        </w:tcBorders>
      </w:tcPr>
    </w:tblStylePr>
    <w:tblStylePr w:type="seCell">
      <w:tblPr/>
      <w:tcPr>
        <w:tcBorders>
          <w:top w:val="single" w:sz="4" w:space="0" w:color="A1E2EB" w:themeColor="accent3" w:themeTint="99"/>
        </w:tcBorders>
      </w:tcPr>
    </w:tblStylePr>
    <w:tblStylePr w:type="swCell">
      <w:tblPr/>
      <w:tcPr>
        <w:tcBorders>
          <w:top w:val="single" w:sz="4" w:space="0" w:color="A1E2EB" w:themeColor="accent3" w:themeTint="99"/>
        </w:tcBorders>
      </w:tcPr>
    </w:tblStylePr>
  </w:style>
  <w:style w:type="table" w:styleId="GridTable3-Accent4">
    <w:name w:val="Grid Table 3 Accent 4"/>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C6C6C6" w:themeColor="accent4" w:themeTint="99"/>
        <w:left w:val="single" w:sz="4" w:space="0" w:color="C6C6C6" w:themeColor="accent4" w:themeTint="99"/>
        <w:bottom w:val="single" w:sz="4" w:space="0" w:color="C6C6C6" w:themeColor="accent4" w:themeTint="99"/>
        <w:right w:val="single" w:sz="4" w:space="0" w:color="C6C6C6" w:themeColor="accent4" w:themeTint="99"/>
        <w:insideH w:val="single" w:sz="4" w:space="0" w:color="C6C6C6" w:themeColor="accent4" w:themeTint="99"/>
        <w:insideV w:val="single" w:sz="4" w:space="0" w:color="C6C6C6" w:themeColor="accent4"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CEC" w:themeFill="accent4" w:themeFillTint="33"/>
      </w:tcPr>
    </w:tblStylePr>
    <w:tblStylePr w:type="band1Horz">
      <w:tblPr/>
      <w:tcPr>
        <w:shd w:val="clear" w:color="auto" w:fill="ECECEC" w:themeFill="accent4" w:themeFillTint="33"/>
      </w:tcPr>
    </w:tblStylePr>
    <w:tblStylePr w:type="neCell">
      <w:tblPr/>
      <w:tcPr>
        <w:tcBorders>
          <w:bottom w:val="single" w:sz="4" w:space="0" w:color="C6C6C6" w:themeColor="accent4" w:themeTint="99"/>
        </w:tcBorders>
      </w:tcPr>
    </w:tblStylePr>
    <w:tblStylePr w:type="nwCell">
      <w:tblPr/>
      <w:tcPr>
        <w:tcBorders>
          <w:bottom w:val="single" w:sz="4" w:space="0" w:color="C6C6C6" w:themeColor="accent4" w:themeTint="99"/>
        </w:tcBorders>
      </w:tcPr>
    </w:tblStylePr>
    <w:tblStylePr w:type="seCell">
      <w:tblPr/>
      <w:tcPr>
        <w:tcBorders>
          <w:top w:val="single" w:sz="4" w:space="0" w:color="C6C6C6" w:themeColor="accent4" w:themeTint="99"/>
        </w:tcBorders>
      </w:tcPr>
    </w:tblStylePr>
    <w:tblStylePr w:type="swCell">
      <w:tblPr/>
      <w:tcPr>
        <w:tcBorders>
          <w:top w:val="single" w:sz="4" w:space="0" w:color="C6C6C6" w:themeColor="accent4" w:themeTint="99"/>
        </w:tcBorders>
      </w:tcPr>
    </w:tblStylePr>
  </w:style>
  <w:style w:type="table" w:styleId="GridTable3-Accent5">
    <w:name w:val="Grid Table 3 Accent 5"/>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A1E2EB" w:themeColor="accent5" w:themeTint="99"/>
        <w:left w:val="single" w:sz="4" w:space="0" w:color="A1E2EB" w:themeColor="accent5" w:themeTint="99"/>
        <w:bottom w:val="single" w:sz="4" w:space="0" w:color="A1E2EB" w:themeColor="accent5" w:themeTint="99"/>
        <w:right w:val="single" w:sz="4" w:space="0" w:color="A1E2EB" w:themeColor="accent5" w:themeTint="99"/>
        <w:insideH w:val="single" w:sz="4" w:space="0" w:color="A1E2EB" w:themeColor="accent5" w:themeTint="99"/>
        <w:insideV w:val="single" w:sz="4" w:space="0" w:color="A1E2EB" w:themeColor="accent5"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5F8" w:themeFill="accent5" w:themeFillTint="33"/>
      </w:tcPr>
    </w:tblStylePr>
    <w:tblStylePr w:type="band1Horz">
      <w:tblPr/>
      <w:tcPr>
        <w:shd w:val="clear" w:color="auto" w:fill="DFF5F8" w:themeFill="accent5" w:themeFillTint="33"/>
      </w:tcPr>
    </w:tblStylePr>
    <w:tblStylePr w:type="neCell">
      <w:tblPr/>
      <w:tcPr>
        <w:tcBorders>
          <w:bottom w:val="single" w:sz="4" w:space="0" w:color="A1E2EB" w:themeColor="accent5" w:themeTint="99"/>
        </w:tcBorders>
      </w:tcPr>
    </w:tblStylePr>
    <w:tblStylePr w:type="nwCell">
      <w:tblPr/>
      <w:tcPr>
        <w:tcBorders>
          <w:bottom w:val="single" w:sz="4" w:space="0" w:color="A1E2EB" w:themeColor="accent5" w:themeTint="99"/>
        </w:tcBorders>
      </w:tcPr>
    </w:tblStylePr>
    <w:tblStylePr w:type="seCell">
      <w:tblPr/>
      <w:tcPr>
        <w:tcBorders>
          <w:top w:val="single" w:sz="4" w:space="0" w:color="A1E2EB" w:themeColor="accent5" w:themeTint="99"/>
        </w:tcBorders>
      </w:tcPr>
    </w:tblStylePr>
    <w:tblStylePr w:type="swCell">
      <w:tblPr/>
      <w:tcPr>
        <w:tcBorders>
          <w:top w:val="single" w:sz="4" w:space="0" w:color="A1E2EB" w:themeColor="accent5" w:themeTint="99"/>
        </w:tcBorders>
      </w:tcPr>
    </w:tblStylePr>
  </w:style>
  <w:style w:type="table" w:styleId="GridTable3-Accent6">
    <w:name w:val="Grid Table 3 Accent 6"/>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C6C6C6" w:themeColor="accent6" w:themeTint="99"/>
        <w:left w:val="single" w:sz="4" w:space="0" w:color="C6C6C6" w:themeColor="accent6" w:themeTint="99"/>
        <w:bottom w:val="single" w:sz="4" w:space="0" w:color="C6C6C6" w:themeColor="accent6" w:themeTint="99"/>
        <w:right w:val="single" w:sz="4" w:space="0" w:color="C6C6C6" w:themeColor="accent6" w:themeTint="99"/>
        <w:insideH w:val="single" w:sz="4" w:space="0" w:color="C6C6C6" w:themeColor="accent6" w:themeTint="99"/>
        <w:insideV w:val="single" w:sz="4" w:space="0" w:color="C6C6C6" w:themeColor="accent6"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CEC" w:themeFill="accent6" w:themeFillTint="33"/>
      </w:tcPr>
    </w:tblStylePr>
    <w:tblStylePr w:type="band1Horz">
      <w:tblPr/>
      <w:tcPr>
        <w:shd w:val="clear" w:color="auto" w:fill="ECECEC" w:themeFill="accent6" w:themeFillTint="33"/>
      </w:tcPr>
    </w:tblStylePr>
    <w:tblStylePr w:type="neCell">
      <w:tblPr/>
      <w:tcPr>
        <w:tcBorders>
          <w:bottom w:val="single" w:sz="4" w:space="0" w:color="C6C6C6" w:themeColor="accent6" w:themeTint="99"/>
        </w:tcBorders>
      </w:tcPr>
    </w:tblStylePr>
    <w:tblStylePr w:type="nwCell">
      <w:tblPr/>
      <w:tcPr>
        <w:tcBorders>
          <w:bottom w:val="single" w:sz="4" w:space="0" w:color="C6C6C6" w:themeColor="accent6" w:themeTint="99"/>
        </w:tcBorders>
      </w:tcPr>
    </w:tblStylePr>
    <w:tblStylePr w:type="seCell">
      <w:tblPr/>
      <w:tcPr>
        <w:tcBorders>
          <w:top w:val="single" w:sz="4" w:space="0" w:color="C6C6C6" w:themeColor="accent6" w:themeTint="99"/>
        </w:tcBorders>
      </w:tcPr>
    </w:tblStylePr>
    <w:tblStylePr w:type="swCell">
      <w:tblPr/>
      <w:tcPr>
        <w:tcBorders>
          <w:top w:val="single" w:sz="4" w:space="0" w:color="C6C6C6" w:themeColor="accent6" w:themeTint="99"/>
        </w:tcBorders>
      </w:tcPr>
    </w:tblStylePr>
  </w:style>
  <w:style w:type="table" w:styleId="GridTable4">
    <w:name w:val="Grid Table 4"/>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A1E2EB" w:themeColor="accent1" w:themeTint="99"/>
        <w:left w:val="single" w:sz="4" w:space="0" w:color="A1E2EB" w:themeColor="accent1" w:themeTint="99"/>
        <w:bottom w:val="single" w:sz="4" w:space="0" w:color="A1E2EB" w:themeColor="accent1" w:themeTint="99"/>
        <w:right w:val="single" w:sz="4" w:space="0" w:color="A1E2EB" w:themeColor="accent1" w:themeTint="99"/>
        <w:insideH w:val="single" w:sz="4" w:space="0" w:color="A1E2EB" w:themeColor="accent1" w:themeTint="99"/>
        <w:insideV w:val="single" w:sz="4" w:space="0" w:color="A1E2EB" w:themeColor="accent1"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63D0DF" w:themeColor="accent1"/>
          <w:left w:val="single" w:sz="4" w:space="0" w:color="63D0DF" w:themeColor="accent1"/>
          <w:bottom w:val="single" w:sz="4" w:space="0" w:color="63D0DF" w:themeColor="accent1"/>
          <w:right w:val="single" w:sz="4" w:space="0" w:color="63D0DF" w:themeColor="accent1"/>
          <w:insideH w:val="nil"/>
          <w:insideV w:val="nil"/>
        </w:tcBorders>
        <w:shd w:val="clear" w:color="auto" w:fill="63D0DF" w:themeFill="accent1"/>
      </w:tcPr>
    </w:tblStylePr>
    <w:tblStylePr w:type="lastRow">
      <w:rPr>
        <w:b/>
        <w:bCs/>
      </w:rPr>
      <w:tblPr/>
      <w:tcPr>
        <w:tcBorders>
          <w:top w:val="double" w:sz="4" w:space="0" w:color="63D0DF" w:themeColor="accent1"/>
        </w:tcBorders>
      </w:tcPr>
    </w:tblStylePr>
    <w:tblStylePr w:type="firstCol">
      <w:rPr>
        <w:b/>
        <w:bCs/>
      </w:rPr>
    </w:tblStylePr>
    <w:tblStylePr w:type="lastCol">
      <w:rPr>
        <w:b/>
        <w:bCs/>
      </w:rPr>
    </w:tblStylePr>
    <w:tblStylePr w:type="band1Vert">
      <w:tblPr/>
      <w:tcPr>
        <w:shd w:val="clear" w:color="auto" w:fill="DFF5F8" w:themeFill="accent1" w:themeFillTint="33"/>
      </w:tcPr>
    </w:tblStylePr>
    <w:tblStylePr w:type="band1Horz">
      <w:tblPr/>
      <w:tcPr>
        <w:shd w:val="clear" w:color="auto" w:fill="DFF5F8" w:themeFill="accent1" w:themeFillTint="33"/>
      </w:tcPr>
    </w:tblStylePr>
  </w:style>
  <w:style w:type="table" w:styleId="GridTable4-Accent2">
    <w:name w:val="Grid Table 4 Accent 2"/>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DEDEDF" w:themeColor="accent2" w:themeTint="99"/>
        <w:left w:val="single" w:sz="4" w:space="0" w:color="DEDEDF" w:themeColor="accent2" w:themeTint="99"/>
        <w:bottom w:val="single" w:sz="4" w:space="0" w:color="DEDEDF" w:themeColor="accent2" w:themeTint="99"/>
        <w:right w:val="single" w:sz="4" w:space="0" w:color="DEDEDF" w:themeColor="accent2" w:themeTint="99"/>
        <w:insideH w:val="single" w:sz="4" w:space="0" w:color="DEDEDF" w:themeColor="accent2" w:themeTint="99"/>
        <w:insideV w:val="single" w:sz="4" w:space="0" w:color="DEDEDF" w:themeColor="accent2"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C9C9CA" w:themeColor="accent2"/>
          <w:left w:val="single" w:sz="4" w:space="0" w:color="C9C9CA" w:themeColor="accent2"/>
          <w:bottom w:val="single" w:sz="4" w:space="0" w:color="C9C9CA" w:themeColor="accent2"/>
          <w:right w:val="single" w:sz="4" w:space="0" w:color="C9C9CA" w:themeColor="accent2"/>
          <w:insideH w:val="nil"/>
          <w:insideV w:val="nil"/>
        </w:tcBorders>
        <w:shd w:val="clear" w:color="auto" w:fill="C9C9CA" w:themeFill="accent2"/>
      </w:tcPr>
    </w:tblStylePr>
    <w:tblStylePr w:type="lastRow">
      <w:rPr>
        <w:b/>
        <w:bCs/>
      </w:rPr>
      <w:tblPr/>
      <w:tcPr>
        <w:tcBorders>
          <w:top w:val="double" w:sz="4" w:space="0" w:color="C9C9CA" w:themeColor="accent2"/>
        </w:tcBorders>
      </w:tcPr>
    </w:tblStylePr>
    <w:tblStylePr w:type="firstCol">
      <w:rPr>
        <w:b/>
        <w:bCs/>
      </w:rPr>
    </w:tblStylePr>
    <w:tblStylePr w:type="lastCol">
      <w:rPr>
        <w:b/>
        <w:bCs/>
      </w:rPr>
    </w:tblStylePr>
    <w:tblStylePr w:type="band1Vert">
      <w:tblPr/>
      <w:tcPr>
        <w:shd w:val="clear" w:color="auto" w:fill="F4F4F4" w:themeFill="accent2" w:themeFillTint="33"/>
      </w:tcPr>
    </w:tblStylePr>
    <w:tblStylePr w:type="band1Horz">
      <w:tblPr/>
      <w:tcPr>
        <w:shd w:val="clear" w:color="auto" w:fill="F4F4F4" w:themeFill="accent2" w:themeFillTint="33"/>
      </w:tcPr>
    </w:tblStylePr>
  </w:style>
  <w:style w:type="table" w:styleId="GridTable4-Accent3">
    <w:name w:val="Grid Table 4 Accent 3"/>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A1E2EB" w:themeColor="accent3" w:themeTint="99"/>
        <w:left w:val="single" w:sz="4" w:space="0" w:color="A1E2EB" w:themeColor="accent3" w:themeTint="99"/>
        <w:bottom w:val="single" w:sz="4" w:space="0" w:color="A1E2EB" w:themeColor="accent3" w:themeTint="99"/>
        <w:right w:val="single" w:sz="4" w:space="0" w:color="A1E2EB" w:themeColor="accent3" w:themeTint="99"/>
        <w:insideH w:val="single" w:sz="4" w:space="0" w:color="A1E2EB" w:themeColor="accent3" w:themeTint="99"/>
        <w:insideV w:val="single" w:sz="4" w:space="0" w:color="A1E2EB" w:themeColor="accent3"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63D0DF" w:themeColor="accent3"/>
          <w:left w:val="single" w:sz="4" w:space="0" w:color="63D0DF" w:themeColor="accent3"/>
          <w:bottom w:val="single" w:sz="4" w:space="0" w:color="63D0DF" w:themeColor="accent3"/>
          <w:right w:val="single" w:sz="4" w:space="0" w:color="63D0DF" w:themeColor="accent3"/>
          <w:insideH w:val="nil"/>
          <w:insideV w:val="nil"/>
        </w:tcBorders>
        <w:shd w:val="clear" w:color="auto" w:fill="63D0DF" w:themeFill="accent3"/>
      </w:tcPr>
    </w:tblStylePr>
    <w:tblStylePr w:type="lastRow">
      <w:rPr>
        <w:b/>
        <w:bCs/>
      </w:rPr>
      <w:tblPr/>
      <w:tcPr>
        <w:tcBorders>
          <w:top w:val="double" w:sz="4" w:space="0" w:color="63D0DF" w:themeColor="accent3"/>
        </w:tcBorders>
      </w:tcPr>
    </w:tblStylePr>
    <w:tblStylePr w:type="firstCol">
      <w:rPr>
        <w:b/>
        <w:bCs/>
      </w:rPr>
    </w:tblStylePr>
    <w:tblStylePr w:type="lastCol">
      <w:rPr>
        <w:b/>
        <w:bCs/>
      </w:rPr>
    </w:tblStylePr>
    <w:tblStylePr w:type="band1Vert">
      <w:tblPr/>
      <w:tcPr>
        <w:shd w:val="clear" w:color="auto" w:fill="DFF5F8" w:themeFill="accent3" w:themeFillTint="33"/>
      </w:tcPr>
    </w:tblStylePr>
    <w:tblStylePr w:type="band1Horz">
      <w:tblPr/>
      <w:tcPr>
        <w:shd w:val="clear" w:color="auto" w:fill="DFF5F8" w:themeFill="accent3" w:themeFillTint="33"/>
      </w:tcPr>
    </w:tblStylePr>
  </w:style>
  <w:style w:type="table" w:styleId="GridTable4-Accent4">
    <w:name w:val="Grid Table 4 Accent 4"/>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C6C6C6" w:themeColor="accent4" w:themeTint="99"/>
        <w:left w:val="single" w:sz="4" w:space="0" w:color="C6C6C6" w:themeColor="accent4" w:themeTint="99"/>
        <w:bottom w:val="single" w:sz="4" w:space="0" w:color="C6C6C6" w:themeColor="accent4" w:themeTint="99"/>
        <w:right w:val="single" w:sz="4" w:space="0" w:color="C6C6C6" w:themeColor="accent4" w:themeTint="99"/>
        <w:insideH w:val="single" w:sz="4" w:space="0" w:color="C6C6C6" w:themeColor="accent4" w:themeTint="99"/>
        <w:insideV w:val="single" w:sz="4" w:space="0" w:color="C6C6C6" w:themeColor="accent4"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A1A1A1" w:themeColor="accent4"/>
          <w:left w:val="single" w:sz="4" w:space="0" w:color="A1A1A1" w:themeColor="accent4"/>
          <w:bottom w:val="single" w:sz="4" w:space="0" w:color="A1A1A1" w:themeColor="accent4"/>
          <w:right w:val="single" w:sz="4" w:space="0" w:color="A1A1A1" w:themeColor="accent4"/>
          <w:insideH w:val="nil"/>
          <w:insideV w:val="nil"/>
        </w:tcBorders>
        <w:shd w:val="clear" w:color="auto" w:fill="A1A1A1" w:themeFill="accent4"/>
      </w:tcPr>
    </w:tblStylePr>
    <w:tblStylePr w:type="lastRow">
      <w:rPr>
        <w:b/>
        <w:bCs/>
      </w:rPr>
      <w:tblPr/>
      <w:tcPr>
        <w:tcBorders>
          <w:top w:val="double" w:sz="4" w:space="0" w:color="A1A1A1" w:themeColor="accent4"/>
        </w:tcBorders>
      </w:tcPr>
    </w:tblStylePr>
    <w:tblStylePr w:type="firstCol">
      <w:rPr>
        <w:b/>
        <w:bCs/>
      </w:rPr>
    </w:tblStylePr>
    <w:tblStylePr w:type="lastCol">
      <w:rPr>
        <w:b/>
        <w:bCs/>
      </w:rPr>
    </w:tblStylePr>
    <w:tblStylePr w:type="band1Vert">
      <w:tblPr/>
      <w:tcPr>
        <w:shd w:val="clear" w:color="auto" w:fill="ECECEC" w:themeFill="accent4" w:themeFillTint="33"/>
      </w:tcPr>
    </w:tblStylePr>
    <w:tblStylePr w:type="band1Horz">
      <w:tblPr/>
      <w:tcPr>
        <w:shd w:val="clear" w:color="auto" w:fill="ECECEC" w:themeFill="accent4" w:themeFillTint="33"/>
      </w:tcPr>
    </w:tblStylePr>
  </w:style>
  <w:style w:type="table" w:styleId="GridTable4-Accent5">
    <w:name w:val="Grid Table 4 Accent 5"/>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A1E2EB" w:themeColor="accent5" w:themeTint="99"/>
        <w:left w:val="single" w:sz="4" w:space="0" w:color="A1E2EB" w:themeColor="accent5" w:themeTint="99"/>
        <w:bottom w:val="single" w:sz="4" w:space="0" w:color="A1E2EB" w:themeColor="accent5" w:themeTint="99"/>
        <w:right w:val="single" w:sz="4" w:space="0" w:color="A1E2EB" w:themeColor="accent5" w:themeTint="99"/>
        <w:insideH w:val="single" w:sz="4" w:space="0" w:color="A1E2EB" w:themeColor="accent5" w:themeTint="99"/>
        <w:insideV w:val="single" w:sz="4" w:space="0" w:color="A1E2EB" w:themeColor="accent5"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63D0DF" w:themeColor="accent5"/>
          <w:left w:val="single" w:sz="4" w:space="0" w:color="63D0DF" w:themeColor="accent5"/>
          <w:bottom w:val="single" w:sz="4" w:space="0" w:color="63D0DF" w:themeColor="accent5"/>
          <w:right w:val="single" w:sz="4" w:space="0" w:color="63D0DF" w:themeColor="accent5"/>
          <w:insideH w:val="nil"/>
          <w:insideV w:val="nil"/>
        </w:tcBorders>
        <w:shd w:val="clear" w:color="auto" w:fill="63D0DF" w:themeFill="accent5"/>
      </w:tcPr>
    </w:tblStylePr>
    <w:tblStylePr w:type="lastRow">
      <w:rPr>
        <w:b/>
        <w:bCs/>
      </w:rPr>
      <w:tblPr/>
      <w:tcPr>
        <w:tcBorders>
          <w:top w:val="double" w:sz="4" w:space="0" w:color="63D0DF" w:themeColor="accent5"/>
        </w:tcBorders>
      </w:tcPr>
    </w:tblStylePr>
    <w:tblStylePr w:type="firstCol">
      <w:rPr>
        <w:b/>
        <w:bCs/>
      </w:rPr>
    </w:tblStylePr>
    <w:tblStylePr w:type="lastCol">
      <w:rPr>
        <w:b/>
        <w:bCs/>
      </w:rPr>
    </w:tblStylePr>
    <w:tblStylePr w:type="band1Vert">
      <w:tblPr/>
      <w:tcPr>
        <w:shd w:val="clear" w:color="auto" w:fill="DFF5F8" w:themeFill="accent5" w:themeFillTint="33"/>
      </w:tcPr>
    </w:tblStylePr>
    <w:tblStylePr w:type="band1Horz">
      <w:tblPr/>
      <w:tcPr>
        <w:shd w:val="clear" w:color="auto" w:fill="DFF5F8" w:themeFill="accent5" w:themeFillTint="33"/>
      </w:tcPr>
    </w:tblStylePr>
  </w:style>
  <w:style w:type="table" w:styleId="GridTable4-Accent6">
    <w:name w:val="Grid Table 4 Accent 6"/>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C6C6C6" w:themeColor="accent6" w:themeTint="99"/>
        <w:left w:val="single" w:sz="4" w:space="0" w:color="C6C6C6" w:themeColor="accent6" w:themeTint="99"/>
        <w:bottom w:val="single" w:sz="4" w:space="0" w:color="C6C6C6" w:themeColor="accent6" w:themeTint="99"/>
        <w:right w:val="single" w:sz="4" w:space="0" w:color="C6C6C6" w:themeColor="accent6" w:themeTint="99"/>
        <w:insideH w:val="single" w:sz="4" w:space="0" w:color="C6C6C6" w:themeColor="accent6" w:themeTint="99"/>
        <w:insideV w:val="single" w:sz="4" w:space="0" w:color="C6C6C6" w:themeColor="accent6"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A1A1A1" w:themeColor="accent6"/>
          <w:left w:val="single" w:sz="4" w:space="0" w:color="A1A1A1" w:themeColor="accent6"/>
          <w:bottom w:val="single" w:sz="4" w:space="0" w:color="A1A1A1" w:themeColor="accent6"/>
          <w:right w:val="single" w:sz="4" w:space="0" w:color="A1A1A1" w:themeColor="accent6"/>
          <w:insideH w:val="nil"/>
          <w:insideV w:val="nil"/>
        </w:tcBorders>
        <w:shd w:val="clear" w:color="auto" w:fill="A1A1A1" w:themeFill="accent6"/>
      </w:tcPr>
    </w:tblStylePr>
    <w:tblStylePr w:type="lastRow">
      <w:rPr>
        <w:b/>
        <w:bCs/>
      </w:rPr>
      <w:tblPr/>
      <w:tcPr>
        <w:tcBorders>
          <w:top w:val="double" w:sz="4" w:space="0" w:color="A1A1A1" w:themeColor="accent6"/>
        </w:tcBorders>
      </w:tcPr>
    </w:tblStylePr>
    <w:tblStylePr w:type="firstCol">
      <w:rPr>
        <w:b/>
        <w:bCs/>
      </w:rPr>
    </w:tblStylePr>
    <w:tblStylePr w:type="lastCol">
      <w:rPr>
        <w:b/>
        <w:bCs/>
      </w:rPr>
    </w:tblStylePr>
    <w:tblStylePr w:type="band1Vert">
      <w:tblPr/>
      <w:tcPr>
        <w:shd w:val="clear" w:color="auto" w:fill="ECECEC" w:themeFill="accent6" w:themeFillTint="33"/>
      </w:tcPr>
    </w:tblStylePr>
    <w:tblStylePr w:type="band1Horz">
      <w:tblPr/>
      <w:tcPr>
        <w:shd w:val="clear" w:color="auto" w:fill="ECECEC" w:themeFill="accent6" w:themeFillTint="33"/>
      </w:tcPr>
    </w:tblStylePr>
  </w:style>
  <w:style w:type="table" w:styleId="GridTable5Dark">
    <w:name w:val="Grid Table 5 Dark"/>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Pr>
    <w:tcPr>
      <w:shd w:val="clear" w:color="auto" w:fill="DFF5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3D0D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3D0D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3D0D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3D0DF" w:themeFill="accent1"/>
      </w:tcPr>
    </w:tblStylePr>
    <w:tblStylePr w:type="band1Vert">
      <w:tblPr/>
      <w:tcPr>
        <w:shd w:val="clear" w:color="auto" w:fill="C0ECF2" w:themeFill="accent1" w:themeFillTint="66"/>
      </w:tcPr>
    </w:tblStylePr>
    <w:tblStylePr w:type="band1Horz">
      <w:tblPr/>
      <w:tcPr>
        <w:shd w:val="clear" w:color="auto" w:fill="C0ECF2" w:themeFill="accent1" w:themeFillTint="66"/>
      </w:tcPr>
    </w:tblStylePr>
  </w:style>
  <w:style w:type="table" w:styleId="GridTable5Dark-Accent2">
    <w:name w:val="Grid Table 5 Dark Accent 2"/>
    <w:basedOn w:val="TableNormal"/>
    <w:uiPriority w:val="50"/>
    <w:rsid w:val="00573428"/>
    <w:rPr>
      <w:rFonts w:asciiTheme="minorHAnsi" w:eastAsia="Century Gothic" w:hAnsi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Pr>
    <w:tcPr>
      <w:shd w:val="clear" w:color="auto" w:fill="F4F4F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9C9C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9C9C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9C9C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9C9CA" w:themeFill="accent2"/>
      </w:tcPr>
    </w:tblStylePr>
    <w:tblStylePr w:type="band1Vert">
      <w:tblPr/>
      <w:tcPr>
        <w:shd w:val="clear" w:color="auto" w:fill="E9E9E9" w:themeFill="accent2" w:themeFillTint="66"/>
      </w:tcPr>
    </w:tblStylePr>
    <w:tblStylePr w:type="band1Horz">
      <w:tblPr/>
      <w:tcPr>
        <w:shd w:val="clear" w:color="auto" w:fill="E9E9E9" w:themeFill="accent2" w:themeFillTint="66"/>
      </w:tcPr>
    </w:tblStylePr>
  </w:style>
  <w:style w:type="table" w:styleId="GridTable5Dark-Accent3">
    <w:name w:val="Grid Table 5 Dark Accent 3"/>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Pr>
    <w:tcPr>
      <w:shd w:val="clear" w:color="auto" w:fill="DFF5F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3D0D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3D0D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3D0D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3D0DF" w:themeFill="accent3"/>
      </w:tcPr>
    </w:tblStylePr>
    <w:tblStylePr w:type="band1Vert">
      <w:tblPr/>
      <w:tcPr>
        <w:shd w:val="clear" w:color="auto" w:fill="C0ECF2" w:themeFill="accent3" w:themeFillTint="66"/>
      </w:tcPr>
    </w:tblStylePr>
    <w:tblStylePr w:type="band1Horz">
      <w:tblPr/>
      <w:tcPr>
        <w:shd w:val="clear" w:color="auto" w:fill="C0ECF2" w:themeFill="accent3" w:themeFillTint="66"/>
      </w:tcPr>
    </w:tblStylePr>
  </w:style>
  <w:style w:type="table" w:styleId="GridTable5Dark-Accent4">
    <w:name w:val="Grid Table 5 Dark Accent 4"/>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Pr>
    <w:tcPr>
      <w:shd w:val="clear" w:color="auto" w:fill="ECEC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1A1A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1A1A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1A1A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1A1A1" w:themeFill="accent4"/>
      </w:tcPr>
    </w:tblStylePr>
    <w:tblStylePr w:type="band1Vert">
      <w:tblPr/>
      <w:tcPr>
        <w:shd w:val="clear" w:color="auto" w:fill="D9D9D9" w:themeFill="accent4" w:themeFillTint="66"/>
      </w:tcPr>
    </w:tblStylePr>
    <w:tblStylePr w:type="band1Horz">
      <w:tblPr/>
      <w:tcPr>
        <w:shd w:val="clear" w:color="auto" w:fill="D9D9D9" w:themeFill="accent4" w:themeFillTint="66"/>
      </w:tcPr>
    </w:tblStylePr>
  </w:style>
  <w:style w:type="table" w:styleId="GridTable5Dark-Accent5">
    <w:name w:val="Grid Table 5 Dark Accent 5"/>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Pr>
    <w:tcPr>
      <w:shd w:val="clear" w:color="auto" w:fill="DFF5F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3D0D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3D0D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3D0D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3D0DF" w:themeFill="accent5"/>
      </w:tcPr>
    </w:tblStylePr>
    <w:tblStylePr w:type="band1Vert">
      <w:tblPr/>
      <w:tcPr>
        <w:shd w:val="clear" w:color="auto" w:fill="C0ECF2" w:themeFill="accent5" w:themeFillTint="66"/>
      </w:tcPr>
    </w:tblStylePr>
    <w:tblStylePr w:type="band1Horz">
      <w:tblPr/>
      <w:tcPr>
        <w:shd w:val="clear" w:color="auto" w:fill="C0ECF2" w:themeFill="accent5" w:themeFillTint="66"/>
      </w:tcPr>
    </w:tblStylePr>
  </w:style>
  <w:style w:type="table" w:styleId="GridTable5Dark-Accent6">
    <w:name w:val="Grid Table 5 Dark Accent 6"/>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Pr>
    <w:tcPr>
      <w:shd w:val="clear" w:color="auto" w:fill="ECECE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1A1A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1A1A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1A1A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1A1A1" w:themeFill="accent6"/>
      </w:tcPr>
    </w:tblStylePr>
    <w:tblStylePr w:type="band1Vert">
      <w:tblPr/>
      <w:tcPr>
        <w:shd w:val="clear" w:color="auto" w:fill="D9D9D9" w:themeFill="accent6" w:themeFillTint="66"/>
      </w:tcPr>
    </w:tblStylePr>
    <w:tblStylePr w:type="band1Horz">
      <w:tblPr/>
      <w:tcPr>
        <w:shd w:val="clear" w:color="auto" w:fill="D9D9D9" w:themeFill="accent6" w:themeFillTint="66"/>
      </w:tcPr>
    </w:tblStylePr>
  </w:style>
  <w:style w:type="table" w:styleId="GridTable6Colorful">
    <w:name w:val="Grid Table 6 Colorful"/>
    <w:basedOn w:val="TableNormal"/>
    <w:uiPriority w:val="98"/>
    <w:semiHidden/>
    <w:rsid w:val="00573428"/>
    <w:rPr>
      <w:rFonts w:asciiTheme="minorHAnsi" w:eastAsia="Century Gothic" w:hAnsi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57" w:type="dxa"/>
        <w:left w:w="57" w:type="dxa"/>
        <w:bottom w:w="57" w:type="dxa"/>
        <w:right w:w="57"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8"/>
    <w:semiHidden/>
    <w:rsid w:val="00573428"/>
    <w:rPr>
      <w:rFonts w:asciiTheme="minorHAnsi" w:eastAsia="Century Gothic" w:hAnsiTheme="minorHAnsi" w:cstheme="minorBidi"/>
      <w:color w:val="29B4C7" w:themeColor="accent1" w:themeShade="BF"/>
      <w:lang w:eastAsia="en-US"/>
    </w:rPr>
    <w:tblPr>
      <w:tblStyleRowBandSize w:val="1"/>
      <w:tblStyleColBandSize w:val="1"/>
      <w:tblBorders>
        <w:top w:val="single" w:sz="4" w:space="0" w:color="A1E2EB" w:themeColor="accent1" w:themeTint="99"/>
        <w:left w:val="single" w:sz="4" w:space="0" w:color="A1E2EB" w:themeColor="accent1" w:themeTint="99"/>
        <w:bottom w:val="single" w:sz="4" w:space="0" w:color="A1E2EB" w:themeColor="accent1" w:themeTint="99"/>
        <w:right w:val="single" w:sz="4" w:space="0" w:color="A1E2EB" w:themeColor="accent1" w:themeTint="99"/>
        <w:insideH w:val="single" w:sz="4" w:space="0" w:color="A1E2EB" w:themeColor="accent1" w:themeTint="99"/>
        <w:insideV w:val="single" w:sz="4" w:space="0" w:color="A1E2EB" w:themeColor="accent1" w:themeTint="99"/>
      </w:tblBorders>
      <w:tblCellMar>
        <w:top w:w="57" w:type="dxa"/>
        <w:left w:w="57" w:type="dxa"/>
        <w:bottom w:w="57" w:type="dxa"/>
        <w:right w:w="57" w:type="dxa"/>
      </w:tblCellMar>
    </w:tblPr>
    <w:tblStylePr w:type="firstRow">
      <w:rPr>
        <w:b/>
        <w:bCs/>
      </w:rPr>
      <w:tblPr/>
      <w:tcPr>
        <w:tcBorders>
          <w:bottom w:val="single" w:sz="12" w:space="0" w:color="A1E2EB" w:themeColor="accent1" w:themeTint="99"/>
        </w:tcBorders>
      </w:tcPr>
    </w:tblStylePr>
    <w:tblStylePr w:type="lastRow">
      <w:rPr>
        <w:b/>
        <w:bCs/>
      </w:rPr>
      <w:tblPr/>
      <w:tcPr>
        <w:tcBorders>
          <w:top w:val="double" w:sz="4" w:space="0" w:color="A1E2EB" w:themeColor="accent1" w:themeTint="99"/>
        </w:tcBorders>
      </w:tcPr>
    </w:tblStylePr>
    <w:tblStylePr w:type="firstCol">
      <w:rPr>
        <w:b/>
        <w:bCs/>
      </w:rPr>
    </w:tblStylePr>
    <w:tblStylePr w:type="lastCol">
      <w:rPr>
        <w:b/>
        <w:bCs/>
      </w:rPr>
    </w:tblStylePr>
    <w:tblStylePr w:type="band1Vert">
      <w:tblPr/>
      <w:tcPr>
        <w:shd w:val="clear" w:color="auto" w:fill="DFF5F8" w:themeFill="accent1" w:themeFillTint="33"/>
      </w:tcPr>
    </w:tblStylePr>
    <w:tblStylePr w:type="band1Horz">
      <w:tblPr/>
      <w:tcPr>
        <w:shd w:val="clear" w:color="auto" w:fill="DFF5F8" w:themeFill="accent1" w:themeFillTint="33"/>
      </w:tcPr>
    </w:tblStylePr>
  </w:style>
  <w:style w:type="table" w:styleId="GridTable6Colorful-Accent2">
    <w:name w:val="Grid Table 6 Colorful Accent 2"/>
    <w:basedOn w:val="TableNormal"/>
    <w:uiPriority w:val="98"/>
    <w:semiHidden/>
    <w:rsid w:val="00573428"/>
    <w:rPr>
      <w:rFonts w:asciiTheme="minorHAnsi" w:eastAsia="Century Gothic" w:hAnsiTheme="minorHAnsi" w:cstheme="minorBidi"/>
      <w:color w:val="959597" w:themeColor="accent2" w:themeShade="BF"/>
      <w:lang w:eastAsia="en-US"/>
    </w:rPr>
    <w:tblPr>
      <w:tblStyleRowBandSize w:val="1"/>
      <w:tblStyleColBandSize w:val="1"/>
      <w:tblBorders>
        <w:top w:val="single" w:sz="4" w:space="0" w:color="DEDEDF" w:themeColor="accent2" w:themeTint="99"/>
        <w:left w:val="single" w:sz="4" w:space="0" w:color="DEDEDF" w:themeColor="accent2" w:themeTint="99"/>
        <w:bottom w:val="single" w:sz="4" w:space="0" w:color="DEDEDF" w:themeColor="accent2" w:themeTint="99"/>
        <w:right w:val="single" w:sz="4" w:space="0" w:color="DEDEDF" w:themeColor="accent2" w:themeTint="99"/>
        <w:insideH w:val="single" w:sz="4" w:space="0" w:color="DEDEDF" w:themeColor="accent2" w:themeTint="99"/>
        <w:insideV w:val="single" w:sz="4" w:space="0" w:color="DEDEDF" w:themeColor="accent2" w:themeTint="99"/>
      </w:tblBorders>
      <w:tblCellMar>
        <w:top w:w="57" w:type="dxa"/>
        <w:left w:w="57" w:type="dxa"/>
        <w:bottom w:w="57" w:type="dxa"/>
        <w:right w:w="57" w:type="dxa"/>
      </w:tblCellMar>
    </w:tblPr>
    <w:tblStylePr w:type="firstRow">
      <w:rPr>
        <w:b/>
        <w:bCs/>
      </w:rPr>
      <w:tblPr/>
      <w:tcPr>
        <w:tcBorders>
          <w:bottom w:val="single" w:sz="12" w:space="0" w:color="DEDEDF" w:themeColor="accent2" w:themeTint="99"/>
        </w:tcBorders>
      </w:tcPr>
    </w:tblStylePr>
    <w:tblStylePr w:type="lastRow">
      <w:rPr>
        <w:b/>
        <w:bCs/>
      </w:rPr>
      <w:tblPr/>
      <w:tcPr>
        <w:tcBorders>
          <w:top w:val="double" w:sz="4" w:space="0" w:color="DEDEDF" w:themeColor="accent2" w:themeTint="99"/>
        </w:tcBorders>
      </w:tcPr>
    </w:tblStylePr>
    <w:tblStylePr w:type="firstCol">
      <w:rPr>
        <w:b/>
        <w:bCs/>
      </w:rPr>
    </w:tblStylePr>
    <w:tblStylePr w:type="lastCol">
      <w:rPr>
        <w:b/>
        <w:bCs/>
      </w:rPr>
    </w:tblStylePr>
    <w:tblStylePr w:type="band1Vert">
      <w:tblPr/>
      <w:tcPr>
        <w:shd w:val="clear" w:color="auto" w:fill="F4F4F4" w:themeFill="accent2" w:themeFillTint="33"/>
      </w:tcPr>
    </w:tblStylePr>
    <w:tblStylePr w:type="band1Horz">
      <w:tblPr/>
      <w:tcPr>
        <w:shd w:val="clear" w:color="auto" w:fill="F4F4F4" w:themeFill="accent2" w:themeFillTint="33"/>
      </w:tcPr>
    </w:tblStylePr>
  </w:style>
  <w:style w:type="table" w:styleId="GridTable6Colorful-Accent3">
    <w:name w:val="Grid Table 6 Colorful Accent 3"/>
    <w:basedOn w:val="TableNormal"/>
    <w:uiPriority w:val="98"/>
    <w:semiHidden/>
    <w:rsid w:val="00573428"/>
    <w:rPr>
      <w:rFonts w:asciiTheme="minorHAnsi" w:eastAsia="Century Gothic" w:hAnsiTheme="minorHAnsi" w:cstheme="minorBidi"/>
      <w:color w:val="29B4C7" w:themeColor="accent3" w:themeShade="BF"/>
      <w:lang w:eastAsia="en-US"/>
    </w:rPr>
    <w:tblPr>
      <w:tblStyleRowBandSize w:val="1"/>
      <w:tblStyleColBandSize w:val="1"/>
      <w:tblBorders>
        <w:top w:val="single" w:sz="4" w:space="0" w:color="A1E2EB" w:themeColor="accent3" w:themeTint="99"/>
        <w:left w:val="single" w:sz="4" w:space="0" w:color="A1E2EB" w:themeColor="accent3" w:themeTint="99"/>
        <w:bottom w:val="single" w:sz="4" w:space="0" w:color="A1E2EB" w:themeColor="accent3" w:themeTint="99"/>
        <w:right w:val="single" w:sz="4" w:space="0" w:color="A1E2EB" w:themeColor="accent3" w:themeTint="99"/>
        <w:insideH w:val="single" w:sz="4" w:space="0" w:color="A1E2EB" w:themeColor="accent3" w:themeTint="99"/>
        <w:insideV w:val="single" w:sz="4" w:space="0" w:color="A1E2EB" w:themeColor="accent3" w:themeTint="99"/>
      </w:tblBorders>
      <w:tblCellMar>
        <w:top w:w="57" w:type="dxa"/>
        <w:left w:w="57" w:type="dxa"/>
        <w:bottom w:w="57" w:type="dxa"/>
        <w:right w:w="57" w:type="dxa"/>
      </w:tblCellMar>
    </w:tblPr>
    <w:tblStylePr w:type="firstRow">
      <w:rPr>
        <w:b/>
        <w:bCs/>
      </w:rPr>
      <w:tblPr/>
      <w:tcPr>
        <w:tcBorders>
          <w:bottom w:val="single" w:sz="12" w:space="0" w:color="A1E2EB" w:themeColor="accent3" w:themeTint="99"/>
        </w:tcBorders>
      </w:tcPr>
    </w:tblStylePr>
    <w:tblStylePr w:type="lastRow">
      <w:rPr>
        <w:b/>
        <w:bCs/>
      </w:rPr>
      <w:tblPr/>
      <w:tcPr>
        <w:tcBorders>
          <w:top w:val="double" w:sz="4" w:space="0" w:color="A1E2EB" w:themeColor="accent3" w:themeTint="99"/>
        </w:tcBorders>
      </w:tcPr>
    </w:tblStylePr>
    <w:tblStylePr w:type="firstCol">
      <w:rPr>
        <w:b/>
        <w:bCs/>
      </w:rPr>
    </w:tblStylePr>
    <w:tblStylePr w:type="lastCol">
      <w:rPr>
        <w:b/>
        <w:bCs/>
      </w:rPr>
    </w:tblStylePr>
    <w:tblStylePr w:type="band1Vert">
      <w:tblPr/>
      <w:tcPr>
        <w:shd w:val="clear" w:color="auto" w:fill="DFF5F8" w:themeFill="accent3" w:themeFillTint="33"/>
      </w:tcPr>
    </w:tblStylePr>
    <w:tblStylePr w:type="band1Horz">
      <w:tblPr/>
      <w:tcPr>
        <w:shd w:val="clear" w:color="auto" w:fill="DFF5F8" w:themeFill="accent3" w:themeFillTint="33"/>
      </w:tcPr>
    </w:tblStylePr>
  </w:style>
  <w:style w:type="table" w:styleId="GridTable6Colorful-Accent4">
    <w:name w:val="Grid Table 6 Colorful Accent 4"/>
    <w:basedOn w:val="TableNormal"/>
    <w:uiPriority w:val="98"/>
    <w:semiHidden/>
    <w:rsid w:val="00573428"/>
    <w:rPr>
      <w:rFonts w:asciiTheme="minorHAnsi" w:eastAsia="Century Gothic" w:hAnsiTheme="minorHAnsi" w:cstheme="minorBidi"/>
      <w:color w:val="787878" w:themeColor="accent4" w:themeShade="BF"/>
      <w:lang w:eastAsia="en-US"/>
    </w:rPr>
    <w:tblPr>
      <w:tblStyleRowBandSize w:val="1"/>
      <w:tblStyleColBandSize w:val="1"/>
      <w:tblBorders>
        <w:top w:val="single" w:sz="4" w:space="0" w:color="C6C6C6" w:themeColor="accent4" w:themeTint="99"/>
        <w:left w:val="single" w:sz="4" w:space="0" w:color="C6C6C6" w:themeColor="accent4" w:themeTint="99"/>
        <w:bottom w:val="single" w:sz="4" w:space="0" w:color="C6C6C6" w:themeColor="accent4" w:themeTint="99"/>
        <w:right w:val="single" w:sz="4" w:space="0" w:color="C6C6C6" w:themeColor="accent4" w:themeTint="99"/>
        <w:insideH w:val="single" w:sz="4" w:space="0" w:color="C6C6C6" w:themeColor="accent4" w:themeTint="99"/>
        <w:insideV w:val="single" w:sz="4" w:space="0" w:color="C6C6C6" w:themeColor="accent4" w:themeTint="99"/>
      </w:tblBorders>
      <w:tblCellMar>
        <w:top w:w="57" w:type="dxa"/>
        <w:left w:w="57" w:type="dxa"/>
        <w:bottom w:w="57" w:type="dxa"/>
        <w:right w:w="57" w:type="dxa"/>
      </w:tblCellMar>
    </w:tblPr>
    <w:tblStylePr w:type="firstRow">
      <w:rPr>
        <w:b/>
        <w:bCs/>
      </w:rPr>
      <w:tblPr/>
      <w:tcPr>
        <w:tcBorders>
          <w:bottom w:val="single" w:sz="12" w:space="0" w:color="C6C6C6" w:themeColor="accent4" w:themeTint="99"/>
        </w:tcBorders>
      </w:tcPr>
    </w:tblStylePr>
    <w:tblStylePr w:type="lastRow">
      <w:rPr>
        <w:b/>
        <w:bCs/>
      </w:rPr>
      <w:tblPr/>
      <w:tcPr>
        <w:tcBorders>
          <w:top w:val="double" w:sz="4" w:space="0" w:color="C6C6C6" w:themeColor="accent4" w:themeTint="99"/>
        </w:tcBorders>
      </w:tcPr>
    </w:tblStylePr>
    <w:tblStylePr w:type="firstCol">
      <w:rPr>
        <w:b/>
        <w:bCs/>
      </w:rPr>
    </w:tblStylePr>
    <w:tblStylePr w:type="lastCol">
      <w:rPr>
        <w:b/>
        <w:bCs/>
      </w:rPr>
    </w:tblStylePr>
    <w:tblStylePr w:type="band1Vert">
      <w:tblPr/>
      <w:tcPr>
        <w:shd w:val="clear" w:color="auto" w:fill="ECECEC" w:themeFill="accent4" w:themeFillTint="33"/>
      </w:tcPr>
    </w:tblStylePr>
    <w:tblStylePr w:type="band1Horz">
      <w:tblPr/>
      <w:tcPr>
        <w:shd w:val="clear" w:color="auto" w:fill="ECECEC" w:themeFill="accent4" w:themeFillTint="33"/>
      </w:tcPr>
    </w:tblStylePr>
  </w:style>
  <w:style w:type="table" w:styleId="GridTable6Colorful-Accent5">
    <w:name w:val="Grid Table 6 Colorful Accent 5"/>
    <w:basedOn w:val="TableNormal"/>
    <w:uiPriority w:val="98"/>
    <w:semiHidden/>
    <w:rsid w:val="00573428"/>
    <w:rPr>
      <w:rFonts w:asciiTheme="minorHAnsi" w:eastAsia="Century Gothic" w:hAnsiTheme="minorHAnsi" w:cstheme="minorBidi"/>
      <w:color w:val="29B4C7" w:themeColor="accent5" w:themeShade="BF"/>
      <w:lang w:eastAsia="en-US"/>
    </w:rPr>
    <w:tblPr>
      <w:tblStyleRowBandSize w:val="1"/>
      <w:tblStyleColBandSize w:val="1"/>
      <w:tblBorders>
        <w:top w:val="single" w:sz="4" w:space="0" w:color="A1E2EB" w:themeColor="accent5" w:themeTint="99"/>
        <w:left w:val="single" w:sz="4" w:space="0" w:color="A1E2EB" w:themeColor="accent5" w:themeTint="99"/>
        <w:bottom w:val="single" w:sz="4" w:space="0" w:color="A1E2EB" w:themeColor="accent5" w:themeTint="99"/>
        <w:right w:val="single" w:sz="4" w:space="0" w:color="A1E2EB" w:themeColor="accent5" w:themeTint="99"/>
        <w:insideH w:val="single" w:sz="4" w:space="0" w:color="A1E2EB" w:themeColor="accent5" w:themeTint="99"/>
        <w:insideV w:val="single" w:sz="4" w:space="0" w:color="A1E2EB" w:themeColor="accent5" w:themeTint="99"/>
      </w:tblBorders>
      <w:tblCellMar>
        <w:top w:w="57" w:type="dxa"/>
        <w:left w:w="57" w:type="dxa"/>
        <w:bottom w:w="57" w:type="dxa"/>
        <w:right w:w="57" w:type="dxa"/>
      </w:tblCellMar>
    </w:tblPr>
    <w:tblStylePr w:type="firstRow">
      <w:rPr>
        <w:b/>
        <w:bCs/>
      </w:rPr>
      <w:tblPr/>
      <w:tcPr>
        <w:tcBorders>
          <w:bottom w:val="single" w:sz="12" w:space="0" w:color="A1E2EB" w:themeColor="accent5" w:themeTint="99"/>
        </w:tcBorders>
      </w:tcPr>
    </w:tblStylePr>
    <w:tblStylePr w:type="lastRow">
      <w:rPr>
        <w:b/>
        <w:bCs/>
      </w:rPr>
      <w:tblPr/>
      <w:tcPr>
        <w:tcBorders>
          <w:top w:val="double" w:sz="4" w:space="0" w:color="A1E2EB" w:themeColor="accent5" w:themeTint="99"/>
        </w:tcBorders>
      </w:tcPr>
    </w:tblStylePr>
    <w:tblStylePr w:type="firstCol">
      <w:rPr>
        <w:b/>
        <w:bCs/>
      </w:rPr>
    </w:tblStylePr>
    <w:tblStylePr w:type="lastCol">
      <w:rPr>
        <w:b/>
        <w:bCs/>
      </w:rPr>
    </w:tblStylePr>
    <w:tblStylePr w:type="band1Vert">
      <w:tblPr/>
      <w:tcPr>
        <w:shd w:val="clear" w:color="auto" w:fill="DFF5F8" w:themeFill="accent5" w:themeFillTint="33"/>
      </w:tcPr>
    </w:tblStylePr>
    <w:tblStylePr w:type="band1Horz">
      <w:tblPr/>
      <w:tcPr>
        <w:shd w:val="clear" w:color="auto" w:fill="DFF5F8" w:themeFill="accent5" w:themeFillTint="33"/>
      </w:tcPr>
    </w:tblStylePr>
  </w:style>
  <w:style w:type="table" w:styleId="GridTable6Colorful-Accent6">
    <w:name w:val="Grid Table 6 Colorful Accent 6"/>
    <w:basedOn w:val="TableNormal"/>
    <w:uiPriority w:val="98"/>
    <w:semiHidden/>
    <w:rsid w:val="00573428"/>
    <w:rPr>
      <w:rFonts w:asciiTheme="minorHAnsi" w:eastAsia="Century Gothic" w:hAnsiTheme="minorHAnsi" w:cstheme="minorBidi"/>
      <w:color w:val="787878" w:themeColor="accent6" w:themeShade="BF"/>
      <w:lang w:eastAsia="en-US"/>
    </w:rPr>
    <w:tblPr>
      <w:tblStyleRowBandSize w:val="1"/>
      <w:tblStyleColBandSize w:val="1"/>
      <w:tblBorders>
        <w:top w:val="single" w:sz="4" w:space="0" w:color="C6C6C6" w:themeColor="accent6" w:themeTint="99"/>
        <w:left w:val="single" w:sz="4" w:space="0" w:color="C6C6C6" w:themeColor="accent6" w:themeTint="99"/>
        <w:bottom w:val="single" w:sz="4" w:space="0" w:color="C6C6C6" w:themeColor="accent6" w:themeTint="99"/>
        <w:right w:val="single" w:sz="4" w:space="0" w:color="C6C6C6" w:themeColor="accent6" w:themeTint="99"/>
        <w:insideH w:val="single" w:sz="4" w:space="0" w:color="C6C6C6" w:themeColor="accent6" w:themeTint="99"/>
        <w:insideV w:val="single" w:sz="4" w:space="0" w:color="C6C6C6" w:themeColor="accent6" w:themeTint="99"/>
      </w:tblBorders>
      <w:tblCellMar>
        <w:top w:w="57" w:type="dxa"/>
        <w:left w:w="57" w:type="dxa"/>
        <w:bottom w:w="57" w:type="dxa"/>
        <w:right w:w="57" w:type="dxa"/>
      </w:tblCellMar>
    </w:tblPr>
    <w:tblStylePr w:type="firstRow">
      <w:rPr>
        <w:b/>
        <w:bCs/>
      </w:rPr>
      <w:tblPr/>
      <w:tcPr>
        <w:tcBorders>
          <w:bottom w:val="single" w:sz="12" w:space="0" w:color="C6C6C6" w:themeColor="accent6" w:themeTint="99"/>
        </w:tcBorders>
      </w:tcPr>
    </w:tblStylePr>
    <w:tblStylePr w:type="lastRow">
      <w:rPr>
        <w:b/>
        <w:bCs/>
      </w:rPr>
      <w:tblPr/>
      <w:tcPr>
        <w:tcBorders>
          <w:top w:val="double" w:sz="4" w:space="0" w:color="C6C6C6" w:themeColor="accent6" w:themeTint="99"/>
        </w:tcBorders>
      </w:tcPr>
    </w:tblStylePr>
    <w:tblStylePr w:type="firstCol">
      <w:rPr>
        <w:b/>
        <w:bCs/>
      </w:rPr>
    </w:tblStylePr>
    <w:tblStylePr w:type="lastCol">
      <w:rPr>
        <w:b/>
        <w:bCs/>
      </w:rPr>
    </w:tblStylePr>
    <w:tblStylePr w:type="band1Vert">
      <w:tblPr/>
      <w:tcPr>
        <w:shd w:val="clear" w:color="auto" w:fill="ECECEC" w:themeFill="accent6" w:themeFillTint="33"/>
      </w:tcPr>
    </w:tblStylePr>
    <w:tblStylePr w:type="band1Horz">
      <w:tblPr/>
      <w:tcPr>
        <w:shd w:val="clear" w:color="auto" w:fill="ECECEC" w:themeFill="accent6" w:themeFillTint="33"/>
      </w:tcPr>
    </w:tblStylePr>
  </w:style>
  <w:style w:type="table" w:styleId="GridTable7Colorful">
    <w:name w:val="Grid Table 7 Colorful"/>
    <w:basedOn w:val="TableNormal"/>
    <w:uiPriority w:val="98"/>
    <w:semiHidden/>
    <w:rsid w:val="00573428"/>
    <w:rPr>
      <w:rFonts w:asciiTheme="minorHAnsi" w:eastAsia="Century Gothic" w:hAnsi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8"/>
    <w:semiHidden/>
    <w:rsid w:val="00573428"/>
    <w:rPr>
      <w:rFonts w:asciiTheme="minorHAnsi" w:eastAsia="Century Gothic" w:hAnsiTheme="minorHAnsi" w:cstheme="minorBidi"/>
      <w:color w:val="29B4C7" w:themeColor="accent1" w:themeShade="BF"/>
      <w:lang w:eastAsia="en-US"/>
    </w:rPr>
    <w:tblPr>
      <w:tblStyleRowBandSize w:val="1"/>
      <w:tblStyleColBandSize w:val="1"/>
      <w:tblBorders>
        <w:top w:val="single" w:sz="4" w:space="0" w:color="A1E2EB" w:themeColor="accent1" w:themeTint="99"/>
        <w:left w:val="single" w:sz="4" w:space="0" w:color="A1E2EB" w:themeColor="accent1" w:themeTint="99"/>
        <w:bottom w:val="single" w:sz="4" w:space="0" w:color="A1E2EB" w:themeColor="accent1" w:themeTint="99"/>
        <w:right w:val="single" w:sz="4" w:space="0" w:color="A1E2EB" w:themeColor="accent1" w:themeTint="99"/>
        <w:insideH w:val="single" w:sz="4" w:space="0" w:color="A1E2EB" w:themeColor="accent1" w:themeTint="99"/>
        <w:insideV w:val="single" w:sz="4" w:space="0" w:color="A1E2EB" w:themeColor="accent1"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5F8" w:themeFill="accent1" w:themeFillTint="33"/>
      </w:tcPr>
    </w:tblStylePr>
    <w:tblStylePr w:type="band1Horz">
      <w:tblPr/>
      <w:tcPr>
        <w:shd w:val="clear" w:color="auto" w:fill="DFF5F8" w:themeFill="accent1" w:themeFillTint="33"/>
      </w:tcPr>
    </w:tblStylePr>
    <w:tblStylePr w:type="neCell">
      <w:tblPr/>
      <w:tcPr>
        <w:tcBorders>
          <w:bottom w:val="single" w:sz="4" w:space="0" w:color="A1E2EB" w:themeColor="accent1" w:themeTint="99"/>
        </w:tcBorders>
      </w:tcPr>
    </w:tblStylePr>
    <w:tblStylePr w:type="nwCell">
      <w:tblPr/>
      <w:tcPr>
        <w:tcBorders>
          <w:bottom w:val="single" w:sz="4" w:space="0" w:color="A1E2EB" w:themeColor="accent1" w:themeTint="99"/>
        </w:tcBorders>
      </w:tcPr>
    </w:tblStylePr>
    <w:tblStylePr w:type="seCell">
      <w:tblPr/>
      <w:tcPr>
        <w:tcBorders>
          <w:top w:val="single" w:sz="4" w:space="0" w:color="A1E2EB" w:themeColor="accent1" w:themeTint="99"/>
        </w:tcBorders>
      </w:tcPr>
    </w:tblStylePr>
    <w:tblStylePr w:type="swCell">
      <w:tblPr/>
      <w:tcPr>
        <w:tcBorders>
          <w:top w:val="single" w:sz="4" w:space="0" w:color="A1E2EB" w:themeColor="accent1" w:themeTint="99"/>
        </w:tcBorders>
      </w:tcPr>
    </w:tblStylePr>
  </w:style>
  <w:style w:type="table" w:styleId="GridTable7Colorful-Accent2">
    <w:name w:val="Grid Table 7 Colorful Accent 2"/>
    <w:basedOn w:val="TableNormal"/>
    <w:uiPriority w:val="98"/>
    <w:semiHidden/>
    <w:rsid w:val="00573428"/>
    <w:rPr>
      <w:rFonts w:asciiTheme="minorHAnsi" w:eastAsia="Century Gothic" w:hAnsiTheme="minorHAnsi" w:cstheme="minorBidi"/>
      <w:color w:val="959597" w:themeColor="accent2" w:themeShade="BF"/>
      <w:lang w:eastAsia="en-US"/>
    </w:rPr>
    <w:tblPr>
      <w:tblStyleRowBandSize w:val="1"/>
      <w:tblStyleColBandSize w:val="1"/>
      <w:tblBorders>
        <w:top w:val="single" w:sz="4" w:space="0" w:color="DEDEDF" w:themeColor="accent2" w:themeTint="99"/>
        <w:left w:val="single" w:sz="4" w:space="0" w:color="DEDEDF" w:themeColor="accent2" w:themeTint="99"/>
        <w:bottom w:val="single" w:sz="4" w:space="0" w:color="DEDEDF" w:themeColor="accent2" w:themeTint="99"/>
        <w:right w:val="single" w:sz="4" w:space="0" w:color="DEDEDF" w:themeColor="accent2" w:themeTint="99"/>
        <w:insideH w:val="single" w:sz="4" w:space="0" w:color="DEDEDF" w:themeColor="accent2" w:themeTint="99"/>
        <w:insideV w:val="single" w:sz="4" w:space="0" w:color="DEDEDF" w:themeColor="accent2"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4F4" w:themeFill="accent2" w:themeFillTint="33"/>
      </w:tcPr>
    </w:tblStylePr>
    <w:tblStylePr w:type="band1Horz">
      <w:tblPr/>
      <w:tcPr>
        <w:shd w:val="clear" w:color="auto" w:fill="F4F4F4" w:themeFill="accent2" w:themeFillTint="33"/>
      </w:tcPr>
    </w:tblStylePr>
    <w:tblStylePr w:type="neCell">
      <w:tblPr/>
      <w:tcPr>
        <w:tcBorders>
          <w:bottom w:val="single" w:sz="4" w:space="0" w:color="DEDEDF" w:themeColor="accent2" w:themeTint="99"/>
        </w:tcBorders>
      </w:tcPr>
    </w:tblStylePr>
    <w:tblStylePr w:type="nwCell">
      <w:tblPr/>
      <w:tcPr>
        <w:tcBorders>
          <w:bottom w:val="single" w:sz="4" w:space="0" w:color="DEDEDF" w:themeColor="accent2" w:themeTint="99"/>
        </w:tcBorders>
      </w:tcPr>
    </w:tblStylePr>
    <w:tblStylePr w:type="seCell">
      <w:tblPr/>
      <w:tcPr>
        <w:tcBorders>
          <w:top w:val="single" w:sz="4" w:space="0" w:color="DEDEDF" w:themeColor="accent2" w:themeTint="99"/>
        </w:tcBorders>
      </w:tcPr>
    </w:tblStylePr>
    <w:tblStylePr w:type="swCell">
      <w:tblPr/>
      <w:tcPr>
        <w:tcBorders>
          <w:top w:val="single" w:sz="4" w:space="0" w:color="DEDEDF" w:themeColor="accent2" w:themeTint="99"/>
        </w:tcBorders>
      </w:tcPr>
    </w:tblStylePr>
  </w:style>
  <w:style w:type="table" w:styleId="GridTable7Colorful-Accent3">
    <w:name w:val="Grid Table 7 Colorful Accent 3"/>
    <w:basedOn w:val="TableNormal"/>
    <w:uiPriority w:val="98"/>
    <w:semiHidden/>
    <w:rsid w:val="00573428"/>
    <w:rPr>
      <w:rFonts w:asciiTheme="minorHAnsi" w:eastAsia="Century Gothic" w:hAnsiTheme="minorHAnsi" w:cstheme="minorBidi"/>
      <w:color w:val="29B4C7" w:themeColor="accent3" w:themeShade="BF"/>
      <w:lang w:eastAsia="en-US"/>
    </w:rPr>
    <w:tblPr>
      <w:tblStyleRowBandSize w:val="1"/>
      <w:tblStyleColBandSize w:val="1"/>
      <w:tblBorders>
        <w:top w:val="single" w:sz="4" w:space="0" w:color="A1E2EB" w:themeColor="accent3" w:themeTint="99"/>
        <w:left w:val="single" w:sz="4" w:space="0" w:color="A1E2EB" w:themeColor="accent3" w:themeTint="99"/>
        <w:bottom w:val="single" w:sz="4" w:space="0" w:color="A1E2EB" w:themeColor="accent3" w:themeTint="99"/>
        <w:right w:val="single" w:sz="4" w:space="0" w:color="A1E2EB" w:themeColor="accent3" w:themeTint="99"/>
        <w:insideH w:val="single" w:sz="4" w:space="0" w:color="A1E2EB" w:themeColor="accent3" w:themeTint="99"/>
        <w:insideV w:val="single" w:sz="4" w:space="0" w:color="A1E2EB" w:themeColor="accent3"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5F8" w:themeFill="accent3" w:themeFillTint="33"/>
      </w:tcPr>
    </w:tblStylePr>
    <w:tblStylePr w:type="band1Horz">
      <w:tblPr/>
      <w:tcPr>
        <w:shd w:val="clear" w:color="auto" w:fill="DFF5F8" w:themeFill="accent3" w:themeFillTint="33"/>
      </w:tcPr>
    </w:tblStylePr>
    <w:tblStylePr w:type="neCell">
      <w:tblPr/>
      <w:tcPr>
        <w:tcBorders>
          <w:bottom w:val="single" w:sz="4" w:space="0" w:color="A1E2EB" w:themeColor="accent3" w:themeTint="99"/>
        </w:tcBorders>
      </w:tcPr>
    </w:tblStylePr>
    <w:tblStylePr w:type="nwCell">
      <w:tblPr/>
      <w:tcPr>
        <w:tcBorders>
          <w:bottom w:val="single" w:sz="4" w:space="0" w:color="A1E2EB" w:themeColor="accent3" w:themeTint="99"/>
        </w:tcBorders>
      </w:tcPr>
    </w:tblStylePr>
    <w:tblStylePr w:type="seCell">
      <w:tblPr/>
      <w:tcPr>
        <w:tcBorders>
          <w:top w:val="single" w:sz="4" w:space="0" w:color="A1E2EB" w:themeColor="accent3" w:themeTint="99"/>
        </w:tcBorders>
      </w:tcPr>
    </w:tblStylePr>
    <w:tblStylePr w:type="swCell">
      <w:tblPr/>
      <w:tcPr>
        <w:tcBorders>
          <w:top w:val="single" w:sz="4" w:space="0" w:color="A1E2EB" w:themeColor="accent3" w:themeTint="99"/>
        </w:tcBorders>
      </w:tcPr>
    </w:tblStylePr>
  </w:style>
  <w:style w:type="table" w:styleId="GridTable7Colorful-Accent4">
    <w:name w:val="Grid Table 7 Colorful Accent 4"/>
    <w:basedOn w:val="TableNormal"/>
    <w:uiPriority w:val="98"/>
    <w:semiHidden/>
    <w:rsid w:val="00573428"/>
    <w:rPr>
      <w:rFonts w:asciiTheme="minorHAnsi" w:eastAsia="Century Gothic" w:hAnsiTheme="minorHAnsi" w:cstheme="minorBidi"/>
      <w:color w:val="787878" w:themeColor="accent4" w:themeShade="BF"/>
      <w:lang w:eastAsia="en-US"/>
    </w:rPr>
    <w:tblPr>
      <w:tblStyleRowBandSize w:val="1"/>
      <w:tblStyleColBandSize w:val="1"/>
      <w:tblBorders>
        <w:top w:val="single" w:sz="4" w:space="0" w:color="C6C6C6" w:themeColor="accent4" w:themeTint="99"/>
        <w:left w:val="single" w:sz="4" w:space="0" w:color="C6C6C6" w:themeColor="accent4" w:themeTint="99"/>
        <w:bottom w:val="single" w:sz="4" w:space="0" w:color="C6C6C6" w:themeColor="accent4" w:themeTint="99"/>
        <w:right w:val="single" w:sz="4" w:space="0" w:color="C6C6C6" w:themeColor="accent4" w:themeTint="99"/>
        <w:insideH w:val="single" w:sz="4" w:space="0" w:color="C6C6C6" w:themeColor="accent4" w:themeTint="99"/>
        <w:insideV w:val="single" w:sz="4" w:space="0" w:color="C6C6C6" w:themeColor="accent4"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CEC" w:themeFill="accent4" w:themeFillTint="33"/>
      </w:tcPr>
    </w:tblStylePr>
    <w:tblStylePr w:type="band1Horz">
      <w:tblPr/>
      <w:tcPr>
        <w:shd w:val="clear" w:color="auto" w:fill="ECECEC" w:themeFill="accent4" w:themeFillTint="33"/>
      </w:tcPr>
    </w:tblStylePr>
    <w:tblStylePr w:type="neCell">
      <w:tblPr/>
      <w:tcPr>
        <w:tcBorders>
          <w:bottom w:val="single" w:sz="4" w:space="0" w:color="C6C6C6" w:themeColor="accent4" w:themeTint="99"/>
        </w:tcBorders>
      </w:tcPr>
    </w:tblStylePr>
    <w:tblStylePr w:type="nwCell">
      <w:tblPr/>
      <w:tcPr>
        <w:tcBorders>
          <w:bottom w:val="single" w:sz="4" w:space="0" w:color="C6C6C6" w:themeColor="accent4" w:themeTint="99"/>
        </w:tcBorders>
      </w:tcPr>
    </w:tblStylePr>
    <w:tblStylePr w:type="seCell">
      <w:tblPr/>
      <w:tcPr>
        <w:tcBorders>
          <w:top w:val="single" w:sz="4" w:space="0" w:color="C6C6C6" w:themeColor="accent4" w:themeTint="99"/>
        </w:tcBorders>
      </w:tcPr>
    </w:tblStylePr>
    <w:tblStylePr w:type="swCell">
      <w:tblPr/>
      <w:tcPr>
        <w:tcBorders>
          <w:top w:val="single" w:sz="4" w:space="0" w:color="C6C6C6" w:themeColor="accent4" w:themeTint="99"/>
        </w:tcBorders>
      </w:tcPr>
    </w:tblStylePr>
  </w:style>
  <w:style w:type="table" w:styleId="GridTable7Colorful-Accent5">
    <w:name w:val="Grid Table 7 Colorful Accent 5"/>
    <w:basedOn w:val="TableNormal"/>
    <w:uiPriority w:val="98"/>
    <w:semiHidden/>
    <w:rsid w:val="00573428"/>
    <w:rPr>
      <w:rFonts w:asciiTheme="minorHAnsi" w:eastAsia="Century Gothic" w:hAnsiTheme="minorHAnsi" w:cstheme="minorBidi"/>
      <w:color w:val="29B4C7" w:themeColor="accent5" w:themeShade="BF"/>
      <w:lang w:eastAsia="en-US"/>
    </w:rPr>
    <w:tblPr>
      <w:tblStyleRowBandSize w:val="1"/>
      <w:tblStyleColBandSize w:val="1"/>
      <w:tblBorders>
        <w:top w:val="single" w:sz="4" w:space="0" w:color="A1E2EB" w:themeColor="accent5" w:themeTint="99"/>
        <w:left w:val="single" w:sz="4" w:space="0" w:color="A1E2EB" w:themeColor="accent5" w:themeTint="99"/>
        <w:bottom w:val="single" w:sz="4" w:space="0" w:color="A1E2EB" w:themeColor="accent5" w:themeTint="99"/>
        <w:right w:val="single" w:sz="4" w:space="0" w:color="A1E2EB" w:themeColor="accent5" w:themeTint="99"/>
        <w:insideH w:val="single" w:sz="4" w:space="0" w:color="A1E2EB" w:themeColor="accent5" w:themeTint="99"/>
        <w:insideV w:val="single" w:sz="4" w:space="0" w:color="A1E2EB" w:themeColor="accent5"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5F8" w:themeFill="accent5" w:themeFillTint="33"/>
      </w:tcPr>
    </w:tblStylePr>
    <w:tblStylePr w:type="band1Horz">
      <w:tblPr/>
      <w:tcPr>
        <w:shd w:val="clear" w:color="auto" w:fill="DFF5F8" w:themeFill="accent5" w:themeFillTint="33"/>
      </w:tcPr>
    </w:tblStylePr>
    <w:tblStylePr w:type="neCell">
      <w:tblPr/>
      <w:tcPr>
        <w:tcBorders>
          <w:bottom w:val="single" w:sz="4" w:space="0" w:color="A1E2EB" w:themeColor="accent5" w:themeTint="99"/>
        </w:tcBorders>
      </w:tcPr>
    </w:tblStylePr>
    <w:tblStylePr w:type="nwCell">
      <w:tblPr/>
      <w:tcPr>
        <w:tcBorders>
          <w:bottom w:val="single" w:sz="4" w:space="0" w:color="A1E2EB" w:themeColor="accent5" w:themeTint="99"/>
        </w:tcBorders>
      </w:tcPr>
    </w:tblStylePr>
    <w:tblStylePr w:type="seCell">
      <w:tblPr/>
      <w:tcPr>
        <w:tcBorders>
          <w:top w:val="single" w:sz="4" w:space="0" w:color="A1E2EB" w:themeColor="accent5" w:themeTint="99"/>
        </w:tcBorders>
      </w:tcPr>
    </w:tblStylePr>
    <w:tblStylePr w:type="swCell">
      <w:tblPr/>
      <w:tcPr>
        <w:tcBorders>
          <w:top w:val="single" w:sz="4" w:space="0" w:color="A1E2EB" w:themeColor="accent5" w:themeTint="99"/>
        </w:tcBorders>
      </w:tcPr>
    </w:tblStylePr>
  </w:style>
  <w:style w:type="table" w:styleId="GridTable7Colorful-Accent6">
    <w:name w:val="Grid Table 7 Colorful Accent 6"/>
    <w:basedOn w:val="TableNormal"/>
    <w:uiPriority w:val="98"/>
    <w:semiHidden/>
    <w:rsid w:val="00573428"/>
    <w:rPr>
      <w:rFonts w:asciiTheme="minorHAnsi" w:eastAsia="Century Gothic" w:hAnsiTheme="minorHAnsi" w:cstheme="minorBidi"/>
      <w:color w:val="787878" w:themeColor="accent6" w:themeShade="BF"/>
      <w:lang w:eastAsia="en-US"/>
    </w:rPr>
    <w:tblPr>
      <w:tblStyleRowBandSize w:val="1"/>
      <w:tblStyleColBandSize w:val="1"/>
      <w:tblBorders>
        <w:top w:val="single" w:sz="4" w:space="0" w:color="C6C6C6" w:themeColor="accent6" w:themeTint="99"/>
        <w:left w:val="single" w:sz="4" w:space="0" w:color="C6C6C6" w:themeColor="accent6" w:themeTint="99"/>
        <w:bottom w:val="single" w:sz="4" w:space="0" w:color="C6C6C6" w:themeColor="accent6" w:themeTint="99"/>
        <w:right w:val="single" w:sz="4" w:space="0" w:color="C6C6C6" w:themeColor="accent6" w:themeTint="99"/>
        <w:insideH w:val="single" w:sz="4" w:space="0" w:color="C6C6C6" w:themeColor="accent6" w:themeTint="99"/>
        <w:insideV w:val="single" w:sz="4" w:space="0" w:color="C6C6C6" w:themeColor="accent6"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CEC" w:themeFill="accent6" w:themeFillTint="33"/>
      </w:tcPr>
    </w:tblStylePr>
    <w:tblStylePr w:type="band1Horz">
      <w:tblPr/>
      <w:tcPr>
        <w:shd w:val="clear" w:color="auto" w:fill="ECECEC" w:themeFill="accent6" w:themeFillTint="33"/>
      </w:tcPr>
    </w:tblStylePr>
    <w:tblStylePr w:type="neCell">
      <w:tblPr/>
      <w:tcPr>
        <w:tcBorders>
          <w:bottom w:val="single" w:sz="4" w:space="0" w:color="C6C6C6" w:themeColor="accent6" w:themeTint="99"/>
        </w:tcBorders>
      </w:tcPr>
    </w:tblStylePr>
    <w:tblStylePr w:type="nwCell">
      <w:tblPr/>
      <w:tcPr>
        <w:tcBorders>
          <w:bottom w:val="single" w:sz="4" w:space="0" w:color="C6C6C6" w:themeColor="accent6" w:themeTint="99"/>
        </w:tcBorders>
      </w:tcPr>
    </w:tblStylePr>
    <w:tblStylePr w:type="seCell">
      <w:tblPr/>
      <w:tcPr>
        <w:tcBorders>
          <w:top w:val="single" w:sz="4" w:space="0" w:color="C6C6C6" w:themeColor="accent6" w:themeTint="99"/>
        </w:tcBorders>
      </w:tcPr>
    </w:tblStylePr>
    <w:tblStylePr w:type="swCell">
      <w:tblPr/>
      <w:tcPr>
        <w:tcBorders>
          <w:top w:val="single" w:sz="4" w:space="0" w:color="C6C6C6" w:themeColor="accent6" w:themeTint="99"/>
        </w:tcBorders>
      </w:tcPr>
    </w:tblStylePr>
  </w:style>
  <w:style w:type="table" w:styleId="ListTable1Light">
    <w:name w:val="List Table 1 Light"/>
    <w:basedOn w:val="TableNormal"/>
    <w:uiPriority w:val="98"/>
    <w:semiHidden/>
    <w:rsid w:val="00573428"/>
    <w:rPr>
      <w:rFonts w:asciiTheme="minorHAnsi" w:eastAsia="Century Gothic" w:hAnsiTheme="minorHAnsi" w:cstheme="minorBidi"/>
      <w:lang w:eastAsia="en-US"/>
    </w:rPr>
    <w:tblPr>
      <w:tblStyleRowBandSize w:val="1"/>
      <w:tblStyleColBandSize w:val="1"/>
      <w:tblCellMar>
        <w:top w:w="57" w:type="dxa"/>
        <w:left w:w="57" w:type="dxa"/>
        <w:bottom w:w="57" w:type="dxa"/>
        <w:right w:w="57"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8"/>
    <w:semiHidden/>
    <w:rsid w:val="00573428"/>
    <w:rPr>
      <w:rFonts w:asciiTheme="minorHAnsi" w:eastAsia="Century Gothic" w:hAnsiTheme="minorHAnsi" w:cstheme="minorBidi"/>
      <w:lang w:eastAsia="en-US"/>
    </w:rPr>
    <w:tblPr>
      <w:tblStyleRowBandSize w:val="1"/>
      <w:tblStyleColBandSize w:val="1"/>
      <w:tblCellMar>
        <w:top w:w="57" w:type="dxa"/>
        <w:left w:w="57" w:type="dxa"/>
        <w:bottom w:w="57" w:type="dxa"/>
        <w:right w:w="57" w:type="dxa"/>
      </w:tblCellMar>
    </w:tblPr>
    <w:tblStylePr w:type="firstRow">
      <w:rPr>
        <w:b/>
        <w:bCs/>
      </w:rPr>
      <w:tblPr/>
      <w:tcPr>
        <w:tcBorders>
          <w:bottom w:val="single" w:sz="4" w:space="0" w:color="A1E2EB" w:themeColor="accent1" w:themeTint="99"/>
        </w:tcBorders>
      </w:tcPr>
    </w:tblStylePr>
    <w:tblStylePr w:type="lastRow">
      <w:rPr>
        <w:b/>
        <w:bCs/>
      </w:rPr>
      <w:tblPr/>
      <w:tcPr>
        <w:tcBorders>
          <w:top w:val="single" w:sz="4" w:space="0" w:color="A1E2EB" w:themeColor="accent1" w:themeTint="99"/>
        </w:tcBorders>
      </w:tcPr>
    </w:tblStylePr>
    <w:tblStylePr w:type="firstCol">
      <w:rPr>
        <w:b/>
        <w:bCs/>
      </w:rPr>
    </w:tblStylePr>
    <w:tblStylePr w:type="lastCol">
      <w:rPr>
        <w:b/>
        <w:bCs/>
      </w:rPr>
    </w:tblStylePr>
    <w:tblStylePr w:type="band1Vert">
      <w:tblPr/>
      <w:tcPr>
        <w:shd w:val="clear" w:color="auto" w:fill="DFF5F8" w:themeFill="accent1" w:themeFillTint="33"/>
      </w:tcPr>
    </w:tblStylePr>
    <w:tblStylePr w:type="band1Horz">
      <w:tblPr/>
      <w:tcPr>
        <w:shd w:val="clear" w:color="auto" w:fill="DFF5F8" w:themeFill="accent1" w:themeFillTint="33"/>
      </w:tcPr>
    </w:tblStylePr>
  </w:style>
  <w:style w:type="table" w:styleId="ListTable1Light-Accent2">
    <w:name w:val="List Table 1 Light Accent 2"/>
    <w:basedOn w:val="TableNormal"/>
    <w:uiPriority w:val="98"/>
    <w:semiHidden/>
    <w:rsid w:val="00573428"/>
    <w:rPr>
      <w:rFonts w:asciiTheme="minorHAnsi" w:eastAsia="Century Gothic" w:hAnsiTheme="minorHAnsi" w:cstheme="minorBidi"/>
      <w:lang w:eastAsia="en-US"/>
    </w:rPr>
    <w:tblPr>
      <w:tblStyleRowBandSize w:val="1"/>
      <w:tblStyleColBandSize w:val="1"/>
      <w:tblCellMar>
        <w:top w:w="57" w:type="dxa"/>
        <w:left w:w="57" w:type="dxa"/>
        <w:bottom w:w="57" w:type="dxa"/>
        <w:right w:w="57" w:type="dxa"/>
      </w:tblCellMar>
    </w:tblPr>
    <w:tblStylePr w:type="firstRow">
      <w:rPr>
        <w:b/>
        <w:bCs/>
      </w:rPr>
      <w:tblPr/>
      <w:tcPr>
        <w:tcBorders>
          <w:bottom w:val="single" w:sz="4" w:space="0" w:color="DEDEDF" w:themeColor="accent2" w:themeTint="99"/>
        </w:tcBorders>
      </w:tcPr>
    </w:tblStylePr>
    <w:tblStylePr w:type="lastRow">
      <w:rPr>
        <w:b/>
        <w:bCs/>
      </w:rPr>
      <w:tblPr/>
      <w:tcPr>
        <w:tcBorders>
          <w:top w:val="single" w:sz="4" w:space="0" w:color="DEDEDF" w:themeColor="accent2" w:themeTint="99"/>
        </w:tcBorders>
      </w:tcPr>
    </w:tblStylePr>
    <w:tblStylePr w:type="firstCol">
      <w:rPr>
        <w:b/>
        <w:bCs/>
      </w:rPr>
    </w:tblStylePr>
    <w:tblStylePr w:type="lastCol">
      <w:rPr>
        <w:b/>
        <w:bCs/>
      </w:rPr>
    </w:tblStylePr>
    <w:tblStylePr w:type="band1Vert">
      <w:tblPr/>
      <w:tcPr>
        <w:shd w:val="clear" w:color="auto" w:fill="F4F4F4" w:themeFill="accent2" w:themeFillTint="33"/>
      </w:tcPr>
    </w:tblStylePr>
    <w:tblStylePr w:type="band1Horz">
      <w:tblPr/>
      <w:tcPr>
        <w:shd w:val="clear" w:color="auto" w:fill="F4F4F4" w:themeFill="accent2" w:themeFillTint="33"/>
      </w:tcPr>
    </w:tblStylePr>
  </w:style>
  <w:style w:type="table" w:styleId="ListTable1Light-Accent3">
    <w:name w:val="List Table 1 Light Accent 3"/>
    <w:basedOn w:val="TableNormal"/>
    <w:uiPriority w:val="98"/>
    <w:semiHidden/>
    <w:rsid w:val="00573428"/>
    <w:rPr>
      <w:rFonts w:asciiTheme="minorHAnsi" w:eastAsia="Century Gothic" w:hAnsiTheme="minorHAnsi" w:cstheme="minorBidi"/>
      <w:lang w:eastAsia="en-US"/>
    </w:rPr>
    <w:tblPr>
      <w:tblStyleRowBandSize w:val="1"/>
      <w:tblStyleColBandSize w:val="1"/>
      <w:tblCellMar>
        <w:top w:w="57" w:type="dxa"/>
        <w:left w:w="57" w:type="dxa"/>
        <w:bottom w:w="57" w:type="dxa"/>
        <w:right w:w="57" w:type="dxa"/>
      </w:tblCellMar>
    </w:tblPr>
    <w:tblStylePr w:type="firstRow">
      <w:rPr>
        <w:b/>
        <w:bCs/>
      </w:rPr>
      <w:tblPr/>
      <w:tcPr>
        <w:tcBorders>
          <w:bottom w:val="single" w:sz="4" w:space="0" w:color="A1E2EB" w:themeColor="accent3" w:themeTint="99"/>
        </w:tcBorders>
      </w:tcPr>
    </w:tblStylePr>
    <w:tblStylePr w:type="lastRow">
      <w:rPr>
        <w:b/>
        <w:bCs/>
      </w:rPr>
      <w:tblPr/>
      <w:tcPr>
        <w:tcBorders>
          <w:top w:val="single" w:sz="4" w:space="0" w:color="A1E2EB" w:themeColor="accent3" w:themeTint="99"/>
        </w:tcBorders>
      </w:tcPr>
    </w:tblStylePr>
    <w:tblStylePr w:type="firstCol">
      <w:rPr>
        <w:b/>
        <w:bCs/>
      </w:rPr>
    </w:tblStylePr>
    <w:tblStylePr w:type="lastCol">
      <w:rPr>
        <w:b/>
        <w:bCs/>
      </w:rPr>
    </w:tblStylePr>
    <w:tblStylePr w:type="band1Vert">
      <w:tblPr/>
      <w:tcPr>
        <w:shd w:val="clear" w:color="auto" w:fill="DFF5F8" w:themeFill="accent3" w:themeFillTint="33"/>
      </w:tcPr>
    </w:tblStylePr>
    <w:tblStylePr w:type="band1Horz">
      <w:tblPr/>
      <w:tcPr>
        <w:shd w:val="clear" w:color="auto" w:fill="DFF5F8" w:themeFill="accent3" w:themeFillTint="33"/>
      </w:tcPr>
    </w:tblStylePr>
  </w:style>
  <w:style w:type="table" w:styleId="ListTable1Light-Accent4">
    <w:name w:val="List Table 1 Light Accent 4"/>
    <w:basedOn w:val="TableNormal"/>
    <w:uiPriority w:val="98"/>
    <w:semiHidden/>
    <w:rsid w:val="00573428"/>
    <w:rPr>
      <w:rFonts w:asciiTheme="minorHAnsi" w:eastAsia="Century Gothic" w:hAnsiTheme="minorHAnsi" w:cstheme="minorBidi"/>
      <w:lang w:eastAsia="en-US"/>
    </w:rPr>
    <w:tblPr>
      <w:tblStyleRowBandSize w:val="1"/>
      <w:tblStyleColBandSize w:val="1"/>
      <w:tblCellMar>
        <w:top w:w="57" w:type="dxa"/>
        <w:left w:w="57" w:type="dxa"/>
        <w:bottom w:w="57" w:type="dxa"/>
        <w:right w:w="57" w:type="dxa"/>
      </w:tblCellMar>
    </w:tblPr>
    <w:tblStylePr w:type="firstRow">
      <w:rPr>
        <w:b/>
        <w:bCs/>
      </w:rPr>
      <w:tblPr/>
      <w:tcPr>
        <w:tcBorders>
          <w:bottom w:val="single" w:sz="4" w:space="0" w:color="C6C6C6" w:themeColor="accent4" w:themeTint="99"/>
        </w:tcBorders>
      </w:tcPr>
    </w:tblStylePr>
    <w:tblStylePr w:type="lastRow">
      <w:rPr>
        <w:b/>
        <w:bCs/>
      </w:rPr>
      <w:tblPr/>
      <w:tcPr>
        <w:tcBorders>
          <w:top w:val="single" w:sz="4" w:space="0" w:color="C6C6C6" w:themeColor="accent4" w:themeTint="99"/>
        </w:tcBorders>
      </w:tcPr>
    </w:tblStylePr>
    <w:tblStylePr w:type="firstCol">
      <w:rPr>
        <w:b/>
        <w:bCs/>
      </w:rPr>
    </w:tblStylePr>
    <w:tblStylePr w:type="lastCol">
      <w:rPr>
        <w:b/>
        <w:bCs/>
      </w:rPr>
    </w:tblStylePr>
    <w:tblStylePr w:type="band1Vert">
      <w:tblPr/>
      <w:tcPr>
        <w:shd w:val="clear" w:color="auto" w:fill="ECECEC" w:themeFill="accent4" w:themeFillTint="33"/>
      </w:tcPr>
    </w:tblStylePr>
    <w:tblStylePr w:type="band1Horz">
      <w:tblPr/>
      <w:tcPr>
        <w:shd w:val="clear" w:color="auto" w:fill="ECECEC" w:themeFill="accent4" w:themeFillTint="33"/>
      </w:tcPr>
    </w:tblStylePr>
  </w:style>
  <w:style w:type="table" w:styleId="ListTable1Light-Accent5">
    <w:name w:val="List Table 1 Light Accent 5"/>
    <w:basedOn w:val="TableNormal"/>
    <w:uiPriority w:val="98"/>
    <w:semiHidden/>
    <w:rsid w:val="00573428"/>
    <w:rPr>
      <w:rFonts w:asciiTheme="minorHAnsi" w:eastAsia="Century Gothic" w:hAnsiTheme="minorHAnsi" w:cstheme="minorBidi"/>
      <w:lang w:eastAsia="en-US"/>
    </w:rPr>
    <w:tblPr>
      <w:tblStyleRowBandSize w:val="1"/>
      <w:tblStyleColBandSize w:val="1"/>
      <w:tblCellMar>
        <w:top w:w="57" w:type="dxa"/>
        <w:left w:w="57" w:type="dxa"/>
        <w:bottom w:w="57" w:type="dxa"/>
        <w:right w:w="57" w:type="dxa"/>
      </w:tblCellMar>
    </w:tblPr>
    <w:tblStylePr w:type="firstRow">
      <w:rPr>
        <w:b/>
        <w:bCs/>
      </w:rPr>
      <w:tblPr/>
      <w:tcPr>
        <w:tcBorders>
          <w:bottom w:val="single" w:sz="4" w:space="0" w:color="A1E2EB" w:themeColor="accent5" w:themeTint="99"/>
        </w:tcBorders>
      </w:tcPr>
    </w:tblStylePr>
    <w:tblStylePr w:type="lastRow">
      <w:rPr>
        <w:b/>
        <w:bCs/>
      </w:rPr>
      <w:tblPr/>
      <w:tcPr>
        <w:tcBorders>
          <w:top w:val="single" w:sz="4" w:space="0" w:color="A1E2EB" w:themeColor="accent5" w:themeTint="99"/>
        </w:tcBorders>
      </w:tcPr>
    </w:tblStylePr>
    <w:tblStylePr w:type="firstCol">
      <w:rPr>
        <w:b/>
        <w:bCs/>
      </w:rPr>
    </w:tblStylePr>
    <w:tblStylePr w:type="lastCol">
      <w:rPr>
        <w:b/>
        <w:bCs/>
      </w:rPr>
    </w:tblStylePr>
    <w:tblStylePr w:type="band1Vert">
      <w:tblPr/>
      <w:tcPr>
        <w:shd w:val="clear" w:color="auto" w:fill="DFF5F8" w:themeFill="accent5" w:themeFillTint="33"/>
      </w:tcPr>
    </w:tblStylePr>
    <w:tblStylePr w:type="band1Horz">
      <w:tblPr/>
      <w:tcPr>
        <w:shd w:val="clear" w:color="auto" w:fill="DFF5F8" w:themeFill="accent5" w:themeFillTint="33"/>
      </w:tcPr>
    </w:tblStylePr>
  </w:style>
  <w:style w:type="table" w:styleId="ListTable1Light-Accent6">
    <w:name w:val="List Table 1 Light Accent 6"/>
    <w:basedOn w:val="TableNormal"/>
    <w:uiPriority w:val="98"/>
    <w:semiHidden/>
    <w:rsid w:val="00573428"/>
    <w:rPr>
      <w:rFonts w:asciiTheme="minorHAnsi" w:eastAsia="Century Gothic" w:hAnsiTheme="minorHAnsi" w:cstheme="minorBidi"/>
      <w:lang w:eastAsia="en-US"/>
    </w:rPr>
    <w:tblPr>
      <w:tblStyleRowBandSize w:val="1"/>
      <w:tblStyleColBandSize w:val="1"/>
      <w:tblCellMar>
        <w:top w:w="57" w:type="dxa"/>
        <w:left w:w="57" w:type="dxa"/>
        <w:bottom w:w="57" w:type="dxa"/>
        <w:right w:w="57" w:type="dxa"/>
      </w:tblCellMar>
    </w:tblPr>
    <w:tblStylePr w:type="firstRow">
      <w:rPr>
        <w:b/>
        <w:bCs/>
      </w:rPr>
      <w:tblPr/>
      <w:tcPr>
        <w:tcBorders>
          <w:bottom w:val="single" w:sz="4" w:space="0" w:color="C6C6C6" w:themeColor="accent6" w:themeTint="99"/>
        </w:tcBorders>
      </w:tcPr>
    </w:tblStylePr>
    <w:tblStylePr w:type="lastRow">
      <w:rPr>
        <w:b/>
        <w:bCs/>
      </w:rPr>
      <w:tblPr/>
      <w:tcPr>
        <w:tcBorders>
          <w:top w:val="single" w:sz="4" w:space="0" w:color="C6C6C6" w:themeColor="accent6" w:themeTint="99"/>
        </w:tcBorders>
      </w:tcPr>
    </w:tblStylePr>
    <w:tblStylePr w:type="firstCol">
      <w:rPr>
        <w:b/>
        <w:bCs/>
      </w:rPr>
    </w:tblStylePr>
    <w:tblStylePr w:type="lastCol">
      <w:rPr>
        <w:b/>
        <w:bCs/>
      </w:rPr>
    </w:tblStylePr>
    <w:tblStylePr w:type="band1Vert">
      <w:tblPr/>
      <w:tcPr>
        <w:shd w:val="clear" w:color="auto" w:fill="ECECEC" w:themeFill="accent6" w:themeFillTint="33"/>
      </w:tcPr>
    </w:tblStylePr>
    <w:tblStylePr w:type="band1Horz">
      <w:tblPr/>
      <w:tcPr>
        <w:shd w:val="clear" w:color="auto" w:fill="ECECEC" w:themeFill="accent6" w:themeFillTint="33"/>
      </w:tcPr>
    </w:tblStylePr>
  </w:style>
  <w:style w:type="table" w:styleId="ListTable2">
    <w:name w:val="List Table 2"/>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CellMar>
        <w:top w:w="57" w:type="dxa"/>
        <w:left w:w="57" w:type="dxa"/>
        <w:bottom w:w="57" w:type="dxa"/>
        <w:right w:w="57"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A1E2EB" w:themeColor="accent1" w:themeTint="99"/>
        <w:bottom w:val="single" w:sz="4" w:space="0" w:color="A1E2EB" w:themeColor="accent1" w:themeTint="99"/>
        <w:insideH w:val="single" w:sz="4" w:space="0" w:color="A1E2EB" w:themeColor="accent1" w:themeTint="99"/>
      </w:tblBorders>
      <w:tblCellMar>
        <w:top w:w="57" w:type="dxa"/>
        <w:left w:w="57" w:type="dxa"/>
        <w:bottom w:w="57" w:type="dxa"/>
        <w:right w:w="57"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5F8" w:themeFill="accent1" w:themeFillTint="33"/>
      </w:tcPr>
    </w:tblStylePr>
    <w:tblStylePr w:type="band1Horz">
      <w:tblPr/>
      <w:tcPr>
        <w:shd w:val="clear" w:color="auto" w:fill="DFF5F8" w:themeFill="accent1" w:themeFillTint="33"/>
      </w:tcPr>
    </w:tblStylePr>
  </w:style>
  <w:style w:type="table" w:styleId="ListTable2-Accent2">
    <w:name w:val="List Table 2 Accent 2"/>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DEDEDF" w:themeColor="accent2" w:themeTint="99"/>
        <w:bottom w:val="single" w:sz="4" w:space="0" w:color="DEDEDF" w:themeColor="accent2" w:themeTint="99"/>
        <w:insideH w:val="single" w:sz="4" w:space="0" w:color="DEDEDF" w:themeColor="accent2" w:themeTint="99"/>
      </w:tblBorders>
      <w:tblCellMar>
        <w:top w:w="57" w:type="dxa"/>
        <w:left w:w="57" w:type="dxa"/>
        <w:bottom w:w="57" w:type="dxa"/>
        <w:right w:w="57"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4F4" w:themeFill="accent2" w:themeFillTint="33"/>
      </w:tcPr>
    </w:tblStylePr>
    <w:tblStylePr w:type="band1Horz">
      <w:tblPr/>
      <w:tcPr>
        <w:shd w:val="clear" w:color="auto" w:fill="F4F4F4" w:themeFill="accent2" w:themeFillTint="33"/>
      </w:tcPr>
    </w:tblStylePr>
  </w:style>
  <w:style w:type="table" w:styleId="ListTable2-Accent3">
    <w:name w:val="List Table 2 Accent 3"/>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A1E2EB" w:themeColor="accent3" w:themeTint="99"/>
        <w:bottom w:val="single" w:sz="4" w:space="0" w:color="A1E2EB" w:themeColor="accent3" w:themeTint="99"/>
        <w:insideH w:val="single" w:sz="4" w:space="0" w:color="A1E2EB" w:themeColor="accent3" w:themeTint="99"/>
      </w:tblBorders>
      <w:tblCellMar>
        <w:top w:w="57" w:type="dxa"/>
        <w:left w:w="57" w:type="dxa"/>
        <w:bottom w:w="57" w:type="dxa"/>
        <w:right w:w="57"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5F8" w:themeFill="accent3" w:themeFillTint="33"/>
      </w:tcPr>
    </w:tblStylePr>
    <w:tblStylePr w:type="band1Horz">
      <w:tblPr/>
      <w:tcPr>
        <w:shd w:val="clear" w:color="auto" w:fill="DFF5F8" w:themeFill="accent3" w:themeFillTint="33"/>
      </w:tcPr>
    </w:tblStylePr>
  </w:style>
  <w:style w:type="table" w:styleId="ListTable2-Accent4">
    <w:name w:val="List Table 2 Accent 4"/>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C6C6C6" w:themeColor="accent4" w:themeTint="99"/>
        <w:bottom w:val="single" w:sz="4" w:space="0" w:color="C6C6C6" w:themeColor="accent4" w:themeTint="99"/>
        <w:insideH w:val="single" w:sz="4" w:space="0" w:color="C6C6C6" w:themeColor="accent4" w:themeTint="99"/>
      </w:tblBorders>
      <w:tblCellMar>
        <w:top w:w="57" w:type="dxa"/>
        <w:left w:w="57" w:type="dxa"/>
        <w:bottom w:w="57" w:type="dxa"/>
        <w:right w:w="57"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ECEC" w:themeFill="accent4" w:themeFillTint="33"/>
      </w:tcPr>
    </w:tblStylePr>
    <w:tblStylePr w:type="band1Horz">
      <w:tblPr/>
      <w:tcPr>
        <w:shd w:val="clear" w:color="auto" w:fill="ECECEC" w:themeFill="accent4" w:themeFillTint="33"/>
      </w:tcPr>
    </w:tblStylePr>
  </w:style>
  <w:style w:type="table" w:styleId="ListTable2-Accent5">
    <w:name w:val="List Table 2 Accent 5"/>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A1E2EB" w:themeColor="accent5" w:themeTint="99"/>
        <w:bottom w:val="single" w:sz="4" w:space="0" w:color="A1E2EB" w:themeColor="accent5" w:themeTint="99"/>
        <w:insideH w:val="single" w:sz="4" w:space="0" w:color="A1E2EB" w:themeColor="accent5" w:themeTint="99"/>
      </w:tblBorders>
      <w:tblCellMar>
        <w:top w:w="57" w:type="dxa"/>
        <w:left w:w="57" w:type="dxa"/>
        <w:bottom w:w="57" w:type="dxa"/>
        <w:right w:w="57"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5F8" w:themeFill="accent5" w:themeFillTint="33"/>
      </w:tcPr>
    </w:tblStylePr>
    <w:tblStylePr w:type="band1Horz">
      <w:tblPr/>
      <w:tcPr>
        <w:shd w:val="clear" w:color="auto" w:fill="DFF5F8" w:themeFill="accent5" w:themeFillTint="33"/>
      </w:tcPr>
    </w:tblStylePr>
  </w:style>
  <w:style w:type="table" w:styleId="ListTable2-Accent6">
    <w:name w:val="List Table 2 Accent 6"/>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C6C6C6" w:themeColor="accent6" w:themeTint="99"/>
        <w:bottom w:val="single" w:sz="4" w:space="0" w:color="C6C6C6" w:themeColor="accent6" w:themeTint="99"/>
        <w:insideH w:val="single" w:sz="4" w:space="0" w:color="C6C6C6" w:themeColor="accent6" w:themeTint="99"/>
      </w:tblBorders>
      <w:tblCellMar>
        <w:top w:w="57" w:type="dxa"/>
        <w:left w:w="57" w:type="dxa"/>
        <w:bottom w:w="57" w:type="dxa"/>
        <w:right w:w="57"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ECEC" w:themeFill="accent6" w:themeFillTint="33"/>
      </w:tcPr>
    </w:tblStylePr>
    <w:tblStylePr w:type="band1Horz">
      <w:tblPr/>
      <w:tcPr>
        <w:shd w:val="clear" w:color="auto" w:fill="ECECEC" w:themeFill="accent6" w:themeFillTint="33"/>
      </w:tcPr>
    </w:tblStylePr>
  </w:style>
  <w:style w:type="table" w:styleId="ListTable3">
    <w:name w:val="List Table 3"/>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57" w:type="dxa"/>
        <w:left w:w="57" w:type="dxa"/>
        <w:bottom w:w="57" w:type="dxa"/>
        <w:right w:w="57"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2">
    <w:name w:val="List Table 3 Accent 2"/>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C9C9CA" w:themeColor="accent2"/>
        <w:left w:val="single" w:sz="4" w:space="0" w:color="C9C9CA" w:themeColor="accent2"/>
        <w:bottom w:val="single" w:sz="4" w:space="0" w:color="C9C9CA" w:themeColor="accent2"/>
        <w:right w:val="single" w:sz="4" w:space="0" w:color="C9C9CA" w:themeColor="accent2"/>
      </w:tblBorders>
      <w:tblCellMar>
        <w:top w:w="57" w:type="dxa"/>
        <w:left w:w="57" w:type="dxa"/>
        <w:bottom w:w="57" w:type="dxa"/>
        <w:right w:w="57" w:type="dxa"/>
      </w:tblCellMar>
    </w:tblPr>
    <w:tblStylePr w:type="firstRow">
      <w:rPr>
        <w:b/>
        <w:bCs/>
        <w:color w:val="FFFFFF" w:themeColor="background1"/>
      </w:rPr>
      <w:tblPr/>
      <w:tcPr>
        <w:shd w:val="clear" w:color="auto" w:fill="C9C9CA" w:themeFill="accent2"/>
      </w:tcPr>
    </w:tblStylePr>
    <w:tblStylePr w:type="lastRow">
      <w:rPr>
        <w:b/>
        <w:bCs/>
      </w:rPr>
      <w:tblPr/>
      <w:tcPr>
        <w:tcBorders>
          <w:top w:val="double" w:sz="4" w:space="0" w:color="C9C9C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9C9CA" w:themeColor="accent2"/>
          <w:right w:val="single" w:sz="4" w:space="0" w:color="C9C9CA" w:themeColor="accent2"/>
        </w:tcBorders>
      </w:tcPr>
    </w:tblStylePr>
    <w:tblStylePr w:type="band1Horz">
      <w:tblPr/>
      <w:tcPr>
        <w:tcBorders>
          <w:top w:val="single" w:sz="4" w:space="0" w:color="C9C9CA" w:themeColor="accent2"/>
          <w:bottom w:val="single" w:sz="4" w:space="0" w:color="C9C9C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9C9CA" w:themeColor="accent2"/>
          <w:left w:val="nil"/>
        </w:tcBorders>
      </w:tcPr>
    </w:tblStylePr>
    <w:tblStylePr w:type="swCell">
      <w:tblPr/>
      <w:tcPr>
        <w:tcBorders>
          <w:top w:val="double" w:sz="4" w:space="0" w:color="C9C9CA" w:themeColor="accent2"/>
          <w:right w:val="nil"/>
        </w:tcBorders>
      </w:tcPr>
    </w:tblStylePr>
  </w:style>
  <w:style w:type="table" w:styleId="ListTable3-Accent3">
    <w:name w:val="List Table 3 Accent 3"/>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63D0DF" w:themeColor="accent3"/>
        <w:left w:val="single" w:sz="4" w:space="0" w:color="63D0DF" w:themeColor="accent3"/>
        <w:bottom w:val="single" w:sz="4" w:space="0" w:color="63D0DF" w:themeColor="accent3"/>
        <w:right w:val="single" w:sz="4" w:space="0" w:color="63D0DF" w:themeColor="accent3"/>
      </w:tblBorders>
      <w:tblCellMar>
        <w:top w:w="57" w:type="dxa"/>
        <w:left w:w="57" w:type="dxa"/>
        <w:bottom w:w="57" w:type="dxa"/>
        <w:right w:w="57" w:type="dxa"/>
      </w:tblCellMar>
    </w:tblPr>
    <w:tblStylePr w:type="firstRow">
      <w:rPr>
        <w:b/>
        <w:bCs/>
        <w:color w:val="FFFFFF" w:themeColor="background1"/>
      </w:rPr>
      <w:tblPr/>
      <w:tcPr>
        <w:shd w:val="clear" w:color="auto" w:fill="63D0DF" w:themeFill="accent3"/>
      </w:tcPr>
    </w:tblStylePr>
    <w:tblStylePr w:type="lastRow">
      <w:rPr>
        <w:b/>
        <w:bCs/>
      </w:rPr>
      <w:tblPr/>
      <w:tcPr>
        <w:tcBorders>
          <w:top w:val="double" w:sz="4" w:space="0" w:color="63D0D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3D0DF" w:themeColor="accent3"/>
          <w:right w:val="single" w:sz="4" w:space="0" w:color="63D0DF" w:themeColor="accent3"/>
        </w:tcBorders>
      </w:tcPr>
    </w:tblStylePr>
    <w:tblStylePr w:type="band1Horz">
      <w:tblPr/>
      <w:tcPr>
        <w:tcBorders>
          <w:top w:val="single" w:sz="4" w:space="0" w:color="63D0DF" w:themeColor="accent3"/>
          <w:bottom w:val="single" w:sz="4" w:space="0" w:color="63D0D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3D0DF" w:themeColor="accent3"/>
          <w:left w:val="nil"/>
        </w:tcBorders>
      </w:tcPr>
    </w:tblStylePr>
    <w:tblStylePr w:type="swCell">
      <w:tblPr/>
      <w:tcPr>
        <w:tcBorders>
          <w:top w:val="double" w:sz="4" w:space="0" w:color="63D0DF" w:themeColor="accent3"/>
          <w:right w:val="nil"/>
        </w:tcBorders>
      </w:tcPr>
    </w:tblStylePr>
  </w:style>
  <w:style w:type="table" w:styleId="ListTable3-Accent4">
    <w:name w:val="List Table 3 Accent 4"/>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A1A1A1" w:themeColor="accent4"/>
        <w:left w:val="single" w:sz="4" w:space="0" w:color="A1A1A1" w:themeColor="accent4"/>
        <w:bottom w:val="single" w:sz="4" w:space="0" w:color="A1A1A1" w:themeColor="accent4"/>
        <w:right w:val="single" w:sz="4" w:space="0" w:color="A1A1A1" w:themeColor="accent4"/>
      </w:tblBorders>
      <w:tblCellMar>
        <w:top w:w="57" w:type="dxa"/>
        <w:left w:w="57" w:type="dxa"/>
        <w:bottom w:w="57" w:type="dxa"/>
        <w:right w:w="57" w:type="dxa"/>
      </w:tblCellMar>
    </w:tblPr>
    <w:tblStylePr w:type="firstRow">
      <w:rPr>
        <w:b/>
        <w:bCs/>
        <w:color w:val="FFFFFF" w:themeColor="background1"/>
      </w:rPr>
      <w:tblPr/>
      <w:tcPr>
        <w:shd w:val="clear" w:color="auto" w:fill="A1A1A1" w:themeFill="accent4"/>
      </w:tcPr>
    </w:tblStylePr>
    <w:tblStylePr w:type="lastRow">
      <w:rPr>
        <w:b/>
        <w:bCs/>
      </w:rPr>
      <w:tblPr/>
      <w:tcPr>
        <w:tcBorders>
          <w:top w:val="double" w:sz="4" w:space="0" w:color="A1A1A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1A1A1" w:themeColor="accent4"/>
          <w:right w:val="single" w:sz="4" w:space="0" w:color="A1A1A1" w:themeColor="accent4"/>
        </w:tcBorders>
      </w:tcPr>
    </w:tblStylePr>
    <w:tblStylePr w:type="band1Horz">
      <w:tblPr/>
      <w:tcPr>
        <w:tcBorders>
          <w:top w:val="single" w:sz="4" w:space="0" w:color="A1A1A1" w:themeColor="accent4"/>
          <w:bottom w:val="single" w:sz="4" w:space="0" w:color="A1A1A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1A1A1" w:themeColor="accent4"/>
          <w:left w:val="nil"/>
        </w:tcBorders>
      </w:tcPr>
    </w:tblStylePr>
    <w:tblStylePr w:type="swCell">
      <w:tblPr/>
      <w:tcPr>
        <w:tcBorders>
          <w:top w:val="double" w:sz="4" w:space="0" w:color="A1A1A1" w:themeColor="accent4"/>
          <w:right w:val="nil"/>
        </w:tcBorders>
      </w:tcPr>
    </w:tblStylePr>
  </w:style>
  <w:style w:type="table" w:styleId="ListTable3-Accent5">
    <w:name w:val="List Table 3 Accent 5"/>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63D0DF" w:themeColor="accent5"/>
        <w:left w:val="single" w:sz="4" w:space="0" w:color="63D0DF" w:themeColor="accent5"/>
        <w:bottom w:val="single" w:sz="4" w:space="0" w:color="63D0DF" w:themeColor="accent5"/>
        <w:right w:val="single" w:sz="4" w:space="0" w:color="63D0DF" w:themeColor="accent5"/>
      </w:tblBorders>
      <w:tblCellMar>
        <w:top w:w="57" w:type="dxa"/>
        <w:left w:w="57" w:type="dxa"/>
        <w:bottom w:w="57" w:type="dxa"/>
        <w:right w:w="57" w:type="dxa"/>
      </w:tblCellMar>
    </w:tblPr>
    <w:tblStylePr w:type="firstRow">
      <w:rPr>
        <w:b/>
        <w:bCs/>
        <w:color w:val="FFFFFF" w:themeColor="background1"/>
      </w:rPr>
      <w:tblPr/>
      <w:tcPr>
        <w:shd w:val="clear" w:color="auto" w:fill="63D0DF" w:themeFill="accent5"/>
      </w:tcPr>
    </w:tblStylePr>
    <w:tblStylePr w:type="lastRow">
      <w:rPr>
        <w:b/>
        <w:bCs/>
      </w:rPr>
      <w:tblPr/>
      <w:tcPr>
        <w:tcBorders>
          <w:top w:val="double" w:sz="4" w:space="0" w:color="63D0D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3D0DF" w:themeColor="accent5"/>
          <w:right w:val="single" w:sz="4" w:space="0" w:color="63D0DF" w:themeColor="accent5"/>
        </w:tcBorders>
      </w:tcPr>
    </w:tblStylePr>
    <w:tblStylePr w:type="band1Horz">
      <w:tblPr/>
      <w:tcPr>
        <w:tcBorders>
          <w:top w:val="single" w:sz="4" w:space="0" w:color="63D0DF" w:themeColor="accent5"/>
          <w:bottom w:val="single" w:sz="4" w:space="0" w:color="63D0D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3D0DF" w:themeColor="accent5"/>
          <w:left w:val="nil"/>
        </w:tcBorders>
      </w:tcPr>
    </w:tblStylePr>
    <w:tblStylePr w:type="swCell">
      <w:tblPr/>
      <w:tcPr>
        <w:tcBorders>
          <w:top w:val="double" w:sz="4" w:space="0" w:color="63D0DF" w:themeColor="accent5"/>
          <w:right w:val="nil"/>
        </w:tcBorders>
      </w:tcPr>
    </w:tblStylePr>
  </w:style>
  <w:style w:type="table" w:styleId="ListTable3-Accent6">
    <w:name w:val="List Table 3 Accent 6"/>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A1A1A1" w:themeColor="accent6"/>
        <w:left w:val="single" w:sz="4" w:space="0" w:color="A1A1A1" w:themeColor="accent6"/>
        <w:bottom w:val="single" w:sz="4" w:space="0" w:color="A1A1A1" w:themeColor="accent6"/>
        <w:right w:val="single" w:sz="4" w:space="0" w:color="A1A1A1" w:themeColor="accent6"/>
      </w:tblBorders>
      <w:tblCellMar>
        <w:top w:w="57" w:type="dxa"/>
        <w:left w:w="57" w:type="dxa"/>
        <w:bottom w:w="57" w:type="dxa"/>
        <w:right w:w="57" w:type="dxa"/>
      </w:tblCellMar>
    </w:tblPr>
    <w:tblStylePr w:type="firstRow">
      <w:rPr>
        <w:b/>
        <w:bCs/>
        <w:color w:val="FFFFFF" w:themeColor="background1"/>
      </w:rPr>
      <w:tblPr/>
      <w:tcPr>
        <w:shd w:val="clear" w:color="auto" w:fill="A1A1A1" w:themeFill="accent6"/>
      </w:tcPr>
    </w:tblStylePr>
    <w:tblStylePr w:type="lastRow">
      <w:rPr>
        <w:b/>
        <w:bCs/>
      </w:rPr>
      <w:tblPr/>
      <w:tcPr>
        <w:tcBorders>
          <w:top w:val="double" w:sz="4" w:space="0" w:color="A1A1A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1A1A1" w:themeColor="accent6"/>
          <w:right w:val="single" w:sz="4" w:space="0" w:color="A1A1A1" w:themeColor="accent6"/>
        </w:tcBorders>
      </w:tcPr>
    </w:tblStylePr>
    <w:tblStylePr w:type="band1Horz">
      <w:tblPr/>
      <w:tcPr>
        <w:tcBorders>
          <w:top w:val="single" w:sz="4" w:space="0" w:color="A1A1A1" w:themeColor="accent6"/>
          <w:bottom w:val="single" w:sz="4" w:space="0" w:color="A1A1A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1A1A1" w:themeColor="accent6"/>
          <w:left w:val="nil"/>
        </w:tcBorders>
      </w:tcPr>
    </w:tblStylePr>
    <w:tblStylePr w:type="swCell">
      <w:tblPr/>
      <w:tcPr>
        <w:tcBorders>
          <w:top w:val="double" w:sz="4" w:space="0" w:color="A1A1A1" w:themeColor="accent6"/>
          <w:right w:val="nil"/>
        </w:tcBorders>
      </w:tcPr>
    </w:tblStylePr>
  </w:style>
  <w:style w:type="table" w:styleId="ListTable4">
    <w:name w:val="List Table 4"/>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A1E2EB" w:themeColor="accent1" w:themeTint="99"/>
        <w:left w:val="single" w:sz="4" w:space="0" w:color="A1E2EB" w:themeColor="accent1" w:themeTint="99"/>
        <w:bottom w:val="single" w:sz="4" w:space="0" w:color="A1E2EB" w:themeColor="accent1" w:themeTint="99"/>
        <w:right w:val="single" w:sz="4" w:space="0" w:color="A1E2EB" w:themeColor="accent1" w:themeTint="99"/>
        <w:insideH w:val="single" w:sz="4" w:space="0" w:color="A1E2EB" w:themeColor="accent1"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63D0DF" w:themeColor="accent1"/>
          <w:left w:val="single" w:sz="4" w:space="0" w:color="63D0DF" w:themeColor="accent1"/>
          <w:bottom w:val="single" w:sz="4" w:space="0" w:color="63D0DF" w:themeColor="accent1"/>
          <w:right w:val="single" w:sz="4" w:space="0" w:color="63D0DF" w:themeColor="accent1"/>
          <w:insideH w:val="nil"/>
        </w:tcBorders>
        <w:shd w:val="clear" w:color="auto" w:fill="63D0DF" w:themeFill="accent1"/>
      </w:tcPr>
    </w:tblStylePr>
    <w:tblStylePr w:type="lastRow">
      <w:rPr>
        <w:b/>
        <w:bCs/>
      </w:rPr>
      <w:tblPr/>
      <w:tcPr>
        <w:tcBorders>
          <w:top w:val="double" w:sz="4" w:space="0" w:color="A1E2EB" w:themeColor="accent1" w:themeTint="99"/>
        </w:tcBorders>
      </w:tcPr>
    </w:tblStylePr>
    <w:tblStylePr w:type="firstCol">
      <w:rPr>
        <w:b/>
        <w:bCs/>
      </w:rPr>
    </w:tblStylePr>
    <w:tblStylePr w:type="lastCol">
      <w:rPr>
        <w:b/>
        <w:bCs/>
      </w:rPr>
    </w:tblStylePr>
    <w:tblStylePr w:type="band1Vert">
      <w:tblPr/>
      <w:tcPr>
        <w:shd w:val="clear" w:color="auto" w:fill="DFF5F8" w:themeFill="accent1" w:themeFillTint="33"/>
      </w:tcPr>
    </w:tblStylePr>
    <w:tblStylePr w:type="band1Horz">
      <w:tblPr/>
      <w:tcPr>
        <w:shd w:val="clear" w:color="auto" w:fill="DFF5F8" w:themeFill="accent1" w:themeFillTint="33"/>
      </w:tcPr>
    </w:tblStylePr>
  </w:style>
  <w:style w:type="table" w:styleId="ListTable4-Accent2">
    <w:name w:val="List Table 4 Accent 2"/>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DEDEDF" w:themeColor="accent2" w:themeTint="99"/>
        <w:left w:val="single" w:sz="4" w:space="0" w:color="DEDEDF" w:themeColor="accent2" w:themeTint="99"/>
        <w:bottom w:val="single" w:sz="4" w:space="0" w:color="DEDEDF" w:themeColor="accent2" w:themeTint="99"/>
        <w:right w:val="single" w:sz="4" w:space="0" w:color="DEDEDF" w:themeColor="accent2" w:themeTint="99"/>
        <w:insideH w:val="single" w:sz="4" w:space="0" w:color="DEDEDF" w:themeColor="accent2"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C9C9CA" w:themeColor="accent2"/>
          <w:left w:val="single" w:sz="4" w:space="0" w:color="C9C9CA" w:themeColor="accent2"/>
          <w:bottom w:val="single" w:sz="4" w:space="0" w:color="C9C9CA" w:themeColor="accent2"/>
          <w:right w:val="single" w:sz="4" w:space="0" w:color="C9C9CA" w:themeColor="accent2"/>
          <w:insideH w:val="nil"/>
        </w:tcBorders>
        <w:shd w:val="clear" w:color="auto" w:fill="C9C9CA" w:themeFill="accent2"/>
      </w:tcPr>
    </w:tblStylePr>
    <w:tblStylePr w:type="lastRow">
      <w:rPr>
        <w:b/>
        <w:bCs/>
      </w:rPr>
      <w:tblPr/>
      <w:tcPr>
        <w:tcBorders>
          <w:top w:val="double" w:sz="4" w:space="0" w:color="DEDEDF" w:themeColor="accent2" w:themeTint="99"/>
        </w:tcBorders>
      </w:tcPr>
    </w:tblStylePr>
    <w:tblStylePr w:type="firstCol">
      <w:rPr>
        <w:b/>
        <w:bCs/>
      </w:rPr>
    </w:tblStylePr>
    <w:tblStylePr w:type="lastCol">
      <w:rPr>
        <w:b/>
        <w:bCs/>
      </w:rPr>
    </w:tblStylePr>
    <w:tblStylePr w:type="band1Vert">
      <w:tblPr/>
      <w:tcPr>
        <w:shd w:val="clear" w:color="auto" w:fill="F4F4F4" w:themeFill="accent2" w:themeFillTint="33"/>
      </w:tcPr>
    </w:tblStylePr>
    <w:tblStylePr w:type="band1Horz">
      <w:tblPr/>
      <w:tcPr>
        <w:shd w:val="clear" w:color="auto" w:fill="F4F4F4" w:themeFill="accent2" w:themeFillTint="33"/>
      </w:tcPr>
    </w:tblStylePr>
  </w:style>
  <w:style w:type="table" w:styleId="ListTable4-Accent3">
    <w:name w:val="List Table 4 Accent 3"/>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A1E2EB" w:themeColor="accent3" w:themeTint="99"/>
        <w:left w:val="single" w:sz="4" w:space="0" w:color="A1E2EB" w:themeColor="accent3" w:themeTint="99"/>
        <w:bottom w:val="single" w:sz="4" w:space="0" w:color="A1E2EB" w:themeColor="accent3" w:themeTint="99"/>
        <w:right w:val="single" w:sz="4" w:space="0" w:color="A1E2EB" w:themeColor="accent3" w:themeTint="99"/>
        <w:insideH w:val="single" w:sz="4" w:space="0" w:color="A1E2EB" w:themeColor="accent3"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63D0DF" w:themeColor="accent3"/>
          <w:left w:val="single" w:sz="4" w:space="0" w:color="63D0DF" w:themeColor="accent3"/>
          <w:bottom w:val="single" w:sz="4" w:space="0" w:color="63D0DF" w:themeColor="accent3"/>
          <w:right w:val="single" w:sz="4" w:space="0" w:color="63D0DF" w:themeColor="accent3"/>
          <w:insideH w:val="nil"/>
        </w:tcBorders>
        <w:shd w:val="clear" w:color="auto" w:fill="63D0DF" w:themeFill="accent3"/>
      </w:tcPr>
    </w:tblStylePr>
    <w:tblStylePr w:type="lastRow">
      <w:rPr>
        <w:b/>
        <w:bCs/>
      </w:rPr>
      <w:tblPr/>
      <w:tcPr>
        <w:tcBorders>
          <w:top w:val="double" w:sz="4" w:space="0" w:color="A1E2EB" w:themeColor="accent3" w:themeTint="99"/>
        </w:tcBorders>
      </w:tcPr>
    </w:tblStylePr>
    <w:tblStylePr w:type="firstCol">
      <w:rPr>
        <w:b/>
        <w:bCs/>
      </w:rPr>
    </w:tblStylePr>
    <w:tblStylePr w:type="lastCol">
      <w:rPr>
        <w:b/>
        <w:bCs/>
      </w:rPr>
    </w:tblStylePr>
    <w:tblStylePr w:type="band1Vert">
      <w:tblPr/>
      <w:tcPr>
        <w:shd w:val="clear" w:color="auto" w:fill="DFF5F8" w:themeFill="accent3" w:themeFillTint="33"/>
      </w:tcPr>
    </w:tblStylePr>
    <w:tblStylePr w:type="band1Horz">
      <w:tblPr/>
      <w:tcPr>
        <w:shd w:val="clear" w:color="auto" w:fill="DFF5F8" w:themeFill="accent3" w:themeFillTint="33"/>
      </w:tcPr>
    </w:tblStylePr>
  </w:style>
  <w:style w:type="table" w:styleId="ListTable4-Accent4">
    <w:name w:val="List Table 4 Accent 4"/>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C6C6C6" w:themeColor="accent4" w:themeTint="99"/>
        <w:left w:val="single" w:sz="4" w:space="0" w:color="C6C6C6" w:themeColor="accent4" w:themeTint="99"/>
        <w:bottom w:val="single" w:sz="4" w:space="0" w:color="C6C6C6" w:themeColor="accent4" w:themeTint="99"/>
        <w:right w:val="single" w:sz="4" w:space="0" w:color="C6C6C6" w:themeColor="accent4" w:themeTint="99"/>
        <w:insideH w:val="single" w:sz="4" w:space="0" w:color="C6C6C6" w:themeColor="accent4"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A1A1A1" w:themeColor="accent4"/>
          <w:left w:val="single" w:sz="4" w:space="0" w:color="A1A1A1" w:themeColor="accent4"/>
          <w:bottom w:val="single" w:sz="4" w:space="0" w:color="A1A1A1" w:themeColor="accent4"/>
          <w:right w:val="single" w:sz="4" w:space="0" w:color="A1A1A1" w:themeColor="accent4"/>
          <w:insideH w:val="nil"/>
        </w:tcBorders>
        <w:shd w:val="clear" w:color="auto" w:fill="A1A1A1" w:themeFill="accent4"/>
      </w:tcPr>
    </w:tblStylePr>
    <w:tblStylePr w:type="lastRow">
      <w:rPr>
        <w:b/>
        <w:bCs/>
      </w:rPr>
      <w:tblPr/>
      <w:tcPr>
        <w:tcBorders>
          <w:top w:val="double" w:sz="4" w:space="0" w:color="C6C6C6" w:themeColor="accent4" w:themeTint="99"/>
        </w:tcBorders>
      </w:tcPr>
    </w:tblStylePr>
    <w:tblStylePr w:type="firstCol">
      <w:rPr>
        <w:b/>
        <w:bCs/>
      </w:rPr>
    </w:tblStylePr>
    <w:tblStylePr w:type="lastCol">
      <w:rPr>
        <w:b/>
        <w:bCs/>
      </w:rPr>
    </w:tblStylePr>
    <w:tblStylePr w:type="band1Vert">
      <w:tblPr/>
      <w:tcPr>
        <w:shd w:val="clear" w:color="auto" w:fill="ECECEC" w:themeFill="accent4" w:themeFillTint="33"/>
      </w:tcPr>
    </w:tblStylePr>
    <w:tblStylePr w:type="band1Horz">
      <w:tblPr/>
      <w:tcPr>
        <w:shd w:val="clear" w:color="auto" w:fill="ECECEC" w:themeFill="accent4" w:themeFillTint="33"/>
      </w:tcPr>
    </w:tblStylePr>
  </w:style>
  <w:style w:type="table" w:styleId="ListTable4-Accent5">
    <w:name w:val="List Table 4 Accent 5"/>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A1E2EB" w:themeColor="accent5" w:themeTint="99"/>
        <w:left w:val="single" w:sz="4" w:space="0" w:color="A1E2EB" w:themeColor="accent5" w:themeTint="99"/>
        <w:bottom w:val="single" w:sz="4" w:space="0" w:color="A1E2EB" w:themeColor="accent5" w:themeTint="99"/>
        <w:right w:val="single" w:sz="4" w:space="0" w:color="A1E2EB" w:themeColor="accent5" w:themeTint="99"/>
        <w:insideH w:val="single" w:sz="4" w:space="0" w:color="A1E2EB" w:themeColor="accent5"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63D0DF" w:themeColor="accent5"/>
          <w:left w:val="single" w:sz="4" w:space="0" w:color="63D0DF" w:themeColor="accent5"/>
          <w:bottom w:val="single" w:sz="4" w:space="0" w:color="63D0DF" w:themeColor="accent5"/>
          <w:right w:val="single" w:sz="4" w:space="0" w:color="63D0DF" w:themeColor="accent5"/>
          <w:insideH w:val="nil"/>
        </w:tcBorders>
        <w:shd w:val="clear" w:color="auto" w:fill="63D0DF" w:themeFill="accent5"/>
      </w:tcPr>
    </w:tblStylePr>
    <w:tblStylePr w:type="lastRow">
      <w:rPr>
        <w:b/>
        <w:bCs/>
      </w:rPr>
      <w:tblPr/>
      <w:tcPr>
        <w:tcBorders>
          <w:top w:val="double" w:sz="4" w:space="0" w:color="A1E2EB" w:themeColor="accent5" w:themeTint="99"/>
        </w:tcBorders>
      </w:tcPr>
    </w:tblStylePr>
    <w:tblStylePr w:type="firstCol">
      <w:rPr>
        <w:b/>
        <w:bCs/>
      </w:rPr>
    </w:tblStylePr>
    <w:tblStylePr w:type="lastCol">
      <w:rPr>
        <w:b/>
        <w:bCs/>
      </w:rPr>
    </w:tblStylePr>
    <w:tblStylePr w:type="band1Vert">
      <w:tblPr/>
      <w:tcPr>
        <w:shd w:val="clear" w:color="auto" w:fill="DFF5F8" w:themeFill="accent5" w:themeFillTint="33"/>
      </w:tcPr>
    </w:tblStylePr>
    <w:tblStylePr w:type="band1Horz">
      <w:tblPr/>
      <w:tcPr>
        <w:shd w:val="clear" w:color="auto" w:fill="DFF5F8" w:themeFill="accent5" w:themeFillTint="33"/>
      </w:tcPr>
    </w:tblStylePr>
  </w:style>
  <w:style w:type="table" w:styleId="ListTable4-Accent6">
    <w:name w:val="List Table 4 Accent 6"/>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C6C6C6" w:themeColor="accent6" w:themeTint="99"/>
        <w:left w:val="single" w:sz="4" w:space="0" w:color="C6C6C6" w:themeColor="accent6" w:themeTint="99"/>
        <w:bottom w:val="single" w:sz="4" w:space="0" w:color="C6C6C6" w:themeColor="accent6" w:themeTint="99"/>
        <w:right w:val="single" w:sz="4" w:space="0" w:color="C6C6C6" w:themeColor="accent6" w:themeTint="99"/>
        <w:insideH w:val="single" w:sz="4" w:space="0" w:color="C6C6C6" w:themeColor="accent6"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A1A1A1" w:themeColor="accent6"/>
          <w:left w:val="single" w:sz="4" w:space="0" w:color="A1A1A1" w:themeColor="accent6"/>
          <w:bottom w:val="single" w:sz="4" w:space="0" w:color="A1A1A1" w:themeColor="accent6"/>
          <w:right w:val="single" w:sz="4" w:space="0" w:color="A1A1A1" w:themeColor="accent6"/>
          <w:insideH w:val="nil"/>
        </w:tcBorders>
        <w:shd w:val="clear" w:color="auto" w:fill="A1A1A1" w:themeFill="accent6"/>
      </w:tcPr>
    </w:tblStylePr>
    <w:tblStylePr w:type="lastRow">
      <w:rPr>
        <w:b/>
        <w:bCs/>
      </w:rPr>
      <w:tblPr/>
      <w:tcPr>
        <w:tcBorders>
          <w:top w:val="double" w:sz="4" w:space="0" w:color="C6C6C6" w:themeColor="accent6" w:themeTint="99"/>
        </w:tcBorders>
      </w:tcPr>
    </w:tblStylePr>
    <w:tblStylePr w:type="firstCol">
      <w:rPr>
        <w:b/>
        <w:bCs/>
      </w:rPr>
    </w:tblStylePr>
    <w:tblStylePr w:type="lastCol">
      <w:rPr>
        <w:b/>
        <w:bCs/>
      </w:rPr>
    </w:tblStylePr>
    <w:tblStylePr w:type="band1Vert">
      <w:tblPr/>
      <w:tcPr>
        <w:shd w:val="clear" w:color="auto" w:fill="ECECEC" w:themeFill="accent6" w:themeFillTint="33"/>
      </w:tcPr>
    </w:tblStylePr>
    <w:tblStylePr w:type="band1Horz">
      <w:tblPr/>
      <w:tcPr>
        <w:shd w:val="clear" w:color="auto" w:fill="ECECEC" w:themeFill="accent6" w:themeFillTint="33"/>
      </w:tcPr>
    </w:tblStylePr>
  </w:style>
  <w:style w:type="table" w:styleId="ListTable5Dark">
    <w:name w:val="List Table 5 Dark"/>
    <w:basedOn w:val="TableNormal"/>
    <w:uiPriority w:val="98"/>
    <w:semiHidden/>
    <w:rsid w:val="00573428"/>
    <w:rPr>
      <w:rFonts w:asciiTheme="minorHAnsi" w:eastAsia="Century Gothic" w:hAnsi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85" w:type="dxa"/>
        <w:left w:w="85" w:type="dxa"/>
        <w:bottom w:w="85" w:type="dxa"/>
        <w:right w:w="85"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8"/>
    <w:semiHidden/>
    <w:rsid w:val="00573428"/>
    <w:rPr>
      <w:rFonts w:asciiTheme="minorHAnsi" w:eastAsia="Century Gothic" w:hAnsiTheme="minorHAnsi" w:cstheme="minorBidi"/>
      <w:color w:val="FFFFFF" w:themeColor="background1"/>
      <w:lang w:eastAsia="en-US"/>
    </w:rPr>
    <w:tblPr>
      <w:tblStyleRowBandSize w:val="1"/>
      <w:tblStyleColBandSize w:val="1"/>
      <w:tblBorders>
        <w:top w:val="single" w:sz="24" w:space="0" w:color="63D0DF" w:themeColor="accent1"/>
        <w:left w:val="single" w:sz="24" w:space="0" w:color="63D0DF" w:themeColor="accent1"/>
        <w:bottom w:val="single" w:sz="24" w:space="0" w:color="63D0DF" w:themeColor="accent1"/>
        <w:right w:val="single" w:sz="24" w:space="0" w:color="63D0DF" w:themeColor="accent1"/>
      </w:tblBorders>
      <w:tblCellMar>
        <w:top w:w="85" w:type="dxa"/>
        <w:left w:w="85" w:type="dxa"/>
        <w:bottom w:w="85" w:type="dxa"/>
        <w:right w:w="85" w:type="dxa"/>
      </w:tblCellMar>
    </w:tblPr>
    <w:tcPr>
      <w:shd w:val="clear" w:color="auto" w:fill="63D0D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8"/>
    <w:semiHidden/>
    <w:rsid w:val="00573428"/>
    <w:rPr>
      <w:rFonts w:asciiTheme="minorHAnsi" w:eastAsia="Century Gothic" w:hAnsiTheme="minorHAnsi" w:cstheme="minorBidi"/>
      <w:color w:val="FFFFFF" w:themeColor="background1"/>
      <w:lang w:eastAsia="en-US"/>
    </w:rPr>
    <w:tblPr>
      <w:tblStyleRowBandSize w:val="1"/>
      <w:tblStyleColBandSize w:val="1"/>
      <w:tblBorders>
        <w:top w:val="single" w:sz="24" w:space="0" w:color="C9C9CA" w:themeColor="accent2"/>
        <w:left w:val="single" w:sz="24" w:space="0" w:color="C9C9CA" w:themeColor="accent2"/>
        <w:bottom w:val="single" w:sz="24" w:space="0" w:color="C9C9CA" w:themeColor="accent2"/>
        <w:right w:val="single" w:sz="24" w:space="0" w:color="C9C9CA" w:themeColor="accent2"/>
      </w:tblBorders>
      <w:tblCellMar>
        <w:top w:w="85" w:type="dxa"/>
        <w:left w:w="85" w:type="dxa"/>
        <w:bottom w:w="85" w:type="dxa"/>
        <w:right w:w="85" w:type="dxa"/>
      </w:tblCellMar>
    </w:tblPr>
    <w:tcPr>
      <w:shd w:val="clear" w:color="auto" w:fill="C9C9C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8"/>
    <w:semiHidden/>
    <w:rsid w:val="00573428"/>
    <w:rPr>
      <w:rFonts w:asciiTheme="minorHAnsi" w:eastAsia="Century Gothic" w:hAnsiTheme="minorHAnsi" w:cstheme="minorBidi"/>
      <w:color w:val="FFFFFF" w:themeColor="background1"/>
      <w:lang w:eastAsia="en-US"/>
    </w:rPr>
    <w:tblPr>
      <w:tblStyleRowBandSize w:val="1"/>
      <w:tblStyleColBandSize w:val="1"/>
      <w:tblBorders>
        <w:top w:val="single" w:sz="24" w:space="0" w:color="63D0DF" w:themeColor="accent3"/>
        <w:left w:val="single" w:sz="24" w:space="0" w:color="63D0DF" w:themeColor="accent3"/>
        <w:bottom w:val="single" w:sz="24" w:space="0" w:color="63D0DF" w:themeColor="accent3"/>
        <w:right w:val="single" w:sz="24" w:space="0" w:color="63D0DF" w:themeColor="accent3"/>
      </w:tblBorders>
      <w:tblCellMar>
        <w:top w:w="85" w:type="dxa"/>
        <w:left w:w="85" w:type="dxa"/>
        <w:bottom w:w="85" w:type="dxa"/>
        <w:right w:w="85" w:type="dxa"/>
      </w:tblCellMar>
    </w:tblPr>
    <w:tcPr>
      <w:shd w:val="clear" w:color="auto" w:fill="63D0D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8"/>
    <w:semiHidden/>
    <w:rsid w:val="00573428"/>
    <w:rPr>
      <w:rFonts w:asciiTheme="minorHAnsi" w:eastAsia="Century Gothic" w:hAnsiTheme="minorHAnsi" w:cstheme="minorBidi"/>
      <w:color w:val="FFFFFF" w:themeColor="background1"/>
      <w:lang w:eastAsia="en-US"/>
    </w:rPr>
    <w:tblPr>
      <w:tblStyleRowBandSize w:val="1"/>
      <w:tblStyleColBandSize w:val="1"/>
      <w:tblBorders>
        <w:top w:val="single" w:sz="24" w:space="0" w:color="A1A1A1" w:themeColor="accent4"/>
        <w:left w:val="single" w:sz="24" w:space="0" w:color="A1A1A1" w:themeColor="accent4"/>
        <w:bottom w:val="single" w:sz="24" w:space="0" w:color="A1A1A1" w:themeColor="accent4"/>
        <w:right w:val="single" w:sz="24" w:space="0" w:color="A1A1A1" w:themeColor="accent4"/>
      </w:tblBorders>
      <w:tblCellMar>
        <w:top w:w="85" w:type="dxa"/>
        <w:left w:w="85" w:type="dxa"/>
        <w:bottom w:w="85" w:type="dxa"/>
        <w:right w:w="85" w:type="dxa"/>
      </w:tblCellMar>
    </w:tblPr>
    <w:tcPr>
      <w:shd w:val="clear" w:color="auto" w:fill="A1A1A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8"/>
    <w:semiHidden/>
    <w:rsid w:val="00573428"/>
    <w:rPr>
      <w:rFonts w:asciiTheme="minorHAnsi" w:eastAsia="Century Gothic" w:hAnsiTheme="minorHAnsi" w:cstheme="minorBidi"/>
      <w:color w:val="FFFFFF" w:themeColor="background1"/>
      <w:lang w:eastAsia="en-US"/>
    </w:rPr>
    <w:tblPr>
      <w:tblStyleRowBandSize w:val="1"/>
      <w:tblStyleColBandSize w:val="1"/>
      <w:tblBorders>
        <w:top w:val="single" w:sz="24" w:space="0" w:color="63D0DF" w:themeColor="accent5"/>
        <w:left w:val="single" w:sz="24" w:space="0" w:color="63D0DF" w:themeColor="accent5"/>
        <w:bottom w:val="single" w:sz="24" w:space="0" w:color="63D0DF" w:themeColor="accent5"/>
        <w:right w:val="single" w:sz="24" w:space="0" w:color="63D0DF" w:themeColor="accent5"/>
      </w:tblBorders>
      <w:tblCellMar>
        <w:top w:w="85" w:type="dxa"/>
        <w:left w:w="85" w:type="dxa"/>
        <w:bottom w:w="85" w:type="dxa"/>
        <w:right w:w="85" w:type="dxa"/>
      </w:tblCellMar>
    </w:tblPr>
    <w:tcPr>
      <w:shd w:val="clear" w:color="auto" w:fill="63D0D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8"/>
    <w:semiHidden/>
    <w:rsid w:val="00573428"/>
    <w:rPr>
      <w:rFonts w:asciiTheme="minorHAnsi" w:eastAsia="Century Gothic" w:hAnsiTheme="minorHAnsi" w:cstheme="minorBidi"/>
      <w:color w:val="FFFFFF" w:themeColor="background1"/>
      <w:lang w:eastAsia="en-US"/>
    </w:rPr>
    <w:tblPr>
      <w:tblStyleRowBandSize w:val="1"/>
      <w:tblStyleColBandSize w:val="1"/>
      <w:tblBorders>
        <w:top w:val="single" w:sz="24" w:space="0" w:color="A1A1A1" w:themeColor="accent6"/>
        <w:left w:val="single" w:sz="24" w:space="0" w:color="A1A1A1" w:themeColor="accent6"/>
        <w:bottom w:val="single" w:sz="24" w:space="0" w:color="A1A1A1" w:themeColor="accent6"/>
        <w:right w:val="single" w:sz="24" w:space="0" w:color="A1A1A1" w:themeColor="accent6"/>
      </w:tblBorders>
      <w:tblCellMar>
        <w:top w:w="85" w:type="dxa"/>
        <w:left w:w="85" w:type="dxa"/>
        <w:bottom w:w="85" w:type="dxa"/>
        <w:right w:w="85" w:type="dxa"/>
      </w:tblCellMar>
    </w:tblPr>
    <w:tcPr>
      <w:shd w:val="clear" w:color="auto" w:fill="A1A1A1"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8"/>
    <w:semiHidden/>
    <w:rsid w:val="00573428"/>
    <w:rPr>
      <w:rFonts w:asciiTheme="minorHAnsi" w:eastAsia="Century Gothic" w:hAnsi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CellMar>
        <w:top w:w="57" w:type="dxa"/>
        <w:left w:w="57" w:type="dxa"/>
        <w:bottom w:w="57" w:type="dxa"/>
        <w:right w:w="57"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8"/>
    <w:semiHidden/>
    <w:rsid w:val="00573428"/>
    <w:rPr>
      <w:rFonts w:asciiTheme="minorHAnsi" w:eastAsia="Century Gothic" w:hAnsiTheme="minorHAnsi" w:cstheme="minorBidi"/>
      <w:color w:val="29B4C7" w:themeColor="accent1" w:themeShade="BF"/>
      <w:lang w:eastAsia="en-US"/>
    </w:rPr>
    <w:tblPr>
      <w:tblStyleRowBandSize w:val="1"/>
      <w:tblStyleColBandSize w:val="1"/>
      <w:tblBorders>
        <w:top w:val="single" w:sz="4" w:space="0" w:color="63D0DF" w:themeColor="accent1"/>
        <w:bottom w:val="single" w:sz="4" w:space="0" w:color="63D0DF" w:themeColor="accent1"/>
      </w:tblBorders>
      <w:tblCellMar>
        <w:top w:w="57" w:type="dxa"/>
        <w:left w:w="57" w:type="dxa"/>
        <w:bottom w:w="57" w:type="dxa"/>
        <w:right w:w="57" w:type="dxa"/>
      </w:tblCellMar>
    </w:tblPr>
    <w:tblStylePr w:type="firstRow">
      <w:rPr>
        <w:b/>
        <w:bCs/>
      </w:rPr>
      <w:tblPr/>
      <w:tcPr>
        <w:tcBorders>
          <w:bottom w:val="single" w:sz="4" w:space="0" w:color="63D0DF" w:themeColor="accent1"/>
        </w:tcBorders>
      </w:tcPr>
    </w:tblStylePr>
    <w:tblStylePr w:type="lastRow">
      <w:rPr>
        <w:b/>
        <w:bCs/>
      </w:rPr>
      <w:tblPr/>
      <w:tcPr>
        <w:tcBorders>
          <w:top w:val="double" w:sz="4" w:space="0" w:color="63D0DF" w:themeColor="accent1"/>
        </w:tcBorders>
      </w:tcPr>
    </w:tblStylePr>
    <w:tblStylePr w:type="firstCol">
      <w:rPr>
        <w:b/>
        <w:bCs/>
      </w:rPr>
    </w:tblStylePr>
    <w:tblStylePr w:type="lastCol">
      <w:rPr>
        <w:b/>
        <w:bCs/>
      </w:rPr>
    </w:tblStylePr>
    <w:tblStylePr w:type="band1Vert">
      <w:tblPr/>
      <w:tcPr>
        <w:shd w:val="clear" w:color="auto" w:fill="DFF5F8" w:themeFill="accent1" w:themeFillTint="33"/>
      </w:tcPr>
    </w:tblStylePr>
    <w:tblStylePr w:type="band1Horz">
      <w:tblPr/>
      <w:tcPr>
        <w:shd w:val="clear" w:color="auto" w:fill="DFF5F8" w:themeFill="accent1" w:themeFillTint="33"/>
      </w:tcPr>
    </w:tblStylePr>
  </w:style>
  <w:style w:type="table" w:styleId="ListTable6Colorful-Accent2">
    <w:name w:val="List Table 6 Colorful Accent 2"/>
    <w:basedOn w:val="TableNormal"/>
    <w:uiPriority w:val="98"/>
    <w:semiHidden/>
    <w:rsid w:val="00573428"/>
    <w:rPr>
      <w:rFonts w:asciiTheme="minorHAnsi" w:eastAsia="Century Gothic" w:hAnsiTheme="minorHAnsi" w:cstheme="minorBidi"/>
      <w:color w:val="959597" w:themeColor="accent2" w:themeShade="BF"/>
      <w:lang w:eastAsia="en-US"/>
    </w:rPr>
    <w:tblPr>
      <w:tblStyleRowBandSize w:val="1"/>
      <w:tblStyleColBandSize w:val="1"/>
      <w:tblBorders>
        <w:top w:val="single" w:sz="4" w:space="0" w:color="C9C9CA" w:themeColor="accent2"/>
        <w:bottom w:val="single" w:sz="4" w:space="0" w:color="C9C9CA" w:themeColor="accent2"/>
      </w:tblBorders>
      <w:tblCellMar>
        <w:top w:w="57" w:type="dxa"/>
        <w:left w:w="57" w:type="dxa"/>
        <w:bottom w:w="57" w:type="dxa"/>
        <w:right w:w="57" w:type="dxa"/>
      </w:tblCellMar>
    </w:tblPr>
    <w:tblStylePr w:type="firstRow">
      <w:rPr>
        <w:b/>
        <w:bCs/>
      </w:rPr>
      <w:tblPr/>
      <w:tcPr>
        <w:tcBorders>
          <w:bottom w:val="single" w:sz="4" w:space="0" w:color="C9C9CA" w:themeColor="accent2"/>
        </w:tcBorders>
      </w:tcPr>
    </w:tblStylePr>
    <w:tblStylePr w:type="lastRow">
      <w:rPr>
        <w:b/>
        <w:bCs/>
      </w:rPr>
      <w:tblPr/>
      <w:tcPr>
        <w:tcBorders>
          <w:top w:val="double" w:sz="4" w:space="0" w:color="C9C9CA" w:themeColor="accent2"/>
        </w:tcBorders>
      </w:tcPr>
    </w:tblStylePr>
    <w:tblStylePr w:type="firstCol">
      <w:rPr>
        <w:b/>
        <w:bCs/>
      </w:rPr>
    </w:tblStylePr>
    <w:tblStylePr w:type="lastCol">
      <w:rPr>
        <w:b/>
        <w:bCs/>
      </w:rPr>
    </w:tblStylePr>
    <w:tblStylePr w:type="band1Vert">
      <w:tblPr/>
      <w:tcPr>
        <w:shd w:val="clear" w:color="auto" w:fill="F4F4F4" w:themeFill="accent2" w:themeFillTint="33"/>
      </w:tcPr>
    </w:tblStylePr>
    <w:tblStylePr w:type="band1Horz">
      <w:tblPr/>
      <w:tcPr>
        <w:shd w:val="clear" w:color="auto" w:fill="F4F4F4" w:themeFill="accent2" w:themeFillTint="33"/>
      </w:tcPr>
    </w:tblStylePr>
  </w:style>
  <w:style w:type="table" w:styleId="ListTable6Colorful-Accent3">
    <w:name w:val="List Table 6 Colorful Accent 3"/>
    <w:basedOn w:val="TableNormal"/>
    <w:uiPriority w:val="98"/>
    <w:semiHidden/>
    <w:rsid w:val="00573428"/>
    <w:rPr>
      <w:rFonts w:asciiTheme="minorHAnsi" w:eastAsia="Century Gothic" w:hAnsiTheme="minorHAnsi" w:cstheme="minorBidi"/>
      <w:color w:val="29B4C7" w:themeColor="accent3" w:themeShade="BF"/>
      <w:lang w:eastAsia="en-US"/>
    </w:rPr>
    <w:tblPr>
      <w:tblStyleRowBandSize w:val="1"/>
      <w:tblStyleColBandSize w:val="1"/>
      <w:tblBorders>
        <w:top w:val="single" w:sz="4" w:space="0" w:color="63D0DF" w:themeColor="accent3"/>
        <w:bottom w:val="single" w:sz="4" w:space="0" w:color="63D0DF" w:themeColor="accent3"/>
      </w:tblBorders>
      <w:tblCellMar>
        <w:top w:w="57" w:type="dxa"/>
        <w:left w:w="57" w:type="dxa"/>
        <w:bottom w:w="57" w:type="dxa"/>
        <w:right w:w="57" w:type="dxa"/>
      </w:tblCellMar>
    </w:tblPr>
    <w:tblStylePr w:type="firstRow">
      <w:rPr>
        <w:b/>
        <w:bCs/>
      </w:rPr>
      <w:tblPr/>
      <w:tcPr>
        <w:tcBorders>
          <w:bottom w:val="single" w:sz="4" w:space="0" w:color="63D0DF" w:themeColor="accent3"/>
        </w:tcBorders>
      </w:tcPr>
    </w:tblStylePr>
    <w:tblStylePr w:type="lastRow">
      <w:rPr>
        <w:b/>
        <w:bCs/>
      </w:rPr>
      <w:tblPr/>
      <w:tcPr>
        <w:tcBorders>
          <w:top w:val="double" w:sz="4" w:space="0" w:color="63D0DF" w:themeColor="accent3"/>
        </w:tcBorders>
      </w:tcPr>
    </w:tblStylePr>
    <w:tblStylePr w:type="firstCol">
      <w:rPr>
        <w:b/>
        <w:bCs/>
      </w:rPr>
    </w:tblStylePr>
    <w:tblStylePr w:type="lastCol">
      <w:rPr>
        <w:b/>
        <w:bCs/>
      </w:rPr>
    </w:tblStylePr>
    <w:tblStylePr w:type="band1Vert">
      <w:tblPr/>
      <w:tcPr>
        <w:shd w:val="clear" w:color="auto" w:fill="DFF5F8" w:themeFill="accent3" w:themeFillTint="33"/>
      </w:tcPr>
    </w:tblStylePr>
    <w:tblStylePr w:type="band1Horz">
      <w:tblPr/>
      <w:tcPr>
        <w:shd w:val="clear" w:color="auto" w:fill="DFF5F8" w:themeFill="accent3" w:themeFillTint="33"/>
      </w:tcPr>
    </w:tblStylePr>
  </w:style>
  <w:style w:type="table" w:styleId="ListTable6Colorful-Accent4">
    <w:name w:val="List Table 6 Colorful Accent 4"/>
    <w:basedOn w:val="TableNormal"/>
    <w:uiPriority w:val="98"/>
    <w:semiHidden/>
    <w:rsid w:val="00573428"/>
    <w:rPr>
      <w:rFonts w:asciiTheme="minorHAnsi" w:eastAsia="Century Gothic" w:hAnsiTheme="minorHAnsi" w:cstheme="minorBidi"/>
      <w:color w:val="787878" w:themeColor="accent4" w:themeShade="BF"/>
      <w:lang w:eastAsia="en-US"/>
    </w:rPr>
    <w:tblPr>
      <w:tblStyleRowBandSize w:val="1"/>
      <w:tblStyleColBandSize w:val="1"/>
      <w:tblBorders>
        <w:top w:val="single" w:sz="4" w:space="0" w:color="A1A1A1" w:themeColor="accent4"/>
        <w:bottom w:val="single" w:sz="4" w:space="0" w:color="A1A1A1" w:themeColor="accent4"/>
      </w:tblBorders>
      <w:tblCellMar>
        <w:top w:w="57" w:type="dxa"/>
        <w:left w:w="57" w:type="dxa"/>
        <w:bottom w:w="57" w:type="dxa"/>
        <w:right w:w="57" w:type="dxa"/>
      </w:tblCellMar>
    </w:tblPr>
    <w:tblStylePr w:type="firstRow">
      <w:rPr>
        <w:b/>
        <w:bCs/>
      </w:rPr>
      <w:tblPr/>
      <w:tcPr>
        <w:tcBorders>
          <w:bottom w:val="single" w:sz="4" w:space="0" w:color="A1A1A1" w:themeColor="accent4"/>
        </w:tcBorders>
      </w:tcPr>
    </w:tblStylePr>
    <w:tblStylePr w:type="lastRow">
      <w:rPr>
        <w:b/>
        <w:bCs/>
      </w:rPr>
      <w:tblPr/>
      <w:tcPr>
        <w:tcBorders>
          <w:top w:val="double" w:sz="4" w:space="0" w:color="A1A1A1" w:themeColor="accent4"/>
        </w:tcBorders>
      </w:tcPr>
    </w:tblStylePr>
    <w:tblStylePr w:type="firstCol">
      <w:rPr>
        <w:b/>
        <w:bCs/>
      </w:rPr>
    </w:tblStylePr>
    <w:tblStylePr w:type="lastCol">
      <w:rPr>
        <w:b/>
        <w:bCs/>
      </w:rPr>
    </w:tblStylePr>
    <w:tblStylePr w:type="band1Vert">
      <w:tblPr/>
      <w:tcPr>
        <w:shd w:val="clear" w:color="auto" w:fill="ECECEC" w:themeFill="accent4" w:themeFillTint="33"/>
      </w:tcPr>
    </w:tblStylePr>
    <w:tblStylePr w:type="band1Horz">
      <w:tblPr/>
      <w:tcPr>
        <w:shd w:val="clear" w:color="auto" w:fill="ECECEC" w:themeFill="accent4" w:themeFillTint="33"/>
      </w:tcPr>
    </w:tblStylePr>
  </w:style>
  <w:style w:type="table" w:styleId="ListTable6Colorful-Accent5">
    <w:name w:val="List Table 6 Colorful Accent 5"/>
    <w:basedOn w:val="TableNormal"/>
    <w:uiPriority w:val="98"/>
    <w:semiHidden/>
    <w:rsid w:val="00573428"/>
    <w:rPr>
      <w:rFonts w:asciiTheme="minorHAnsi" w:eastAsia="Century Gothic" w:hAnsiTheme="minorHAnsi" w:cstheme="minorBidi"/>
      <w:color w:val="29B4C7" w:themeColor="accent5" w:themeShade="BF"/>
      <w:lang w:eastAsia="en-US"/>
    </w:rPr>
    <w:tblPr>
      <w:tblStyleRowBandSize w:val="1"/>
      <w:tblStyleColBandSize w:val="1"/>
      <w:tblBorders>
        <w:top w:val="single" w:sz="4" w:space="0" w:color="63D0DF" w:themeColor="accent5"/>
        <w:bottom w:val="single" w:sz="4" w:space="0" w:color="63D0DF" w:themeColor="accent5"/>
      </w:tblBorders>
      <w:tblCellMar>
        <w:top w:w="57" w:type="dxa"/>
        <w:left w:w="57" w:type="dxa"/>
        <w:bottom w:w="57" w:type="dxa"/>
        <w:right w:w="57" w:type="dxa"/>
      </w:tblCellMar>
    </w:tblPr>
    <w:tblStylePr w:type="firstRow">
      <w:rPr>
        <w:b/>
        <w:bCs/>
      </w:rPr>
      <w:tblPr/>
      <w:tcPr>
        <w:tcBorders>
          <w:bottom w:val="single" w:sz="4" w:space="0" w:color="63D0DF" w:themeColor="accent5"/>
        </w:tcBorders>
      </w:tcPr>
    </w:tblStylePr>
    <w:tblStylePr w:type="lastRow">
      <w:rPr>
        <w:b/>
        <w:bCs/>
      </w:rPr>
      <w:tblPr/>
      <w:tcPr>
        <w:tcBorders>
          <w:top w:val="double" w:sz="4" w:space="0" w:color="63D0DF" w:themeColor="accent5"/>
        </w:tcBorders>
      </w:tcPr>
    </w:tblStylePr>
    <w:tblStylePr w:type="firstCol">
      <w:rPr>
        <w:b/>
        <w:bCs/>
      </w:rPr>
    </w:tblStylePr>
    <w:tblStylePr w:type="lastCol">
      <w:rPr>
        <w:b/>
        <w:bCs/>
      </w:rPr>
    </w:tblStylePr>
    <w:tblStylePr w:type="band1Vert">
      <w:tblPr/>
      <w:tcPr>
        <w:shd w:val="clear" w:color="auto" w:fill="DFF5F8" w:themeFill="accent5" w:themeFillTint="33"/>
      </w:tcPr>
    </w:tblStylePr>
    <w:tblStylePr w:type="band1Horz">
      <w:tblPr/>
      <w:tcPr>
        <w:shd w:val="clear" w:color="auto" w:fill="DFF5F8" w:themeFill="accent5" w:themeFillTint="33"/>
      </w:tcPr>
    </w:tblStylePr>
  </w:style>
  <w:style w:type="table" w:styleId="ListTable6Colorful-Accent6">
    <w:name w:val="List Table 6 Colorful Accent 6"/>
    <w:basedOn w:val="TableNormal"/>
    <w:uiPriority w:val="98"/>
    <w:semiHidden/>
    <w:rsid w:val="00573428"/>
    <w:rPr>
      <w:rFonts w:asciiTheme="minorHAnsi" w:eastAsia="Century Gothic" w:hAnsiTheme="minorHAnsi" w:cstheme="minorBidi"/>
      <w:color w:val="787878" w:themeColor="accent6" w:themeShade="BF"/>
      <w:lang w:eastAsia="en-US"/>
    </w:rPr>
    <w:tblPr>
      <w:tblStyleRowBandSize w:val="1"/>
      <w:tblStyleColBandSize w:val="1"/>
      <w:tblBorders>
        <w:top w:val="single" w:sz="4" w:space="0" w:color="A1A1A1" w:themeColor="accent6"/>
        <w:bottom w:val="single" w:sz="4" w:space="0" w:color="A1A1A1" w:themeColor="accent6"/>
      </w:tblBorders>
      <w:tblCellMar>
        <w:top w:w="57" w:type="dxa"/>
        <w:left w:w="57" w:type="dxa"/>
        <w:bottom w:w="57" w:type="dxa"/>
        <w:right w:w="57" w:type="dxa"/>
      </w:tblCellMar>
    </w:tblPr>
    <w:tblStylePr w:type="firstRow">
      <w:rPr>
        <w:b/>
        <w:bCs/>
      </w:rPr>
      <w:tblPr/>
      <w:tcPr>
        <w:tcBorders>
          <w:bottom w:val="single" w:sz="4" w:space="0" w:color="A1A1A1" w:themeColor="accent6"/>
        </w:tcBorders>
      </w:tcPr>
    </w:tblStylePr>
    <w:tblStylePr w:type="lastRow">
      <w:rPr>
        <w:b/>
        <w:bCs/>
      </w:rPr>
      <w:tblPr/>
      <w:tcPr>
        <w:tcBorders>
          <w:top w:val="double" w:sz="4" w:space="0" w:color="A1A1A1" w:themeColor="accent6"/>
        </w:tcBorders>
      </w:tcPr>
    </w:tblStylePr>
    <w:tblStylePr w:type="firstCol">
      <w:rPr>
        <w:b/>
        <w:bCs/>
      </w:rPr>
    </w:tblStylePr>
    <w:tblStylePr w:type="lastCol">
      <w:rPr>
        <w:b/>
        <w:bCs/>
      </w:rPr>
    </w:tblStylePr>
    <w:tblStylePr w:type="band1Vert">
      <w:tblPr/>
      <w:tcPr>
        <w:shd w:val="clear" w:color="auto" w:fill="ECECEC" w:themeFill="accent6" w:themeFillTint="33"/>
      </w:tcPr>
    </w:tblStylePr>
    <w:tblStylePr w:type="band1Horz">
      <w:tblPr/>
      <w:tcPr>
        <w:shd w:val="clear" w:color="auto" w:fill="ECECEC" w:themeFill="accent6" w:themeFillTint="33"/>
      </w:tcPr>
    </w:tblStylePr>
  </w:style>
  <w:style w:type="table" w:styleId="ListTable7Colorful">
    <w:name w:val="List Table 7 Colorful"/>
    <w:basedOn w:val="TableNormal"/>
    <w:uiPriority w:val="98"/>
    <w:semiHidden/>
    <w:rsid w:val="00573428"/>
    <w:rPr>
      <w:rFonts w:asciiTheme="minorHAnsi" w:eastAsia="Century Gothic" w:hAnsiTheme="minorHAnsi" w:cstheme="minorBidi"/>
      <w:color w:val="000000" w:themeColor="text1"/>
      <w:lang w:eastAsia="en-US"/>
    </w:rPr>
    <w:tblPr>
      <w:tblStyleRowBandSize w:val="1"/>
      <w:tblStyleColBandSize w:val="1"/>
      <w:tblCellMar>
        <w:top w:w="57" w:type="dxa"/>
        <w:left w:w="57" w:type="dxa"/>
        <w:bottom w:w="57" w:type="dxa"/>
        <w:right w:w="170"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8"/>
    <w:semiHidden/>
    <w:rsid w:val="00573428"/>
    <w:rPr>
      <w:rFonts w:asciiTheme="minorHAnsi" w:eastAsia="Century Gothic" w:hAnsiTheme="minorHAnsi" w:cstheme="minorBidi"/>
      <w:color w:val="29B4C7" w:themeColor="accent1" w:themeShade="BF"/>
      <w:lang w:eastAsia="en-US"/>
    </w:rPr>
    <w:tblPr>
      <w:tblStyleRowBandSize w:val="1"/>
      <w:tblStyleColBandSize w:val="1"/>
      <w:tblCellMar>
        <w:top w:w="57" w:type="dxa"/>
        <w:left w:w="57" w:type="dxa"/>
        <w:bottom w:w="57" w:type="dxa"/>
        <w:right w:w="170" w:type="dxa"/>
      </w:tblCellMar>
    </w:tblPr>
    <w:tblStylePr w:type="firstRow">
      <w:rPr>
        <w:rFonts w:asciiTheme="majorHAnsi" w:eastAsiaTheme="majorEastAsia" w:hAnsiTheme="majorHAnsi" w:cstheme="majorBidi"/>
        <w:i/>
        <w:iCs/>
        <w:sz w:val="26"/>
      </w:rPr>
      <w:tblPr/>
      <w:tcPr>
        <w:tcBorders>
          <w:bottom w:val="single" w:sz="4" w:space="0" w:color="63D0D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3D0D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3D0D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3D0DF" w:themeColor="accent1"/>
        </w:tcBorders>
        <w:shd w:val="clear" w:color="auto" w:fill="FFFFFF" w:themeFill="background1"/>
      </w:tcPr>
    </w:tblStylePr>
    <w:tblStylePr w:type="band1Vert">
      <w:tblPr/>
      <w:tcPr>
        <w:shd w:val="clear" w:color="auto" w:fill="DFF5F8" w:themeFill="accent1" w:themeFillTint="33"/>
      </w:tcPr>
    </w:tblStylePr>
    <w:tblStylePr w:type="band1Horz">
      <w:tblPr/>
      <w:tcPr>
        <w:shd w:val="clear" w:color="auto" w:fill="DFF5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8"/>
    <w:semiHidden/>
    <w:rsid w:val="00573428"/>
    <w:rPr>
      <w:rFonts w:asciiTheme="minorHAnsi" w:eastAsia="Century Gothic" w:hAnsiTheme="minorHAnsi" w:cstheme="minorBidi"/>
      <w:color w:val="959597" w:themeColor="accent2" w:themeShade="BF"/>
      <w:lang w:eastAsia="en-US"/>
    </w:rPr>
    <w:tblPr>
      <w:tblStyleRowBandSize w:val="1"/>
      <w:tblStyleColBandSize w:val="1"/>
      <w:tblCellMar>
        <w:top w:w="57" w:type="dxa"/>
        <w:left w:w="57" w:type="dxa"/>
        <w:bottom w:w="57" w:type="dxa"/>
        <w:right w:w="170" w:type="dxa"/>
      </w:tblCellMar>
    </w:tblPr>
    <w:tblStylePr w:type="firstRow">
      <w:rPr>
        <w:rFonts w:asciiTheme="majorHAnsi" w:eastAsiaTheme="majorEastAsia" w:hAnsiTheme="majorHAnsi" w:cstheme="majorBidi"/>
        <w:i/>
        <w:iCs/>
        <w:sz w:val="26"/>
      </w:rPr>
      <w:tblPr/>
      <w:tcPr>
        <w:tcBorders>
          <w:bottom w:val="single" w:sz="4" w:space="0" w:color="C9C9C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9C9C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9C9C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9C9CA" w:themeColor="accent2"/>
        </w:tcBorders>
        <w:shd w:val="clear" w:color="auto" w:fill="FFFFFF" w:themeFill="background1"/>
      </w:tcPr>
    </w:tblStylePr>
    <w:tblStylePr w:type="band1Vert">
      <w:tblPr/>
      <w:tcPr>
        <w:shd w:val="clear" w:color="auto" w:fill="F4F4F4" w:themeFill="accent2" w:themeFillTint="33"/>
      </w:tcPr>
    </w:tblStylePr>
    <w:tblStylePr w:type="band1Horz">
      <w:tblPr/>
      <w:tcPr>
        <w:shd w:val="clear" w:color="auto" w:fill="F4F4F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8"/>
    <w:semiHidden/>
    <w:rsid w:val="00573428"/>
    <w:rPr>
      <w:rFonts w:asciiTheme="minorHAnsi" w:eastAsia="Century Gothic" w:hAnsiTheme="minorHAnsi" w:cstheme="minorBidi"/>
      <w:color w:val="29B4C7" w:themeColor="accent3" w:themeShade="BF"/>
      <w:lang w:eastAsia="en-US"/>
    </w:rPr>
    <w:tblPr>
      <w:tblStyleRowBandSize w:val="1"/>
      <w:tblStyleColBandSize w:val="1"/>
      <w:tblCellMar>
        <w:top w:w="57" w:type="dxa"/>
        <w:left w:w="57" w:type="dxa"/>
        <w:bottom w:w="57" w:type="dxa"/>
        <w:right w:w="170" w:type="dxa"/>
      </w:tblCellMar>
    </w:tblPr>
    <w:tblStylePr w:type="firstRow">
      <w:rPr>
        <w:rFonts w:asciiTheme="majorHAnsi" w:eastAsiaTheme="majorEastAsia" w:hAnsiTheme="majorHAnsi" w:cstheme="majorBidi"/>
        <w:i/>
        <w:iCs/>
        <w:sz w:val="26"/>
      </w:rPr>
      <w:tblPr/>
      <w:tcPr>
        <w:tcBorders>
          <w:bottom w:val="single" w:sz="4" w:space="0" w:color="63D0D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3D0D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3D0D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3D0DF" w:themeColor="accent3"/>
        </w:tcBorders>
        <w:shd w:val="clear" w:color="auto" w:fill="FFFFFF" w:themeFill="background1"/>
      </w:tcPr>
    </w:tblStylePr>
    <w:tblStylePr w:type="band1Vert">
      <w:tblPr/>
      <w:tcPr>
        <w:shd w:val="clear" w:color="auto" w:fill="DFF5F8" w:themeFill="accent3" w:themeFillTint="33"/>
      </w:tcPr>
    </w:tblStylePr>
    <w:tblStylePr w:type="band1Horz">
      <w:tblPr/>
      <w:tcPr>
        <w:shd w:val="clear" w:color="auto" w:fill="DFF5F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8"/>
    <w:semiHidden/>
    <w:rsid w:val="00573428"/>
    <w:rPr>
      <w:rFonts w:asciiTheme="minorHAnsi" w:eastAsia="Century Gothic" w:hAnsiTheme="minorHAnsi" w:cstheme="minorBidi"/>
      <w:color w:val="787878" w:themeColor="accent4" w:themeShade="BF"/>
      <w:lang w:eastAsia="en-US"/>
    </w:rPr>
    <w:tblPr>
      <w:tblStyleRowBandSize w:val="1"/>
      <w:tblStyleColBandSize w:val="1"/>
      <w:tblCellMar>
        <w:top w:w="57" w:type="dxa"/>
        <w:left w:w="57" w:type="dxa"/>
        <w:bottom w:w="57" w:type="dxa"/>
        <w:right w:w="170" w:type="dxa"/>
      </w:tblCellMar>
    </w:tblPr>
    <w:tblStylePr w:type="firstRow">
      <w:rPr>
        <w:rFonts w:asciiTheme="majorHAnsi" w:eastAsiaTheme="majorEastAsia" w:hAnsiTheme="majorHAnsi" w:cstheme="majorBidi"/>
        <w:i/>
        <w:iCs/>
        <w:sz w:val="26"/>
      </w:rPr>
      <w:tblPr/>
      <w:tcPr>
        <w:tcBorders>
          <w:bottom w:val="single" w:sz="4" w:space="0" w:color="A1A1A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1A1A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1A1A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1A1A1" w:themeColor="accent4"/>
        </w:tcBorders>
        <w:shd w:val="clear" w:color="auto" w:fill="FFFFFF" w:themeFill="background1"/>
      </w:tcPr>
    </w:tblStylePr>
    <w:tblStylePr w:type="band1Vert">
      <w:tblPr/>
      <w:tcPr>
        <w:shd w:val="clear" w:color="auto" w:fill="ECECEC" w:themeFill="accent4" w:themeFillTint="33"/>
      </w:tcPr>
    </w:tblStylePr>
    <w:tblStylePr w:type="band1Horz">
      <w:tblPr/>
      <w:tcPr>
        <w:shd w:val="clear" w:color="auto" w:fill="ECEC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8"/>
    <w:semiHidden/>
    <w:rsid w:val="00573428"/>
    <w:rPr>
      <w:rFonts w:asciiTheme="minorHAnsi" w:eastAsia="Century Gothic" w:hAnsiTheme="minorHAnsi" w:cstheme="minorBidi"/>
      <w:color w:val="29B4C7" w:themeColor="accent5" w:themeShade="BF"/>
      <w:lang w:eastAsia="en-US"/>
    </w:rPr>
    <w:tblPr>
      <w:tblStyleRowBandSize w:val="1"/>
      <w:tblStyleColBandSize w:val="1"/>
      <w:tblCellMar>
        <w:top w:w="57" w:type="dxa"/>
        <w:left w:w="57" w:type="dxa"/>
        <w:bottom w:w="57" w:type="dxa"/>
        <w:right w:w="170" w:type="dxa"/>
      </w:tblCellMar>
    </w:tblPr>
    <w:tblStylePr w:type="firstRow">
      <w:rPr>
        <w:rFonts w:asciiTheme="majorHAnsi" w:eastAsiaTheme="majorEastAsia" w:hAnsiTheme="majorHAnsi" w:cstheme="majorBidi"/>
        <w:i/>
        <w:iCs/>
        <w:sz w:val="26"/>
      </w:rPr>
      <w:tblPr/>
      <w:tcPr>
        <w:tcBorders>
          <w:bottom w:val="single" w:sz="4" w:space="0" w:color="63D0D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3D0D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3D0D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3D0DF" w:themeColor="accent5"/>
        </w:tcBorders>
        <w:shd w:val="clear" w:color="auto" w:fill="FFFFFF" w:themeFill="background1"/>
      </w:tcPr>
    </w:tblStylePr>
    <w:tblStylePr w:type="band1Vert">
      <w:tblPr/>
      <w:tcPr>
        <w:shd w:val="clear" w:color="auto" w:fill="DFF5F8" w:themeFill="accent5" w:themeFillTint="33"/>
      </w:tcPr>
    </w:tblStylePr>
    <w:tblStylePr w:type="band1Horz">
      <w:tblPr/>
      <w:tcPr>
        <w:shd w:val="clear" w:color="auto" w:fill="DFF5F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left w:w="57" w:type="dxa"/>
        <w:bottom w:w="57" w:type="dxa"/>
        <w:right w:w="57"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CellMar>
        <w:top w:w="57" w:type="dxa"/>
        <w:left w:w="57" w:type="dxa"/>
        <w:bottom w:w="57" w:type="dxa"/>
        <w:right w:w="57"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8"/>
    <w:semiHidden/>
    <w:rsid w:val="00573428"/>
    <w:rPr>
      <w:rFonts w:asciiTheme="minorHAnsi" w:eastAsia="Century Gothic" w:hAnsiTheme="minorHAnsi" w:cstheme="minorBidi"/>
      <w:lang w:eastAsia="en-US"/>
    </w:rPr>
    <w:tblPr>
      <w:tblStyleRowBandSize w:val="1"/>
      <w:tblStyleColBandSize w:val="1"/>
      <w:tblCellMar>
        <w:top w:w="57" w:type="dxa"/>
        <w:left w:w="57" w:type="dxa"/>
        <w:bottom w:w="57" w:type="dxa"/>
        <w:right w:w="57"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73428"/>
    <w:rPr>
      <w:rFonts w:asciiTheme="minorHAnsi" w:eastAsia="Century Gothic" w:hAnsiTheme="minorHAnsi" w:cstheme="minorBidi"/>
      <w:lang w:eastAsia="en-US"/>
    </w:rPr>
    <w:tblPr>
      <w:tblStyleRowBandSize w:val="1"/>
      <w:tblStyleColBandSize w:val="1"/>
      <w:tblCellMar>
        <w:top w:w="57" w:type="dxa"/>
        <w:left w:w="57" w:type="dxa"/>
        <w:bottom w:w="57" w:type="dxa"/>
        <w:right w:w="57"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73428"/>
    <w:rPr>
      <w:rFonts w:asciiTheme="minorHAnsi" w:eastAsia="Century Gothic" w:hAnsiTheme="minorHAnsi" w:cstheme="minorBidi"/>
      <w:lang w:eastAsia="en-US"/>
    </w:rPr>
    <w:tblPr>
      <w:tblStyleRowBandSize w:val="1"/>
      <w:tblStyleColBandSize w:val="1"/>
      <w:tblCellMar>
        <w:top w:w="57" w:type="dxa"/>
        <w:left w:w="57" w:type="dxa"/>
        <w:bottom w:w="57" w:type="dxa"/>
        <w:right w:w="113"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Bullet2">
    <w:name w:val="List Bullet 2"/>
    <w:basedOn w:val="Normal"/>
    <w:uiPriority w:val="3"/>
    <w:rsid w:val="00596177"/>
    <w:pPr>
      <w:numPr>
        <w:ilvl w:val="1"/>
        <w:numId w:val="11"/>
      </w:numPr>
      <w:spacing w:after="120"/>
    </w:pPr>
    <w:rPr>
      <w:rFonts w:eastAsia="Century Gothic" w:cstheme="minorBidi"/>
      <w:szCs w:val="20"/>
      <w:lang w:eastAsia="en-US"/>
    </w:rPr>
  </w:style>
  <w:style w:type="paragraph" w:styleId="ListBullet3">
    <w:name w:val="List Bullet 3"/>
    <w:basedOn w:val="Normal"/>
    <w:uiPriority w:val="3"/>
    <w:rsid w:val="00596177"/>
    <w:pPr>
      <w:numPr>
        <w:ilvl w:val="2"/>
        <w:numId w:val="11"/>
      </w:numPr>
      <w:spacing w:after="120"/>
    </w:pPr>
    <w:rPr>
      <w:rFonts w:eastAsia="Century Gothic" w:cstheme="minorBidi"/>
      <w:szCs w:val="20"/>
      <w:lang w:eastAsia="en-US"/>
    </w:rPr>
  </w:style>
  <w:style w:type="paragraph" w:styleId="ListBullet4">
    <w:name w:val="List Bullet 4"/>
    <w:basedOn w:val="Normal"/>
    <w:uiPriority w:val="3"/>
    <w:semiHidden/>
    <w:unhideWhenUsed/>
    <w:rsid w:val="00B664EA"/>
    <w:pPr>
      <w:numPr>
        <w:ilvl w:val="3"/>
        <w:numId w:val="4"/>
      </w:numPr>
      <w:spacing w:after="100" w:line="240" w:lineRule="auto"/>
      <w:contextualSpacing/>
    </w:pPr>
    <w:rPr>
      <w:rFonts w:eastAsia="Century Gothic" w:cstheme="minorBidi"/>
      <w:szCs w:val="20"/>
      <w:lang w:eastAsia="en-US"/>
    </w:rPr>
  </w:style>
  <w:style w:type="paragraph" w:styleId="ListBullet5">
    <w:name w:val="List Bullet 5"/>
    <w:basedOn w:val="Normal"/>
    <w:uiPriority w:val="3"/>
    <w:semiHidden/>
    <w:unhideWhenUsed/>
    <w:rsid w:val="00B664EA"/>
    <w:pPr>
      <w:numPr>
        <w:ilvl w:val="4"/>
        <w:numId w:val="5"/>
      </w:numPr>
      <w:spacing w:after="100" w:line="240" w:lineRule="auto"/>
      <w:contextualSpacing/>
    </w:pPr>
    <w:rPr>
      <w:rFonts w:eastAsia="Century Gothic" w:cstheme="minorBidi"/>
      <w:szCs w:val="20"/>
      <w:lang w:eastAsia="en-US"/>
    </w:rPr>
  </w:style>
  <w:style w:type="character" w:customStyle="1" w:styleId="Heading1Char">
    <w:name w:val="Heading 1 Char"/>
    <w:basedOn w:val="DefaultParagraphFont"/>
    <w:link w:val="Heading1"/>
    <w:uiPriority w:val="9"/>
    <w:rsid w:val="003A5075"/>
    <w:rPr>
      <w:rFonts w:asciiTheme="minorHAnsi" w:eastAsiaTheme="majorEastAsia" w:hAnsiTheme="minorHAnsi" w:cs="Calibri"/>
      <w:bCs/>
      <w:iCs/>
      <w:caps/>
      <w:color w:val="1D336D" w:themeColor="background2"/>
      <w:sz w:val="32"/>
      <w:szCs w:val="28"/>
    </w:rPr>
  </w:style>
  <w:style w:type="paragraph" w:customStyle="1" w:styleId="TableText">
    <w:name w:val="Table Text"/>
    <w:basedOn w:val="Normal"/>
    <w:uiPriority w:val="9"/>
    <w:qFormat/>
    <w:rsid w:val="00C4534E"/>
    <w:pPr>
      <w:spacing w:before="40" w:after="40" w:line="240" w:lineRule="atLeast"/>
    </w:pPr>
    <w:rPr>
      <w:rFonts w:eastAsia="Century Gothic"/>
      <w:lang w:eastAsia="en-US"/>
    </w:rPr>
  </w:style>
  <w:style w:type="character" w:styleId="Hyperlink">
    <w:name w:val="Hyperlink"/>
    <w:basedOn w:val="DefaultParagraphFont"/>
    <w:uiPriority w:val="99"/>
    <w:unhideWhenUsed/>
    <w:rsid w:val="00950440"/>
    <w:rPr>
      <w:color w:val="1D336D" w:themeColor="background2"/>
      <w:u w:val="single"/>
    </w:rPr>
  </w:style>
  <w:style w:type="character" w:styleId="UnresolvedMention">
    <w:name w:val="Unresolved Mention"/>
    <w:basedOn w:val="DefaultParagraphFont"/>
    <w:uiPriority w:val="99"/>
    <w:semiHidden/>
    <w:unhideWhenUsed/>
    <w:rsid w:val="009442D8"/>
    <w:rPr>
      <w:color w:val="605E5C"/>
      <w:shd w:val="clear" w:color="auto" w:fill="E1DFDD"/>
    </w:rPr>
  </w:style>
  <w:style w:type="paragraph" w:styleId="TOC2">
    <w:name w:val="toc 2"/>
    <w:basedOn w:val="TOC1"/>
    <w:next w:val="Normal"/>
    <w:uiPriority w:val="39"/>
    <w:rsid w:val="00145656"/>
    <w:pPr>
      <w:spacing w:before="40"/>
      <w:ind w:left="170" w:firstLine="0"/>
    </w:pPr>
    <w:rPr>
      <w:b w:val="0"/>
      <w:caps w:val="0"/>
      <w:color w:val="000000" w:themeColor="text1"/>
    </w:rPr>
  </w:style>
  <w:style w:type="paragraph" w:styleId="TOC1">
    <w:name w:val="toc 1"/>
    <w:basedOn w:val="Normal"/>
    <w:next w:val="Normal"/>
    <w:uiPriority w:val="39"/>
    <w:rsid w:val="00145656"/>
    <w:pPr>
      <w:tabs>
        <w:tab w:val="left" w:pos="567"/>
        <w:tab w:val="right" w:leader="dot" w:pos="9638"/>
      </w:tabs>
      <w:spacing w:before="240" w:after="40" w:line="240" w:lineRule="auto"/>
      <w:ind w:left="567" w:hanging="567"/>
    </w:pPr>
    <w:rPr>
      <w:b/>
      <w:caps/>
      <w:color w:val="2294CD"/>
    </w:rPr>
  </w:style>
  <w:style w:type="paragraph" w:styleId="NoSpacing">
    <w:name w:val="No Spacing"/>
    <w:uiPriority w:val="50"/>
    <w:semiHidden/>
    <w:rsid w:val="00F87FD2"/>
    <w:rPr>
      <w:rFonts w:asciiTheme="minorHAnsi" w:hAnsiTheme="minorHAnsi" w:cs="Calibri"/>
      <w:sz w:val="18"/>
      <w:szCs w:val="24"/>
    </w:rPr>
  </w:style>
  <w:style w:type="numbering" w:customStyle="1" w:styleId="Headings">
    <w:name w:val="Headings"/>
    <w:uiPriority w:val="99"/>
    <w:rsid w:val="00D4310E"/>
    <w:pPr>
      <w:numPr>
        <w:numId w:val="6"/>
      </w:numPr>
    </w:pPr>
  </w:style>
  <w:style w:type="character" w:customStyle="1" w:styleId="Heading6Char">
    <w:name w:val="Heading 6 Char"/>
    <w:basedOn w:val="DefaultParagraphFont"/>
    <w:link w:val="Heading6"/>
    <w:uiPriority w:val="1"/>
    <w:semiHidden/>
    <w:rsid w:val="000E3939"/>
    <w:rPr>
      <w:rFonts w:asciiTheme="majorHAnsi" w:eastAsiaTheme="majorEastAsia" w:hAnsiTheme="majorHAnsi" w:cstheme="majorBidi"/>
      <w:color w:val="1D336D" w:themeColor="background2"/>
      <w:szCs w:val="24"/>
    </w:rPr>
  </w:style>
  <w:style w:type="character" w:customStyle="1" w:styleId="Heading7Char">
    <w:name w:val="Heading 7 Char"/>
    <w:basedOn w:val="DefaultParagraphFont"/>
    <w:link w:val="Heading7"/>
    <w:uiPriority w:val="1"/>
    <w:semiHidden/>
    <w:rsid w:val="000E3939"/>
    <w:rPr>
      <w:rFonts w:asciiTheme="majorHAnsi" w:eastAsiaTheme="majorEastAsia" w:hAnsiTheme="majorHAnsi" w:cstheme="majorBidi"/>
      <w:i/>
      <w:iCs/>
      <w:color w:val="585858" w:themeColor="text2"/>
      <w:szCs w:val="24"/>
    </w:rPr>
  </w:style>
  <w:style w:type="paragraph" w:styleId="TOC3">
    <w:name w:val="toc 3"/>
    <w:basedOn w:val="Normal"/>
    <w:next w:val="Normal"/>
    <w:uiPriority w:val="39"/>
    <w:rsid w:val="00DD016A"/>
    <w:pPr>
      <w:tabs>
        <w:tab w:val="left" w:pos="454"/>
        <w:tab w:val="right" w:leader="dot" w:pos="9638"/>
      </w:tabs>
      <w:spacing w:after="100" w:line="200" w:lineRule="atLeast"/>
      <w:ind w:left="340"/>
      <w:contextualSpacing/>
    </w:pPr>
    <w:rPr>
      <w:sz w:val="18"/>
    </w:rPr>
  </w:style>
  <w:style w:type="paragraph" w:customStyle="1" w:styleId="NormalBold">
    <w:name w:val="Normal Bold"/>
    <w:basedOn w:val="Normal"/>
    <w:link w:val="NormalBoldChar"/>
    <w:uiPriority w:val="50"/>
    <w:semiHidden/>
    <w:qFormat/>
    <w:rsid w:val="00542C98"/>
    <w:rPr>
      <w:b/>
    </w:rPr>
  </w:style>
  <w:style w:type="paragraph" w:customStyle="1" w:styleId="TableTextItalic">
    <w:name w:val="Table Text Italic"/>
    <w:basedOn w:val="TableText"/>
    <w:uiPriority w:val="9"/>
    <w:qFormat/>
    <w:rsid w:val="00A45B75"/>
    <w:rPr>
      <w:i/>
      <w:iCs/>
    </w:rPr>
  </w:style>
  <w:style w:type="character" w:customStyle="1" w:styleId="NormalBoldChar">
    <w:name w:val="Normal Bold Char"/>
    <w:basedOn w:val="DefaultParagraphFont"/>
    <w:link w:val="NormalBold"/>
    <w:uiPriority w:val="50"/>
    <w:semiHidden/>
    <w:rsid w:val="00310B3A"/>
    <w:rPr>
      <w:rFonts w:asciiTheme="minorHAnsi" w:eastAsiaTheme="majorEastAsia" w:hAnsiTheme="minorHAnsi" w:cs="Calibri"/>
      <w:b/>
      <w:color w:val="000000" w:themeColor="text1"/>
      <w:szCs w:val="24"/>
    </w:rPr>
  </w:style>
  <w:style w:type="character" w:customStyle="1" w:styleId="Heading4Char">
    <w:name w:val="Heading 4 Char"/>
    <w:basedOn w:val="DefaultParagraphFont"/>
    <w:link w:val="Heading4"/>
    <w:uiPriority w:val="1"/>
    <w:rsid w:val="00CE5C62"/>
    <w:rPr>
      <w:rFonts w:asciiTheme="minorHAnsi" w:eastAsia="Century Gothic" w:hAnsiTheme="minorHAnsi" w:cs="Calibri"/>
      <w:b/>
      <w:iCs/>
      <w:color w:val="000000"/>
      <w:szCs w:val="26"/>
    </w:rPr>
  </w:style>
  <w:style w:type="paragraph" w:styleId="TOC4">
    <w:name w:val="toc 4"/>
    <w:basedOn w:val="Normal"/>
    <w:next w:val="Normal"/>
    <w:uiPriority w:val="39"/>
    <w:semiHidden/>
    <w:rsid w:val="00FE707F"/>
    <w:pPr>
      <w:tabs>
        <w:tab w:val="right" w:leader="dot" w:pos="9638"/>
      </w:tabs>
      <w:spacing w:before="20" w:after="20"/>
      <w:ind w:left="1134" w:hanging="567"/>
      <w:contextualSpacing/>
    </w:pPr>
  </w:style>
  <w:style w:type="paragraph" w:styleId="Subtitle">
    <w:name w:val="Subtitle"/>
    <w:basedOn w:val="Normal"/>
    <w:next w:val="Normal"/>
    <w:link w:val="SubtitleChar"/>
    <w:uiPriority w:val="49"/>
    <w:semiHidden/>
    <w:rsid w:val="00AB6039"/>
    <w:pPr>
      <w:numPr>
        <w:ilvl w:val="1"/>
      </w:numPr>
      <w:spacing w:after="640" w:line="240" w:lineRule="auto"/>
    </w:pPr>
    <w:rPr>
      <w:rFonts w:eastAsiaTheme="minorEastAsia" w:cstheme="minorBidi"/>
      <w:b/>
      <w:color w:val="1D336D" w:themeColor="background2"/>
      <w:sz w:val="32"/>
      <w:szCs w:val="22"/>
    </w:rPr>
  </w:style>
  <w:style w:type="character" w:customStyle="1" w:styleId="SubtitleChar">
    <w:name w:val="Subtitle Char"/>
    <w:basedOn w:val="DefaultParagraphFont"/>
    <w:link w:val="Subtitle"/>
    <w:uiPriority w:val="49"/>
    <w:semiHidden/>
    <w:rsid w:val="00310B3A"/>
    <w:rPr>
      <w:rFonts w:asciiTheme="minorHAnsi" w:eastAsiaTheme="minorEastAsia" w:hAnsiTheme="minorHAnsi" w:cstheme="minorBidi"/>
      <w:b/>
      <w:color w:val="1D336D" w:themeColor="background2"/>
      <w:sz w:val="32"/>
      <w:szCs w:val="22"/>
    </w:rPr>
  </w:style>
  <w:style w:type="table" w:customStyle="1" w:styleId="DefaultTable">
    <w:name w:val="_Default Table"/>
    <w:basedOn w:val="TableNormal"/>
    <w:uiPriority w:val="99"/>
    <w:rsid w:val="00635C95"/>
    <w:rPr>
      <w:rFonts w:asciiTheme="minorHAnsi" w:hAnsiTheme="minorHAnsi"/>
      <w:color w:val="000000" w:themeColor="text1"/>
    </w:rPr>
    <w:tblPr>
      <w:tblStyleRowBandSize w:val="1"/>
      <w:tblStyleColBandSize w:val="1"/>
      <w:tblBorders>
        <w:top w:val="single" w:sz="4" w:space="0" w:color="1D336D" w:themeColor="background2"/>
        <w:left w:val="single" w:sz="4" w:space="0" w:color="1D336D" w:themeColor="background2"/>
        <w:bottom w:val="single" w:sz="4" w:space="0" w:color="1D336D" w:themeColor="background2"/>
        <w:right w:val="single" w:sz="4" w:space="0" w:color="1D336D" w:themeColor="background2"/>
        <w:insideH w:val="single" w:sz="4" w:space="0" w:color="1D336D" w:themeColor="background2"/>
        <w:insideV w:val="single" w:sz="4" w:space="0" w:color="1D336D" w:themeColor="background2"/>
      </w:tblBorders>
      <w:tblCellMar>
        <w:top w:w="113" w:type="dxa"/>
        <w:left w:w="113" w:type="dxa"/>
        <w:bottom w:w="113" w:type="dxa"/>
        <w:right w:w="113" w:type="dxa"/>
      </w:tblCellMar>
    </w:tblPr>
    <w:tcPr>
      <w:shd w:val="clear" w:color="auto" w:fill="auto"/>
    </w:tcPr>
    <w:tblStylePr w:type="firstRow">
      <w:rPr>
        <w:b w:val="0"/>
        <w:color w:val="1D336D" w:themeColor="background2"/>
      </w:rPr>
      <w:tblPr/>
      <w:tcPr>
        <w:tcBorders>
          <w:top w:val="single" w:sz="4" w:space="0" w:color="1D336D" w:themeColor="background2"/>
          <w:left w:val="single" w:sz="4" w:space="0" w:color="1D336D" w:themeColor="background2"/>
          <w:bottom w:val="single" w:sz="4" w:space="0" w:color="1D336D" w:themeColor="background2"/>
          <w:right w:val="single" w:sz="4" w:space="0" w:color="1D336D" w:themeColor="background2"/>
          <w:insideH w:val="single" w:sz="4" w:space="0" w:color="1D336D" w:themeColor="background2"/>
          <w:insideV w:val="single" w:sz="4" w:space="0" w:color="1D336D" w:themeColor="background2"/>
        </w:tcBorders>
        <w:shd w:val="clear" w:color="auto" w:fill="1D336D" w:themeFill="background2"/>
      </w:tcPr>
    </w:tblStylePr>
    <w:tblStylePr w:type="lastRow">
      <w:tblPr/>
      <w:tcPr>
        <w:tcBorders>
          <w:top w:val="single" w:sz="12" w:space="0" w:color="1D336D" w:themeColor="background2"/>
          <w:left w:val="nil"/>
          <w:bottom w:val="single" w:sz="12" w:space="0" w:color="1D336D" w:themeColor="background2"/>
          <w:right w:val="nil"/>
          <w:insideH w:val="nil"/>
          <w:insideV w:val="nil"/>
          <w:tl2br w:val="nil"/>
          <w:tr2bl w:val="nil"/>
        </w:tcBorders>
        <w:shd w:val="clear" w:color="auto" w:fill="FFFFFF" w:themeFill="background1"/>
      </w:tcPr>
    </w:tblStylePr>
    <w:tblStylePr w:type="firstCol">
      <w:rPr>
        <w:color w:val="FFFFFF" w:themeColor="background1"/>
      </w:rPr>
      <w:tblPr/>
      <w:tcPr>
        <w:shd w:val="clear" w:color="auto" w:fill="C4CFEF" w:themeFill="background2" w:themeFillTint="33"/>
      </w:tcPr>
    </w:tblStylePr>
    <w:tblStylePr w:type="lastCol">
      <w:rPr>
        <w:color w:val="FFFFFF" w:themeColor="background1"/>
      </w:rPr>
      <w:tblPr/>
      <w:tcPr>
        <w:tcBorders>
          <w:top w:val="nil"/>
          <w:left w:val="nil"/>
          <w:bottom w:val="nil"/>
          <w:right w:val="nil"/>
          <w:insideH w:val="nil"/>
          <w:insideV w:val="nil"/>
          <w:tl2br w:val="nil"/>
          <w:tr2bl w:val="nil"/>
        </w:tcBorders>
        <w:shd w:val="clear" w:color="auto" w:fill="1D336D" w:themeFill="background2"/>
      </w:tcPr>
    </w:tblStylePr>
    <w:tblStylePr w:type="band2Vert">
      <w:tblPr/>
      <w:tcPr>
        <w:shd w:val="clear" w:color="auto" w:fill="DEE4F6"/>
      </w:tcPr>
    </w:tblStylePr>
    <w:tblStylePr w:type="band2Horz">
      <w:tblPr/>
      <w:tcPr>
        <w:shd w:val="clear" w:color="auto" w:fill="DEE4F6"/>
      </w:tcPr>
    </w:tblStylePr>
  </w:style>
  <w:style w:type="paragraph" w:customStyle="1" w:styleId="CoverTitle">
    <w:name w:val="Cover Title"/>
    <w:uiPriority w:val="19"/>
    <w:semiHidden/>
    <w:qFormat/>
    <w:rsid w:val="0081223D"/>
    <w:pPr>
      <w:numPr>
        <w:numId w:val="9"/>
      </w:numPr>
    </w:pPr>
    <w:rPr>
      <w:rFonts w:asciiTheme="minorHAnsi" w:eastAsiaTheme="majorEastAsia" w:hAnsiTheme="minorHAnsi" w:cs="Calibri"/>
      <w:bCs/>
      <w:iCs/>
      <w:color w:val="1D336D" w:themeColor="background2"/>
      <w:sz w:val="72"/>
      <w:szCs w:val="28"/>
    </w:rPr>
  </w:style>
  <w:style w:type="table" w:customStyle="1" w:styleId="PlainGridBlack">
    <w:name w:val="_Plain Grid Black"/>
    <w:basedOn w:val="TableNormal"/>
    <w:uiPriority w:val="99"/>
    <w:rsid w:val="001F6DC1"/>
    <w:rPr>
      <w:rFonts w:asciiTheme="minorHAnsi" w:hAnsiTheme="minorHAnsi"/>
      <w:color w:val="63D0DF" w:themeColor="accen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table" w:styleId="ColorfulGrid">
    <w:name w:val="Colorful Grid"/>
    <w:basedOn w:val="TableNormal"/>
    <w:uiPriority w:val="98"/>
    <w:semiHidden/>
    <w:unhideWhenUsed/>
    <w:rsid w:val="001F6DC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semiHidden/>
    <w:unhideWhenUsed/>
    <w:rsid w:val="001F6DC1"/>
    <w:rPr>
      <w:color w:val="000000" w:themeColor="text1"/>
    </w:rPr>
    <w:tblPr>
      <w:tblStyleRowBandSize w:val="1"/>
      <w:tblStyleColBandSize w:val="1"/>
      <w:tblBorders>
        <w:insideH w:val="single" w:sz="4" w:space="0" w:color="FFFFFF" w:themeColor="background1"/>
      </w:tblBorders>
    </w:tblPr>
    <w:tcPr>
      <w:shd w:val="clear" w:color="auto" w:fill="DFF5F8" w:themeFill="accent1" w:themeFillTint="33"/>
    </w:tcPr>
    <w:tblStylePr w:type="firstRow">
      <w:rPr>
        <w:b/>
        <w:bCs/>
      </w:rPr>
      <w:tblPr/>
      <w:tcPr>
        <w:shd w:val="clear" w:color="auto" w:fill="C0ECF2" w:themeFill="accent1" w:themeFillTint="66"/>
      </w:tcPr>
    </w:tblStylePr>
    <w:tblStylePr w:type="lastRow">
      <w:rPr>
        <w:b/>
        <w:bCs/>
        <w:color w:val="000000" w:themeColor="text1"/>
      </w:rPr>
      <w:tblPr/>
      <w:tcPr>
        <w:shd w:val="clear" w:color="auto" w:fill="C0ECF2" w:themeFill="accent1" w:themeFillTint="66"/>
      </w:tcPr>
    </w:tblStylePr>
    <w:tblStylePr w:type="firstCol">
      <w:rPr>
        <w:color w:val="FFFFFF" w:themeColor="background1"/>
      </w:rPr>
      <w:tblPr/>
      <w:tcPr>
        <w:shd w:val="clear" w:color="auto" w:fill="29B4C7" w:themeFill="accent1" w:themeFillShade="BF"/>
      </w:tcPr>
    </w:tblStylePr>
    <w:tblStylePr w:type="lastCol">
      <w:rPr>
        <w:color w:val="FFFFFF" w:themeColor="background1"/>
      </w:rPr>
      <w:tblPr/>
      <w:tcPr>
        <w:shd w:val="clear" w:color="auto" w:fill="29B4C7" w:themeFill="accent1" w:themeFillShade="BF"/>
      </w:tcPr>
    </w:tblStylePr>
    <w:tblStylePr w:type="band1Vert">
      <w:tblPr/>
      <w:tcPr>
        <w:shd w:val="clear" w:color="auto" w:fill="B1E7EF" w:themeFill="accent1" w:themeFillTint="7F"/>
      </w:tcPr>
    </w:tblStylePr>
    <w:tblStylePr w:type="band1Horz">
      <w:tblPr/>
      <w:tcPr>
        <w:shd w:val="clear" w:color="auto" w:fill="B1E7EF" w:themeFill="accent1" w:themeFillTint="7F"/>
      </w:tcPr>
    </w:tblStylePr>
  </w:style>
  <w:style w:type="table" w:styleId="ColorfulGrid-Accent2">
    <w:name w:val="Colorful Grid Accent 2"/>
    <w:basedOn w:val="TableNormal"/>
    <w:uiPriority w:val="98"/>
    <w:semiHidden/>
    <w:unhideWhenUsed/>
    <w:rsid w:val="001F6DC1"/>
    <w:rPr>
      <w:color w:val="000000" w:themeColor="text1"/>
    </w:rPr>
    <w:tblPr>
      <w:tblStyleRowBandSize w:val="1"/>
      <w:tblStyleColBandSize w:val="1"/>
      <w:tblBorders>
        <w:insideH w:val="single" w:sz="4" w:space="0" w:color="FFFFFF" w:themeColor="background1"/>
      </w:tblBorders>
    </w:tblPr>
    <w:tcPr>
      <w:shd w:val="clear" w:color="auto" w:fill="F4F4F4" w:themeFill="accent2" w:themeFillTint="33"/>
    </w:tcPr>
    <w:tblStylePr w:type="firstRow">
      <w:rPr>
        <w:b/>
        <w:bCs/>
      </w:rPr>
      <w:tblPr/>
      <w:tcPr>
        <w:shd w:val="clear" w:color="auto" w:fill="E9E9E9" w:themeFill="accent2" w:themeFillTint="66"/>
      </w:tcPr>
    </w:tblStylePr>
    <w:tblStylePr w:type="lastRow">
      <w:rPr>
        <w:b/>
        <w:bCs/>
        <w:color w:val="000000" w:themeColor="text1"/>
      </w:rPr>
      <w:tblPr/>
      <w:tcPr>
        <w:shd w:val="clear" w:color="auto" w:fill="E9E9E9" w:themeFill="accent2" w:themeFillTint="66"/>
      </w:tcPr>
    </w:tblStylePr>
    <w:tblStylePr w:type="firstCol">
      <w:rPr>
        <w:color w:val="FFFFFF" w:themeColor="background1"/>
      </w:rPr>
      <w:tblPr/>
      <w:tcPr>
        <w:shd w:val="clear" w:color="auto" w:fill="959597" w:themeFill="accent2" w:themeFillShade="BF"/>
      </w:tcPr>
    </w:tblStylePr>
    <w:tblStylePr w:type="lastCol">
      <w:rPr>
        <w:color w:val="FFFFFF" w:themeColor="background1"/>
      </w:rPr>
      <w:tblPr/>
      <w:tcPr>
        <w:shd w:val="clear" w:color="auto" w:fill="959597" w:themeFill="accent2" w:themeFillShade="BF"/>
      </w:tcPr>
    </w:tblStylePr>
    <w:tblStylePr w:type="band1Vert">
      <w:tblPr/>
      <w:tcPr>
        <w:shd w:val="clear" w:color="auto" w:fill="E4E4E4" w:themeFill="accent2" w:themeFillTint="7F"/>
      </w:tcPr>
    </w:tblStylePr>
    <w:tblStylePr w:type="band1Horz">
      <w:tblPr/>
      <w:tcPr>
        <w:shd w:val="clear" w:color="auto" w:fill="E4E4E4" w:themeFill="accent2" w:themeFillTint="7F"/>
      </w:tcPr>
    </w:tblStylePr>
  </w:style>
  <w:style w:type="table" w:styleId="ColorfulGrid-Accent3">
    <w:name w:val="Colorful Grid Accent 3"/>
    <w:basedOn w:val="TableNormal"/>
    <w:uiPriority w:val="98"/>
    <w:semiHidden/>
    <w:unhideWhenUsed/>
    <w:rsid w:val="001F6DC1"/>
    <w:rPr>
      <w:color w:val="000000" w:themeColor="text1"/>
    </w:rPr>
    <w:tblPr>
      <w:tblStyleRowBandSize w:val="1"/>
      <w:tblStyleColBandSize w:val="1"/>
      <w:tblBorders>
        <w:insideH w:val="single" w:sz="4" w:space="0" w:color="FFFFFF" w:themeColor="background1"/>
      </w:tblBorders>
    </w:tblPr>
    <w:tcPr>
      <w:shd w:val="clear" w:color="auto" w:fill="DFF5F8" w:themeFill="accent3" w:themeFillTint="33"/>
    </w:tcPr>
    <w:tblStylePr w:type="firstRow">
      <w:rPr>
        <w:b/>
        <w:bCs/>
      </w:rPr>
      <w:tblPr/>
      <w:tcPr>
        <w:shd w:val="clear" w:color="auto" w:fill="C0ECF2" w:themeFill="accent3" w:themeFillTint="66"/>
      </w:tcPr>
    </w:tblStylePr>
    <w:tblStylePr w:type="lastRow">
      <w:rPr>
        <w:b/>
        <w:bCs/>
        <w:color w:val="000000" w:themeColor="text1"/>
      </w:rPr>
      <w:tblPr/>
      <w:tcPr>
        <w:shd w:val="clear" w:color="auto" w:fill="C0ECF2" w:themeFill="accent3" w:themeFillTint="66"/>
      </w:tcPr>
    </w:tblStylePr>
    <w:tblStylePr w:type="firstCol">
      <w:rPr>
        <w:color w:val="FFFFFF" w:themeColor="background1"/>
      </w:rPr>
      <w:tblPr/>
      <w:tcPr>
        <w:shd w:val="clear" w:color="auto" w:fill="29B4C7" w:themeFill="accent3" w:themeFillShade="BF"/>
      </w:tcPr>
    </w:tblStylePr>
    <w:tblStylePr w:type="lastCol">
      <w:rPr>
        <w:color w:val="FFFFFF" w:themeColor="background1"/>
      </w:rPr>
      <w:tblPr/>
      <w:tcPr>
        <w:shd w:val="clear" w:color="auto" w:fill="29B4C7" w:themeFill="accent3" w:themeFillShade="BF"/>
      </w:tcPr>
    </w:tblStylePr>
    <w:tblStylePr w:type="band1Vert">
      <w:tblPr/>
      <w:tcPr>
        <w:shd w:val="clear" w:color="auto" w:fill="B1E7EF" w:themeFill="accent3" w:themeFillTint="7F"/>
      </w:tcPr>
    </w:tblStylePr>
    <w:tblStylePr w:type="band1Horz">
      <w:tblPr/>
      <w:tcPr>
        <w:shd w:val="clear" w:color="auto" w:fill="B1E7EF" w:themeFill="accent3" w:themeFillTint="7F"/>
      </w:tcPr>
    </w:tblStylePr>
  </w:style>
  <w:style w:type="table" w:styleId="ColorfulGrid-Accent4">
    <w:name w:val="Colorful Grid Accent 4"/>
    <w:basedOn w:val="TableNormal"/>
    <w:uiPriority w:val="98"/>
    <w:semiHidden/>
    <w:unhideWhenUsed/>
    <w:rsid w:val="001F6DC1"/>
    <w:rPr>
      <w:color w:val="000000" w:themeColor="text1"/>
    </w:rPr>
    <w:tblPr>
      <w:tblStyleRowBandSize w:val="1"/>
      <w:tblStyleColBandSize w:val="1"/>
      <w:tblBorders>
        <w:insideH w:val="single" w:sz="4" w:space="0" w:color="FFFFFF" w:themeColor="background1"/>
      </w:tblBorders>
    </w:tblPr>
    <w:tcPr>
      <w:shd w:val="clear" w:color="auto" w:fill="ECECEC" w:themeFill="accent4" w:themeFillTint="33"/>
    </w:tcPr>
    <w:tblStylePr w:type="firstRow">
      <w:rPr>
        <w:b/>
        <w:bCs/>
      </w:rPr>
      <w:tblPr/>
      <w:tcPr>
        <w:shd w:val="clear" w:color="auto" w:fill="D9D9D9" w:themeFill="accent4" w:themeFillTint="66"/>
      </w:tcPr>
    </w:tblStylePr>
    <w:tblStylePr w:type="lastRow">
      <w:rPr>
        <w:b/>
        <w:bCs/>
        <w:color w:val="000000" w:themeColor="text1"/>
      </w:rPr>
      <w:tblPr/>
      <w:tcPr>
        <w:shd w:val="clear" w:color="auto" w:fill="D9D9D9" w:themeFill="accent4" w:themeFillTint="66"/>
      </w:tcPr>
    </w:tblStylePr>
    <w:tblStylePr w:type="firstCol">
      <w:rPr>
        <w:color w:val="FFFFFF" w:themeColor="background1"/>
      </w:rPr>
      <w:tblPr/>
      <w:tcPr>
        <w:shd w:val="clear" w:color="auto" w:fill="787878" w:themeFill="accent4" w:themeFillShade="BF"/>
      </w:tcPr>
    </w:tblStylePr>
    <w:tblStylePr w:type="lastCol">
      <w:rPr>
        <w:color w:val="FFFFFF" w:themeColor="background1"/>
      </w:rPr>
      <w:tblPr/>
      <w:tcPr>
        <w:shd w:val="clear" w:color="auto" w:fill="787878" w:themeFill="accent4" w:themeFillShade="BF"/>
      </w:tcPr>
    </w:tblStylePr>
    <w:tblStylePr w:type="band1Vert">
      <w:tblPr/>
      <w:tcPr>
        <w:shd w:val="clear" w:color="auto" w:fill="D0D0D0" w:themeFill="accent4" w:themeFillTint="7F"/>
      </w:tcPr>
    </w:tblStylePr>
    <w:tblStylePr w:type="band1Horz">
      <w:tblPr/>
      <w:tcPr>
        <w:shd w:val="clear" w:color="auto" w:fill="D0D0D0" w:themeFill="accent4" w:themeFillTint="7F"/>
      </w:tcPr>
    </w:tblStylePr>
  </w:style>
  <w:style w:type="table" w:styleId="ColorfulGrid-Accent5">
    <w:name w:val="Colorful Grid Accent 5"/>
    <w:basedOn w:val="TableNormal"/>
    <w:uiPriority w:val="98"/>
    <w:semiHidden/>
    <w:unhideWhenUsed/>
    <w:rsid w:val="001F6DC1"/>
    <w:rPr>
      <w:color w:val="000000" w:themeColor="text1"/>
    </w:rPr>
    <w:tblPr>
      <w:tblStyleRowBandSize w:val="1"/>
      <w:tblStyleColBandSize w:val="1"/>
      <w:tblBorders>
        <w:insideH w:val="single" w:sz="4" w:space="0" w:color="FFFFFF" w:themeColor="background1"/>
      </w:tblBorders>
    </w:tblPr>
    <w:tcPr>
      <w:shd w:val="clear" w:color="auto" w:fill="DFF5F8" w:themeFill="accent5" w:themeFillTint="33"/>
    </w:tcPr>
    <w:tblStylePr w:type="firstRow">
      <w:rPr>
        <w:b/>
        <w:bCs/>
      </w:rPr>
      <w:tblPr/>
      <w:tcPr>
        <w:shd w:val="clear" w:color="auto" w:fill="C0ECF2" w:themeFill="accent5" w:themeFillTint="66"/>
      </w:tcPr>
    </w:tblStylePr>
    <w:tblStylePr w:type="lastRow">
      <w:rPr>
        <w:b/>
        <w:bCs/>
        <w:color w:val="000000" w:themeColor="text1"/>
      </w:rPr>
      <w:tblPr/>
      <w:tcPr>
        <w:shd w:val="clear" w:color="auto" w:fill="C0ECF2" w:themeFill="accent5" w:themeFillTint="66"/>
      </w:tcPr>
    </w:tblStylePr>
    <w:tblStylePr w:type="firstCol">
      <w:rPr>
        <w:color w:val="FFFFFF" w:themeColor="background1"/>
      </w:rPr>
      <w:tblPr/>
      <w:tcPr>
        <w:shd w:val="clear" w:color="auto" w:fill="29B4C7" w:themeFill="accent5" w:themeFillShade="BF"/>
      </w:tcPr>
    </w:tblStylePr>
    <w:tblStylePr w:type="lastCol">
      <w:rPr>
        <w:color w:val="FFFFFF" w:themeColor="background1"/>
      </w:rPr>
      <w:tblPr/>
      <w:tcPr>
        <w:shd w:val="clear" w:color="auto" w:fill="29B4C7" w:themeFill="accent5" w:themeFillShade="BF"/>
      </w:tcPr>
    </w:tblStylePr>
    <w:tblStylePr w:type="band1Vert">
      <w:tblPr/>
      <w:tcPr>
        <w:shd w:val="clear" w:color="auto" w:fill="B1E7EF" w:themeFill="accent5" w:themeFillTint="7F"/>
      </w:tcPr>
    </w:tblStylePr>
    <w:tblStylePr w:type="band1Horz">
      <w:tblPr/>
      <w:tcPr>
        <w:shd w:val="clear" w:color="auto" w:fill="B1E7EF" w:themeFill="accent5" w:themeFillTint="7F"/>
      </w:tcPr>
    </w:tblStylePr>
  </w:style>
  <w:style w:type="table" w:styleId="ColorfulGrid-Accent6">
    <w:name w:val="Colorful Grid Accent 6"/>
    <w:basedOn w:val="TableNormal"/>
    <w:uiPriority w:val="98"/>
    <w:semiHidden/>
    <w:unhideWhenUsed/>
    <w:rsid w:val="001F6DC1"/>
    <w:rPr>
      <w:color w:val="000000" w:themeColor="text1"/>
    </w:rPr>
    <w:tblPr>
      <w:tblStyleRowBandSize w:val="1"/>
      <w:tblStyleColBandSize w:val="1"/>
      <w:tblBorders>
        <w:insideH w:val="single" w:sz="4" w:space="0" w:color="FFFFFF" w:themeColor="background1"/>
      </w:tblBorders>
    </w:tblPr>
    <w:tcPr>
      <w:shd w:val="clear" w:color="auto" w:fill="ECECEC" w:themeFill="accent6" w:themeFillTint="33"/>
    </w:tcPr>
    <w:tblStylePr w:type="firstRow">
      <w:rPr>
        <w:b/>
        <w:bCs/>
      </w:rPr>
      <w:tblPr/>
      <w:tcPr>
        <w:shd w:val="clear" w:color="auto" w:fill="D9D9D9" w:themeFill="accent6" w:themeFillTint="66"/>
      </w:tcPr>
    </w:tblStylePr>
    <w:tblStylePr w:type="lastRow">
      <w:rPr>
        <w:b/>
        <w:bCs/>
        <w:color w:val="000000" w:themeColor="text1"/>
      </w:rPr>
      <w:tblPr/>
      <w:tcPr>
        <w:shd w:val="clear" w:color="auto" w:fill="D9D9D9" w:themeFill="accent6" w:themeFillTint="66"/>
      </w:tcPr>
    </w:tblStylePr>
    <w:tblStylePr w:type="firstCol">
      <w:rPr>
        <w:color w:val="FFFFFF" w:themeColor="background1"/>
      </w:rPr>
      <w:tblPr/>
      <w:tcPr>
        <w:shd w:val="clear" w:color="auto" w:fill="787878" w:themeFill="accent6" w:themeFillShade="BF"/>
      </w:tcPr>
    </w:tblStylePr>
    <w:tblStylePr w:type="lastCol">
      <w:rPr>
        <w:color w:val="FFFFFF" w:themeColor="background1"/>
      </w:rPr>
      <w:tblPr/>
      <w:tcPr>
        <w:shd w:val="clear" w:color="auto" w:fill="787878" w:themeFill="accent6" w:themeFillShade="BF"/>
      </w:tcPr>
    </w:tblStylePr>
    <w:tblStylePr w:type="band1Vert">
      <w:tblPr/>
      <w:tcPr>
        <w:shd w:val="clear" w:color="auto" w:fill="D0D0D0" w:themeFill="accent6" w:themeFillTint="7F"/>
      </w:tcPr>
    </w:tblStylePr>
    <w:tblStylePr w:type="band1Horz">
      <w:tblPr/>
      <w:tcPr>
        <w:shd w:val="clear" w:color="auto" w:fill="D0D0D0" w:themeFill="accent6" w:themeFillTint="7F"/>
      </w:tcPr>
    </w:tblStylePr>
  </w:style>
  <w:style w:type="table" w:styleId="ColorfulList">
    <w:name w:val="Colorful List"/>
    <w:basedOn w:val="TableNormal"/>
    <w:uiPriority w:val="98"/>
    <w:semiHidden/>
    <w:unhideWhenUsed/>
    <w:rsid w:val="001F6DC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0A0A2" w:themeFill="accent2" w:themeFillShade="CC"/>
      </w:tcPr>
    </w:tblStylePr>
    <w:tblStylePr w:type="lastRow">
      <w:rPr>
        <w:b/>
        <w:bCs/>
        <w:color w:val="A0A0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semiHidden/>
    <w:unhideWhenUsed/>
    <w:rsid w:val="001F6DC1"/>
    <w:rPr>
      <w:color w:val="000000" w:themeColor="text1"/>
    </w:rPr>
    <w:tblPr>
      <w:tblStyleRowBandSize w:val="1"/>
      <w:tblStyleColBandSize w:val="1"/>
    </w:tblPr>
    <w:tcPr>
      <w:shd w:val="clear" w:color="auto" w:fill="EFFAFB" w:themeFill="accent1" w:themeFillTint="19"/>
    </w:tcPr>
    <w:tblStylePr w:type="firstRow">
      <w:rPr>
        <w:b/>
        <w:bCs/>
        <w:color w:val="FFFFFF" w:themeColor="background1"/>
      </w:rPr>
      <w:tblPr/>
      <w:tcPr>
        <w:tcBorders>
          <w:bottom w:val="single" w:sz="12" w:space="0" w:color="FFFFFF" w:themeColor="background1"/>
        </w:tcBorders>
        <w:shd w:val="clear" w:color="auto" w:fill="A0A0A2" w:themeFill="accent2" w:themeFillShade="CC"/>
      </w:tcPr>
    </w:tblStylePr>
    <w:tblStylePr w:type="lastRow">
      <w:rPr>
        <w:b/>
        <w:bCs/>
        <w:color w:val="A0A0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F3F7" w:themeFill="accent1" w:themeFillTint="3F"/>
      </w:tcPr>
    </w:tblStylePr>
    <w:tblStylePr w:type="band1Horz">
      <w:tblPr/>
      <w:tcPr>
        <w:shd w:val="clear" w:color="auto" w:fill="DFF5F8" w:themeFill="accent1" w:themeFillTint="33"/>
      </w:tcPr>
    </w:tblStylePr>
  </w:style>
  <w:style w:type="table" w:styleId="ColorfulList-Accent2">
    <w:name w:val="Colorful List Accent 2"/>
    <w:basedOn w:val="TableNormal"/>
    <w:uiPriority w:val="98"/>
    <w:semiHidden/>
    <w:unhideWhenUsed/>
    <w:rsid w:val="001F6DC1"/>
    <w:rPr>
      <w:color w:val="000000" w:themeColor="text1"/>
    </w:rPr>
    <w:tblPr>
      <w:tblStyleRowBandSize w:val="1"/>
      <w:tblStyleColBandSize w:val="1"/>
    </w:tblPr>
    <w:tcPr>
      <w:shd w:val="clear" w:color="auto" w:fill="F9F9F9" w:themeFill="accent2" w:themeFillTint="19"/>
    </w:tcPr>
    <w:tblStylePr w:type="firstRow">
      <w:rPr>
        <w:b/>
        <w:bCs/>
        <w:color w:val="FFFFFF" w:themeColor="background1"/>
      </w:rPr>
      <w:tblPr/>
      <w:tcPr>
        <w:tcBorders>
          <w:bottom w:val="single" w:sz="12" w:space="0" w:color="FFFFFF" w:themeColor="background1"/>
        </w:tcBorders>
        <w:shd w:val="clear" w:color="auto" w:fill="A0A0A2" w:themeFill="accent2" w:themeFillShade="CC"/>
      </w:tcPr>
    </w:tblStylePr>
    <w:tblStylePr w:type="lastRow">
      <w:rPr>
        <w:b/>
        <w:bCs/>
        <w:color w:val="A0A0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F1F1" w:themeFill="accent2" w:themeFillTint="3F"/>
      </w:tcPr>
    </w:tblStylePr>
    <w:tblStylePr w:type="band1Horz">
      <w:tblPr/>
      <w:tcPr>
        <w:shd w:val="clear" w:color="auto" w:fill="F4F4F4" w:themeFill="accent2" w:themeFillTint="33"/>
      </w:tcPr>
    </w:tblStylePr>
  </w:style>
  <w:style w:type="table" w:styleId="ColorfulList-Accent3">
    <w:name w:val="Colorful List Accent 3"/>
    <w:basedOn w:val="TableNormal"/>
    <w:uiPriority w:val="98"/>
    <w:semiHidden/>
    <w:unhideWhenUsed/>
    <w:rsid w:val="001F6DC1"/>
    <w:rPr>
      <w:color w:val="000000" w:themeColor="text1"/>
    </w:rPr>
    <w:tblPr>
      <w:tblStyleRowBandSize w:val="1"/>
      <w:tblStyleColBandSize w:val="1"/>
    </w:tblPr>
    <w:tcPr>
      <w:shd w:val="clear" w:color="auto" w:fill="EFFAFB" w:themeFill="accent3" w:themeFillTint="19"/>
    </w:tcPr>
    <w:tblStylePr w:type="firstRow">
      <w:rPr>
        <w:b/>
        <w:bCs/>
        <w:color w:val="FFFFFF" w:themeColor="background1"/>
      </w:rPr>
      <w:tblPr/>
      <w:tcPr>
        <w:tcBorders>
          <w:bottom w:val="single" w:sz="12" w:space="0" w:color="FFFFFF" w:themeColor="background1"/>
        </w:tcBorders>
        <w:shd w:val="clear" w:color="auto" w:fill="808080" w:themeFill="accent4" w:themeFillShade="CC"/>
      </w:tcPr>
    </w:tblStylePr>
    <w:tblStylePr w:type="lastRow">
      <w:rPr>
        <w:b/>
        <w:bCs/>
        <w:color w:val="80808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F3F7" w:themeFill="accent3" w:themeFillTint="3F"/>
      </w:tcPr>
    </w:tblStylePr>
    <w:tblStylePr w:type="band1Horz">
      <w:tblPr/>
      <w:tcPr>
        <w:shd w:val="clear" w:color="auto" w:fill="DFF5F8" w:themeFill="accent3" w:themeFillTint="33"/>
      </w:tcPr>
    </w:tblStylePr>
  </w:style>
  <w:style w:type="table" w:styleId="ColorfulList-Accent4">
    <w:name w:val="Colorful List Accent 4"/>
    <w:basedOn w:val="TableNormal"/>
    <w:uiPriority w:val="98"/>
    <w:semiHidden/>
    <w:unhideWhenUsed/>
    <w:rsid w:val="001F6DC1"/>
    <w:rPr>
      <w:color w:val="000000" w:themeColor="text1"/>
    </w:rPr>
    <w:tblPr>
      <w:tblStyleRowBandSize w:val="1"/>
      <w:tblStyleColBandSize w:val="1"/>
    </w:tblPr>
    <w:tcPr>
      <w:shd w:val="clear" w:color="auto" w:fill="F5F5F5" w:themeFill="accent4" w:themeFillTint="19"/>
    </w:tcPr>
    <w:tblStylePr w:type="firstRow">
      <w:rPr>
        <w:b/>
        <w:bCs/>
        <w:color w:val="FFFFFF" w:themeColor="background1"/>
      </w:rPr>
      <w:tblPr/>
      <w:tcPr>
        <w:tcBorders>
          <w:bottom w:val="single" w:sz="12" w:space="0" w:color="FFFFFF" w:themeColor="background1"/>
        </w:tcBorders>
        <w:shd w:val="clear" w:color="auto" w:fill="2DBFD4" w:themeFill="accent3" w:themeFillShade="CC"/>
      </w:tcPr>
    </w:tblStylePr>
    <w:tblStylePr w:type="lastRow">
      <w:rPr>
        <w:b/>
        <w:bCs/>
        <w:color w:val="2DBFD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7E7" w:themeFill="accent4" w:themeFillTint="3F"/>
      </w:tcPr>
    </w:tblStylePr>
    <w:tblStylePr w:type="band1Horz">
      <w:tblPr/>
      <w:tcPr>
        <w:shd w:val="clear" w:color="auto" w:fill="ECECEC" w:themeFill="accent4" w:themeFillTint="33"/>
      </w:tcPr>
    </w:tblStylePr>
  </w:style>
  <w:style w:type="table" w:styleId="ColorfulList-Accent5">
    <w:name w:val="Colorful List Accent 5"/>
    <w:basedOn w:val="TableNormal"/>
    <w:uiPriority w:val="98"/>
    <w:semiHidden/>
    <w:unhideWhenUsed/>
    <w:rsid w:val="001F6DC1"/>
    <w:rPr>
      <w:color w:val="000000" w:themeColor="text1"/>
    </w:rPr>
    <w:tblPr>
      <w:tblStyleRowBandSize w:val="1"/>
      <w:tblStyleColBandSize w:val="1"/>
    </w:tblPr>
    <w:tcPr>
      <w:shd w:val="clear" w:color="auto" w:fill="EFFAFB" w:themeFill="accent5" w:themeFillTint="19"/>
    </w:tcPr>
    <w:tblStylePr w:type="firstRow">
      <w:rPr>
        <w:b/>
        <w:bCs/>
        <w:color w:val="FFFFFF" w:themeColor="background1"/>
      </w:rPr>
      <w:tblPr/>
      <w:tcPr>
        <w:tcBorders>
          <w:bottom w:val="single" w:sz="12" w:space="0" w:color="FFFFFF" w:themeColor="background1"/>
        </w:tcBorders>
        <w:shd w:val="clear" w:color="auto" w:fill="808080" w:themeFill="accent6" w:themeFillShade="CC"/>
      </w:tcPr>
    </w:tblStylePr>
    <w:tblStylePr w:type="lastRow">
      <w:rPr>
        <w:b/>
        <w:bCs/>
        <w:color w:val="80808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F3F7" w:themeFill="accent5" w:themeFillTint="3F"/>
      </w:tcPr>
    </w:tblStylePr>
    <w:tblStylePr w:type="band1Horz">
      <w:tblPr/>
      <w:tcPr>
        <w:shd w:val="clear" w:color="auto" w:fill="DFF5F8" w:themeFill="accent5" w:themeFillTint="33"/>
      </w:tcPr>
    </w:tblStylePr>
  </w:style>
  <w:style w:type="table" w:styleId="ColorfulList-Accent6">
    <w:name w:val="Colorful List Accent 6"/>
    <w:basedOn w:val="TableNormal"/>
    <w:uiPriority w:val="98"/>
    <w:semiHidden/>
    <w:unhideWhenUsed/>
    <w:rsid w:val="001F6DC1"/>
    <w:rPr>
      <w:color w:val="000000" w:themeColor="text1"/>
    </w:rPr>
    <w:tblPr>
      <w:tblStyleRowBandSize w:val="1"/>
      <w:tblStyleColBandSize w:val="1"/>
    </w:tblPr>
    <w:tcPr>
      <w:shd w:val="clear" w:color="auto" w:fill="F5F5F5" w:themeFill="accent6" w:themeFillTint="19"/>
    </w:tcPr>
    <w:tblStylePr w:type="firstRow">
      <w:rPr>
        <w:b/>
        <w:bCs/>
        <w:color w:val="FFFFFF" w:themeColor="background1"/>
      </w:rPr>
      <w:tblPr/>
      <w:tcPr>
        <w:tcBorders>
          <w:bottom w:val="single" w:sz="12" w:space="0" w:color="FFFFFF" w:themeColor="background1"/>
        </w:tcBorders>
        <w:shd w:val="clear" w:color="auto" w:fill="2DBFD4" w:themeFill="accent5" w:themeFillShade="CC"/>
      </w:tcPr>
    </w:tblStylePr>
    <w:tblStylePr w:type="lastRow">
      <w:rPr>
        <w:b/>
        <w:bCs/>
        <w:color w:val="2DBFD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7E7" w:themeFill="accent6" w:themeFillTint="3F"/>
      </w:tcPr>
    </w:tblStylePr>
    <w:tblStylePr w:type="band1Horz">
      <w:tblPr/>
      <w:tcPr>
        <w:shd w:val="clear" w:color="auto" w:fill="ECECEC" w:themeFill="accent6" w:themeFillTint="33"/>
      </w:tcPr>
    </w:tblStylePr>
  </w:style>
  <w:style w:type="table" w:styleId="ColorfulShading">
    <w:name w:val="Colorful Shading"/>
    <w:basedOn w:val="TableNormal"/>
    <w:uiPriority w:val="98"/>
    <w:semiHidden/>
    <w:unhideWhenUsed/>
    <w:rsid w:val="001F6DC1"/>
    <w:rPr>
      <w:color w:val="000000" w:themeColor="text1"/>
    </w:rPr>
    <w:tblPr>
      <w:tblStyleRowBandSize w:val="1"/>
      <w:tblStyleColBandSize w:val="1"/>
      <w:tblBorders>
        <w:top w:val="single" w:sz="24" w:space="0" w:color="C9C9C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9C9C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semiHidden/>
    <w:unhideWhenUsed/>
    <w:rsid w:val="001F6DC1"/>
    <w:rPr>
      <w:color w:val="000000" w:themeColor="text1"/>
    </w:rPr>
    <w:tblPr>
      <w:tblStyleRowBandSize w:val="1"/>
      <w:tblStyleColBandSize w:val="1"/>
      <w:tblBorders>
        <w:top w:val="single" w:sz="24" w:space="0" w:color="C9C9CA" w:themeColor="accent2"/>
        <w:left w:val="single" w:sz="4" w:space="0" w:color="63D0DF" w:themeColor="accent1"/>
        <w:bottom w:val="single" w:sz="4" w:space="0" w:color="63D0DF" w:themeColor="accent1"/>
        <w:right w:val="single" w:sz="4" w:space="0" w:color="63D0DF" w:themeColor="accent1"/>
        <w:insideH w:val="single" w:sz="4" w:space="0" w:color="FFFFFF" w:themeColor="background1"/>
        <w:insideV w:val="single" w:sz="4" w:space="0" w:color="FFFFFF" w:themeColor="background1"/>
      </w:tblBorders>
    </w:tblPr>
    <w:tcPr>
      <w:shd w:val="clear" w:color="auto" w:fill="EFFAFB" w:themeFill="accent1" w:themeFillTint="19"/>
    </w:tcPr>
    <w:tblStylePr w:type="firstRow">
      <w:rPr>
        <w:b/>
        <w:bCs/>
      </w:rPr>
      <w:tblPr/>
      <w:tcPr>
        <w:tcBorders>
          <w:top w:val="nil"/>
          <w:left w:val="nil"/>
          <w:bottom w:val="single" w:sz="24" w:space="0" w:color="C9C9C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90A0" w:themeFill="accent1" w:themeFillShade="99"/>
      </w:tcPr>
    </w:tblStylePr>
    <w:tblStylePr w:type="firstCol">
      <w:rPr>
        <w:color w:val="FFFFFF" w:themeColor="background1"/>
      </w:rPr>
      <w:tblPr/>
      <w:tcPr>
        <w:tcBorders>
          <w:top w:val="nil"/>
          <w:left w:val="nil"/>
          <w:bottom w:val="nil"/>
          <w:right w:val="nil"/>
          <w:insideH w:val="single" w:sz="4" w:space="0" w:color="2190A0" w:themeColor="accent1" w:themeShade="99"/>
          <w:insideV w:val="nil"/>
        </w:tcBorders>
        <w:shd w:val="clear" w:color="auto" w:fill="2190A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190A0" w:themeFill="accent1" w:themeFillShade="99"/>
      </w:tcPr>
    </w:tblStylePr>
    <w:tblStylePr w:type="band1Vert">
      <w:tblPr/>
      <w:tcPr>
        <w:shd w:val="clear" w:color="auto" w:fill="C0ECF2" w:themeFill="accent1" w:themeFillTint="66"/>
      </w:tcPr>
    </w:tblStylePr>
    <w:tblStylePr w:type="band1Horz">
      <w:tblPr/>
      <w:tcPr>
        <w:shd w:val="clear" w:color="auto" w:fill="B1E7E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semiHidden/>
    <w:unhideWhenUsed/>
    <w:rsid w:val="001F6DC1"/>
    <w:rPr>
      <w:color w:val="000000" w:themeColor="text1"/>
    </w:rPr>
    <w:tblPr>
      <w:tblStyleRowBandSize w:val="1"/>
      <w:tblStyleColBandSize w:val="1"/>
      <w:tblBorders>
        <w:top w:val="single" w:sz="24" w:space="0" w:color="C9C9CA" w:themeColor="accent2"/>
        <w:left w:val="single" w:sz="4" w:space="0" w:color="C9C9CA" w:themeColor="accent2"/>
        <w:bottom w:val="single" w:sz="4" w:space="0" w:color="C9C9CA" w:themeColor="accent2"/>
        <w:right w:val="single" w:sz="4" w:space="0" w:color="C9C9CA" w:themeColor="accent2"/>
        <w:insideH w:val="single" w:sz="4" w:space="0" w:color="FFFFFF" w:themeColor="background1"/>
        <w:insideV w:val="single" w:sz="4" w:space="0" w:color="FFFFFF" w:themeColor="background1"/>
      </w:tblBorders>
    </w:tblPr>
    <w:tcPr>
      <w:shd w:val="clear" w:color="auto" w:fill="F9F9F9" w:themeFill="accent2" w:themeFillTint="19"/>
    </w:tcPr>
    <w:tblStylePr w:type="firstRow">
      <w:rPr>
        <w:b/>
        <w:bCs/>
      </w:rPr>
      <w:tblPr/>
      <w:tcPr>
        <w:tcBorders>
          <w:top w:val="nil"/>
          <w:left w:val="nil"/>
          <w:bottom w:val="single" w:sz="24" w:space="0" w:color="C9C9C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7779" w:themeFill="accent2" w:themeFillShade="99"/>
      </w:tcPr>
    </w:tblStylePr>
    <w:tblStylePr w:type="firstCol">
      <w:rPr>
        <w:color w:val="FFFFFF" w:themeColor="background1"/>
      </w:rPr>
      <w:tblPr/>
      <w:tcPr>
        <w:tcBorders>
          <w:top w:val="nil"/>
          <w:left w:val="nil"/>
          <w:bottom w:val="nil"/>
          <w:right w:val="nil"/>
          <w:insideH w:val="single" w:sz="4" w:space="0" w:color="777779" w:themeColor="accent2" w:themeShade="99"/>
          <w:insideV w:val="nil"/>
        </w:tcBorders>
        <w:shd w:val="clear" w:color="auto" w:fill="777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7779" w:themeFill="accent2" w:themeFillShade="99"/>
      </w:tcPr>
    </w:tblStylePr>
    <w:tblStylePr w:type="band1Vert">
      <w:tblPr/>
      <w:tcPr>
        <w:shd w:val="clear" w:color="auto" w:fill="E9E9E9" w:themeFill="accent2" w:themeFillTint="66"/>
      </w:tcPr>
    </w:tblStylePr>
    <w:tblStylePr w:type="band1Horz">
      <w:tblPr/>
      <w:tcPr>
        <w:shd w:val="clear" w:color="auto" w:fill="E4E4E4"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semiHidden/>
    <w:unhideWhenUsed/>
    <w:rsid w:val="001F6DC1"/>
    <w:rPr>
      <w:color w:val="000000" w:themeColor="text1"/>
    </w:rPr>
    <w:tblPr>
      <w:tblStyleRowBandSize w:val="1"/>
      <w:tblStyleColBandSize w:val="1"/>
      <w:tblBorders>
        <w:top w:val="single" w:sz="24" w:space="0" w:color="A1A1A1" w:themeColor="accent4"/>
        <w:left w:val="single" w:sz="4" w:space="0" w:color="63D0DF" w:themeColor="accent3"/>
        <w:bottom w:val="single" w:sz="4" w:space="0" w:color="63D0DF" w:themeColor="accent3"/>
        <w:right w:val="single" w:sz="4" w:space="0" w:color="63D0DF" w:themeColor="accent3"/>
        <w:insideH w:val="single" w:sz="4" w:space="0" w:color="FFFFFF" w:themeColor="background1"/>
        <w:insideV w:val="single" w:sz="4" w:space="0" w:color="FFFFFF" w:themeColor="background1"/>
      </w:tblBorders>
    </w:tblPr>
    <w:tcPr>
      <w:shd w:val="clear" w:color="auto" w:fill="EFFAFB" w:themeFill="accent3" w:themeFillTint="19"/>
    </w:tcPr>
    <w:tblStylePr w:type="firstRow">
      <w:rPr>
        <w:b/>
        <w:bCs/>
      </w:rPr>
      <w:tblPr/>
      <w:tcPr>
        <w:tcBorders>
          <w:top w:val="nil"/>
          <w:left w:val="nil"/>
          <w:bottom w:val="single" w:sz="24" w:space="0" w:color="A1A1A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90A0" w:themeFill="accent3" w:themeFillShade="99"/>
      </w:tcPr>
    </w:tblStylePr>
    <w:tblStylePr w:type="firstCol">
      <w:rPr>
        <w:color w:val="FFFFFF" w:themeColor="background1"/>
      </w:rPr>
      <w:tblPr/>
      <w:tcPr>
        <w:tcBorders>
          <w:top w:val="nil"/>
          <w:left w:val="nil"/>
          <w:bottom w:val="nil"/>
          <w:right w:val="nil"/>
          <w:insideH w:val="single" w:sz="4" w:space="0" w:color="2190A0" w:themeColor="accent3" w:themeShade="99"/>
          <w:insideV w:val="nil"/>
        </w:tcBorders>
        <w:shd w:val="clear" w:color="auto" w:fill="2190A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190A0" w:themeFill="accent3" w:themeFillShade="99"/>
      </w:tcPr>
    </w:tblStylePr>
    <w:tblStylePr w:type="band1Vert">
      <w:tblPr/>
      <w:tcPr>
        <w:shd w:val="clear" w:color="auto" w:fill="C0ECF2" w:themeFill="accent3" w:themeFillTint="66"/>
      </w:tcPr>
    </w:tblStylePr>
    <w:tblStylePr w:type="band1Horz">
      <w:tblPr/>
      <w:tcPr>
        <w:shd w:val="clear" w:color="auto" w:fill="B1E7EF" w:themeFill="accent3" w:themeFillTint="7F"/>
      </w:tcPr>
    </w:tblStylePr>
  </w:style>
  <w:style w:type="table" w:styleId="ColorfulShading-Accent4">
    <w:name w:val="Colorful Shading Accent 4"/>
    <w:basedOn w:val="TableNormal"/>
    <w:uiPriority w:val="98"/>
    <w:semiHidden/>
    <w:unhideWhenUsed/>
    <w:rsid w:val="001F6DC1"/>
    <w:rPr>
      <w:color w:val="000000" w:themeColor="text1"/>
    </w:rPr>
    <w:tblPr>
      <w:tblStyleRowBandSize w:val="1"/>
      <w:tblStyleColBandSize w:val="1"/>
      <w:tblBorders>
        <w:top w:val="single" w:sz="24" w:space="0" w:color="63D0DF" w:themeColor="accent3"/>
        <w:left w:val="single" w:sz="4" w:space="0" w:color="A1A1A1" w:themeColor="accent4"/>
        <w:bottom w:val="single" w:sz="4" w:space="0" w:color="A1A1A1" w:themeColor="accent4"/>
        <w:right w:val="single" w:sz="4" w:space="0" w:color="A1A1A1" w:themeColor="accent4"/>
        <w:insideH w:val="single" w:sz="4" w:space="0" w:color="FFFFFF" w:themeColor="background1"/>
        <w:insideV w:val="single" w:sz="4" w:space="0" w:color="FFFFFF" w:themeColor="background1"/>
      </w:tblBorders>
    </w:tblPr>
    <w:tcPr>
      <w:shd w:val="clear" w:color="auto" w:fill="F5F5F5" w:themeFill="accent4" w:themeFillTint="19"/>
    </w:tcPr>
    <w:tblStylePr w:type="firstRow">
      <w:rPr>
        <w:b/>
        <w:bCs/>
      </w:rPr>
      <w:tblPr/>
      <w:tcPr>
        <w:tcBorders>
          <w:top w:val="nil"/>
          <w:left w:val="nil"/>
          <w:bottom w:val="single" w:sz="24" w:space="0" w:color="63D0D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6060" w:themeFill="accent4" w:themeFillShade="99"/>
      </w:tcPr>
    </w:tblStylePr>
    <w:tblStylePr w:type="firstCol">
      <w:rPr>
        <w:color w:val="FFFFFF" w:themeColor="background1"/>
      </w:rPr>
      <w:tblPr/>
      <w:tcPr>
        <w:tcBorders>
          <w:top w:val="nil"/>
          <w:left w:val="nil"/>
          <w:bottom w:val="nil"/>
          <w:right w:val="nil"/>
          <w:insideH w:val="single" w:sz="4" w:space="0" w:color="606060" w:themeColor="accent4" w:themeShade="99"/>
          <w:insideV w:val="nil"/>
        </w:tcBorders>
        <w:shd w:val="clear" w:color="auto" w:fill="60606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06060" w:themeFill="accent4" w:themeFillShade="99"/>
      </w:tcPr>
    </w:tblStylePr>
    <w:tblStylePr w:type="band1Vert">
      <w:tblPr/>
      <w:tcPr>
        <w:shd w:val="clear" w:color="auto" w:fill="D9D9D9" w:themeFill="accent4" w:themeFillTint="66"/>
      </w:tcPr>
    </w:tblStylePr>
    <w:tblStylePr w:type="band1Horz">
      <w:tblPr/>
      <w:tcPr>
        <w:shd w:val="clear" w:color="auto" w:fill="D0D0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semiHidden/>
    <w:unhideWhenUsed/>
    <w:rsid w:val="001F6DC1"/>
    <w:rPr>
      <w:color w:val="000000" w:themeColor="text1"/>
    </w:rPr>
    <w:tblPr>
      <w:tblStyleRowBandSize w:val="1"/>
      <w:tblStyleColBandSize w:val="1"/>
      <w:tblBorders>
        <w:top w:val="single" w:sz="24" w:space="0" w:color="A1A1A1" w:themeColor="accent6"/>
        <w:left w:val="single" w:sz="4" w:space="0" w:color="63D0DF" w:themeColor="accent5"/>
        <w:bottom w:val="single" w:sz="4" w:space="0" w:color="63D0DF" w:themeColor="accent5"/>
        <w:right w:val="single" w:sz="4" w:space="0" w:color="63D0DF" w:themeColor="accent5"/>
        <w:insideH w:val="single" w:sz="4" w:space="0" w:color="FFFFFF" w:themeColor="background1"/>
        <w:insideV w:val="single" w:sz="4" w:space="0" w:color="FFFFFF" w:themeColor="background1"/>
      </w:tblBorders>
    </w:tblPr>
    <w:tcPr>
      <w:shd w:val="clear" w:color="auto" w:fill="EFFAFB" w:themeFill="accent5" w:themeFillTint="19"/>
    </w:tcPr>
    <w:tblStylePr w:type="firstRow">
      <w:rPr>
        <w:b/>
        <w:bCs/>
      </w:rPr>
      <w:tblPr/>
      <w:tcPr>
        <w:tcBorders>
          <w:top w:val="nil"/>
          <w:left w:val="nil"/>
          <w:bottom w:val="single" w:sz="24" w:space="0" w:color="A1A1A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90A0" w:themeFill="accent5" w:themeFillShade="99"/>
      </w:tcPr>
    </w:tblStylePr>
    <w:tblStylePr w:type="firstCol">
      <w:rPr>
        <w:color w:val="FFFFFF" w:themeColor="background1"/>
      </w:rPr>
      <w:tblPr/>
      <w:tcPr>
        <w:tcBorders>
          <w:top w:val="nil"/>
          <w:left w:val="nil"/>
          <w:bottom w:val="nil"/>
          <w:right w:val="nil"/>
          <w:insideH w:val="single" w:sz="4" w:space="0" w:color="2190A0" w:themeColor="accent5" w:themeShade="99"/>
          <w:insideV w:val="nil"/>
        </w:tcBorders>
        <w:shd w:val="clear" w:color="auto" w:fill="2190A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190A0" w:themeFill="accent5" w:themeFillShade="99"/>
      </w:tcPr>
    </w:tblStylePr>
    <w:tblStylePr w:type="band1Vert">
      <w:tblPr/>
      <w:tcPr>
        <w:shd w:val="clear" w:color="auto" w:fill="C0ECF2" w:themeFill="accent5" w:themeFillTint="66"/>
      </w:tcPr>
    </w:tblStylePr>
    <w:tblStylePr w:type="band1Horz">
      <w:tblPr/>
      <w:tcPr>
        <w:shd w:val="clear" w:color="auto" w:fill="B1E7E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semiHidden/>
    <w:unhideWhenUsed/>
    <w:rsid w:val="001F6DC1"/>
    <w:rPr>
      <w:color w:val="000000" w:themeColor="text1"/>
    </w:rPr>
    <w:tblPr>
      <w:tblStyleRowBandSize w:val="1"/>
      <w:tblStyleColBandSize w:val="1"/>
      <w:tblBorders>
        <w:top w:val="single" w:sz="24" w:space="0" w:color="63D0DF" w:themeColor="accent5"/>
        <w:left w:val="single" w:sz="4" w:space="0" w:color="A1A1A1" w:themeColor="accent6"/>
        <w:bottom w:val="single" w:sz="4" w:space="0" w:color="A1A1A1" w:themeColor="accent6"/>
        <w:right w:val="single" w:sz="4" w:space="0" w:color="A1A1A1" w:themeColor="accent6"/>
        <w:insideH w:val="single" w:sz="4" w:space="0" w:color="FFFFFF" w:themeColor="background1"/>
        <w:insideV w:val="single" w:sz="4" w:space="0" w:color="FFFFFF" w:themeColor="background1"/>
      </w:tblBorders>
    </w:tblPr>
    <w:tcPr>
      <w:shd w:val="clear" w:color="auto" w:fill="F5F5F5" w:themeFill="accent6" w:themeFillTint="19"/>
    </w:tcPr>
    <w:tblStylePr w:type="firstRow">
      <w:rPr>
        <w:b/>
        <w:bCs/>
      </w:rPr>
      <w:tblPr/>
      <w:tcPr>
        <w:tcBorders>
          <w:top w:val="nil"/>
          <w:left w:val="nil"/>
          <w:bottom w:val="single" w:sz="24" w:space="0" w:color="63D0D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6060" w:themeFill="accent6" w:themeFillShade="99"/>
      </w:tcPr>
    </w:tblStylePr>
    <w:tblStylePr w:type="firstCol">
      <w:rPr>
        <w:color w:val="FFFFFF" w:themeColor="background1"/>
      </w:rPr>
      <w:tblPr/>
      <w:tcPr>
        <w:tcBorders>
          <w:top w:val="nil"/>
          <w:left w:val="nil"/>
          <w:bottom w:val="nil"/>
          <w:right w:val="nil"/>
          <w:insideH w:val="single" w:sz="4" w:space="0" w:color="606060" w:themeColor="accent6" w:themeShade="99"/>
          <w:insideV w:val="nil"/>
        </w:tcBorders>
        <w:shd w:val="clear" w:color="auto" w:fill="60606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06060" w:themeFill="accent6" w:themeFillShade="99"/>
      </w:tcPr>
    </w:tblStylePr>
    <w:tblStylePr w:type="band1Vert">
      <w:tblPr/>
      <w:tcPr>
        <w:shd w:val="clear" w:color="auto" w:fill="D9D9D9" w:themeFill="accent6" w:themeFillTint="66"/>
      </w:tcPr>
    </w:tblStylePr>
    <w:tblStylePr w:type="band1Horz">
      <w:tblPr/>
      <w:tcPr>
        <w:shd w:val="clear" w:color="auto" w:fill="D0D0D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8"/>
    <w:semiHidden/>
    <w:unhideWhenUsed/>
    <w:rsid w:val="001F6DC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semiHidden/>
    <w:unhideWhenUsed/>
    <w:rsid w:val="001F6DC1"/>
    <w:rPr>
      <w:color w:val="FFFFFF" w:themeColor="background1"/>
    </w:rPr>
    <w:tblPr>
      <w:tblStyleRowBandSize w:val="1"/>
      <w:tblStyleColBandSize w:val="1"/>
    </w:tblPr>
    <w:tcPr>
      <w:shd w:val="clear" w:color="auto" w:fill="63D0D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B788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9B4C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9B4C7" w:themeFill="accent1" w:themeFillShade="BF"/>
      </w:tcPr>
    </w:tblStylePr>
    <w:tblStylePr w:type="band1Vert">
      <w:tblPr/>
      <w:tcPr>
        <w:tcBorders>
          <w:top w:val="nil"/>
          <w:left w:val="nil"/>
          <w:bottom w:val="nil"/>
          <w:right w:val="nil"/>
          <w:insideH w:val="nil"/>
          <w:insideV w:val="nil"/>
        </w:tcBorders>
        <w:shd w:val="clear" w:color="auto" w:fill="29B4C7" w:themeFill="accent1" w:themeFillShade="BF"/>
      </w:tcPr>
    </w:tblStylePr>
    <w:tblStylePr w:type="band1Horz">
      <w:tblPr/>
      <w:tcPr>
        <w:tcBorders>
          <w:top w:val="nil"/>
          <w:left w:val="nil"/>
          <w:bottom w:val="nil"/>
          <w:right w:val="nil"/>
          <w:insideH w:val="nil"/>
          <w:insideV w:val="nil"/>
        </w:tcBorders>
        <w:shd w:val="clear" w:color="auto" w:fill="29B4C7" w:themeFill="accent1" w:themeFillShade="BF"/>
      </w:tcPr>
    </w:tblStylePr>
  </w:style>
  <w:style w:type="table" w:styleId="DarkList-Accent2">
    <w:name w:val="Dark List Accent 2"/>
    <w:basedOn w:val="TableNormal"/>
    <w:uiPriority w:val="98"/>
    <w:semiHidden/>
    <w:unhideWhenUsed/>
    <w:rsid w:val="001F6DC1"/>
    <w:rPr>
      <w:color w:val="FFFFFF" w:themeColor="background1"/>
    </w:rPr>
    <w:tblPr>
      <w:tblStyleRowBandSize w:val="1"/>
      <w:tblStyleColBandSize w:val="1"/>
    </w:tblPr>
    <w:tcPr>
      <w:shd w:val="clear" w:color="auto" w:fill="C9C9C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636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5959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59597" w:themeFill="accent2" w:themeFillShade="BF"/>
      </w:tcPr>
    </w:tblStylePr>
    <w:tblStylePr w:type="band1Vert">
      <w:tblPr/>
      <w:tcPr>
        <w:tcBorders>
          <w:top w:val="nil"/>
          <w:left w:val="nil"/>
          <w:bottom w:val="nil"/>
          <w:right w:val="nil"/>
          <w:insideH w:val="nil"/>
          <w:insideV w:val="nil"/>
        </w:tcBorders>
        <w:shd w:val="clear" w:color="auto" w:fill="959597" w:themeFill="accent2" w:themeFillShade="BF"/>
      </w:tcPr>
    </w:tblStylePr>
    <w:tblStylePr w:type="band1Horz">
      <w:tblPr/>
      <w:tcPr>
        <w:tcBorders>
          <w:top w:val="nil"/>
          <w:left w:val="nil"/>
          <w:bottom w:val="nil"/>
          <w:right w:val="nil"/>
          <w:insideH w:val="nil"/>
          <w:insideV w:val="nil"/>
        </w:tcBorders>
        <w:shd w:val="clear" w:color="auto" w:fill="959597" w:themeFill="accent2" w:themeFillShade="BF"/>
      </w:tcPr>
    </w:tblStylePr>
  </w:style>
  <w:style w:type="table" w:styleId="DarkList-Accent3">
    <w:name w:val="Dark List Accent 3"/>
    <w:basedOn w:val="TableNormal"/>
    <w:uiPriority w:val="98"/>
    <w:semiHidden/>
    <w:unhideWhenUsed/>
    <w:rsid w:val="001F6DC1"/>
    <w:rPr>
      <w:color w:val="FFFFFF" w:themeColor="background1"/>
    </w:rPr>
    <w:tblPr>
      <w:tblStyleRowBandSize w:val="1"/>
      <w:tblStyleColBandSize w:val="1"/>
    </w:tblPr>
    <w:tcPr>
      <w:shd w:val="clear" w:color="auto" w:fill="63D0D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B788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9B4C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9B4C7" w:themeFill="accent3" w:themeFillShade="BF"/>
      </w:tcPr>
    </w:tblStylePr>
    <w:tblStylePr w:type="band1Vert">
      <w:tblPr/>
      <w:tcPr>
        <w:tcBorders>
          <w:top w:val="nil"/>
          <w:left w:val="nil"/>
          <w:bottom w:val="nil"/>
          <w:right w:val="nil"/>
          <w:insideH w:val="nil"/>
          <w:insideV w:val="nil"/>
        </w:tcBorders>
        <w:shd w:val="clear" w:color="auto" w:fill="29B4C7" w:themeFill="accent3" w:themeFillShade="BF"/>
      </w:tcPr>
    </w:tblStylePr>
    <w:tblStylePr w:type="band1Horz">
      <w:tblPr/>
      <w:tcPr>
        <w:tcBorders>
          <w:top w:val="nil"/>
          <w:left w:val="nil"/>
          <w:bottom w:val="nil"/>
          <w:right w:val="nil"/>
          <w:insideH w:val="nil"/>
          <w:insideV w:val="nil"/>
        </w:tcBorders>
        <w:shd w:val="clear" w:color="auto" w:fill="29B4C7" w:themeFill="accent3" w:themeFillShade="BF"/>
      </w:tcPr>
    </w:tblStylePr>
  </w:style>
  <w:style w:type="table" w:styleId="DarkList-Accent4">
    <w:name w:val="Dark List Accent 4"/>
    <w:basedOn w:val="TableNormal"/>
    <w:uiPriority w:val="98"/>
    <w:semiHidden/>
    <w:unhideWhenUsed/>
    <w:rsid w:val="001F6DC1"/>
    <w:rPr>
      <w:color w:val="FFFFFF" w:themeColor="background1"/>
    </w:rPr>
    <w:tblPr>
      <w:tblStyleRowBandSize w:val="1"/>
      <w:tblStyleColBandSize w:val="1"/>
    </w:tblPr>
    <w:tcPr>
      <w:shd w:val="clear" w:color="auto" w:fill="A1A1A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0505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8787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87878" w:themeFill="accent4" w:themeFillShade="BF"/>
      </w:tcPr>
    </w:tblStylePr>
    <w:tblStylePr w:type="band1Vert">
      <w:tblPr/>
      <w:tcPr>
        <w:tcBorders>
          <w:top w:val="nil"/>
          <w:left w:val="nil"/>
          <w:bottom w:val="nil"/>
          <w:right w:val="nil"/>
          <w:insideH w:val="nil"/>
          <w:insideV w:val="nil"/>
        </w:tcBorders>
        <w:shd w:val="clear" w:color="auto" w:fill="787878" w:themeFill="accent4" w:themeFillShade="BF"/>
      </w:tcPr>
    </w:tblStylePr>
    <w:tblStylePr w:type="band1Horz">
      <w:tblPr/>
      <w:tcPr>
        <w:tcBorders>
          <w:top w:val="nil"/>
          <w:left w:val="nil"/>
          <w:bottom w:val="nil"/>
          <w:right w:val="nil"/>
          <w:insideH w:val="nil"/>
          <w:insideV w:val="nil"/>
        </w:tcBorders>
        <w:shd w:val="clear" w:color="auto" w:fill="787878" w:themeFill="accent4" w:themeFillShade="BF"/>
      </w:tcPr>
    </w:tblStylePr>
  </w:style>
  <w:style w:type="table" w:styleId="DarkList-Accent5">
    <w:name w:val="Dark List Accent 5"/>
    <w:basedOn w:val="TableNormal"/>
    <w:uiPriority w:val="98"/>
    <w:semiHidden/>
    <w:unhideWhenUsed/>
    <w:rsid w:val="001F6DC1"/>
    <w:rPr>
      <w:color w:val="FFFFFF" w:themeColor="background1"/>
    </w:rPr>
    <w:tblPr>
      <w:tblStyleRowBandSize w:val="1"/>
      <w:tblStyleColBandSize w:val="1"/>
    </w:tblPr>
    <w:tcPr>
      <w:shd w:val="clear" w:color="auto" w:fill="63D0D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B788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9B4C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9B4C7" w:themeFill="accent5" w:themeFillShade="BF"/>
      </w:tcPr>
    </w:tblStylePr>
    <w:tblStylePr w:type="band1Vert">
      <w:tblPr/>
      <w:tcPr>
        <w:tcBorders>
          <w:top w:val="nil"/>
          <w:left w:val="nil"/>
          <w:bottom w:val="nil"/>
          <w:right w:val="nil"/>
          <w:insideH w:val="nil"/>
          <w:insideV w:val="nil"/>
        </w:tcBorders>
        <w:shd w:val="clear" w:color="auto" w:fill="29B4C7" w:themeFill="accent5" w:themeFillShade="BF"/>
      </w:tcPr>
    </w:tblStylePr>
    <w:tblStylePr w:type="band1Horz">
      <w:tblPr/>
      <w:tcPr>
        <w:tcBorders>
          <w:top w:val="nil"/>
          <w:left w:val="nil"/>
          <w:bottom w:val="nil"/>
          <w:right w:val="nil"/>
          <w:insideH w:val="nil"/>
          <w:insideV w:val="nil"/>
        </w:tcBorders>
        <w:shd w:val="clear" w:color="auto" w:fill="29B4C7" w:themeFill="accent5" w:themeFillShade="BF"/>
      </w:tcPr>
    </w:tblStylePr>
  </w:style>
  <w:style w:type="table" w:styleId="DarkList-Accent6">
    <w:name w:val="Dark List Accent 6"/>
    <w:basedOn w:val="TableNormal"/>
    <w:uiPriority w:val="98"/>
    <w:semiHidden/>
    <w:unhideWhenUsed/>
    <w:rsid w:val="001F6DC1"/>
    <w:rPr>
      <w:color w:val="FFFFFF" w:themeColor="background1"/>
    </w:rPr>
    <w:tblPr>
      <w:tblStyleRowBandSize w:val="1"/>
      <w:tblStyleColBandSize w:val="1"/>
    </w:tblPr>
    <w:tcPr>
      <w:shd w:val="clear" w:color="auto" w:fill="A1A1A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0505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8787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87878" w:themeFill="accent6" w:themeFillShade="BF"/>
      </w:tcPr>
    </w:tblStylePr>
    <w:tblStylePr w:type="band1Vert">
      <w:tblPr/>
      <w:tcPr>
        <w:tcBorders>
          <w:top w:val="nil"/>
          <w:left w:val="nil"/>
          <w:bottom w:val="nil"/>
          <w:right w:val="nil"/>
          <w:insideH w:val="nil"/>
          <w:insideV w:val="nil"/>
        </w:tcBorders>
        <w:shd w:val="clear" w:color="auto" w:fill="787878" w:themeFill="accent6" w:themeFillShade="BF"/>
      </w:tcPr>
    </w:tblStylePr>
    <w:tblStylePr w:type="band1Horz">
      <w:tblPr/>
      <w:tcPr>
        <w:tcBorders>
          <w:top w:val="nil"/>
          <w:left w:val="nil"/>
          <w:bottom w:val="nil"/>
          <w:right w:val="nil"/>
          <w:insideH w:val="nil"/>
          <w:insideV w:val="nil"/>
        </w:tcBorders>
        <w:shd w:val="clear" w:color="auto" w:fill="787878" w:themeFill="accent6" w:themeFillShade="BF"/>
      </w:tcPr>
    </w:tblStylePr>
  </w:style>
  <w:style w:type="table" w:styleId="LightGrid">
    <w:name w:val="Light Grid"/>
    <w:basedOn w:val="TableNormal"/>
    <w:uiPriority w:val="98"/>
    <w:semiHidden/>
    <w:unhideWhenUsed/>
    <w:rsid w:val="001F6DC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semiHidden/>
    <w:unhideWhenUsed/>
    <w:rsid w:val="001F6DC1"/>
    <w:tblPr>
      <w:tblStyleRowBandSize w:val="1"/>
      <w:tblStyleColBandSize w:val="1"/>
      <w:tblBorders>
        <w:top w:val="single" w:sz="8" w:space="0" w:color="63D0DF" w:themeColor="accent1"/>
        <w:left w:val="single" w:sz="8" w:space="0" w:color="63D0DF" w:themeColor="accent1"/>
        <w:bottom w:val="single" w:sz="8" w:space="0" w:color="63D0DF" w:themeColor="accent1"/>
        <w:right w:val="single" w:sz="8" w:space="0" w:color="63D0DF" w:themeColor="accent1"/>
        <w:insideH w:val="single" w:sz="8" w:space="0" w:color="63D0DF" w:themeColor="accent1"/>
        <w:insideV w:val="single" w:sz="8" w:space="0" w:color="63D0D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3D0DF" w:themeColor="accent1"/>
          <w:left w:val="single" w:sz="8" w:space="0" w:color="63D0DF" w:themeColor="accent1"/>
          <w:bottom w:val="single" w:sz="18" w:space="0" w:color="63D0DF" w:themeColor="accent1"/>
          <w:right w:val="single" w:sz="8" w:space="0" w:color="63D0DF" w:themeColor="accent1"/>
          <w:insideH w:val="nil"/>
          <w:insideV w:val="single" w:sz="8" w:space="0" w:color="63D0D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3D0DF" w:themeColor="accent1"/>
          <w:left w:val="single" w:sz="8" w:space="0" w:color="63D0DF" w:themeColor="accent1"/>
          <w:bottom w:val="single" w:sz="8" w:space="0" w:color="63D0DF" w:themeColor="accent1"/>
          <w:right w:val="single" w:sz="8" w:space="0" w:color="63D0DF" w:themeColor="accent1"/>
          <w:insideH w:val="nil"/>
          <w:insideV w:val="single" w:sz="8" w:space="0" w:color="63D0D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3D0DF" w:themeColor="accent1"/>
          <w:left w:val="single" w:sz="8" w:space="0" w:color="63D0DF" w:themeColor="accent1"/>
          <w:bottom w:val="single" w:sz="8" w:space="0" w:color="63D0DF" w:themeColor="accent1"/>
          <w:right w:val="single" w:sz="8" w:space="0" w:color="63D0DF" w:themeColor="accent1"/>
        </w:tcBorders>
      </w:tcPr>
    </w:tblStylePr>
    <w:tblStylePr w:type="band1Vert">
      <w:tblPr/>
      <w:tcPr>
        <w:tcBorders>
          <w:top w:val="single" w:sz="8" w:space="0" w:color="63D0DF" w:themeColor="accent1"/>
          <w:left w:val="single" w:sz="8" w:space="0" w:color="63D0DF" w:themeColor="accent1"/>
          <w:bottom w:val="single" w:sz="8" w:space="0" w:color="63D0DF" w:themeColor="accent1"/>
          <w:right w:val="single" w:sz="8" w:space="0" w:color="63D0DF" w:themeColor="accent1"/>
        </w:tcBorders>
        <w:shd w:val="clear" w:color="auto" w:fill="D8F3F7" w:themeFill="accent1" w:themeFillTint="3F"/>
      </w:tcPr>
    </w:tblStylePr>
    <w:tblStylePr w:type="band1Horz">
      <w:tblPr/>
      <w:tcPr>
        <w:tcBorders>
          <w:top w:val="single" w:sz="8" w:space="0" w:color="63D0DF" w:themeColor="accent1"/>
          <w:left w:val="single" w:sz="8" w:space="0" w:color="63D0DF" w:themeColor="accent1"/>
          <w:bottom w:val="single" w:sz="8" w:space="0" w:color="63D0DF" w:themeColor="accent1"/>
          <w:right w:val="single" w:sz="8" w:space="0" w:color="63D0DF" w:themeColor="accent1"/>
          <w:insideV w:val="single" w:sz="8" w:space="0" w:color="63D0DF" w:themeColor="accent1"/>
        </w:tcBorders>
        <w:shd w:val="clear" w:color="auto" w:fill="D8F3F7" w:themeFill="accent1" w:themeFillTint="3F"/>
      </w:tcPr>
    </w:tblStylePr>
    <w:tblStylePr w:type="band2Horz">
      <w:tblPr/>
      <w:tcPr>
        <w:tcBorders>
          <w:top w:val="single" w:sz="8" w:space="0" w:color="63D0DF" w:themeColor="accent1"/>
          <w:left w:val="single" w:sz="8" w:space="0" w:color="63D0DF" w:themeColor="accent1"/>
          <w:bottom w:val="single" w:sz="8" w:space="0" w:color="63D0DF" w:themeColor="accent1"/>
          <w:right w:val="single" w:sz="8" w:space="0" w:color="63D0DF" w:themeColor="accent1"/>
          <w:insideV w:val="single" w:sz="8" w:space="0" w:color="63D0DF" w:themeColor="accent1"/>
        </w:tcBorders>
      </w:tcPr>
    </w:tblStylePr>
  </w:style>
  <w:style w:type="table" w:styleId="LightGrid-Accent2">
    <w:name w:val="Light Grid Accent 2"/>
    <w:basedOn w:val="TableNormal"/>
    <w:uiPriority w:val="98"/>
    <w:semiHidden/>
    <w:unhideWhenUsed/>
    <w:rsid w:val="001F6DC1"/>
    <w:tblPr>
      <w:tblStyleRowBandSize w:val="1"/>
      <w:tblStyleColBandSize w:val="1"/>
      <w:tblBorders>
        <w:top w:val="single" w:sz="8" w:space="0" w:color="C9C9CA" w:themeColor="accent2"/>
        <w:left w:val="single" w:sz="8" w:space="0" w:color="C9C9CA" w:themeColor="accent2"/>
        <w:bottom w:val="single" w:sz="8" w:space="0" w:color="C9C9CA" w:themeColor="accent2"/>
        <w:right w:val="single" w:sz="8" w:space="0" w:color="C9C9CA" w:themeColor="accent2"/>
        <w:insideH w:val="single" w:sz="8" w:space="0" w:color="C9C9CA" w:themeColor="accent2"/>
        <w:insideV w:val="single" w:sz="8" w:space="0" w:color="C9C9C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9C9CA" w:themeColor="accent2"/>
          <w:left w:val="single" w:sz="8" w:space="0" w:color="C9C9CA" w:themeColor="accent2"/>
          <w:bottom w:val="single" w:sz="18" w:space="0" w:color="C9C9CA" w:themeColor="accent2"/>
          <w:right w:val="single" w:sz="8" w:space="0" w:color="C9C9CA" w:themeColor="accent2"/>
          <w:insideH w:val="nil"/>
          <w:insideV w:val="single" w:sz="8" w:space="0" w:color="C9C9C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9C9CA" w:themeColor="accent2"/>
          <w:left w:val="single" w:sz="8" w:space="0" w:color="C9C9CA" w:themeColor="accent2"/>
          <w:bottom w:val="single" w:sz="8" w:space="0" w:color="C9C9CA" w:themeColor="accent2"/>
          <w:right w:val="single" w:sz="8" w:space="0" w:color="C9C9CA" w:themeColor="accent2"/>
          <w:insideH w:val="nil"/>
          <w:insideV w:val="single" w:sz="8" w:space="0" w:color="C9C9C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9C9CA" w:themeColor="accent2"/>
          <w:left w:val="single" w:sz="8" w:space="0" w:color="C9C9CA" w:themeColor="accent2"/>
          <w:bottom w:val="single" w:sz="8" w:space="0" w:color="C9C9CA" w:themeColor="accent2"/>
          <w:right w:val="single" w:sz="8" w:space="0" w:color="C9C9CA" w:themeColor="accent2"/>
        </w:tcBorders>
      </w:tcPr>
    </w:tblStylePr>
    <w:tblStylePr w:type="band1Vert">
      <w:tblPr/>
      <w:tcPr>
        <w:tcBorders>
          <w:top w:val="single" w:sz="8" w:space="0" w:color="C9C9CA" w:themeColor="accent2"/>
          <w:left w:val="single" w:sz="8" w:space="0" w:color="C9C9CA" w:themeColor="accent2"/>
          <w:bottom w:val="single" w:sz="8" w:space="0" w:color="C9C9CA" w:themeColor="accent2"/>
          <w:right w:val="single" w:sz="8" w:space="0" w:color="C9C9CA" w:themeColor="accent2"/>
        </w:tcBorders>
        <w:shd w:val="clear" w:color="auto" w:fill="F1F1F1" w:themeFill="accent2" w:themeFillTint="3F"/>
      </w:tcPr>
    </w:tblStylePr>
    <w:tblStylePr w:type="band1Horz">
      <w:tblPr/>
      <w:tcPr>
        <w:tcBorders>
          <w:top w:val="single" w:sz="8" w:space="0" w:color="C9C9CA" w:themeColor="accent2"/>
          <w:left w:val="single" w:sz="8" w:space="0" w:color="C9C9CA" w:themeColor="accent2"/>
          <w:bottom w:val="single" w:sz="8" w:space="0" w:color="C9C9CA" w:themeColor="accent2"/>
          <w:right w:val="single" w:sz="8" w:space="0" w:color="C9C9CA" w:themeColor="accent2"/>
          <w:insideV w:val="single" w:sz="8" w:space="0" w:color="C9C9CA" w:themeColor="accent2"/>
        </w:tcBorders>
        <w:shd w:val="clear" w:color="auto" w:fill="F1F1F1" w:themeFill="accent2" w:themeFillTint="3F"/>
      </w:tcPr>
    </w:tblStylePr>
    <w:tblStylePr w:type="band2Horz">
      <w:tblPr/>
      <w:tcPr>
        <w:tcBorders>
          <w:top w:val="single" w:sz="8" w:space="0" w:color="C9C9CA" w:themeColor="accent2"/>
          <w:left w:val="single" w:sz="8" w:space="0" w:color="C9C9CA" w:themeColor="accent2"/>
          <w:bottom w:val="single" w:sz="8" w:space="0" w:color="C9C9CA" w:themeColor="accent2"/>
          <w:right w:val="single" w:sz="8" w:space="0" w:color="C9C9CA" w:themeColor="accent2"/>
          <w:insideV w:val="single" w:sz="8" w:space="0" w:color="C9C9CA" w:themeColor="accent2"/>
        </w:tcBorders>
      </w:tcPr>
    </w:tblStylePr>
  </w:style>
  <w:style w:type="table" w:styleId="LightGrid-Accent3">
    <w:name w:val="Light Grid Accent 3"/>
    <w:basedOn w:val="TableNormal"/>
    <w:uiPriority w:val="98"/>
    <w:semiHidden/>
    <w:unhideWhenUsed/>
    <w:rsid w:val="001F6DC1"/>
    <w:tblPr>
      <w:tblStyleRowBandSize w:val="1"/>
      <w:tblStyleColBandSize w:val="1"/>
      <w:tblBorders>
        <w:top w:val="single" w:sz="8" w:space="0" w:color="63D0DF" w:themeColor="accent3"/>
        <w:left w:val="single" w:sz="8" w:space="0" w:color="63D0DF" w:themeColor="accent3"/>
        <w:bottom w:val="single" w:sz="8" w:space="0" w:color="63D0DF" w:themeColor="accent3"/>
        <w:right w:val="single" w:sz="8" w:space="0" w:color="63D0DF" w:themeColor="accent3"/>
        <w:insideH w:val="single" w:sz="8" w:space="0" w:color="63D0DF" w:themeColor="accent3"/>
        <w:insideV w:val="single" w:sz="8" w:space="0" w:color="63D0D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3D0DF" w:themeColor="accent3"/>
          <w:left w:val="single" w:sz="8" w:space="0" w:color="63D0DF" w:themeColor="accent3"/>
          <w:bottom w:val="single" w:sz="18" w:space="0" w:color="63D0DF" w:themeColor="accent3"/>
          <w:right w:val="single" w:sz="8" w:space="0" w:color="63D0DF" w:themeColor="accent3"/>
          <w:insideH w:val="nil"/>
          <w:insideV w:val="single" w:sz="8" w:space="0" w:color="63D0D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3D0DF" w:themeColor="accent3"/>
          <w:left w:val="single" w:sz="8" w:space="0" w:color="63D0DF" w:themeColor="accent3"/>
          <w:bottom w:val="single" w:sz="8" w:space="0" w:color="63D0DF" w:themeColor="accent3"/>
          <w:right w:val="single" w:sz="8" w:space="0" w:color="63D0DF" w:themeColor="accent3"/>
          <w:insideH w:val="nil"/>
          <w:insideV w:val="single" w:sz="8" w:space="0" w:color="63D0D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3D0DF" w:themeColor="accent3"/>
          <w:left w:val="single" w:sz="8" w:space="0" w:color="63D0DF" w:themeColor="accent3"/>
          <w:bottom w:val="single" w:sz="8" w:space="0" w:color="63D0DF" w:themeColor="accent3"/>
          <w:right w:val="single" w:sz="8" w:space="0" w:color="63D0DF" w:themeColor="accent3"/>
        </w:tcBorders>
      </w:tcPr>
    </w:tblStylePr>
    <w:tblStylePr w:type="band1Vert">
      <w:tblPr/>
      <w:tcPr>
        <w:tcBorders>
          <w:top w:val="single" w:sz="8" w:space="0" w:color="63D0DF" w:themeColor="accent3"/>
          <w:left w:val="single" w:sz="8" w:space="0" w:color="63D0DF" w:themeColor="accent3"/>
          <w:bottom w:val="single" w:sz="8" w:space="0" w:color="63D0DF" w:themeColor="accent3"/>
          <w:right w:val="single" w:sz="8" w:space="0" w:color="63D0DF" w:themeColor="accent3"/>
        </w:tcBorders>
        <w:shd w:val="clear" w:color="auto" w:fill="D8F3F7" w:themeFill="accent3" w:themeFillTint="3F"/>
      </w:tcPr>
    </w:tblStylePr>
    <w:tblStylePr w:type="band1Horz">
      <w:tblPr/>
      <w:tcPr>
        <w:tcBorders>
          <w:top w:val="single" w:sz="8" w:space="0" w:color="63D0DF" w:themeColor="accent3"/>
          <w:left w:val="single" w:sz="8" w:space="0" w:color="63D0DF" w:themeColor="accent3"/>
          <w:bottom w:val="single" w:sz="8" w:space="0" w:color="63D0DF" w:themeColor="accent3"/>
          <w:right w:val="single" w:sz="8" w:space="0" w:color="63D0DF" w:themeColor="accent3"/>
          <w:insideV w:val="single" w:sz="8" w:space="0" w:color="63D0DF" w:themeColor="accent3"/>
        </w:tcBorders>
        <w:shd w:val="clear" w:color="auto" w:fill="D8F3F7" w:themeFill="accent3" w:themeFillTint="3F"/>
      </w:tcPr>
    </w:tblStylePr>
    <w:tblStylePr w:type="band2Horz">
      <w:tblPr/>
      <w:tcPr>
        <w:tcBorders>
          <w:top w:val="single" w:sz="8" w:space="0" w:color="63D0DF" w:themeColor="accent3"/>
          <w:left w:val="single" w:sz="8" w:space="0" w:color="63D0DF" w:themeColor="accent3"/>
          <w:bottom w:val="single" w:sz="8" w:space="0" w:color="63D0DF" w:themeColor="accent3"/>
          <w:right w:val="single" w:sz="8" w:space="0" w:color="63D0DF" w:themeColor="accent3"/>
          <w:insideV w:val="single" w:sz="8" w:space="0" w:color="63D0DF" w:themeColor="accent3"/>
        </w:tcBorders>
      </w:tcPr>
    </w:tblStylePr>
  </w:style>
  <w:style w:type="table" w:styleId="LightGrid-Accent4">
    <w:name w:val="Light Grid Accent 4"/>
    <w:basedOn w:val="TableNormal"/>
    <w:uiPriority w:val="98"/>
    <w:semiHidden/>
    <w:unhideWhenUsed/>
    <w:rsid w:val="001F6DC1"/>
    <w:tblPr>
      <w:tblStyleRowBandSize w:val="1"/>
      <w:tblStyleColBandSize w:val="1"/>
      <w:tblBorders>
        <w:top w:val="single" w:sz="8" w:space="0" w:color="A1A1A1" w:themeColor="accent4"/>
        <w:left w:val="single" w:sz="8" w:space="0" w:color="A1A1A1" w:themeColor="accent4"/>
        <w:bottom w:val="single" w:sz="8" w:space="0" w:color="A1A1A1" w:themeColor="accent4"/>
        <w:right w:val="single" w:sz="8" w:space="0" w:color="A1A1A1" w:themeColor="accent4"/>
        <w:insideH w:val="single" w:sz="8" w:space="0" w:color="A1A1A1" w:themeColor="accent4"/>
        <w:insideV w:val="single" w:sz="8" w:space="0" w:color="A1A1A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1A1A1" w:themeColor="accent4"/>
          <w:left w:val="single" w:sz="8" w:space="0" w:color="A1A1A1" w:themeColor="accent4"/>
          <w:bottom w:val="single" w:sz="18" w:space="0" w:color="A1A1A1" w:themeColor="accent4"/>
          <w:right w:val="single" w:sz="8" w:space="0" w:color="A1A1A1" w:themeColor="accent4"/>
          <w:insideH w:val="nil"/>
          <w:insideV w:val="single" w:sz="8" w:space="0" w:color="A1A1A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1A1A1" w:themeColor="accent4"/>
          <w:left w:val="single" w:sz="8" w:space="0" w:color="A1A1A1" w:themeColor="accent4"/>
          <w:bottom w:val="single" w:sz="8" w:space="0" w:color="A1A1A1" w:themeColor="accent4"/>
          <w:right w:val="single" w:sz="8" w:space="0" w:color="A1A1A1" w:themeColor="accent4"/>
          <w:insideH w:val="nil"/>
          <w:insideV w:val="single" w:sz="8" w:space="0" w:color="A1A1A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1A1A1" w:themeColor="accent4"/>
          <w:left w:val="single" w:sz="8" w:space="0" w:color="A1A1A1" w:themeColor="accent4"/>
          <w:bottom w:val="single" w:sz="8" w:space="0" w:color="A1A1A1" w:themeColor="accent4"/>
          <w:right w:val="single" w:sz="8" w:space="0" w:color="A1A1A1" w:themeColor="accent4"/>
        </w:tcBorders>
      </w:tcPr>
    </w:tblStylePr>
    <w:tblStylePr w:type="band1Vert">
      <w:tblPr/>
      <w:tcPr>
        <w:tcBorders>
          <w:top w:val="single" w:sz="8" w:space="0" w:color="A1A1A1" w:themeColor="accent4"/>
          <w:left w:val="single" w:sz="8" w:space="0" w:color="A1A1A1" w:themeColor="accent4"/>
          <w:bottom w:val="single" w:sz="8" w:space="0" w:color="A1A1A1" w:themeColor="accent4"/>
          <w:right w:val="single" w:sz="8" w:space="0" w:color="A1A1A1" w:themeColor="accent4"/>
        </w:tcBorders>
        <w:shd w:val="clear" w:color="auto" w:fill="E7E7E7" w:themeFill="accent4" w:themeFillTint="3F"/>
      </w:tcPr>
    </w:tblStylePr>
    <w:tblStylePr w:type="band1Horz">
      <w:tblPr/>
      <w:tcPr>
        <w:tcBorders>
          <w:top w:val="single" w:sz="8" w:space="0" w:color="A1A1A1" w:themeColor="accent4"/>
          <w:left w:val="single" w:sz="8" w:space="0" w:color="A1A1A1" w:themeColor="accent4"/>
          <w:bottom w:val="single" w:sz="8" w:space="0" w:color="A1A1A1" w:themeColor="accent4"/>
          <w:right w:val="single" w:sz="8" w:space="0" w:color="A1A1A1" w:themeColor="accent4"/>
          <w:insideV w:val="single" w:sz="8" w:space="0" w:color="A1A1A1" w:themeColor="accent4"/>
        </w:tcBorders>
        <w:shd w:val="clear" w:color="auto" w:fill="E7E7E7" w:themeFill="accent4" w:themeFillTint="3F"/>
      </w:tcPr>
    </w:tblStylePr>
    <w:tblStylePr w:type="band2Horz">
      <w:tblPr/>
      <w:tcPr>
        <w:tcBorders>
          <w:top w:val="single" w:sz="8" w:space="0" w:color="A1A1A1" w:themeColor="accent4"/>
          <w:left w:val="single" w:sz="8" w:space="0" w:color="A1A1A1" w:themeColor="accent4"/>
          <w:bottom w:val="single" w:sz="8" w:space="0" w:color="A1A1A1" w:themeColor="accent4"/>
          <w:right w:val="single" w:sz="8" w:space="0" w:color="A1A1A1" w:themeColor="accent4"/>
          <w:insideV w:val="single" w:sz="8" w:space="0" w:color="A1A1A1" w:themeColor="accent4"/>
        </w:tcBorders>
      </w:tcPr>
    </w:tblStylePr>
  </w:style>
  <w:style w:type="table" w:styleId="LightGrid-Accent5">
    <w:name w:val="Light Grid Accent 5"/>
    <w:basedOn w:val="TableNormal"/>
    <w:uiPriority w:val="98"/>
    <w:semiHidden/>
    <w:unhideWhenUsed/>
    <w:rsid w:val="001F6DC1"/>
    <w:tblPr>
      <w:tblStyleRowBandSize w:val="1"/>
      <w:tblStyleColBandSize w:val="1"/>
      <w:tblBorders>
        <w:top w:val="single" w:sz="8" w:space="0" w:color="63D0DF" w:themeColor="accent5"/>
        <w:left w:val="single" w:sz="8" w:space="0" w:color="63D0DF" w:themeColor="accent5"/>
        <w:bottom w:val="single" w:sz="8" w:space="0" w:color="63D0DF" w:themeColor="accent5"/>
        <w:right w:val="single" w:sz="8" w:space="0" w:color="63D0DF" w:themeColor="accent5"/>
        <w:insideH w:val="single" w:sz="8" w:space="0" w:color="63D0DF" w:themeColor="accent5"/>
        <w:insideV w:val="single" w:sz="8" w:space="0" w:color="63D0D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3D0DF" w:themeColor="accent5"/>
          <w:left w:val="single" w:sz="8" w:space="0" w:color="63D0DF" w:themeColor="accent5"/>
          <w:bottom w:val="single" w:sz="18" w:space="0" w:color="63D0DF" w:themeColor="accent5"/>
          <w:right w:val="single" w:sz="8" w:space="0" w:color="63D0DF" w:themeColor="accent5"/>
          <w:insideH w:val="nil"/>
          <w:insideV w:val="single" w:sz="8" w:space="0" w:color="63D0D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3D0DF" w:themeColor="accent5"/>
          <w:left w:val="single" w:sz="8" w:space="0" w:color="63D0DF" w:themeColor="accent5"/>
          <w:bottom w:val="single" w:sz="8" w:space="0" w:color="63D0DF" w:themeColor="accent5"/>
          <w:right w:val="single" w:sz="8" w:space="0" w:color="63D0DF" w:themeColor="accent5"/>
          <w:insideH w:val="nil"/>
          <w:insideV w:val="single" w:sz="8" w:space="0" w:color="63D0D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3D0DF" w:themeColor="accent5"/>
          <w:left w:val="single" w:sz="8" w:space="0" w:color="63D0DF" w:themeColor="accent5"/>
          <w:bottom w:val="single" w:sz="8" w:space="0" w:color="63D0DF" w:themeColor="accent5"/>
          <w:right w:val="single" w:sz="8" w:space="0" w:color="63D0DF" w:themeColor="accent5"/>
        </w:tcBorders>
      </w:tcPr>
    </w:tblStylePr>
    <w:tblStylePr w:type="band1Vert">
      <w:tblPr/>
      <w:tcPr>
        <w:tcBorders>
          <w:top w:val="single" w:sz="8" w:space="0" w:color="63D0DF" w:themeColor="accent5"/>
          <w:left w:val="single" w:sz="8" w:space="0" w:color="63D0DF" w:themeColor="accent5"/>
          <w:bottom w:val="single" w:sz="8" w:space="0" w:color="63D0DF" w:themeColor="accent5"/>
          <w:right w:val="single" w:sz="8" w:space="0" w:color="63D0DF" w:themeColor="accent5"/>
        </w:tcBorders>
        <w:shd w:val="clear" w:color="auto" w:fill="D8F3F7" w:themeFill="accent5" w:themeFillTint="3F"/>
      </w:tcPr>
    </w:tblStylePr>
    <w:tblStylePr w:type="band1Horz">
      <w:tblPr/>
      <w:tcPr>
        <w:tcBorders>
          <w:top w:val="single" w:sz="8" w:space="0" w:color="63D0DF" w:themeColor="accent5"/>
          <w:left w:val="single" w:sz="8" w:space="0" w:color="63D0DF" w:themeColor="accent5"/>
          <w:bottom w:val="single" w:sz="8" w:space="0" w:color="63D0DF" w:themeColor="accent5"/>
          <w:right w:val="single" w:sz="8" w:space="0" w:color="63D0DF" w:themeColor="accent5"/>
          <w:insideV w:val="single" w:sz="8" w:space="0" w:color="63D0DF" w:themeColor="accent5"/>
        </w:tcBorders>
        <w:shd w:val="clear" w:color="auto" w:fill="D8F3F7" w:themeFill="accent5" w:themeFillTint="3F"/>
      </w:tcPr>
    </w:tblStylePr>
    <w:tblStylePr w:type="band2Horz">
      <w:tblPr/>
      <w:tcPr>
        <w:tcBorders>
          <w:top w:val="single" w:sz="8" w:space="0" w:color="63D0DF" w:themeColor="accent5"/>
          <w:left w:val="single" w:sz="8" w:space="0" w:color="63D0DF" w:themeColor="accent5"/>
          <w:bottom w:val="single" w:sz="8" w:space="0" w:color="63D0DF" w:themeColor="accent5"/>
          <w:right w:val="single" w:sz="8" w:space="0" w:color="63D0DF" w:themeColor="accent5"/>
          <w:insideV w:val="single" w:sz="8" w:space="0" w:color="63D0DF" w:themeColor="accent5"/>
        </w:tcBorders>
      </w:tcPr>
    </w:tblStylePr>
  </w:style>
  <w:style w:type="table" w:styleId="LightGrid-Accent6">
    <w:name w:val="Light Grid Accent 6"/>
    <w:basedOn w:val="TableNormal"/>
    <w:uiPriority w:val="98"/>
    <w:semiHidden/>
    <w:unhideWhenUsed/>
    <w:rsid w:val="001F6DC1"/>
    <w:tblPr>
      <w:tblStyleRowBandSize w:val="1"/>
      <w:tblStyleColBandSize w:val="1"/>
      <w:tblBorders>
        <w:top w:val="single" w:sz="8" w:space="0" w:color="A1A1A1" w:themeColor="accent6"/>
        <w:left w:val="single" w:sz="8" w:space="0" w:color="A1A1A1" w:themeColor="accent6"/>
        <w:bottom w:val="single" w:sz="8" w:space="0" w:color="A1A1A1" w:themeColor="accent6"/>
        <w:right w:val="single" w:sz="8" w:space="0" w:color="A1A1A1" w:themeColor="accent6"/>
        <w:insideH w:val="single" w:sz="8" w:space="0" w:color="A1A1A1" w:themeColor="accent6"/>
        <w:insideV w:val="single" w:sz="8" w:space="0" w:color="A1A1A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1A1A1" w:themeColor="accent6"/>
          <w:left w:val="single" w:sz="8" w:space="0" w:color="A1A1A1" w:themeColor="accent6"/>
          <w:bottom w:val="single" w:sz="18" w:space="0" w:color="A1A1A1" w:themeColor="accent6"/>
          <w:right w:val="single" w:sz="8" w:space="0" w:color="A1A1A1" w:themeColor="accent6"/>
          <w:insideH w:val="nil"/>
          <w:insideV w:val="single" w:sz="8" w:space="0" w:color="A1A1A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1A1A1" w:themeColor="accent6"/>
          <w:left w:val="single" w:sz="8" w:space="0" w:color="A1A1A1" w:themeColor="accent6"/>
          <w:bottom w:val="single" w:sz="8" w:space="0" w:color="A1A1A1" w:themeColor="accent6"/>
          <w:right w:val="single" w:sz="8" w:space="0" w:color="A1A1A1" w:themeColor="accent6"/>
          <w:insideH w:val="nil"/>
          <w:insideV w:val="single" w:sz="8" w:space="0" w:color="A1A1A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1A1A1" w:themeColor="accent6"/>
          <w:left w:val="single" w:sz="8" w:space="0" w:color="A1A1A1" w:themeColor="accent6"/>
          <w:bottom w:val="single" w:sz="8" w:space="0" w:color="A1A1A1" w:themeColor="accent6"/>
          <w:right w:val="single" w:sz="8" w:space="0" w:color="A1A1A1" w:themeColor="accent6"/>
        </w:tcBorders>
      </w:tcPr>
    </w:tblStylePr>
    <w:tblStylePr w:type="band1Vert">
      <w:tblPr/>
      <w:tcPr>
        <w:tcBorders>
          <w:top w:val="single" w:sz="8" w:space="0" w:color="A1A1A1" w:themeColor="accent6"/>
          <w:left w:val="single" w:sz="8" w:space="0" w:color="A1A1A1" w:themeColor="accent6"/>
          <w:bottom w:val="single" w:sz="8" w:space="0" w:color="A1A1A1" w:themeColor="accent6"/>
          <w:right w:val="single" w:sz="8" w:space="0" w:color="A1A1A1" w:themeColor="accent6"/>
        </w:tcBorders>
        <w:shd w:val="clear" w:color="auto" w:fill="E7E7E7" w:themeFill="accent6" w:themeFillTint="3F"/>
      </w:tcPr>
    </w:tblStylePr>
    <w:tblStylePr w:type="band1Horz">
      <w:tblPr/>
      <w:tcPr>
        <w:tcBorders>
          <w:top w:val="single" w:sz="8" w:space="0" w:color="A1A1A1" w:themeColor="accent6"/>
          <w:left w:val="single" w:sz="8" w:space="0" w:color="A1A1A1" w:themeColor="accent6"/>
          <w:bottom w:val="single" w:sz="8" w:space="0" w:color="A1A1A1" w:themeColor="accent6"/>
          <w:right w:val="single" w:sz="8" w:space="0" w:color="A1A1A1" w:themeColor="accent6"/>
          <w:insideV w:val="single" w:sz="8" w:space="0" w:color="A1A1A1" w:themeColor="accent6"/>
        </w:tcBorders>
        <w:shd w:val="clear" w:color="auto" w:fill="E7E7E7" w:themeFill="accent6" w:themeFillTint="3F"/>
      </w:tcPr>
    </w:tblStylePr>
    <w:tblStylePr w:type="band2Horz">
      <w:tblPr/>
      <w:tcPr>
        <w:tcBorders>
          <w:top w:val="single" w:sz="8" w:space="0" w:color="A1A1A1" w:themeColor="accent6"/>
          <w:left w:val="single" w:sz="8" w:space="0" w:color="A1A1A1" w:themeColor="accent6"/>
          <w:bottom w:val="single" w:sz="8" w:space="0" w:color="A1A1A1" w:themeColor="accent6"/>
          <w:right w:val="single" w:sz="8" w:space="0" w:color="A1A1A1" w:themeColor="accent6"/>
          <w:insideV w:val="single" w:sz="8" w:space="0" w:color="A1A1A1" w:themeColor="accent6"/>
        </w:tcBorders>
      </w:tcPr>
    </w:tblStylePr>
  </w:style>
  <w:style w:type="table" w:styleId="LightList">
    <w:name w:val="Light List"/>
    <w:basedOn w:val="TableNormal"/>
    <w:uiPriority w:val="98"/>
    <w:semiHidden/>
    <w:unhideWhenUsed/>
    <w:rsid w:val="001F6DC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semiHidden/>
    <w:unhideWhenUsed/>
    <w:rsid w:val="001F6DC1"/>
    <w:tblPr>
      <w:tblStyleRowBandSize w:val="1"/>
      <w:tblStyleColBandSize w:val="1"/>
      <w:tblBorders>
        <w:top w:val="single" w:sz="8" w:space="0" w:color="63D0DF" w:themeColor="accent1"/>
        <w:left w:val="single" w:sz="8" w:space="0" w:color="63D0DF" w:themeColor="accent1"/>
        <w:bottom w:val="single" w:sz="8" w:space="0" w:color="63D0DF" w:themeColor="accent1"/>
        <w:right w:val="single" w:sz="8" w:space="0" w:color="63D0DF" w:themeColor="accent1"/>
      </w:tblBorders>
    </w:tblPr>
    <w:tblStylePr w:type="firstRow">
      <w:pPr>
        <w:spacing w:before="0" w:after="0" w:line="240" w:lineRule="auto"/>
      </w:pPr>
      <w:rPr>
        <w:b/>
        <w:bCs/>
        <w:color w:val="FFFFFF" w:themeColor="background1"/>
      </w:rPr>
      <w:tblPr/>
      <w:tcPr>
        <w:shd w:val="clear" w:color="auto" w:fill="63D0DF" w:themeFill="accent1"/>
      </w:tcPr>
    </w:tblStylePr>
    <w:tblStylePr w:type="lastRow">
      <w:pPr>
        <w:spacing w:before="0" w:after="0" w:line="240" w:lineRule="auto"/>
      </w:pPr>
      <w:rPr>
        <w:b/>
        <w:bCs/>
      </w:rPr>
      <w:tblPr/>
      <w:tcPr>
        <w:tcBorders>
          <w:top w:val="double" w:sz="6" w:space="0" w:color="63D0DF" w:themeColor="accent1"/>
          <w:left w:val="single" w:sz="8" w:space="0" w:color="63D0DF" w:themeColor="accent1"/>
          <w:bottom w:val="single" w:sz="8" w:space="0" w:color="63D0DF" w:themeColor="accent1"/>
          <w:right w:val="single" w:sz="8" w:space="0" w:color="63D0DF" w:themeColor="accent1"/>
        </w:tcBorders>
      </w:tcPr>
    </w:tblStylePr>
    <w:tblStylePr w:type="firstCol">
      <w:rPr>
        <w:b/>
        <w:bCs/>
      </w:rPr>
    </w:tblStylePr>
    <w:tblStylePr w:type="lastCol">
      <w:rPr>
        <w:b/>
        <w:bCs/>
      </w:rPr>
    </w:tblStylePr>
    <w:tblStylePr w:type="band1Vert">
      <w:tblPr/>
      <w:tcPr>
        <w:tcBorders>
          <w:top w:val="single" w:sz="8" w:space="0" w:color="63D0DF" w:themeColor="accent1"/>
          <w:left w:val="single" w:sz="8" w:space="0" w:color="63D0DF" w:themeColor="accent1"/>
          <w:bottom w:val="single" w:sz="8" w:space="0" w:color="63D0DF" w:themeColor="accent1"/>
          <w:right w:val="single" w:sz="8" w:space="0" w:color="63D0DF" w:themeColor="accent1"/>
        </w:tcBorders>
      </w:tcPr>
    </w:tblStylePr>
    <w:tblStylePr w:type="band1Horz">
      <w:tblPr/>
      <w:tcPr>
        <w:tcBorders>
          <w:top w:val="single" w:sz="8" w:space="0" w:color="63D0DF" w:themeColor="accent1"/>
          <w:left w:val="single" w:sz="8" w:space="0" w:color="63D0DF" w:themeColor="accent1"/>
          <w:bottom w:val="single" w:sz="8" w:space="0" w:color="63D0DF" w:themeColor="accent1"/>
          <w:right w:val="single" w:sz="8" w:space="0" w:color="63D0DF" w:themeColor="accent1"/>
        </w:tcBorders>
      </w:tcPr>
    </w:tblStylePr>
  </w:style>
  <w:style w:type="table" w:styleId="LightList-Accent2">
    <w:name w:val="Light List Accent 2"/>
    <w:basedOn w:val="TableNormal"/>
    <w:uiPriority w:val="98"/>
    <w:semiHidden/>
    <w:unhideWhenUsed/>
    <w:rsid w:val="001F6DC1"/>
    <w:tblPr>
      <w:tblStyleRowBandSize w:val="1"/>
      <w:tblStyleColBandSize w:val="1"/>
      <w:tblBorders>
        <w:top w:val="single" w:sz="8" w:space="0" w:color="C9C9CA" w:themeColor="accent2"/>
        <w:left w:val="single" w:sz="8" w:space="0" w:color="C9C9CA" w:themeColor="accent2"/>
        <w:bottom w:val="single" w:sz="8" w:space="0" w:color="C9C9CA" w:themeColor="accent2"/>
        <w:right w:val="single" w:sz="8" w:space="0" w:color="C9C9CA" w:themeColor="accent2"/>
      </w:tblBorders>
    </w:tblPr>
    <w:tblStylePr w:type="firstRow">
      <w:pPr>
        <w:spacing w:before="0" w:after="0" w:line="240" w:lineRule="auto"/>
      </w:pPr>
      <w:rPr>
        <w:b/>
        <w:bCs/>
        <w:color w:val="FFFFFF" w:themeColor="background1"/>
      </w:rPr>
      <w:tblPr/>
      <w:tcPr>
        <w:shd w:val="clear" w:color="auto" w:fill="C9C9CA" w:themeFill="accent2"/>
      </w:tcPr>
    </w:tblStylePr>
    <w:tblStylePr w:type="lastRow">
      <w:pPr>
        <w:spacing w:before="0" w:after="0" w:line="240" w:lineRule="auto"/>
      </w:pPr>
      <w:rPr>
        <w:b/>
        <w:bCs/>
      </w:rPr>
      <w:tblPr/>
      <w:tcPr>
        <w:tcBorders>
          <w:top w:val="double" w:sz="6" w:space="0" w:color="C9C9CA" w:themeColor="accent2"/>
          <w:left w:val="single" w:sz="8" w:space="0" w:color="C9C9CA" w:themeColor="accent2"/>
          <w:bottom w:val="single" w:sz="8" w:space="0" w:color="C9C9CA" w:themeColor="accent2"/>
          <w:right w:val="single" w:sz="8" w:space="0" w:color="C9C9CA" w:themeColor="accent2"/>
        </w:tcBorders>
      </w:tcPr>
    </w:tblStylePr>
    <w:tblStylePr w:type="firstCol">
      <w:rPr>
        <w:b/>
        <w:bCs/>
      </w:rPr>
    </w:tblStylePr>
    <w:tblStylePr w:type="lastCol">
      <w:rPr>
        <w:b/>
        <w:bCs/>
      </w:rPr>
    </w:tblStylePr>
    <w:tblStylePr w:type="band1Vert">
      <w:tblPr/>
      <w:tcPr>
        <w:tcBorders>
          <w:top w:val="single" w:sz="8" w:space="0" w:color="C9C9CA" w:themeColor="accent2"/>
          <w:left w:val="single" w:sz="8" w:space="0" w:color="C9C9CA" w:themeColor="accent2"/>
          <w:bottom w:val="single" w:sz="8" w:space="0" w:color="C9C9CA" w:themeColor="accent2"/>
          <w:right w:val="single" w:sz="8" w:space="0" w:color="C9C9CA" w:themeColor="accent2"/>
        </w:tcBorders>
      </w:tcPr>
    </w:tblStylePr>
    <w:tblStylePr w:type="band1Horz">
      <w:tblPr/>
      <w:tcPr>
        <w:tcBorders>
          <w:top w:val="single" w:sz="8" w:space="0" w:color="C9C9CA" w:themeColor="accent2"/>
          <w:left w:val="single" w:sz="8" w:space="0" w:color="C9C9CA" w:themeColor="accent2"/>
          <w:bottom w:val="single" w:sz="8" w:space="0" w:color="C9C9CA" w:themeColor="accent2"/>
          <w:right w:val="single" w:sz="8" w:space="0" w:color="C9C9CA" w:themeColor="accent2"/>
        </w:tcBorders>
      </w:tcPr>
    </w:tblStylePr>
  </w:style>
  <w:style w:type="table" w:styleId="LightList-Accent3">
    <w:name w:val="Light List Accent 3"/>
    <w:basedOn w:val="TableNormal"/>
    <w:uiPriority w:val="98"/>
    <w:semiHidden/>
    <w:unhideWhenUsed/>
    <w:rsid w:val="001F6DC1"/>
    <w:tblPr>
      <w:tblStyleRowBandSize w:val="1"/>
      <w:tblStyleColBandSize w:val="1"/>
      <w:tblBorders>
        <w:top w:val="single" w:sz="8" w:space="0" w:color="63D0DF" w:themeColor="accent3"/>
        <w:left w:val="single" w:sz="8" w:space="0" w:color="63D0DF" w:themeColor="accent3"/>
        <w:bottom w:val="single" w:sz="8" w:space="0" w:color="63D0DF" w:themeColor="accent3"/>
        <w:right w:val="single" w:sz="8" w:space="0" w:color="63D0DF" w:themeColor="accent3"/>
      </w:tblBorders>
    </w:tblPr>
    <w:tblStylePr w:type="firstRow">
      <w:pPr>
        <w:spacing w:before="0" w:after="0" w:line="240" w:lineRule="auto"/>
      </w:pPr>
      <w:rPr>
        <w:b/>
        <w:bCs/>
        <w:color w:val="FFFFFF" w:themeColor="background1"/>
      </w:rPr>
      <w:tblPr/>
      <w:tcPr>
        <w:shd w:val="clear" w:color="auto" w:fill="63D0DF" w:themeFill="accent3"/>
      </w:tcPr>
    </w:tblStylePr>
    <w:tblStylePr w:type="lastRow">
      <w:pPr>
        <w:spacing w:before="0" w:after="0" w:line="240" w:lineRule="auto"/>
      </w:pPr>
      <w:rPr>
        <w:b/>
        <w:bCs/>
      </w:rPr>
      <w:tblPr/>
      <w:tcPr>
        <w:tcBorders>
          <w:top w:val="double" w:sz="6" w:space="0" w:color="63D0DF" w:themeColor="accent3"/>
          <w:left w:val="single" w:sz="8" w:space="0" w:color="63D0DF" w:themeColor="accent3"/>
          <w:bottom w:val="single" w:sz="8" w:space="0" w:color="63D0DF" w:themeColor="accent3"/>
          <w:right w:val="single" w:sz="8" w:space="0" w:color="63D0DF" w:themeColor="accent3"/>
        </w:tcBorders>
      </w:tcPr>
    </w:tblStylePr>
    <w:tblStylePr w:type="firstCol">
      <w:rPr>
        <w:b/>
        <w:bCs/>
      </w:rPr>
    </w:tblStylePr>
    <w:tblStylePr w:type="lastCol">
      <w:rPr>
        <w:b/>
        <w:bCs/>
      </w:rPr>
    </w:tblStylePr>
    <w:tblStylePr w:type="band1Vert">
      <w:tblPr/>
      <w:tcPr>
        <w:tcBorders>
          <w:top w:val="single" w:sz="8" w:space="0" w:color="63D0DF" w:themeColor="accent3"/>
          <w:left w:val="single" w:sz="8" w:space="0" w:color="63D0DF" w:themeColor="accent3"/>
          <w:bottom w:val="single" w:sz="8" w:space="0" w:color="63D0DF" w:themeColor="accent3"/>
          <w:right w:val="single" w:sz="8" w:space="0" w:color="63D0DF" w:themeColor="accent3"/>
        </w:tcBorders>
      </w:tcPr>
    </w:tblStylePr>
    <w:tblStylePr w:type="band1Horz">
      <w:tblPr/>
      <w:tcPr>
        <w:tcBorders>
          <w:top w:val="single" w:sz="8" w:space="0" w:color="63D0DF" w:themeColor="accent3"/>
          <w:left w:val="single" w:sz="8" w:space="0" w:color="63D0DF" w:themeColor="accent3"/>
          <w:bottom w:val="single" w:sz="8" w:space="0" w:color="63D0DF" w:themeColor="accent3"/>
          <w:right w:val="single" w:sz="8" w:space="0" w:color="63D0DF" w:themeColor="accent3"/>
        </w:tcBorders>
      </w:tcPr>
    </w:tblStylePr>
  </w:style>
  <w:style w:type="table" w:styleId="LightList-Accent4">
    <w:name w:val="Light List Accent 4"/>
    <w:basedOn w:val="TableNormal"/>
    <w:uiPriority w:val="98"/>
    <w:semiHidden/>
    <w:unhideWhenUsed/>
    <w:rsid w:val="001F6DC1"/>
    <w:tblPr>
      <w:tblStyleRowBandSize w:val="1"/>
      <w:tblStyleColBandSize w:val="1"/>
      <w:tblBorders>
        <w:top w:val="single" w:sz="8" w:space="0" w:color="A1A1A1" w:themeColor="accent4"/>
        <w:left w:val="single" w:sz="8" w:space="0" w:color="A1A1A1" w:themeColor="accent4"/>
        <w:bottom w:val="single" w:sz="8" w:space="0" w:color="A1A1A1" w:themeColor="accent4"/>
        <w:right w:val="single" w:sz="8" w:space="0" w:color="A1A1A1" w:themeColor="accent4"/>
      </w:tblBorders>
    </w:tblPr>
    <w:tblStylePr w:type="firstRow">
      <w:pPr>
        <w:spacing w:before="0" w:after="0" w:line="240" w:lineRule="auto"/>
      </w:pPr>
      <w:rPr>
        <w:b/>
        <w:bCs/>
        <w:color w:val="FFFFFF" w:themeColor="background1"/>
      </w:rPr>
      <w:tblPr/>
      <w:tcPr>
        <w:shd w:val="clear" w:color="auto" w:fill="A1A1A1" w:themeFill="accent4"/>
      </w:tcPr>
    </w:tblStylePr>
    <w:tblStylePr w:type="lastRow">
      <w:pPr>
        <w:spacing w:before="0" w:after="0" w:line="240" w:lineRule="auto"/>
      </w:pPr>
      <w:rPr>
        <w:b/>
        <w:bCs/>
      </w:rPr>
      <w:tblPr/>
      <w:tcPr>
        <w:tcBorders>
          <w:top w:val="double" w:sz="6" w:space="0" w:color="A1A1A1" w:themeColor="accent4"/>
          <w:left w:val="single" w:sz="8" w:space="0" w:color="A1A1A1" w:themeColor="accent4"/>
          <w:bottom w:val="single" w:sz="8" w:space="0" w:color="A1A1A1" w:themeColor="accent4"/>
          <w:right w:val="single" w:sz="8" w:space="0" w:color="A1A1A1" w:themeColor="accent4"/>
        </w:tcBorders>
      </w:tcPr>
    </w:tblStylePr>
    <w:tblStylePr w:type="firstCol">
      <w:rPr>
        <w:b/>
        <w:bCs/>
      </w:rPr>
    </w:tblStylePr>
    <w:tblStylePr w:type="lastCol">
      <w:rPr>
        <w:b/>
        <w:bCs/>
      </w:rPr>
    </w:tblStylePr>
    <w:tblStylePr w:type="band1Vert">
      <w:tblPr/>
      <w:tcPr>
        <w:tcBorders>
          <w:top w:val="single" w:sz="8" w:space="0" w:color="A1A1A1" w:themeColor="accent4"/>
          <w:left w:val="single" w:sz="8" w:space="0" w:color="A1A1A1" w:themeColor="accent4"/>
          <w:bottom w:val="single" w:sz="8" w:space="0" w:color="A1A1A1" w:themeColor="accent4"/>
          <w:right w:val="single" w:sz="8" w:space="0" w:color="A1A1A1" w:themeColor="accent4"/>
        </w:tcBorders>
      </w:tcPr>
    </w:tblStylePr>
    <w:tblStylePr w:type="band1Horz">
      <w:tblPr/>
      <w:tcPr>
        <w:tcBorders>
          <w:top w:val="single" w:sz="8" w:space="0" w:color="A1A1A1" w:themeColor="accent4"/>
          <w:left w:val="single" w:sz="8" w:space="0" w:color="A1A1A1" w:themeColor="accent4"/>
          <w:bottom w:val="single" w:sz="8" w:space="0" w:color="A1A1A1" w:themeColor="accent4"/>
          <w:right w:val="single" w:sz="8" w:space="0" w:color="A1A1A1" w:themeColor="accent4"/>
        </w:tcBorders>
      </w:tcPr>
    </w:tblStylePr>
  </w:style>
  <w:style w:type="table" w:styleId="LightList-Accent5">
    <w:name w:val="Light List Accent 5"/>
    <w:basedOn w:val="TableNormal"/>
    <w:uiPriority w:val="98"/>
    <w:semiHidden/>
    <w:unhideWhenUsed/>
    <w:rsid w:val="001F6DC1"/>
    <w:tblPr>
      <w:tblStyleRowBandSize w:val="1"/>
      <w:tblStyleColBandSize w:val="1"/>
      <w:tblBorders>
        <w:top w:val="single" w:sz="8" w:space="0" w:color="63D0DF" w:themeColor="accent5"/>
        <w:left w:val="single" w:sz="8" w:space="0" w:color="63D0DF" w:themeColor="accent5"/>
        <w:bottom w:val="single" w:sz="8" w:space="0" w:color="63D0DF" w:themeColor="accent5"/>
        <w:right w:val="single" w:sz="8" w:space="0" w:color="63D0DF" w:themeColor="accent5"/>
      </w:tblBorders>
    </w:tblPr>
    <w:tblStylePr w:type="firstRow">
      <w:pPr>
        <w:spacing w:before="0" w:after="0" w:line="240" w:lineRule="auto"/>
      </w:pPr>
      <w:rPr>
        <w:b/>
        <w:bCs/>
        <w:color w:val="FFFFFF" w:themeColor="background1"/>
      </w:rPr>
      <w:tblPr/>
      <w:tcPr>
        <w:shd w:val="clear" w:color="auto" w:fill="63D0DF" w:themeFill="accent5"/>
      </w:tcPr>
    </w:tblStylePr>
    <w:tblStylePr w:type="lastRow">
      <w:pPr>
        <w:spacing w:before="0" w:after="0" w:line="240" w:lineRule="auto"/>
      </w:pPr>
      <w:rPr>
        <w:b/>
        <w:bCs/>
      </w:rPr>
      <w:tblPr/>
      <w:tcPr>
        <w:tcBorders>
          <w:top w:val="double" w:sz="6" w:space="0" w:color="63D0DF" w:themeColor="accent5"/>
          <w:left w:val="single" w:sz="8" w:space="0" w:color="63D0DF" w:themeColor="accent5"/>
          <w:bottom w:val="single" w:sz="8" w:space="0" w:color="63D0DF" w:themeColor="accent5"/>
          <w:right w:val="single" w:sz="8" w:space="0" w:color="63D0DF" w:themeColor="accent5"/>
        </w:tcBorders>
      </w:tcPr>
    </w:tblStylePr>
    <w:tblStylePr w:type="firstCol">
      <w:rPr>
        <w:b/>
        <w:bCs/>
      </w:rPr>
    </w:tblStylePr>
    <w:tblStylePr w:type="lastCol">
      <w:rPr>
        <w:b/>
        <w:bCs/>
      </w:rPr>
    </w:tblStylePr>
    <w:tblStylePr w:type="band1Vert">
      <w:tblPr/>
      <w:tcPr>
        <w:tcBorders>
          <w:top w:val="single" w:sz="8" w:space="0" w:color="63D0DF" w:themeColor="accent5"/>
          <w:left w:val="single" w:sz="8" w:space="0" w:color="63D0DF" w:themeColor="accent5"/>
          <w:bottom w:val="single" w:sz="8" w:space="0" w:color="63D0DF" w:themeColor="accent5"/>
          <w:right w:val="single" w:sz="8" w:space="0" w:color="63D0DF" w:themeColor="accent5"/>
        </w:tcBorders>
      </w:tcPr>
    </w:tblStylePr>
    <w:tblStylePr w:type="band1Horz">
      <w:tblPr/>
      <w:tcPr>
        <w:tcBorders>
          <w:top w:val="single" w:sz="8" w:space="0" w:color="63D0DF" w:themeColor="accent5"/>
          <w:left w:val="single" w:sz="8" w:space="0" w:color="63D0DF" w:themeColor="accent5"/>
          <w:bottom w:val="single" w:sz="8" w:space="0" w:color="63D0DF" w:themeColor="accent5"/>
          <w:right w:val="single" w:sz="8" w:space="0" w:color="63D0DF" w:themeColor="accent5"/>
        </w:tcBorders>
      </w:tcPr>
    </w:tblStylePr>
  </w:style>
  <w:style w:type="table" w:styleId="LightList-Accent6">
    <w:name w:val="Light List Accent 6"/>
    <w:basedOn w:val="TableNormal"/>
    <w:uiPriority w:val="98"/>
    <w:semiHidden/>
    <w:unhideWhenUsed/>
    <w:rsid w:val="001F6DC1"/>
    <w:tblPr>
      <w:tblStyleRowBandSize w:val="1"/>
      <w:tblStyleColBandSize w:val="1"/>
      <w:tblBorders>
        <w:top w:val="single" w:sz="8" w:space="0" w:color="A1A1A1" w:themeColor="accent6"/>
        <w:left w:val="single" w:sz="8" w:space="0" w:color="A1A1A1" w:themeColor="accent6"/>
        <w:bottom w:val="single" w:sz="8" w:space="0" w:color="A1A1A1" w:themeColor="accent6"/>
        <w:right w:val="single" w:sz="8" w:space="0" w:color="A1A1A1" w:themeColor="accent6"/>
      </w:tblBorders>
    </w:tblPr>
    <w:tblStylePr w:type="firstRow">
      <w:pPr>
        <w:spacing w:before="0" w:after="0" w:line="240" w:lineRule="auto"/>
      </w:pPr>
      <w:rPr>
        <w:b/>
        <w:bCs/>
        <w:color w:val="FFFFFF" w:themeColor="background1"/>
      </w:rPr>
      <w:tblPr/>
      <w:tcPr>
        <w:shd w:val="clear" w:color="auto" w:fill="A1A1A1" w:themeFill="accent6"/>
      </w:tcPr>
    </w:tblStylePr>
    <w:tblStylePr w:type="lastRow">
      <w:pPr>
        <w:spacing w:before="0" w:after="0" w:line="240" w:lineRule="auto"/>
      </w:pPr>
      <w:rPr>
        <w:b/>
        <w:bCs/>
      </w:rPr>
      <w:tblPr/>
      <w:tcPr>
        <w:tcBorders>
          <w:top w:val="double" w:sz="6" w:space="0" w:color="A1A1A1" w:themeColor="accent6"/>
          <w:left w:val="single" w:sz="8" w:space="0" w:color="A1A1A1" w:themeColor="accent6"/>
          <w:bottom w:val="single" w:sz="8" w:space="0" w:color="A1A1A1" w:themeColor="accent6"/>
          <w:right w:val="single" w:sz="8" w:space="0" w:color="A1A1A1" w:themeColor="accent6"/>
        </w:tcBorders>
      </w:tcPr>
    </w:tblStylePr>
    <w:tblStylePr w:type="firstCol">
      <w:rPr>
        <w:b/>
        <w:bCs/>
      </w:rPr>
    </w:tblStylePr>
    <w:tblStylePr w:type="lastCol">
      <w:rPr>
        <w:b/>
        <w:bCs/>
      </w:rPr>
    </w:tblStylePr>
    <w:tblStylePr w:type="band1Vert">
      <w:tblPr/>
      <w:tcPr>
        <w:tcBorders>
          <w:top w:val="single" w:sz="8" w:space="0" w:color="A1A1A1" w:themeColor="accent6"/>
          <w:left w:val="single" w:sz="8" w:space="0" w:color="A1A1A1" w:themeColor="accent6"/>
          <w:bottom w:val="single" w:sz="8" w:space="0" w:color="A1A1A1" w:themeColor="accent6"/>
          <w:right w:val="single" w:sz="8" w:space="0" w:color="A1A1A1" w:themeColor="accent6"/>
        </w:tcBorders>
      </w:tcPr>
    </w:tblStylePr>
    <w:tblStylePr w:type="band1Horz">
      <w:tblPr/>
      <w:tcPr>
        <w:tcBorders>
          <w:top w:val="single" w:sz="8" w:space="0" w:color="A1A1A1" w:themeColor="accent6"/>
          <w:left w:val="single" w:sz="8" w:space="0" w:color="A1A1A1" w:themeColor="accent6"/>
          <w:bottom w:val="single" w:sz="8" w:space="0" w:color="A1A1A1" w:themeColor="accent6"/>
          <w:right w:val="single" w:sz="8" w:space="0" w:color="A1A1A1" w:themeColor="accent6"/>
        </w:tcBorders>
      </w:tcPr>
    </w:tblStylePr>
  </w:style>
  <w:style w:type="table" w:styleId="LightShading">
    <w:name w:val="Light Shading"/>
    <w:basedOn w:val="TableNormal"/>
    <w:uiPriority w:val="98"/>
    <w:semiHidden/>
    <w:unhideWhenUsed/>
    <w:rsid w:val="001F6DC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semiHidden/>
    <w:unhideWhenUsed/>
    <w:rsid w:val="001F6DC1"/>
    <w:rPr>
      <w:color w:val="29B4C7" w:themeColor="accent1" w:themeShade="BF"/>
    </w:rPr>
    <w:tblPr>
      <w:tblStyleRowBandSize w:val="1"/>
      <w:tblStyleColBandSize w:val="1"/>
      <w:tblBorders>
        <w:top w:val="single" w:sz="8" w:space="0" w:color="63D0DF" w:themeColor="accent1"/>
        <w:bottom w:val="single" w:sz="8" w:space="0" w:color="63D0DF" w:themeColor="accent1"/>
      </w:tblBorders>
    </w:tblPr>
    <w:tblStylePr w:type="firstRow">
      <w:pPr>
        <w:spacing w:before="0" w:after="0" w:line="240" w:lineRule="auto"/>
      </w:pPr>
      <w:rPr>
        <w:b/>
        <w:bCs/>
      </w:rPr>
      <w:tblPr/>
      <w:tcPr>
        <w:tcBorders>
          <w:top w:val="single" w:sz="8" w:space="0" w:color="63D0DF" w:themeColor="accent1"/>
          <w:left w:val="nil"/>
          <w:bottom w:val="single" w:sz="8" w:space="0" w:color="63D0DF" w:themeColor="accent1"/>
          <w:right w:val="nil"/>
          <w:insideH w:val="nil"/>
          <w:insideV w:val="nil"/>
        </w:tcBorders>
      </w:tcPr>
    </w:tblStylePr>
    <w:tblStylePr w:type="lastRow">
      <w:pPr>
        <w:spacing w:before="0" w:after="0" w:line="240" w:lineRule="auto"/>
      </w:pPr>
      <w:rPr>
        <w:b/>
        <w:bCs/>
      </w:rPr>
      <w:tblPr/>
      <w:tcPr>
        <w:tcBorders>
          <w:top w:val="single" w:sz="8" w:space="0" w:color="63D0DF" w:themeColor="accent1"/>
          <w:left w:val="nil"/>
          <w:bottom w:val="single" w:sz="8" w:space="0" w:color="63D0D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F3F7" w:themeFill="accent1" w:themeFillTint="3F"/>
      </w:tcPr>
    </w:tblStylePr>
    <w:tblStylePr w:type="band1Horz">
      <w:tblPr/>
      <w:tcPr>
        <w:tcBorders>
          <w:left w:val="nil"/>
          <w:right w:val="nil"/>
          <w:insideH w:val="nil"/>
          <w:insideV w:val="nil"/>
        </w:tcBorders>
        <w:shd w:val="clear" w:color="auto" w:fill="D8F3F7" w:themeFill="accent1" w:themeFillTint="3F"/>
      </w:tcPr>
    </w:tblStylePr>
  </w:style>
  <w:style w:type="table" w:styleId="LightShading-Accent2">
    <w:name w:val="Light Shading Accent 2"/>
    <w:basedOn w:val="TableNormal"/>
    <w:uiPriority w:val="98"/>
    <w:semiHidden/>
    <w:unhideWhenUsed/>
    <w:rsid w:val="001F6DC1"/>
    <w:rPr>
      <w:color w:val="959597" w:themeColor="accent2" w:themeShade="BF"/>
    </w:rPr>
    <w:tblPr>
      <w:tblStyleRowBandSize w:val="1"/>
      <w:tblStyleColBandSize w:val="1"/>
      <w:tblBorders>
        <w:top w:val="single" w:sz="8" w:space="0" w:color="C9C9CA" w:themeColor="accent2"/>
        <w:bottom w:val="single" w:sz="8" w:space="0" w:color="C9C9CA" w:themeColor="accent2"/>
      </w:tblBorders>
    </w:tblPr>
    <w:tblStylePr w:type="firstRow">
      <w:pPr>
        <w:spacing w:before="0" w:after="0" w:line="240" w:lineRule="auto"/>
      </w:pPr>
      <w:rPr>
        <w:b/>
        <w:bCs/>
      </w:rPr>
      <w:tblPr/>
      <w:tcPr>
        <w:tcBorders>
          <w:top w:val="single" w:sz="8" w:space="0" w:color="C9C9CA" w:themeColor="accent2"/>
          <w:left w:val="nil"/>
          <w:bottom w:val="single" w:sz="8" w:space="0" w:color="C9C9CA" w:themeColor="accent2"/>
          <w:right w:val="nil"/>
          <w:insideH w:val="nil"/>
          <w:insideV w:val="nil"/>
        </w:tcBorders>
      </w:tcPr>
    </w:tblStylePr>
    <w:tblStylePr w:type="lastRow">
      <w:pPr>
        <w:spacing w:before="0" w:after="0" w:line="240" w:lineRule="auto"/>
      </w:pPr>
      <w:rPr>
        <w:b/>
        <w:bCs/>
      </w:rPr>
      <w:tblPr/>
      <w:tcPr>
        <w:tcBorders>
          <w:top w:val="single" w:sz="8" w:space="0" w:color="C9C9CA" w:themeColor="accent2"/>
          <w:left w:val="nil"/>
          <w:bottom w:val="single" w:sz="8" w:space="0" w:color="C9C9C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F1F1" w:themeFill="accent2" w:themeFillTint="3F"/>
      </w:tcPr>
    </w:tblStylePr>
    <w:tblStylePr w:type="band1Horz">
      <w:tblPr/>
      <w:tcPr>
        <w:tcBorders>
          <w:left w:val="nil"/>
          <w:right w:val="nil"/>
          <w:insideH w:val="nil"/>
          <w:insideV w:val="nil"/>
        </w:tcBorders>
        <w:shd w:val="clear" w:color="auto" w:fill="F1F1F1" w:themeFill="accent2" w:themeFillTint="3F"/>
      </w:tcPr>
    </w:tblStylePr>
  </w:style>
  <w:style w:type="table" w:styleId="LightShading-Accent3">
    <w:name w:val="Light Shading Accent 3"/>
    <w:basedOn w:val="TableNormal"/>
    <w:uiPriority w:val="98"/>
    <w:semiHidden/>
    <w:unhideWhenUsed/>
    <w:rsid w:val="001F6DC1"/>
    <w:rPr>
      <w:color w:val="29B4C7" w:themeColor="accent3" w:themeShade="BF"/>
    </w:rPr>
    <w:tblPr>
      <w:tblStyleRowBandSize w:val="1"/>
      <w:tblStyleColBandSize w:val="1"/>
      <w:tblBorders>
        <w:top w:val="single" w:sz="8" w:space="0" w:color="63D0DF" w:themeColor="accent3"/>
        <w:bottom w:val="single" w:sz="8" w:space="0" w:color="63D0DF" w:themeColor="accent3"/>
      </w:tblBorders>
    </w:tblPr>
    <w:tblStylePr w:type="firstRow">
      <w:pPr>
        <w:spacing w:before="0" w:after="0" w:line="240" w:lineRule="auto"/>
      </w:pPr>
      <w:rPr>
        <w:b/>
        <w:bCs/>
      </w:rPr>
      <w:tblPr/>
      <w:tcPr>
        <w:tcBorders>
          <w:top w:val="single" w:sz="8" w:space="0" w:color="63D0DF" w:themeColor="accent3"/>
          <w:left w:val="nil"/>
          <w:bottom w:val="single" w:sz="8" w:space="0" w:color="63D0DF" w:themeColor="accent3"/>
          <w:right w:val="nil"/>
          <w:insideH w:val="nil"/>
          <w:insideV w:val="nil"/>
        </w:tcBorders>
      </w:tcPr>
    </w:tblStylePr>
    <w:tblStylePr w:type="lastRow">
      <w:pPr>
        <w:spacing w:before="0" w:after="0" w:line="240" w:lineRule="auto"/>
      </w:pPr>
      <w:rPr>
        <w:b/>
        <w:bCs/>
      </w:rPr>
      <w:tblPr/>
      <w:tcPr>
        <w:tcBorders>
          <w:top w:val="single" w:sz="8" w:space="0" w:color="63D0DF" w:themeColor="accent3"/>
          <w:left w:val="nil"/>
          <w:bottom w:val="single" w:sz="8" w:space="0" w:color="63D0D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F3F7" w:themeFill="accent3" w:themeFillTint="3F"/>
      </w:tcPr>
    </w:tblStylePr>
    <w:tblStylePr w:type="band1Horz">
      <w:tblPr/>
      <w:tcPr>
        <w:tcBorders>
          <w:left w:val="nil"/>
          <w:right w:val="nil"/>
          <w:insideH w:val="nil"/>
          <w:insideV w:val="nil"/>
        </w:tcBorders>
        <w:shd w:val="clear" w:color="auto" w:fill="D8F3F7" w:themeFill="accent3" w:themeFillTint="3F"/>
      </w:tcPr>
    </w:tblStylePr>
  </w:style>
  <w:style w:type="table" w:styleId="LightShading-Accent4">
    <w:name w:val="Light Shading Accent 4"/>
    <w:basedOn w:val="TableNormal"/>
    <w:uiPriority w:val="98"/>
    <w:semiHidden/>
    <w:unhideWhenUsed/>
    <w:rsid w:val="001F6DC1"/>
    <w:rPr>
      <w:color w:val="787878" w:themeColor="accent4" w:themeShade="BF"/>
    </w:rPr>
    <w:tblPr>
      <w:tblStyleRowBandSize w:val="1"/>
      <w:tblStyleColBandSize w:val="1"/>
      <w:tblBorders>
        <w:top w:val="single" w:sz="8" w:space="0" w:color="A1A1A1" w:themeColor="accent4"/>
        <w:bottom w:val="single" w:sz="8" w:space="0" w:color="A1A1A1" w:themeColor="accent4"/>
      </w:tblBorders>
    </w:tblPr>
    <w:tblStylePr w:type="firstRow">
      <w:pPr>
        <w:spacing w:before="0" w:after="0" w:line="240" w:lineRule="auto"/>
      </w:pPr>
      <w:rPr>
        <w:b/>
        <w:bCs/>
      </w:rPr>
      <w:tblPr/>
      <w:tcPr>
        <w:tcBorders>
          <w:top w:val="single" w:sz="8" w:space="0" w:color="A1A1A1" w:themeColor="accent4"/>
          <w:left w:val="nil"/>
          <w:bottom w:val="single" w:sz="8" w:space="0" w:color="A1A1A1" w:themeColor="accent4"/>
          <w:right w:val="nil"/>
          <w:insideH w:val="nil"/>
          <w:insideV w:val="nil"/>
        </w:tcBorders>
      </w:tcPr>
    </w:tblStylePr>
    <w:tblStylePr w:type="lastRow">
      <w:pPr>
        <w:spacing w:before="0" w:after="0" w:line="240" w:lineRule="auto"/>
      </w:pPr>
      <w:rPr>
        <w:b/>
        <w:bCs/>
      </w:rPr>
      <w:tblPr/>
      <w:tcPr>
        <w:tcBorders>
          <w:top w:val="single" w:sz="8" w:space="0" w:color="A1A1A1" w:themeColor="accent4"/>
          <w:left w:val="nil"/>
          <w:bottom w:val="single" w:sz="8" w:space="0" w:color="A1A1A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7E7" w:themeFill="accent4" w:themeFillTint="3F"/>
      </w:tcPr>
    </w:tblStylePr>
    <w:tblStylePr w:type="band1Horz">
      <w:tblPr/>
      <w:tcPr>
        <w:tcBorders>
          <w:left w:val="nil"/>
          <w:right w:val="nil"/>
          <w:insideH w:val="nil"/>
          <w:insideV w:val="nil"/>
        </w:tcBorders>
        <w:shd w:val="clear" w:color="auto" w:fill="E7E7E7" w:themeFill="accent4" w:themeFillTint="3F"/>
      </w:tcPr>
    </w:tblStylePr>
  </w:style>
  <w:style w:type="table" w:styleId="LightShading-Accent5">
    <w:name w:val="Light Shading Accent 5"/>
    <w:basedOn w:val="TableNormal"/>
    <w:uiPriority w:val="98"/>
    <w:semiHidden/>
    <w:unhideWhenUsed/>
    <w:rsid w:val="001F6DC1"/>
    <w:rPr>
      <w:color w:val="29B4C7" w:themeColor="accent5" w:themeShade="BF"/>
    </w:rPr>
    <w:tblPr>
      <w:tblStyleRowBandSize w:val="1"/>
      <w:tblStyleColBandSize w:val="1"/>
      <w:tblBorders>
        <w:top w:val="single" w:sz="8" w:space="0" w:color="63D0DF" w:themeColor="accent5"/>
        <w:bottom w:val="single" w:sz="8" w:space="0" w:color="63D0DF" w:themeColor="accent5"/>
      </w:tblBorders>
    </w:tblPr>
    <w:tblStylePr w:type="firstRow">
      <w:pPr>
        <w:spacing w:before="0" w:after="0" w:line="240" w:lineRule="auto"/>
      </w:pPr>
      <w:rPr>
        <w:b/>
        <w:bCs/>
      </w:rPr>
      <w:tblPr/>
      <w:tcPr>
        <w:tcBorders>
          <w:top w:val="single" w:sz="8" w:space="0" w:color="63D0DF" w:themeColor="accent5"/>
          <w:left w:val="nil"/>
          <w:bottom w:val="single" w:sz="8" w:space="0" w:color="63D0DF" w:themeColor="accent5"/>
          <w:right w:val="nil"/>
          <w:insideH w:val="nil"/>
          <w:insideV w:val="nil"/>
        </w:tcBorders>
      </w:tcPr>
    </w:tblStylePr>
    <w:tblStylePr w:type="lastRow">
      <w:pPr>
        <w:spacing w:before="0" w:after="0" w:line="240" w:lineRule="auto"/>
      </w:pPr>
      <w:rPr>
        <w:b/>
        <w:bCs/>
      </w:rPr>
      <w:tblPr/>
      <w:tcPr>
        <w:tcBorders>
          <w:top w:val="single" w:sz="8" w:space="0" w:color="63D0DF" w:themeColor="accent5"/>
          <w:left w:val="nil"/>
          <w:bottom w:val="single" w:sz="8" w:space="0" w:color="63D0D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F3F7" w:themeFill="accent5" w:themeFillTint="3F"/>
      </w:tcPr>
    </w:tblStylePr>
    <w:tblStylePr w:type="band1Horz">
      <w:tblPr/>
      <w:tcPr>
        <w:tcBorders>
          <w:left w:val="nil"/>
          <w:right w:val="nil"/>
          <w:insideH w:val="nil"/>
          <w:insideV w:val="nil"/>
        </w:tcBorders>
        <w:shd w:val="clear" w:color="auto" w:fill="D8F3F7" w:themeFill="accent5" w:themeFillTint="3F"/>
      </w:tcPr>
    </w:tblStylePr>
  </w:style>
  <w:style w:type="table" w:styleId="LightShading-Accent6">
    <w:name w:val="Light Shading Accent 6"/>
    <w:basedOn w:val="TableNormal"/>
    <w:uiPriority w:val="98"/>
    <w:semiHidden/>
    <w:unhideWhenUsed/>
    <w:rsid w:val="001F6DC1"/>
    <w:rPr>
      <w:color w:val="787878" w:themeColor="accent6" w:themeShade="BF"/>
    </w:rPr>
    <w:tblPr>
      <w:tblStyleRowBandSize w:val="1"/>
      <w:tblStyleColBandSize w:val="1"/>
      <w:tblBorders>
        <w:top w:val="single" w:sz="8" w:space="0" w:color="A1A1A1" w:themeColor="accent6"/>
        <w:bottom w:val="single" w:sz="8" w:space="0" w:color="A1A1A1" w:themeColor="accent6"/>
      </w:tblBorders>
    </w:tblPr>
    <w:tblStylePr w:type="firstRow">
      <w:pPr>
        <w:spacing w:before="0" w:after="0" w:line="240" w:lineRule="auto"/>
      </w:pPr>
      <w:rPr>
        <w:b/>
        <w:bCs/>
      </w:rPr>
      <w:tblPr/>
      <w:tcPr>
        <w:tcBorders>
          <w:top w:val="single" w:sz="8" w:space="0" w:color="A1A1A1" w:themeColor="accent6"/>
          <w:left w:val="nil"/>
          <w:bottom w:val="single" w:sz="8" w:space="0" w:color="A1A1A1" w:themeColor="accent6"/>
          <w:right w:val="nil"/>
          <w:insideH w:val="nil"/>
          <w:insideV w:val="nil"/>
        </w:tcBorders>
      </w:tcPr>
    </w:tblStylePr>
    <w:tblStylePr w:type="lastRow">
      <w:pPr>
        <w:spacing w:before="0" w:after="0" w:line="240" w:lineRule="auto"/>
      </w:pPr>
      <w:rPr>
        <w:b/>
        <w:bCs/>
      </w:rPr>
      <w:tblPr/>
      <w:tcPr>
        <w:tcBorders>
          <w:top w:val="single" w:sz="8" w:space="0" w:color="A1A1A1" w:themeColor="accent6"/>
          <w:left w:val="nil"/>
          <w:bottom w:val="single" w:sz="8" w:space="0" w:color="A1A1A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7E7" w:themeFill="accent6" w:themeFillTint="3F"/>
      </w:tcPr>
    </w:tblStylePr>
    <w:tblStylePr w:type="band1Horz">
      <w:tblPr/>
      <w:tcPr>
        <w:tcBorders>
          <w:left w:val="nil"/>
          <w:right w:val="nil"/>
          <w:insideH w:val="nil"/>
          <w:insideV w:val="nil"/>
        </w:tcBorders>
        <w:shd w:val="clear" w:color="auto" w:fill="E7E7E7" w:themeFill="accent6" w:themeFillTint="3F"/>
      </w:tcPr>
    </w:tblStylePr>
  </w:style>
  <w:style w:type="table" w:styleId="ListTable7Colorful-Accent6">
    <w:name w:val="List Table 7 Colorful Accent 6"/>
    <w:basedOn w:val="TableNormal"/>
    <w:uiPriority w:val="98"/>
    <w:semiHidden/>
    <w:rsid w:val="001F6DC1"/>
    <w:rPr>
      <w:color w:val="78787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1A1A1"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1A1A1"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1A1A1"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1A1A1" w:themeColor="accent6"/>
        </w:tcBorders>
        <w:shd w:val="clear" w:color="auto" w:fill="FFFFFF" w:themeFill="background1"/>
      </w:tcPr>
    </w:tblStylePr>
    <w:tblStylePr w:type="band1Vert">
      <w:tblPr/>
      <w:tcPr>
        <w:shd w:val="clear" w:color="auto" w:fill="ECECEC" w:themeFill="accent6" w:themeFillTint="33"/>
      </w:tcPr>
    </w:tblStylePr>
    <w:tblStylePr w:type="band1Horz">
      <w:tblPr/>
      <w:tcPr>
        <w:shd w:val="clear" w:color="auto" w:fill="ECECE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98"/>
    <w:semiHidden/>
    <w:unhideWhenUsed/>
    <w:rsid w:val="001F6DC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semiHidden/>
    <w:unhideWhenUsed/>
    <w:rsid w:val="001F6DC1"/>
    <w:tblPr>
      <w:tblStyleRowBandSize w:val="1"/>
      <w:tblStyleColBandSize w:val="1"/>
      <w:tblBorders>
        <w:top w:val="single" w:sz="8" w:space="0" w:color="8ADBE7" w:themeColor="accent1" w:themeTint="BF"/>
        <w:left w:val="single" w:sz="8" w:space="0" w:color="8ADBE7" w:themeColor="accent1" w:themeTint="BF"/>
        <w:bottom w:val="single" w:sz="8" w:space="0" w:color="8ADBE7" w:themeColor="accent1" w:themeTint="BF"/>
        <w:right w:val="single" w:sz="8" w:space="0" w:color="8ADBE7" w:themeColor="accent1" w:themeTint="BF"/>
        <w:insideH w:val="single" w:sz="8" w:space="0" w:color="8ADBE7" w:themeColor="accent1" w:themeTint="BF"/>
        <w:insideV w:val="single" w:sz="8" w:space="0" w:color="8ADBE7" w:themeColor="accent1" w:themeTint="BF"/>
      </w:tblBorders>
    </w:tblPr>
    <w:tcPr>
      <w:shd w:val="clear" w:color="auto" w:fill="D8F3F7" w:themeFill="accent1" w:themeFillTint="3F"/>
    </w:tcPr>
    <w:tblStylePr w:type="firstRow">
      <w:rPr>
        <w:b/>
        <w:bCs/>
      </w:rPr>
    </w:tblStylePr>
    <w:tblStylePr w:type="lastRow">
      <w:rPr>
        <w:b/>
        <w:bCs/>
      </w:rPr>
      <w:tblPr/>
      <w:tcPr>
        <w:tcBorders>
          <w:top w:val="single" w:sz="18" w:space="0" w:color="8ADBE7" w:themeColor="accent1" w:themeTint="BF"/>
        </w:tcBorders>
      </w:tcPr>
    </w:tblStylePr>
    <w:tblStylePr w:type="firstCol">
      <w:rPr>
        <w:b/>
        <w:bCs/>
      </w:rPr>
    </w:tblStylePr>
    <w:tblStylePr w:type="lastCol">
      <w:rPr>
        <w:b/>
        <w:bCs/>
      </w:rPr>
    </w:tblStylePr>
    <w:tblStylePr w:type="band1Vert">
      <w:tblPr/>
      <w:tcPr>
        <w:shd w:val="clear" w:color="auto" w:fill="B1E7EF" w:themeFill="accent1" w:themeFillTint="7F"/>
      </w:tcPr>
    </w:tblStylePr>
    <w:tblStylePr w:type="band1Horz">
      <w:tblPr/>
      <w:tcPr>
        <w:shd w:val="clear" w:color="auto" w:fill="B1E7EF" w:themeFill="accent1" w:themeFillTint="7F"/>
      </w:tcPr>
    </w:tblStylePr>
  </w:style>
  <w:style w:type="table" w:styleId="MediumGrid1-Accent2">
    <w:name w:val="Medium Grid 1 Accent 2"/>
    <w:basedOn w:val="TableNormal"/>
    <w:uiPriority w:val="98"/>
    <w:semiHidden/>
    <w:unhideWhenUsed/>
    <w:rsid w:val="001F6DC1"/>
    <w:tblPr>
      <w:tblStyleRowBandSize w:val="1"/>
      <w:tblStyleColBandSize w:val="1"/>
      <w:tblBorders>
        <w:top w:val="single" w:sz="8" w:space="0" w:color="D6D6D7" w:themeColor="accent2" w:themeTint="BF"/>
        <w:left w:val="single" w:sz="8" w:space="0" w:color="D6D6D7" w:themeColor="accent2" w:themeTint="BF"/>
        <w:bottom w:val="single" w:sz="8" w:space="0" w:color="D6D6D7" w:themeColor="accent2" w:themeTint="BF"/>
        <w:right w:val="single" w:sz="8" w:space="0" w:color="D6D6D7" w:themeColor="accent2" w:themeTint="BF"/>
        <w:insideH w:val="single" w:sz="8" w:space="0" w:color="D6D6D7" w:themeColor="accent2" w:themeTint="BF"/>
        <w:insideV w:val="single" w:sz="8" w:space="0" w:color="D6D6D7" w:themeColor="accent2" w:themeTint="BF"/>
      </w:tblBorders>
    </w:tblPr>
    <w:tcPr>
      <w:shd w:val="clear" w:color="auto" w:fill="F1F1F1" w:themeFill="accent2" w:themeFillTint="3F"/>
    </w:tcPr>
    <w:tblStylePr w:type="firstRow">
      <w:rPr>
        <w:b/>
        <w:bCs/>
      </w:rPr>
    </w:tblStylePr>
    <w:tblStylePr w:type="lastRow">
      <w:rPr>
        <w:b/>
        <w:bCs/>
      </w:rPr>
      <w:tblPr/>
      <w:tcPr>
        <w:tcBorders>
          <w:top w:val="single" w:sz="18" w:space="0" w:color="D6D6D7" w:themeColor="accent2" w:themeTint="BF"/>
        </w:tcBorders>
      </w:tcPr>
    </w:tblStylePr>
    <w:tblStylePr w:type="firstCol">
      <w:rPr>
        <w:b/>
        <w:bCs/>
      </w:rPr>
    </w:tblStylePr>
    <w:tblStylePr w:type="lastCol">
      <w:rPr>
        <w:b/>
        <w:bCs/>
      </w:rPr>
    </w:tblStylePr>
    <w:tblStylePr w:type="band1Vert">
      <w:tblPr/>
      <w:tcPr>
        <w:shd w:val="clear" w:color="auto" w:fill="E4E4E4" w:themeFill="accent2" w:themeFillTint="7F"/>
      </w:tcPr>
    </w:tblStylePr>
    <w:tblStylePr w:type="band1Horz">
      <w:tblPr/>
      <w:tcPr>
        <w:shd w:val="clear" w:color="auto" w:fill="E4E4E4" w:themeFill="accent2" w:themeFillTint="7F"/>
      </w:tcPr>
    </w:tblStylePr>
  </w:style>
  <w:style w:type="table" w:styleId="MediumGrid1-Accent3">
    <w:name w:val="Medium Grid 1 Accent 3"/>
    <w:basedOn w:val="TableNormal"/>
    <w:uiPriority w:val="98"/>
    <w:semiHidden/>
    <w:unhideWhenUsed/>
    <w:rsid w:val="001F6DC1"/>
    <w:tblPr>
      <w:tblStyleRowBandSize w:val="1"/>
      <w:tblStyleColBandSize w:val="1"/>
      <w:tblBorders>
        <w:top w:val="single" w:sz="8" w:space="0" w:color="8ADBE7" w:themeColor="accent3" w:themeTint="BF"/>
        <w:left w:val="single" w:sz="8" w:space="0" w:color="8ADBE7" w:themeColor="accent3" w:themeTint="BF"/>
        <w:bottom w:val="single" w:sz="8" w:space="0" w:color="8ADBE7" w:themeColor="accent3" w:themeTint="BF"/>
        <w:right w:val="single" w:sz="8" w:space="0" w:color="8ADBE7" w:themeColor="accent3" w:themeTint="BF"/>
        <w:insideH w:val="single" w:sz="8" w:space="0" w:color="8ADBE7" w:themeColor="accent3" w:themeTint="BF"/>
        <w:insideV w:val="single" w:sz="8" w:space="0" w:color="8ADBE7" w:themeColor="accent3" w:themeTint="BF"/>
      </w:tblBorders>
    </w:tblPr>
    <w:tcPr>
      <w:shd w:val="clear" w:color="auto" w:fill="D8F3F7" w:themeFill="accent3" w:themeFillTint="3F"/>
    </w:tcPr>
    <w:tblStylePr w:type="firstRow">
      <w:rPr>
        <w:b/>
        <w:bCs/>
      </w:rPr>
    </w:tblStylePr>
    <w:tblStylePr w:type="lastRow">
      <w:rPr>
        <w:b/>
        <w:bCs/>
      </w:rPr>
      <w:tblPr/>
      <w:tcPr>
        <w:tcBorders>
          <w:top w:val="single" w:sz="18" w:space="0" w:color="8ADBE7" w:themeColor="accent3" w:themeTint="BF"/>
        </w:tcBorders>
      </w:tcPr>
    </w:tblStylePr>
    <w:tblStylePr w:type="firstCol">
      <w:rPr>
        <w:b/>
        <w:bCs/>
      </w:rPr>
    </w:tblStylePr>
    <w:tblStylePr w:type="lastCol">
      <w:rPr>
        <w:b/>
        <w:bCs/>
      </w:rPr>
    </w:tblStylePr>
    <w:tblStylePr w:type="band1Vert">
      <w:tblPr/>
      <w:tcPr>
        <w:shd w:val="clear" w:color="auto" w:fill="B1E7EF" w:themeFill="accent3" w:themeFillTint="7F"/>
      </w:tcPr>
    </w:tblStylePr>
    <w:tblStylePr w:type="band1Horz">
      <w:tblPr/>
      <w:tcPr>
        <w:shd w:val="clear" w:color="auto" w:fill="B1E7EF" w:themeFill="accent3" w:themeFillTint="7F"/>
      </w:tcPr>
    </w:tblStylePr>
  </w:style>
  <w:style w:type="table" w:styleId="MediumGrid1-Accent4">
    <w:name w:val="Medium Grid 1 Accent 4"/>
    <w:basedOn w:val="TableNormal"/>
    <w:uiPriority w:val="98"/>
    <w:semiHidden/>
    <w:unhideWhenUsed/>
    <w:rsid w:val="001F6DC1"/>
    <w:tblPr>
      <w:tblStyleRowBandSize w:val="1"/>
      <w:tblStyleColBandSize w:val="1"/>
      <w:tblBorders>
        <w:top w:val="single" w:sz="8" w:space="0" w:color="B8B8B8" w:themeColor="accent4" w:themeTint="BF"/>
        <w:left w:val="single" w:sz="8" w:space="0" w:color="B8B8B8" w:themeColor="accent4" w:themeTint="BF"/>
        <w:bottom w:val="single" w:sz="8" w:space="0" w:color="B8B8B8" w:themeColor="accent4" w:themeTint="BF"/>
        <w:right w:val="single" w:sz="8" w:space="0" w:color="B8B8B8" w:themeColor="accent4" w:themeTint="BF"/>
        <w:insideH w:val="single" w:sz="8" w:space="0" w:color="B8B8B8" w:themeColor="accent4" w:themeTint="BF"/>
        <w:insideV w:val="single" w:sz="8" w:space="0" w:color="B8B8B8" w:themeColor="accent4" w:themeTint="BF"/>
      </w:tblBorders>
    </w:tblPr>
    <w:tcPr>
      <w:shd w:val="clear" w:color="auto" w:fill="E7E7E7" w:themeFill="accent4" w:themeFillTint="3F"/>
    </w:tcPr>
    <w:tblStylePr w:type="firstRow">
      <w:rPr>
        <w:b/>
        <w:bCs/>
      </w:rPr>
    </w:tblStylePr>
    <w:tblStylePr w:type="lastRow">
      <w:rPr>
        <w:b/>
        <w:bCs/>
      </w:rPr>
      <w:tblPr/>
      <w:tcPr>
        <w:tcBorders>
          <w:top w:val="single" w:sz="18" w:space="0" w:color="B8B8B8" w:themeColor="accent4" w:themeTint="BF"/>
        </w:tcBorders>
      </w:tcPr>
    </w:tblStylePr>
    <w:tblStylePr w:type="firstCol">
      <w:rPr>
        <w:b/>
        <w:bCs/>
      </w:rPr>
    </w:tblStylePr>
    <w:tblStylePr w:type="lastCol">
      <w:rPr>
        <w:b/>
        <w:bCs/>
      </w:rPr>
    </w:tblStylePr>
    <w:tblStylePr w:type="band1Vert">
      <w:tblPr/>
      <w:tcPr>
        <w:shd w:val="clear" w:color="auto" w:fill="D0D0D0" w:themeFill="accent4" w:themeFillTint="7F"/>
      </w:tcPr>
    </w:tblStylePr>
    <w:tblStylePr w:type="band1Horz">
      <w:tblPr/>
      <w:tcPr>
        <w:shd w:val="clear" w:color="auto" w:fill="D0D0D0" w:themeFill="accent4" w:themeFillTint="7F"/>
      </w:tcPr>
    </w:tblStylePr>
  </w:style>
  <w:style w:type="table" w:styleId="MediumGrid1-Accent5">
    <w:name w:val="Medium Grid 1 Accent 5"/>
    <w:basedOn w:val="TableNormal"/>
    <w:uiPriority w:val="98"/>
    <w:semiHidden/>
    <w:unhideWhenUsed/>
    <w:rsid w:val="001F6DC1"/>
    <w:tblPr>
      <w:tblStyleRowBandSize w:val="1"/>
      <w:tblStyleColBandSize w:val="1"/>
      <w:tblBorders>
        <w:top w:val="single" w:sz="8" w:space="0" w:color="8ADBE7" w:themeColor="accent5" w:themeTint="BF"/>
        <w:left w:val="single" w:sz="8" w:space="0" w:color="8ADBE7" w:themeColor="accent5" w:themeTint="BF"/>
        <w:bottom w:val="single" w:sz="8" w:space="0" w:color="8ADBE7" w:themeColor="accent5" w:themeTint="BF"/>
        <w:right w:val="single" w:sz="8" w:space="0" w:color="8ADBE7" w:themeColor="accent5" w:themeTint="BF"/>
        <w:insideH w:val="single" w:sz="8" w:space="0" w:color="8ADBE7" w:themeColor="accent5" w:themeTint="BF"/>
        <w:insideV w:val="single" w:sz="8" w:space="0" w:color="8ADBE7" w:themeColor="accent5" w:themeTint="BF"/>
      </w:tblBorders>
    </w:tblPr>
    <w:tcPr>
      <w:shd w:val="clear" w:color="auto" w:fill="D8F3F7" w:themeFill="accent5" w:themeFillTint="3F"/>
    </w:tcPr>
    <w:tblStylePr w:type="firstRow">
      <w:rPr>
        <w:b/>
        <w:bCs/>
      </w:rPr>
    </w:tblStylePr>
    <w:tblStylePr w:type="lastRow">
      <w:rPr>
        <w:b/>
        <w:bCs/>
      </w:rPr>
      <w:tblPr/>
      <w:tcPr>
        <w:tcBorders>
          <w:top w:val="single" w:sz="18" w:space="0" w:color="8ADBE7" w:themeColor="accent5" w:themeTint="BF"/>
        </w:tcBorders>
      </w:tcPr>
    </w:tblStylePr>
    <w:tblStylePr w:type="firstCol">
      <w:rPr>
        <w:b/>
        <w:bCs/>
      </w:rPr>
    </w:tblStylePr>
    <w:tblStylePr w:type="lastCol">
      <w:rPr>
        <w:b/>
        <w:bCs/>
      </w:rPr>
    </w:tblStylePr>
    <w:tblStylePr w:type="band1Vert">
      <w:tblPr/>
      <w:tcPr>
        <w:shd w:val="clear" w:color="auto" w:fill="B1E7EF" w:themeFill="accent5" w:themeFillTint="7F"/>
      </w:tcPr>
    </w:tblStylePr>
    <w:tblStylePr w:type="band1Horz">
      <w:tblPr/>
      <w:tcPr>
        <w:shd w:val="clear" w:color="auto" w:fill="B1E7EF" w:themeFill="accent5" w:themeFillTint="7F"/>
      </w:tcPr>
    </w:tblStylePr>
  </w:style>
  <w:style w:type="table" w:styleId="MediumGrid1-Accent6">
    <w:name w:val="Medium Grid 1 Accent 6"/>
    <w:basedOn w:val="TableNormal"/>
    <w:uiPriority w:val="98"/>
    <w:semiHidden/>
    <w:unhideWhenUsed/>
    <w:rsid w:val="001F6DC1"/>
    <w:tblPr>
      <w:tblStyleRowBandSize w:val="1"/>
      <w:tblStyleColBandSize w:val="1"/>
      <w:tblBorders>
        <w:top w:val="single" w:sz="8" w:space="0" w:color="B8B8B8" w:themeColor="accent6" w:themeTint="BF"/>
        <w:left w:val="single" w:sz="8" w:space="0" w:color="B8B8B8" w:themeColor="accent6" w:themeTint="BF"/>
        <w:bottom w:val="single" w:sz="8" w:space="0" w:color="B8B8B8" w:themeColor="accent6" w:themeTint="BF"/>
        <w:right w:val="single" w:sz="8" w:space="0" w:color="B8B8B8" w:themeColor="accent6" w:themeTint="BF"/>
        <w:insideH w:val="single" w:sz="8" w:space="0" w:color="B8B8B8" w:themeColor="accent6" w:themeTint="BF"/>
        <w:insideV w:val="single" w:sz="8" w:space="0" w:color="B8B8B8" w:themeColor="accent6" w:themeTint="BF"/>
      </w:tblBorders>
    </w:tblPr>
    <w:tcPr>
      <w:shd w:val="clear" w:color="auto" w:fill="E7E7E7" w:themeFill="accent6" w:themeFillTint="3F"/>
    </w:tcPr>
    <w:tblStylePr w:type="firstRow">
      <w:rPr>
        <w:b/>
        <w:bCs/>
      </w:rPr>
    </w:tblStylePr>
    <w:tblStylePr w:type="lastRow">
      <w:rPr>
        <w:b/>
        <w:bCs/>
      </w:rPr>
      <w:tblPr/>
      <w:tcPr>
        <w:tcBorders>
          <w:top w:val="single" w:sz="18" w:space="0" w:color="B8B8B8" w:themeColor="accent6" w:themeTint="BF"/>
        </w:tcBorders>
      </w:tcPr>
    </w:tblStylePr>
    <w:tblStylePr w:type="firstCol">
      <w:rPr>
        <w:b/>
        <w:bCs/>
      </w:rPr>
    </w:tblStylePr>
    <w:tblStylePr w:type="lastCol">
      <w:rPr>
        <w:b/>
        <w:bCs/>
      </w:rPr>
    </w:tblStylePr>
    <w:tblStylePr w:type="band1Vert">
      <w:tblPr/>
      <w:tcPr>
        <w:shd w:val="clear" w:color="auto" w:fill="D0D0D0" w:themeFill="accent6" w:themeFillTint="7F"/>
      </w:tcPr>
    </w:tblStylePr>
    <w:tblStylePr w:type="band1Horz">
      <w:tblPr/>
      <w:tcPr>
        <w:shd w:val="clear" w:color="auto" w:fill="D0D0D0" w:themeFill="accent6" w:themeFillTint="7F"/>
      </w:tcPr>
    </w:tblStylePr>
  </w:style>
  <w:style w:type="table" w:styleId="MediumGrid2">
    <w:name w:val="Medium Grid 2"/>
    <w:basedOn w:val="TableNormal"/>
    <w:uiPriority w:val="98"/>
    <w:semiHidden/>
    <w:unhideWhenUsed/>
    <w:rsid w:val="001F6DC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semiHidden/>
    <w:unhideWhenUsed/>
    <w:rsid w:val="001F6DC1"/>
    <w:rPr>
      <w:rFonts w:asciiTheme="majorHAnsi" w:eastAsiaTheme="majorEastAsia" w:hAnsiTheme="majorHAnsi" w:cstheme="majorBidi"/>
      <w:color w:val="000000" w:themeColor="text1"/>
    </w:rPr>
    <w:tblPr>
      <w:tblStyleRowBandSize w:val="1"/>
      <w:tblStyleColBandSize w:val="1"/>
      <w:tblBorders>
        <w:top w:val="single" w:sz="8" w:space="0" w:color="63D0DF" w:themeColor="accent1"/>
        <w:left w:val="single" w:sz="8" w:space="0" w:color="63D0DF" w:themeColor="accent1"/>
        <w:bottom w:val="single" w:sz="8" w:space="0" w:color="63D0DF" w:themeColor="accent1"/>
        <w:right w:val="single" w:sz="8" w:space="0" w:color="63D0DF" w:themeColor="accent1"/>
        <w:insideH w:val="single" w:sz="8" w:space="0" w:color="63D0DF" w:themeColor="accent1"/>
        <w:insideV w:val="single" w:sz="8" w:space="0" w:color="63D0DF" w:themeColor="accent1"/>
      </w:tblBorders>
    </w:tblPr>
    <w:tcPr>
      <w:shd w:val="clear" w:color="auto" w:fill="D8F3F7" w:themeFill="accent1" w:themeFillTint="3F"/>
    </w:tcPr>
    <w:tblStylePr w:type="firstRow">
      <w:rPr>
        <w:b/>
        <w:bCs/>
        <w:color w:val="000000" w:themeColor="text1"/>
      </w:rPr>
      <w:tblPr/>
      <w:tcPr>
        <w:shd w:val="clear" w:color="auto" w:fill="EFFA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5F8" w:themeFill="accent1" w:themeFillTint="33"/>
      </w:tcPr>
    </w:tblStylePr>
    <w:tblStylePr w:type="band1Vert">
      <w:tblPr/>
      <w:tcPr>
        <w:shd w:val="clear" w:color="auto" w:fill="B1E7EF" w:themeFill="accent1" w:themeFillTint="7F"/>
      </w:tcPr>
    </w:tblStylePr>
    <w:tblStylePr w:type="band1Horz">
      <w:tblPr/>
      <w:tcPr>
        <w:tcBorders>
          <w:insideH w:val="single" w:sz="6" w:space="0" w:color="63D0DF" w:themeColor="accent1"/>
          <w:insideV w:val="single" w:sz="6" w:space="0" w:color="63D0DF" w:themeColor="accent1"/>
        </w:tcBorders>
        <w:shd w:val="clear" w:color="auto" w:fill="B1E7E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semiHidden/>
    <w:unhideWhenUsed/>
    <w:rsid w:val="001F6DC1"/>
    <w:rPr>
      <w:rFonts w:asciiTheme="majorHAnsi" w:eastAsiaTheme="majorEastAsia" w:hAnsiTheme="majorHAnsi" w:cstheme="majorBidi"/>
      <w:color w:val="000000" w:themeColor="text1"/>
    </w:rPr>
    <w:tblPr>
      <w:tblStyleRowBandSize w:val="1"/>
      <w:tblStyleColBandSize w:val="1"/>
      <w:tblBorders>
        <w:top w:val="single" w:sz="8" w:space="0" w:color="C9C9CA" w:themeColor="accent2"/>
        <w:left w:val="single" w:sz="8" w:space="0" w:color="C9C9CA" w:themeColor="accent2"/>
        <w:bottom w:val="single" w:sz="8" w:space="0" w:color="C9C9CA" w:themeColor="accent2"/>
        <w:right w:val="single" w:sz="8" w:space="0" w:color="C9C9CA" w:themeColor="accent2"/>
        <w:insideH w:val="single" w:sz="8" w:space="0" w:color="C9C9CA" w:themeColor="accent2"/>
        <w:insideV w:val="single" w:sz="8" w:space="0" w:color="C9C9CA" w:themeColor="accent2"/>
      </w:tblBorders>
    </w:tblPr>
    <w:tcPr>
      <w:shd w:val="clear" w:color="auto" w:fill="F1F1F1" w:themeFill="accent2" w:themeFillTint="3F"/>
    </w:tcPr>
    <w:tblStylePr w:type="firstRow">
      <w:rPr>
        <w:b/>
        <w:bCs/>
        <w:color w:val="000000" w:themeColor="text1"/>
      </w:rPr>
      <w:tblPr/>
      <w:tcPr>
        <w:shd w:val="clear" w:color="auto" w:fill="F9F9F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4F4" w:themeFill="accent2" w:themeFillTint="33"/>
      </w:tcPr>
    </w:tblStylePr>
    <w:tblStylePr w:type="band1Vert">
      <w:tblPr/>
      <w:tcPr>
        <w:shd w:val="clear" w:color="auto" w:fill="E4E4E4" w:themeFill="accent2" w:themeFillTint="7F"/>
      </w:tcPr>
    </w:tblStylePr>
    <w:tblStylePr w:type="band1Horz">
      <w:tblPr/>
      <w:tcPr>
        <w:tcBorders>
          <w:insideH w:val="single" w:sz="6" w:space="0" w:color="C9C9CA" w:themeColor="accent2"/>
          <w:insideV w:val="single" w:sz="6" w:space="0" w:color="C9C9CA" w:themeColor="accent2"/>
        </w:tcBorders>
        <w:shd w:val="clear" w:color="auto" w:fill="E4E4E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semiHidden/>
    <w:unhideWhenUsed/>
    <w:rsid w:val="001F6DC1"/>
    <w:rPr>
      <w:rFonts w:asciiTheme="majorHAnsi" w:eastAsiaTheme="majorEastAsia" w:hAnsiTheme="majorHAnsi" w:cstheme="majorBidi"/>
      <w:color w:val="000000" w:themeColor="text1"/>
    </w:rPr>
    <w:tblPr>
      <w:tblStyleRowBandSize w:val="1"/>
      <w:tblStyleColBandSize w:val="1"/>
      <w:tblBorders>
        <w:top w:val="single" w:sz="8" w:space="0" w:color="63D0DF" w:themeColor="accent3"/>
        <w:left w:val="single" w:sz="8" w:space="0" w:color="63D0DF" w:themeColor="accent3"/>
        <w:bottom w:val="single" w:sz="8" w:space="0" w:color="63D0DF" w:themeColor="accent3"/>
        <w:right w:val="single" w:sz="8" w:space="0" w:color="63D0DF" w:themeColor="accent3"/>
        <w:insideH w:val="single" w:sz="8" w:space="0" w:color="63D0DF" w:themeColor="accent3"/>
        <w:insideV w:val="single" w:sz="8" w:space="0" w:color="63D0DF" w:themeColor="accent3"/>
      </w:tblBorders>
    </w:tblPr>
    <w:tcPr>
      <w:shd w:val="clear" w:color="auto" w:fill="D8F3F7" w:themeFill="accent3" w:themeFillTint="3F"/>
    </w:tcPr>
    <w:tblStylePr w:type="firstRow">
      <w:rPr>
        <w:b/>
        <w:bCs/>
        <w:color w:val="000000" w:themeColor="text1"/>
      </w:rPr>
      <w:tblPr/>
      <w:tcPr>
        <w:shd w:val="clear" w:color="auto" w:fill="EFFAF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5F8" w:themeFill="accent3" w:themeFillTint="33"/>
      </w:tcPr>
    </w:tblStylePr>
    <w:tblStylePr w:type="band1Vert">
      <w:tblPr/>
      <w:tcPr>
        <w:shd w:val="clear" w:color="auto" w:fill="B1E7EF" w:themeFill="accent3" w:themeFillTint="7F"/>
      </w:tcPr>
    </w:tblStylePr>
    <w:tblStylePr w:type="band1Horz">
      <w:tblPr/>
      <w:tcPr>
        <w:tcBorders>
          <w:insideH w:val="single" w:sz="6" w:space="0" w:color="63D0DF" w:themeColor="accent3"/>
          <w:insideV w:val="single" w:sz="6" w:space="0" w:color="63D0DF" w:themeColor="accent3"/>
        </w:tcBorders>
        <w:shd w:val="clear" w:color="auto" w:fill="B1E7E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semiHidden/>
    <w:unhideWhenUsed/>
    <w:rsid w:val="001F6DC1"/>
    <w:rPr>
      <w:rFonts w:asciiTheme="majorHAnsi" w:eastAsiaTheme="majorEastAsia" w:hAnsiTheme="majorHAnsi" w:cstheme="majorBidi"/>
      <w:color w:val="000000" w:themeColor="text1"/>
    </w:rPr>
    <w:tblPr>
      <w:tblStyleRowBandSize w:val="1"/>
      <w:tblStyleColBandSize w:val="1"/>
      <w:tblBorders>
        <w:top w:val="single" w:sz="8" w:space="0" w:color="A1A1A1" w:themeColor="accent4"/>
        <w:left w:val="single" w:sz="8" w:space="0" w:color="A1A1A1" w:themeColor="accent4"/>
        <w:bottom w:val="single" w:sz="8" w:space="0" w:color="A1A1A1" w:themeColor="accent4"/>
        <w:right w:val="single" w:sz="8" w:space="0" w:color="A1A1A1" w:themeColor="accent4"/>
        <w:insideH w:val="single" w:sz="8" w:space="0" w:color="A1A1A1" w:themeColor="accent4"/>
        <w:insideV w:val="single" w:sz="8" w:space="0" w:color="A1A1A1" w:themeColor="accent4"/>
      </w:tblBorders>
    </w:tblPr>
    <w:tcPr>
      <w:shd w:val="clear" w:color="auto" w:fill="E7E7E7" w:themeFill="accent4" w:themeFillTint="3F"/>
    </w:tcPr>
    <w:tblStylePr w:type="firstRow">
      <w:rPr>
        <w:b/>
        <w:bCs/>
        <w:color w:val="000000" w:themeColor="text1"/>
      </w:rPr>
      <w:tblPr/>
      <w:tcPr>
        <w:shd w:val="clear" w:color="auto" w:fill="F5F5F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CEC" w:themeFill="accent4" w:themeFillTint="33"/>
      </w:tcPr>
    </w:tblStylePr>
    <w:tblStylePr w:type="band1Vert">
      <w:tblPr/>
      <w:tcPr>
        <w:shd w:val="clear" w:color="auto" w:fill="D0D0D0" w:themeFill="accent4" w:themeFillTint="7F"/>
      </w:tcPr>
    </w:tblStylePr>
    <w:tblStylePr w:type="band1Horz">
      <w:tblPr/>
      <w:tcPr>
        <w:tcBorders>
          <w:insideH w:val="single" w:sz="6" w:space="0" w:color="A1A1A1" w:themeColor="accent4"/>
          <w:insideV w:val="single" w:sz="6" w:space="0" w:color="A1A1A1" w:themeColor="accent4"/>
        </w:tcBorders>
        <w:shd w:val="clear" w:color="auto" w:fill="D0D0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semiHidden/>
    <w:unhideWhenUsed/>
    <w:rsid w:val="001F6DC1"/>
    <w:rPr>
      <w:rFonts w:asciiTheme="majorHAnsi" w:eastAsiaTheme="majorEastAsia" w:hAnsiTheme="majorHAnsi" w:cstheme="majorBidi"/>
      <w:color w:val="000000" w:themeColor="text1"/>
    </w:rPr>
    <w:tblPr>
      <w:tblStyleRowBandSize w:val="1"/>
      <w:tblStyleColBandSize w:val="1"/>
      <w:tblBorders>
        <w:top w:val="single" w:sz="8" w:space="0" w:color="63D0DF" w:themeColor="accent5"/>
        <w:left w:val="single" w:sz="8" w:space="0" w:color="63D0DF" w:themeColor="accent5"/>
        <w:bottom w:val="single" w:sz="8" w:space="0" w:color="63D0DF" w:themeColor="accent5"/>
        <w:right w:val="single" w:sz="8" w:space="0" w:color="63D0DF" w:themeColor="accent5"/>
        <w:insideH w:val="single" w:sz="8" w:space="0" w:color="63D0DF" w:themeColor="accent5"/>
        <w:insideV w:val="single" w:sz="8" w:space="0" w:color="63D0DF" w:themeColor="accent5"/>
      </w:tblBorders>
    </w:tblPr>
    <w:tcPr>
      <w:shd w:val="clear" w:color="auto" w:fill="D8F3F7" w:themeFill="accent5" w:themeFillTint="3F"/>
    </w:tcPr>
    <w:tblStylePr w:type="firstRow">
      <w:rPr>
        <w:b/>
        <w:bCs/>
        <w:color w:val="000000" w:themeColor="text1"/>
      </w:rPr>
      <w:tblPr/>
      <w:tcPr>
        <w:shd w:val="clear" w:color="auto" w:fill="EFFA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5F8" w:themeFill="accent5" w:themeFillTint="33"/>
      </w:tcPr>
    </w:tblStylePr>
    <w:tblStylePr w:type="band1Vert">
      <w:tblPr/>
      <w:tcPr>
        <w:shd w:val="clear" w:color="auto" w:fill="B1E7EF" w:themeFill="accent5" w:themeFillTint="7F"/>
      </w:tcPr>
    </w:tblStylePr>
    <w:tblStylePr w:type="band1Horz">
      <w:tblPr/>
      <w:tcPr>
        <w:tcBorders>
          <w:insideH w:val="single" w:sz="6" w:space="0" w:color="63D0DF" w:themeColor="accent5"/>
          <w:insideV w:val="single" w:sz="6" w:space="0" w:color="63D0DF" w:themeColor="accent5"/>
        </w:tcBorders>
        <w:shd w:val="clear" w:color="auto" w:fill="B1E7E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semiHidden/>
    <w:unhideWhenUsed/>
    <w:rsid w:val="001F6DC1"/>
    <w:rPr>
      <w:rFonts w:asciiTheme="majorHAnsi" w:eastAsiaTheme="majorEastAsia" w:hAnsiTheme="majorHAnsi" w:cstheme="majorBidi"/>
      <w:color w:val="000000" w:themeColor="text1"/>
    </w:rPr>
    <w:tblPr>
      <w:tblStyleRowBandSize w:val="1"/>
      <w:tblStyleColBandSize w:val="1"/>
      <w:tblBorders>
        <w:top w:val="single" w:sz="8" w:space="0" w:color="A1A1A1" w:themeColor="accent6"/>
        <w:left w:val="single" w:sz="8" w:space="0" w:color="A1A1A1" w:themeColor="accent6"/>
        <w:bottom w:val="single" w:sz="8" w:space="0" w:color="A1A1A1" w:themeColor="accent6"/>
        <w:right w:val="single" w:sz="8" w:space="0" w:color="A1A1A1" w:themeColor="accent6"/>
        <w:insideH w:val="single" w:sz="8" w:space="0" w:color="A1A1A1" w:themeColor="accent6"/>
        <w:insideV w:val="single" w:sz="8" w:space="0" w:color="A1A1A1" w:themeColor="accent6"/>
      </w:tblBorders>
    </w:tblPr>
    <w:tcPr>
      <w:shd w:val="clear" w:color="auto" w:fill="E7E7E7" w:themeFill="accent6" w:themeFillTint="3F"/>
    </w:tcPr>
    <w:tblStylePr w:type="firstRow">
      <w:rPr>
        <w:b/>
        <w:bCs/>
        <w:color w:val="000000" w:themeColor="text1"/>
      </w:rPr>
      <w:tblPr/>
      <w:tcPr>
        <w:shd w:val="clear" w:color="auto" w:fill="F5F5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CEC" w:themeFill="accent6" w:themeFillTint="33"/>
      </w:tcPr>
    </w:tblStylePr>
    <w:tblStylePr w:type="band1Vert">
      <w:tblPr/>
      <w:tcPr>
        <w:shd w:val="clear" w:color="auto" w:fill="D0D0D0" w:themeFill="accent6" w:themeFillTint="7F"/>
      </w:tcPr>
    </w:tblStylePr>
    <w:tblStylePr w:type="band1Horz">
      <w:tblPr/>
      <w:tcPr>
        <w:tcBorders>
          <w:insideH w:val="single" w:sz="6" w:space="0" w:color="A1A1A1" w:themeColor="accent6"/>
          <w:insideV w:val="single" w:sz="6" w:space="0" w:color="A1A1A1" w:themeColor="accent6"/>
        </w:tcBorders>
        <w:shd w:val="clear" w:color="auto" w:fill="D0D0D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semiHidden/>
    <w:unhideWhenUsed/>
    <w:rsid w:val="001F6DC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semiHidden/>
    <w:unhideWhenUsed/>
    <w:rsid w:val="001F6DC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F3F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3D0D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3D0D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3D0D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3D0D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E7E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E7EF" w:themeFill="accent1" w:themeFillTint="7F"/>
      </w:tcPr>
    </w:tblStylePr>
  </w:style>
  <w:style w:type="table" w:styleId="MediumGrid3-Accent2">
    <w:name w:val="Medium Grid 3 Accent 2"/>
    <w:basedOn w:val="TableNormal"/>
    <w:uiPriority w:val="98"/>
    <w:semiHidden/>
    <w:unhideWhenUsed/>
    <w:rsid w:val="001F6DC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F1F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9C9C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9C9C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9C9C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9C9C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4E4E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4E4E4" w:themeFill="accent2" w:themeFillTint="7F"/>
      </w:tcPr>
    </w:tblStylePr>
  </w:style>
  <w:style w:type="table" w:styleId="MediumGrid3-Accent3">
    <w:name w:val="Medium Grid 3 Accent 3"/>
    <w:basedOn w:val="TableNormal"/>
    <w:uiPriority w:val="98"/>
    <w:semiHidden/>
    <w:unhideWhenUsed/>
    <w:rsid w:val="001F6DC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F3F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3D0D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3D0D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3D0D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3D0D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E7E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E7EF" w:themeFill="accent3" w:themeFillTint="7F"/>
      </w:tcPr>
    </w:tblStylePr>
  </w:style>
  <w:style w:type="table" w:styleId="MediumGrid3-Accent4">
    <w:name w:val="Medium Grid 3 Accent 4"/>
    <w:basedOn w:val="TableNormal"/>
    <w:uiPriority w:val="98"/>
    <w:semiHidden/>
    <w:unhideWhenUsed/>
    <w:rsid w:val="001F6DC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7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1A1A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1A1A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1A1A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1A1A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D0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D0D0" w:themeFill="accent4" w:themeFillTint="7F"/>
      </w:tcPr>
    </w:tblStylePr>
  </w:style>
  <w:style w:type="table" w:styleId="MediumGrid3-Accent5">
    <w:name w:val="Medium Grid 3 Accent 5"/>
    <w:basedOn w:val="TableNormal"/>
    <w:uiPriority w:val="98"/>
    <w:semiHidden/>
    <w:unhideWhenUsed/>
    <w:rsid w:val="001F6DC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F3F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3D0D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3D0D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3D0D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3D0D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E7E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E7EF" w:themeFill="accent5" w:themeFillTint="7F"/>
      </w:tcPr>
    </w:tblStylePr>
  </w:style>
  <w:style w:type="table" w:styleId="MediumGrid3-Accent6">
    <w:name w:val="Medium Grid 3 Accent 6"/>
    <w:basedOn w:val="TableNormal"/>
    <w:uiPriority w:val="98"/>
    <w:semiHidden/>
    <w:unhideWhenUsed/>
    <w:rsid w:val="001F6DC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7E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1A1A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1A1A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1A1A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1A1A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D0D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D0D0" w:themeFill="accent6" w:themeFillTint="7F"/>
      </w:tcPr>
    </w:tblStylePr>
  </w:style>
  <w:style w:type="table" w:styleId="MediumList1">
    <w:name w:val="Medium List 1"/>
    <w:basedOn w:val="TableNormal"/>
    <w:uiPriority w:val="98"/>
    <w:semiHidden/>
    <w:unhideWhenUsed/>
    <w:rsid w:val="001F6DC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8585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semiHidden/>
    <w:unhideWhenUsed/>
    <w:rsid w:val="001F6DC1"/>
    <w:rPr>
      <w:color w:val="000000" w:themeColor="text1"/>
    </w:rPr>
    <w:tblPr>
      <w:tblStyleRowBandSize w:val="1"/>
      <w:tblStyleColBandSize w:val="1"/>
      <w:tblBorders>
        <w:top w:val="single" w:sz="8" w:space="0" w:color="63D0DF" w:themeColor="accent1"/>
        <w:bottom w:val="single" w:sz="8" w:space="0" w:color="63D0DF" w:themeColor="accent1"/>
      </w:tblBorders>
    </w:tblPr>
    <w:tblStylePr w:type="firstRow">
      <w:rPr>
        <w:rFonts w:asciiTheme="majorHAnsi" w:eastAsiaTheme="majorEastAsia" w:hAnsiTheme="majorHAnsi" w:cstheme="majorBidi"/>
      </w:rPr>
      <w:tblPr/>
      <w:tcPr>
        <w:tcBorders>
          <w:top w:val="nil"/>
          <w:bottom w:val="single" w:sz="8" w:space="0" w:color="63D0DF" w:themeColor="accent1"/>
        </w:tcBorders>
      </w:tcPr>
    </w:tblStylePr>
    <w:tblStylePr w:type="lastRow">
      <w:rPr>
        <w:b/>
        <w:bCs/>
        <w:color w:val="585858" w:themeColor="text2"/>
      </w:rPr>
      <w:tblPr/>
      <w:tcPr>
        <w:tcBorders>
          <w:top w:val="single" w:sz="8" w:space="0" w:color="63D0DF" w:themeColor="accent1"/>
          <w:bottom w:val="single" w:sz="8" w:space="0" w:color="63D0DF" w:themeColor="accent1"/>
        </w:tcBorders>
      </w:tcPr>
    </w:tblStylePr>
    <w:tblStylePr w:type="firstCol">
      <w:rPr>
        <w:b/>
        <w:bCs/>
      </w:rPr>
    </w:tblStylePr>
    <w:tblStylePr w:type="lastCol">
      <w:rPr>
        <w:b/>
        <w:bCs/>
      </w:rPr>
      <w:tblPr/>
      <w:tcPr>
        <w:tcBorders>
          <w:top w:val="single" w:sz="8" w:space="0" w:color="63D0DF" w:themeColor="accent1"/>
          <w:bottom w:val="single" w:sz="8" w:space="0" w:color="63D0DF" w:themeColor="accent1"/>
        </w:tcBorders>
      </w:tcPr>
    </w:tblStylePr>
    <w:tblStylePr w:type="band1Vert">
      <w:tblPr/>
      <w:tcPr>
        <w:shd w:val="clear" w:color="auto" w:fill="D8F3F7" w:themeFill="accent1" w:themeFillTint="3F"/>
      </w:tcPr>
    </w:tblStylePr>
    <w:tblStylePr w:type="band1Horz">
      <w:tblPr/>
      <w:tcPr>
        <w:shd w:val="clear" w:color="auto" w:fill="D8F3F7" w:themeFill="accent1" w:themeFillTint="3F"/>
      </w:tcPr>
    </w:tblStylePr>
  </w:style>
  <w:style w:type="table" w:styleId="MediumList1-Accent2">
    <w:name w:val="Medium List 1 Accent 2"/>
    <w:basedOn w:val="TableNormal"/>
    <w:uiPriority w:val="98"/>
    <w:semiHidden/>
    <w:unhideWhenUsed/>
    <w:rsid w:val="001F6DC1"/>
    <w:rPr>
      <w:color w:val="000000" w:themeColor="text1"/>
    </w:rPr>
    <w:tblPr>
      <w:tblStyleRowBandSize w:val="1"/>
      <w:tblStyleColBandSize w:val="1"/>
      <w:tblBorders>
        <w:top w:val="single" w:sz="8" w:space="0" w:color="C9C9CA" w:themeColor="accent2"/>
        <w:bottom w:val="single" w:sz="8" w:space="0" w:color="C9C9CA" w:themeColor="accent2"/>
      </w:tblBorders>
    </w:tblPr>
    <w:tblStylePr w:type="firstRow">
      <w:rPr>
        <w:rFonts w:asciiTheme="majorHAnsi" w:eastAsiaTheme="majorEastAsia" w:hAnsiTheme="majorHAnsi" w:cstheme="majorBidi"/>
      </w:rPr>
      <w:tblPr/>
      <w:tcPr>
        <w:tcBorders>
          <w:top w:val="nil"/>
          <w:bottom w:val="single" w:sz="8" w:space="0" w:color="C9C9CA" w:themeColor="accent2"/>
        </w:tcBorders>
      </w:tcPr>
    </w:tblStylePr>
    <w:tblStylePr w:type="lastRow">
      <w:rPr>
        <w:b/>
        <w:bCs/>
        <w:color w:val="585858" w:themeColor="text2"/>
      </w:rPr>
      <w:tblPr/>
      <w:tcPr>
        <w:tcBorders>
          <w:top w:val="single" w:sz="8" w:space="0" w:color="C9C9CA" w:themeColor="accent2"/>
          <w:bottom w:val="single" w:sz="8" w:space="0" w:color="C9C9CA" w:themeColor="accent2"/>
        </w:tcBorders>
      </w:tcPr>
    </w:tblStylePr>
    <w:tblStylePr w:type="firstCol">
      <w:rPr>
        <w:b/>
        <w:bCs/>
      </w:rPr>
    </w:tblStylePr>
    <w:tblStylePr w:type="lastCol">
      <w:rPr>
        <w:b/>
        <w:bCs/>
      </w:rPr>
      <w:tblPr/>
      <w:tcPr>
        <w:tcBorders>
          <w:top w:val="single" w:sz="8" w:space="0" w:color="C9C9CA" w:themeColor="accent2"/>
          <w:bottom w:val="single" w:sz="8" w:space="0" w:color="C9C9CA" w:themeColor="accent2"/>
        </w:tcBorders>
      </w:tcPr>
    </w:tblStylePr>
    <w:tblStylePr w:type="band1Vert">
      <w:tblPr/>
      <w:tcPr>
        <w:shd w:val="clear" w:color="auto" w:fill="F1F1F1" w:themeFill="accent2" w:themeFillTint="3F"/>
      </w:tcPr>
    </w:tblStylePr>
    <w:tblStylePr w:type="band1Horz">
      <w:tblPr/>
      <w:tcPr>
        <w:shd w:val="clear" w:color="auto" w:fill="F1F1F1" w:themeFill="accent2" w:themeFillTint="3F"/>
      </w:tcPr>
    </w:tblStylePr>
  </w:style>
  <w:style w:type="table" w:styleId="MediumList1-Accent3">
    <w:name w:val="Medium List 1 Accent 3"/>
    <w:basedOn w:val="TableNormal"/>
    <w:uiPriority w:val="98"/>
    <w:semiHidden/>
    <w:unhideWhenUsed/>
    <w:rsid w:val="001F6DC1"/>
    <w:rPr>
      <w:color w:val="000000" w:themeColor="text1"/>
    </w:rPr>
    <w:tblPr>
      <w:tblStyleRowBandSize w:val="1"/>
      <w:tblStyleColBandSize w:val="1"/>
      <w:tblBorders>
        <w:top w:val="single" w:sz="8" w:space="0" w:color="63D0DF" w:themeColor="accent3"/>
        <w:bottom w:val="single" w:sz="8" w:space="0" w:color="63D0DF" w:themeColor="accent3"/>
      </w:tblBorders>
    </w:tblPr>
    <w:tblStylePr w:type="firstRow">
      <w:rPr>
        <w:rFonts w:asciiTheme="majorHAnsi" w:eastAsiaTheme="majorEastAsia" w:hAnsiTheme="majorHAnsi" w:cstheme="majorBidi"/>
      </w:rPr>
      <w:tblPr/>
      <w:tcPr>
        <w:tcBorders>
          <w:top w:val="nil"/>
          <w:bottom w:val="single" w:sz="8" w:space="0" w:color="63D0DF" w:themeColor="accent3"/>
        </w:tcBorders>
      </w:tcPr>
    </w:tblStylePr>
    <w:tblStylePr w:type="lastRow">
      <w:rPr>
        <w:b/>
        <w:bCs/>
        <w:color w:val="585858" w:themeColor="text2"/>
      </w:rPr>
      <w:tblPr/>
      <w:tcPr>
        <w:tcBorders>
          <w:top w:val="single" w:sz="8" w:space="0" w:color="63D0DF" w:themeColor="accent3"/>
          <w:bottom w:val="single" w:sz="8" w:space="0" w:color="63D0DF" w:themeColor="accent3"/>
        </w:tcBorders>
      </w:tcPr>
    </w:tblStylePr>
    <w:tblStylePr w:type="firstCol">
      <w:rPr>
        <w:b/>
        <w:bCs/>
      </w:rPr>
    </w:tblStylePr>
    <w:tblStylePr w:type="lastCol">
      <w:rPr>
        <w:b/>
        <w:bCs/>
      </w:rPr>
      <w:tblPr/>
      <w:tcPr>
        <w:tcBorders>
          <w:top w:val="single" w:sz="8" w:space="0" w:color="63D0DF" w:themeColor="accent3"/>
          <w:bottom w:val="single" w:sz="8" w:space="0" w:color="63D0DF" w:themeColor="accent3"/>
        </w:tcBorders>
      </w:tcPr>
    </w:tblStylePr>
    <w:tblStylePr w:type="band1Vert">
      <w:tblPr/>
      <w:tcPr>
        <w:shd w:val="clear" w:color="auto" w:fill="D8F3F7" w:themeFill="accent3" w:themeFillTint="3F"/>
      </w:tcPr>
    </w:tblStylePr>
    <w:tblStylePr w:type="band1Horz">
      <w:tblPr/>
      <w:tcPr>
        <w:shd w:val="clear" w:color="auto" w:fill="D8F3F7" w:themeFill="accent3" w:themeFillTint="3F"/>
      </w:tcPr>
    </w:tblStylePr>
  </w:style>
  <w:style w:type="table" w:styleId="MediumList1-Accent4">
    <w:name w:val="Medium List 1 Accent 4"/>
    <w:basedOn w:val="TableNormal"/>
    <w:uiPriority w:val="98"/>
    <w:semiHidden/>
    <w:unhideWhenUsed/>
    <w:rsid w:val="001F6DC1"/>
    <w:rPr>
      <w:color w:val="000000" w:themeColor="text1"/>
    </w:rPr>
    <w:tblPr>
      <w:tblStyleRowBandSize w:val="1"/>
      <w:tblStyleColBandSize w:val="1"/>
      <w:tblBorders>
        <w:top w:val="single" w:sz="8" w:space="0" w:color="A1A1A1" w:themeColor="accent4"/>
        <w:bottom w:val="single" w:sz="8" w:space="0" w:color="A1A1A1" w:themeColor="accent4"/>
      </w:tblBorders>
    </w:tblPr>
    <w:tblStylePr w:type="firstRow">
      <w:rPr>
        <w:rFonts w:asciiTheme="majorHAnsi" w:eastAsiaTheme="majorEastAsia" w:hAnsiTheme="majorHAnsi" w:cstheme="majorBidi"/>
      </w:rPr>
      <w:tblPr/>
      <w:tcPr>
        <w:tcBorders>
          <w:top w:val="nil"/>
          <w:bottom w:val="single" w:sz="8" w:space="0" w:color="A1A1A1" w:themeColor="accent4"/>
        </w:tcBorders>
      </w:tcPr>
    </w:tblStylePr>
    <w:tblStylePr w:type="lastRow">
      <w:rPr>
        <w:b/>
        <w:bCs/>
        <w:color w:val="585858" w:themeColor="text2"/>
      </w:rPr>
      <w:tblPr/>
      <w:tcPr>
        <w:tcBorders>
          <w:top w:val="single" w:sz="8" w:space="0" w:color="A1A1A1" w:themeColor="accent4"/>
          <w:bottom w:val="single" w:sz="8" w:space="0" w:color="A1A1A1" w:themeColor="accent4"/>
        </w:tcBorders>
      </w:tcPr>
    </w:tblStylePr>
    <w:tblStylePr w:type="firstCol">
      <w:rPr>
        <w:b/>
        <w:bCs/>
      </w:rPr>
    </w:tblStylePr>
    <w:tblStylePr w:type="lastCol">
      <w:rPr>
        <w:b/>
        <w:bCs/>
      </w:rPr>
      <w:tblPr/>
      <w:tcPr>
        <w:tcBorders>
          <w:top w:val="single" w:sz="8" w:space="0" w:color="A1A1A1" w:themeColor="accent4"/>
          <w:bottom w:val="single" w:sz="8" w:space="0" w:color="A1A1A1" w:themeColor="accent4"/>
        </w:tcBorders>
      </w:tcPr>
    </w:tblStylePr>
    <w:tblStylePr w:type="band1Vert">
      <w:tblPr/>
      <w:tcPr>
        <w:shd w:val="clear" w:color="auto" w:fill="E7E7E7" w:themeFill="accent4" w:themeFillTint="3F"/>
      </w:tcPr>
    </w:tblStylePr>
    <w:tblStylePr w:type="band1Horz">
      <w:tblPr/>
      <w:tcPr>
        <w:shd w:val="clear" w:color="auto" w:fill="E7E7E7" w:themeFill="accent4" w:themeFillTint="3F"/>
      </w:tcPr>
    </w:tblStylePr>
  </w:style>
  <w:style w:type="table" w:styleId="MediumList1-Accent5">
    <w:name w:val="Medium List 1 Accent 5"/>
    <w:basedOn w:val="TableNormal"/>
    <w:uiPriority w:val="98"/>
    <w:semiHidden/>
    <w:unhideWhenUsed/>
    <w:rsid w:val="001F6DC1"/>
    <w:rPr>
      <w:color w:val="000000" w:themeColor="text1"/>
    </w:rPr>
    <w:tblPr>
      <w:tblStyleRowBandSize w:val="1"/>
      <w:tblStyleColBandSize w:val="1"/>
      <w:tblBorders>
        <w:top w:val="single" w:sz="8" w:space="0" w:color="63D0DF" w:themeColor="accent5"/>
        <w:bottom w:val="single" w:sz="8" w:space="0" w:color="63D0DF" w:themeColor="accent5"/>
      </w:tblBorders>
    </w:tblPr>
    <w:tblStylePr w:type="firstRow">
      <w:rPr>
        <w:rFonts w:asciiTheme="majorHAnsi" w:eastAsiaTheme="majorEastAsia" w:hAnsiTheme="majorHAnsi" w:cstheme="majorBidi"/>
      </w:rPr>
      <w:tblPr/>
      <w:tcPr>
        <w:tcBorders>
          <w:top w:val="nil"/>
          <w:bottom w:val="single" w:sz="8" w:space="0" w:color="63D0DF" w:themeColor="accent5"/>
        </w:tcBorders>
      </w:tcPr>
    </w:tblStylePr>
    <w:tblStylePr w:type="lastRow">
      <w:rPr>
        <w:b/>
        <w:bCs/>
        <w:color w:val="585858" w:themeColor="text2"/>
      </w:rPr>
      <w:tblPr/>
      <w:tcPr>
        <w:tcBorders>
          <w:top w:val="single" w:sz="8" w:space="0" w:color="63D0DF" w:themeColor="accent5"/>
          <w:bottom w:val="single" w:sz="8" w:space="0" w:color="63D0DF" w:themeColor="accent5"/>
        </w:tcBorders>
      </w:tcPr>
    </w:tblStylePr>
    <w:tblStylePr w:type="firstCol">
      <w:rPr>
        <w:b/>
        <w:bCs/>
      </w:rPr>
    </w:tblStylePr>
    <w:tblStylePr w:type="lastCol">
      <w:rPr>
        <w:b/>
        <w:bCs/>
      </w:rPr>
      <w:tblPr/>
      <w:tcPr>
        <w:tcBorders>
          <w:top w:val="single" w:sz="8" w:space="0" w:color="63D0DF" w:themeColor="accent5"/>
          <w:bottom w:val="single" w:sz="8" w:space="0" w:color="63D0DF" w:themeColor="accent5"/>
        </w:tcBorders>
      </w:tcPr>
    </w:tblStylePr>
    <w:tblStylePr w:type="band1Vert">
      <w:tblPr/>
      <w:tcPr>
        <w:shd w:val="clear" w:color="auto" w:fill="D8F3F7" w:themeFill="accent5" w:themeFillTint="3F"/>
      </w:tcPr>
    </w:tblStylePr>
    <w:tblStylePr w:type="band1Horz">
      <w:tblPr/>
      <w:tcPr>
        <w:shd w:val="clear" w:color="auto" w:fill="D8F3F7" w:themeFill="accent5" w:themeFillTint="3F"/>
      </w:tcPr>
    </w:tblStylePr>
  </w:style>
  <w:style w:type="table" w:styleId="MediumList1-Accent6">
    <w:name w:val="Medium List 1 Accent 6"/>
    <w:basedOn w:val="TableNormal"/>
    <w:uiPriority w:val="98"/>
    <w:semiHidden/>
    <w:unhideWhenUsed/>
    <w:rsid w:val="001F6DC1"/>
    <w:rPr>
      <w:color w:val="000000" w:themeColor="text1"/>
    </w:rPr>
    <w:tblPr>
      <w:tblStyleRowBandSize w:val="1"/>
      <w:tblStyleColBandSize w:val="1"/>
      <w:tblBorders>
        <w:top w:val="single" w:sz="8" w:space="0" w:color="A1A1A1" w:themeColor="accent6"/>
        <w:bottom w:val="single" w:sz="8" w:space="0" w:color="A1A1A1" w:themeColor="accent6"/>
      </w:tblBorders>
    </w:tblPr>
    <w:tblStylePr w:type="firstRow">
      <w:rPr>
        <w:rFonts w:asciiTheme="majorHAnsi" w:eastAsiaTheme="majorEastAsia" w:hAnsiTheme="majorHAnsi" w:cstheme="majorBidi"/>
      </w:rPr>
      <w:tblPr/>
      <w:tcPr>
        <w:tcBorders>
          <w:top w:val="nil"/>
          <w:bottom w:val="single" w:sz="8" w:space="0" w:color="A1A1A1" w:themeColor="accent6"/>
        </w:tcBorders>
      </w:tcPr>
    </w:tblStylePr>
    <w:tblStylePr w:type="lastRow">
      <w:rPr>
        <w:b/>
        <w:bCs/>
        <w:color w:val="585858" w:themeColor="text2"/>
      </w:rPr>
      <w:tblPr/>
      <w:tcPr>
        <w:tcBorders>
          <w:top w:val="single" w:sz="8" w:space="0" w:color="A1A1A1" w:themeColor="accent6"/>
          <w:bottom w:val="single" w:sz="8" w:space="0" w:color="A1A1A1" w:themeColor="accent6"/>
        </w:tcBorders>
      </w:tcPr>
    </w:tblStylePr>
    <w:tblStylePr w:type="firstCol">
      <w:rPr>
        <w:b/>
        <w:bCs/>
      </w:rPr>
    </w:tblStylePr>
    <w:tblStylePr w:type="lastCol">
      <w:rPr>
        <w:b/>
        <w:bCs/>
      </w:rPr>
      <w:tblPr/>
      <w:tcPr>
        <w:tcBorders>
          <w:top w:val="single" w:sz="8" w:space="0" w:color="A1A1A1" w:themeColor="accent6"/>
          <w:bottom w:val="single" w:sz="8" w:space="0" w:color="A1A1A1" w:themeColor="accent6"/>
        </w:tcBorders>
      </w:tcPr>
    </w:tblStylePr>
    <w:tblStylePr w:type="band1Vert">
      <w:tblPr/>
      <w:tcPr>
        <w:shd w:val="clear" w:color="auto" w:fill="E7E7E7" w:themeFill="accent6" w:themeFillTint="3F"/>
      </w:tcPr>
    </w:tblStylePr>
    <w:tblStylePr w:type="band1Horz">
      <w:tblPr/>
      <w:tcPr>
        <w:shd w:val="clear" w:color="auto" w:fill="E7E7E7" w:themeFill="accent6" w:themeFillTint="3F"/>
      </w:tcPr>
    </w:tblStylePr>
  </w:style>
  <w:style w:type="table" w:styleId="MediumList2">
    <w:name w:val="Medium List 2"/>
    <w:basedOn w:val="TableNormal"/>
    <w:uiPriority w:val="98"/>
    <w:semiHidden/>
    <w:unhideWhenUsed/>
    <w:rsid w:val="001F6DC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semiHidden/>
    <w:unhideWhenUsed/>
    <w:rsid w:val="001F6DC1"/>
    <w:rPr>
      <w:rFonts w:asciiTheme="majorHAnsi" w:eastAsiaTheme="majorEastAsia" w:hAnsiTheme="majorHAnsi" w:cstheme="majorBidi"/>
      <w:color w:val="000000" w:themeColor="text1"/>
    </w:rPr>
    <w:tblPr>
      <w:tblStyleRowBandSize w:val="1"/>
      <w:tblStyleColBandSize w:val="1"/>
      <w:tblBorders>
        <w:top w:val="single" w:sz="8" w:space="0" w:color="63D0DF" w:themeColor="accent1"/>
        <w:left w:val="single" w:sz="8" w:space="0" w:color="63D0DF" w:themeColor="accent1"/>
        <w:bottom w:val="single" w:sz="8" w:space="0" w:color="63D0DF" w:themeColor="accent1"/>
        <w:right w:val="single" w:sz="8" w:space="0" w:color="63D0DF" w:themeColor="accent1"/>
      </w:tblBorders>
    </w:tblPr>
    <w:tblStylePr w:type="firstRow">
      <w:rPr>
        <w:sz w:val="24"/>
        <w:szCs w:val="24"/>
      </w:rPr>
      <w:tblPr/>
      <w:tcPr>
        <w:tcBorders>
          <w:top w:val="nil"/>
          <w:left w:val="nil"/>
          <w:bottom w:val="single" w:sz="24" w:space="0" w:color="63D0D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3D0DF" w:themeColor="accent1"/>
          <w:insideH w:val="nil"/>
          <w:insideV w:val="nil"/>
        </w:tcBorders>
        <w:shd w:val="clear" w:color="auto" w:fill="FFFFFF" w:themeFill="background1"/>
      </w:tcPr>
    </w:tblStylePr>
    <w:tblStylePr w:type="lastCol">
      <w:tblPr/>
      <w:tcPr>
        <w:tcBorders>
          <w:top w:val="nil"/>
          <w:left w:val="single" w:sz="8" w:space="0" w:color="63D0D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F3F7" w:themeFill="accent1" w:themeFillTint="3F"/>
      </w:tcPr>
    </w:tblStylePr>
    <w:tblStylePr w:type="band1Horz">
      <w:tblPr/>
      <w:tcPr>
        <w:tcBorders>
          <w:top w:val="nil"/>
          <w:bottom w:val="nil"/>
          <w:insideH w:val="nil"/>
          <w:insideV w:val="nil"/>
        </w:tcBorders>
        <w:shd w:val="clear" w:color="auto" w:fill="D8F3F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semiHidden/>
    <w:unhideWhenUsed/>
    <w:rsid w:val="001F6DC1"/>
    <w:rPr>
      <w:rFonts w:asciiTheme="majorHAnsi" w:eastAsiaTheme="majorEastAsia" w:hAnsiTheme="majorHAnsi" w:cstheme="majorBidi"/>
      <w:color w:val="000000" w:themeColor="text1"/>
    </w:rPr>
    <w:tblPr>
      <w:tblStyleRowBandSize w:val="1"/>
      <w:tblStyleColBandSize w:val="1"/>
      <w:tblBorders>
        <w:top w:val="single" w:sz="8" w:space="0" w:color="C9C9CA" w:themeColor="accent2"/>
        <w:left w:val="single" w:sz="8" w:space="0" w:color="C9C9CA" w:themeColor="accent2"/>
        <w:bottom w:val="single" w:sz="8" w:space="0" w:color="C9C9CA" w:themeColor="accent2"/>
        <w:right w:val="single" w:sz="8" w:space="0" w:color="C9C9CA" w:themeColor="accent2"/>
      </w:tblBorders>
    </w:tblPr>
    <w:tblStylePr w:type="firstRow">
      <w:rPr>
        <w:sz w:val="24"/>
        <w:szCs w:val="24"/>
      </w:rPr>
      <w:tblPr/>
      <w:tcPr>
        <w:tcBorders>
          <w:top w:val="nil"/>
          <w:left w:val="nil"/>
          <w:bottom w:val="single" w:sz="24" w:space="0" w:color="C9C9CA"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9C9CA" w:themeColor="accent2"/>
          <w:insideH w:val="nil"/>
          <w:insideV w:val="nil"/>
        </w:tcBorders>
        <w:shd w:val="clear" w:color="auto" w:fill="FFFFFF" w:themeFill="background1"/>
      </w:tcPr>
    </w:tblStylePr>
    <w:tblStylePr w:type="lastCol">
      <w:tblPr/>
      <w:tcPr>
        <w:tcBorders>
          <w:top w:val="nil"/>
          <w:left w:val="single" w:sz="8" w:space="0" w:color="C9C9C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F1F1" w:themeFill="accent2" w:themeFillTint="3F"/>
      </w:tcPr>
    </w:tblStylePr>
    <w:tblStylePr w:type="band1Horz">
      <w:tblPr/>
      <w:tcPr>
        <w:tcBorders>
          <w:top w:val="nil"/>
          <w:bottom w:val="nil"/>
          <w:insideH w:val="nil"/>
          <w:insideV w:val="nil"/>
        </w:tcBorders>
        <w:shd w:val="clear" w:color="auto" w:fill="F1F1F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semiHidden/>
    <w:unhideWhenUsed/>
    <w:rsid w:val="001F6DC1"/>
    <w:rPr>
      <w:rFonts w:asciiTheme="majorHAnsi" w:eastAsiaTheme="majorEastAsia" w:hAnsiTheme="majorHAnsi" w:cstheme="majorBidi"/>
      <w:color w:val="000000" w:themeColor="text1"/>
    </w:rPr>
    <w:tblPr>
      <w:tblStyleRowBandSize w:val="1"/>
      <w:tblStyleColBandSize w:val="1"/>
      <w:tblBorders>
        <w:top w:val="single" w:sz="8" w:space="0" w:color="63D0DF" w:themeColor="accent3"/>
        <w:left w:val="single" w:sz="8" w:space="0" w:color="63D0DF" w:themeColor="accent3"/>
        <w:bottom w:val="single" w:sz="8" w:space="0" w:color="63D0DF" w:themeColor="accent3"/>
        <w:right w:val="single" w:sz="8" w:space="0" w:color="63D0DF" w:themeColor="accent3"/>
      </w:tblBorders>
    </w:tblPr>
    <w:tblStylePr w:type="firstRow">
      <w:rPr>
        <w:sz w:val="24"/>
        <w:szCs w:val="24"/>
      </w:rPr>
      <w:tblPr/>
      <w:tcPr>
        <w:tcBorders>
          <w:top w:val="nil"/>
          <w:left w:val="nil"/>
          <w:bottom w:val="single" w:sz="24" w:space="0" w:color="63D0DF"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3D0DF" w:themeColor="accent3"/>
          <w:insideH w:val="nil"/>
          <w:insideV w:val="nil"/>
        </w:tcBorders>
        <w:shd w:val="clear" w:color="auto" w:fill="FFFFFF" w:themeFill="background1"/>
      </w:tcPr>
    </w:tblStylePr>
    <w:tblStylePr w:type="lastCol">
      <w:tblPr/>
      <w:tcPr>
        <w:tcBorders>
          <w:top w:val="nil"/>
          <w:left w:val="single" w:sz="8" w:space="0" w:color="63D0D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F3F7" w:themeFill="accent3" w:themeFillTint="3F"/>
      </w:tcPr>
    </w:tblStylePr>
    <w:tblStylePr w:type="band1Horz">
      <w:tblPr/>
      <w:tcPr>
        <w:tcBorders>
          <w:top w:val="nil"/>
          <w:bottom w:val="nil"/>
          <w:insideH w:val="nil"/>
          <w:insideV w:val="nil"/>
        </w:tcBorders>
        <w:shd w:val="clear" w:color="auto" w:fill="D8F3F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semiHidden/>
    <w:unhideWhenUsed/>
    <w:rsid w:val="001F6DC1"/>
    <w:rPr>
      <w:rFonts w:asciiTheme="majorHAnsi" w:eastAsiaTheme="majorEastAsia" w:hAnsiTheme="majorHAnsi" w:cstheme="majorBidi"/>
      <w:color w:val="000000" w:themeColor="text1"/>
    </w:rPr>
    <w:tblPr>
      <w:tblStyleRowBandSize w:val="1"/>
      <w:tblStyleColBandSize w:val="1"/>
      <w:tblBorders>
        <w:top w:val="single" w:sz="8" w:space="0" w:color="A1A1A1" w:themeColor="accent4"/>
        <w:left w:val="single" w:sz="8" w:space="0" w:color="A1A1A1" w:themeColor="accent4"/>
        <w:bottom w:val="single" w:sz="8" w:space="0" w:color="A1A1A1" w:themeColor="accent4"/>
        <w:right w:val="single" w:sz="8" w:space="0" w:color="A1A1A1" w:themeColor="accent4"/>
      </w:tblBorders>
    </w:tblPr>
    <w:tblStylePr w:type="firstRow">
      <w:rPr>
        <w:sz w:val="24"/>
        <w:szCs w:val="24"/>
      </w:rPr>
      <w:tblPr/>
      <w:tcPr>
        <w:tcBorders>
          <w:top w:val="nil"/>
          <w:left w:val="nil"/>
          <w:bottom w:val="single" w:sz="24" w:space="0" w:color="A1A1A1"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1A1A1" w:themeColor="accent4"/>
          <w:insideH w:val="nil"/>
          <w:insideV w:val="nil"/>
        </w:tcBorders>
        <w:shd w:val="clear" w:color="auto" w:fill="FFFFFF" w:themeFill="background1"/>
      </w:tcPr>
    </w:tblStylePr>
    <w:tblStylePr w:type="lastCol">
      <w:tblPr/>
      <w:tcPr>
        <w:tcBorders>
          <w:top w:val="nil"/>
          <w:left w:val="single" w:sz="8" w:space="0" w:color="A1A1A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7E7" w:themeFill="accent4" w:themeFillTint="3F"/>
      </w:tcPr>
    </w:tblStylePr>
    <w:tblStylePr w:type="band1Horz">
      <w:tblPr/>
      <w:tcPr>
        <w:tcBorders>
          <w:top w:val="nil"/>
          <w:bottom w:val="nil"/>
          <w:insideH w:val="nil"/>
          <w:insideV w:val="nil"/>
        </w:tcBorders>
        <w:shd w:val="clear" w:color="auto" w:fill="E7E7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semiHidden/>
    <w:unhideWhenUsed/>
    <w:rsid w:val="001F6DC1"/>
    <w:rPr>
      <w:rFonts w:asciiTheme="majorHAnsi" w:eastAsiaTheme="majorEastAsia" w:hAnsiTheme="majorHAnsi" w:cstheme="majorBidi"/>
      <w:color w:val="000000" w:themeColor="text1"/>
    </w:rPr>
    <w:tblPr>
      <w:tblStyleRowBandSize w:val="1"/>
      <w:tblStyleColBandSize w:val="1"/>
      <w:tblBorders>
        <w:top w:val="single" w:sz="8" w:space="0" w:color="63D0DF" w:themeColor="accent5"/>
        <w:left w:val="single" w:sz="8" w:space="0" w:color="63D0DF" w:themeColor="accent5"/>
        <w:bottom w:val="single" w:sz="8" w:space="0" w:color="63D0DF" w:themeColor="accent5"/>
        <w:right w:val="single" w:sz="8" w:space="0" w:color="63D0DF" w:themeColor="accent5"/>
      </w:tblBorders>
    </w:tblPr>
    <w:tblStylePr w:type="firstRow">
      <w:rPr>
        <w:sz w:val="24"/>
        <w:szCs w:val="24"/>
      </w:rPr>
      <w:tblPr/>
      <w:tcPr>
        <w:tcBorders>
          <w:top w:val="nil"/>
          <w:left w:val="nil"/>
          <w:bottom w:val="single" w:sz="24" w:space="0" w:color="63D0D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3D0DF" w:themeColor="accent5"/>
          <w:insideH w:val="nil"/>
          <w:insideV w:val="nil"/>
        </w:tcBorders>
        <w:shd w:val="clear" w:color="auto" w:fill="FFFFFF" w:themeFill="background1"/>
      </w:tcPr>
    </w:tblStylePr>
    <w:tblStylePr w:type="lastCol">
      <w:tblPr/>
      <w:tcPr>
        <w:tcBorders>
          <w:top w:val="nil"/>
          <w:left w:val="single" w:sz="8" w:space="0" w:color="63D0D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F3F7" w:themeFill="accent5" w:themeFillTint="3F"/>
      </w:tcPr>
    </w:tblStylePr>
    <w:tblStylePr w:type="band1Horz">
      <w:tblPr/>
      <w:tcPr>
        <w:tcBorders>
          <w:top w:val="nil"/>
          <w:bottom w:val="nil"/>
          <w:insideH w:val="nil"/>
          <w:insideV w:val="nil"/>
        </w:tcBorders>
        <w:shd w:val="clear" w:color="auto" w:fill="D8F3F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semiHidden/>
    <w:unhideWhenUsed/>
    <w:rsid w:val="001F6DC1"/>
    <w:rPr>
      <w:rFonts w:asciiTheme="majorHAnsi" w:eastAsiaTheme="majorEastAsia" w:hAnsiTheme="majorHAnsi" w:cstheme="majorBidi"/>
      <w:color w:val="000000" w:themeColor="text1"/>
    </w:rPr>
    <w:tblPr>
      <w:tblStyleRowBandSize w:val="1"/>
      <w:tblStyleColBandSize w:val="1"/>
      <w:tblBorders>
        <w:top w:val="single" w:sz="8" w:space="0" w:color="A1A1A1" w:themeColor="accent6"/>
        <w:left w:val="single" w:sz="8" w:space="0" w:color="A1A1A1" w:themeColor="accent6"/>
        <w:bottom w:val="single" w:sz="8" w:space="0" w:color="A1A1A1" w:themeColor="accent6"/>
        <w:right w:val="single" w:sz="8" w:space="0" w:color="A1A1A1" w:themeColor="accent6"/>
      </w:tblBorders>
    </w:tblPr>
    <w:tblStylePr w:type="firstRow">
      <w:rPr>
        <w:sz w:val="24"/>
        <w:szCs w:val="24"/>
      </w:rPr>
      <w:tblPr/>
      <w:tcPr>
        <w:tcBorders>
          <w:top w:val="nil"/>
          <w:left w:val="nil"/>
          <w:bottom w:val="single" w:sz="24" w:space="0" w:color="A1A1A1"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1A1A1" w:themeColor="accent6"/>
          <w:insideH w:val="nil"/>
          <w:insideV w:val="nil"/>
        </w:tcBorders>
        <w:shd w:val="clear" w:color="auto" w:fill="FFFFFF" w:themeFill="background1"/>
      </w:tcPr>
    </w:tblStylePr>
    <w:tblStylePr w:type="lastCol">
      <w:tblPr/>
      <w:tcPr>
        <w:tcBorders>
          <w:top w:val="nil"/>
          <w:left w:val="single" w:sz="8" w:space="0" w:color="A1A1A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7E7" w:themeFill="accent6" w:themeFillTint="3F"/>
      </w:tcPr>
    </w:tblStylePr>
    <w:tblStylePr w:type="band1Horz">
      <w:tblPr/>
      <w:tcPr>
        <w:tcBorders>
          <w:top w:val="nil"/>
          <w:bottom w:val="nil"/>
          <w:insideH w:val="nil"/>
          <w:insideV w:val="nil"/>
        </w:tcBorders>
        <w:shd w:val="clear" w:color="auto" w:fill="E7E7E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semiHidden/>
    <w:unhideWhenUsed/>
    <w:rsid w:val="001F6DC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semiHidden/>
    <w:unhideWhenUsed/>
    <w:rsid w:val="001F6DC1"/>
    <w:tblPr>
      <w:tblStyleRowBandSize w:val="1"/>
      <w:tblStyleColBandSize w:val="1"/>
      <w:tblBorders>
        <w:top w:val="single" w:sz="8" w:space="0" w:color="8ADBE7" w:themeColor="accent1" w:themeTint="BF"/>
        <w:left w:val="single" w:sz="8" w:space="0" w:color="8ADBE7" w:themeColor="accent1" w:themeTint="BF"/>
        <w:bottom w:val="single" w:sz="8" w:space="0" w:color="8ADBE7" w:themeColor="accent1" w:themeTint="BF"/>
        <w:right w:val="single" w:sz="8" w:space="0" w:color="8ADBE7" w:themeColor="accent1" w:themeTint="BF"/>
        <w:insideH w:val="single" w:sz="8" w:space="0" w:color="8ADBE7" w:themeColor="accent1" w:themeTint="BF"/>
      </w:tblBorders>
    </w:tblPr>
    <w:tblStylePr w:type="firstRow">
      <w:pPr>
        <w:spacing w:before="0" w:after="0" w:line="240" w:lineRule="auto"/>
      </w:pPr>
      <w:rPr>
        <w:b/>
        <w:bCs/>
        <w:color w:val="FFFFFF" w:themeColor="background1"/>
      </w:rPr>
      <w:tblPr/>
      <w:tcPr>
        <w:tcBorders>
          <w:top w:val="single" w:sz="8" w:space="0" w:color="8ADBE7" w:themeColor="accent1" w:themeTint="BF"/>
          <w:left w:val="single" w:sz="8" w:space="0" w:color="8ADBE7" w:themeColor="accent1" w:themeTint="BF"/>
          <w:bottom w:val="single" w:sz="8" w:space="0" w:color="8ADBE7" w:themeColor="accent1" w:themeTint="BF"/>
          <w:right w:val="single" w:sz="8" w:space="0" w:color="8ADBE7" w:themeColor="accent1" w:themeTint="BF"/>
          <w:insideH w:val="nil"/>
          <w:insideV w:val="nil"/>
        </w:tcBorders>
        <w:shd w:val="clear" w:color="auto" w:fill="63D0DF" w:themeFill="accent1"/>
      </w:tcPr>
    </w:tblStylePr>
    <w:tblStylePr w:type="lastRow">
      <w:pPr>
        <w:spacing w:before="0" w:after="0" w:line="240" w:lineRule="auto"/>
      </w:pPr>
      <w:rPr>
        <w:b/>
        <w:bCs/>
      </w:rPr>
      <w:tblPr/>
      <w:tcPr>
        <w:tcBorders>
          <w:top w:val="double" w:sz="6" w:space="0" w:color="8ADBE7" w:themeColor="accent1" w:themeTint="BF"/>
          <w:left w:val="single" w:sz="8" w:space="0" w:color="8ADBE7" w:themeColor="accent1" w:themeTint="BF"/>
          <w:bottom w:val="single" w:sz="8" w:space="0" w:color="8ADBE7" w:themeColor="accent1" w:themeTint="BF"/>
          <w:right w:val="single" w:sz="8" w:space="0" w:color="8ADBE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8F3F7" w:themeFill="accent1" w:themeFillTint="3F"/>
      </w:tcPr>
    </w:tblStylePr>
    <w:tblStylePr w:type="band1Horz">
      <w:tblPr/>
      <w:tcPr>
        <w:tcBorders>
          <w:insideH w:val="nil"/>
          <w:insideV w:val="nil"/>
        </w:tcBorders>
        <w:shd w:val="clear" w:color="auto" w:fill="D8F3F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semiHidden/>
    <w:unhideWhenUsed/>
    <w:rsid w:val="001F6DC1"/>
    <w:tblPr>
      <w:tblStyleRowBandSize w:val="1"/>
      <w:tblStyleColBandSize w:val="1"/>
      <w:tblBorders>
        <w:top w:val="single" w:sz="8" w:space="0" w:color="D6D6D7" w:themeColor="accent2" w:themeTint="BF"/>
        <w:left w:val="single" w:sz="8" w:space="0" w:color="D6D6D7" w:themeColor="accent2" w:themeTint="BF"/>
        <w:bottom w:val="single" w:sz="8" w:space="0" w:color="D6D6D7" w:themeColor="accent2" w:themeTint="BF"/>
        <w:right w:val="single" w:sz="8" w:space="0" w:color="D6D6D7" w:themeColor="accent2" w:themeTint="BF"/>
        <w:insideH w:val="single" w:sz="8" w:space="0" w:color="D6D6D7" w:themeColor="accent2" w:themeTint="BF"/>
      </w:tblBorders>
    </w:tblPr>
    <w:tblStylePr w:type="firstRow">
      <w:pPr>
        <w:spacing w:before="0" w:after="0" w:line="240" w:lineRule="auto"/>
      </w:pPr>
      <w:rPr>
        <w:b/>
        <w:bCs/>
        <w:color w:val="FFFFFF" w:themeColor="background1"/>
      </w:rPr>
      <w:tblPr/>
      <w:tcPr>
        <w:tcBorders>
          <w:top w:val="single" w:sz="8" w:space="0" w:color="D6D6D7" w:themeColor="accent2" w:themeTint="BF"/>
          <w:left w:val="single" w:sz="8" w:space="0" w:color="D6D6D7" w:themeColor="accent2" w:themeTint="BF"/>
          <w:bottom w:val="single" w:sz="8" w:space="0" w:color="D6D6D7" w:themeColor="accent2" w:themeTint="BF"/>
          <w:right w:val="single" w:sz="8" w:space="0" w:color="D6D6D7" w:themeColor="accent2" w:themeTint="BF"/>
          <w:insideH w:val="nil"/>
          <w:insideV w:val="nil"/>
        </w:tcBorders>
        <w:shd w:val="clear" w:color="auto" w:fill="C9C9CA" w:themeFill="accent2"/>
      </w:tcPr>
    </w:tblStylePr>
    <w:tblStylePr w:type="lastRow">
      <w:pPr>
        <w:spacing w:before="0" w:after="0" w:line="240" w:lineRule="auto"/>
      </w:pPr>
      <w:rPr>
        <w:b/>
        <w:bCs/>
      </w:rPr>
      <w:tblPr/>
      <w:tcPr>
        <w:tcBorders>
          <w:top w:val="double" w:sz="6" w:space="0" w:color="D6D6D7" w:themeColor="accent2" w:themeTint="BF"/>
          <w:left w:val="single" w:sz="8" w:space="0" w:color="D6D6D7" w:themeColor="accent2" w:themeTint="BF"/>
          <w:bottom w:val="single" w:sz="8" w:space="0" w:color="D6D6D7" w:themeColor="accent2" w:themeTint="BF"/>
          <w:right w:val="single" w:sz="8" w:space="0" w:color="D6D6D7"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F1F1" w:themeFill="accent2" w:themeFillTint="3F"/>
      </w:tcPr>
    </w:tblStylePr>
    <w:tblStylePr w:type="band1Horz">
      <w:tblPr/>
      <w:tcPr>
        <w:tcBorders>
          <w:insideH w:val="nil"/>
          <w:insideV w:val="nil"/>
        </w:tcBorders>
        <w:shd w:val="clear" w:color="auto" w:fill="F1F1F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semiHidden/>
    <w:unhideWhenUsed/>
    <w:rsid w:val="001F6DC1"/>
    <w:tblPr>
      <w:tblStyleRowBandSize w:val="1"/>
      <w:tblStyleColBandSize w:val="1"/>
      <w:tblBorders>
        <w:top w:val="single" w:sz="8" w:space="0" w:color="8ADBE7" w:themeColor="accent3" w:themeTint="BF"/>
        <w:left w:val="single" w:sz="8" w:space="0" w:color="8ADBE7" w:themeColor="accent3" w:themeTint="BF"/>
        <w:bottom w:val="single" w:sz="8" w:space="0" w:color="8ADBE7" w:themeColor="accent3" w:themeTint="BF"/>
        <w:right w:val="single" w:sz="8" w:space="0" w:color="8ADBE7" w:themeColor="accent3" w:themeTint="BF"/>
        <w:insideH w:val="single" w:sz="8" w:space="0" w:color="8ADBE7" w:themeColor="accent3" w:themeTint="BF"/>
      </w:tblBorders>
    </w:tblPr>
    <w:tblStylePr w:type="firstRow">
      <w:pPr>
        <w:spacing w:before="0" w:after="0" w:line="240" w:lineRule="auto"/>
      </w:pPr>
      <w:rPr>
        <w:b/>
        <w:bCs/>
        <w:color w:val="FFFFFF" w:themeColor="background1"/>
      </w:rPr>
      <w:tblPr/>
      <w:tcPr>
        <w:tcBorders>
          <w:top w:val="single" w:sz="8" w:space="0" w:color="8ADBE7" w:themeColor="accent3" w:themeTint="BF"/>
          <w:left w:val="single" w:sz="8" w:space="0" w:color="8ADBE7" w:themeColor="accent3" w:themeTint="BF"/>
          <w:bottom w:val="single" w:sz="8" w:space="0" w:color="8ADBE7" w:themeColor="accent3" w:themeTint="BF"/>
          <w:right w:val="single" w:sz="8" w:space="0" w:color="8ADBE7" w:themeColor="accent3" w:themeTint="BF"/>
          <w:insideH w:val="nil"/>
          <w:insideV w:val="nil"/>
        </w:tcBorders>
        <w:shd w:val="clear" w:color="auto" w:fill="63D0DF" w:themeFill="accent3"/>
      </w:tcPr>
    </w:tblStylePr>
    <w:tblStylePr w:type="lastRow">
      <w:pPr>
        <w:spacing w:before="0" w:after="0" w:line="240" w:lineRule="auto"/>
      </w:pPr>
      <w:rPr>
        <w:b/>
        <w:bCs/>
      </w:rPr>
      <w:tblPr/>
      <w:tcPr>
        <w:tcBorders>
          <w:top w:val="double" w:sz="6" w:space="0" w:color="8ADBE7" w:themeColor="accent3" w:themeTint="BF"/>
          <w:left w:val="single" w:sz="8" w:space="0" w:color="8ADBE7" w:themeColor="accent3" w:themeTint="BF"/>
          <w:bottom w:val="single" w:sz="8" w:space="0" w:color="8ADBE7" w:themeColor="accent3" w:themeTint="BF"/>
          <w:right w:val="single" w:sz="8" w:space="0" w:color="8ADBE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F3F7" w:themeFill="accent3" w:themeFillTint="3F"/>
      </w:tcPr>
    </w:tblStylePr>
    <w:tblStylePr w:type="band1Horz">
      <w:tblPr/>
      <w:tcPr>
        <w:tcBorders>
          <w:insideH w:val="nil"/>
          <w:insideV w:val="nil"/>
        </w:tcBorders>
        <w:shd w:val="clear" w:color="auto" w:fill="D8F3F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semiHidden/>
    <w:unhideWhenUsed/>
    <w:rsid w:val="001F6DC1"/>
    <w:tblPr>
      <w:tblStyleRowBandSize w:val="1"/>
      <w:tblStyleColBandSize w:val="1"/>
      <w:tblBorders>
        <w:top w:val="single" w:sz="8" w:space="0" w:color="B8B8B8" w:themeColor="accent4" w:themeTint="BF"/>
        <w:left w:val="single" w:sz="8" w:space="0" w:color="B8B8B8" w:themeColor="accent4" w:themeTint="BF"/>
        <w:bottom w:val="single" w:sz="8" w:space="0" w:color="B8B8B8" w:themeColor="accent4" w:themeTint="BF"/>
        <w:right w:val="single" w:sz="8" w:space="0" w:color="B8B8B8" w:themeColor="accent4" w:themeTint="BF"/>
        <w:insideH w:val="single" w:sz="8" w:space="0" w:color="B8B8B8" w:themeColor="accent4" w:themeTint="BF"/>
      </w:tblBorders>
    </w:tblPr>
    <w:tblStylePr w:type="firstRow">
      <w:pPr>
        <w:spacing w:before="0" w:after="0" w:line="240" w:lineRule="auto"/>
      </w:pPr>
      <w:rPr>
        <w:b/>
        <w:bCs/>
        <w:color w:val="FFFFFF" w:themeColor="background1"/>
      </w:rPr>
      <w:tblPr/>
      <w:tcPr>
        <w:tcBorders>
          <w:top w:val="single" w:sz="8" w:space="0" w:color="B8B8B8" w:themeColor="accent4" w:themeTint="BF"/>
          <w:left w:val="single" w:sz="8" w:space="0" w:color="B8B8B8" w:themeColor="accent4" w:themeTint="BF"/>
          <w:bottom w:val="single" w:sz="8" w:space="0" w:color="B8B8B8" w:themeColor="accent4" w:themeTint="BF"/>
          <w:right w:val="single" w:sz="8" w:space="0" w:color="B8B8B8" w:themeColor="accent4" w:themeTint="BF"/>
          <w:insideH w:val="nil"/>
          <w:insideV w:val="nil"/>
        </w:tcBorders>
        <w:shd w:val="clear" w:color="auto" w:fill="A1A1A1" w:themeFill="accent4"/>
      </w:tcPr>
    </w:tblStylePr>
    <w:tblStylePr w:type="lastRow">
      <w:pPr>
        <w:spacing w:before="0" w:after="0" w:line="240" w:lineRule="auto"/>
      </w:pPr>
      <w:rPr>
        <w:b/>
        <w:bCs/>
      </w:rPr>
      <w:tblPr/>
      <w:tcPr>
        <w:tcBorders>
          <w:top w:val="double" w:sz="6" w:space="0" w:color="B8B8B8" w:themeColor="accent4" w:themeTint="BF"/>
          <w:left w:val="single" w:sz="8" w:space="0" w:color="B8B8B8" w:themeColor="accent4" w:themeTint="BF"/>
          <w:bottom w:val="single" w:sz="8" w:space="0" w:color="B8B8B8" w:themeColor="accent4" w:themeTint="BF"/>
          <w:right w:val="single" w:sz="8" w:space="0" w:color="B8B8B8"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7E7" w:themeFill="accent4" w:themeFillTint="3F"/>
      </w:tcPr>
    </w:tblStylePr>
    <w:tblStylePr w:type="band1Horz">
      <w:tblPr/>
      <w:tcPr>
        <w:tcBorders>
          <w:insideH w:val="nil"/>
          <w:insideV w:val="nil"/>
        </w:tcBorders>
        <w:shd w:val="clear" w:color="auto" w:fill="E7E7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semiHidden/>
    <w:unhideWhenUsed/>
    <w:rsid w:val="001F6DC1"/>
    <w:tblPr>
      <w:tblStyleRowBandSize w:val="1"/>
      <w:tblStyleColBandSize w:val="1"/>
      <w:tblBorders>
        <w:top w:val="single" w:sz="8" w:space="0" w:color="8ADBE7" w:themeColor="accent5" w:themeTint="BF"/>
        <w:left w:val="single" w:sz="8" w:space="0" w:color="8ADBE7" w:themeColor="accent5" w:themeTint="BF"/>
        <w:bottom w:val="single" w:sz="8" w:space="0" w:color="8ADBE7" w:themeColor="accent5" w:themeTint="BF"/>
        <w:right w:val="single" w:sz="8" w:space="0" w:color="8ADBE7" w:themeColor="accent5" w:themeTint="BF"/>
        <w:insideH w:val="single" w:sz="8" w:space="0" w:color="8ADBE7" w:themeColor="accent5" w:themeTint="BF"/>
      </w:tblBorders>
    </w:tblPr>
    <w:tblStylePr w:type="firstRow">
      <w:pPr>
        <w:spacing w:before="0" w:after="0" w:line="240" w:lineRule="auto"/>
      </w:pPr>
      <w:rPr>
        <w:b/>
        <w:bCs/>
        <w:color w:val="FFFFFF" w:themeColor="background1"/>
      </w:rPr>
      <w:tblPr/>
      <w:tcPr>
        <w:tcBorders>
          <w:top w:val="single" w:sz="8" w:space="0" w:color="8ADBE7" w:themeColor="accent5" w:themeTint="BF"/>
          <w:left w:val="single" w:sz="8" w:space="0" w:color="8ADBE7" w:themeColor="accent5" w:themeTint="BF"/>
          <w:bottom w:val="single" w:sz="8" w:space="0" w:color="8ADBE7" w:themeColor="accent5" w:themeTint="BF"/>
          <w:right w:val="single" w:sz="8" w:space="0" w:color="8ADBE7" w:themeColor="accent5" w:themeTint="BF"/>
          <w:insideH w:val="nil"/>
          <w:insideV w:val="nil"/>
        </w:tcBorders>
        <w:shd w:val="clear" w:color="auto" w:fill="63D0DF" w:themeFill="accent5"/>
      </w:tcPr>
    </w:tblStylePr>
    <w:tblStylePr w:type="lastRow">
      <w:pPr>
        <w:spacing w:before="0" w:after="0" w:line="240" w:lineRule="auto"/>
      </w:pPr>
      <w:rPr>
        <w:b/>
        <w:bCs/>
      </w:rPr>
      <w:tblPr/>
      <w:tcPr>
        <w:tcBorders>
          <w:top w:val="double" w:sz="6" w:space="0" w:color="8ADBE7" w:themeColor="accent5" w:themeTint="BF"/>
          <w:left w:val="single" w:sz="8" w:space="0" w:color="8ADBE7" w:themeColor="accent5" w:themeTint="BF"/>
          <w:bottom w:val="single" w:sz="8" w:space="0" w:color="8ADBE7" w:themeColor="accent5" w:themeTint="BF"/>
          <w:right w:val="single" w:sz="8" w:space="0" w:color="8ADBE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8F3F7" w:themeFill="accent5" w:themeFillTint="3F"/>
      </w:tcPr>
    </w:tblStylePr>
    <w:tblStylePr w:type="band1Horz">
      <w:tblPr/>
      <w:tcPr>
        <w:tcBorders>
          <w:insideH w:val="nil"/>
          <w:insideV w:val="nil"/>
        </w:tcBorders>
        <w:shd w:val="clear" w:color="auto" w:fill="D8F3F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semiHidden/>
    <w:unhideWhenUsed/>
    <w:rsid w:val="001F6DC1"/>
    <w:tblPr>
      <w:tblStyleRowBandSize w:val="1"/>
      <w:tblStyleColBandSize w:val="1"/>
      <w:tblBorders>
        <w:top w:val="single" w:sz="8" w:space="0" w:color="B8B8B8" w:themeColor="accent6" w:themeTint="BF"/>
        <w:left w:val="single" w:sz="8" w:space="0" w:color="B8B8B8" w:themeColor="accent6" w:themeTint="BF"/>
        <w:bottom w:val="single" w:sz="8" w:space="0" w:color="B8B8B8" w:themeColor="accent6" w:themeTint="BF"/>
        <w:right w:val="single" w:sz="8" w:space="0" w:color="B8B8B8" w:themeColor="accent6" w:themeTint="BF"/>
        <w:insideH w:val="single" w:sz="8" w:space="0" w:color="B8B8B8" w:themeColor="accent6" w:themeTint="BF"/>
      </w:tblBorders>
    </w:tblPr>
    <w:tblStylePr w:type="firstRow">
      <w:pPr>
        <w:spacing w:before="0" w:after="0" w:line="240" w:lineRule="auto"/>
      </w:pPr>
      <w:rPr>
        <w:b/>
        <w:bCs/>
        <w:color w:val="FFFFFF" w:themeColor="background1"/>
      </w:rPr>
      <w:tblPr/>
      <w:tcPr>
        <w:tcBorders>
          <w:top w:val="single" w:sz="8" w:space="0" w:color="B8B8B8" w:themeColor="accent6" w:themeTint="BF"/>
          <w:left w:val="single" w:sz="8" w:space="0" w:color="B8B8B8" w:themeColor="accent6" w:themeTint="BF"/>
          <w:bottom w:val="single" w:sz="8" w:space="0" w:color="B8B8B8" w:themeColor="accent6" w:themeTint="BF"/>
          <w:right w:val="single" w:sz="8" w:space="0" w:color="B8B8B8" w:themeColor="accent6" w:themeTint="BF"/>
          <w:insideH w:val="nil"/>
          <w:insideV w:val="nil"/>
        </w:tcBorders>
        <w:shd w:val="clear" w:color="auto" w:fill="A1A1A1" w:themeFill="accent6"/>
      </w:tcPr>
    </w:tblStylePr>
    <w:tblStylePr w:type="lastRow">
      <w:pPr>
        <w:spacing w:before="0" w:after="0" w:line="240" w:lineRule="auto"/>
      </w:pPr>
      <w:rPr>
        <w:b/>
        <w:bCs/>
      </w:rPr>
      <w:tblPr/>
      <w:tcPr>
        <w:tcBorders>
          <w:top w:val="double" w:sz="6" w:space="0" w:color="B8B8B8" w:themeColor="accent6" w:themeTint="BF"/>
          <w:left w:val="single" w:sz="8" w:space="0" w:color="B8B8B8" w:themeColor="accent6" w:themeTint="BF"/>
          <w:bottom w:val="single" w:sz="8" w:space="0" w:color="B8B8B8" w:themeColor="accent6" w:themeTint="BF"/>
          <w:right w:val="single" w:sz="8" w:space="0" w:color="B8B8B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7E7E7" w:themeFill="accent6" w:themeFillTint="3F"/>
      </w:tcPr>
    </w:tblStylePr>
    <w:tblStylePr w:type="band1Horz">
      <w:tblPr/>
      <w:tcPr>
        <w:tcBorders>
          <w:insideH w:val="nil"/>
          <w:insideV w:val="nil"/>
        </w:tcBorders>
        <w:shd w:val="clear" w:color="auto" w:fill="E7E7E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semiHidden/>
    <w:unhideWhenUsed/>
    <w:rsid w:val="001F6DC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98"/>
    <w:semiHidden/>
    <w:unhideWhenUsed/>
    <w:rsid w:val="001F6DC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3D0D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3D0DF" w:themeFill="accent1"/>
      </w:tcPr>
    </w:tblStylePr>
    <w:tblStylePr w:type="lastCol">
      <w:rPr>
        <w:b/>
        <w:bCs/>
        <w:color w:val="FFFFFF" w:themeColor="background1"/>
      </w:rPr>
      <w:tblPr/>
      <w:tcPr>
        <w:tcBorders>
          <w:left w:val="nil"/>
          <w:right w:val="nil"/>
          <w:insideH w:val="nil"/>
          <w:insideV w:val="nil"/>
        </w:tcBorders>
        <w:shd w:val="clear" w:color="auto" w:fill="63D0D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98"/>
    <w:semiHidden/>
    <w:unhideWhenUsed/>
    <w:rsid w:val="001F6DC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9C9C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9C9CA" w:themeFill="accent2"/>
      </w:tcPr>
    </w:tblStylePr>
    <w:tblStylePr w:type="lastCol">
      <w:rPr>
        <w:b/>
        <w:bCs/>
        <w:color w:val="FFFFFF" w:themeColor="background1"/>
      </w:rPr>
      <w:tblPr/>
      <w:tcPr>
        <w:tcBorders>
          <w:left w:val="nil"/>
          <w:right w:val="nil"/>
          <w:insideH w:val="nil"/>
          <w:insideV w:val="nil"/>
        </w:tcBorders>
        <w:shd w:val="clear" w:color="auto" w:fill="C9C9C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98"/>
    <w:semiHidden/>
    <w:unhideWhenUsed/>
    <w:rsid w:val="001F6DC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3D0D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3D0DF" w:themeFill="accent3"/>
      </w:tcPr>
    </w:tblStylePr>
    <w:tblStylePr w:type="lastCol">
      <w:rPr>
        <w:b/>
        <w:bCs/>
        <w:color w:val="FFFFFF" w:themeColor="background1"/>
      </w:rPr>
      <w:tblPr/>
      <w:tcPr>
        <w:tcBorders>
          <w:left w:val="nil"/>
          <w:right w:val="nil"/>
          <w:insideH w:val="nil"/>
          <w:insideV w:val="nil"/>
        </w:tcBorders>
        <w:shd w:val="clear" w:color="auto" w:fill="63D0D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98"/>
    <w:semiHidden/>
    <w:unhideWhenUsed/>
    <w:rsid w:val="001F6DC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1A1A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1A1A1" w:themeFill="accent4"/>
      </w:tcPr>
    </w:tblStylePr>
    <w:tblStylePr w:type="lastCol">
      <w:rPr>
        <w:b/>
        <w:bCs/>
        <w:color w:val="FFFFFF" w:themeColor="background1"/>
      </w:rPr>
      <w:tblPr/>
      <w:tcPr>
        <w:tcBorders>
          <w:left w:val="nil"/>
          <w:right w:val="nil"/>
          <w:insideH w:val="nil"/>
          <w:insideV w:val="nil"/>
        </w:tcBorders>
        <w:shd w:val="clear" w:color="auto" w:fill="A1A1A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98"/>
    <w:semiHidden/>
    <w:unhideWhenUsed/>
    <w:rsid w:val="001F6DC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3D0D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3D0DF" w:themeFill="accent5"/>
      </w:tcPr>
    </w:tblStylePr>
    <w:tblStylePr w:type="lastCol">
      <w:rPr>
        <w:b/>
        <w:bCs/>
        <w:color w:val="FFFFFF" w:themeColor="background1"/>
      </w:rPr>
      <w:tblPr/>
      <w:tcPr>
        <w:tcBorders>
          <w:left w:val="nil"/>
          <w:right w:val="nil"/>
          <w:insideH w:val="nil"/>
          <w:insideV w:val="nil"/>
        </w:tcBorders>
        <w:shd w:val="clear" w:color="auto" w:fill="63D0D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98"/>
    <w:semiHidden/>
    <w:unhideWhenUsed/>
    <w:rsid w:val="001F6DC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1A1A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1A1A1" w:themeFill="accent6"/>
      </w:tcPr>
    </w:tblStylePr>
    <w:tblStylePr w:type="lastCol">
      <w:rPr>
        <w:b/>
        <w:bCs/>
        <w:color w:val="FFFFFF" w:themeColor="background1"/>
      </w:rPr>
      <w:tblPr/>
      <w:tcPr>
        <w:tcBorders>
          <w:left w:val="nil"/>
          <w:right w:val="nil"/>
          <w:insideH w:val="nil"/>
          <w:insideV w:val="nil"/>
        </w:tcBorders>
        <w:shd w:val="clear" w:color="auto" w:fill="A1A1A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able3Deffects1">
    <w:name w:val="Table 3D effects 1"/>
    <w:basedOn w:val="TableNormal"/>
    <w:uiPriority w:val="98"/>
    <w:semiHidden/>
    <w:unhideWhenUsed/>
    <w:rsid w:val="001F6DC1"/>
    <w:pPr>
      <w:spacing w:after="227" w:line="22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semiHidden/>
    <w:unhideWhenUsed/>
    <w:rsid w:val="001F6DC1"/>
    <w:pPr>
      <w:spacing w:after="227" w:line="22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semiHidden/>
    <w:unhideWhenUsed/>
    <w:rsid w:val="001F6DC1"/>
    <w:pPr>
      <w:spacing w:after="227" w:line="22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semiHidden/>
    <w:unhideWhenUsed/>
    <w:rsid w:val="001F6DC1"/>
    <w:pPr>
      <w:spacing w:after="227" w:line="22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semiHidden/>
    <w:unhideWhenUsed/>
    <w:rsid w:val="001F6DC1"/>
    <w:pPr>
      <w:spacing w:after="227" w:line="22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semiHidden/>
    <w:unhideWhenUsed/>
    <w:rsid w:val="001F6DC1"/>
    <w:pPr>
      <w:spacing w:after="227" w:line="22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semiHidden/>
    <w:unhideWhenUsed/>
    <w:rsid w:val="001F6DC1"/>
    <w:pPr>
      <w:spacing w:after="227" w:line="22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semiHidden/>
    <w:unhideWhenUsed/>
    <w:rsid w:val="001F6DC1"/>
    <w:pPr>
      <w:spacing w:after="227" w:line="22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semiHidden/>
    <w:unhideWhenUsed/>
    <w:rsid w:val="001F6DC1"/>
    <w:pPr>
      <w:spacing w:after="227" w:line="22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semiHidden/>
    <w:unhideWhenUsed/>
    <w:rsid w:val="001F6DC1"/>
    <w:pPr>
      <w:spacing w:after="227" w:line="22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semiHidden/>
    <w:unhideWhenUsed/>
    <w:rsid w:val="001F6DC1"/>
    <w:pPr>
      <w:spacing w:after="227" w:line="22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semiHidden/>
    <w:unhideWhenUsed/>
    <w:rsid w:val="001F6DC1"/>
    <w:pPr>
      <w:spacing w:after="227" w:line="22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semiHidden/>
    <w:unhideWhenUsed/>
    <w:rsid w:val="001F6DC1"/>
    <w:pPr>
      <w:spacing w:after="227" w:line="22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semiHidden/>
    <w:unhideWhenUsed/>
    <w:rsid w:val="001F6DC1"/>
    <w:pPr>
      <w:spacing w:after="227" w:line="22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semiHidden/>
    <w:unhideWhenUsed/>
    <w:rsid w:val="001F6DC1"/>
    <w:pPr>
      <w:spacing w:after="227" w:line="22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semiHidden/>
    <w:unhideWhenUsed/>
    <w:rsid w:val="001F6DC1"/>
    <w:pPr>
      <w:spacing w:after="227" w:line="22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semiHidden/>
    <w:unhideWhenUsed/>
    <w:rsid w:val="001F6DC1"/>
    <w:pPr>
      <w:spacing w:after="227" w:line="22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8"/>
    <w:semiHidden/>
    <w:unhideWhenUsed/>
    <w:rsid w:val="001F6DC1"/>
    <w:pPr>
      <w:spacing w:after="227" w:line="22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semiHidden/>
    <w:unhideWhenUsed/>
    <w:rsid w:val="001F6DC1"/>
    <w:pPr>
      <w:spacing w:after="227" w:line="22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semiHidden/>
    <w:unhideWhenUsed/>
    <w:rsid w:val="001F6DC1"/>
    <w:pPr>
      <w:spacing w:after="227" w:line="22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semiHidden/>
    <w:unhideWhenUsed/>
    <w:rsid w:val="001F6DC1"/>
    <w:pPr>
      <w:spacing w:after="227" w:line="22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semiHidden/>
    <w:unhideWhenUsed/>
    <w:rsid w:val="001F6DC1"/>
    <w:pPr>
      <w:spacing w:after="227" w:line="22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semiHidden/>
    <w:unhideWhenUsed/>
    <w:rsid w:val="001F6DC1"/>
    <w:pPr>
      <w:spacing w:after="227" w:line="22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semiHidden/>
    <w:unhideWhenUsed/>
    <w:rsid w:val="001F6DC1"/>
    <w:pPr>
      <w:spacing w:after="227" w:line="22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semiHidden/>
    <w:unhideWhenUsed/>
    <w:rsid w:val="001F6DC1"/>
    <w:pPr>
      <w:spacing w:after="227" w:line="22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F6DC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8"/>
    <w:semiHidden/>
    <w:unhideWhenUsed/>
    <w:rsid w:val="001F6DC1"/>
    <w:pPr>
      <w:spacing w:after="227" w:line="22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semiHidden/>
    <w:unhideWhenUsed/>
    <w:rsid w:val="001F6DC1"/>
    <w:pPr>
      <w:spacing w:after="227" w:line="22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semiHidden/>
    <w:unhideWhenUsed/>
    <w:rsid w:val="001F6DC1"/>
    <w:pPr>
      <w:spacing w:after="227" w:line="22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semiHidden/>
    <w:unhideWhenUsed/>
    <w:rsid w:val="001F6DC1"/>
    <w:pPr>
      <w:spacing w:after="227" w:line="22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semiHidden/>
    <w:unhideWhenUsed/>
    <w:rsid w:val="001F6DC1"/>
    <w:pPr>
      <w:spacing w:after="227" w:line="22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semiHidden/>
    <w:unhideWhenUsed/>
    <w:rsid w:val="001F6DC1"/>
    <w:pPr>
      <w:spacing w:after="227" w:line="22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semiHidden/>
    <w:unhideWhenUsed/>
    <w:rsid w:val="001F6DC1"/>
    <w:pPr>
      <w:spacing w:after="227" w:line="22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semiHidden/>
    <w:unhideWhenUsed/>
    <w:rsid w:val="001F6DC1"/>
    <w:pPr>
      <w:spacing w:after="227" w:line="22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8"/>
    <w:semiHidden/>
    <w:unhideWhenUsed/>
    <w:rsid w:val="001F6DC1"/>
    <w:pPr>
      <w:spacing w:after="227" w:line="22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semiHidden/>
    <w:unhideWhenUsed/>
    <w:rsid w:val="001F6DC1"/>
    <w:pPr>
      <w:spacing w:after="227" w:line="22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semiHidden/>
    <w:unhideWhenUsed/>
    <w:rsid w:val="001F6DC1"/>
    <w:pPr>
      <w:spacing w:after="227" w:line="22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semiHidden/>
    <w:unhideWhenUsed/>
    <w:rsid w:val="001F6DC1"/>
    <w:pPr>
      <w:spacing w:after="227" w:line="22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semiHidden/>
    <w:unhideWhenUsed/>
    <w:rsid w:val="001F6DC1"/>
    <w:pPr>
      <w:spacing w:after="227" w:line="22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semiHidden/>
    <w:unhideWhenUsed/>
    <w:rsid w:val="001F6DC1"/>
    <w:pPr>
      <w:spacing w:after="227" w:line="22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semiHidden/>
    <w:unhideWhenUsed/>
    <w:rsid w:val="001F6DC1"/>
    <w:pPr>
      <w:spacing w:after="227" w:line="2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8"/>
    <w:semiHidden/>
    <w:unhideWhenUsed/>
    <w:rsid w:val="001F6DC1"/>
    <w:pPr>
      <w:spacing w:after="227" w:line="22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8"/>
    <w:semiHidden/>
    <w:unhideWhenUsed/>
    <w:rsid w:val="001F6DC1"/>
    <w:pPr>
      <w:spacing w:after="227" w:line="22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8"/>
    <w:semiHidden/>
    <w:unhideWhenUsed/>
    <w:rsid w:val="001F6DC1"/>
    <w:pPr>
      <w:spacing w:after="227" w:line="22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Title"/>
    <w:next w:val="Normal"/>
    <w:uiPriority w:val="39"/>
    <w:qFormat/>
    <w:rsid w:val="00145656"/>
    <w:pPr>
      <w:framePr w:w="0" w:wrap="auto" w:vAnchor="margin" w:yAlign="inline"/>
      <w:spacing w:before="0" w:after="720" w:line="240" w:lineRule="auto"/>
      <w:outlineLvl w:val="9"/>
    </w:pPr>
    <w:rPr>
      <w:b w:val="0"/>
      <w:caps/>
      <w:color w:val="1D336D" w:themeColor="background2"/>
    </w:rPr>
  </w:style>
  <w:style w:type="character" w:customStyle="1" w:styleId="Heading8Char">
    <w:name w:val="Heading 8 Char"/>
    <w:basedOn w:val="DefaultParagraphFont"/>
    <w:link w:val="Heading8"/>
    <w:uiPriority w:val="1"/>
    <w:semiHidden/>
    <w:rsid w:val="000E3939"/>
    <w:rPr>
      <w:rFonts w:asciiTheme="majorHAnsi" w:eastAsiaTheme="majorEastAsia" w:hAnsiTheme="majorHAnsi" w:cstheme="majorBidi"/>
      <w:i/>
      <w:color w:val="1D336D" w:themeColor="background2"/>
      <w:szCs w:val="21"/>
    </w:rPr>
  </w:style>
  <w:style w:type="character" w:customStyle="1" w:styleId="Heading9Char">
    <w:name w:val="Heading 9 Char"/>
    <w:basedOn w:val="DefaultParagraphFont"/>
    <w:link w:val="Heading9"/>
    <w:uiPriority w:val="1"/>
    <w:semiHidden/>
    <w:rsid w:val="000E3939"/>
    <w:rPr>
      <w:rFonts w:asciiTheme="majorHAnsi" w:eastAsiaTheme="majorEastAsia" w:hAnsiTheme="majorHAnsi" w:cstheme="majorBidi"/>
      <w:i/>
      <w:iCs/>
      <w:color w:val="000000"/>
      <w:szCs w:val="21"/>
    </w:rPr>
  </w:style>
  <w:style w:type="paragraph" w:customStyle="1" w:styleId="HeaderText">
    <w:name w:val="Header Text"/>
    <w:basedOn w:val="Normal"/>
    <w:uiPriority w:val="12"/>
    <w:semiHidden/>
    <w:rsid w:val="00692E69"/>
    <w:pPr>
      <w:spacing w:line="204" w:lineRule="auto"/>
    </w:pPr>
    <w:rPr>
      <w:rFonts w:asciiTheme="majorHAnsi" w:hAnsiTheme="majorHAnsi"/>
      <w:b/>
      <w:color w:val="585858" w:themeColor="text2"/>
      <w:sz w:val="40"/>
    </w:rPr>
  </w:style>
  <w:style w:type="paragraph" w:customStyle="1" w:styleId="IntroCopy">
    <w:name w:val="Intro Copy"/>
    <w:basedOn w:val="Normal"/>
    <w:uiPriority w:val="2"/>
    <w:qFormat/>
    <w:rsid w:val="006E5C00"/>
    <w:pPr>
      <w:spacing w:before="240" w:after="240" w:line="340" w:lineRule="atLeast"/>
    </w:pPr>
    <w:rPr>
      <w:i/>
      <w:color w:val="2294CD"/>
      <w:sz w:val="24"/>
    </w:rPr>
  </w:style>
  <w:style w:type="paragraph" w:customStyle="1" w:styleId="SourceNotes">
    <w:name w:val="Source Notes"/>
    <w:basedOn w:val="Normal"/>
    <w:uiPriority w:val="12"/>
    <w:qFormat/>
    <w:rsid w:val="002637CE"/>
    <w:pPr>
      <w:spacing w:before="40" w:line="240" w:lineRule="atLeast"/>
    </w:pPr>
    <w:rPr>
      <w:color w:val="507CB9"/>
      <w:sz w:val="18"/>
    </w:rPr>
  </w:style>
  <w:style w:type="paragraph" w:styleId="FootnoteText">
    <w:name w:val="footnote text"/>
    <w:basedOn w:val="Normal"/>
    <w:link w:val="FootnoteTextChar"/>
    <w:uiPriority w:val="19"/>
    <w:rsid w:val="00847E29"/>
    <w:pPr>
      <w:spacing w:after="20" w:line="160" w:lineRule="atLeast"/>
    </w:pPr>
    <w:rPr>
      <w:sz w:val="14"/>
      <w:szCs w:val="20"/>
    </w:rPr>
  </w:style>
  <w:style w:type="table" w:customStyle="1" w:styleId="TableGrid20">
    <w:name w:val="Table Grid2"/>
    <w:basedOn w:val="TableNormal"/>
    <w:next w:val="TableGrid"/>
    <w:uiPriority w:val="39"/>
    <w:rsid w:val="0012294A"/>
    <w:rPr>
      <w:rFonts w:ascii="Arial" w:eastAsia="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lain">
    <w:name w:val="_Table Plain"/>
    <w:basedOn w:val="TableNormal"/>
    <w:uiPriority w:val="99"/>
    <w:rsid w:val="00AF488E"/>
    <w:rPr>
      <w:rFonts w:asciiTheme="minorHAnsi" w:hAnsiTheme="minorHAnsi"/>
    </w:rPr>
    <w:tblPr>
      <w:tblStyleRowBandSize w:val="1"/>
      <w:tblBorders>
        <w:top w:val="single" w:sz="4" w:space="0" w:color="2294CD"/>
        <w:bottom w:val="single" w:sz="4" w:space="0" w:color="2294CD"/>
        <w:insideH w:val="single" w:sz="4" w:space="0" w:color="2294CD"/>
      </w:tblBorders>
      <w:tblCellMar>
        <w:top w:w="85" w:type="dxa"/>
        <w:left w:w="85" w:type="dxa"/>
        <w:bottom w:w="85" w:type="dxa"/>
        <w:right w:w="85" w:type="dxa"/>
      </w:tblCellMar>
    </w:tblPr>
    <w:tblStylePr w:type="firstRow">
      <w:rPr>
        <w:rFonts w:asciiTheme="majorHAnsi" w:hAnsiTheme="majorHAnsi"/>
        <w:b w:val="0"/>
        <w:color w:val="1D336D" w:themeColor="background2"/>
      </w:rPr>
      <w:tblPr/>
      <w:tcPr>
        <w:tcBorders>
          <w:top w:val="nil"/>
          <w:bottom w:val="single" w:sz="12" w:space="0" w:color="2294CD"/>
        </w:tcBorders>
      </w:tcPr>
    </w:tblStylePr>
    <w:tblStylePr w:type="firstCol">
      <w:tblPr/>
      <w:tcPr>
        <w:shd w:val="clear" w:color="auto" w:fill="F2F2F2" w:themeFill="background1" w:themeFillShade="F2"/>
      </w:tcPr>
    </w:tblStylePr>
    <w:tblStylePr w:type="lastCol">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NumberedHeading1">
    <w:name w:val="Numbered Heading 1"/>
    <w:basedOn w:val="Heading1"/>
    <w:next w:val="Normal"/>
    <w:link w:val="NumberedHeading1Char"/>
    <w:uiPriority w:val="1"/>
    <w:rsid w:val="008A735F"/>
    <w:pPr>
      <w:numPr>
        <w:ilvl w:val="1"/>
        <w:numId w:val="9"/>
      </w:numPr>
    </w:pPr>
  </w:style>
  <w:style w:type="paragraph" w:customStyle="1" w:styleId="NumberedHeading2">
    <w:name w:val="Numbered Heading 2"/>
    <w:basedOn w:val="Heading2"/>
    <w:link w:val="NumberedHeading2Char"/>
    <w:uiPriority w:val="1"/>
    <w:rsid w:val="008A735F"/>
    <w:pPr>
      <w:numPr>
        <w:ilvl w:val="2"/>
        <w:numId w:val="9"/>
      </w:numPr>
    </w:pPr>
  </w:style>
  <w:style w:type="character" w:customStyle="1" w:styleId="NumberedHeading1Char">
    <w:name w:val="Numbered Heading 1 Char"/>
    <w:basedOn w:val="Heading1Char"/>
    <w:link w:val="NumberedHeading1"/>
    <w:uiPriority w:val="1"/>
    <w:rsid w:val="008D395E"/>
    <w:rPr>
      <w:rFonts w:asciiTheme="minorHAnsi" w:eastAsiaTheme="majorEastAsia" w:hAnsiTheme="minorHAnsi" w:cs="Calibri"/>
      <w:bCs/>
      <w:iCs/>
      <w:caps/>
      <w:color w:val="1D336D" w:themeColor="background2"/>
      <w:sz w:val="32"/>
      <w:szCs w:val="28"/>
    </w:rPr>
  </w:style>
  <w:style w:type="paragraph" w:customStyle="1" w:styleId="NumberedHeading3">
    <w:name w:val="Numbered Heading 3"/>
    <w:basedOn w:val="Heading3"/>
    <w:next w:val="NormalIndented3"/>
    <w:link w:val="NumberedHeading3Char"/>
    <w:uiPriority w:val="1"/>
    <w:rsid w:val="008A735F"/>
    <w:pPr>
      <w:numPr>
        <w:ilvl w:val="3"/>
        <w:numId w:val="9"/>
      </w:numPr>
    </w:pPr>
  </w:style>
  <w:style w:type="numbering" w:customStyle="1" w:styleId="MasterHeadings">
    <w:name w:val="_MasterHeadings"/>
    <w:uiPriority w:val="99"/>
    <w:rsid w:val="008A735F"/>
    <w:pPr>
      <w:numPr>
        <w:numId w:val="7"/>
      </w:numPr>
    </w:pPr>
  </w:style>
  <w:style w:type="character" w:customStyle="1" w:styleId="Heading3Char">
    <w:name w:val="Heading 3 Char"/>
    <w:basedOn w:val="Heading1Char"/>
    <w:link w:val="Heading3"/>
    <w:uiPriority w:val="1"/>
    <w:rsid w:val="003A5075"/>
    <w:rPr>
      <w:rFonts w:asciiTheme="minorHAnsi" w:eastAsiaTheme="majorEastAsia" w:hAnsiTheme="minorHAnsi" w:cs="Calibri"/>
      <w:b/>
      <w:bCs w:val="0"/>
      <w:iCs/>
      <w:caps w:val="0"/>
      <w:color w:val="507CB9"/>
      <w:sz w:val="24"/>
      <w:szCs w:val="26"/>
    </w:rPr>
  </w:style>
  <w:style w:type="character" w:customStyle="1" w:styleId="NumberedHeading3Char">
    <w:name w:val="Numbered Heading 3 Char"/>
    <w:basedOn w:val="Heading3Char"/>
    <w:link w:val="NumberedHeading3"/>
    <w:uiPriority w:val="1"/>
    <w:rsid w:val="00CE5852"/>
    <w:rPr>
      <w:rFonts w:asciiTheme="minorHAnsi" w:eastAsiaTheme="majorEastAsia" w:hAnsiTheme="minorHAnsi" w:cs="Calibri"/>
      <w:b/>
      <w:bCs w:val="0"/>
      <w:iCs/>
      <w:caps w:val="0"/>
      <w:color w:val="507CB9"/>
      <w:sz w:val="24"/>
      <w:szCs w:val="26"/>
    </w:rPr>
  </w:style>
  <w:style w:type="character" w:customStyle="1" w:styleId="Heading2Char">
    <w:name w:val="Heading 2 Char"/>
    <w:basedOn w:val="Heading1Char"/>
    <w:link w:val="Heading2"/>
    <w:uiPriority w:val="1"/>
    <w:rsid w:val="003A5075"/>
    <w:rPr>
      <w:rFonts w:asciiTheme="minorHAnsi" w:eastAsiaTheme="majorEastAsia" w:hAnsiTheme="minorHAnsi" w:cs="Calibri"/>
      <w:b/>
      <w:bCs/>
      <w:iCs/>
      <w:caps/>
      <w:color w:val="C9C9CA" w:themeColor="accent2"/>
      <w:sz w:val="28"/>
      <w:szCs w:val="26"/>
    </w:rPr>
  </w:style>
  <w:style w:type="character" w:customStyle="1" w:styleId="NumberedHeading2Char">
    <w:name w:val="Numbered Heading 2 Char"/>
    <w:basedOn w:val="Heading2Char"/>
    <w:link w:val="NumberedHeading2"/>
    <w:uiPriority w:val="1"/>
    <w:rsid w:val="009761FA"/>
    <w:rPr>
      <w:rFonts w:asciiTheme="minorHAnsi" w:eastAsiaTheme="majorEastAsia" w:hAnsiTheme="minorHAnsi" w:cs="Calibri"/>
      <w:b/>
      <w:bCs/>
      <w:iCs/>
      <w:caps/>
      <w:color w:val="C9C9CA" w:themeColor="accent2"/>
      <w:sz w:val="28"/>
      <w:szCs w:val="26"/>
    </w:rPr>
  </w:style>
  <w:style w:type="table" w:customStyle="1" w:styleId="TableGrid30">
    <w:name w:val="Table Grid3"/>
    <w:basedOn w:val="TableNormal"/>
    <w:next w:val="TableGrid"/>
    <w:uiPriority w:val="39"/>
    <w:rsid w:val="0012294A"/>
    <w:rPr>
      <w:rFonts w:ascii="Arial" w:eastAsia="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Indented1">
    <w:name w:val="Normal Indented 1"/>
    <w:basedOn w:val="Normal"/>
    <w:uiPriority w:val="2"/>
    <w:rsid w:val="00DD18C7"/>
    <w:pPr>
      <w:ind w:left="284"/>
    </w:pPr>
  </w:style>
  <w:style w:type="paragraph" w:customStyle="1" w:styleId="NormalIndented2">
    <w:name w:val="Normal Indented 2"/>
    <w:basedOn w:val="NormalIndented1"/>
    <w:uiPriority w:val="2"/>
    <w:rsid w:val="00301A3A"/>
    <w:pPr>
      <w:ind w:left="567"/>
    </w:pPr>
  </w:style>
  <w:style w:type="paragraph" w:customStyle="1" w:styleId="NormalIndented3">
    <w:name w:val="Normal Indented 3"/>
    <w:basedOn w:val="Normal"/>
    <w:uiPriority w:val="2"/>
    <w:rsid w:val="00301A3A"/>
    <w:pPr>
      <w:ind w:left="851"/>
    </w:pPr>
  </w:style>
  <w:style w:type="paragraph" w:customStyle="1" w:styleId="Date-FooterLink">
    <w:name w:val="Date - Footer Link"/>
    <w:basedOn w:val="Normal"/>
    <w:semiHidden/>
    <w:qFormat/>
    <w:rsid w:val="00217E6A"/>
    <w:rPr>
      <w:rFonts w:asciiTheme="majorHAnsi" w:hAnsiTheme="majorHAnsi"/>
      <w:b/>
      <w:color w:val="585858" w:themeColor="text2"/>
      <w:sz w:val="24"/>
    </w:rPr>
  </w:style>
  <w:style w:type="paragraph" w:customStyle="1" w:styleId="TableHeadingBlue">
    <w:name w:val="Table Heading Blue"/>
    <w:basedOn w:val="TableHeading"/>
    <w:next w:val="TableText"/>
    <w:link w:val="TableHeadingBlueChar"/>
    <w:uiPriority w:val="9"/>
    <w:qFormat/>
    <w:rsid w:val="003423F2"/>
    <w:rPr>
      <w:color w:val="1D336D" w:themeColor="background2"/>
    </w:rPr>
  </w:style>
  <w:style w:type="character" w:customStyle="1" w:styleId="TableHeadingChar">
    <w:name w:val="Table Heading Char"/>
    <w:basedOn w:val="DefaultParagraphFont"/>
    <w:link w:val="TableHeading"/>
    <w:uiPriority w:val="9"/>
    <w:rsid w:val="00885AF8"/>
    <w:rPr>
      <w:rFonts w:asciiTheme="minorHAnsi" w:eastAsia="Century Gothic" w:hAnsiTheme="minorHAnsi" w:cs="Calibri"/>
      <w:b/>
      <w:bCs/>
      <w:color w:val="FFFFFF"/>
      <w:szCs w:val="24"/>
      <w:lang w:eastAsia="en-US"/>
    </w:rPr>
  </w:style>
  <w:style w:type="character" w:customStyle="1" w:styleId="TableHeadingBlueChar">
    <w:name w:val="Table Heading Blue Char"/>
    <w:basedOn w:val="TableHeadingChar"/>
    <w:link w:val="TableHeadingBlue"/>
    <w:uiPriority w:val="9"/>
    <w:rsid w:val="003423F2"/>
    <w:rPr>
      <w:rFonts w:asciiTheme="minorHAnsi" w:eastAsia="Century Gothic" w:hAnsiTheme="minorHAnsi" w:cs="Calibri"/>
      <w:b/>
      <w:bCs/>
      <w:color w:val="1D336D" w:themeColor="background2"/>
      <w:szCs w:val="24"/>
      <w:lang w:eastAsia="en-US"/>
    </w:rPr>
  </w:style>
  <w:style w:type="paragraph" w:customStyle="1" w:styleId="Heading1NOTOC">
    <w:name w:val="Heading 1 NO TOC"/>
    <w:basedOn w:val="Heading1"/>
    <w:uiPriority w:val="1"/>
    <w:qFormat/>
    <w:rsid w:val="0004770B"/>
    <w:pPr>
      <w:outlineLvl w:val="9"/>
    </w:pPr>
  </w:style>
  <w:style w:type="paragraph" w:customStyle="1" w:styleId="IntroCopySolid">
    <w:name w:val="Intro Copy Solid"/>
    <w:basedOn w:val="IntroCopy"/>
    <w:uiPriority w:val="2"/>
    <w:qFormat/>
    <w:rsid w:val="006E5C00"/>
    <w:pPr>
      <w:pBdr>
        <w:top w:val="single" w:sz="8" w:space="8" w:color="2294CD"/>
        <w:left w:val="single" w:sz="8" w:space="8" w:color="2294CD"/>
        <w:bottom w:val="single" w:sz="8" w:space="8" w:color="2294CD"/>
        <w:right w:val="single" w:sz="8" w:space="8" w:color="2294CD"/>
      </w:pBdr>
      <w:shd w:val="clear" w:color="auto" w:fill="2294CD"/>
      <w:spacing w:line="276" w:lineRule="auto"/>
      <w:ind w:left="159" w:right="159"/>
      <w:contextualSpacing/>
    </w:pPr>
    <w:rPr>
      <w:color w:val="FFFFFF" w:themeColor="background1"/>
    </w:rPr>
  </w:style>
  <w:style w:type="table" w:customStyle="1" w:styleId="TableGrid10">
    <w:name w:val="Table Grid1"/>
    <w:basedOn w:val="TableNormal"/>
    <w:next w:val="TableGrid"/>
    <w:uiPriority w:val="59"/>
    <w:semiHidden/>
    <w:rsid w:val="000819EE"/>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pterHeading">
    <w:name w:val="Chapter Heading"/>
    <w:next w:val="Normal"/>
    <w:link w:val="ChapterHeadingChar"/>
    <w:qFormat/>
    <w:rsid w:val="007A2690"/>
    <w:pPr>
      <w:pageBreakBefore/>
      <w:pBdr>
        <w:top w:val="single" w:sz="2" w:space="6" w:color="2294CD"/>
        <w:left w:val="single" w:sz="2" w:space="6" w:color="2294CD"/>
        <w:bottom w:val="single" w:sz="2" w:space="6" w:color="2294CD"/>
        <w:right w:val="single" w:sz="2" w:space="6" w:color="2294CD"/>
      </w:pBdr>
      <w:shd w:val="clear" w:color="auto" w:fill="2294CD"/>
      <w:spacing w:after="240"/>
    </w:pPr>
    <w:rPr>
      <w:rFonts w:asciiTheme="minorHAnsi" w:eastAsiaTheme="majorEastAsia" w:hAnsiTheme="minorHAnsi" w:cs="Calibri"/>
      <w:bCs/>
      <w:iCs/>
      <w:caps/>
      <w:color w:val="FFFFFF" w:themeColor="background1"/>
      <w:sz w:val="44"/>
      <w:szCs w:val="28"/>
    </w:rPr>
  </w:style>
  <w:style w:type="paragraph" w:styleId="TOC5">
    <w:name w:val="toc 5"/>
    <w:basedOn w:val="Normal"/>
    <w:next w:val="Normal"/>
    <w:uiPriority w:val="39"/>
    <w:semiHidden/>
    <w:rsid w:val="00FE707F"/>
    <w:pPr>
      <w:tabs>
        <w:tab w:val="left" w:pos="1134"/>
        <w:tab w:val="right" w:leader="dot" w:pos="9628"/>
      </w:tabs>
      <w:spacing w:after="100"/>
      <w:ind w:left="1701" w:hanging="567"/>
      <w:contextualSpacing/>
    </w:pPr>
    <w:rPr>
      <w:i/>
    </w:rPr>
  </w:style>
  <w:style w:type="paragraph" w:styleId="TOC6">
    <w:name w:val="toc 6"/>
    <w:basedOn w:val="Normal"/>
    <w:next w:val="Normal"/>
    <w:autoRedefine/>
    <w:uiPriority w:val="39"/>
    <w:semiHidden/>
    <w:rsid w:val="00FE707F"/>
    <w:pPr>
      <w:tabs>
        <w:tab w:val="left" w:pos="1760"/>
        <w:tab w:val="right" w:leader="dot" w:pos="9628"/>
      </w:tabs>
      <w:spacing w:after="100"/>
      <w:ind w:left="1000"/>
    </w:pPr>
    <w:rPr>
      <w:noProof/>
    </w:rPr>
  </w:style>
  <w:style w:type="paragraph" w:styleId="Caption">
    <w:name w:val="caption"/>
    <w:basedOn w:val="Normal"/>
    <w:next w:val="Normal"/>
    <w:uiPriority w:val="8"/>
    <w:rsid w:val="004B1446"/>
    <w:pPr>
      <w:spacing w:before="240" w:after="120" w:line="240" w:lineRule="auto"/>
    </w:pPr>
    <w:rPr>
      <w:b/>
      <w:iCs/>
      <w:color w:val="507CB9"/>
      <w:sz w:val="22"/>
      <w:szCs w:val="18"/>
    </w:rPr>
  </w:style>
  <w:style w:type="character" w:customStyle="1" w:styleId="FootnoteTextChar">
    <w:name w:val="Footnote Text Char"/>
    <w:basedOn w:val="DefaultParagraphFont"/>
    <w:link w:val="FootnoteText"/>
    <w:uiPriority w:val="19"/>
    <w:rsid w:val="00847E29"/>
    <w:rPr>
      <w:rFonts w:asciiTheme="minorHAnsi" w:eastAsiaTheme="majorEastAsia" w:hAnsiTheme="minorHAnsi" w:cs="Calibri"/>
      <w:color w:val="000000" w:themeColor="text1"/>
      <w:sz w:val="14"/>
    </w:rPr>
  </w:style>
  <w:style w:type="character" w:styleId="FootnoteReference">
    <w:name w:val="footnote reference"/>
    <w:basedOn w:val="DefaultParagraphFont"/>
    <w:uiPriority w:val="50"/>
    <w:semiHidden/>
    <w:rsid w:val="003337B3"/>
    <w:rPr>
      <w:vertAlign w:val="superscript"/>
    </w:rPr>
  </w:style>
  <w:style w:type="paragraph" w:customStyle="1" w:styleId="CVBody">
    <w:name w:val="CV Body"/>
    <w:basedOn w:val="Normal"/>
    <w:uiPriority w:val="13"/>
    <w:qFormat/>
    <w:rsid w:val="00D4310E"/>
    <w:pPr>
      <w:spacing w:after="60" w:line="200" w:lineRule="atLeast"/>
    </w:pPr>
    <w:rPr>
      <w:rFonts w:eastAsia="Arial" w:cs="Times New Roman"/>
      <w:color w:val="auto"/>
      <w:sz w:val="18"/>
      <w:szCs w:val="22"/>
      <w:lang w:eastAsia="en-US"/>
    </w:rPr>
  </w:style>
  <w:style w:type="paragraph" w:customStyle="1" w:styleId="CoverSubtitle">
    <w:name w:val="Cover Subtitle"/>
    <w:basedOn w:val="CoverTitle"/>
    <w:uiPriority w:val="19"/>
    <w:semiHidden/>
    <w:qFormat/>
    <w:rsid w:val="0081223D"/>
    <w:pPr>
      <w:spacing w:before="240"/>
    </w:pPr>
    <w:rPr>
      <w:b/>
      <w:caps/>
      <w:sz w:val="48"/>
    </w:rPr>
  </w:style>
  <w:style w:type="character" w:customStyle="1" w:styleId="ListNumberChar">
    <w:name w:val="List Number Char"/>
    <w:basedOn w:val="DefaultParagraphFont"/>
    <w:link w:val="ListNumber"/>
    <w:uiPriority w:val="3"/>
    <w:rsid w:val="00596177"/>
    <w:rPr>
      <w:rFonts w:asciiTheme="minorHAnsi" w:eastAsia="Century Gothic" w:hAnsiTheme="minorHAnsi" w:cstheme="minorBidi"/>
      <w:color w:val="000000" w:themeColor="text1"/>
      <w:lang w:eastAsia="en-US"/>
    </w:rPr>
  </w:style>
  <w:style w:type="paragraph" w:customStyle="1" w:styleId="CVLabel">
    <w:name w:val="CV Label"/>
    <w:basedOn w:val="Normal"/>
    <w:uiPriority w:val="13"/>
    <w:qFormat/>
    <w:rsid w:val="00AF488E"/>
    <w:pPr>
      <w:spacing w:after="0" w:line="240" w:lineRule="exact"/>
      <w:ind w:left="-6" w:right="-45"/>
    </w:pPr>
    <w:rPr>
      <w:rFonts w:eastAsia="Arial" w:cs="Times New Roman"/>
      <w:b/>
      <w:bCs/>
      <w:color w:val="2294CD"/>
      <w:sz w:val="19"/>
      <w:szCs w:val="20"/>
      <w:lang w:eastAsia="en-US"/>
    </w:rPr>
  </w:style>
  <w:style w:type="paragraph" w:customStyle="1" w:styleId="CVHeading">
    <w:name w:val="CV Heading"/>
    <w:basedOn w:val="Normal"/>
    <w:uiPriority w:val="13"/>
    <w:qFormat/>
    <w:rsid w:val="0052426B"/>
    <w:pPr>
      <w:spacing w:after="60" w:line="200" w:lineRule="atLeast"/>
    </w:pPr>
    <w:rPr>
      <w:rFonts w:eastAsia="Arial" w:cs="Times New Roman"/>
      <w:b/>
      <w:color w:val="1D336D" w:themeColor="background2"/>
      <w:sz w:val="28"/>
      <w:szCs w:val="22"/>
      <w:lang w:eastAsia="en-US"/>
    </w:rPr>
  </w:style>
  <w:style w:type="paragraph" w:customStyle="1" w:styleId="TableBullets">
    <w:name w:val="Table Bullets"/>
    <w:basedOn w:val="TableText"/>
    <w:uiPriority w:val="10"/>
    <w:qFormat/>
    <w:rsid w:val="009E7E5E"/>
    <w:pPr>
      <w:numPr>
        <w:numId w:val="10"/>
      </w:numPr>
      <w:spacing w:before="0" w:after="80"/>
      <w:ind w:left="284" w:hanging="284"/>
    </w:pPr>
  </w:style>
  <w:style w:type="paragraph" w:customStyle="1" w:styleId="Heading2NOTOC">
    <w:name w:val="Heading 2 NO TOC"/>
    <w:basedOn w:val="Heading2"/>
    <w:uiPriority w:val="1"/>
    <w:qFormat/>
    <w:rsid w:val="004A4416"/>
    <w:pPr>
      <w:outlineLvl w:val="9"/>
    </w:pPr>
  </w:style>
  <w:style w:type="paragraph" w:styleId="TableofFigures">
    <w:name w:val="table of figures"/>
    <w:basedOn w:val="Normal"/>
    <w:next w:val="Normal"/>
    <w:uiPriority w:val="99"/>
    <w:unhideWhenUsed/>
    <w:rsid w:val="00C126D8"/>
    <w:pPr>
      <w:spacing w:after="0"/>
    </w:pPr>
  </w:style>
  <w:style w:type="paragraph" w:styleId="ListParagraph">
    <w:name w:val="List Paragraph"/>
    <w:basedOn w:val="Normal"/>
    <w:uiPriority w:val="34"/>
    <w:qFormat/>
    <w:rsid w:val="00EE1892"/>
    <w:pPr>
      <w:ind w:left="720"/>
      <w:contextualSpacing/>
    </w:pPr>
  </w:style>
  <w:style w:type="paragraph" w:customStyle="1" w:styleId="CoverDetail">
    <w:name w:val="Cover Detail"/>
    <w:basedOn w:val="CoverSubtitle"/>
    <w:uiPriority w:val="19"/>
    <w:semiHidden/>
    <w:qFormat/>
    <w:rsid w:val="0081223D"/>
    <w:pPr>
      <w:contextualSpacing/>
    </w:pPr>
    <w:rPr>
      <w:color w:val="B1B2B6"/>
      <w:sz w:val="24"/>
    </w:rPr>
  </w:style>
  <w:style w:type="paragraph" w:customStyle="1" w:styleId="CoverInsideDetail">
    <w:name w:val="Cover Inside Detail"/>
    <w:basedOn w:val="CoverDetail"/>
    <w:uiPriority w:val="19"/>
    <w:semiHidden/>
    <w:qFormat/>
    <w:rsid w:val="002C5C7C"/>
    <w:pPr>
      <w:spacing w:before="360"/>
    </w:pPr>
    <w:rPr>
      <w:color w:val="FFFFFF" w:themeColor="background1"/>
      <w:sz w:val="28"/>
    </w:rPr>
  </w:style>
  <w:style w:type="paragraph" w:customStyle="1" w:styleId="CoverDetailWhite">
    <w:name w:val="Cover Detail White"/>
    <w:basedOn w:val="CoverDetail"/>
    <w:uiPriority w:val="19"/>
    <w:semiHidden/>
    <w:qFormat/>
    <w:rsid w:val="00145656"/>
    <w:pPr>
      <w:spacing w:before="120" w:line="280" w:lineRule="atLeast"/>
    </w:pPr>
    <w:rPr>
      <w:b w:val="0"/>
      <w:caps w:val="0"/>
      <w:color w:val="FFFFFF" w:themeColor="background1"/>
    </w:rPr>
  </w:style>
  <w:style w:type="paragraph" w:customStyle="1" w:styleId="CVMainHeading">
    <w:name w:val="CV Main Heading"/>
    <w:basedOn w:val="CVHeading"/>
    <w:uiPriority w:val="13"/>
    <w:qFormat/>
    <w:rsid w:val="00D70725"/>
    <w:rPr>
      <w:sz w:val="20"/>
    </w:rPr>
  </w:style>
  <w:style w:type="paragraph" w:customStyle="1" w:styleId="TableBullet">
    <w:name w:val="Table Bullet"/>
    <w:basedOn w:val="TableText"/>
    <w:uiPriority w:val="10"/>
    <w:qFormat/>
    <w:rsid w:val="00802A4E"/>
    <w:pPr>
      <w:spacing w:before="0" w:after="0"/>
      <w:ind w:left="170" w:hanging="170"/>
    </w:pPr>
    <w:rPr>
      <w:sz w:val="18"/>
    </w:rPr>
  </w:style>
  <w:style w:type="paragraph" w:customStyle="1" w:styleId="InfoBoxDarkText">
    <w:name w:val="Info Box Dark Text"/>
    <w:basedOn w:val="IntroCopy"/>
    <w:uiPriority w:val="2"/>
    <w:qFormat/>
    <w:rsid w:val="00985D63"/>
    <w:pPr>
      <w:spacing w:before="60" w:after="60" w:line="276" w:lineRule="auto"/>
      <w:ind w:left="113" w:right="113"/>
    </w:pPr>
    <w:rPr>
      <w:i w:val="0"/>
      <w:color w:val="1D336D" w:themeColor="background2"/>
      <w:sz w:val="20"/>
    </w:rPr>
  </w:style>
  <w:style w:type="paragraph" w:customStyle="1" w:styleId="InfoBoxLightText">
    <w:name w:val="Info Box Light Text"/>
    <w:basedOn w:val="InfoBoxDarkText"/>
    <w:uiPriority w:val="2"/>
    <w:qFormat/>
    <w:rsid w:val="009473BB"/>
    <w:rPr>
      <w:color w:val="FFFFFF" w:themeColor="background1"/>
    </w:rPr>
  </w:style>
  <w:style w:type="paragraph" w:customStyle="1" w:styleId="NumberedHeadingChapter">
    <w:name w:val="Numbered Heading Chapter"/>
    <w:basedOn w:val="NumberedHeading1"/>
    <w:link w:val="NumberedHeadingChapterChar"/>
    <w:uiPriority w:val="2"/>
    <w:qFormat/>
    <w:rsid w:val="00726D77"/>
    <w:pPr>
      <w:pBdr>
        <w:top w:val="single" w:sz="2" w:space="6" w:color="2294CD"/>
        <w:left w:val="single" w:sz="2" w:space="6" w:color="2294CD"/>
        <w:bottom w:val="single" w:sz="2" w:space="6" w:color="2294CD"/>
        <w:right w:val="single" w:sz="2" w:space="6" w:color="2294CD"/>
      </w:pBdr>
      <w:shd w:val="clear" w:color="auto" w:fill="2294CD"/>
      <w:spacing w:before="160" w:after="240"/>
    </w:pPr>
    <w:rPr>
      <w:b/>
      <w:color w:val="FFFFFF" w:themeColor="background1"/>
      <w:sz w:val="44"/>
    </w:rPr>
  </w:style>
  <w:style w:type="paragraph" w:customStyle="1" w:styleId="SourceNotesV2">
    <w:name w:val="Source Notes V2"/>
    <w:basedOn w:val="SourceNotes"/>
    <w:uiPriority w:val="2"/>
    <w:qFormat/>
    <w:rsid w:val="009473BB"/>
    <w:pPr>
      <w:spacing w:after="0" w:line="200" w:lineRule="atLeast"/>
      <w:jc w:val="right"/>
    </w:pPr>
    <w:rPr>
      <w:color w:val="A1D5EF"/>
      <w:sz w:val="16"/>
    </w:rPr>
  </w:style>
  <w:style w:type="character" w:customStyle="1" w:styleId="NumberedHeadingChapterChar">
    <w:name w:val="Numbered Heading Chapter Char"/>
    <w:basedOn w:val="NumberedHeading1Char"/>
    <w:link w:val="NumberedHeadingChapter"/>
    <w:uiPriority w:val="2"/>
    <w:rsid w:val="00726D77"/>
    <w:rPr>
      <w:rFonts w:asciiTheme="minorHAnsi" w:eastAsiaTheme="majorEastAsia" w:hAnsiTheme="minorHAnsi" w:cs="Calibri"/>
      <w:b/>
      <w:bCs/>
      <w:iCs/>
      <w:caps/>
      <w:color w:val="FFFFFF" w:themeColor="background1"/>
      <w:sz w:val="44"/>
      <w:szCs w:val="28"/>
      <w:shd w:val="clear" w:color="auto" w:fill="2294CD"/>
    </w:rPr>
  </w:style>
  <w:style w:type="paragraph" w:customStyle="1" w:styleId="Heading3NOTOC">
    <w:name w:val="Heading 3 NO TOC"/>
    <w:basedOn w:val="Heading3"/>
    <w:uiPriority w:val="2"/>
    <w:qFormat/>
    <w:rsid w:val="003A5075"/>
    <w:pPr>
      <w:outlineLvl w:val="9"/>
    </w:pPr>
  </w:style>
  <w:style w:type="paragraph" w:customStyle="1" w:styleId="CVHeadingSmall">
    <w:name w:val="CV Heading Small"/>
    <w:basedOn w:val="CVHeading"/>
    <w:uiPriority w:val="2"/>
    <w:qFormat/>
    <w:rsid w:val="0052426B"/>
    <w:rPr>
      <w:sz w:val="20"/>
    </w:rPr>
  </w:style>
  <w:style w:type="paragraph" w:customStyle="1" w:styleId="Default">
    <w:name w:val="Default"/>
    <w:rsid w:val="00780F05"/>
    <w:pPr>
      <w:autoSpaceDE w:val="0"/>
      <w:autoSpaceDN w:val="0"/>
      <w:adjustRightInd w:val="0"/>
    </w:pPr>
    <w:rPr>
      <w:rFonts w:ascii="Calibri" w:hAnsi="Calibri" w:cs="Calibri"/>
      <w:color w:val="000000"/>
      <w:sz w:val="24"/>
      <w:szCs w:val="24"/>
    </w:rPr>
  </w:style>
  <w:style w:type="paragraph" w:customStyle="1" w:styleId="Style1">
    <w:name w:val="Style1"/>
    <w:basedOn w:val="ChapterHeading"/>
    <w:link w:val="Style1Char"/>
    <w:uiPriority w:val="2"/>
    <w:qFormat/>
    <w:rsid w:val="007E2F28"/>
  </w:style>
  <w:style w:type="character" w:customStyle="1" w:styleId="ChapterHeadingChar">
    <w:name w:val="Chapter Heading Char"/>
    <w:basedOn w:val="DefaultParagraphFont"/>
    <w:link w:val="ChapterHeading"/>
    <w:rsid w:val="007E2F28"/>
    <w:rPr>
      <w:rFonts w:asciiTheme="minorHAnsi" w:eastAsiaTheme="majorEastAsia" w:hAnsiTheme="minorHAnsi" w:cs="Calibri"/>
      <w:bCs/>
      <w:iCs/>
      <w:caps/>
      <w:color w:val="FFFFFF" w:themeColor="background1"/>
      <w:sz w:val="44"/>
      <w:szCs w:val="28"/>
      <w:shd w:val="clear" w:color="auto" w:fill="2294CD"/>
    </w:rPr>
  </w:style>
  <w:style w:type="character" w:customStyle="1" w:styleId="Style1Char">
    <w:name w:val="Style1 Char"/>
    <w:basedOn w:val="ChapterHeadingChar"/>
    <w:link w:val="Style1"/>
    <w:uiPriority w:val="2"/>
    <w:rsid w:val="007E2F28"/>
    <w:rPr>
      <w:rFonts w:asciiTheme="minorHAnsi" w:eastAsiaTheme="majorEastAsia" w:hAnsiTheme="minorHAnsi" w:cs="Calibri"/>
      <w:bCs/>
      <w:iCs/>
      <w:caps/>
      <w:color w:val="FFFFFF" w:themeColor="background1"/>
      <w:sz w:val="44"/>
      <w:szCs w:val="28"/>
      <w:shd w:val="clear" w:color="auto" w:fill="2294CD"/>
    </w:rPr>
  </w:style>
  <w:style w:type="paragraph" w:styleId="Revision">
    <w:name w:val="Revision"/>
    <w:hidden/>
    <w:uiPriority w:val="99"/>
    <w:semiHidden/>
    <w:rsid w:val="000064A8"/>
    <w:rPr>
      <w:rFonts w:asciiTheme="minorHAnsi" w:eastAsiaTheme="majorEastAsia" w:hAnsiTheme="minorHAnsi" w:cs="Calibri"/>
      <w:color w:val="000000" w:themeColor="text1"/>
      <w:szCs w:val="24"/>
    </w:rPr>
  </w:style>
  <w:style w:type="paragraph" w:styleId="CommentText">
    <w:name w:val="annotation text"/>
    <w:basedOn w:val="Normal"/>
    <w:link w:val="CommentTextChar"/>
    <w:uiPriority w:val="29"/>
    <w:semiHidden/>
    <w:pPr>
      <w:spacing w:line="240" w:lineRule="auto"/>
    </w:pPr>
    <w:rPr>
      <w:szCs w:val="20"/>
    </w:rPr>
  </w:style>
  <w:style w:type="character" w:customStyle="1" w:styleId="CommentTextChar">
    <w:name w:val="Comment Text Char"/>
    <w:basedOn w:val="DefaultParagraphFont"/>
    <w:link w:val="CommentText"/>
    <w:uiPriority w:val="29"/>
    <w:semiHidden/>
    <w:rPr>
      <w:rFonts w:asciiTheme="minorHAnsi" w:eastAsiaTheme="majorEastAsia" w:hAnsiTheme="minorHAnsi" w:cs="Calibri"/>
      <w:color w:val="000000" w:themeColor="text1"/>
    </w:rPr>
  </w:style>
  <w:style w:type="character" w:styleId="CommentReference">
    <w:name w:val="annotation reference"/>
    <w:basedOn w:val="DefaultParagraphFont"/>
    <w:uiPriority w:val="29"/>
    <w:semiHidden/>
    <w:rPr>
      <w:sz w:val="16"/>
      <w:szCs w:val="16"/>
    </w:rPr>
  </w:style>
  <w:style w:type="paragraph" w:styleId="CommentSubject">
    <w:name w:val="annotation subject"/>
    <w:basedOn w:val="CommentText"/>
    <w:next w:val="CommentText"/>
    <w:link w:val="CommentSubjectChar"/>
    <w:uiPriority w:val="29"/>
    <w:semiHidden/>
    <w:rsid w:val="0026773E"/>
    <w:rPr>
      <w:b/>
      <w:bCs/>
    </w:rPr>
  </w:style>
  <w:style w:type="character" w:customStyle="1" w:styleId="CommentSubjectChar">
    <w:name w:val="Comment Subject Char"/>
    <w:basedOn w:val="CommentTextChar"/>
    <w:link w:val="CommentSubject"/>
    <w:uiPriority w:val="29"/>
    <w:semiHidden/>
    <w:rsid w:val="0026773E"/>
    <w:rPr>
      <w:rFonts w:asciiTheme="minorHAnsi" w:eastAsiaTheme="majorEastAsia" w:hAnsiTheme="minorHAnsi" w:cs="Calibri"/>
      <w:b/>
      <w:bCs/>
      <w:color w:val="000000" w:themeColor="text1"/>
    </w:rPr>
  </w:style>
  <w:style w:type="numbering" w:customStyle="1" w:styleId="MasterHeadings1">
    <w:name w:val="_MasterHeadings1"/>
    <w:uiPriority w:val="99"/>
    <w:rsid w:val="007D2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083200">
      <w:bodyDiv w:val="1"/>
      <w:marLeft w:val="0"/>
      <w:marRight w:val="0"/>
      <w:marTop w:val="0"/>
      <w:marBottom w:val="0"/>
      <w:divBdr>
        <w:top w:val="none" w:sz="0" w:space="0" w:color="auto"/>
        <w:left w:val="none" w:sz="0" w:space="0" w:color="auto"/>
        <w:bottom w:val="none" w:sz="0" w:space="0" w:color="auto"/>
        <w:right w:val="none" w:sz="0" w:space="0" w:color="auto"/>
      </w:divBdr>
    </w:div>
    <w:div w:id="1185942139">
      <w:bodyDiv w:val="1"/>
      <w:marLeft w:val="0"/>
      <w:marRight w:val="0"/>
      <w:marTop w:val="0"/>
      <w:marBottom w:val="0"/>
      <w:divBdr>
        <w:top w:val="none" w:sz="0" w:space="0" w:color="auto"/>
        <w:left w:val="none" w:sz="0" w:space="0" w:color="auto"/>
        <w:bottom w:val="none" w:sz="0" w:space="0" w:color="auto"/>
        <w:right w:val="none" w:sz="0" w:space="0" w:color="auto"/>
      </w:divBdr>
      <w:divsChild>
        <w:div w:id="14372166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7369067">
      <w:bodyDiv w:val="1"/>
      <w:marLeft w:val="0"/>
      <w:marRight w:val="0"/>
      <w:marTop w:val="0"/>
      <w:marBottom w:val="0"/>
      <w:divBdr>
        <w:top w:val="none" w:sz="0" w:space="0" w:color="auto"/>
        <w:left w:val="none" w:sz="0" w:space="0" w:color="auto"/>
        <w:bottom w:val="none" w:sz="0" w:space="0" w:color="auto"/>
        <w:right w:val="none" w:sz="0" w:space="0" w:color="auto"/>
      </w:divBdr>
      <w:divsChild>
        <w:div w:id="744109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7.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becca.king\Downloads\Alinea%20Report%20Template%2020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7565275E2D4C2DBB20D85962E08BBC"/>
        <w:category>
          <w:name w:val="General"/>
          <w:gallery w:val="placeholder"/>
        </w:category>
        <w:types>
          <w:type w:val="bbPlcHdr"/>
        </w:types>
        <w:behaviors>
          <w:behavior w:val="content"/>
        </w:behaviors>
        <w:guid w:val="{68AEA1D5-4546-4B11-90B1-2074A028BB12}"/>
      </w:docPartPr>
      <w:docPartBody>
        <w:p w:rsidR="0043650C" w:rsidRDefault="0043650C">
          <w:pPr>
            <w:pStyle w:val="3A7565275E2D4C2DBB20D85962E08BBC"/>
          </w:pPr>
          <w:r w:rsidRPr="003725EF">
            <w:rPr>
              <w:rStyle w:val="PlaceholderText"/>
            </w:rPr>
            <w:t>Click or tap here to enter text.</w:t>
          </w:r>
        </w:p>
      </w:docPartBody>
    </w:docPart>
    <w:docPart>
      <w:docPartPr>
        <w:name w:val="51AD4AF397A54719B43775CF148A4D58"/>
        <w:category>
          <w:name w:val="General"/>
          <w:gallery w:val="placeholder"/>
        </w:category>
        <w:types>
          <w:type w:val="bbPlcHdr"/>
        </w:types>
        <w:behaviors>
          <w:behavior w:val="content"/>
        </w:behaviors>
        <w:guid w:val="{6259424A-BD7C-48D8-85F2-56F77D035D41}"/>
      </w:docPartPr>
      <w:docPartBody>
        <w:p w:rsidR="004B17C9" w:rsidRDefault="004B17C9" w:rsidP="004B17C9">
          <w:pPr>
            <w:pStyle w:val="51AD4AF397A54719B43775CF148A4D58"/>
          </w:pPr>
          <w:r w:rsidRPr="00415976">
            <w:rPr>
              <w:rStyle w:val="PlaceholderText"/>
              <w:highlight w:val="yellow"/>
            </w:rPr>
            <w:t>XXXXXXX</w:t>
          </w:r>
          <w:r w:rsidRPr="00415976">
            <w:rPr>
              <w:rStyle w:val="PlaceholderText"/>
            </w:rPr>
            <w:t>.</w:t>
          </w:r>
        </w:p>
      </w:docPartBody>
    </w:docPart>
    <w:docPart>
      <w:docPartPr>
        <w:name w:val="89C126D0B44A421B8E362058BCAB6EB4"/>
        <w:category>
          <w:name w:val="General"/>
          <w:gallery w:val="placeholder"/>
        </w:category>
        <w:types>
          <w:type w:val="bbPlcHdr"/>
        </w:types>
        <w:behaviors>
          <w:behavior w:val="content"/>
        </w:behaviors>
        <w:guid w:val="{D1C83E99-B5FB-4C0E-BE3D-F25D68A1DB45}"/>
      </w:docPartPr>
      <w:docPartBody>
        <w:p w:rsidR="004B17C9" w:rsidRDefault="004B17C9" w:rsidP="004B17C9">
          <w:pPr>
            <w:pStyle w:val="89C126D0B44A421B8E362058BCAB6EB4"/>
          </w:pPr>
          <w:r w:rsidRPr="00415976">
            <w:rPr>
              <w:rStyle w:val="PlaceholderText"/>
              <w:highlight w:val="yellow"/>
            </w:rPr>
            <w:t>XXXXXXX</w:t>
          </w:r>
          <w:r w:rsidRPr="00415976">
            <w:rPr>
              <w:rStyle w:val="PlaceholderText"/>
            </w:rPr>
            <w:t>.</w:t>
          </w:r>
        </w:p>
      </w:docPartBody>
    </w:docPart>
    <w:docPart>
      <w:docPartPr>
        <w:name w:val="477F42AB5B1941D2B2132E2D17422468"/>
        <w:category>
          <w:name w:val="General"/>
          <w:gallery w:val="placeholder"/>
        </w:category>
        <w:types>
          <w:type w:val="bbPlcHdr"/>
        </w:types>
        <w:behaviors>
          <w:behavior w:val="content"/>
        </w:behaviors>
        <w:guid w:val="{C2B87909-4022-4170-BD4E-0333A0755F11}"/>
      </w:docPartPr>
      <w:docPartBody>
        <w:p w:rsidR="00BB71D4" w:rsidRDefault="00BB71D4" w:rsidP="00BB71D4">
          <w:pPr>
            <w:pStyle w:val="477F42AB5B1941D2B2132E2D17422468"/>
          </w:pPr>
          <w: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rpid C1 SCd Regular">
    <w:altName w:val="Arial"/>
    <w:charset w:val="00"/>
    <w:family w:val="swiss"/>
    <w:pitch w:val="variable"/>
    <w:sig w:usb0="A00000EF" w:usb1="5000205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ptos Narrow">
    <w:altName w:val="Calibri"/>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50C"/>
    <w:rsid w:val="00002DD9"/>
    <w:rsid w:val="00071AD9"/>
    <w:rsid w:val="0011190D"/>
    <w:rsid w:val="00121340"/>
    <w:rsid w:val="001662E3"/>
    <w:rsid w:val="00212833"/>
    <w:rsid w:val="002533E4"/>
    <w:rsid w:val="00272336"/>
    <w:rsid w:val="00343DE9"/>
    <w:rsid w:val="003B38FA"/>
    <w:rsid w:val="003C0F2D"/>
    <w:rsid w:val="003E4396"/>
    <w:rsid w:val="0043650C"/>
    <w:rsid w:val="0046544D"/>
    <w:rsid w:val="00467069"/>
    <w:rsid w:val="00471CDE"/>
    <w:rsid w:val="004A2EBE"/>
    <w:rsid w:val="004B0041"/>
    <w:rsid w:val="004B17C9"/>
    <w:rsid w:val="004C354C"/>
    <w:rsid w:val="00537AD2"/>
    <w:rsid w:val="005A0202"/>
    <w:rsid w:val="005B1F3F"/>
    <w:rsid w:val="00624473"/>
    <w:rsid w:val="006703F5"/>
    <w:rsid w:val="006747B5"/>
    <w:rsid w:val="006C537C"/>
    <w:rsid w:val="0071152A"/>
    <w:rsid w:val="00734270"/>
    <w:rsid w:val="00763617"/>
    <w:rsid w:val="00815A11"/>
    <w:rsid w:val="00B0528F"/>
    <w:rsid w:val="00B06E87"/>
    <w:rsid w:val="00B76311"/>
    <w:rsid w:val="00BB71D4"/>
    <w:rsid w:val="00C43D39"/>
    <w:rsid w:val="00D82D3D"/>
    <w:rsid w:val="00D9759A"/>
    <w:rsid w:val="00ED4798"/>
    <w:rsid w:val="00F114F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17C9"/>
    <w:rPr>
      <w:vanish w:val="0"/>
      <w:color w:val="FF0000"/>
    </w:rPr>
  </w:style>
  <w:style w:type="paragraph" w:customStyle="1" w:styleId="3A7565275E2D4C2DBB20D85962E08BBC">
    <w:name w:val="3A7565275E2D4C2DBB20D85962E08BBC"/>
  </w:style>
  <w:style w:type="paragraph" w:customStyle="1" w:styleId="7B60C1B91A0A44C78355526C7FBF84B4">
    <w:name w:val="7B60C1B91A0A44C78355526C7FBF84B4"/>
  </w:style>
  <w:style w:type="paragraph" w:customStyle="1" w:styleId="51AD4AF397A54719B43775CF148A4D58">
    <w:name w:val="51AD4AF397A54719B43775CF148A4D58"/>
    <w:rsid w:val="004B17C9"/>
    <w:rPr>
      <w:lang w:val="en-US" w:eastAsia="en-US"/>
    </w:rPr>
  </w:style>
  <w:style w:type="paragraph" w:customStyle="1" w:styleId="89C126D0B44A421B8E362058BCAB6EB4">
    <w:name w:val="89C126D0B44A421B8E362058BCAB6EB4"/>
    <w:rsid w:val="004B17C9"/>
    <w:rPr>
      <w:lang w:val="en-US" w:eastAsia="en-US"/>
    </w:rPr>
  </w:style>
  <w:style w:type="paragraph" w:customStyle="1" w:styleId="477F42AB5B1941D2B2132E2D17422468">
    <w:name w:val="477F42AB5B1941D2B2132E2D17422468"/>
    <w:rsid w:val="00BB71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51">
      <a:dk1>
        <a:srgbClr val="000000"/>
      </a:dk1>
      <a:lt1>
        <a:srgbClr val="FFFFFF"/>
      </a:lt1>
      <a:dk2>
        <a:srgbClr val="585858"/>
      </a:dk2>
      <a:lt2>
        <a:srgbClr val="1D336D"/>
      </a:lt2>
      <a:accent1>
        <a:srgbClr val="63D0DF"/>
      </a:accent1>
      <a:accent2>
        <a:srgbClr val="C9C9CA"/>
      </a:accent2>
      <a:accent3>
        <a:srgbClr val="63D0DF"/>
      </a:accent3>
      <a:accent4>
        <a:srgbClr val="A1A1A1"/>
      </a:accent4>
      <a:accent5>
        <a:srgbClr val="63D0DF"/>
      </a:accent5>
      <a:accent6>
        <a:srgbClr val="A1A1A1"/>
      </a:accent6>
      <a:hlink>
        <a:srgbClr val="000000"/>
      </a:hlink>
      <a:folHlink>
        <a:srgbClr val="FFFFFF"/>
      </a:folHlink>
    </a:clrScheme>
    <a:fontScheme name="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dd4c36-77eb-41f1-bc55-8081e76bd12a">
      <Terms xmlns="http://schemas.microsoft.com/office/infopath/2007/PartnerControls"/>
    </lcf76f155ced4ddcb4097134ff3c332f>
    <TaxCatchAll xmlns="18b35f99-e99b-45f3-a924-f7d993aa38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D2B9BE6066D8448F569511346266D7" ma:contentTypeVersion="14" ma:contentTypeDescription="Create a new document." ma:contentTypeScope="" ma:versionID="53719949c713ab66ed89ecd61e7ff782">
  <xsd:schema xmlns:xsd="http://www.w3.org/2001/XMLSchema" xmlns:xs="http://www.w3.org/2001/XMLSchema" xmlns:p="http://schemas.microsoft.com/office/2006/metadata/properties" xmlns:ns2="dcdd4c36-77eb-41f1-bc55-8081e76bd12a" xmlns:ns3="18b35f99-e99b-45f3-a924-f7d993aa386b" targetNamespace="http://schemas.microsoft.com/office/2006/metadata/properties" ma:root="true" ma:fieldsID="7de0c5ede6166dd4783a64a1ee39f791" ns2:_="" ns3:_="">
    <xsd:import namespace="dcdd4c36-77eb-41f1-bc55-8081e76bd12a"/>
    <xsd:import namespace="18b35f99-e99b-45f3-a924-f7d993aa38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dd4c36-77eb-41f1-bc55-8081e76bd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b35f99-e99b-45f3-a924-f7d993aa386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bbbae61-4800-479d-9c1c-ec2b5a95e470}" ma:internalName="TaxCatchAll" ma:showField="CatchAllData" ma:web="18b35f99-e99b-45f3-a924-f7d993aa38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53363A-9A92-48B5-B592-DA8786A460CA}">
  <ds:schemaRefs>
    <ds:schemaRef ds:uri="http://purl.org/dc/terms/"/>
    <ds:schemaRef ds:uri="http://purl.org/dc/elements/1.1/"/>
    <ds:schemaRef ds:uri="http://schemas.microsoft.com/office/infopath/2007/PartnerControls"/>
    <ds:schemaRef ds:uri="http://schemas.microsoft.com/office/2006/documentManagement/types"/>
    <ds:schemaRef ds:uri="http://www.w3.org/XML/1998/namespace"/>
    <ds:schemaRef ds:uri="18b35f99-e99b-45f3-a924-f7d993aa386b"/>
    <ds:schemaRef ds:uri="http://schemas.microsoft.com/office/2006/metadata/properties"/>
    <ds:schemaRef ds:uri="http://schemas.openxmlformats.org/package/2006/metadata/core-properties"/>
    <ds:schemaRef ds:uri="dcdd4c36-77eb-41f1-bc55-8081e76bd12a"/>
    <ds:schemaRef ds:uri="http://purl.org/dc/dcmitype/"/>
  </ds:schemaRefs>
</ds:datastoreItem>
</file>

<file path=customXml/itemProps2.xml><?xml version="1.0" encoding="utf-8"?>
<ds:datastoreItem xmlns:ds="http://schemas.openxmlformats.org/officeDocument/2006/customXml" ds:itemID="{2F29B022-0EA9-413D-B058-F2BB65B26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dd4c36-77eb-41f1-bc55-8081e76bd12a"/>
    <ds:schemaRef ds:uri="18b35f99-e99b-45f3-a924-f7d993aa38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C25D3-CF97-4309-855D-EE60A5384A91}">
  <ds:schemaRefs>
    <ds:schemaRef ds:uri="http://schemas.openxmlformats.org/officeDocument/2006/bibliography"/>
  </ds:schemaRefs>
</ds:datastoreItem>
</file>

<file path=customXml/itemProps4.xml><?xml version="1.0" encoding="utf-8"?>
<ds:datastoreItem xmlns:ds="http://schemas.openxmlformats.org/officeDocument/2006/customXml" ds:itemID="{C349F714-95A0-41D9-90EC-A9CBF3B26E3B}">
  <ds:schemaRefs>
    <ds:schemaRef ds:uri="http://schemas.microsoft.com/sharepoint/v3/contenttype/forms"/>
  </ds:schemaRefs>
</ds:datastoreItem>
</file>

<file path=docMetadata/LabelInfo.xml><?xml version="1.0" encoding="utf-8"?>
<clbl:labelList xmlns:clbl="http://schemas.microsoft.com/office/2020/mipLabelMetadata">
  <clbl:label id="{610a6645-df8a-461f-957a-aeb16698bd53}" enabled="1" method="Privileged" siteId="{9b7f23b3-0e83-47a5-8a40-ffa8a6fea536}" removed="0"/>
</clbl:labelList>
</file>

<file path=docProps/app.xml><?xml version="1.0" encoding="utf-8"?>
<Properties xmlns="http://schemas.openxmlformats.org/officeDocument/2006/extended-properties" xmlns:vt="http://schemas.openxmlformats.org/officeDocument/2006/docPropsVTypes">
  <Template>Alinea Report Template 2021.dotx</Template>
  <TotalTime>137</TotalTime>
  <Pages>24</Pages>
  <Words>9069</Words>
  <Characters>59003</Characters>
  <Application>Microsoft Office Word</Application>
  <DocSecurity>0</DocSecurity>
  <Lines>491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Development Monitoring and Evaluation Service - Mid-term review</dc:title>
  <dc:subject/>
  <dc:creator>Rebecca King</dc:creator>
  <cp:keywords>[SEC=OFFICIAL]</cp:keywords>
  <dc:description/>
  <cp:revision>51</cp:revision>
  <cp:lastPrinted>2026-04-22T01:27:00Z</cp:lastPrinted>
  <dcterms:created xsi:type="dcterms:W3CDTF">2025-07-24T00:12:00Z</dcterms:created>
  <dcterms:modified xsi:type="dcterms:W3CDTF">2026-04-24T06:05:00Z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Title">
    <vt:lpwstr>HeaderTitle</vt:lpwstr>
  </property>
  <property fmtid="{D5CDD505-2E9C-101B-9397-08002B2CF9AE}" pid="3" name="FirstRun">
    <vt:lpwstr>True</vt:lpwstr>
  </property>
  <property fmtid="{D5CDD505-2E9C-101B-9397-08002B2CF9AE}" pid="4" name="cdpStatus">
    <vt:lpwstr>DRAFT</vt:lpwstr>
  </property>
  <property fmtid="{D5CDD505-2E9C-101B-9397-08002B2CF9AE}" pid="5" name="cdpDateDivider">
    <vt:lpwstr>|</vt:lpwstr>
  </property>
  <property fmtid="{D5CDD505-2E9C-101B-9397-08002B2CF9AE}" pid="6" name="ContentTypeId">
    <vt:lpwstr>0x01010024D2B9BE6066D8448F569511346266D7</vt:lpwstr>
  </property>
  <property fmtid="{D5CDD505-2E9C-101B-9397-08002B2CF9AE}" pid="7" name="Document Type">
    <vt:lpwstr/>
  </property>
  <property fmtid="{D5CDD505-2E9C-101B-9397-08002B2CF9AE}" pid="8" name="Document Type (Projects)">
    <vt:lpwstr/>
  </property>
  <property fmtid="{D5CDD505-2E9C-101B-9397-08002B2CF9AE}" pid="9" name="Order">
    <vt:r8>10300</vt:r8>
  </property>
  <property fmtid="{D5CDD505-2E9C-101B-9397-08002B2CF9AE}" pid="10" name="MediaServiceImageTags">
    <vt:lpwstr/>
  </property>
  <property fmtid="{D5CDD505-2E9C-101B-9397-08002B2CF9AE}" pid="11" name="PM_Namespace">
    <vt:lpwstr>gov.au</vt:lpwstr>
  </property>
  <property fmtid="{D5CDD505-2E9C-101B-9397-08002B2CF9AE}" pid="12" name="PM_Caveats_Count">
    <vt:lpwstr>0</vt:lpwstr>
  </property>
  <property fmtid="{D5CDD505-2E9C-101B-9397-08002B2CF9AE}" pid="13" name="PM_Version">
    <vt:lpwstr>2018.4</vt:lpwstr>
  </property>
  <property fmtid="{D5CDD505-2E9C-101B-9397-08002B2CF9AE}" pid="14" name="PM_Note">
    <vt:lpwstr/>
  </property>
  <property fmtid="{D5CDD505-2E9C-101B-9397-08002B2CF9AE}" pid="15" name="PMHMAC">
    <vt:lpwstr>v=2022.1;a=SHA256;h=6B3C1C6F4714A027347317C4B1175F6650B3032030529E9B5B3462102E6C141D</vt:lpwstr>
  </property>
  <property fmtid="{D5CDD505-2E9C-101B-9397-08002B2CF9AE}" pid="16" name="PM_Qualifier">
    <vt:lpwstr/>
  </property>
  <property fmtid="{D5CDD505-2E9C-101B-9397-08002B2CF9AE}" pid="17" name="PM_SecurityClassification">
    <vt:lpwstr>OFFICIAL</vt:lpwstr>
  </property>
  <property fmtid="{D5CDD505-2E9C-101B-9397-08002B2CF9AE}" pid="18" name="PM_ProtectiveMarkingValue_Header">
    <vt:lpwstr>OFFICIAL</vt:lpwstr>
  </property>
  <property fmtid="{D5CDD505-2E9C-101B-9397-08002B2CF9AE}" pid="19" name="PM_OriginationTimeStamp">
    <vt:lpwstr>2025-07-10T01:57:58Z</vt:lpwstr>
  </property>
  <property fmtid="{D5CDD505-2E9C-101B-9397-08002B2CF9AE}" pid="20" name="PM_Markers">
    <vt:lpwstr/>
  </property>
  <property fmtid="{D5CDD505-2E9C-101B-9397-08002B2CF9AE}" pid="21" name="PM_InsertionValue">
    <vt:lpwstr>OFFICIAL</vt:lpwstr>
  </property>
  <property fmtid="{D5CDD505-2E9C-101B-9397-08002B2CF9AE}" pid="22" name="PM_Originator_Hash_SHA1">
    <vt:lpwstr>43AD9CB140402A0AFDFEEA85B253F2EA86BCF504</vt:lpwstr>
  </property>
  <property fmtid="{D5CDD505-2E9C-101B-9397-08002B2CF9AE}" pid="23" name="PM_DisplayValueSecClassificationWithQualifier">
    <vt:lpwstr>OFFICIAL</vt:lpwstr>
  </property>
  <property fmtid="{D5CDD505-2E9C-101B-9397-08002B2CF9AE}" pid="24" name="PM_Originating_FileId">
    <vt:lpwstr>FD09E16ABE9347E7AABC05B8A1A55E2C</vt:lpwstr>
  </property>
  <property fmtid="{D5CDD505-2E9C-101B-9397-08002B2CF9AE}" pid="25" name="PM_ProtectiveMarkingValue_Footer">
    <vt:lpwstr>OFFICIAL</vt:lpwstr>
  </property>
  <property fmtid="{D5CDD505-2E9C-101B-9397-08002B2CF9AE}" pid="26" name="PM_ProtectiveMarkingImage_Header">
    <vt:lpwstr>C:\Program Files\Common Files\janusNET Shared\janusSEAL\Images\DocumentSlashBlue.png</vt:lpwstr>
  </property>
  <property fmtid="{D5CDD505-2E9C-101B-9397-08002B2CF9AE}" pid="27" name="PM_ProtectiveMarkingImage_Footer">
    <vt:lpwstr>C:\Program Files\Common Files\janusNET Shared\janusSEAL\Images\DocumentSlashBlue.png</vt:lpwstr>
  </property>
  <property fmtid="{D5CDD505-2E9C-101B-9397-08002B2CF9AE}" pid="28" name="PM_Display">
    <vt:lpwstr>OFFICIAL</vt:lpwstr>
  </property>
  <property fmtid="{D5CDD505-2E9C-101B-9397-08002B2CF9AE}" pid="29" name="PM_OriginatorUserAccountName_SHA256">
    <vt:lpwstr>6B441216F88941A1620F27CDC74EE4A4EFC3FE7C44B07D037105472322EC44B1</vt:lpwstr>
  </property>
  <property fmtid="{D5CDD505-2E9C-101B-9397-08002B2CF9AE}" pid="30" name="PM_OriginatorDomainName_SHA256">
    <vt:lpwstr>6F3591835F3B2A8A025B00B5BA6418010DA3A17C9C26EA9C049FFD28039489A2</vt:lpwstr>
  </property>
  <property fmtid="{D5CDD505-2E9C-101B-9397-08002B2CF9AE}" pid="31" name="PMUuid">
    <vt:lpwstr>v=2022.2;d=gov.au;g=46DD6D7C-8107-577B-BC6E-F348953B2E44</vt:lpwstr>
  </property>
  <property fmtid="{D5CDD505-2E9C-101B-9397-08002B2CF9AE}" pid="32" name="PM_Hash_Version">
    <vt:lpwstr>2022.1</vt:lpwstr>
  </property>
  <property fmtid="{D5CDD505-2E9C-101B-9397-08002B2CF9AE}" pid="33" name="PM_Hash_Salt_Prev">
    <vt:lpwstr>3ED84312985762E8B66F7115A71131E6</vt:lpwstr>
  </property>
  <property fmtid="{D5CDD505-2E9C-101B-9397-08002B2CF9AE}" pid="34" name="PM_Hash_Salt">
    <vt:lpwstr>E2365D32D35A6689195ABE41DAAABB57</vt:lpwstr>
  </property>
  <property fmtid="{D5CDD505-2E9C-101B-9397-08002B2CF9AE}" pid="35" name="PM_Hash_SHA1">
    <vt:lpwstr>18C30573880E5B78F9A20E24DA24017245D7445A</vt:lpwstr>
  </property>
  <property fmtid="{D5CDD505-2E9C-101B-9397-08002B2CF9AE}" pid="36" name="PM_SecurityClassification_Prev">
    <vt:lpwstr>OFFICIAL</vt:lpwstr>
  </property>
  <property fmtid="{D5CDD505-2E9C-101B-9397-08002B2CF9AE}" pid="37" name="PM_Qualifier_Prev">
    <vt:lpwstr/>
  </property>
  <property fmtid="{D5CDD505-2E9C-101B-9397-08002B2CF9AE}" pid="38" name="ClassificationContentMarkingHeaderShapeIds">
    <vt:lpwstr>5dfe7669,251f3e00,511f205a,508dc976,1cbd0f13</vt:lpwstr>
  </property>
  <property fmtid="{D5CDD505-2E9C-101B-9397-08002B2CF9AE}" pid="39" name="ClassificationContentMarkingHeaderFontProps">
    <vt:lpwstr>#ff0000,12,Aptos</vt:lpwstr>
  </property>
  <property fmtid="{D5CDD505-2E9C-101B-9397-08002B2CF9AE}" pid="40" name="ClassificationContentMarkingHeaderText">
    <vt:lpwstr>OFFICIAL</vt:lpwstr>
  </property>
  <property fmtid="{D5CDD505-2E9C-101B-9397-08002B2CF9AE}" pid="41" name="ClassificationContentMarkingFooterShapeIds">
    <vt:lpwstr>591f0bf2,2008b32,61d38520,14caaa3d,1aabb78f,49b2601b,6dbbd93e</vt:lpwstr>
  </property>
  <property fmtid="{D5CDD505-2E9C-101B-9397-08002B2CF9AE}" pid="42" name="ClassificationContentMarkingFooterFontProps">
    <vt:lpwstr>#ff0000,12,Aptos</vt:lpwstr>
  </property>
  <property fmtid="{D5CDD505-2E9C-101B-9397-08002B2CF9AE}" pid="43" name="ClassificationContentMarkingFooterText">
    <vt:lpwstr>OFFICIAL</vt:lpwstr>
  </property>
</Properties>
</file>