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A33" w:rsidRPr="00737A33" w:rsidRDefault="00737A33" w:rsidP="00737A33">
      <w:pPr>
        <w:jc w:val="center"/>
        <w:rPr>
          <w:b/>
        </w:rPr>
      </w:pPr>
      <w:bookmarkStart w:id="0" w:name="_GoBack"/>
      <w:bookmarkEnd w:id="0"/>
      <w:r w:rsidRPr="00737A33">
        <w:rPr>
          <w:b/>
        </w:rPr>
        <w:t>Grow Asia Mid-Term Review</w:t>
      </w:r>
    </w:p>
    <w:p w:rsidR="00764235" w:rsidRDefault="00A83CF5" w:rsidP="005702E7">
      <w:pPr>
        <w:jc w:val="center"/>
        <w:rPr>
          <w:b/>
        </w:rPr>
      </w:pPr>
      <w:r>
        <w:rPr>
          <w:b/>
        </w:rPr>
        <w:t>DFAT Management Response (August</w:t>
      </w:r>
      <w:r w:rsidR="00737A33" w:rsidRPr="005702E7">
        <w:rPr>
          <w:b/>
        </w:rPr>
        <w:t xml:space="preserve"> 2018)</w:t>
      </w:r>
    </w:p>
    <w:p w:rsidR="005702E7" w:rsidRPr="005702E7" w:rsidRDefault="005702E7" w:rsidP="005702E7">
      <w:pPr>
        <w:jc w:val="center"/>
        <w:rPr>
          <w:b/>
        </w:rPr>
      </w:pPr>
    </w:p>
    <w:tbl>
      <w:tblPr>
        <w:tblStyle w:val="TableGrid"/>
        <w:tblW w:w="0" w:type="auto"/>
        <w:tblLook w:val="04A0" w:firstRow="1" w:lastRow="0" w:firstColumn="1" w:lastColumn="0" w:noHBand="0" w:noVBand="1"/>
      </w:tblPr>
      <w:tblGrid>
        <w:gridCol w:w="4508"/>
        <w:gridCol w:w="4508"/>
      </w:tblGrid>
      <w:tr w:rsidR="00737A33" w:rsidTr="00737A33">
        <w:tc>
          <w:tcPr>
            <w:tcW w:w="4508" w:type="dxa"/>
          </w:tcPr>
          <w:p w:rsidR="00737A33" w:rsidRPr="005702E7" w:rsidRDefault="00737A33">
            <w:pPr>
              <w:rPr>
                <w:b/>
              </w:rPr>
            </w:pPr>
            <w:r w:rsidRPr="005702E7">
              <w:rPr>
                <w:b/>
              </w:rPr>
              <w:t xml:space="preserve">Recommendation </w:t>
            </w:r>
          </w:p>
        </w:tc>
        <w:tc>
          <w:tcPr>
            <w:tcW w:w="4508" w:type="dxa"/>
          </w:tcPr>
          <w:p w:rsidR="00737A33" w:rsidRPr="005702E7" w:rsidRDefault="00737A33">
            <w:pPr>
              <w:rPr>
                <w:b/>
              </w:rPr>
            </w:pPr>
            <w:r w:rsidRPr="005702E7">
              <w:rPr>
                <w:b/>
              </w:rPr>
              <w:t xml:space="preserve">DFAT Management Response </w:t>
            </w:r>
          </w:p>
        </w:tc>
      </w:tr>
      <w:tr w:rsidR="00737A33" w:rsidTr="00737A33">
        <w:tc>
          <w:tcPr>
            <w:tcW w:w="4508" w:type="dxa"/>
          </w:tcPr>
          <w:p w:rsidR="00737A33" w:rsidRPr="00737A33" w:rsidRDefault="00737A33" w:rsidP="00737A33">
            <w:pPr>
              <w:tabs>
                <w:tab w:val="left" w:pos="426"/>
              </w:tabs>
              <w:ind w:left="426" w:hanging="426"/>
              <w:rPr>
                <w:sz w:val="20"/>
                <w:szCs w:val="20"/>
              </w:rPr>
            </w:pPr>
            <w:r w:rsidRPr="00737A33">
              <w:rPr>
                <w:sz w:val="20"/>
                <w:szCs w:val="20"/>
              </w:rPr>
              <w:t>The Regional Secretariat should help to clarify the purpose of the working groups and provide greater guidance on how to foster inclusive business initiatives by:</w:t>
            </w:r>
          </w:p>
          <w:p w:rsidR="00737A33" w:rsidRPr="00737A33" w:rsidRDefault="00737A33" w:rsidP="00737A33">
            <w:pPr>
              <w:pStyle w:val="ListParagraph"/>
              <w:numPr>
                <w:ilvl w:val="0"/>
                <w:numId w:val="3"/>
              </w:numPr>
            </w:pPr>
            <w:r w:rsidRPr="00737A33">
              <w:t xml:space="preserve">Reiterating the primary focus of Grow Asia on bringing stakeholders together to identify and implement </w:t>
            </w:r>
            <w:r w:rsidRPr="00737A33">
              <w:rPr>
                <w:u w:val="single"/>
              </w:rPr>
              <w:t>inclusive business solutions that have the potential to benefit smallholders at scale;</w:t>
            </w:r>
          </w:p>
          <w:p w:rsidR="00737A33" w:rsidRPr="00737A33" w:rsidRDefault="00737A33" w:rsidP="00737A33">
            <w:pPr>
              <w:pStyle w:val="ListParagraph"/>
              <w:numPr>
                <w:ilvl w:val="0"/>
                <w:numId w:val="3"/>
              </w:numPr>
            </w:pPr>
            <w:r w:rsidRPr="00737A33">
              <w:t>Encouraging working groups to move beyond corporate social responsibility and ‘single off-taker value chain project’ projects, to focus on the development of whole commodity, service or sector markets, where possible; and</w:t>
            </w:r>
          </w:p>
          <w:p w:rsidR="00737A33" w:rsidRPr="00737A33" w:rsidRDefault="00737A33" w:rsidP="00737A33">
            <w:pPr>
              <w:pStyle w:val="ListParagraph"/>
              <w:numPr>
                <w:ilvl w:val="0"/>
                <w:numId w:val="3"/>
              </w:numPr>
            </w:pPr>
            <w:r w:rsidRPr="00737A33">
              <w:t>Facilitate access by working groups to appropriate expertise in inclusive business and market systems development, to enable them to make that transition.</w:t>
            </w:r>
          </w:p>
          <w:p w:rsidR="00737A33" w:rsidRDefault="00737A33"/>
        </w:tc>
        <w:tc>
          <w:tcPr>
            <w:tcW w:w="4508" w:type="dxa"/>
          </w:tcPr>
          <w:p w:rsidR="00737A33" w:rsidRDefault="00737A33">
            <w:pPr>
              <w:rPr>
                <w:sz w:val="20"/>
                <w:szCs w:val="20"/>
              </w:rPr>
            </w:pPr>
            <w:r w:rsidRPr="005702E7">
              <w:rPr>
                <w:sz w:val="20"/>
                <w:szCs w:val="20"/>
              </w:rPr>
              <w:t xml:space="preserve">Agree, DFAT will request the Regional Secretariat to clarify the purpose of the working groups </w:t>
            </w:r>
            <w:r w:rsidRPr="00737A33">
              <w:rPr>
                <w:sz w:val="20"/>
                <w:szCs w:val="20"/>
              </w:rPr>
              <w:t>and provide greater guidance on how to foster inclusive business initiatives</w:t>
            </w:r>
            <w:r>
              <w:rPr>
                <w:sz w:val="20"/>
                <w:szCs w:val="20"/>
              </w:rPr>
              <w:t>.</w:t>
            </w:r>
          </w:p>
          <w:p w:rsidR="00A2778A" w:rsidRDefault="00A2778A">
            <w:pPr>
              <w:rPr>
                <w:sz w:val="20"/>
                <w:szCs w:val="20"/>
              </w:rPr>
            </w:pPr>
          </w:p>
          <w:p w:rsidR="00A2778A" w:rsidRDefault="00A2778A" w:rsidP="00F54570">
            <w:r>
              <w:rPr>
                <w:sz w:val="20"/>
                <w:szCs w:val="20"/>
              </w:rPr>
              <w:t>Given the need to continue to inspire collaborative action and keep inclusivity and sustainability on the business agenda, DF</w:t>
            </w:r>
            <w:r w:rsidR="00785746">
              <w:rPr>
                <w:sz w:val="20"/>
                <w:szCs w:val="20"/>
              </w:rPr>
              <w:t>AT would be keen for WEF &amp; the Regional S</w:t>
            </w:r>
            <w:r>
              <w:rPr>
                <w:sz w:val="20"/>
                <w:szCs w:val="20"/>
              </w:rPr>
              <w:t xml:space="preserve">ecretariat to consider how they can more actively foster and support activities in the CPs where the private sector is less well developed.   This might be combined with a proposal outlining </w:t>
            </w:r>
            <w:r w:rsidR="00F54570">
              <w:rPr>
                <w:sz w:val="20"/>
                <w:szCs w:val="20"/>
              </w:rPr>
              <w:t>the</w:t>
            </w:r>
            <w:r>
              <w:rPr>
                <w:sz w:val="20"/>
                <w:szCs w:val="20"/>
              </w:rPr>
              <w:t xml:space="preserve"> scaling down of support to the most established and self-sufficient CPs</w:t>
            </w:r>
            <w:r w:rsidR="00F54570">
              <w:rPr>
                <w:sz w:val="20"/>
                <w:szCs w:val="20"/>
              </w:rPr>
              <w:t xml:space="preserve">. </w:t>
            </w:r>
          </w:p>
        </w:tc>
      </w:tr>
      <w:tr w:rsidR="00737A33" w:rsidTr="00737A33">
        <w:tc>
          <w:tcPr>
            <w:tcW w:w="4508" w:type="dxa"/>
          </w:tcPr>
          <w:p w:rsidR="00737A33" w:rsidRDefault="00737A33">
            <w:r w:rsidRPr="00737A33">
              <w:rPr>
                <w:sz w:val="20"/>
                <w:szCs w:val="20"/>
              </w:rPr>
              <w:t>Country Partnerships should be encouraged to accelerate the process of moving towards financial self-sufficiency.</w:t>
            </w:r>
          </w:p>
        </w:tc>
        <w:tc>
          <w:tcPr>
            <w:tcW w:w="4508" w:type="dxa"/>
          </w:tcPr>
          <w:p w:rsidR="00737A33" w:rsidRDefault="00737A33" w:rsidP="00785746">
            <w:pPr>
              <w:rPr>
                <w:sz w:val="20"/>
                <w:szCs w:val="20"/>
              </w:rPr>
            </w:pPr>
            <w:r w:rsidRPr="005702E7">
              <w:rPr>
                <w:sz w:val="20"/>
                <w:szCs w:val="20"/>
              </w:rPr>
              <w:t>Agree, DFAT will request the Regional Secretariat to</w:t>
            </w:r>
            <w:r w:rsidR="00785746">
              <w:rPr>
                <w:sz w:val="20"/>
                <w:szCs w:val="20"/>
              </w:rPr>
              <w:t xml:space="preserve"> identify pathways for moving toward financial self-sufficiency for those Country Programs still requiring financial support</w:t>
            </w:r>
          </w:p>
          <w:p w:rsidR="00785746" w:rsidRPr="005702E7" w:rsidRDefault="00785746" w:rsidP="00785746">
            <w:pPr>
              <w:rPr>
                <w:sz w:val="20"/>
                <w:szCs w:val="20"/>
              </w:rPr>
            </w:pPr>
          </w:p>
        </w:tc>
      </w:tr>
      <w:tr w:rsidR="00737A33" w:rsidTr="00737A33">
        <w:tc>
          <w:tcPr>
            <w:tcW w:w="4508" w:type="dxa"/>
          </w:tcPr>
          <w:p w:rsidR="00737A33" w:rsidRPr="00737A33" w:rsidRDefault="00737A33" w:rsidP="00737A33">
            <w:pPr>
              <w:tabs>
                <w:tab w:val="left" w:pos="426"/>
              </w:tabs>
              <w:ind w:left="426" w:hanging="426"/>
              <w:rPr>
                <w:sz w:val="20"/>
                <w:szCs w:val="20"/>
              </w:rPr>
            </w:pPr>
            <w:r w:rsidRPr="00737A33">
              <w:rPr>
                <w:sz w:val="20"/>
                <w:szCs w:val="20"/>
              </w:rPr>
              <w:t>To enhance Grow Asia governance structures, the Regional Secretariat should:</w:t>
            </w:r>
          </w:p>
          <w:p w:rsidR="00737A33" w:rsidRPr="00737A33" w:rsidRDefault="00737A33" w:rsidP="00737A33">
            <w:pPr>
              <w:pStyle w:val="ListParagraph"/>
              <w:numPr>
                <w:ilvl w:val="0"/>
                <w:numId w:val="3"/>
              </w:numPr>
            </w:pPr>
            <w:r w:rsidRPr="00737A33">
              <w:t xml:space="preserve">continue to advocate for representation by the less powerful stakeholders, including local companies and farmer representatives, on GA governing bodies; and  </w:t>
            </w:r>
          </w:p>
          <w:p w:rsidR="00737A33" w:rsidRPr="00737A33" w:rsidRDefault="00737A33" w:rsidP="00737A33">
            <w:pPr>
              <w:pStyle w:val="ListParagraph"/>
              <w:numPr>
                <w:ilvl w:val="0"/>
                <w:numId w:val="3"/>
              </w:numPr>
            </w:pPr>
            <w:r w:rsidRPr="00737A33">
              <w:t>advocate for increased transparency of all governance groups.  It could lead by example by posting agendas and records of meeting discussions for all regional level governance meetings on The GA website.</w:t>
            </w:r>
          </w:p>
          <w:p w:rsidR="00737A33" w:rsidRDefault="00737A33"/>
        </w:tc>
        <w:tc>
          <w:tcPr>
            <w:tcW w:w="4508" w:type="dxa"/>
          </w:tcPr>
          <w:p w:rsidR="00737A33" w:rsidRPr="005702E7" w:rsidRDefault="00737A33" w:rsidP="00F54570">
            <w:pPr>
              <w:rPr>
                <w:sz w:val="20"/>
                <w:szCs w:val="20"/>
              </w:rPr>
            </w:pPr>
            <w:r w:rsidRPr="005702E7">
              <w:rPr>
                <w:sz w:val="20"/>
                <w:szCs w:val="20"/>
              </w:rPr>
              <w:t xml:space="preserve">Agree, DFAT will request the Regional Secretariat to take action to </w:t>
            </w:r>
            <w:r w:rsidR="00F54570">
              <w:rPr>
                <w:sz w:val="20"/>
                <w:szCs w:val="20"/>
              </w:rPr>
              <w:t xml:space="preserve">support more meaningful involvement of the less powerful value chain stakeholders while also ensuring increased transparency of all governance instruments, including by publishing minutes, decisions ROC’s on the Grow Asia website.  </w:t>
            </w:r>
            <w:r w:rsidR="00F05294" w:rsidRPr="005702E7">
              <w:rPr>
                <w:sz w:val="20"/>
                <w:szCs w:val="20"/>
              </w:rPr>
              <w:t xml:space="preserve">  </w:t>
            </w:r>
          </w:p>
        </w:tc>
      </w:tr>
      <w:tr w:rsidR="00737A33" w:rsidTr="00737A33">
        <w:tc>
          <w:tcPr>
            <w:tcW w:w="4508" w:type="dxa"/>
          </w:tcPr>
          <w:p w:rsidR="00737A33" w:rsidRPr="00737A33" w:rsidRDefault="00737A33" w:rsidP="00737A33">
            <w:pPr>
              <w:tabs>
                <w:tab w:val="left" w:pos="426"/>
              </w:tabs>
              <w:ind w:left="426" w:hanging="426"/>
              <w:rPr>
                <w:sz w:val="20"/>
                <w:szCs w:val="20"/>
              </w:rPr>
            </w:pPr>
            <w:r w:rsidRPr="00737A33">
              <w:rPr>
                <w:sz w:val="20"/>
                <w:szCs w:val="20"/>
              </w:rPr>
              <w:t>Adjust the narrative on results, so that reporting better reflects the actual impact of Grow Asia’s activities. For example:</w:t>
            </w:r>
          </w:p>
          <w:p w:rsidR="00737A33" w:rsidRPr="00737A33" w:rsidRDefault="00737A33" w:rsidP="00737A33">
            <w:pPr>
              <w:pStyle w:val="ListParagraph"/>
              <w:numPr>
                <w:ilvl w:val="0"/>
                <w:numId w:val="1"/>
              </w:numPr>
              <w:ind w:left="851" w:hanging="425"/>
            </w:pPr>
            <w:r w:rsidRPr="00737A33">
              <w:t xml:space="preserve">Avoid including in results reporting, project benefits that cannot be attributed </w:t>
            </w:r>
            <w:r w:rsidRPr="00737A33">
              <w:lastRenderedPageBreak/>
              <w:t>to Grow Asia activities, structures or processes;</w:t>
            </w:r>
          </w:p>
          <w:p w:rsidR="00737A33" w:rsidRPr="00737A33" w:rsidRDefault="00737A33" w:rsidP="00737A33">
            <w:pPr>
              <w:pStyle w:val="ListParagraph"/>
              <w:numPr>
                <w:ilvl w:val="0"/>
                <w:numId w:val="1"/>
              </w:numPr>
              <w:ind w:left="851" w:hanging="425"/>
            </w:pPr>
            <w:r w:rsidRPr="00737A33">
              <w:t xml:space="preserve">Report Grow Asia’s </w:t>
            </w:r>
            <w:r w:rsidRPr="00737A33">
              <w:rPr>
                <w:u w:val="single"/>
              </w:rPr>
              <w:t>contribution</w:t>
            </w:r>
            <w:r w:rsidRPr="00737A33">
              <w:t xml:space="preserve"> to results, where that contribution can be demonstrated;</w:t>
            </w:r>
          </w:p>
          <w:p w:rsidR="00737A33" w:rsidRPr="00737A33" w:rsidRDefault="00737A33" w:rsidP="00737A33">
            <w:pPr>
              <w:pStyle w:val="ListParagraph"/>
              <w:numPr>
                <w:ilvl w:val="0"/>
                <w:numId w:val="1"/>
              </w:numPr>
              <w:ind w:left="851" w:hanging="425"/>
            </w:pPr>
            <w:r w:rsidRPr="00737A33">
              <w:t xml:space="preserve">Where Grow Asia’s contribution or attribution cannot be demonstrated, phrase reporting to be clear that these are not being claimed as results of Grow Asia’s structures, processes or initiatives. </w:t>
            </w:r>
          </w:p>
          <w:p w:rsidR="00737A33" w:rsidRDefault="00737A33"/>
        </w:tc>
        <w:tc>
          <w:tcPr>
            <w:tcW w:w="4508" w:type="dxa"/>
          </w:tcPr>
          <w:p w:rsidR="00737A33" w:rsidRDefault="00B07A95" w:rsidP="001776DD">
            <w:r w:rsidRPr="005702E7">
              <w:rPr>
                <w:sz w:val="20"/>
                <w:szCs w:val="20"/>
              </w:rPr>
              <w:lastRenderedPageBreak/>
              <w:t xml:space="preserve">Agree, DFAT will </w:t>
            </w:r>
            <w:r w:rsidR="001776DD">
              <w:rPr>
                <w:sz w:val="20"/>
                <w:szCs w:val="20"/>
              </w:rPr>
              <w:t xml:space="preserve">request </w:t>
            </w:r>
            <w:r w:rsidRPr="005702E7">
              <w:rPr>
                <w:sz w:val="20"/>
                <w:szCs w:val="20"/>
              </w:rPr>
              <w:t>the Regional Secretariat to a</w:t>
            </w:r>
            <w:r w:rsidRPr="00737A33">
              <w:rPr>
                <w:sz w:val="20"/>
                <w:szCs w:val="20"/>
              </w:rPr>
              <w:t>djust the narrative on results, so that reporting better reflects the actual impact of Grow Asia’s activities</w:t>
            </w:r>
            <w:r w:rsidRPr="005702E7">
              <w:rPr>
                <w:sz w:val="20"/>
                <w:szCs w:val="20"/>
              </w:rPr>
              <w:t>.</w:t>
            </w:r>
          </w:p>
        </w:tc>
      </w:tr>
      <w:tr w:rsidR="00737A33" w:rsidTr="00737A33">
        <w:tc>
          <w:tcPr>
            <w:tcW w:w="4508" w:type="dxa"/>
          </w:tcPr>
          <w:p w:rsidR="00737A33" w:rsidRPr="00737A33" w:rsidRDefault="00737A33" w:rsidP="00737A33">
            <w:pPr>
              <w:tabs>
                <w:tab w:val="left" w:pos="426"/>
              </w:tabs>
              <w:ind w:left="426" w:hanging="426"/>
              <w:rPr>
                <w:sz w:val="20"/>
                <w:szCs w:val="20"/>
              </w:rPr>
            </w:pPr>
            <w:r w:rsidRPr="00737A33">
              <w:rPr>
                <w:sz w:val="20"/>
                <w:szCs w:val="20"/>
              </w:rPr>
              <w:t>Grow Asia reporting should de-emphasize quantitative results, instead giving greater prominence to monitoring qualitative factors and partnership processes, over which the Regional Secretariat and Country Partnership secretariats have more influence:</w:t>
            </w:r>
          </w:p>
          <w:p w:rsidR="00737A33" w:rsidRPr="00737A33" w:rsidRDefault="00737A33" w:rsidP="00737A33">
            <w:pPr>
              <w:pStyle w:val="ListParagraph"/>
              <w:numPr>
                <w:ilvl w:val="0"/>
                <w:numId w:val="1"/>
              </w:numPr>
              <w:ind w:left="851" w:hanging="425"/>
            </w:pPr>
            <w:r w:rsidRPr="00737A33">
              <w:t>Building the capacity of country partnerships and working groups</w:t>
            </w:r>
          </w:p>
          <w:p w:rsidR="00737A33" w:rsidRPr="00737A33" w:rsidRDefault="00737A33" w:rsidP="00737A33">
            <w:pPr>
              <w:pStyle w:val="ListParagraph"/>
              <w:numPr>
                <w:ilvl w:val="0"/>
                <w:numId w:val="1"/>
              </w:numPr>
              <w:ind w:left="851" w:hanging="425"/>
            </w:pPr>
            <w:r w:rsidRPr="00737A33">
              <w:t>Networking across the region and sharing knowledge;</w:t>
            </w:r>
          </w:p>
          <w:p w:rsidR="00737A33" w:rsidRPr="00737A33" w:rsidRDefault="00737A33" w:rsidP="00737A33">
            <w:pPr>
              <w:pStyle w:val="ListParagraph"/>
              <w:numPr>
                <w:ilvl w:val="0"/>
                <w:numId w:val="1"/>
              </w:numPr>
              <w:ind w:left="851" w:hanging="425"/>
            </w:pPr>
            <w:r w:rsidRPr="00737A33">
              <w:t>Brokering and supporting multi-stakeholder partnerships, etc</w:t>
            </w:r>
          </w:p>
          <w:p w:rsidR="00737A33" w:rsidRDefault="00737A33"/>
        </w:tc>
        <w:tc>
          <w:tcPr>
            <w:tcW w:w="4508" w:type="dxa"/>
          </w:tcPr>
          <w:p w:rsidR="00737A33" w:rsidRDefault="00F54570" w:rsidP="00F54570">
            <w:r>
              <w:rPr>
                <w:sz w:val="20"/>
                <w:szCs w:val="20"/>
              </w:rPr>
              <w:t xml:space="preserve">DFAT appreciates the </w:t>
            </w:r>
            <w:r w:rsidR="00B07A95" w:rsidRPr="005702E7">
              <w:rPr>
                <w:sz w:val="20"/>
                <w:szCs w:val="20"/>
              </w:rPr>
              <w:t>Regional Secretariat</w:t>
            </w:r>
            <w:r>
              <w:rPr>
                <w:sz w:val="20"/>
                <w:szCs w:val="20"/>
              </w:rPr>
              <w:t xml:space="preserve">’s commitment </w:t>
            </w:r>
            <w:r w:rsidR="00B07A95" w:rsidRPr="005702E7">
              <w:rPr>
                <w:sz w:val="20"/>
                <w:szCs w:val="20"/>
              </w:rPr>
              <w:t xml:space="preserve">to </w:t>
            </w:r>
            <w:r>
              <w:rPr>
                <w:sz w:val="20"/>
                <w:szCs w:val="20"/>
              </w:rPr>
              <w:t xml:space="preserve">continue </w:t>
            </w:r>
            <w:r w:rsidR="00B07A95" w:rsidRPr="005702E7">
              <w:rPr>
                <w:sz w:val="20"/>
                <w:szCs w:val="20"/>
              </w:rPr>
              <w:t>plac</w:t>
            </w:r>
            <w:r>
              <w:rPr>
                <w:sz w:val="20"/>
                <w:szCs w:val="20"/>
              </w:rPr>
              <w:t xml:space="preserve">ing </w:t>
            </w:r>
            <w:r w:rsidR="00B07A95" w:rsidRPr="005702E7">
              <w:rPr>
                <w:sz w:val="20"/>
                <w:szCs w:val="20"/>
              </w:rPr>
              <w:t xml:space="preserve">greater emphasis on </w:t>
            </w:r>
            <w:r>
              <w:rPr>
                <w:sz w:val="20"/>
                <w:szCs w:val="20"/>
              </w:rPr>
              <w:t xml:space="preserve">the reporting of </w:t>
            </w:r>
            <w:r w:rsidR="00B07A95" w:rsidRPr="005702E7">
              <w:rPr>
                <w:sz w:val="20"/>
                <w:szCs w:val="20"/>
              </w:rPr>
              <w:t>qualitative results.</w:t>
            </w:r>
            <w:r w:rsidR="00B07A95">
              <w:t xml:space="preserve">  </w:t>
            </w:r>
          </w:p>
        </w:tc>
      </w:tr>
      <w:tr w:rsidR="00737A33" w:rsidTr="00737A33">
        <w:tc>
          <w:tcPr>
            <w:tcW w:w="4508" w:type="dxa"/>
          </w:tcPr>
          <w:p w:rsidR="00737A33" w:rsidRDefault="00737A33">
            <w:r w:rsidRPr="00737A33">
              <w:rPr>
                <w:sz w:val="20"/>
                <w:szCs w:val="20"/>
              </w:rPr>
              <w:t>Commission one or two rigorous evaluations/case studies of projects which have successfully piloted new business models that could be replicated on a commercial basis.</w:t>
            </w:r>
          </w:p>
        </w:tc>
        <w:tc>
          <w:tcPr>
            <w:tcW w:w="4508" w:type="dxa"/>
          </w:tcPr>
          <w:p w:rsidR="00737A33" w:rsidRDefault="005702E7" w:rsidP="00F54570">
            <w:r w:rsidRPr="002639DD">
              <w:rPr>
                <w:sz w:val="20"/>
                <w:szCs w:val="20"/>
              </w:rPr>
              <w:t xml:space="preserve">DFAT </w:t>
            </w:r>
            <w:r w:rsidR="00F54570">
              <w:rPr>
                <w:sz w:val="20"/>
                <w:szCs w:val="20"/>
              </w:rPr>
              <w:t xml:space="preserve">appreciates the efforts being made to develop case studies to showcase projects which have succeeded in developing inclusive, scalable business models. </w:t>
            </w:r>
          </w:p>
        </w:tc>
      </w:tr>
      <w:tr w:rsidR="00737A33" w:rsidTr="00737A33">
        <w:tc>
          <w:tcPr>
            <w:tcW w:w="4508" w:type="dxa"/>
          </w:tcPr>
          <w:p w:rsidR="00737A33" w:rsidRDefault="00737A33">
            <w:r w:rsidRPr="00737A33">
              <w:rPr>
                <w:sz w:val="20"/>
                <w:szCs w:val="20"/>
              </w:rPr>
              <w:t>Should DFAT decide to support Grow Asia beyond the existing period of commitment, such support should reflect a more modest expectation of the impact Grow Asia can achieve and focus on supporting the network’s convening, brokering, knowledge management and capacity building functions.   A reduced level of support would be commensurate with this approach.</w:t>
            </w:r>
          </w:p>
        </w:tc>
        <w:tc>
          <w:tcPr>
            <w:tcW w:w="4508" w:type="dxa"/>
          </w:tcPr>
          <w:p w:rsidR="00737A33" w:rsidRDefault="00B07A95">
            <w:r w:rsidRPr="005702E7">
              <w:rPr>
                <w:sz w:val="20"/>
                <w:szCs w:val="20"/>
              </w:rPr>
              <w:t>Agree, DFAT will consider a proposal for future funding based on a reduced level of support from DFAT and a greater level of support from other donors.</w:t>
            </w:r>
            <w:r>
              <w:t xml:space="preserve">  </w:t>
            </w:r>
          </w:p>
        </w:tc>
      </w:tr>
    </w:tbl>
    <w:p w:rsidR="00737A33" w:rsidRDefault="00737A33"/>
    <w:p w:rsidR="00737A33" w:rsidRPr="00737A33" w:rsidRDefault="00737A33" w:rsidP="00737A33">
      <w:pPr>
        <w:tabs>
          <w:tab w:val="left" w:pos="426"/>
        </w:tabs>
        <w:ind w:left="426" w:hanging="426"/>
        <w:rPr>
          <w:sz w:val="20"/>
          <w:szCs w:val="20"/>
        </w:rPr>
      </w:pPr>
    </w:p>
    <w:p w:rsidR="00737A33" w:rsidRPr="00737A33" w:rsidRDefault="00737A33" w:rsidP="00737A33">
      <w:pPr>
        <w:tabs>
          <w:tab w:val="left" w:pos="426"/>
        </w:tabs>
        <w:ind w:left="426" w:hanging="426"/>
        <w:rPr>
          <w:sz w:val="20"/>
          <w:szCs w:val="20"/>
        </w:rPr>
      </w:pPr>
      <w:r w:rsidRPr="00737A33">
        <w:rPr>
          <w:sz w:val="20"/>
          <w:szCs w:val="20"/>
        </w:rPr>
        <w:tab/>
      </w:r>
    </w:p>
    <w:p w:rsidR="00737A33" w:rsidRPr="00210431" w:rsidRDefault="00737A33" w:rsidP="00737A33"/>
    <w:p w:rsidR="00737A33" w:rsidRDefault="00737A33"/>
    <w:sectPr w:rsidR="00737A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43" w:rsidRDefault="00C53943" w:rsidP="00C53943">
      <w:pPr>
        <w:spacing w:after="0" w:line="240" w:lineRule="auto"/>
      </w:pPr>
      <w:r>
        <w:separator/>
      </w:r>
    </w:p>
  </w:endnote>
  <w:endnote w:type="continuationSeparator" w:id="0">
    <w:p w:rsidR="00C53943" w:rsidRDefault="00C53943" w:rsidP="00C5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43" w:rsidRDefault="00C53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43" w:rsidRDefault="00C53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43" w:rsidRDefault="00C53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43" w:rsidRDefault="00C53943" w:rsidP="00C53943">
      <w:pPr>
        <w:spacing w:after="0" w:line="240" w:lineRule="auto"/>
      </w:pPr>
      <w:r>
        <w:separator/>
      </w:r>
    </w:p>
  </w:footnote>
  <w:footnote w:type="continuationSeparator" w:id="0">
    <w:p w:rsidR="00C53943" w:rsidRDefault="00C53943" w:rsidP="00C53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43" w:rsidRDefault="00C53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43" w:rsidRDefault="00C53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43" w:rsidRDefault="00C53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C7641"/>
    <w:multiLevelType w:val="hybridMultilevel"/>
    <w:tmpl w:val="FD7E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9F3E2C"/>
    <w:multiLevelType w:val="hybridMultilevel"/>
    <w:tmpl w:val="DFBE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501BF"/>
    <w:multiLevelType w:val="multilevel"/>
    <w:tmpl w:val="BFA6DB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33"/>
    <w:rsid w:val="001776DD"/>
    <w:rsid w:val="002639DD"/>
    <w:rsid w:val="004A170B"/>
    <w:rsid w:val="005253D8"/>
    <w:rsid w:val="005702E7"/>
    <w:rsid w:val="006F6378"/>
    <w:rsid w:val="00737A33"/>
    <w:rsid w:val="00764235"/>
    <w:rsid w:val="00785746"/>
    <w:rsid w:val="00922E78"/>
    <w:rsid w:val="009F448F"/>
    <w:rsid w:val="00A2778A"/>
    <w:rsid w:val="00A83CF5"/>
    <w:rsid w:val="00B07A95"/>
    <w:rsid w:val="00C53943"/>
    <w:rsid w:val="00E60106"/>
    <w:rsid w:val="00ED1489"/>
    <w:rsid w:val="00F05294"/>
    <w:rsid w:val="00F54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7A33"/>
    <w:pPr>
      <w:numPr>
        <w:numId w:val="2"/>
      </w:numPr>
      <w:pBdr>
        <w:bottom w:val="single" w:sz="4" w:space="1" w:color="ED7D31" w:themeColor="accent2"/>
      </w:pBdr>
      <w:spacing w:before="360" w:after="80" w:line="276" w:lineRule="auto"/>
      <w:outlineLvl w:val="0"/>
    </w:pPr>
    <w:rPr>
      <w:rFonts w:asciiTheme="majorHAnsi" w:hAnsiTheme="majorHAnsi" w:cstheme="minorHAnsi"/>
      <w:color w:val="ED7D31" w:themeColor="accent2"/>
      <w:sz w:val="32"/>
      <w:szCs w:val="32"/>
      <w:lang w:val="en-US" w:eastAsia="ja-JP"/>
    </w:rPr>
  </w:style>
  <w:style w:type="paragraph" w:styleId="Heading2">
    <w:name w:val="heading 2"/>
    <w:basedOn w:val="Normal"/>
    <w:next w:val="Normal"/>
    <w:link w:val="Heading2Char"/>
    <w:autoRedefine/>
    <w:uiPriority w:val="9"/>
    <w:qFormat/>
    <w:rsid w:val="00737A33"/>
    <w:pPr>
      <w:keepNext/>
      <w:numPr>
        <w:ilvl w:val="1"/>
        <w:numId w:val="2"/>
      </w:numPr>
      <w:spacing w:after="0" w:line="276" w:lineRule="auto"/>
      <w:ind w:left="578" w:hanging="578"/>
      <w:outlineLvl w:val="1"/>
    </w:pPr>
    <w:rPr>
      <w:rFonts w:asciiTheme="majorHAnsi" w:hAnsiTheme="majorHAnsi" w:cstheme="minorHAnsi"/>
      <w:color w:val="ED7D31" w:themeColor="accent2"/>
      <w:sz w:val="24"/>
      <w:szCs w:val="28"/>
      <w:lang w:val="en-US" w:eastAsia="ja-JP"/>
    </w:rPr>
  </w:style>
  <w:style w:type="paragraph" w:styleId="Heading3">
    <w:name w:val="heading 3"/>
    <w:basedOn w:val="Normal"/>
    <w:next w:val="Normal"/>
    <w:link w:val="Heading3Char"/>
    <w:autoRedefine/>
    <w:uiPriority w:val="9"/>
    <w:qFormat/>
    <w:rsid w:val="00737A33"/>
    <w:pPr>
      <w:numPr>
        <w:ilvl w:val="2"/>
        <w:numId w:val="2"/>
      </w:numPr>
      <w:spacing w:after="180" w:line="276" w:lineRule="auto"/>
      <w:outlineLvl w:val="2"/>
    </w:pPr>
    <w:rPr>
      <w:rFonts w:asciiTheme="majorHAnsi" w:hAnsiTheme="majorHAnsi" w:cstheme="minorHAnsi"/>
      <w:color w:val="ED7D31" w:themeColor="accent2"/>
      <w:sz w:val="24"/>
      <w:szCs w:val="24"/>
      <w:lang w:eastAsia="ja-JP"/>
    </w:rPr>
  </w:style>
  <w:style w:type="paragraph" w:styleId="Heading4">
    <w:name w:val="heading 4"/>
    <w:basedOn w:val="Normal"/>
    <w:next w:val="Normal"/>
    <w:link w:val="Heading4Char"/>
    <w:uiPriority w:val="9"/>
    <w:unhideWhenUsed/>
    <w:qFormat/>
    <w:rsid w:val="00737A33"/>
    <w:pPr>
      <w:numPr>
        <w:ilvl w:val="3"/>
        <w:numId w:val="2"/>
      </w:numPr>
      <w:spacing w:after="0" w:line="276" w:lineRule="auto"/>
      <w:outlineLvl w:val="3"/>
    </w:pPr>
    <w:rPr>
      <w:rFonts w:asciiTheme="majorHAnsi" w:hAnsiTheme="majorHAnsi" w:cstheme="minorHAnsi"/>
      <w:i/>
      <w:color w:val="ED7D31" w:themeColor="accent2"/>
      <w:lang w:val="en-US" w:eastAsia="ja-JP"/>
    </w:rPr>
  </w:style>
  <w:style w:type="paragraph" w:styleId="Heading5">
    <w:name w:val="heading 5"/>
    <w:basedOn w:val="Normal"/>
    <w:next w:val="Normal"/>
    <w:link w:val="Heading5Char"/>
    <w:uiPriority w:val="9"/>
    <w:unhideWhenUsed/>
    <w:qFormat/>
    <w:rsid w:val="00737A33"/>
    <w:pPr>
      <w:numPr>
        <w:ilvl w:val="4"/>
        <w:numId w:val="2"/>
      </w:numPr>
      <w:spacing w:after="0" w:line="276" w:lineRule="auto"/>
      <w:outlineLvl w:val="4"/>
    </w:pPr>
    <w:rPr>
      <w:rFonts w:asciiTheme="majorHAnsi" w:hAnsiTheme="majorHAnsi" w:cstheme="minorHAnsi"/>
      <w:b/>
      <w:color w:val="C45911" w:themeColor="accent2" w:themeShade="BF"/>
      <w:sz w:val="20"/>
      <w:szCs w:val="20"/>
      <w:lang w:val="en-US" w:eastAsia="ja-JP"/>
    </w:rPr>
  </w:style>
  <w:style w:type="paragraph" w:styleId="Heading6">
    <w:name w:val="heading 6"/>
    <w:basedOn w:val="Normal"/>
    <w:next w:val="Normal"/>
    <w:link w:val="Heading6Char"/>
    <w:uiPriority w:val="9"/>
    <w:unhideWhenUsed/>
    <w:qFormat/>
    <w:rsid w:val="00737A33"/>
    <w:pPr>
      <w:numPr>
        <w:ilvl w:val="5"/>
        <w:numId w:val="2"/>
      </w:numPr>
      <w:spacing w:after="0" w:line="276" w:lineRule="auto"/>
      <w:outlineLvl w:val="5"/>
    </w:pPr>
    <w:rPr>
      <w:rFonts w:asciiTheme="majorHAnsi" w:hAnsiTheme="majorHAnsi" w:cstheme="minorHAnsi"/>
      <w:b/>
      <w:i/>
      <w:color w:val="C45911" w:themeColor="accent2" w:themeShade="BF"/>
      <w:sz w:val="20"/>
      <w:szCs w:val="20"/>
      <w:lang w:val="en-US" w:eastAsia="ja-JP"/>
    </w:rPr>
  </w:style>
  <w:style w:type="paragraph" w:styleId="Heading7">
    <w:name w:val="heading 7"/>
    <w:basedOn w:val="Normal"/>
    <w:next w:val="Normal"/>
    <w:link w:val="Heading7Char"/>
    <w:uiPriority w:val="9"/>
    <w:unhideWhenUsed/>
    <w:qFormat/>
    <w:rsid w:val="00737A33"/>
    <w:pPr>
      <w:numPr>
        <w:ilvl w:val="6"/>
        <w:numId w:val="2"/>
      </w:numPr>
      <w:spacing w:after="0" w:line="276" w:lineRule="auto"/>
      <w:outlineLvl w:val="6"/>
    </w:pPr>
    <w:rPr>
      <w:rFonts w:asciiTheme="majorHAnsi" w:hAnsiTheme="majorHAnsi" w:cstheme="minorHAnsi"/>
      <w:b/>
      <w:color w:val="5B9BD5" w:themeColor="accent1"/>
      <w:sz w:val="20"/>
      <w:szCs w:val="20"/>
      <w:lang w:val="en-US" w:eastAsia="ja-JP"/>
    </w:rPr>
  </w:style>
  <w:style w:type="paragraph" w:styleId="Heading8">
    <w:name w:val="heading 8"/>
    <w:basedOn w:val="Normal"/>
    <w:next w:val="Normal"/>
    <w:link w:val="Heading8Char"/>
    <w:uiPriority w:val="9"/>
    <w:semiHidden/>
    <w:unhideWhenUsed/>
    <w:qFormat/>
    <w:rsid w:val="00737A33"/>
    <w:pPr>
      <w:numPr>
        <w:ilvl w:val="7"/>
        <w:numId w:val="2"/>
      </w:numPr>
      <w:spacing w:after="0" w:line="276" w:lineRule="auto"/>
      <w:outlineLvl w:val="7"/>
    </w:pPr>
    <w:rPr>
      <w:rFonts w:asciiTheme="majorHAnsi" w:hAnsiTheme="majorHAnsi" w:cstheme="minorHAnsi"/>
      <w:b/>
      <w:i/>
      <w:color w:val="5B9BD5" w:themeColor="accent1"/>
      <w:sz w:val="20"/>
      <w:szCs w:val="20"/>
      <w:lang w:val="en-US" w:eastAsia="ja-JP"/>
    </w:rPr>
  </w:style>
  <w:style w:type="paragraph" w:styleId="Heading9">
    <w:name w:val="heading 9"/>
    <w:basedOn w:val="Normal"/>
    <w:next w:val="Normal"/>
    <w:link w:val="Heading9Char"/>
    <w:uiPriority w:val="9"/>
    <w:semiHidden/>
    <w:unhideWhenUsed/>
    <w:qFormat/>
    <w:rsid w:val="00737A33"/>
    <w:pPr>
      <w:numPr>
        <w:ilvl w:val="8"/>
        <w:numId w:val="2"/>
      </w:numPr>
      <w:spacing w:after="0" w:line="276" w:lineRule="auto"/>
      <w:outlineLvl w:val="8"/>
    </w:pPr>
    <w:rPr>
      <w:rFonts w:asciiTheme="majorHAnsi" w:hAnsiTheme="majorHAnsi" w:cstheme="minorHAnsi"/>
      <w:b/>
      <w:color w:val="323E4F" w:themeColor="text2" w:themeShade="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A33"/>
    <w:rPr>
      <w:rFonts w:asciiTheme="majorHAnsi" w:hAnsiTheme="majorHAnsi" w:cstheme="minorHAnsi"/>
      <w:color w:val="ED7D31" w:themeColor="accent2"/>
      <w:sz w:val="32"/>
      <w:szCs w:val="32"/>
      <w:lang w:val="en-US" w:eastAsia="ja-JP"/>
    </w:rPr>
  </w:style>
  <w:style w:type="character" w:customStyle="1" w:styleId="Heading2Char">
    <w:name w:val="Heading 2 Char"/>
    <w:basedOn w:val="DefaultParagraphFont"/>
    <w:link w:val="Heading2"/>
    <w:uiPriority w:val="9"/>
    <w:rsid w:val="00737A33"/>
    <w:rPr>
      <w:rFonts w:asciiTheme="majorHAnsi" w:hAnsiTheme="majorHAnsi" w:cstheme="minorHAnsi"/>
      <w:color w:val="ED7D31" w:themeColor="accent2"/>
      <w:sz w:val="24"/>
      <w:szCs w:val="28"/>
      <w:lang w:val="en-US" w:eastAsia="ja-JP"/>
    </w:rPr>
  </w:style>
  <w:style w:type="character" w:customStyle="1" w:styleId="Heading3Char">
    <w:name w:val="Heading 3 Char"/>
    <w:basedOn w:val="DefaultParagraphFont"/>
    <w:link w:val="Heading3"/>
    <w:uiPriority w:val="9"/>
    <w:rsid w:val="00737A33"/>
    <w:rPr>
      <w:rFonts w:asciiTheme="majorHAnsi" w:hAnsiTheme="majorHAnsi" w:cstheme="minorHAnsi"/>
      <w:color w:val="ED7D31" w:themeColor="accent2"/>
      <w:sz w:val="24"/>
      <w:szCs w:val="24"/>
      <w:lang w:eastAsia="ja-JP"/>
    </w:rPr>
  </w:style>
  <w:style w:type="character" w:customStyle="1" w:styleId="Heading4Char">
    <w:name w:val="Heading 4 Char"/>
    <w:basedOn w:val="DefaultParagraphFont"/>
    <w:link w:val="Heading4"/>
    <w:uiPriority w:val="9"/>
    <w:rsid w:val="00737A33"/>
    <w:rPr>
      <w:rFonts w:asciiTheme="majorHAnsi" w:hAnsiTheme="majorHAnsi" w:cstheme="minorHAnsi"/>
      <w:i/>
      <w:color w:val="ED7D31" w:themeColor="accent2"/>
      <w:lang w:val="en-US" w:eastAsia="ja-JP"/>
    </w:rPr>
  </w:style>
  <w:style w:type="character" w:customStyle="1" w:styleId="Heading5Char">
    <w:name w:val="Heading 5 Char"/>
    <w:basedOn w:val="DefaultParagraphFont"/>
    <w:link w:val="Heading5"/>
    <w:uiPriority w:val="9"/>
    <w:rsid w:val="00737A33"/>
    <w:rPr>
      <w:rFonts w:asciiTheme="majorHAnsi" w:hAnsiTheme="majorHAnsi" w:cstheme="minorHAnsi"/>
      <w:b/>
      <w:color w:val="C45911" w:themeColor="accent2" w:themeShade="BF"/>
      <w:sz w:val="20"/>
      <w:szCs w:val="20"/>
      <w:lang w:val="en-US" w:eastAsia="ja-JP"/>
    </w:rPr>
  </w:style>
  <w:style w:type="character" w:customStyle="1" w:styleId="Heading6Char">
    <w:name w:val="Heading 6 Char"/>
    <w:basedOn w:val="DefaultParagraphFont"/>
    <w:link w:val="Heading6"/>
    <w:uiPriority w:val="9"/>
    <w:rsid w:val="00737A33"/>
    <w:rPr>
      <w:rFonts w:asciiTheme="majorHAnsi" w:hAnsiTheme="majorHAnsi" w:cstheme="minorHAnsi"/>
      <w:b/>
      <w:i/>
      <w:color w:val="C45911" w:themeColor="accent2" w:themeShade="BF"/>
      <w:sz w:val="20"/>
      <w:szCs w:val="20"/>
      <w:lang w:val="en-US" w:eastAsia="ja-JP"/>
    </w:rPr>
  </w:style>
  <w:style w:type="character" w:customStyle="1" w:styleId="Heading7Char">
    <w:name w:val="Heading 7 Char"/>
    <w:basedOn w:val="DefaultParagraphFont"/>
    <w:link w:val="Heading7"/>
    <w:uiPriority w:val="9"/>
    <w:rsid w:val="00737A33"/>
    <w:rPr>
      <w:rFonts w:asciiTheme="majorHAnsi" w:hAnsiTheme="majorHAnsi" w:cstheme="minorHAnsi"/>
      <w:b/>
      <w:color w:val="5B9BD5" w:themeColor="accent1"/>
      <w:sz w:val="20"/>
      <w:szCs w:val="20"/>
      <w:lang w:val="en-US" w:eastAsia="ja-JP"/>
    </w:rPr>
  </w:style>
  <w:style w:type="character" w:customStyle="1" w:styleId="Heading8Char">
    <w:name w:val="Heading 8 Char"/>
    <w:basedOn w:val="DefaultParagraphFont"/>
    <w:link w:val="Heading8"/>
    <w:uiPriority w:val="9"/>
    <w:semiHidden/>
    <w:rsid w:val="00737A33"/>
    <w:rPr>
      <w:rFonts w:asciiTheme="majorHAnsi" w:hAnsiTheme="majorHAnsi" w:cstheme="minorHAnsi"/>
      <w:b/>
      <w:i/>
      <w:color w:val="5B9BD5" w:themeColor="accent1"/>
      <w:sz w:val="20"/>
      <w:szCs w:val="20"/>
      <w:lang w:val="en-US" w:eastAsia="ja-JP"/>
    </w:rPr>
  </w:style>
  <w:style w:type="character" w:customStyle="1" w:styleId="Heading9Char">
    <w:name w:val="Heading 9 Char"/>
    <w:basedOn w:val="DefaultParagraphFont"/>
    <w:link w:val="Heading9"/>
    <w:uiPriority w:val="9"/>
    <w:semiHidden/>
    <w:rsid w:val="00737A33"/>
    <w:rPr>
      <w:rFonts w:asciiTheme="majorHAnsi" w:hAnsiTheme="majorHAnsi" w:cstheme="minorHAnsi"/>
      <w:b/>
      <w:color w:val="323E4F" w:themeColor="text2" w:themeShade="BF"/>
      <w:sz w:val="20"/>
      <w:szCs w:val="20"/>
      <w:lang w:val="en-US" w:eastAsia="ja-JP"/>
    </w:rPr>
  </w:style>
  <w:style w:type="paragraph" w:styleId="ListParagraph">
    <w:name w:val="List Paragraph"/>
    <w:basedOn w:val="Normal"/>
    <w:uiPriority w:val="34"/>
    <w:unhideWhenUsed/>
    <w:qFormat/>
    <w:rsid w:val="00737A33"/>
    <w:pPr>
      <w:spacing w:after="200" w:line="276" w:lineRule="auto"/>
      <w:ind w:left="720"/>
      <w:contextualSpacing/>
    </w:pPr>
    <w:rPr>
      <w:rFonts w:cstheme="minorHAnsi"/>
      <w:sz w:val="20"/>
      <w:szCs w:val="20"/>
      <w:lang w:val="en-US" w:eastAsia="ja-JP"/>
    </w:rPr>
  </w:style>
  <w:style w:type="table" w:styleId="TableGrid">
    <w:name w:val="Table Grid"/>
    <w:basedOn w:val="TableNormal"/>
    <w:uiPriority w:val="39"/>
    <w:rsid w:val="00737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943"/>
  </w:style>
  <w:style w:type="paragraph" w:styleId="Footer">
    <w:name w:val="footer"/>
    <w:basedOn w:val="Normal"/>
    <w:link w:val="FooterChar"/>
    <w:uiPriority w:val="99"/>
    <w:unhideWhenUsed/>
    <w:rsid w:val="00C53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BBF6F5-C93F-4457-BBB8-C6E37B35530B}"/>
</file>

<file path=customXml/itemProps2.xml><?xml version="1.0" encoding="utf-8"?>
<ds:datastoreItem xmlns:ds="http://schemas.openxmlformats.org/officeDocument/2006/customXml" ds:itemID="{01FD304C-50DC-45BF-9477-3186B700AF2F}"/>
</file>

<file path=customXml/itemProps3.xml><?xml version="1.0" encoding="utf-8"?>
<ds:datastoreItem xmlns:ds="http://schemas.openxmlformats.org/officeDocument/2006/customXml" ds:itemID="{7094E16C-6EC7-4420-856E-74AA1D97AAF6}"/>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2018-11-20T23:34:00Z</dcterms:created>
  <dcterms:modified xsi:type="dcterms:W3CDTF">2018-11-20T23:34:00Z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96ed1e79-7eb2-4755-af6f-4e4202079a25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1206300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