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C0" w:rsidRPr="00013F11" w:rsidRDefault="00593F18" w:rsidP="004A60C0">
      <w:pPr>
        <w:spacing w:after="0" w:line="240" w:lineRule="auto"/>
        <w:rPr>
          <w:rFonts w:cstheme="minorHAnsi"/>
          <w:b/>
          <w:sz w:val="32"/>
          <w:szCs w:val="32"/>
        </w:rPr>
      </w:pPr>
      <w:bookmarkStart w:id="0" w:name="_GoBack"/>
      <w:bookmarkEnd w:id="0"/>
      <w:r w:rsidRPr="00013F11">
        <w:rPr>
          <w:rFonts w:cstheme="minorHAnsi"/>
          <w:b/>
          <w:sz w:val="32"/>
          <w:szCs w:val="32"/>
        </w:rPr>
        <w:t xml:space="preserve">DUE DILIGENCE SERVICES PANEL (DFAT-272)  </w:t>
      </w:r>
    </w:p>
    <w:p w:rsidR="00C966C5" w:rsidRDefault="00C966C5" w:rsidP="00C966C5">
      <w:pPr>
        <w:spacing w:after="0" w:line="240" w:lineRule="auto"/>
        <w:rPr>
          <w:rFonts w:cstheme="minorHAnsi"/>
          <w:b/>
          <w:sz w:val="32"/>
          <w:szCs w:val="32"/>
        </w:rPr>
      </w:pPr>
      <w:r>
        <w:rPr>
          <w:rFonts w:cstheme="minorHAnsi"/>
          <w:b/>
          <w:color w:val="0070C0"/>
          <w:sz w:val="32"/>
          <w:szCs w:val="32"/>
        </w:rPr>
        <w:t>Category 2: Comprehensive Assessment of Multilateral Organisations</w:t>
      </w:r>
    </w:p>
    <w:p w:rsidR="004A60C0" w:rsidRPr="003F752D" w:rsidRDefault="004A60C0" w:rsidP="003F752D">
      <w:pPr>
        <w:spacing w:before="240" w:after="120" w:line="240" w:lineRule="auto"/>
        <w:rPr>
          <w:rFonts w:cstheme="minorHAnsi"/>
          <w:b/>
          <w:sz w:val="32"/>
          <w:szCs w:val="32"/>
        </w:rPr>
      </w:pPr>
      <w:r w:rsidRPr="003F752D">
        <w:rPr>
          <w:rFonts w:cstheme="minorHAnsi"/>
          <w:b/>
          <w:sz w:val="32"/>
          <w:szCs w:val="32"/>
        </w:rPr>
        <w:t xml:space="preserve">GROUP DEBRIEF – </w:t>
      </w:r>
      <w:r w:rsidR="00C966C5" w:rsidRPr="00822081">
        <w:rPr>
          <w:rFonts w:cstheme="minorHAnsi"/>
          <w:b/>
          <w:color w:val="C45911" w:themeColor="accent2" w:themeShade="BF"/>
          <w:sz w:val="32"/>
          <w:szCs w:val="32"/>
        </w:rPr>
        <w:t>INDIVIDUALS</w:t>
      </w:r>
    </w:p>
    <w:p w:rsidR="004F7B4E" w:rsidRPr="00593F18" w:rsidRDefault="004F7B4E" w:rsidP="003F752D">
      <w:pPr>
        <w:spacing w:before="200" w:after="0" w:line="240" w:lineRule="auto"/>
        <w:rPr>
          <w:rFonts w:asciiTheme="majorHAnsi" w:hAnsiTheme="majorHAnsi" w:cstheme="majorHAnsi"/>
          <w:b/>
          <w:sz w:val="24"/>
          <w:szCs w:val="24"/>
          <w:u w:val="single"/>
        </w:rPr>
      </w:pPr>
      <w:r w:rsidRPr="00593F18">
        <w:rPr>
          <w:rFonts w:asciiTheme="majorHAnsi" w:hAnsiTheme="majorHAnsi" w:cstheme="majorHAnsi"/>
          <w:b/>
          <w:sz w:val="24"/>
          <w:szCs w:val="24"/>
          <w:u w:val="single"/>
        </w:rPr>
        <w:t>Preferred Tenderer Assessment</w:t>
      </w:r>
    </w:p>
    <w:p w:rsidR="004E3BF8" w:rsidRPr="004E3BF8" w:rsidRDefault="004E3BF8" w:rsidP="004E3BF8">
      <w:pPr>
        <w:spacing w:after="0" w:line="240" w:lineRule="auto"/>
        <w:rPr>
          <w:rFonts w:asciiTheme="majorHAnsi" w:hAnsiTheme="majorHAnsi" w:cstheme="majorHAnsi"/>
        </w:rPr>
      </w:pPr>
    </w:p>
    <w:p w:rsidR="004E3BF8" w:rsidRPr="003F752D" w:rsidRDefault="004E3BF8" w:rsidP="004E3BF8">
      <w:pPr>
        <w:spacing w:after="0" w:line="240" w:lineRule="auto"/>
        <w:rPr>
          <w:rFonts w:asciiTheme="majorHAnsi" w:hAnsiTheme="majorHAnsi" w:cstheme="majorHAnsi"/>
          <w:b/>
        </w:rPr>
      </w:pPr>
      <w:r w:rsidRPr="003F752D">
        <w:rPr>
          <w:rFonts w:asciiTheme="majorHAnsi" w:hAnsiTheme="majorHAnsi" w:cstheme="majorHAnsi"/>
          <w:b/>
        </w:rPr>
        <w:t>Technical Evaluation</w:t>
      </w:r>
    </w:p>
    <w:p w:rsidR="004E3BF8" w:rsidRPr="009A543D" w:rsidRDefault="007B329E" w:rsidP="004E3BF8">
      <w:pPr>
        <w:spacing w:after="0" w:line="240" w:lineRule="auto"/>
        <w:rPr>
          <w:rFonts w:asciiTheme="majorHAnsi" w:hAnsiTheme="majorHAnsi" w:cstheme="majorHAnsi"/>
        </w:rPr>
      </w:pPr>
      <w:r>
        <w:rPr>
          <w:rFonts w:asciiTheme="majorHAnsi" w:hAnsiTheme="majorHAnsi" w:cstheme="majorHAnsi"/>
        </w:rPr>
        <w:t>K</w:t>
      </w:r>
      <w:r w:rsidR="004E3BF8" w:rsidRPr="009A543D">
        <w:rPr>
          <w:rFonts w:asciiTheme="majorHAnsi" w:hAnsiTheme="majorHAnsi" w:cstheme="majorHAnsi"/>
        </w:rPr>
        <w:t>ey technical strengths</w:t>
      </w:r>
      <w:r w:rsidR="00822081">
        <w:rPr>
          <w:rFonts w:asciiTheme="majorHAnsi" w:hAnsiTheme="majorHAnsi" w:cstheme="majorHAnsi"/>
        </w:rPr>
        <w:t xml:space="preserve"> and</w:t>
      </w:r>
      <w:r w:rsidR="004E3BF8" w:rsidRPr="009A543D">
        <w:rPr>
          <w:rFonts w:asciiTheme="majorHAnsi" w:hAnsiTheme="majorHAnsi" w:cstheme="majorHAnsi"/>
        </w:rPr>
        <w:t xml:space="preserve"> weaknesses identified </w:t>
      </w:r>
      <w:r w:rsidR="004E3BF8" w:rsidRPr="004E3BF8">
        <w:rPr>
          <w:rFonts w:asciiTheme="majorHAnsi" w:hAnsiTheme="majorHAnsi" w:cstheme="majorHAnsi"/>
        </w:rPr>
        <w:t xml:space="preserve">by the tender Evaluation Committee (EC) </w:t>
      </w:r>
      <w:r w:rsidR="004E3BF8" w:rsidRPr="009A543D">
        <w:rPr>
          <w:rFonts w:asciiTheme="majorHAnsi" w:hAnsiTheme="majorHAnsi" w:cstheme="majorHAnsi"/>
        </w:rPr>
        <w:t xml:space="preserve">for the </w:t>
      </w:r>
      <w:r w:rsidR="004E3BF8" w:rsidRPr="00190A1C">
        <w:rPr>
          <w:rFonts w:asciiTheme="majorHAnsi" w:hAnsiTheme="majorHAnsi" w:cstheme="majorHAnsi"/>
          <w:b/>
        </w:rPr>
        <w:t>Successful</w:t>
      </w:r>
      <w:r w:rsidR="004E3BF8">
        <w:rPr>
          <w:rFonts w:asciiTheme="majorHAnsi" w:hAnsiTheme="majorHAnsi" w:cstheme="majorHAnsi"/>
        </w:rPr>
        <w:t xml:space="preserve"> Tenderers</w:t>
      </w:r>
      <w:r w:rsidR="004E3BF8" w:rsidRPr="009A543D">
        <w:rPr>
          <w:rFonts w:asciiTheme="majorHAnsi" w:hAnsiTheme="majorHAnsi" w:cstheme="majorHAnsi"/>
        </w:rPr>
        <w:t xml:space="preserve"> were as follows:</w:t>
      </w:r>
    </w:p>
    <w:p w:rsidR="004E3BF8" w:rsidRDefault="004E3BF8" w:rsidP="004E3BF8">
      <w:pPr>
        <w:spacing w:after="0" w:line="240" w:lineRule="auto"/>
        <w:rPr>
          <w:rFonts w:asciiTheme="majorHAnsi" w:hAnsiTheme="majorHAnsi" w:cstheme="majorHAnsi"/>
        </w:rPr>
      </w:pPr>
    </w:p>
    <w:p w:rsidR="004A60C0" w:rsidRPr="009A543D" w:rsidRDefault="004A60C0" w:rsidP="004A60C0">
      <w:pPr>
        <w:spacing w:after="0" w:line="240" w:lineRule="auto"/>
        <w:rPr>
          <w:rFonts w:asciiTheme="majorHAnsi" w:hAnsiTheme="majorHAnsi" w:cstheme="majorHAnsi"/>
          <w:u w:val="single"/>
        </w:rPr>
      </w:pPr>
      <w:r w:rsidRPr="009A543D">
        <w:rPr>
          <w:rFonts w:asciiTheme="majorHAnsi" w:hAnsiTheme="majorHAnsi" w:cstheme="majorHAnsi"/>
          <w:u w:val="single"/>
        </w:rPr>
        <w:t>Strengths:</w:t>
      </w:r>
    </w:p>
    <w:p w:rsidR="00035861" w:rsidRDefault="00035861" w:rsidP="00035861">
      <w:pPr>
        <w:pStyle w:val="ListParagraph"/>
        <w:numPr>
          <w:ilvl w:val="0"/>
          <w:numId w:val="9"/>
        </w:numPr>
        <w:spacing w:after="0" w:line="240" w:lineRule="auto"/>
        <w:rPr>
          <w:rFonts w:asciiTheme="majorHAnsi" w:hAnsiTheme="majorHAnsi" w:cstheme="majorHAnsi"/>
        </w:rPr>
      </w:pPr>
      <w:r>
        <w:rPr>
          <w:rFonts w:asciiTheme="majorHAnsi" w:hAnsiTheme="majorHAnsi" w:cstheme="majorHAnsi"/>
        </w:rPr>
        <w:t>Demonstrated experience in conducting a range of Due Diligence ‘type’ assessments for DFAT across a variety of delivery partners, particularly accreditation related due diligence for ANCP partners.</w:t>
      </w:r>
    </w:p>
    <w:p w:rsidR="00035861" w:rsidRDefault="00035861" w:rsidP="00035861">
      <w:pPr>
        <w:pStyle w:val="ListParagraph"/>
        <w:numPr>
          <w:ilvl w:val="0"/>
          <w:numId w:val="9"/>
        </w:numPr>
        <w:spacing w:after="0" w:line="240" w:lineRule="auto"/>
        <w:rPr>
          <w:rFonts w:asciiTheme="majorHAnsi" w:hAnsiTheme="majorHAnsi" w:cstheme="majorHAnsi"/>
        </w:rPr>
      </w:pPr>
      <w:r>
        <w:rPr>
          <w:rFonts w:asciiTheme="majorHAnsi" w:hAnsiTheme="majorHAnsi" w:cstheme="majorHAnsi"/>
        </w:rPr>
        <w:t>Proposals were well structured and succinct with good use of examples.</w:t>
      </w:r>
    </w:p>
    <w:p w:rsidR="00035861" w:rsidRDefault="00035861" w:rsidP="00035861">
      <w:pPr>
        <w:pStyle w:val="ListParagraph"/>
        <w:numPr>
          <w:ilvl w:val="0"/>
          <w:numId w:val="9"/>
        </w:numPr>
        <w:spacing w:after="0" w:line="240" w:lineRule="auto"/>
        <w:rPr>
          <w:rFonts w:asciiTheme="majorHAnsi" w:hAnsiTheme="majorHAnsi" w:cstheme="majorHAnsi"/>
        </w:rPr>
      </w:pPr>
      <w:r>
        <w:rPr>
          <w:rFonts w:asciiTheme="majorHAnsi" w:hAnsiTheme="majorHAnsi" w:cstheme="majorHAnsi"/>
        </w:rPr>
        <w:t>Positive approach to relationship management through active engagement and communication with stakeholders, which were validated through the written references.</w:t>
      </w:r>
    </w:p>
    <w:p w:rsidR="00035861" w:rsidRDefault="00035861" w:rsidP="00035861">
      <w:pPr>
        <w:pStyle w:val="ListParagraph"/>
        <w:numPr>
          <w:ilvl w:val="0"/>
          <w:numId w:val="9"/>
        </w:numPr>
        <w:spacing w:after="0" w:line="240" w:lineRule="auto"/>
        <w:rPr>
          <w:rFonts w:asciiTheme="majorHAnsi" w:hAnsiTheme="majorHAnsi" w:cstheme="majorHAnsi"/>
        </w:rPr>
      </w:pPr>
      <w:r>
        <w:rPr>
          <w:rFonts w:asciiTheme="majorHAnsi" w:hAnsiTheme="majorHAnsi" w:cstheme="majorHAnsi"/>
        </w:rPr>
        <w:t>Demonstrated understating of DFAT safeguard policies giving DFAT the confidence in their ability to undertake Due Diligence assessments against these policy criteria.</w:t>
      </w:r>
    </w:p>
    <w:p w:rsidR="00035861" w:rsidRDefault="00035861" w:rsidP="00035861">
      <w:pPr>
        <w:pStyle w:val="ListParagraph"/>
        <w:numPr>
          <w:ilvl w:val="0"/>
          <w:numId w:val="9"/>
        </w:numPr>
        <w:spacing w:after="0" w:line="240" w:lineRule="auto"/>
        <w:rPr>
          <w:rFonts w:asciiTheme="majorHAnsi" w:hAnsiTheme="majorHAnsi" w:cstheme="majorHAnsi"/>
        </w:rPr>
      </w:pPr>
      <w:r>
        <w:rPr>
          <w:rFonts w:asciiTheme="majorHAnsi" w:hAnsiTheme="majorHAnsi" w:cstheme="majorHAnsi"/>
        </w:rPr>
        <w:t>Strong ability to lead and manage due diligence processes.</w:t>
      </w:r>
    </w:p>
    <w:p w:rsidR="00035861" w:rsidRDefault="00035861" w:rsidP="00035861">
      <w:pPr>
        <w:spacing w:after="0" w:line="240" w:lineRule="auto"/>
        <w:rPr>
          <w:rFonts w:asciiTheme="majorHAnsi" w:hAnsiTheme="majorHAnsi" w:cstheme="majorHAnsi"/>
          <w:u w:val="single"/>
        </w:rPr>
      </w:pPr>
    </w:p>
    <w:p w:rsidR="00035861" w:rsidRDefault="00035861" w:rsidP="00035861">
      <w:pPr>
        <w:spacing w:after="0" w:line="240" w:lineRule="auto"/>
        <w:rPr>
          <w:rFonts w:asciiTheme="majorHAnsi" w:hAnsiTheme="majorHAnsi" w:cstheme="majorHAnsi"/>
          <w:u w:val="single"/>
        </w:rPr>
      </w:pPr>
      <w:r>
        <w:rPr>
          <w:rFonts w:asciiTheme="majorHAnsi" w:hAnsiTheme="majorHAnsi" w:cstheme="majorHAnsi"/>
          <w:u w:val="single"/>
        </w:rPr>
        <w:t>Weaknesses:</w:t>
      </w:r>
    </w:p>
    <w:p w:rsidR="005E3BB4" w:rsidRDefault="005E3BB4" w:rsidP="005E3BB4">
      <w:pPr>
        <w:pStyle w:val="ListParagraph"/>
        <w:numPr>
          <w:ilvl w:val="0"/>
          <w:numId w:val="9"/>
        </w:numPr>
        <w:spacing w:after="0" w:line="240" w:lineRule="auto"/>
        <w:rPr>
          <w:rFonts w:asciiTheme="majorHAnsi" w:hAnsiTheme="majorHAnsi" w:cstheme="majorHAnsi"/>
        </w:rPr>
      </w:pPr>
      <w:r>
        <w:rPr>
          <w:rFonts w:asciiTheme="majorHAnsi" w:hAnsiTheme="majorHAnsi" w:cstheme="majorHAnsi"/>
        </w:rPr>
        <w:t>Suppliers lacked experience in conducting due diligence assessments for multilateral organisations. However their skills and experience in conducting due diligence assessments for NGOs was seen as transferrable and suitable to fulfil DFAT’s requirements.</w:t>
      </w:r>
    </w:p>
    <w:p w:rsidR="00035861" w:rsidRDefault="00035861" w:rsidP="00035861">
      <w:pPr>
        <w:pStyle w:val="ListParagraph"/>
        <w:numPr>
          <w:ilvl w:val="0"/>
          <w:numId w:val="9"/>
        </w:numPr>
        <w:spacing w:after="0" w:line="240" w:lineRule="auto"/>
        <w:rPr>
          <w:rFonts w:asciiTheme="majorHAnsi" w:hAnsiTheme="majorHAnsi" w:cstheme="majorHAnsi"/>
        </w:rPr>
      </w:pPr>
      <w:r>
        <w:rPr>
          <w:rFonts w:asciiTheme="majorHAnsi" w:hAnsiTheme="majorHAnsi" w:cstheme="majorHAnsi"/>
        </w:rPr>
        <w:t>Proposals did not demonstrate how relevant experience would be applied to the multilateral context for due diligence assessments.</w:t>
      </w:r>
    </w:p>
    <w:p w:rsidR="009A75F0" w:rsidRDefault="009A75F0" w:rsidP="00035861">
      <w:pPr>
        <w:spacing w:after="0" w:line="240" w:lineRule="auto"/>
        <w:rPr>
          <w:rFonts w:asciiTheme="majorHAnsi" w:hAnsiTheme="majorHAnsi" w:cstheme="majorHAnsi"/>
          <w:u w:val="single"/>
        </w:rPr>
      </w:pPr>
    </w:p>
    <w:p w:rsidR="009A75F0" w:rsidRPr="0077660F" w:rsidRDefault="009A75F0" w:rsidP="009A75F0">
      <w:pPr>
        <w:spacing w:after="0" w:line="240" w:lineRule="auto"/>
        <w:rPr>
          <w:rFonts w:asciiTheme="majorHAnsi" w:hAnsiTheme="majorHAnsi" w:cstheme="majorHAnsi"/>
          <w:b/>
        </w:rPr>
      </w:pPr>
      <w:r w:rsidRPr="0077660F">
        <w:rPr>
          <w:rFonts w:asciiTheme="majorHAnsi" w:hAnsiTheme="majorHAnsi" w:cstheme="majorHAnsi"/>
          <w:b/>
        </w:rPr>
        <w:t>Technical Assessment Summary</w:t>
      </w:r>
    </w:p>
    <w:tbl>
      <w:tblPr>
        <w:tblStyle w:val="TableGrid"/>
        <w:tblW w:w="0" w:type="auto"/>
        <w:tblInd w:w="-5" w:type="dxa"/>
        <w:tblLook w:val="04A0" w:firstRow="1" w:lastRow="0" w:firstColumn="1" w:lastColumn="0" w:noHBand="0" w:noVBand="1"/>
      </w:tblPr>
      <w:tblGrid>
        <w:gridCol w:w="2972"/>
        <w:gridCol w:w="1843"/>
        <w:gridCol w:w="1701"/>
      </w:tblGrid>
      <w:tr w:rsidR="009A75F0" w:rsidTr="0077660F">
        <w:tc>
          <w:tcPr>
            <w:tcW w:w="2972" w:type="dxa"/>
            <w:shd w:val="clear" w:color="auto" w:fill="D9E2F3" w:themeFill="accent5" w:themeFillTint="33"/>
          </w:tcPr>
          <w:p w:rsidR="009A75F0" w:rsidRPr="0077660F" w:rsidRDefault="009A75F0" w:rsidP="0077660F">
            <w:pPr>
              <w:jc w:val="center"/>
              <w:rPr>
                <w:rFonts w:asciiTheme="majorHAnsi" w:hAnsiTheme="majorHAnsi" w:cstheme="majorHAnsi"/>
              </w:rPr>
            </w:pPr>
            <w:r>
              <w:rPr>
                <w:rFonts w:asciiTheme="majorHAnsi" w:hAnsiTheme="majorHAnsi" w:cstheme="majorHAnsi"/>
              </w:rPr>
              <w:t>Tenderers’</w:t>
            </w:r>
          </w:p>
        </w:tc>
        <w:tc>
          <w:tcPr>
            <w:tcW w:w="1843" w:type="dxa"/>
            <w:shd w:val="clear" w:color="auto" w:fill="D9E2F3" w:themeFill="accent5" w:themeFillTint="33"/>
          </w:tcPr>
          <w:p w:rsidR="009A75F0" w:rsidRPr="0077660F" w:rsidRDefault="009A75F0" w:rsidP="0077660F">
            <w:pPr>
              <w:jc w:val="center"/>
              <w:rPr>
                <w:rFonts w:asciiTheme="majorHAnsi" w:hAnsiTheme="majorHAnsi" w:cstheme="majorHAnsi"/>
              </w:rPr>
            </w:pPr>
            <w:r w:rsidRPr="0077660F">
              <w:rPr>
                <w:rFonts w:asciiTheme="majorHAnsi" w:hAnsiTheme="majorHAnsi" w:cstheme="majorHAnsi"/>
              </w:rPr>
              <w:t>Highest</w:t>
            </w:r>
          </w:p>
        </w:tc>
        <w:tc>
          <w:tcPr>
            <w:tcW w:w="1701" w:type="dxa"/>
            <w:shd w:val="clear" w:color="auto" w:fill="D9E2F3" w:themeFill="accent5" w:themeFillTint="33"/>
          </w:tcPr>
          <w:p w:rsidR="009A75F0" w:rsidRPr="0077660F" w:rsidRDefault="009A75F0" w:rsidP="0077660F">
            <w:pPr>
              <w:jc w:val="center"/>
              <w:rPr>
                <w:rFonts w:asciiTheme="majorHAnsi" w:hAnsiTheme="majorHAnsi" w:cstheme="majorHAnsi"/>
              </w:rPr>
            </w:pPr>
            <w:r w:rsidRPr="0077660F">
              <w:rPr>
                <w:rFonts w:asciiTheme="majorHAnsi" w:hAnsiTheme="majorHAnsi" w:cstheme="majorHAnsi"/>
              </w:rPr>
              <w:t>Lowest</w:t>
            </w:r>
          </w:p>
        </w:tc>
      </w:tr>
      <w:tr w:rsidR="009A75F0" w:rsidTr="0077660F">
        <w:tc>
          <w:tcPr>
            <w:tcW w:w="2972" w:type="dxa"/>
          </w:tcPr>
          <w:p w:rsidR="009A75F0" w:rsidRPr="0077660F" w:rsidRDefault="009A75F0" w:rsidP="0077660F">
            <w:pPr>
              <w:rPr>
                <w:rFonts w:asciiTheme="majorHAnsi" w:hAnsiTheme="majorHAnsi" w:cstheme="majorHAnsi"/>
              </w:rPr>
            </w:pPr>
            <w:r>
              <w:rPr>
                <w:rFonts w:asciiTheme="majorHAnsi" w:hAnsiTheme="majorHAnsi" w:cstheme="majorHAnsi"/>
              </w:rPr>
              <w:t xml:space="preserve">Final </w:t>
            </w:r>
            <w:r w:rsidRPr="0077660F">
              <w:rPr>
                <w:rFonts w:asciiTheme="majorHAnsi" w:hAnsiTheme="majorHAnsi" w:cstheme="majorHAnsi"/>
              </w:rPr>
              <w:t>Technical Score</w:t>
            </w:r>
          </w:p>
        </w:tc>
        <w:tc>
          <w:tcPr>
            <w:tcW w:w="1843" w:type="dxa"/>
          </w:tcPr>
          <w:p w:rsidR="009A75F0" w:rsidRPr="0077660F" w:rsidRDefault="009A75F0" w:rsidP="00822081">
            <w:pPr>
              <w:jc w:val="center"/>
              <w:rPr>
                <w:rFonts w:asciiTheme="majorHAnsi" w:hAnsiTheme="majorHAnsi" w:cstheme="majorHAnsi"/>
              </w:rPr>
            </w:pPr>
            <w:r>
              <w:rPr>
                <w:rFonts w:asciiTheme="majorHAnsi" w:hAnsiTheme="majorHAnsi" w:cstheme="majorHAnsi"/>
              </w:rPr>
              <w:t>77.</w:t>
            </w:r>
            <w:r w:rsidR="00822081">
              <w:rPr>
                <w:rFonts w:asciiTheme="majorHAnsi" w:hAnsiTheme="majorHAnsi" w:cstheme="majorHAnsi"/>
              </w:rPr>
              <w:t>67</w:t>
            </w:r>
          </w:p>
        </w:tc>
        <w:tc>
          <w:tcPr>
            <w:tcW w:w="1701" w:type="dxa"/>
          </w:tcPr>
          <w:p w:rsidR="009A75F0" w:rsidRPr="0077660F" w:rsidRDefault="00822081" w:rsidP="0077660F">
            <w:pPr>
              <w:jc w:val="center"/>
              <w:rPr>
                <w:rFonts w:asciiTheme="majorHAnsi" w:hAnsiTheme="majorHAnsi" w:cstheme="majorHAnsi"/>
              </w:rPr>
            </w:pPr>
            <w:r>
              <w:rPr>
                <w:rFonts w:asciiTheme="majorHAnsi" w:hAnsiTheme="majorHAnsi" w:cstheme="majorHAnsi"/>
              </w:rPr>
              <w:t>71.00</w:t>
            </w:r>
          </w:p>
        </w:tc>
      </w:tr>
    </w:tbl>
    <w:p w:rsidR="009A75F0" w:rsidRDefault="009A75F0" w:rsidP="009A75F0">
      <w:pPr>
        <w:spacing w:before="60" w:after="0" w:line="240" w:lineRule="auto"/>
        <w:rPr>
          <w:rFonts w:asciiTheme="majorHAnsi" w:hAnsiTheme="majorHAnsi" w:cstheme="majorHAnsi"/>
          <w:u w:val="single"/>
        </w:rPr>
      </w:pPr>
    </w:p>
    <w:p w:rsidR="009A75F0" w:rsidRPr="0077660F" w:rsidRDefault="009A75F0" w:rsidP="009A75F0">
      <w:pPr>
        <w:spacing w:after="0" w:line="240" w:lineRule="auto"/>
        <w:rPr>
          <w:rFonts w:asciiTheme="majorHAnsi" w:hAnsiTheme="majorHAnsi" w:cstheme="majorHAnsi"/>
          <w:b/>
        </w:rPr>
      </w:pPr>
      <w:r>
        <w:rPr>
          <w:rFonts w:asciiTheme="majorHAnsi" w:hAnsiTheme="majorHAnsi" w:cstheme="majorHAnsi"/>
          <w:b/>
        </w:rPr>
        <w:t>Commercial</w:t>
      </w:r>
      <w:r w:rsidRPr="0077660F">
        <w:rPr>
          <w:rFonts w:asciiTheme="majorHAnsi" w:hAnsiTheme="majorHAnsi" w:cstheme="majorHAnsi"/>
          <w:b/>
        </w:rPr>
        <w:t xml:space="preserve"> Assessment Summary</w:t>
      </w:r>
    </w:p>
    <w:tbl>
      <w:tblPr>
        <w:tblStyle w:val="TableGrid"/>
        <w:tblW w:w="0" w:type="auto"/>
        <w:tblLook w:val="04A0" w:firstRow="1" w:lastRow="0" w:firstColumn="1" w:lastColumn="0" w:noHBand="0" w:noVBand="1"/>
      </w:tblPr>
      <w:tblGrid>
        <w:gridCol w:w="2972"/>
        <w:gridCol w:w="1843"/>
        <w:gridCol w:w="1701"/>
      </w:tblGrid>
      <w:tr w:rsidR="009A75F0" w:rsidTr="0077660F">
        <w:tc>
          <w:tcPr>
            <w:tcW w:w="2972" w:type="dxa"/>
            <w:shd w:val="clear" w:color="auto" w:fill="D9E2F3" w:themeFill="accent5" w:themeFillTint="33"/>
          </w:tcPr>
          <w:p w:rsidR="009A75F0" w:rsidRPr="0077660F" w:rsidRDefault="009A75F0" w:rsidP="0077660F">
            <w:pPr>
              <w:jc w:val="center"/>
              <w:rPr>
                <w:rFonts w:asciiTheme="majorHAnsi" w:hAnsiTheme="majorHAnsi" w:cstheme="majorHAnsi"/>
              </w:rPr>
            </w:pPr>
            <w:r>
              <w:rPr>
                <w:rFonts w:asciiTheme="majorHAnsi" w:hAnsiTheme="majorHAnsi" w:cstheme="majorHAnsi"/>
              </w:rPr>
              <w:t>Tenderers’</w:t>
            </w:r>
          </w:p>
        </w:tc>
        <w:tc>
          <w:tcPr>
            <w:tcW w:w="1843" w:type="dxa"/>
            <w:shd w:val="clear" w:color="auto" w:fill="D9E2F3" w:themeFill="accent5" w:themeFillTint="33"/>
          </w:tcPr>
          <w:p w:rsidR="009A75F0" w:rsidRPr="0077660F" w:rsidRDefault="009A75F0" w:rsidP="0077660F">
            <w:pPr>
              <w:jc w:val="center"/>
              <w:rPr>
                <w:rFonts w:asciiTheme="majorHAnsi" w:hAnsiTheme="majorHAnsi" w:cstheme="majorHAnsi"/>
              </w:rPr>
            </w:pPr>
            <w:r w:rsidRPr="0077660F">
              <w:rPr>
                <w:rFonts w:asciiTheme="majorHAnsi" w:hAnsiTheme="majorHAnsi" w:cstheme="majorHAnsi"/>
              </w:rPr>
              <w:t>Highest</w:t>
            </w:r>
          </w:p>
        </w:tc>
        <w:tc>
          <w:tcPr>
            <w:tcW w:w="1701" w:type="dxa"/>
            <w:shd w:val="clear" w:color="auto" w:fill="D9E2F3" w:themeFill="accent5" w:themeFillTint="33"/>
          </w:tcPr>
          <w:p w:rsidR="009A75F0" w:rsidRPr="0077660F" w:rsidRDefault="009A75F0" w:rsidP="0077660F">
            <w:pPr>
              <w:jc w:val="center"/>
              <w:rPr>
                <w:rFonts w:asciiTheme="majorHAnsi" w:hAnsiTheme="majorHAnsi" w:cstheme="majorHAnsi"/>
              </w:rPr>
            </w:pPr>
            <w:r w:rsidRPr="0077660F">
              <w:rPr>
                <w:rFonts w:asciiTheme="majorHAnsi" w:hAnsiTheme="majorHAnsi" w:cstheme="majorHAnsi"/>
              </w:rPr>
              <w:t>Lowest</w:t>
            </w:r>
          </w:p>
        </w:tc>
      </w:tr>
      <w:tr w:rsidR="009A75F0" w:rsidTr="0077660F">
        <w:tc>
          <w:tcPr>
            <w:tcW w:w="2972" w:type="dxa"/>
          </w:tcPr>
          <w:p w:rsidR="009A75F0" w:rsidRPr="0077660F" w:rsidRDefault="009A75F0" w:rsidP="0077660F">
            <w:pPr>
              <w:rPr>
                <w:rFonts w:asciiTheme="majorHAnsi" w:hAnsiTheme="majorHAnsi" w:cstheme="majorHAnsi"/>
              </w:rPr>
            </w:pPr>
            <w:r>
              <w:rPr>
                <w:rFonts w:asciiTheme="majorHAnsi" w:hAnsiTheme="majorHAnsi" w:cstheme="majorHAnsi"/>
              </w:rPr>
              <w:t>Management Fees (average)</w:t>
            </w:r>
          </w:p>
        </w:tc>
        <w:tc>
          <w:tcPr>
            <w:tcW w:w="1843" w:type="dxa"/>
          </w:tcPr>
          <w:p w:rsidR="009A75F0" w:rsidRPr="0077660F" w:rsidRDefault="009A75F0" w:rsidP="0077660F">
            <w:pPr>
              <w:jc w:val="center"/>
              <w:rPr>
                <w:rFonts w:asciiTheme="majorHAnsi" w:hAnsiTheme="majorHAnsi" w:cstheme="majorHAnsi"/>
              </w:rPr>
            </w:pPr>
            <w:r>
              <w:rPr>
                <w:rFonts w:asciiTheme="majorHAnsi" w:hAnsiTheme="majorHAnsi" w:cstheme="majorHAnsi"/>
              </w:rPr>
              <w:t>10%</w:t>
            </w:r>
          </w:p>
        </w:tc>
        <w:tc>
          <w:tcPr>
            <w:tcW w:w="1701" w:type="dxa"/>
          </w:tcPr>
          <w:p w:rsidR="009A75F0" w:rsidRPr="0077660F" w:rsidRDefault="002C2FFC" w:rsidP="0077660F">
            <w:pPr>
              <w:jc w:val="center"/>
              <w:rPr>
                <w:rFonts w:asciiTheme="majorHAnsi" w:hAnsiTheme="majorHAnsi" w:cstheme="majorHAnsi"/>
              </w:rPr>
            </w:pPr>
            <w:r>
              <w:rPr>
                <w:rFonts w:asciiTheme="majorHAnsi" w:hAnsiTheme="majorHAnsi" w:cstheme="majorHAnsi"/>
              </w:rPr>
              <w:t>9.5</w:t>
            </w:r>
            <w:r w:rsidR="009A75F0">
              <w:rPr>
                <w:rFonts w:asciiTheme="majorHAnsi" w:hAnsiTheme="majorHAnsi" w:cstheme="majorHAnsi"/>
              </w:rPr>
              <w:t>%</w:t>
            </w:r>
          </w:p>
        </w:tc>
      </w:tr>
      <w:tr w:rsidR="009A75F0" w:rsidTr="0077660F">
        <w:tc>
          <w:tcPr>
            <w:tcW w:w="2972" w:type="dxa"/>
          </w:tcPr>
          <w:p w:rsidR="009A75F0" w:rsidRDefault="009A75F0" w:rsidP="0077660F">
            <w:pPr>
              <w:rPr>
                <w:rFonts w:asciiTheme="majorHAnsi" w:hAnsiTheme="majorHAnsi" w:cstheme="majorHAnsi"/>
              </w:rPr>
            </w:pPr>
            <w:r>
              <w:rPr>
                <w:rFonts w:asciiTheme="majorHAnsi" w:hAnsiTheme="majorHAnsi" w:cstheme="majorHAnsi"/>
              </w:rPr>
              <w:t xml:space="preserve">Daily Rates </w:t>
            </w:r>
          </w:p>
        </w:tc>
        <w:tc>
          <w:tcPr>
            <w:tcW w:w="1843" w:type="dxa"/>
          </w:tcPr>
          <w:p w:rsidR="009A75F0" w:rsidRDefault="00822081" w:rsidP="0077660F">
            <w:pPr>
              <w:jc w:val="center"/>
              <w:rPr>
                <w:rFonts w:asciiTheme="majorHAnsi" w:hAnsiTheme="majorHAnsi" w:cstheme="majorHAnsi"/>
              </w:rPr>
            </w:pPr>
            <w:r>
              <w:rPr>
                <w:rFonts w:asciiTheme="majorHAnsi" w:hAnsiTheme="majorHAnsi" w:cstheme="majorHAnsi"/>
              </w:rPr>
              <w:t>1,450.00</w:t>
            </w:r>
          </w:p>
        </w:tc>
        <w:tc>
          <w:tcPr>
            <w:tcW w:w="1701" w:type="dxa"/>
          </w:tcPr>
          <w:p w:rsidR="009A75F0" w:rsidRDefault="00822081" w:rsidP="0077660F">
            <w:pPr>
              <w:jc w:val="center"/>
              <w:rPr>
                <w:rFonts w:asciiTheme="majorHAnsi" w:hAnsiTheme="majorHAnsi" w:cstheme="majorHAnsi"/>
              </w:rPr>
            </w:pPr>
            <w:r>
              <w:rPr>
                <w:rFonts w:asciiTheme="majorHAnsi" w:hAnsiTheme="majorHAnsi" w:cstheme="majorHAnsi"/>
              </w:rPr>
              <w:t>1,150</w:t>
            </w:r>
            <w:r w:rsidR="009A75F0">
              <w:rPr>
                <w:rFonts w:asciiTheme="majorHAnsi" w:hAnsiTheme="majorHAnsi" w:cstheme="majorHAnsi"/>
              </w:rPr>
              <w:t>.00</w:t>
            </w:r>
          </w:p>
        </w:tc>
      </w:tr>
    </w:tbl>
    <w:p w:rsidR="009A75F0" w:rsidRDefault="009A75F0" w:rsidP="009A75F0">
      <w:pPr>
        <w:spacing w:before="60" w:after="0" w:line="240" w:lineRule="auto"/>
        <w:rPr>
          <w:rFonts w:asciiTheme="majorHAnsi" w:hAnsiTheme="majorHAnsi" w:cstheme="majorHAnsi"/>
          <w:u w:val="single"/>
        </w:rPr>
      </w:pPr>
    </w:p>
    <w:p w:rsidR="00B2158F" w:rsidRPr="00822081" w:rsidRDefault="00B2158F" w:rsidP="00B2158F">
      <w:pPr>
        <w:spacing w:after="0" w:line="240" w:lineRule="auto"/>
        <w:rPr>
          <w:rFonts w:asciiTheme="majorHAnsi" w:hAnsiTheme="majorHAnsi" w:cstheme="majorHAnsi"/>
          <w:u w:val="single"/>
        </w:rPr>
      </w:pPr>
    </w:p>
    <w:p w:rsidR="00B2158F" w:rsidRDefault="00B2158F" w:rsidP="009A75F0">
      <w:pPr>
        <w:spacing w:before="60" w:after="0" w:line="240" w:lineRule="auto"/>
        <w:rPr>
          <w:rFonts w:asciiTheme="majorHAnsi" w:hAnsiTheme="majorHAnsi" w:cstheme="majorHAnsi"/>
          <w:u w:val="single"/>
        </w:rPr>
      </w:pPr>
    </w:p>
    <w:p w:rsidR="009A75F0" w:rsidRDefault="009A75F0">
      <w:pPr>
        <w:rPr>
          <w:rFonts w:asciiTheme="majorHAnsi" w:hAnsiTheme="majorHAnsi" w:cstheme="majorHAnsi"/>
          <w:u w:val="single"/>
        </w:rPr>
      </w:pPr>
      <w:r>
        <w:rPr>
          <w:rFonts w:asciiTheme="majorHAnsi" w:hAnsiTheme="majorHAnsi" w:cstheme="majorHAnsi"/>
          <w:u w:val="single"/>
        </w:rPr>
        <w:br w:type="page"/>
      </w:r>
    </w:p>
    <w:p w:rsidR="004F7B4E" w:rsidRPr="00035861" w:rsidRDefault="004F7B4E" w:rsidP="00035861">
      <w:pPr>
        <w:spacing w:before="240" w:after="0" w:line="240" w:lineRule="auto"/>
        <w:rPr>
          <w:rFonts w:asciiTheme="majorHAnsi" w:hAnsiTheme="majorHAnsi" w:cstheme="majorHAnsi"/>
          <w:b/>
          <w:sz w:val="24"/>
          <w:szCs w:val="24"/>
          <w:u w:val="single"/>
        </w:rPr>
      </w:pPr>
      <w:r w:rsidRPr="00035861">
        <w:rPr>
          <w:rFonts w:asciiTheme="majorHAnsi" w:hAnsiTheme="majorHAnsi" w:cstheme="majorHAnsi"/>
          <w:b/>
          <w:sz w:val="24"/>
          <w:szCs w:val="24"/>
          <w:u w:val="single"/>
        </w:rPr>
        <w:lastRenderedPageBreak/>
        <w:t>Not Preferred Tenderer Assessment</w:t>
      </w:r>
    </w:p>
    <w:p w:rsidR="004F7B4E" w:rsidRDefault="004F7B4E" w:rsidP="004F7B4E">
      <w:pPr>
        <w:spacing w:after="0" w:line="240" w:lineRule="auto"/>
        <w:rPr>
          <w:rFonts w:asciiTheme="majorHAnsi" w:hAnsiTheme="majorHAnsi" w:cstheme="majorHAnsi"/>
        </w:rPr>
      </w:pPr>
    </w:p>
    <w:p w:rsidR="004E3BF8" w:rsidRPr="003F752D" w:rsidRDefault="004E3BF8" w:rsidP="004E3BF8">
      <w:pPr>
        <w:spacing w:after="0" w:line="240" w:lineRule="auto"/>
        <w:rPr>
          <w:rFonts w:asciiTheme="majorHAnsi" w:hAnsiTheme="majorHAnsi" w:cstheme="majorHAnsi"/>
          <w:b/>
        </w:rPr>
      </w:pPr>
      <w:r w:rsidRPr="003F752D">
        <w:rPr>
          <w:rFonts w:asciiTheme="majorHAnsi" w:hAnsiTheme="majorHAnsi" w:cstheme="majorHAnsi"/>
          <w:b/>
        </w:rPr>
        <w:t>Technical Evaluation</w:t>
      </w:r>
    </w:p>
    <w:p w:rsidR="004E3BF8" w:rsidRPr="009A543D" w:rsidRDefault="007B329E" w:rsidP="004E3BF8">
      <w:pPr>
        <w:spacing w:after="0" w:line="240" w:lineRule="auto"/>
        <w:rPr>
          <w:rFonts w:asciiTheme="majorHAnsi" w:hAnsiTheme="majorHAnsi" w:cstheme="majorHAnsi"/>
        </w:rPr>
      </w:pPr>
      <w:r>
        <w:rPr>
          <w:rFonts w:asciiTheme="majorHAnsi" w:hAnsiTheme="majorHAnsi" w:cstheme="majorHAnsi"/>
        </w:rPr>
        <w:t>K</w:t>
      </w:r>
      <w:r w:rsidR="00822081">
        <w:rPr>
          <w:rFonts w:asciiTheme="majorHAnsi" w:hAnsiTheme="majorHAnsi" w:cstheme="majorHAnsi"/>
        </w:rPr>
        <w:t xml:space="preserve">ey technical strengths and </w:t>
      </w:r>
      <w:r w:rsidR="004E3BF8" w:rsidRPr="009A543D">
        <w:rPr>
          <w:rFonts w:asciiTheme="majorHAnsi" w:hAnsiTheme="majorHAnsi" w:cstheme="majorHAnsi"/>
        </w:rPr>
        <w:t xml:space="preserve">weaknesses identified </w:t>
      </w:r>
      <w:r w:rsidR="004E3BF8" w:rsidRPr="004E3BF8">
        <w:rPr>
          <w:rFonts w:asciiTheme="majorHAnsi" w:hAnsiTheme="majorHAnsi" w:cstheme="majorHAnsi"/>
        </w:rPr>
        <w:t xml:space="preserve">by the tender Evaluation Committee (EC) </w:t>
      </w:r>
      <w:r w:rsidR="004E3BF8" w:rsidRPr="009A543D">
        <w:rPr>
          <w:rFonts w:asciiTheme="majorHAnsi" w:hAnsiTheme="majorHAnsi" w:cstheme="majorHAnsi"/>
        </w:rPr>
        <w:t xml:space="preserve">for the </w:t>
      </w:r>
      <w:r w:rsidR="004E3BF8" w:rsidRPr="00190A1C">
        <w:rPr>
          <w:rFonts w:asciiTheme="majorHAnsi" w:hAnsiTheme="majorHAnsi" w:cstheme="majorHAnsi"/>
          <w:b/>
        </w:rPr>
        <w:t>Unsuccessful</w:t>
      </w:r>
      <w:r w:rsidR="004E3BF8">
        <w:rPr>
          <w:rFonts w:asciiTheme="majorHAnsi" w:hAnsiTheme="majorHAnsi" w:cstheme="majorHAnsi"/>
        </w:rPr>
        <w:t xml:space="preserve"> Tenderers</w:t>
      </w:r>
      <w:r w:rsidR="004E3BF8" w:rsidRPr="009A543D">
        <w:rPr>
          <w:rFonts w:asciiTheme="majorHAnsi" w:hAnsiTheme="majorHAnsi" w:cstheme="majorHAnsi"/>
        </w:rPr>
        <w:t xml:space="preserve"> were as follows:</w:t>
      </w:r>
    </w:p>
    <w:p w:rsidR="004E3BF8" w:rsidRDefault="004E3BF8" w:rsidP="004E3BF8">
      <w:pPr>
        <w:spacing w:after="0" w:line="240" w:lineRule="auto"/>
        <w:rPr>
          <w:rFonts w:asciiTheme="majorHAnsi" w:hAnsiTheme="majorHAnsi" w:cstheme="majorHAnsi"/>
        </w:rPr>
      </w:pPr>
    </w:p>
    <w:p w:rsidR="004A60C0" w:rsidRPr="009A543D" w:rsidRDefault="004A60C0" w:rsidP="004A60C0">
      <w:pPr>
        <w:spacing w:after="0" w:line="240" w:lineRule="auto"/>
        <w:rPr>
          <w:rFonts w:asciiTheme="majorHAnsi" w:hAnsiTheme="majorHAnsi" w:cstheme="majorHAnsi"/>
          <w:u w:val="single"/>
        </w:rPr>
      </w:pPr>
      <w:r w:rsidRPr="009A543D">
        <w:rPr>
          <w:rFonts w:asciiTheme="majorHAnsi" w:hAnsiTheme="majorHAnsi" w:cstheme="majorHAnsi"/>
          <w:u w:val="single"/>
        </w:rPr>
        <w:t>Strengths:</w:t>
      </w:r>
    </w:p>
    <w:p w:rsidR="00035861" w:rsidRDefault="00035861" w:rsidP="00035861">
      <w:pPr>
        <w:pStyle w:val="ListParagraph"/>
        <w:numPr>
          <w:ilvl w:val="0"/>
          <w:numId w:val="10"/>
        </w:numPr>
        <w:spacing w:after="0" w:line="240" w:lineRule="auto"/>
        <w:rPr>
          <w:rFonts w:asciiTheme="majorHAnsi" w:hAnsiTheme="majorHAnsi" w:cstheme="majorHAnsi"/>
        </w:rPr>
      </w:pPr>
      <w:r>
        <w:rPr>
          <w:rFonts w:asciiTheme="majorHAnsi" w:hAnsiTheme="majorHAnsi" w:cstheme="majorHAnsi"/>
        </w:rPr>
        <w:t>Sound leadership abilities with strong communication skills.</w:t>
      </w:r>
    </w:p>
    <w:p w:rsidR="00035861" w:rsidRDefault="00035861" w:rsidP="00035861">
      <w:pPr>
        <w:pStyle w:val="ListParagraph"/>
        <w:numPr>
          <w:ilvl w:val="0"/>
          <w:numId w:val="10"/>
        </w:numPr>
        <w:spacing w:after="0" w:line="240" w:lineRule="auto"/>
        <w:rPr>
          <w:rFonts w:asciiTheme="majorHAnsi" w:hAnsiTheme="majorHAnsi" w:cstheme="majorHAnsi"/>
          <w:u w:val="single"/>
        </w:rPr>
      </w:pPr>
      <w:r>
        <w:rPr>
          <w:rFonts w:asciiTheme="majorHAnsi" w:hAnsiTheme="majorHAnsi" w:cstheme="majorHAnsi"/>
        </w:rPr>
        <w:t>Effective stakeholder relationships.</w:t>
      </w:r>
    </w:p>
    <w:p w:rsidR="00035861" w:rsidRDefault="00035861" w:rsidP="00035861">
      <w:pPr>
        <w:pStyle w:val="ListParagraph"/>
        <w:numPr>
          <w:ilvl w:val="0"/>
          <w:numId w:val="10"/>
        </w:numPr>
        <w:spacing w:after="0" w:line="240" w:lineRule="auto"/>
        <w:rPr>
          <w:rFonts w:asciiTheme="majorHAnsi" w:hAnsiTheme="majorHAnsi" w:cstheme="majorHAnsi"/>
          <w:u w:val="single"/>
        </w:rPr>
      </w:pPr>
      <w:r>
        <w:rPr>
          <w:rFonts w:asciiTheme="majorHAnsi" w:hAnsiTheme="majorHAnsi" w:cstheme="majorHAnsi"/>
        </w:rPr>
        <w:t>Demonstrated knowledge and experience of DFAT and the development context.</w:t>
      </w:r>
    </w:p>
    <w:p w:rsidR="00035861" w:rsidRDefault="00035861" w:rsidP="00035861">
      <w:pPr>
        <w:spacing w:after="0" w:line="240" w:lineRule="auto"/>
        <w:rPr>
          <w:rFonts w:asciiTheme="majorHAnsi" w:hAnsiTheme="majorHAnsi" w:cstheme="majorHAnsi"/>
          <w:u w:val="single"/>
        </w:rPr>
      </w:pPr>
    </w:p>
    <w:p w:rsidR="00035861" w:rsidRDefault="00035861" w:rsidP="00035861">
      <w:pPr>
        <w:spacing w:after="0" w:line="240" w:lineRule="auto"/>
        <w:rPr>
          <w:rFonts w:asciiTheme="majorHAnsi" w:hAnsiTheme="majorHAnsi" w:cstheme="majorHAnsi"/>
          <w:u w:val="single"/>
        </w:rPr>
      </w:pPr>
      <w:r>
        <w:rPr>
          <w:rFonts w:asciiTheme="majorHAnsi" w:hAnsiTheme="majorHAnsi" w:cstheme="majorHAnsi"/>
          <w:u w:val="single"/>
        </w:rPr>
        <w:t>Weaknesses:</w:t>
      </w:r>
    </w:p>
    <w:p w:rsidR="00035861" w:rsidRDefault="00035861" w:rsidP="00035861">
      <w:pPr>
        <w:pStyle w:val="ListParagraph"/>
        <w:numPr>
          <w:ilvl w:val="0"/>
          <w:numId w:val="10"/>
        </w:numPr>
        <w:spacing w:after="0" w:line="240" w:lineRule="auto"/>
        <w:rPr>
          <w:rFonts w:asciiTheme="majorHAnsi" w:hAnsiTheme="majorHAnsi" w:cstheme="majorHAnsi"/>
        </w:rPr>
      </w:pPr>
      <w:r>
        <w:rPr>
          <w:rFonts w:asciiTheme="majorHAnsi" w:hAnsiTheme="majorHAnsi" w:cstheme="majorHAnsi"/>
        </w:rPr>
        <w:t>The proposals were not well presented and did not effectively demonstrate they had conducted a due diligence assessment, other than accreditation reviews for ANCP partners.</w:t>
      </w:r>
    </w:p>
    <w:p w:rsidR="00035861" w:rsidRDefault="00035861" w:rsidP="00035861">
      <w:pPr>
        <w:pStyle w:val="ListParagraph"/>
        <w:numPr>
          <w:ilvl w:val="0"/>
          <w:numId w:val="10"/>
        </w:numPr>
        <w:spacing w:after="0" w:line="240" w:lineRule="auto"/>
        <w:rPr>
          <w:rFonts w:asciiTheme="majorHAnsi" w:hAnsiTheme="majorHAnsi" w:cstheme="majorHAnsi"/>
        </w:rPr>
      </w:pPr>
      <w:r>
        <w:rPr>
          <w:rFonts w:asciiTheme="majorHAnsi" w:hAnsiTheme="majorHAnsi" w:cstheme="majorHAnsi"/>
        </w:rPr>
        <w:t xml:space="preserve">Limited demonstrated knowledge and understanding of the DFAT due diligence framework, policies and procedures or how </w:t>
      </w:r>
      <w:r w:rsidR="007B329E">
        <w:rPr>
          <w:rFonts w:asciiTheme="majorHAnsi" w:hAnsiTheme="majorHAnsi" w:cstheme="majorHAnsi"/>
        </w:rPr>
        <w:t>they</w:t>
      </w:r>
      <w:r>
        <w:rPr>
          <w:rFonts w:asciiTheme="majorHAnsi" w:hAnsiTheme="majorHAnsi" w:cstheme="majorHAnsi"/>
        </w:rPr>
        <w:t xml:space="preserve"> would be applied.</w:t>
      </w:r>
    </w:p>
    <w:p w:rsidR="00035861" w:rsidRDefault="00035861" w:rsidP="00035861">
      <w:pPr>
        <w:pStyle w:val="ListParagraph"/>
        <w:numPr>
          <w:ilvl w:val="0"/>
          <w:numId w:val="10"/>
        </w:numPr>
        <w:spacing w:after="0" w:line="240" w:lineRule="auto"/>
        <w:rPr>
          <w:rFonts w:asciiTheme="majorHAnsi" w:hAnsiTheme="majorHAnsi" w:cstheme="majorHAnsi"/>
        </w:rPr>
      </w:pPr>
      <w:r>
        <w:rPr>
          <w:rFonts w:asciiTheme="majorHAnsi" w:hAnsiTheme="majorHAnsi" w:cstheme="majorHAnsi"/>
        </w:rPr>
        <w:t>The proposals did not demonstrate an understanding or awareness of industry standards with regards to quality assurance.</w:t>
      </w:r>
    </w:p>
    <w:p w:rsidR="009A75F0" w:rsidRDefault="009A75F0" w:rsidP="009A75F0">
      <w:pPr>
        <w:spacing w:after="0" w:line="240" w:lineRule="auto"/>
        <w:rPr>
          <w:rFonts w:asciiTheme="majorHAnsi" w:hAnsiTheme="majorHAnsi" w:cstheme="majorHAnsi"/>
          <w:u w:val="single"/>
        </w:rPr>
      </w:pPr>
    </w:p>
    <w:p w:rsidR="009A75F0" w:rsidRPr="0077660F" w:rsidRDefault="009A75F0" w:rsidP="009A75F0">
      <w:pPr>
        <w:spacing w:after="0" w:line="240" w:lineRule="auto"/>
        <w:rPr>
          <w:rFonts w:asciiTheme="majorHAnsi" w:hAnsiTheme="majorHAnsi" w:cstheme="majorHAnsi"/>
          <w:b/>
        </w:rPr>
      </w:pPr>
      <w:r w:rsidRPr="0077660F">
        <w:rPr>
          <w:rFonts w:asciiTheme="majorHAnsi" w:hAnsiTheme="majorHAnsi" w:cstheme="majorHAnsi"/>
          <w:b/>
        </w:rPr>
        <w:t>Technical Assessment Summary</w:t>
      </w:r>
    </w:p>
    <w:tbl>
      <w:tblPr>
        <w:tblStyle w:val="TableGrid"/>
        <w:tblW w:w="0" w:type="auto"/>
        <w:tblLook w:val="04A0" w:firstRow="1" w:lastRow="0" w:firstColumn="1" w:lastColumn="0" w:noHBand="0" w:noVBand="1"/>
      </w:tblPr>
      <w:tblGrid>
        <w:gridCol w:w="2972"/>
        <w:gridCol w:w="1985"/>
        <w:gridCol w:w="1984"/>
      </w:tblGrid>
      <w:tr w:rsidR="009A75F0" w:rsidTr="0077660F">
        <w:tc>
          <w:tcPr>
            <w:tcW w:w="2972" w:type="dxa"/>
            <w:shd w:val="clear" w:color="auto" w:fill="D9E2F3" w:themeFill="accent5" w:themeFillTint="33"/>
          </w:tcPr>
          <w:p w:rsidR="009A75F0" w:rsidRPr="0077660F" w:rsidRDefault="009A75F0" w:rsidP="0077660F">
            <w:pPr>
              <w:jc w:val="center"/>
              <w:rPr>
                <w:rFonts w:asciiTheme="majorHAnsi" w:hAnsiTheme="majorHAnsi" w:cstheme="majorHAnsi"/>
              </w:rPr>
            </w:pPr>
            <w:r>
              <w:rPr>
                <w:rFonts w:asciiTheme="majorHAnsi" w:hAnsiTheme="majorHAnsi" w:cstheme="majorHAnsi"/>
              </w:rPr>
              <w:t>Tenderers’</w:t>
            </w:r>
          </w:p>
        </w:tc>
        <w:tc>
          <w:tcPr>
            <w:tcW w:w="1985" w:type="dxa"/>
            <w:shd w:val="clear" w:color="auto" w:fill="D9E2F3" w:themeFill="accent5" w:themeFillTint="33"/>
          </w:tcPr>
          <w:p w:rsidR="009A75F0" w:rsidRPr="0077660F" w:rsidRDefault="009A75F0" w:rsidP="0077660F">
            <w:pPr>
              <w:jc w:val="center"/>
              <w:rPr>
                <w:rFonts w:asciiTheme="majorHAnsi" w:hAnsiTheme="majorHAnsi" w:cstheme="majorHAnsi"/>
              </w:rPr>
            </w:pPr>
            <w:r w:rsidRPr="0077660F">
              <w:rPr>
                <w:rFonts w:asciiTheme="majorHAnsi" w:hAnsiTheme="majorHAnsi" w:cstheme="majorHAnsi"/>
              </w:rPr>
              <w:t>Highest</w:t>
            </w:r>
          </w:p>
        </w:tc>
        <w:tc>
          <w:tcPr>
            <w:tcW w:w="1984" w:type="dxa"/>
            <w:shd w:val="clear" w:color="auto" w:fill="D9E2F3" w:themeFill="accent5" w:themeFillTint="33"/>
          </w:tcPr>
          <w:p w:rsidR="009A75F0" w:rsidRPr="0077660F" w:rsidRDefault="009A75F0" w:rsidP="0077660F">
            <w:pPr>
              <w:jc w:val="center"/>
              <w:rPr>
                <w:rFonts w:asciiTheme="majorHAnsi" w:hAnsiTheme="majorHAnsi" w:cstheme="majorHAnsi"/>
              </w:rPr>
            </w:pPr>
            <w:r w:rsidRPr="0077660F">
              <w:rPr>
                <w:rFonts w:asciiTheme="majorHAnsi" w:hAnsiTheme="majorHAnsi" w:cstheme="majorHAnsi"/>
              </w:rPr>
              <w:t>Lowest</w:t>
            </w:r>
          </w:p>
        </w:tc>
      </w:tr>
      <w:tr w:rsidR="009A75F0" w:rsidTr="0077660F">
        <w:tc>
          <w:tcPr>
            <w:tcW w:w="2972" w:type="dxa"/>
          </w:tcPr>
          <w:p w:rsidR="009A75F0" w:rsidRPr="0077660F" w:rsidRDefault="009A75F0" w:rsidP="0077660F">
            <w:pPr>
              <w:rPr>
                <w:rFonts w:asciiTheme="majorHAnsi" w:hAnsiTheme="majorHAnsi" w:cstheme="majorHAnsi"/>
              </w:rPr>
            </w:pPr>
            <w:r>
              <w:rPr>
                <w:rFonts w:asciiTheme="majorHAnsi" w:hAnsiTheme="majorHAnsi" w:cstheme="majorHAnsi"/>
              </w:rPr>
              <w:t xml:space="preserve">Final </w:t>
            </w:r>
            <w:r w:rsidRPr="0077660F">
              <w:rPr>
                <w:rFonts w:asciiTheme="majorHAnsi" w:hAnsiTheme="majorHAnsi" w:cstheme="majorHAnsi"/>
              </w:rPr>
              <w:t>Technical Score</w:t>
            </w:r>
          </w:p>
        </w:tc>
        <w:tc>
          <w:tcPr>
            <w:tcW w:w="1985" w:type="dxa"/>
          </w:tcPr>
          <w:p w:rsidR="009A75F0" w:rsidRPr="0077660F" w:rsidRDefault="00822081" w:rsidP="0077660F">
            <w:pPr>
              <w:jc w:val="center"/>
              <w:rPr>
                <w:rFonts w:asciiTheme="majorHAnsi" w:hAnsiTheme="majorHAnsi" w:cstheme="majorHAnsi"/>
              </w:rPr>
            </w:pPr>
            <w:r>
              <w:rPr>
                <w:rFonts w:asciiTheme="majorHAnsi" w:hAnsiTheme="majorHAnsi" w:cstheme="majorHAnsi"/>
              </w:rPr>
              <w:t>60.67</w:t>
            </w:r>
          </w:p>
        </w:tc>
        <w:tc>
          <w:tcPr>
            <w:tcW w:w="1984" w:type="dxa"/>
          </w:tcPr>
          <w:p w:rsidR="009A75F0" w:rsidRPr="0077660F" w:rsidRDefault="00822081" w:rsidP="0077660F">
            <w:pPr>
              <w:jc w:val="center"/>
              <w:rPr>
                <w:rFonts w:asciiTheme="majorHAnsi" w:hAnsiTheme="majorHAnsi" w:cstheme="majorHAnsi"/>
              </w:rPr>
            </w:pPr>
            <w:r>
              <w:rPr>
                <w:rFonts w:asciiTheme="majorHAnsi" w:hAnsiTheme="majorHAnsi" w:cstheme="majorHAnsi"/>
              </w:rPr>
              <w:t>53.33</w:t>
            </w:r>
          </w:p>
        </w:tc>
      </w:tr>
    </w:tbl>
    <w:p w:rsidR="00392EDF" w:rsidRDefault="00392EDF" w:rsidP="009A75F0">
      <w:pPr>
        <w:spacing w:before="120" w:after="0" w:line="240" w:lineRule="auto"/>
        <w:rPr>
          <w:rFonts w:asciiTheme="majorHAnsi" w:hAnsiTheme="majorHAnsi" w:cstheme="majorHAnsi"/>
        </w:rPr>
      </w:pPr>
    </w:p>
    <w:p w:rsidR="009A75F0" w:rsidRPr="0077660F" w:rsidRDefault="005D58D5" w:rsidP="009A75F0">
      <w:pPr>
        <w:spacing w:before="120" w:after="0" w:line="240" w:lineRule="auto"/>
        <w:rPr>
          <w:rFonts w:asciiTheme="majorHAnsi" w:hAnsiTheme="majorHAnsi" w:cstheme="majorHAnsi"/>
        </w:rPr>
      </w:pPr>
      <w:r>
        <w:rPr>
          <w:rFonts w:asciiTheme="majorHAnsi" w:hAnsiTheme="majorHAnsi" w:cstheme="majorHAnsi"/>
        </w:rPr>
        <w:t>A</w:t>
      </w:r>
      <w:r w:rsidR="009A75F0" w:rsidRPr="0077660F">
        <w:rPr>
          <w:rFonts w:asciiTheme="majorHAnsi" w:hAnsiTheme="majorHAnsi" w:cstheme="majorHAnsi"/>
        </w:rPr>
        <w:t xml:space="preserve"> Commercial assessment was not conducted for </w:t>
      </w:r>
      <w:r w:rsidR="009A75F0">
        <w:rPr>
          <w:rFonts w:asciiTheme="majorHAnsi" w:hAnsiTheme="majorHAnsi" w:cstheme="majorHAnsi"/>
        </w:rPr>
        <w:t>t</w:t>
      </w:r>
      <w:r w:rsidR="009A75F0" w:rsidRPr="0077660F">
        <w:rPr>
          <w:rFonts w:asciiTheme="majorHAnsi" w:hAnsiTheme="majorHAnsi" w:cstheme="majorHAnsi"/>
        </w:rPr>
        <w:t xml:space="preserve">echnically unsuitable tenderers. </w:t>
      </w:r>
    </w:p>
    <w:p w:rsidR="009A75F0" w:rsidRDefault="009A75F0" w:rsidP="009A75F0">
      <w:pPr>
        <w:spacing w:before="60" w:after="0" w:line="240" w:lineRule="auto"/>
        <w:rPr>
          <w:rFonts w:asciiTheme="majorHAnsi" w:hAnsiTheme="majorHAnsi" w:cstheme="majorHAnsi"/>
          <w:u w:val="single"/>
        </w:rPr>
      </w:pPr>
    </w:p>
    <w:p w:rsidR="009A75F0" w:rsidRPr="00721914" w:rsidRDefault="009A75F0" w:rsidP="009A75F0">
      <w:pPr>
        <w:spacing w:after="0" w:line="240" w:lineRule="auto"/>
        <w:jc w:val="both"/>
        <w:rPr>
          <w:rFonts w:asciiTheme="majorHAnsi" w:hAnsiTheme="majorHAnsi" w:cstheme="majorHAnsi"/>
        </w:rPr>
      </w:pPr>
      <w:r w:rsidRPr="0077660F">
        <w:rPr>
          <w:rFonts w:asciiTheme="majorHAnsi" w:hAnsiTheme="majorHAnsi" w:cstheme="majorHAnsi"/>
        </w:rPr>
        <w:t>Thank you for your interest in the Due Diligence Services Panel.</w:t>
      </w:r>
      <w:r w:rsidRPr="006E6031">
        <w:rPr>
          <w:rFonts w:asciiTheme="majorHAnsi" w:hAnsiTheme="majorHAnsi" w:cstheme="majorHAnsi"/>
        </w:rPr>
        <w:t xml:space="preserve"> </w:t>
      </w:r>
      <w:r w:rsidRPr="00721914">
        <w:rPr>
          <w:rFonts w:asciiTheme="majorHAnsi" w:hAnsiTheme="majorHAnsi" w:cstheme="majorHAnsi"/>
        </w:rPr>
        <w:t>You are encouraged to submit a tender in response to future requirements for the Australian aid program.</w:t>
      </w:r>
    </w:p>
    <w:p w:rsidR="009A75F0" w:rsidRPr="0077660F" w:rsidRDefault="009A75F0" w:rsidP="009A75F0">
      <w:pPr>
        <w:spacing w:after="0" w:line="240" w:lineRule="auto"/>
        <w:rPr>
          <w:rFonts w:asciiTheme="majorHAnsi" w:hAnsiTheme="majorHAnsi" w:cstheme="majorHAnsi"/>
        </w:rPr>
      </w:pPr>
    </w:p>
    <w:p w:rsidR="004E3BF8" w:rsidRDefault="004E3BF8" w:rsidP="004E3BF8">
      <w:pPr>
        <w:spacing w:after="0" w:line="240" w:lineRule="auto"/>
        <w:rPr>
          <w:rFonts w:asciiTheme="majorHAnsi" w:hAnsiTheme="majorHAnsi" w:cstheme="majorHAnsi"/>
        </w:rPr>
      </w:pPr>
    </w:p>
    <w:sectPr w:rsidR="004E3BF8" w:rsidSect="004A60C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C0" w:rsidRDefault="004A60C0" w:rsidP="004A60C0">
      <w:pPr>
        <w:spacing w:after="0" w:line="240" w:lineRule="auto"/>
      </w:pPr>
      <w:r>
        <w:separator/>
      </w:r>
    </w:p>
  </w:endnote>
  <w:endnote w:type="continuationSeparator" w:id="0">
    <w:p w:rsidR="004A60C0" w:rsidRDefault="004A60C0" w:rsidP="004A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F5" w:rsidRDefault="000B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795506"/>
      <w:docPartObj>
        <w:docPartGallery w:val="Page Numbers (Bottom of Page)"/>
        <w:docPartUnique/>
      </w:docPartObj>
    </w:sdtPr>
    <w:sdtEndPr/>
    <w:sdtContent>
      <w:sdt>
        <w:sdtPr>
          <w:id w:val="-1705238520"/>
          <w:docPartObj>
            <w:docPartGallery w:val="Page Numbers (Top of Page)"/>
            <w:docPartUnique/>
          </w:docPartObj>
        </w:sdtPr>
        <w:sdtEndPr/>
        <w:sdtContent>
          <w:p w:rsidR="004A60C0" w:rsidRDefault="004A60C0" w:rsidP="004A60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B62F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62F5">
              <w:rPr>
                <w:b/>
                <w:bCs/>
                <w:noProof/>
              </w:rPr>
              <w:t>2</w:t>
            </w:r>
            <w:r>
              <w:rPr>
                <w:b/>
                <w:bCs/>
                <w:sz w:val="24"/>
                <w:szCs w:val="24"/>
              </w:rPr>
              <w:fldChar w:fldCharType="end"/>
            </w:r>
          </w:p>
        </w:sdtContent>
      </w:sdt>
    </w:sdtContent>
  </w:sdt>
  <w:p w:rsidR="004A60C0" w:rsidRDefault="004A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F5" w:rsidRDefault="000B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C0" w:rsidRDefault="004A60C0" w:rsidP="004A60C0">
      <w:pPr>
        <w:spacing w:after="0" w:line="240" w:lineRule="auto"/>
      </w:pPr>
      <w:r>
        <w:separator/>
      </w:r>
    </w:p>
  </w:footnote>
  <w:footnote w:type="continuationSeparator" w:id="0">
    <w:p w:rsidR="004A60C0" w:rsidRDefault="004A60C0" w:rsidP="004A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F5" w:rsidRDefault="000B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F5" w:rsidRDefault="000B6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F5" w:rsidRDefault="000B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8B9"/>
    <w:multiLevelType w:val="hybridMultilevel"/>
    <w:tmpl w:val="B3CA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7F5019"/>
    <w:multiLevelType w:val="hybridMultilevel"/>
    <w:tmpl w:val="2C202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B42A55"/>
    <w:multiLevelType w:val="hybridMultilevel"/>
    <w:tmpl w:val="378ED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D048A5"/>
    <w:multiLevelType w:val="hybridMultilevel"/>
    <w:tmpl w:val="C4B2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201874"/>
    <w:multiLevelType w:val="hybridMultilevel"/>
    <w:tmpl w:val="C42C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DE5AF9"/>
    <w:multiLevelType w:val="hybridMultilevel"/>
    <w:tmpl w:val="B346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535F33"/>
    <w:multiLevelType w:val="hybridMultilevel"/>
    <w:tmpl w:val="E8F0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D02E15"/>
    <w:multiLevelType w:val="hybridMultilevel"/>
    <w:tmpl w:val="290C3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7"/>
  </w:num>
  <w:num w:numId="8">
    <w:abstractNumId w:val="2"/>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4E"/>
    <w:rsid w:val="00013F11"/>
    <w:rsid w:val="00035861"/>
    <w:rsid w:val="000B62F5"/>
    <w:rsid w:val="00190D83"/>
    <w:rsid w:val="001D51E3"/>
    <w:rsid w:val="002C2FFC"/>
    <w:rsid w:val="00392EDF"/>
    <w:rsid w:val="003F752D"/>
    <w:rsid w:val="0044501C"/>
    <w:rsid w:val="00491C5D"/>
    <w:rsid w:val="004A60C0"/>
    <w:rsid w:val="004E3BF8"/>
    <w:rsid w:val="004F7B4E"/>
    <w:rsid w:val="00593F18"/>
    <w:rsid w:val="005D58D5"/>
    <w:rsid w:val="005E3BB4"/>
    <w:rsid w:val="006C7B66"/>
    <w:rsid w:val="007365A0"/>
    <w:rsid w:val="007446D6"/>
    <w:rsid w:val="00754AB0"/>
    <w:rsid w:val="007B329E"/>
    <w:rsid w:val="007D265D"/>
    <w:rsid w:val="007E49C4"/>
    <w:rsid w:val="00814992"/>
    <w:rsid w:val="00822081"/>
    <w:rsid w:val="00862B89"/>
    <w:rsid w:val="009A75F0"/>
    <w:rsid w:val="00A13A63"/>
    <w:rsid w:val="00A7001D"/>
    <w:rsid w:val="00A72CC5"/>
    <w:rsid w:val="00B2158F"/>
    <w:rsid w:val="00BA7EFC"/>
    <w:rsid w:val="00C45EDA"/>
    <w:rsid w:val="00C966C5"/>
    <w:rsid w:val="00D426F4"/>
    <w:rsid w:val="00EA035C"/>
    <w:rsid w:val="00F8552E"/>
    <w:rsid w:val="00FE5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rsid w:val="004F7B4E"/>
    <w:pPr>
      <w:ind w:left="720"/>
      <w:contextualSpacing/>
    </w:p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link w:val="ListParagraph"/>
    <w:uiPriority w:val="34"/>
    <w:qFormat/>
    <w:locked/>
    <w:rsid w:val="004F7B4E"/>
  </w:style>
  <w:style w:type="paragraph" w:styleId="Header">
    <w:name w:val="header"/>
    <w:basedOn w:val="Normal"/>
    <w:link w:val="HeaderChar"/>
    <w:uiPriority w:val="99"/>
    <w:unhideWhenUsed/>
    <w:rsid w:val="004A6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0C0"/>
  </w:style>
  <w:style w:type="paragraph" w:styleId="Footer">
    <w:name w:val="footer"/>
    <w:basedOn w:val="Normal"/>
    <w:link w:val="FooterChar"/>
    <w:uiPriority w:val="99"/>
    <w:unhideWhenUsed/>
    <w:rsid w:val="004A6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0C0"/>
  </w:style>
  <w:style w:type="table" w:styleId="TableGrid">
    <w:name w:val="Table Grid"/>
    <w:basedOn w:val="TableNormal"/>
    <w:uiPriority w:val="39"/>
    <w:rsid w:val="009A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5719">
      <w:bodyDiv w:val="1"/>
      <w:marLeft w:val="0"/>
      <w:marRight w:val="0"/>
      <w:marTop w:val="0"/>
      <w:marBottom w:val="0"/>
      <w:divBdr>
        <w:top w:val="none" w:sz="0" w:space="0" w:color="auto"/>
        <w:left w:val="none" w:sz="0" w:space="0" w:color="auto"/>
        <w:bottom w:val="none" w:sz="0" w:space="0" w:color="auto"/>
        <w:right w:val="none" w:sz="0" w:space="0" w:color="auto"/>
      </w:divBdr>
    </w:div>
    <w:div w:id="1018703768">
      <w:bodyDiv w:val="1"/>
      <w:marLeft w:val="0"/>
      <w:marRight w:val="0"/>
      <w:marTop w:val="0"/>
      <w:marBottom w:val="0"/>
      <w:divBdr>
        <w:top w:val="none" w:sz="0" w:space="0" w:color="auto"/>
        <w:left w:val="none" w:sz="0" w:space="0" w:color="auto"/>
        <w:bottom w:val="none" w:sz="0" w:space="0" w:color="auto"/>
        <w:right w:val="none" w:sz="0" w:space="0" w:color="auto"/>
      </w:divBdr>
    </w:div>
    <w:div w:id="15424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 Comprehensive Assessment of Multilateral Organisations</dc:title>
  <dc:subject/>
  <dc:creator/>
  <cp:keywords/>
  <dc:description/>
  <cp:lastModifiedBy/>
  <cp:revision>1</cp:revision>
  <dcterms:created xsi:type="dcterms:W3CDTF">2020-09-22T06:32:00Z</dcterms:created>
  <dcterms:modified xsi:type="dcterms:W3CDTF">2020-09-22T06:32:00Z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c2f9d35d-a122-4823-9a98-d868763d435d</vt:lpwstr>
  </property>
  <property fmtid="{D5CDD505-2E9C-101B-9397-08002B2CF9AE}" pid="3" name="SEC">
    <vt:lpwstr>OFFICIAL</vt:lpwstr>
  </property>
</Properties>
</file>